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E8D06" w14:textId="77777777" w:rsidR="00F62C8B" w:rsidRPr="001F4DD0" w:rsidRDefault="000F3A41" w:rsidP="004C531E">
      <w:pPr>
        <w:pStyle w:val="RSCM01ReceivedAccepted"/>
      </w:pPr>
      <w:r w:rsidRPr="001F4DD0">
        <mc:AlternateContent>
          <mc:Choice Requires="wps">
            <w:drawing>
              <wp:anchor distT="180340" distB="0" distL="114300" distR="114300" simplePos="0" relativeHeight="251662336" behindDoc="1" locked="1" layoutInCell="0" allowOverlap="0" wp14:anchorId="7AB09461" wp14:editId="63393862">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0E0FC6B1" w14:textId="47E4318F" w:rsidR="00752372" w:rsidRPr="00C405FD" w:rsidRDefault="00752372" w:rsidP="00C405FD">
                            <w:pPr>
                              <w:pStyle w:val="RSCF01FootnoteAuthorAddress"/>
                            </w:pPr>
                            <w:r>
                              <w:t>School of Chemical and Physical Sciences, Keele University, Keele ST5 5BG, United Kingdom. Email: c.s.hawes@keele.ac.uk</w:t>
                            </w:r>
                            <w:r w:rsidRPr="00C405FD">
                              <w:t>.</w:t>
                            </w:r>
                          </w:p>
                          <w:p w14:paraId="0E462D06" w14:textId="0B86BF39" w:rsidR="00752372" w:rsidRPr="00C405FD" w:rsidRDefault="00752372" w:rsidP="00C405FD">
                            <w:pPr>
                              <w:pStyle w:val="RSCF01FootnoteAuthorAddress"/>
                            </w:pPr>
                            <w:r>
                              <w:t>School of Chemistry and Trinity Biomedical Sciences Institute, The University of Dublin, Trinity College Dublin, Dublin 2, Ireland</w:t>
                            </w:r>
                            <w:r w:rsidRPr="00C405FD">
                              <w:t>.</w:t>
                            </w:r>
                          </w:p>
                          <w:p w14:paraId="353A05EA" w14:textId="210D9FC1" w:rsidR="00752372" w:rsidRPr="00C405FD" w:rsidRDefault="00752372" w:rsidP="00C405FD">
                            <w:pPr>
                              <w:pStyle w:val="RSCF01FootnoteAuthorAddress"/>
                            </w:pPr>
                            <w:r>
                              <w:t>School of Chemistry and Centre for Research on Adaptive Nanostructures and Nanomaterials, The University of Dublin, Trinity College Dublin, Dublin 2, Ireland</w:t>
                            </w:r>
                            <w:r w:rsidRPr="00C405FD">
                              <w:t>.</w:t>
                            </w:r>
                          </w:p>
                          <w:p w14:paraId="708268AE" w14:textId="7F1C1FC7" w:rsidR="00752372" w:rsidRPr="00241ACD" w:rsidRDefault="00752372" w:rsidP="00241ACD">
                            <w:pPr>
                              <w:pStyle w:val="RSCF02FootnotestoTitleAuthors"/>
                            </w:pPr>
                            <w:r w:rsidRPr="00241ACD">
                              <w:t xml:space="preserve">Electronic Supplementary Information (ESI) available: </w:t>
                            </w:r>
                            <w:r>
                              <w:t>X-ray powder diffraction data, thermogravimetric analysis, additional spectroscopic data and figures, additional gas adsorption data and NMR spectra CCDC 1818940-1818943 and 1840308-1840309</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AB09461"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0E0FC6B1" w14:textId="47E4318F" w:rsidR="00752372" w:rsidRPr="00C405FD" w:rsidRDefault="00752372" w:rsidP="00C405FD">
                      <w:pPr>
                        <w:pStyle w:val="RSCF01FootnoteAuthorAddress"/>
                      </w:pPr>
                      <w:r>
                        <w:t xml:space="preserve">School of Chemical and Physical Sciences, </w:t>
                      </w:r>
                      <w:proofErr w:type="spellStart"/>
                      <w:r>
                        <w:t>Keele</w:t>
                      </w:r>
                      <w:proofErr w:type="spellEnd"/>
                      <w:r>
                        <w:t xml:space="preserve"> University, </w:t>
                      </w:r>
                      <w:proofErr w:type="spellStart"/>
                      <w:r>
                        <w:t>Keele</w:t>
                      </w:r>
                      <w:proofErr w:type="spellEnd"/>
                      <w:r>
                        <w:t xml:space="preserve"> ST5 5BG, United Kingdom. Email: c.s.hawes@keele.ac.uk</w:t>
                      </w:r>
                      <w:r w:rsidRPr="00C405FD">
                        <w:t>.</w:t>
                      </w:r>
                    </w:p>
                    <w:p w14:paraId="0E462D06" w14:textId="0B86BF39" w:rsidR="00752372" w:rsidRPr="00C405FD" w:rsidRDefault="00752372" w:rsidP="00C405FD">
                      <w:pPr>
                        <w:pStyle w:val="RSCF01FootnoteAuthorAddress"/>
                      </w:pPr>
                      <w:r>
                        <w:t xml:space="preserve">School of Chemistry and Trinity Biomedical Sciences Institute, </w:t>
                      </w:r>
                      <w:proofErr w:type="gramStart"/>
                      <w:r>
                        <w:t>The</w:t>
                      </w:r>
                      <w:proofErr w:type="gramEnd"/>
                      <w:r>
                        <w:t xml:space="preserve"> University of Dublin, Trinity College Dublin, Dublin 2, Ireland</w:t>
                      </w:r>
                      <w:r w:rsidRPr="00C405FD">
                        <w:t>.</w:t>
                      </w:r>
                    </w:p>
                    <w:p w14:paraId="353A05EA" w14:textId="210D9FC1" w:rsidR="00752372" w:rsidRPr="00C405FD" w:rsidRDefault="00752372" w:rsidP="00C405FD">
                      <w:pPr>
                        <w:pStyle w:val="RSCF01FootnoteAuthorAddress"/>
                      </w:pPr>
                      <w:r>
                        <w:t>School of Chemistry and Centre for Research on Adaptive Nanostructures and Nanomaterials, The University of Dublin, Trinity College Dublin, Dublin 2, Ireland</w:t>
                      </w:r>
                      <w:r w:rsidRPr="00C405FD">
                        <w:t>.</w:t>
                      </w:r>
                    </w:p>
                    <w:p w14:paraId="708268AE" w14:textId="7F1C1FC7" w:rsidR="00752372" w:rsidRPr="00241ACD" w:rsidRDefault="00752372" w:rsidP="00241ACD">
                      <w:pPr>
                        <w:pStyle w:val="RSCF02FootnotestoTitleAuthors"/>
                      </w:pPr>
                      <w:r w:rsidRPr="00241ACD">
                        <w:t xml:space="preserve">Electronic Supplementary Information (ESI) available: </w:t>
                      </w:r>
                      <w:r>
                        <w:t xml:space="preserve">X-ray powder diffraction data, </w:t>
                      </w:r>
                      <w:proofErr w:type="spellStart"/>
                      <w:r>
                        <w:t>thermogravimetric</w:t>
                      </w:r>
                      <w:proofErr w:type="spellEnd"/>
                      <w:r>
                        <w:t xml:space="preserve"> analysis, additional spectroscopic data and figures, additional gas adsorption data and NMR spectra CCDC 1818940-1818943 and 1840308-1840309</w:t>
                      </w:r>
                      <w:r w:rsidRPr="00241ACD">
                        <w:t>. See DOI: 10.1039/x0xx00000x</w:t>
                      </w:r>
                    </w:p>
                  </w:txbxContent>
                </v:textbox>
                <w10:wrap type="topAndBottom" anchory="margin"/>
                <w10:anchorlock/>
              </v:shape>
            </w:pict>
          </mc:Fallback>
        </mc:AlternateContent>
      </w:r>
      <w:r w:rsidR="00F62C8B" w:rsidRPr="001F4DD0">
        <w:t>Received 00th January 20</w:t>
      </w:r>
      <w:r w:rsidR="00F15F90" w:rsidRPr="001F4DD0">
        <w:t>xx</w:t>
      </w:r>
      <w:r w:rsidR="00F62C8B" w:rsidRPr="001F4DD0">
        <w:t>,</w:t>
      </w:r>
    </w:p>
    <w:p w14:paraId="3EA4FA98" w14:textId="77777777" w:rsidR="00F62C8B" w:rsidRPr="001F4DD0" w:rsidRDefault="00F62C8B" w:rsidP="004C531E">
      <w:pPr>
        <w:pStyle w:val="RSCM01ReceivedAccepted"/>
      </w:pPr>
      <w:r w:rsidRPr="001F4DD0">
        <w:t>Accepted 00th January 20</w:t>
      </w:r>
      <w:r w:rsidR="00F15F90" w:rsidRPr="001F4DD0">
        <w:t>xx</w:t>
      </w:r>
    </w:p>
    <w:p w14:paraId="5A2E63C5" w14:textId="77777777" w:rsidR="00F62C8B" w:rsidRPr="001F4DD0" w:rsidRDefault="00F62C8B" w:rsidP="004C531E">
      <w:pPr>
        <w:pStyle w:val="RSCM02DOI"/>
      </w:pPr>
      <w:r w:rsidRPr="001F4DD0">
        <w:t>DOI: 10.1039/x0xx00000x</w:t>
      </w:r>
    </w:p>
    <w:p w14:paraId="40B67281" w14:textId="77777777" w:rsidR="00A9649E" w:rsidRPr="001F4DD0" w:rsidRDefault="00A9649E" w:rsidP="004C531E">
      <w:pPr>
        <w:pStyle w:val="RSCM03Website"/>
      </w:pPr>
      <w:r w:rsidRPr="001F4DD0">
        <w:t>www.rsc.org/</w:t>
      </w:r>
    </w:p>
    <w:p w14:paraId="325394F5" w14:textId="29E99354" w:rsidR="004414A5" w:rsidRPr="001F4DD0" w:rsidRDefault="00F62C8B" w:rsidP="00C32EDF">
      <w:pPr>
        <w:pStyle w:val="RSCH01PaperTitle"/>
      </w:pPr>
      <w:r w:rsidRPr="001F4DD0">
        <w:br w:type="column"/>
      </w:r>
      <w:bookmarkStart w:id="0" w:name="_Hlk512696357"/>
      <w:r w:rsidR="00BC3894" w:rsidRPr="001F4DD0">
        <w:t>Tetraarylp</w:t>
      </w:r>
      <w:r w:rsidR="006B7FE3" w:rsidRPr="001F4DD0">
        <w:t>yrrolo[3,2-</w:t>
      </w:r>
      <w:r w:rsidR="006B7FE3" w:rsidRPr="001F4DD0">
        <w:rPr>
          <w:i/>
        </w:rPr>
        <w:t>b</w:t>
      </w:r>
      <w:r w:rsidR="006B7FE3" w:rsidRPr="001F4DD0">
        <w:t>]pyrroles as versatile and responsive fluorescent linkers in Metal-Organic Frameworks</w:t>
      </w:r>
      <w:r w:rsidR="004414A5" w:rsidRPr="001F4DD0">
        <w:t xml:space="preserve"> </w:t>
      </w:r>
      <w:bookmarkEnd w:id="0"/>
    </w:p>
    <w:p w14:paraId="3BD66E82" w14:textId="77777777" w:rsidR="00696448" w:rsidRPr="001F4DD0" w:rsidRDefault="00696448" w:rsidP="00696448">
      <w:pPr>
        <w:pStyle w:val="RSCB01ARTAbstract"/>
        <w:rPr>
          <w:rFonts w:cs="Times New Roman"/>
          <w:sz w:val="20"/>
          <w:lang w:val="en-US"/>
        </w:rPr>
      </w:pPr>
      <w:r w:rsidRPr="001F4DD0">
        <w:rPr>
          <w:rFonts w:cs="Times New Roman"/>
          <w:sz w:val="20"/>
        </w:rPr>
        <w:t>Chris S. Hawes</w:t>
      </w:r>
      <w:r w:rsidR="008125A0" w:rsidRPr="001F4DD0">
        <w:rPr>
          <w:rFonts w:cs="Times New Roman"/>
          <w:sz w:val="20"/>
        </w:rPr>
        <w:t>,*</w:t>
      </w:r>
      <w:r w:rsidR="008125A0" w:rsidRPr="001F4DD0">
        <w:rPr>
          <w:rFonts w:cs="Times New Roman"/>
          <w:sz w:val="20"/>
          <w:vertAlign w:val="superscript"/>
        </w:rPr>
        <w:t>a</w:t>
      </w:r>
      <w:r w:rsidRPr="001F4DD0">
        <w:rPr>
          <w:rFonts w:cs="Times New Roman"/>
          <w:sz w:val="20"/>
          <w:vertAlign w:val="superscript"/>
        </w:rPr>
        <w:t>,b</w:t>
      </w:r>
      <w:r w:rsidR="008125A0" w:rsidRPr="001F4DD0">
        <w:rPr>
          <w:rFonts w:cs="Times New Roman"/>
          <w:sz w:val="20"/>
        </w:rPr>
        <w:t xml:space="preserve"> </w:t>
      </w:r>
      <w:r w:rsidRPr="001F4DD0">
        <w:rPr>
          <w:rFonts w:cs="Times New Roman"/>
          <w:sz w:val="20"/>
          <w:lang w:val="en-US"/>
        </w:rPr>
        <w:t>Gearóid M Ó Máille,</w:t>
      </w:r>
      <w:r w:rsidR="008125A0" w:rsidRPr="001F4DD0">
        <w:rPr>
          <w:rFonts w:cs="Times New Roman"/>
          <w:sz w:val="20"/>
          <w:vertAlign w:val="superscript"/>
        </w:rPr>
        <w:t>b</w:t>
      </w:r>
      <w:r w:rsidR="008125A0" w:rsidRPr="001F4DD0">
        <w:rPr>
          <w:rFonts w:cs="Times New Roman"/>
          <w:sz w:val="20"/>
        </w:rPr>
        <w:t xml:space="preserve"> </w:t>
      </w:r>
      <w:r w:rsidRPr="001F4DD0">
        <w:rPr>
          <w:rFonts w:cs="Times New Roman"/>
          <w:sz w:val="20"/>
          <w:lang w:val="en-US"/>
        </w:rPr>
        <w:t>Kevin Byrne,</w:t>
      </w:r>
      <w:r w:rsidRPr="001F4DD0">
        <w:rPr>
          <w:rFonts w:cs="Times New Roman"/>
          <w:sz w:val="20"/>
          <w:vertAlign w:val="superscript"/>
          <w:lang w:val="en-US"/>
        </w:rPr>
        <w:t>c</w:t>
      </w:r>
      <w:r w:rsidRPr="001F4DD0">
        <w:rPr>
          <w:rFonts w:cs="Times New Roman"/>
          <w:sz w:val="20"/>
          <w:lang w:val="en-US"/>
        </w:rPr>
        <w:t xml:space="preserve"> Wolfgang Schmitt</w:t>
      </w:r>
      <w:r w:rsidRPr="001F4DD0">
        <w:rPr>
          <w:rFonts w:cs="Times New Roman"/>
          <w:sz w:val="20"/>
          <w:vertAlign w:val="superscript"/>
          <w:lang w:val="en-US"/>
        </w:rPr>
        <w:t>c</w:t>
      </w:r>
      <w:r w:rsidRPr="001F4DD0">
        <w:rPr>
          <w:rFonts w:cs="Times New Roman"/>
          <w:sz w:val="20"/>
          <w:lang w:val="en-US"/>
        </w:rPr>
        <w:t xml:space="preserve"> and Thorfinnur Gunnlaugsson</w:t>
      </w:r>
      <w:r w:rsidRPr="001F4DD0">
        <w:rPr>
          <w:rFonts w:cs="Times New Roman"/>
          <w:sz w:val="20"/>
          <w:vertAlign w:val="superscript"/>
          <w:lang w:val="en-US"/>
        </w:rPr>
        <w:t>b</w:t>
      </w:r>
      <w:r w:rsidRPr="001F4DD0">
        <w:rPr>
          <w:rFonts w:cs="Times New Roman"/>
          <w:sz w:val="20"/>
          <w:lang w:val="en-US"/>
        </w:rPr>
        <w:t xml:space="preserve"> </w:t>
      </w:r>
    </w:p>
    <w:p w14:paraId="79BFA7AA" w14:textId="0E03168B" w:rsidR="00FA2DA2" w:rsidRPr="001F4DD0" w:rsidRDefault="00ED30E5" w:rsidP="00FA2DA2">
      <w:pPr>
        <w:pStyle w:val="RSCB01ARTAbstract"/>
        <w:rPr>
          <w:lang w:val="en-US"/>
        </w:rPr>
        <w:sectPr w:rsidR="00FA2DA2" w:rsidRPr="001F4DD0"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F4DD0">
        <w:rPr>
          <w:lang w:val="en-US"/>
        </w:rPr>
        <w:t>The first examples of crystalline coordination polymers containing the tetraarylpyrrolo[3,2-</w:t>
      </w:r>
      <w:r w:rsidRPr="001F4DD0">
        <w:rPr>
          <w:i/>
          <w:lang w:val="en-US"/>
        </w:rPr>
        <w:t>b</w:t>
      </w:r>
      <w:r w:rsidRPr="001F4DD0">
        <w:rPr>
          <w:lang w:val="en-US"/>
        </w:rPr>
        <w:t xml:space="preserve">]pyrrole (TPP) fluorophore are presented. We have prepared three new TPP ligands </w:t>
      </w:r>
      <w:r w:rsidRPr="001F4DD0">
        <w:rPr>
          <w:b/>
          <w:lang w:val="en-US"/>
        </w:rPr>
        <w:t>L1</w:t>
      </w:r>
      <w:r w:rsidRPr="001F4DD0">
        <w:rPr>
          <w:lang w:val="en-US"/>
        </w:rPr>
        <w:t xml:space="preserve">, </w:t>
      </w:r>
      <w:r w:rsidRPr="001F4DD0">
        <w:rPr>
          <w:b/>
          <w:lang w:val="en-US"/>
        </w:rPr>
        <w:t>H</w:t>
      </w:r>
      <w:r w:rsidRPr="001F4DD0">
        <w:rPr>
          <w:b/>
          <w:vertAlign w:val="subscript"/>
          <w:lang w:val="en-US"/>
        </w:rPr>
        <w:t>2</w:t>
      </w:r>
      <w:r w:rsidRPr="001F4DD0">
        <w:rPr>
          <w:b/>
          <w:lang w:val="en-US"/>
        </w:rPr>
        <w:t>L2</w:t>
      </w:r>
      <w:r w:rsidRPr="001F4DD0">
        <w:rPr>
          <w:lang w:val="en-US"/>
        </w:rPr>
        <w:t xml:space="preserve"> and </w:t>
      </w:r>
      <w:r w:rsidRPr="001F4DD0">
        <w:rPr>
          <w:b/>
          <w:lang w:val="en-US"/>
        </w:rPr>
        <w:t>H</w:t>
      </w:r>
      <w:r w:rsidRPr="001F4DD0">
        <w:rPr>
          <w:b/>
          <w:vertAlign w:val="subscript"/>
          <w:lang w:val="en-US"/>
        </w:rPr>
        <w:t>2</w:t>
      </w:r>
      <w:r w:rsidRPr="001F4DD0">
        <w:rPr>
          <w:b/>
          <w:lang w:val="en-US"/>
        </w:rPr>
        <w:t>L3</w:t>
      </w:r>
      <w:r w:rsidRPr="001F4DD0">
        <w:rPr>
          <w:lang w:val="en-US"/>
        </w:rPr>
        <w:t xml:space="preserve">, containing nitrile, carboxylate and mixed imidazole-carboxylate donor functionality, respectively. The ligands themselves each show significant fluorescence in the solution phase, with the nitrile species exhibiting solvatofluorochromism and the two carboxylate-containing compounds exhibiting concentration-dependent emission colour </w:t>
      </w:r>
      <w:r w:rsidR="00C26E49" w:rsidRPr="001F4DD0">
        <w:rPr>
          <w:lang w:val="en-US"/>
        </w:rPr>
        <w:t>suggesting</w:t>
      </w:r>
      <w:r w:rsidRPr="001F4DD0">
        <w:rPr>
          <w:lang w:val="en-US"/>
        </w:rPr>
        <w:t xml:space="preserve"> aggregation processes in solution. Three 3-dimensional polymeric structures are then presented. The compound </w:t>
      </w:r>
      <w:r w:rsidRPr="001F4DD0">
        <w:rPr>
          <w:i/>
          <w:lang w:val="en-US"/>
        </w:rPr>
        <w:t>poly</w:t>
      </w:r>
      <w:r w:rsidRPr="001F4DD0">
        <w:rPr>
          <w:lang w:val="en-US"/>
        </w:rPr>
        <w:t>-[Ag</w:t>
      </w:r>
      <w:r w:rsidRPr="001F4DD0">
        <w:rPr>
          <w:b/>
          <w:lang w:val="en-US"/>
        </w:rPr>
        <w:t>L1</w:t>
      </w:r>
      <w:r w:rsidRPr="001F4DD0">
        <w:rPr>
          <w:vertAlign w:val="subscript"/>
          <w:lang w:val="en-US"/>
        </w:rPr>
        <w:t>2</w:t>
      </w:r>
      <w:r w:rsidRPr="001F4DD0">
        <w:rPr>
          <w:lang w:val="en-US"/>
        </w:rPr>
        <w:t>]</w:t>
      </w:r>
      <w:r w:rsidR="00B129EF" w:rsidRPr="001F4DD0">
        <w:rPr>
          <w:lang w:val="en-US"/>
        </w:rPr>
        <w:t>SbF</w:t>
      </w:r>
      <w:r w:rsidR="00B129EF" w:rsidRPr="001F4DD0">
        <w:rPr>
          <w:vertAlign w:val="subscript"/>
          <w:lang w:val="en-US"/>
        </w:rPr>
        <w:t>6</w:t>
      </w:r>
      <w:r w:rsidRPr="001F4DD0">
        <w:rPr>
          <w:lang w:val="en-US"/>
        </w:rPr>
        <w:t xml:space="preserve">·3THF·2H2O </w:t>
      </w:r>
      <w:r w:rsidRPr="001F4DD0">
        <w:rPr>
          <w:b/>
          <w:lang w:val="en-US"/>
        </w:rPr>
        <w:t>1</w:t>
      </w:r>
      <w:r w:rsidRPr="001F4DD0">
        <w:rPr>
          <w:lang w:val="en-US"/>
        </w:rPr>
        <w:t xml:space="preserve"> is an eightfold-interpenetrated diamondoid material, while </w:t>
      </w:r>
      <w:r w:rsidRPr="001F4DD0">
        <w:rPr>
          <w:i/>
          <w:lang w:val="en-US"/>
        </w:rPr>
        <w:t>poly</w:t>
      </w:r>
      <w:r w:rsidRPr="001F4DD0">
        <w:rPr>
          <w:lang w:val="en-US"/>
        </w:rPr>
        <w:t>-[Zn</w:t>
      </w:r>
      <w:r w:rsidRPr="001F4DD0">
        <w:rPr>
          <w:vertAlign w:val="subscript"/>
          <w:lang w:val="en-US"/>
        </w:rPr>
        <w:t>4</w:t>
      </w:r>
      <w:r w:rsidRPr="001F4DD0">
        <w:rPr>
          <w:lang w:val="en-US"/>
        </w:rPr>
        <w:t>O(</w:t>
      </w:r>
      <w:r w:rsidRPr="001F4DD0">
        <w:rPr>
          <w:b/>
          <w:lang w:val="en-US"/>
        </w:rPr>
        <w:t>L2</w:t>
      </w:r>
      <w:r w:rsidRPr="001F4DD0">
        <w:rPr>
          <w:lang w:val="en-US"/>
        </w:rPr>
        <w:t>)</w:t>
      </w:r>
      <w:r w:rsidRPr="001F4DD0">
        <w:rPr>
          <w:vertAlign w:val="subscript"/>
          <w:lang w:val="en-US"/>
        </w:rPr>
        <w:t>3</w:t>
      </w:r>
      <w:r w:rsidRPr="001F4DD0">
        <w:rPr>
          <w:lang w:val="en-US"/>
        </w:rPr>
        <w:t>]·20DMA·10H</w:t>
      </w:r>
      <w:r w:rsidRPr="001F4DD0">
        <w:rPr>
          <w:vertAlign w:val="subscript"/>
          <w:lang w:val="en-US"/>
        </w:rPr>
        <w:t>2</w:t>
      </w:r>
      <w:r w:rsidRPr="001F4DD0">
        <w:rPr>
          <w:lang w:val="en-US"/>
        </w:rPr>
        <w:t xml:space="preserve">O </w:t>
      </w:r>
      <w:r w:rsidRPr="001F4DD0">
        <w:rPr>
          <w:b/>
          <w:lang w:val="en-US"/>
        </w:rPr>
        <w:t>2</w:t>
      </w:r>
      <w:r w:rsidRPr="001F4DD0">
        <w:rPr>
          <w:lang w:val="en-US"/>
        </w:rPr>
        <w:t xml:space="preserve"> is a porous Metal-Organic Framework with </w:t>
      </w:r>
      <w:r w:rsidRPr="001F4DD0">
        <w:rPr>
          <w:b/>
          <w:lang w:val="en-US"/>
        </w:rPr>
        <w:t>pcu</w:t>
      </w:r>
      <w:r w:rsidRPr="001F4DD0">
        <w:rPr>
          <w:lang w:val="en-US"/>
        </w:rPr>
        <w:t xml:space="preserve"> topology, and both </w:t>
      </w:r>
      <w:r w:rsidRPr="001F4DD0">
        <w:rPr>
          <w:b/>
          <w:lang w:val="en-US"/>
        </w:rPr>
        <w:t xml:space="preserve">1 </w:t>
      </w:r>
      <w:r w:rsidRPr="001F4DD0">
        <w:rPr>
          <w:lang w:val="en-US"/>
        </w:rPr>
        <w:t xml:space="preserve">and </w:t>
      </w:r>
      <w:r w:rsidRPr="001F4DD0">
        <w:rPr>
          <w:b/>
          <w:lang w:val="en-US"/>
        </w:rPr>
        <w:t>2</w:t>
      </w:r>
      <w:r w:rsidRPr="001F4DD0">
        <w:rPr>
          <w:lang w:val="en-US"/>
        </w:rPr>
        <w:t xml:space="preserve"> show notable luminescence in the solid state. Complex </w:t>
      </w:r>
      <w:r w:rsidRPr="001F4DD0">
        <w:rPr>
          <w:b/>
          <w:lang w:val="en-US"/>
        </w:rPr>
        <w:t xml:space="preserve">2 </w:t>
      </w:r>
      <w:r w:rsidRPr="001F4DD0">
        <w:rPr>
          <w:lang w:val="en-US"/>
        </w:rPr>
        <w:t xml:space="preserve">readily undergoes guest exchange accompanied by a reversible switching in emission colour with no change in chemical structure. While  complex </w:t>
      </w:r>
      <w:r w:rsidRPr="001F4DD0">
        <w:rPr>
          <w:i/>
        </w:rPr>
        <w:t>poly</w:t>
      </w:r>
      <w:r w:rsidRPr="001F4DD0">
        <w:t>-[Cd</w:t>
      </w:r>
      <w:r w:rsidRPr="001F4DD0">
        <w:rPr>
          <w:b/>
        </w:rPr>
        <w:t>L3</w:t>
      </w:r>
      <w:r w:rsidRPr="001F4DD0">
        <w:t>]·2.5DMA·3.5H</w:t>
      </w:r>
      <w:r w:rsidRPr="001F4DD0">
        <w:rPr>
          <w:vertAlign w:val="subscript"/>
        </w:rPr>
        <w:t>2</w:t>
      </w:r>
      <w:r w:rsidRPr="001F4DD0">
        <w:t xml:space="preserve">O </w:t>
      </w:r>
      <w:r w:rsidRPr="001F4DD0">
        <w:rPr>
          <w:b/>
        </w:rPr>
        <w:t xml:space="preserve">3 </w:t>
      </w:r>
      <w:r w:rsidRPr="001F4DD0">
        <w:t xml:space="preserve">is non-emissive, it displays a twofold interpenetrated </w:t>
      </w:r>
      <w:r w:rsidRPr="001F4DD0">
        <w:rPr>
          <w:b/>
        </w:rPr>
        <w:t>pts</w:t>
      </w:r>
      <w:r w:rsidRPr="001F4DD0">
        <w:t xml:space="preserve"> topology with hexagonal symmetry and an extremely long hexagonal pitch of 100.</w:t>
      </w:r>
      <w:r w:rsidR="001651A7" w:rsidRPr="001F4DD0">
        <w:t>3</w:t>
      </w:r>
      <w:r w:rsidRPr="001F4DD0">
        <w:t xml:space="preserve"> </w:t>
      </w:r>
      <w:r w:rsidRPr="001F4DD0">
        <w:rPr>
          <w:rFonts w:ascii="Cambria Math" w:hAnsi="Cambria Math" w:cs="Cambria Math"/>
        </w:rPr>
        <w:t>Å</w:t>
      </w:r>
      <w:r w:rsidRPr="001F4DD0">
        <w:t>, and shows an impressive  22 wt% CO</w:t>
      </w:r>
      <w:r w:rsidRPr="001F4DD0">
        <w:rPr>
          <w:vertAlign w:val="subscript"/>
        </w:rPr>
        <w:t>2</w:t>
      </w:r>
      <w:r w:rsidRPr="001F4DD0">
        <w:t xml:space="preserve"> uptake capacity at 27</w:t>
      </w:r>
      <w:r w:rsidR="009109BA" w:rsidRPr="001F4DD0">
        <w:t>8</w:t>
      </w:r>
      <w:r w:rsidRPr="001F4DD0">
        <w:t xml:space="preserve"> K and 1 bar.</w:t>
      </w:r>
    </w:p>
    <w:p w14:paraId="48902CFA" w14:textId="1D027D55" w:rsidR="00FA2DA2" w:rsidRPr="001F4DD0" w:rsidRDefault="00696448" w:rsidP="00C54512">
      <w:pPr>
        <w:pStyle w:val="RSCB04AHeadingSection"/>
        <w:spacing w:before="0"/>
      </w:pPr>
      <w:r w:rsidRPr="001F4DD0">
        <w:t>Introduction</w:t>
      </w:r>
    </w:p>
    <w:p w14:paraId="38CDA252" w14:textId="0AADE176" w:rsidR="00696448" w:rsidRPr="001F4DD0" w:rsidRDefault="00696448" w:rsidP="00696448">
      <w:pPr>
        <w:pStyle w:val="RSCB02ArticleText"/>
        <w:rPr>
          <w:lang w:val="en-US"/>
        </w:rPr>
      </w:pPr>
      <w:r w:rsidRPr="001F4DD0">
        <w:rPr>
          <w:lang w:val="en-US"/>
        </w:rPr>
        <w:t>The impetus to understand the fascinating properties of Metal-Organic Frameworks (MOFs) has driven the field to new heights in recent years, with new properties and potential applications being constantly unearthed.</w:t>
      </w:r>
      <w:r w:rsidRPr="001F4DD0">
        <w:rPr>
          <w:vertAlign w:val="superscript"/>
          <w:lang w:val="en-US"/>
        </w:rPr>
        <w:t>1</w:t>
      </w:r>
      <w:r w:rsidRPr="001F4DD0">
        <w:rPr>
          <w:lang w:val="en-US"/>
        </w:rPr>
        <w:t xml:space="preserve"> While much attention has been paid to the outstanding ability of these materials to adsorb, separate and store small gas molecules, equally exciting is their ability to adsorb and exchange larger guest molecules from the solution phase.</w:t>
      </w:r>
      <w:r w:rsidRPr="001F4DD0">
        <w:rPr>
          <w:vertAlign w:val="superscript"/>
          <w:lang w:val="en-US"/>
        </w:rPr>
        <w:t>2</w:t>
      </w:r>
      <w:r w:rsidRPr="001F4DD0">
        <w:rPr>
          <w:lang w:val="en-US"/>
        </w:rPr>
        <w:t xml:space="preserve"> Brilliantly harnessed by Fujita in the development of the ‘crystalline sponge’ method for structure determinations,</w:t>
      </w:r>
      <w:r w:rsidRPr="001F4DD0">
        <w:rPr>
          <w:vertAlign w:val="superscript"/>
          <w:lang w:val="en-US"/>
        </w:rPr>
        <w:t>3</w:t>
      </w:r>
      <w:r w:rsidRPr="001F4DD0">
        <w:rPr>
          <w:lang w:val="en-US"/>
        </w:rPr>
        <w:t xml:space="preserve"> these properties are particularly desirable for chemical sensors.</w:t>
      </w:r>
      <w:r w:rsidRPr="001F4DD0">
        <w:rPr>
          <w:vertAlign w:val="superscript"/>
          <w:lang w:val="en-US"/>
        </w:rPr>
        <w:t>4</w:t>
      </w:r>
      <w:r w:rsidRPr="001F4DD0">
        <w:rPr>
          <w:lang w:val="en-US"/>
        </w:rPr>
        <w:t xml:space="preserve"> While substantial work has recently appeared in ‘turn-off’ fluorescent sensing using MOFs, particularly for strongly absorbing or quenching analytes,</w:t>
      </w:r>
      <w:r w:rsidRPr="001F4DD0">
        <w:rPr>
          <w:vertAlign w:val="superscript"/>
          <w:lang w:val="en-US"/>
        </w:rPr>
        <w:t>5</w:t>
      </w:r>
      <w:r w:rsidRPr="001F4DD0">
        <w:rPr>
          <w:lang w:val="en-US"/>
        </w:rPr>
        <w:t xml:space="preserve"> sensing mechanisms which operate independent</w:t>
      </w:r>
      <w:r w:rsidR="00C26E49" w:rsidRPr="001F4DD0">
        <w:rPr>
          <w:lang w:val="en-US"/>
        </w:rPr>
        <w:t>ly</w:t>
      </w:r>
      <w:r w:rsidRPr="001F4DD0">
        <w:rPr>
          <w:lang w:val="en-US"/>
        </w:rPr>
        <w:t xml:space="preserve"> of absolute emission intensity are still rare. Such processes, when also taking advantage of the spatial confinement of guest molecules in nanopores and their potential to influence luminescence,</w:t>
      </w:r>
      <w:r w:rsidRPr="001F4DD0">
        <w:rPr>
          <w:vertAlign w:val="superscript"/>
          <w:lang w:val="en-US"/>
        </w:rPr>
        <w:t>6</w:t>
      </w:r>
      <w:r w:rsidRPr="001F4DD0">
        <w:rPr>
          <w:lang w:val="en-US"/>
        </w:rPr>
        <w:t xml:space="preserve"> may represent a great opportunity for fluorescent sensing </w:t>
      </w:r>
      <w:r w:rsidR="00C26E49" w:rsidRPr="001F4DD0">
        <w:rPr>
          <w:lang w:val="en-US"/>
        </w:rPr>
        <w:t>utilizing</w:t>
      </w:r>
      <w:r w:rsidRPr="001F4DD0">
        <w:rPr>
          <w:lang w:val="en-US"/>
        </w:rPr>
        <w:t xml:space="preserve"> weaker analyte-fluorophore interactions.</w:t>
      </w:r>
    </w:p>
    <w:p w14:paraId="43D8FADB" w14:textId="5074904F" w:rsidR="00696448" w:rsidRPr="001F4DD0" w:rsidRDefault="00696448" w:rsidP="00696448">
      <w:pPr>
        <w:pStyle w:val="RSCB02ArticleText"/>
        <w:rPr>
          <w:lang w:val="en-US"/>
        </w:rPr>
      </w:pPr>
      <w:r w:rsidRPr="001F4DD0">
        <w:rPr>
          <w:lang w:val="en-US"/>
        </w:rPr>
        <w:tab/>
        <w:t>Recently, the Gryko group have reported a fascinating new class of fluorophores with a pyrrolo[3,2-</w:t>
      </w:r>
      <w:r w:rsidRPr="001F4DD0">
        <w:rPr>
          <w:i/>
          <w:lang w:val="en-US"/>
        </w:rPr>
        <w:t>b</w:t>
      </w:r>
      <w:r w:rsidRPr="001F4DD0">
        <w:rPr>
          <w:lang w:val="en-US"/>
        </w:rPr>
        <w:t>]pyrrole core.</w:t>
      </w:r>
      <w:r w:rsidRPr="001F4DD0">
        <w:rPr>
          <w:vertAlign w:val="superscript"/>
          <w:lang w:val="en-US"/>
        </w:rPr>
        <w:t>7</w:t>
      </w:r>
      <w:r w:rsidRPr="001F4DD0">
        <w:rPr>
          <w:lang w:val="en-US"/>
        </w:rPr>
        <w:t xml:space="preserve"> Conceptually related to the more familiar diketopyrrolo[4,3-</w:t>
      </w:r>
      <w:r w:rsidRPr="001F4DD0">
        <w:rPr>
          <w:i/>
          <w:lang w:val="en-US"/>
        </w:rPr>
        <w:t>c</w:t>
      </w:r>
      <w:r w:rsidRPr="001F4DD0">
        <w:rPr>
          <w:lang w:val="en-US"/>
        </w:rPr>
        <w:t>]pyrrole dyes,</w:t>
      </w:r>
      <w:r w:rsidRPr="001F4DD0">
        <w:rPr>
          <w:vertAlign w:val="superscript"/>
          <w:lang w:val="en-US"/>
        </w:rPr>
        <w:t>8</w:t>
      </w:r>
      <w:r w:rsidRPr="001F4DD0">
        <w:rPr>
          <w:lang w:val="en-US"/>
        </w:rPr>
        <w:t xml:space="preserve"> tetraarylpyrrolo[3,2-</w:t>
      </w:r>
      <w:r w:rsidRPr="001F4DD0">
        <w:rPr>
          <w:i/>
          <w:lang w:val="en-US"/>
        </w:rPr>
        <w:t>b</w:t>
      </w:r>
      <w:r w:rsidRPr="001F4DD0">
        <w:rPr>
          <w:lang w:val="en-US"/>
        </w:rPr>
        <w:t>]pyrrole (TPP) fluorophores display exceptional solvatochromism and two-photon cross sections, and benefit from a modular and widely applicable synthesis which has already engendered a range of fascinating outcomes.</w:t>
      </w:r>
      <w:r w:rsidRPr="001F4DD0">
        <w:rPr>
          <w:vertAlign w:val="superscript"/>
          <w:lang w:val="en-US"/>
        </w:rPr>
        <w:t>9</w:t>
      </w:r>
      <w:r w:rsidRPr="001F4DD0">
        <w:rPr>
          <w:lang w:val="en-US"/>
        </w:rPr>
        <w:t xml:space="preserve"> As well as exhibiting modulation of emission properties in response to aggregation phenomena,</w:t>
      </w:r>
      <w:r w:rsidRPr="001F4DD0">
        <w:rPr>
          <w:vertAlign w:val="superscript"/>
          <w:lang w:val="en-US"/>
        </w:rPr>
        <w:t>10</w:t>
      </w:r>
      <w:r w:rsidRPr="001F4DD0">
        <w:rPr>
          <w:lang w:val="en-US"/>
        </w:rPr>
        <w:t xml:space="preserve"> TPP fluorophores exhibit good stability in the presence of metal ions, making them excellent candidates for ligand-based fluorescence applications in MOF chemistry. Here, we present the synthesis of t</w:t>
      </w:r>
      <w:r w:rsidR="00AB3FBF" w:rsidRPr="001F4DD0">
        <w:rPr>
          <w:lang w:val="en-US"/>
        </w:rPr>
        <w:t>hree</w:t>
      </w:r>
      <w:r w:rsidRPr="001F4DD0">
        <w:rPr>
          <w:lang w:val="en-US"/>
        </w:rPr>
        <w:t xml:space="preserve"> new divergent TPP-containing ligands, the synthesis and structural </w:t>
      </w:r>
      <w:r w:rsidR="00ED30E5" w:rsidRPr="001F4DD0">
        <w:rPr>
          <w:lang w:val="en-US"/>
        </w:rPr>
        <w:t>chemistry</w:t>
      </w:r>
      <w:r w:rsidRPr="001F4DD0">
        <w:rPr>
          <w:lang w:val="en-US"/>
        </w:rPr>
        <w:t xml:space="preserve"> of the first t</w:t>
      </w:r>
      <w:r w:rsidR="00AB3FBF" w:rsidRPr="001F4DD0">
        <w:rPr>
          <w:lang w:val="en-US"/>
        </w:rPr>
        <w:t>hree</w:t>
      </w:r>
      <w:r w:rsidRPr="001F4DD0">
        <w:rPr>
          <w:lang w:val="en-US"/>
        </w:rPr>
        <w:t xml:space="preserve"> examples of crystallographically-characterised coordination polymers containing TPP fluorophores, and a study into their guest exchange, gas uptake and fluorescence properties.</w:t>
      </w:r>
    </w:p>
    <w:p w14:paraId="5E1A5559" w14:textId="0B764D50" w:rsidR="00FA2DA2" w:rsidRPr="001F4DD0" w:rsidRDefault="007A23C4" w:rsidP="00C54512">
      <w:pPr>
        <w:pStyle w:val="RSCI02FigureSchemeChartwithtopbar"/>
        <w:jc w:val="center"/>
      </w:pPr>
      <w:r w:rsidRPr="001F4DD0">
        <w:rPr>
          <w:noProof/>
          <w:lang w:eastAsia="en-GB"/>
        </w:rPr>
        <w:drawing>
          <wp:inline distT="0" distB="0" distL="0" distR="0" wp14:anchorId="6D908674" wp14:editId="6CA8F29E">
            <wp:extent cx="2962275" cy="14199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642" cy="1429216"/>
                    </a:xfrm>
                    <a:prstGeom prst="rect">
                      <a:avLst/>
                    </a:prstGeom>
                    <a:noFill/>
                    <a:ln>
                      <a:noFill/>
                    </a:ln>
                  </pic:spPr>
                </pic:pic>
              </a:graphicData>
            </a:graphic>
          </wp:inline>
        </w:drawing>
      </w:r>
    </w:p>
    <w:p w14:paraId="45C1EF2C" w14:textId="5F2AC547" w:rsidR="006B7FE3" w:rsidRPr="001F4DD0" w:rsidRDefault="006B7FE3" w:rsidP="00ED30E5">
      <w:pPr>
        <w:pStyle w:val="RSCI05CaptiontoFigureSchemeChartwithbottombar"/>
      </w:pPr>
      <w:r w:rsidRPr="001F4DD0">
        <w:rPr>
          <w:b/>
        </w:rPr>
        <w:t>Scheme 1</w:t>
      </w:r>
      <w:r w:rsidRPr="001F4DD0">
        <w:t xml:space="preserve"> General synthetic procedure and structure of ligands </w:t>
      </w:r>
      <w:r w:rsidRPr="001F4DD0">
        <w:rPr>
          <w:b/>
        </w:rPr>
        <w:t>L1</w:t>
      </w:r>
      <w:r w:rsidRPr="001F4DD0">
        <w:t xml:space="preserve">, </w:t>
      </w:r>
      <w:r w:rsidRPr="001F4DD0">
        <w:rPr>
          <w:b/>
        </w:rPr>
        <w:t>H</w:t>
      </w:r>
      <w:r w:rsidRPr="001F4DD0">
        <w:rPr>
          <w:b/>
          <w:vertAlign w:val="subscript"/>
        </w:rPr>
        <w:t>2</w:t>
      </w:r>
      <w:r w:rsidRPr="001F4DD0">
        <w:rPr>
          <w:b/>
        </w:rPr>
        <w:t>L2</w:t>
      </w:r>
      <w:r w:rsidRPr="001F4DD0">
        <w:t xml:space="preserve"> and </w:t>
      </w:r>
      <w:r w:rsidRPr="001F4DD0">
        <w:rPr>
          <w:b/>
        </w:rPr>
        <w:t>H</w:t>
      </w:r>
      <w:r w:rsidRPr="001F4DD0">
        <w:rPr>
          <w:b/>
          <w:vertAlign w:val="subscript"/>
        </w:rPr>
        <w:t>2</w:t>
      </w:r>
      <w:r w:rsidRPr="001F4DD0">
        <w:rPr>
          <w:b/>
        </w:rPr>
        <w:t>L3</w:t>
      </w:r>
      <w:r w:rsidR="00E66884" w:rsidRPr="001F4DD0">
        <w:t xml:space="preserve">. Reagents and conditions: (i) 2,3-butanedione, TsOH, HOAc, 90 </w:t>
      </w:r>
      <w:r w:rsidR="00E66884" w:rsidRPr="001F4DD0">
        <w:rPr>
          <w:rFonts w:ascii="Times New Roman" w:hAnsi="Times New Roman"/>
        </w:rPr>
        <w:t>°</w:t>
      </w:r>
      <w:r w:rsidR="00E66884" w:rsidRPr="001F4DD0">
        <w:t>C</w:t>
      </w:r>
    </w:p>
    <w:p w14:paraId="79E8057C" w14:textId="5306C215" w:rsidR="00696448" w:rsidRPr="001F4DD0" w:rsidRDefault="00696448" w:rsidP="00696448">
      <w:pPr>
        <w:pStyle w:val="RSCB04AHeadingSection"/>
      </w:pPr>
      <w:r w:rsidRPr="001F4DD0">
        <w:lastRenderedPageBreak/>
        <w:t>Results and Discussion</w:t>
      </w:r>
    </w:p>
    <w:p w14:paraId="21939586" w14:textId="07D691F4" w:rsidR="00696448" w:rsidRPr="001F4DD0" w:rsidRDefault="00696448" w:rsidP="00696448">
      <w:pPr>
        <w:pStyle w:val="RSCB06BHeadingSub-Section"/>
        <w:rPr>
          <w:vertAlign w:val="subscript"/>
          <w:lang w:val="en-US"/>
        </w:rPr>
      </w:pPr>
      <w:r w:rsidRPr="001F4DD0">
        <w:rPr>
          <w:lang w:val="en-US"/>
        </w:rPr>
        <w:t>Synthesis and Spectroscopic Behavior of L1, H</w:t>
      </w:r>
      <w:r w:rsidRPr="001F4DD0">
        <w:rPr>
          <w:vertAlign w:val="subscript"/>
          <w:lang w:val="en-US"/>
        </w:rPr>
        <w:t>2</w:t>
      </w:r>
      <w:r w:rsidRPr="001F4DD0">
        <w:rPr>
          <w:lang w:val="en-US"/>
        </w:rPr>
        <w:t>L2 and H</w:t>
      </w:r>
      <w:r w:rsidRPr="001F4DD0">
        <w:rPr>
          <w:vertAlign w:val="subscript"/>
          <w:lang w:val="en-US"/>
        </w:rPr>
        <w:t>2</w:t>
      </w:r>
      <w:r w:rsidRPr="001F4DD0">
        <w:rPr>
          <w:lang w:val="en-US"/>
        </w:rPr>
        <w:t>L3</w:t>
      </w:r>
    </w:p>
    <w:p w14:paraId="32D58718" w14:textId="3F930F0B" w:rsidR="003361F2" w:rsidRPr="001F4DD0" w:rsidRDefault="00696448" w:rsidP="00696448">
      <w:pPr>
        <w:pStyle w:val="RSCB02ArticleText"/>
        <w:rPr>
          <w:lang w:val="en-US"/>
        </w:rPr>
      </w:pPr>
      <w:r w:rsidRPr="001F4DD0">
        <w:rPr>
          <w:lang w:val="en-US"/>
        </w:rPr>
        <w:t xml:space="preserve">With a preference for </w:t>
      </w:r>
      <w:r w:rsidRPr="001F4DD0">
        <w:rPr>
          <w:i/>
          <w:lang w:val="en-US"/>
        </w:rPr>
        <w:t>d</w:t>
      </w:r>
      <w:r w:rsidRPr="001F4DD0">
        <w:rPr>
          <w:vertAlign w:val="superscript"/>
          <w:lang w:val="en-US"/>
        </w:rPr>
        <w:t>10</w:t>
      </w:r>
      <w:r w:rsidRPr="001F4DD0">
        <w:rPr>
          <w:lang w:val="en-US"/>
        </w:rPr>
        <w:t xml:space="preserve"> metal ions to avoid quenching the ligand-based fluorescence of the TPP fluorophores, </w:t>
      </w:r>
      <w:r w:rsidR="00AB3FBF" w:rsidRPr="001F4DD0">
        <w:rPr>
          <w:lang w:val="en-US"/>
        </w:rPr>
        <w:t>several different approaches to attaching coordinating functionality to the</w:t>
      </w:r>
      <w:r w:rsidRPr="001F4DD0">
        <w:rPr>
          <w:lang w:val="en-US"/>
        </w:rPr>
        <w:t xml:space="preserve"> TPP </w:t>
      </w:r>
      <w:r w:rsidR="00AB3FBF" w:rsidRPr="001F4DD0">
        <w:rPr>
          <w:lang w:val="en-US"/>
        </w:rPr>
        <w:t xml:space="preserve">fluorophore can be envisaged. For coordination to soft metal ions, e.g. Ag(I), a nitrile donor species </w:t>
      </w:r>
      <w:r w:rsidR="00AB3FBF" w:rsidRPr="001F4DD0">
        <w:rPr>
          <w:b/>
          <w:lang w:val="en-US"/>
        </w:rPr>
        <w:t>L1</w:t>
      </w:r>
      <w:r w:rsidR="00AB3FBF" w:rsidRPr="001F4DD0">
        <w:rPr>
          <w:lang w:val="en-US"/>
        </w:rPr>
        <w:t xml:space="preserve"> was devised</w:t>
      </w:r>
      <w:r w:rsidRPr="001F4DD0">
        <w:rPr>
          <w:lang w:val="en-US"/>
        </w:rPr>
        <w:t>.</w:t>
      </w:r>
      <w:r w:rsidR="00AB3FBF" w:rsidRPr="001F4DD0">
        <w:rPr>
          <w:lang w:val="en-US"/>
        </w:rPr>
        <w:t xml:space="preserve"> For harder 3</w:t>
      </w:r>
      <w:r w:rsidR="00AB3FBF" w:rsidRPr="001F4DD0">
        <w:rPr>
          <w:i/>
          <w:lang w:val="en-US"/>
        </w:rPr>
        <w:t>d</w:t>
      </w:r>
      <w:r w:rsidR="00AB3FBF" w:rsidRPr="001F4DD0">
        <w:rPr>
          <w:lang w:val="en-US"/>
        </w:rPr>
        <w:t xml:space="preserve"> metal ions, such as Zn(II), a dicarboxylate species </w:t>
      </w:r>
      <w:r w:rsidR="00AB3FBF" w:rsidRPr="001F4DD0">
        <w:rPr>
          <w:b/>
          <w:lang w:val="en-US"/>
        </w:rPr>
        <w:t>H</w:t>
      </w:r>
      <w:r w:rsidR="00AB3FBF" w:rsidRPr="001F4DD0">
        <w:rPr>
          <w:b/>
          <w:vertAlign w:val="subscript"/>
          <w:lang w:val="en-US"/>
        </w:rPr>
        <w:t>2</w:t>
      </w:r>
      <w:r w:rsidR="00AB3FBF" w:rsidRPr="001F4DD0">
        <w:rPr>
          <w:b/>
          <w:lang w:val="en-US"/>
        </w:rPr>
        <w:t xml:space="preserve">L2 </w:t>
      </w:r>
      <w:r w:rsidR="00AB3FBF" w:rsidRPr="001F4DD0">
        <w:rPr>
          <w:lang w:val="en-US"/>
        </w:rPr>
        <w:t xml:space="preserve">was prepared. Finally, a mixed-ligand donor species </w:t>
      </w:r>
      <w:r w:rsidR="00AB3FBF" w:rsidRPr="001F4DD0">
        <w:rPr>
          <w:b/>
          <w:lang w:val="en-US"/>
        </w:rPr>
        <w:t>H</w:t>
      </w:r>
      <w:r w:rsidR="00AB3FBF" w:rsidRPr="001F4DD0">
        <w:rPr>
          <w:b/>
          <w:vertAlign w:val="subscript"/>
          <w:lang w:val="en-US"/>
        </w:rPr>
        <w:t>2</w:t>
      </w:r>
      <w:r w:rsidR="00AB3FBF" w:rsidRPr="001F4DD0">
        <w:rPr>
          <w:b/>
          <w:lang w:val="en-US"/>
        </w:rPr>
        <w:t>L3</w:t>
      </w:r>
      <w:r w:rsidR="00AB3FBF" w:rsidRPr="001F4DD0">
        <w:rPr>
          <w:lang w:val="en-US"/>
        </w:rPr>
        <w:t xml:space="preserve"> was prepared, containing both carboxylate and imidazole donor groups. The combination of N-heterocycles and carboxylic acids has been shown previously to give access to a range of structural types</w:t>
      </w:r>
      <w:r w:rsidR="009F0839" w:rsidRPr="001F4DD0">
        <w:rPr>
          <w:lang w:val="en-US"/>
        </w:rPr>
        <w:t xml:space="preserve"> and properties</w:t>
      </w:r>
      <w:r w:rsidR="00AB3FBF" w:rsidRPr="001F4DD0">
        <w:rPr>
          <w:lang w:val="en-US"/>
        </w:rPr>
        <w:t xml:space="preserve"> not necessarily available from pure carboxylate functionality,</w:t>
      </w:r>
      <w:r w:rsidR="00855A29" w:rsidRPr="001F4DD0">
        <w:rPr>
          <w:vertAlign w:val="superscript"/>
          <w:lang w:val="en-US"/>
        </w:rPr>
        <w:t>11</w:t>
      </w:r>
      <w:r w:rsidR="00AB3FBF" w:rsidRPr="001F4DD0">
        <w:rPr>
          <w:lang w:val="en-US"/>
        </w:rPr>
        <w:t xml:space="preserve"> </w:t>
      </w:r>
      <w:r w:rsidR="007A23C4" w:rsidRPr="001F4DD0">
        <w:rPr>
          <w:lang w:val="en-US"/>
        </w:rPr>
        <w:t xml:space="preserve">and tend </w:t>
      </w:r>
      <w:r w:rsidR="00AB3FBF" w:rsidRPr="001F4DD0">
        <w:rPr>
          <w:lang w:val="en-US"/>
        </w:rPr>
        <w:t>towards mixed-ligand mononuclear nodes rather than carboxylate cluster nodes.</w:t>
      </w:r>
      <w:r w:rsidRPr="001F4DD0">
        <w:rPr>
          <w:lang w:val="en-US"/>
        </w:rPr>
        <w:t xml:space="preserve"> The ligands </w:t>
      </w:r>
      <w:r w:rsidRPr="001F4DD0">
        <w:rPr>
          <w:b/>
          <w:lang w:val="en-US"/>
        </w:rPr>
        <w:t>L1</w:t>
      </w:r>
      <w:r w:rsidR="00AB3FBF" w:rsidRPr="001F4DD0">
        <w:rPr>
          <w:lang w:val="en-US"/>
        </w:rPr>
        <w:t>,</w:t>
      </w:r>
      <w:r w:rsidRPr="001F4DD0">
        <w:rPr>
          <w:lang w:val="en-US"/>
        </w:rPr>
        <w:t xml:space="preserve"> </w:t>
      </w:r>
      <w:r w:rsidRPr="001F4DD0">
        <w:rPr>
          <w:b/>
          <w:lang w:val="en-US"/>
        </w:rPr>
        <w:t>H</w:t>
      </w:r>
      <w:r w:rsidRPr="001F4DD0">
        <w:rPr>
          <w:b/>
          <w:vertAlign w:val="subscript"/>
          <w:lang w:val="en-US"/>
        </w:rPr>
        <w:t>2</w:t>
      </w:r>
      <w:r w:rsidRPr="001F4DD0">
        <w:rPr>
          <w:b/>
          <w:lang w:val="en-US"/>
        </w:rPr>
        <w:t>L2</w:t>
      </w:r>
      <w:r w:rsidRPr="001F4DD0">
        <w:rPr>
          <w:lang w:val="en-US"/>
        </w:rPr>
        <w:t xml:space="preserve"> </w:t>
      </w:r>
      <w:r w:rsidR="00AB3FBF" w:rsidRPr="001F4DD0">
        <w:rPr>
          <w:lang w:val="en-US"/>
        </w:rPr>
        <w:t xml:space="preserve">and </w:t>
      </w:r>
      <w:r w:rsidR="00AB3FBF" w:rsidRPr="001F4DD0">
        <w:rPr>
          <w:b/>
          <w:lang w:val="en-US"/>
        </w:rPr>
        <w:t>H</w:t>
      </w:r>
      <w:r w:rsidR="00AB3FBF" w:rsidRPr="001F4DD0">
        <w:rPr>
          <w:b/>
          <w:vertAlign w:val="subscript"/>
          <w:lang w:val="en-US"/>
        </w:rPr>
        <w:t>2</w:t>
      </w:r>
      <w:r w:rsidR="00AB3FBF" w:rsidRPr="001F4DD0">
        <w:rPr>
          <w:b/>
          <w:lang w:val="en-US"/>
        </w:rPr>
        <w:t xml:space="preserve">L3 </w:t>
      </w:r>
      <w:r w:rsidRPr="001F4DD0">
        <w:rPr>
          <w:lang w:val="en-US"/>
        </w:rPr>
        <w:t>(Scheme 1) were</w:t>
      </w:r>
      <w:r w:rsidR="00AB3FBF" w:rsidRPr="001F4DD0">
        <w:rPr>
          <w:lang w:val="en-US"/>
        </w:rPr>
        <w:t xml:space="preserve"> each</w:t>
      </w:r>
      <w:r w:rsidRPr="001F4DD0">
        <w:rPr>
          <w:lang w:val="en-US"/>
        </w:rPr>
        <w:t xml:space="preserve"> prepared in moderate yields in a single step following the procedure outlined by Gryko </w:t>
      </w:r>
      <w:r w:rsidRPr="001F4DD0">
        <w:rPr>
          <w:i/>
          <w:lang w:val="en-US"/>
        </w:rPr>
        <w:t>et al</w:t>
      </w:r>
      <w:r w:rsidRPr="001F4DD0">
        <w:rPr>
          <w:lang w:val="en-US"/>
        </w:rPr>
        <w:t>.,</w:t>
      </w:r>
      <w:r w:rsidRPr="001F4DD0">
        <w:rPr>
          <w:vertAlign w:val="superscript"/>
          <w:lang w:val="en-US"/>
        </w:rPr>
        <w:t>7</w:t>
      </w:r>
      <w:r w:rsidRPr="001F4DD0">
        <w:rPr>
          <w:lang w:val="en-US"/>
        </w:rPr>
        <w:t xml:space="preserve"> and all characterisation data were consistent with the expected structures. </w:t>
      </w:r>
      <w:r w:rsidR="00C71D44" w:rsidRPr="001F4DD0">
        <w:rPr>
          <w:lang w:val="en-US"/>
        </w:rPr>
        <w:t xml:space="preserve">The yields (12 – 37%) </w:t>
      </w:r>
      <w:r w:rsidR="00E730C8" w:rsidRPr="001F4DD0">
        <w:rPr>
          <w:lang w:val="en-US"/>
        </w:rPr>
        <w:t>are</w:t>
      </w:r>
      <w:r w:rsidR="00C71D44" w:rsidRPr="001F4DD0">
        <w:rPr>
          <w:lang w:val="en-US"/>
        </w:rPr>
        <w:t xml:space="preserve"> </w:t>
      </w:r>
      <w:r w:rsidR="000D2325" w:rsidRPr="001F4DD0">
        <w:rPr>
          <w:lang w:val="en-US"/>
        </w:rPr>
        <w:t>comparable</w:t>
      </w:r>
      <w:r w:rsidR="00C71D44" w:rsidRPr="001F4DD0">
        <w:rPr>
          <w:lang w:val="en-US"/>
        </w:rPr>
        <w:t xml:space="preserve"> </w:t>
      </w:r>
      <w:r w:rsidR="000D2325" w:rsidRPr="001F4DD0">
        <w:rPr>
          <w:lang w:val="en-US"/>
        </w:rPr>
        <w:t>with those reported by</w:t>
      </w:r>
      <w:r w:rsidR="00E730C8" w:rsidRPr="001F4DD0">
        <w:rPr>
          <w:lang w:val="en-US"/>
        </w:rPr>
        <w:t xml:space="preserve"> Gryko</w:t>
      </w:r>
      <w:r w:rsidR="000D2325" w:rsidRPr="001F4DD0">
        <w:rPr>
          <w:lang w:val="en-US"/>
        </w:rPr>
        <w:t>, and are representative of the complex multi-component nature of the coupling reaction.</w:t>
      </w:r>
    </w:p>
    <w:p w14:paraId="311E5E46" w14:textId="2307BDBE" w:rsidR="00E66884" w:rsidRPr="001F4DD0" w:rsidRDefault="00AB3FBF" w:rsidP="003361F2">
      <w:pPr>
        <w:pStyle w:val="RSCB02ArticleText"/>
        <w:ind w:firstLine="284"/>
        <w:rPr>
          <w:lang w:val="en-US"/>
        </w:rPr>
      </w:pPr>
      <w:r w:rsidRPr="001F4DD0">
        <w:rPr>
          <w:lang w:val="en-US"/>
        </w:rPr>
        <w:t xml:space="preserve">In all three cases, single crystals of </w:t>
      </w:r>
      <w:r w:rsidR="006C6D01" w:rsidRPr="001F4DD0">
        <w:rPr>
          <w:lang w:val="en-US"/>
        </w:rPr>
        <w:t xml:space="preserve">the ligands could be prepared by recrystallisation from an appropriate solvent (PhMe, N,N-dimethylacetamide, and DMSO, for </w:t>
      </w:r>
      <w:r w:rsidR="006C6D01" w:rsidRPr="001F4DD0">
        <w:rPr>
          <w:b/>
          <w:lang w:val="en-US"/>
        </w:rPr>
        <w:t>L1</w:t>
      </w:r>
      <w:r w:rsidR="006C6D01" w:rsidRPr="001F4DD0">
        <w:rPr>
          <w:lang w:val="en-US"/>
        </w:rPr>
        <w:t xml:space="preserve">, </w:t>
      </w:r>
      <w:r w:rsidR="006C6D01" w:rsidRPr="001F4DD0">
        <w:rPr>
          <w:b/>
          <w:lang w:val="en-US"/>
        </w:rPr>
        <w:t>H</w:t>
      </w:r>
      <w:r w:rsidR="006C6D01" w:rsidRPr="001F4DD0">
        <w:rPr>
          <w:b/>
          <w:vertAlign w:val="subscript"/>
          <w:lang w:val="en-US"/>
        </w:rPr>
        <w:t>2</w:t>
      </w:r>
      <w:r w:rsidR="006C6D01" w:rsidRPr="001F4DD0">
        <w:rPr>
          <w:b/>
          <w:lang w:val="en-US"/>
        </w:rPr>
        <w:t>L2</w:t>
      </w:r>
      <w:r w:rsidR="006C6D01" w:rsidRPr="001F4DD0">
        <w:rPr>
          <w:b/>
          <w:vertAlign w:val="subscript"/>
          <w:lang w:val="en-US"/>
        </w:rPr>
        <w:t xml:space="preserve"> </w:t>
      </w:r>
      <w:r w:rsidR="006C6D01" w:rsidRPr="001F4DD0">
        <w:rPr>
          <w:lang w:val="en-US"/>
        </w:rPr>
        <w:t xml:space="preserve">and </w:t>
      </w:r>
      <w:r w:rsidR="006C6D01" w:rsidRPr="001F4DD0">
        <w:rPr>
          <w:b/>
          <w:lang w:val="en-US"/>
        </w:rPr>
        <w:t>H</w:t>
      </w:r>
      <w:r w:rsidR="006C6D01" w:rsidRPr="001F4DD0">
        <w:rPr>
          <w:b/>
          <w:vertAlign w:val="subscript"/>
          <w:lang w:val="en-US"/>
        </w:rPr>
        <w:t>2</w:t>
      </w:r>
      <w:r w:rsidR="006C6D01" w:rsidRPr="001F4DD0">
        <w:rPr>
          <w:b/>
          <w:lang w:val="en-US"/>
        </w:rPr>
        <w:t>L3</w:t>
      </w:r>
      <w:r w:rsidR="006C6D01" w:rsidRPr="001F4DD0">
        <w:rPr>
          <w:lang w:val="en-US"/>
        </w:rPr>
        <w:t>, respectively)</w:t>
      </w:r>
      <w:r w:rsidR="00696448" w:rsidRPr="001F4DD0">
        <w:rPr>
          <w:lang w:val="en-US"/>
        </w:rPr>
        <w:t>.</w:t>
      </w:r>
      <w:r w:rsidR="006C6D01" w:rsidRPr="001F4DD0">
        <w:rPr>
          <w:lang w:val="en-US"/>
        </w:rPr>
        <w:t xml:space="preserve"> As each of these procedures gave highly solvated structures,</w:t>
      </w:r>
      <w:r w:rsidR="00696448" w:rsidRPr="001F4DD0">
        <w:rPr>
          <w:lang w:val="en-US"/>
        </w:rPr>
        <w:t xml:space="preserve"> these crystallisations were not carried out on </w:t>
      </w:r>
      <w:r w:rsidR="006C6D01" w:rsidRPr="001F4DD0">
        <w:rPr>
          <w:lang w:val="en-US"/>
        </w:rPr>
        <w:t xml:space="preserve">preparative </w:t>
      </w:r>
      <w:r w:rsidR="00696448" w:rsidRPr="001F4DD0">
        <w:rPr>
          <w:lang w:val="en-US"/>
        </w:rPr>
        <w:t>scale</w:t>
      </w:r>
      <w:r w:rsidR="006C6D01" w:rsidRPr="001F4DD0">
        <w:rPr>
          <w:lang w:val="en-US"/>
        </w:rPr>
        <w:t>s; the as-synthesised materials exhibited suitable purity for further use</w:t>
      </w:r>
      <w:r w:rsidR="00696448" w:rsidRPr="001F4DD0">
        <w:rPr>
          <w:lang w:val="en-US"/>
        </w:rPr>
        <w:t xml:space="preserve">. The structures of </w:t>
      </w:r>
      <w:r w:rsidR="00696448" w:rsidRPr="001F4DD0">
        <w:rPr>
          <w:b/>
          <w:lang w:val="en-US"/>
        </w:rPr>
        <w:t>L1</w:t>
      </w:r>
      <w:r w:rsidR="007A23C4" w:rsidRPr="001F4DD0">
        <w:rPr>
          <w:lang w:val="en-US"/>
        </w:rPr>
        <w:t>,</w:t>
      </w:r>
      <w:r w:rsidR="00696448" w:rsidRPr="001F4DD0">
        <w:rPr>
          <w:lang w:val="en-US"/>
        </w:rPr>
        <w:t xml:space="preserve"> </w:t>
      </w:r>
      <w:r w:rsidR="00696448" w:rsidRPr="001F4DD0">
        <w:rPr>
          <w:b/>
          <w:lang w:val="en-US"/>
        </w:rPr>
        <w:t>H</w:t>
      </w:r>
      <w:r w:rsidR="00696448" w:rsidRPr="001F4DD0">
        <w:rPr>
          <w:b/>
          <w:vertAlign w:val="subscript"/>
          <w:lang w:val="en-US"/>
        </w:rPr>
        <w:t>2</w:t>
      </w:r>
      <w:r w:rsidR="00696448" w:rsidRPr="001F4DD0">
        <w:rPr>
          <w:b/>
          <w:lang w:val="en-US"/>
        </w:rPr>
        <w:t xml:space="preserve">L2 </w:t>
      </w:r>
      <w:r w:rsidR="007A23C4" w:rsidRPr="001F4DD0">
        <w:rPr>
          <w:lang w:val="en-US"/>
        </w:rPr>
        <w:t xml:space="preserve">and </w:t>
      </w:r>
      <w:r w:rsidR="007A23C4" w:rsidRPr="001F4DD0">
        <w:rPr>
          <w:b/>
          <w:lang w:val="en-US"/>
        </w:rPr>
        <w:t>H</w:t>
      </w:r>
      <w:r w:rsidR="007A23C4" w:rsidRPr="001F4DD0">
        <w:rPr>
          <w:b/>
          <w:vertAlign w:val="subscript"/>
          <w:lang w:val="en-US"/>
        </w:rPr>
        <w:t>2</w:t>
      </w:r>
      <w:r w:rsidR="007A23C4" w:rsidRPr="001F4DD0">
        <w:rPr>
          <w:b/>
          <w:lang w:val="en-US"/>
        </w:rPr>
        <w:t xml:space="preserve">L3 </w:t>
      </w:r>
      <w:r w:rsidR="00696448" w:rsidRPr="001F4DD0">
        <w:rPr>
          <w:lang w:val="en-US"/>
        </w:rPr>
        <w:t xml:space="preserve">are shown in Figure 1. </w:t>
      </w:r>
      <w:r w:rsidR="00855A29" w:rsidRPr="001F4DD0">
        <w:rPr>
          <w:lang w:val="en-US"/>
        </w:rPr>
        <w:t xml:space="preserve">Each of the three solvates conformed to the geometries expected, with the four phenyl rings twisted out of the plane of the central pyrrolopyrrole fragment, with the N-substituents aligned at </w:t>
      </w:r>
      <w:r w:rsidR="00855A29" w:rsidRPr="001F4DD0">
        <w:rPr>
          <w:i/>
          <w:lang w:val="en-US"/>
        </w:rPr>
        <w:t>ca</w:t>
      </w:r>
      <w:r w:rsidR="00855A29" w:rsidRPr="001F4DD0">
        <w:rPr>
          <w:lang w:val="en-US"/>
        </w:rPr>
        <w:t>. 60</w:t>
      </w:r>
      <w:r w:rsidR="00855A29" w:rsidRPr="001F4DD0">
        <w:rPr>
          <w:rFonts w:ascii="Times New Roman" w:hAnsi="Times New Roman"/>
          <w:lang w:val="en-US"/>
        </w:rPr>
        <w:t>°</w:t>
      </w:r>
      <w:r w:rsidR="00855A29" w:rsidRPr="001F4DD0">
        <w:rPr>
          <w:lang w:val="en-US"/>
        </w:rPr>
        <w:t xml:space="preserve"> and the C-substituents at </w:t>
      </w:r>
      <w:r w:rsidR="00855A29" w:rsidRPr="001F4DD0">
        <w:rPr>
          <w:i/>
          <w:lang w:val="en-US"/>
        </w:rPr>
        <w:t>ca</w:t>
      </w:r>
      <w:r w:rsidR="00855A29" w:rsidRPr="001F4DD0">
        <w:rPr>
          <w:lang w:val="en-US"/>
        </w:rPr>
        <w:t>. 30</w:t>
      </w:r>
      <w:r w:rsidR="00855A29" w:rsidRPr="001F4DD0">
        <w:rPr>
          <w:rFonts w:ascii="Times New Roman" w:hAnsi="Times New Roman"/>
          <w:lang w:val="en-US"/>
        </w:rPr>
        <w:t>°</w:t>
      </w:r>
      <w:r w:rsidR="00855A29" w:rsidRPr="001F4DD0">
        <w:rPr>
          <w:lang w:val="en-US"/>
        </w:rPr>
        <w:t xml:space="preserve"> relative to the central core. While the intermolecular interactions in each structure tend to </w:t>
      </w:r>
      <w:r w:rsidR="007A23C4" w:rsidRPr="001F4DD0">
        <w:rPr>
          <w:lang w:val="en-US"/>
        </w:rPr>
        <w:t>consist of</w:t>
      </w:r>
      <w:r w:rsidR="00855A29" w:rsidRPr="001F4DD0">
        <w:rPr>
          <w:lang w:val="en-US"/>
        </w:rPr>
        <w:t xml:space="preserve"> the expected motifs (especially the carboxylic acid groups, which form hydrogen bonding interactions with the lattice solvent molecules), it is noteworthy that the pyrrolopyrrole units in each structure do not participate in </w:t>
      </w:r>
      <w:r w:rsidR="00E95B42" w:rsidRPr="001F4DD0">
        <w:rPr>
          <w:lang w:val="en-US"/>
        </w:rPr>
        <w:t xml:space="preserve">homotopic </w:t>
      </w:r>
      <w:r w:rsidR="00855A29" w:rsidRPr="001F4DD0">
        <w:rPr>
          <w:lang w:val="en-US"/>
        </w:rPr>
        <w:t xml:space="preserve">face-to-face </w:t>
      </w:r>
      <w:r w:rsidR="00855A29" w:rsidRPr="001F4DD0">
        <w:rPr>
          <w:rFonts w:cstheme="minorHAnsi"/>
          <w:lang w:val="en-US"/>
        </w:rPr>
        <w:t>π</w:t>
      </w:r>
      <w:r w:rsidR="00855A29" w:rsidRPr="001F4DD0">
        <w:rPr>
          <w:lang w:val="en-US"/>
        </w:rPr>
        <w:t>-</w:t>
      </w:r>
      <w:r w:rsidR="00855A29" w:rsidRPr="001F4DD0">
        <w:rPr>
          <w:rFonts w:cstheme="minorHAnsi"/>
          <w:lang w:val="en-US"/>
        </w:rPr>
        <w:t>π</w:t>
      </w:r>
      <w:r w:rsidR="00855A29" w:rsidRPr="001F4DD0">
        <w:rPr>
          <w:lang w:val="en-US"/>
        </w:rPr>
        <w:t xml:space="preserve"> interactions</w:t>
      </w:r>
      <w:r w:rsidR="00E95B42" w:rsidRPr="001F4DD0">
        <w:rPr>
          <w:lang w:val="en-US"/>
        </w:rPr>
        <w:t>, and instead favor weak and offset edge-to-face type interactions with the phenyl rings</w:t>
      </w:r>
      <w:r w:rsidR="007A23C4" w:rsidRPr="001F4DD0">
        <w:rPr>
          <w:lang w:val="en-US"/>
        </w:rPr>
        <w:t xml:space="preserve"> of adjacent molecules</w:t>
      </w:r>
      <w:r w:rsidR="00855A29" w:rsidRPr="001F4DD0">
        <w:rPr>
          <w:lang w:val="en-US"/>
        </w:rPr>
        <w:t xml:space="preserve">. Most likely this a consequence of the steric hinderance from the four non-coplanar phenyl substituents, and also the electron rich quadrupolar nature of the central </w:t>
      </w:r>
      <w:r w:rsidR="00855A29" w:rsidRPr="001F4DD0">
        <w:rPr>
          <w:rFonts w:cstheme="minorHAnsi"/>
          <w:lang w:val="en-US"/>
        </w:rPr>
        <w:t>π</w:t>
      </w:r>
      <w:r w:rsidR="00855A29" w:rsidRPr="001F4DD0">
        <w:rPr>
          <w:lang w:val="en-US"/>
        </w:rPr>
        <w:t xml:space="preserve"> system. This observation is in contrast to the behavior of many aromatic fluorophores which tend to strongly aggregate through</w:t>
      </w:r>
      <w:r w:rsidR="00E95B42" w:rsidRPr="001F4DD0">
        <w:rPr>
          <w:lang w:val="en-US"/>
        </w:rPr>
        <w:t xml:space="preserve"> </w:t>
      </w:r>
      <w:r w:rsidR="0026286A" w:rsidRPr="001F4DD0">
        <w:rPr>
          <w:i/>
          <w:lang w:val="en-US"/>
        </w:rPr>
        <w:t>H-</w:t>
      </w:r>
      <w:r w:rsidR="0026286A" w:rsidRPr="001F4DD0">
        <w:rPr>
          <w:lang w:val="en-US"/>
        </w:rPr>
        <w:t xml:space="preserve"> or </w:t>
      </w:r>
      <w:r w:rsidR="00E95B42" w:rsidRPr="001F4DD0">
        <w:rPr>
          <w:i/>
          <w:lang w:val="en-US"/>
        </w:rPr>
        <w:t>J</w:t>
      </w:r>
      <w:r w:rsidR="00E95B42" w:rsidRPr="001F4DD0">
        <w:rPr>
          <w:lang w:val="en-US"/>
        </w:rPr>
        <w:t>-aggregate-type</w:t>
      </w:r>
      <w:r w:rsidR="00855A29" w:rsidRPr="001F4DD0">
        <w:rPr>
          <w:lang w:val="en-US"/>
        </w:rPr>
        <w:t xml:space="preserve"> </w:t>
      </w:r>
      <w:r w:rsidR="00855A29" w:rsidRPr="001F4DD0">
        <w:rPr>
          <w:rFonts w:cstheme="minorHAnsi"/>
          <w:lang w:val="en-US"/>
        </w:rPr>
        <w:t>π</w:t>
      </w:r>
      <w:r w:rsidR="00855A29" w:rsidRPr="001F4DD0">
        <w:rPr>
          <w:lang w:val="en-US"/>
        </w:rPr>
        <w:t>-</w:t>
      </w:r>
      <w:r w:rsidR="00855A29" w:rsidRPr="001F4DD0">
        <w:rPr>
          <w:rFonts w:cstheme="minorHAnsi"/>
          <w:lang w:val="en-US"/>
        </w:rPr>
        <w:t>π</w:t>
      </w:r>
      <w:r w:rsidR="00855A29" w:rsidRPr="001F4DD0">
        <w:rPr>
          <w:lang w:val="en-US"/>
        </w:rPr>
        <w:t xml:space="preserve"> interactions.</w:t>
      </w:r>
      <w:r w:rsidR="00E95B42" w:rsidRPr="001F4DD0">
        <w:rPr>
          <w:vertAlign w:val="superscript"/>
          <w:lang w:val="en-US"/>
        </w:rPr>
        <w:t>12</w:t>
      </w:r>
    </w:p>
    <w:p w14:paraId="72E729C6" w14:textId="39DF930D" w:rsidR="003361F2" w:rsidRPr="001F4DD0" w:rsidRDefault="00696448" w:rsidP="00696448">
      <w:pPr>
        <w:pStyle w:val="RSCB02ArticleText"/>
        <w:ind w:firstLine="284"/>
      </w:pPr>
      <w:r w:rsidRPr="001F4DD0">
        <w:t>The photophysical properties of the t</w:t>
      </w:r>
      <w:r w:rsidR="006C6D01" w:rsidRPr="001F4DD0">
        <w:t>hree</w:t>
      </w:r>
      <w:r w:rsidRPr="001F4DD0">
        <w:t xml:space="preserve"> ligands were also examined. As shown in Figure </w:t>
      </w:r>
      <w:r w:rsidR="00E95B42" w:rsidRPr="001F4DD0">
        <w:t>2</w:t>
      </w:r>
      <w:r w:rsidRPr="001F4DD0">
        <w:t xml:space="preserve">, </w:t>
      </w:r>
      <w:r w:rsidR="006C6D01" w:rsidRPr="001F4DD0">
        <w:t>all three</w:t>
      </w:r>
      <w:r w:rsidRPr="001F4DD0">
        <w:t xml:space="preserve"> </w:t>
      </w:r>
      <w:r w:rsidR="007A23C4" w:rsidRPr="001F4DD0">
        <w:t>compounds</w:t>
      </w:r>
      <w:r w:rsidRPr="001F4DD0">
        <w:t xml:space="preserve"> possess absorption bands bordering the visible region and green or blue/green emission (Table 1). While the very low solubilit</w:t>
      </w:r>
      <w:r w:rsidR="006C6D01" w:rsidRPr="001F4DD0">
        <w:t>ies</w:t>
      </w:r>
      <w:r w:rsidRPr="001F4DD0">
        <w:t xml:space="preserve"> of </w:t>
      </w:r>
      <w:r w:rsidRPr="001F4DD0">
        <w:rPr>
          <w:b/>
        </w:rPr>
        <w:t>H</w:t>
      </w:r>
      <w:r w:rsidRPr="001F4DD0">
        <w:rPr>
          <w:b/>
          <w:vertAlign w:val="subscript"/>
        </w:rPr>
        <w:t>2</w:t>
      </w:r>
      <w:r w:rsidRPr="001F4DD0">
        <w:rPr>
          <w:b/>
        </w:rPr>
        <w:t>L2</w:t>
      </w:r>
      <w:r w:rsidRPr="001F4DD0">
        <w:t xml:space="preserve"> </w:t>
      </w:r>
      <w:r w:rsidR="006C6D01" w:rsidRPr="001F4DD0">
        <w:t xml:space="preserve">and </w:t>
      </w:r>
      <w:r w:rsidR="006C6D01" w:rsidRPr="001F4DD0">
        <w:rPr>
          <w:b/>
        </w:rPr>
        <w:t>H</w:t>
      </w:r>
      <w:r w:rsidR="006C6D01" w:rsidRPr="001F4DD0">
        <w:rPr>
          <w:b/>
          <w:vertAlign w:val="subscript"/>
        </w:rPr>
        <w:t>2</w:t>
      </w:r>
      <w:r w:rsidR="006C6D01" w:rsidRPr="001F4DD0">
        <w:rPr>
          <w:b/>
        </w:rPr>
        <w:t xml:space="preserve">L3 </w:t>
      </w:r>
      <w:r w:rsidRPr="001F4DD0">
        <w:t xml:space="preserve">effectively prohibited measurements in any common spectroscopic solvents besides DMSO, </w:t>
      </w:r>
      <w:r w:rsidRPr="001F4DD0">
        <w:rPr>
          <w:b/>
        </w:rPr>
        <w:t xml:space="preserve">L1 </w:t>
      </w:r>
      <w:r w:rsidRPr="001F4DD0">
        <w:t xml:space="preserve">exhibited good solubility in a range of solvents, and absorption and emission spectra could be measured in solvents of varying polarities, revealing the anticipated solvatochromism </w:t>
      </w:r>
      <w:r w:rsidRPr="001F4DD0">
        <w:t>(Supporting Information</w:t>
      </w:r>
      <w:r w:rsidR="00653B12" w:rsidRPr="001F4DD0">
        <w:t>, Figure S9</w:t>
      </w:r>
      <w:r w:rsidRPr="001F4DD0">
        <w:t xml:space="preserve">). While we did not observe any significant concentration dependence to the absorption or emission behaviour of </w:t>
      </w:r>
      <w:r w:rsidRPr="001F4DD0">
        <w:rPr>
          <w:b/>
        </w:rPr>
        <w:t xml:space="preserve">L1 </w:t>
      </w:r>
      <w:r w:rsidRPr="001F4DD0">
        <w:t>in any solvent,</w:t>
      </w:r>
      <w:r w:rsidR="00E95B42" w:rsidRPr="001F4DD0">
        <w:t xml:space="preserve"> both</w:t>
      </w:r>
      <w:r w:rsidRPr="001F4DD0">
        <w:t xml:space="preserve"> </w:t>
      </w:r>
      <w:r w:rsidRPr="001F4DD0">
        <w:rPr>
          <w:b/>
        </w:rPr>
        <w:t>H</w:t>
      </w:r>
      <w:r w:rsidRPr="001F4DD0">
        <w:rPr>
          <w:b/>
          <w:vertAlign w:val="subscript"/>
        </w:rPr>
        <w:t>2</w:t>
      </w:r>
      <w:r w:rsidRPr="001F4DD0">
        <w:rPr>
          <w:b/>
        </w:rPr>
        <w:t xml:space="preserve">L2 </w:t>
      </w:r>
      <w:r w:rsidR="00E95B42" w:rsidRPr="001F4DD0">
        <w:t>and</w:t>
      </w:r>
      <w:r w:rsidR="00E95B42" w:rsidRPr="001F4DD0">
        <w:rPr>
          <w:b/>
        </w:rPr>
        <w:t xml:space="preserve"> H</w:t>
      </w:r>
      <w:r w:rsidR="00E95B42" w:rsidRPr="001F4DD0">
        <w:rPr>
          <w:b/>
          <w:vertAlign w:val="subscript"/>
        </w:rPr>
        <w:t>2</w:t>
      </w:r>
      <w:r w:rsidR="00E95B42" w:rsidRPr="001F4DD0">
        <w:rPr>
          <w:b/>
        </w:rPr>
        <w:t>L3</w:t>
      </w:r>
      <w:r w:rsidR="00E95B42" w:rsidRPr="001F4DD0">
        <w:t xml:space="preserve"> </w:t>
      </w:r>
    </w:p>
    <w:p w14:paraId="05581F59" w14:textId="224B1E52" w:rsidR="003361F2" w:rsidRPr="001F4DD0" w:rsidRDefault="003361F2" w:rsidP="00E730C8">
      <w:pPr>
        <w:pStyle w:val="RSCI02FigureSchemeChartwithtopbar"/>
        <w:jc w:val="center"/>
      </w:pPr>
      <w:r w:rsidRPr="001F4DD0">
        <w:rPr>
          <w:noProof/>
          <w:lang w:eastAsia="en-GB"/>
        </w:rPr>
        <w:drawing>
          <wp:inline distT="0" distB="0" distL="0" distR="0" wp14:anchorId="3EE73CCC" wp14:editId="253F1E66">
            <wp:extent cx="3020693" cy="70485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9907" cy="7070000"/>
                    </a:xfrm>
                    <a:prstGeom prst="rect">
                      <a:avLst/>
                    </a:prstGeom>
                    <a:noFill/>
                    <a:ln>
                      <a:noFill/>
                    </a:ln>
                  </pic:spPr>
                </pic:pic>
              </a:graphicData>
            </a:graphic>
          </wp:inline>
        </w:drawing>
      </w:r>
    </w:p>
    <w:p w14:paraId="065EFE8D" w14:textId="06830BAE" w:rsidR="003361F2" w:rsidRPr="001F4DD0" w:rsidRDefault="003361F2" w:rsidP="003361F2">
      <w:pPr>
        <w:pStyle w:val="RSCI01FigureSchemeChartwithbottombar"/>
      </w:pPr>
      <w:r w:rsidRPr="001F4DD0">
        <w:rPr>
          <w:b/>
          <w:lang w:val="en-US"/>
        </w:rPr>
        <w:t>Figure 1</w:t>
      </w:r>
      <w:r w:rsidRPr="001F4DD0">
        <w:rPr>
          <w:lang w:val="en-US"/>
        </w:rPr>
        <w:t xml:space="preserve"> Structure of </w:t>
      </w:r>
      <w:r w:rsidRPr="001F4DD0">
        <w:rPr>
          <w:b/>
          <w:lang w:val="en-US"/>
        </w:rPr>
        <w:t>L1</w:t>
      </w:r>
      <w:r w:rsidRPr="001F4DD0">
        <w:rPr>
          <w:lang w:val="en-US"/>
        </w:rPr>
        <w:t xml:space="preserve">, </w:t>
      </w:r>
      <w:r w:rsidRPr="001F4DD0">
        <w:rPr>
          <w:b/>
          <w:lang w:val="en-US"/>
        </w:rPr>
        <w:t>H</w:t>
      </w:r>
      <w:r w:rsidRPr="001F4DD0">
        <w:rPr>
          <w:b/>
          <w:vertAlign w:val="subscript"/>
          <w:lang w:val="en-US"/>
        </w:rPr>
        <w:t>2</w:t>
      </w:r>
      <w:r w:rsidRPr="001F4DD0">
        <w:rPr>
          <w:b/>
          <w:lang w:val="en-US"/>
        </w:rPr>
        <w:t xml:space="preserve">L2 </w:t>
      </w:r>
      <w:r w:rsidRPr="001F4DD0">
        <w:t xml:space="preserve">and </w:t>
      </w:r>
      <w:r w:rsidRPr="001F4DD0">
        <w:rPr>
          <w:b/>
        </w:rPr>
        <w:t>H</w:t>
      </w:r>
      <w:r w:rsidRPr="001F4DD0">
        <w:rPr>
          <w:b/>
          <w:vertAlign w:val="subscript"/>
        </w:rPr>
        <w:t>2</w:t>
      </w:r>
      <w:r w:rsidRPr="001F4DD0">
        <w:rPr>
          <w:b/>
        </w:rPr>
        <w:t>L3</w:t>
      </w:r>
      <w:r w:rsidRPr="001F4DD0">
        <w:t>, (A, B and C, respectively),</w:t>
      </w:r>
      <w:r w:rsidRPr="001F4DD0">
        <w:rPr>
          <w:b/>
        </w:rPr>
        <w:t xml:space="preserve"> </w:t>
      </w:r>
      <w:r w:rsidRPr="001F4DD0">
        <w:t>with heteroatom labelling scheme. Lattice solvent molecules, and hydrogen atoms not involved in hydrogen bonding are omitted for clarity.</w:t>
      </w:r>
    </w:p>
    <w:p w14:paraId="4550883B" w14:textId="4B60BF90" w:rsidR="00696448" w:rsidRPr="001F4DD0" w:rsidRDefault="00696448" w:rsidP="003361F2">
      <w:pPr>
        <w:pStyle w:val="RSCB02ArticleText"/>
        <w:rPr>
          <w:vertAlign w:val="superscript"/>
        </w:rPr>
      </w:pPr>
      <w:r w:rsidRPr="001F4DD0">
        <w:t xml:space="preserve">display concentration-dependent </w:t>
      </w:r>
      <w:r w:rsidR="00E95B42" w:rsidRPr="001F4DD0">
        <w:t xml:space="preserve">absorption and </w:t>
      </w:r>
      <w:r w:rsidRPr="001F4DD0">
        <w:t xml:space="preserve">emission </w:t>
      </w:r>
      <w:r w:rsidR="00273594" w:rsidRPr="001F4DD0">
        <w:t>profiles</w:t>
      </w:r>
      <w:r w:rsidR="00653B12" w:rsidRPr="001F4DD0">
        <w:t xml:space="preserve"> (Supporting Information, Figures S13 and S14)</w:t>
      </w:r>
      <w:r w:rsidR="00E95B42" w:rsidRPr="001F4DD0">
        <w:t>.</w:t>
      </w:r>
      <w:r w:rsidRPr="001F4DD0">
        <w:t xml:space="preserve"> </w:t>
      </w:r>
      <w:r w:rsidR="00E95B42" w:rsidRPr="001F4DD0">
        <w:t>C</w:t>
      </w:r>
      <w:r w:rsidRPr="001F4DD0">
        <w:t xml:space="preserve">omparisons can be drawn to the recent report by Tang </w:t>
      </w:r>
      <w:r w:rsidRPr="001F4DD0">
        <w:rPr>
          <w:i/>
        </w:rPr>
        <w:t>et al.</w:t>
      </w:r>
      <w:r w:rsidRPr="001F4DD0">
        <w:t>, who reported aggregation-induced emission for a series of N-</w:t>
      </w:r>
      <w:r w:rsidRPr="001F4DD0">
        <w:lastRenderedPageBreak/>
        <w:t>carboxyphenyl TPP analogues</w:t>
      </w:r>
      <w:r w:rsidR="00653B12" w:rsidRPr="001F4DD0">
        <w:t>, which showed the degree to which TPP emission can be modulated by solution aggregation processes</w:t>
      </w:r>
      <w:r w:rsidRPr="001F4DD0">
        <w:t>.</w:t>
      </w:r>
      <w:r w:rsidRPr="001F4DD0">
        <w:rPr>
          <w:vertAlign w:val="superscript"/>
        </w:rPr>
        <w:t>10</w:t>
      </w:r>
      <w:r w:rsidRPr="001F4DD0">
        <w:t xml:space="preserve"> </w:t>
      </w:r>
      <w:r w:rsidR="00E95B42" w:rsidRPr="001F4DD0">
        <w:t>For</w:t>
      </w:r>
      <w:r w:rsidRPr="001F4DD0">
        <w:t xml:space="preserve"> </w:t>
      </w:r>
      <w:r w:rsidRPr="001F4DD0">
        <w:rPr>
          <w:b/>
        </w:rPr>
        <w:t>H</w:t>
      </w:r>
      <w:r w:rsidRPr="001F4DD0">
        <w:rPr>
          <w:b/>
          <w:vertAlign w:val="subscript"/>
        </w:rPr>
        <w:t>2</w:t>
      </w:r>
      <w:r w:rsidRPr="001F4DD0">
        <w:rPr>
          <w:b/>
        </w:rPr>
        <w:t>L2</w:t>
      </w:r>
      <w:r w:rsidR="00E95B42" w:rsidRPr="001F4DD0">
        <w:t xml:space="preserve"> and </w:t>
      </w:r>
      <w:r w:rsidR="00E95B42" w:rsidRPr="001F4DD0">
        <w:rPr>
          <w:b/>
        </w:rPr>
        <w:t>H</w:t>
      </w:r>
      <w:r w:rsidR="00E95B42" w:rsidRPr="001F4DD0">
        <w:rPr>
          <w:b/>
          <w:vertAlign w:val="subscript"/>
        </w:rPr>
        <w:t>2</w:t>
      </w:r>
      <w:r w:rsidR="00E95B42" w:rsidRPr="001F4DD0">
        <w:rPr>
          <w:b/>
        </w:rPr>
        <w:t>L3</w:t>
      </w:r>
      <w:r w:rsidR="00E95B42" w:rsidRPr="001F4DD0">
        <w:t>,</w:t>
      </w:r>
      <w:r w:rsidR="00E95B42" w:rsidRPr="001F4DD0">
        <w:rPr>
          <w:b/>
        </w:rPr>
        <w:t xml:space="preserve"> </w:t>
      </w:r>
      <w:r w:rsidRPr="001F4DD0">
        <w:t>both the pure high-concentration (&gt; 5 µM</w:t>
      </w:r>
      <w:r w:rsidR="00E95B42" w:rsidRPr="001F4DD0">
        <w:t xml:space="preserve"> and &gt; 7 </w:t>
      </w:r>
      <w:r w:rsidR="00E95B42" w:rsidRPr="001F4DD0">
        <w:rPr>
          <w:rFonts w:cstheme="minorHAnsi"/>
        </w:rPr>
        <w:t>µ</w:t>
      </w:r>
      <w:r w:rsidR="00E95B42" w:rsidRPr="001F4DD0">
        <w:t>M, respectively</w:t>
      </w:r>
      <w:r w:rsidRPr="001F4DD0">
        <w:t>) and low-concentration (&lt; 0.9 µM</w:t>
      </w:r>
      <w:r w:rsidR="00E95B42" w:rsidRPr="001F4DD0">
        <w:t xml:space="preserve"> and &lt; 1.7 </w:t>
      </w:r>
      <w:r w:rsidR="00E95B42" w:rsidRPr="001F4DD0">
        <w:rPr>
          <w:rFonts w:cstheme="minorHAnsi"/>
        </w:rPr>
        <w:t>µ</w:t>
      </w:r>
      <w:r w:rsidR="00E95B42" w:rsidRPr="001F4DD0">
        <w:t>M, respectively</w:t>
      </w:r>
      <w:r w:rsidRPr="001F4DD0">
        <w:t>) forms exhibited prominent photoluminescence, but with a bathochromic shift in both absorption and emission maxima at the higher concentration.</w:t>
      </w:r>
      <w:r w:rsidR="00E95B42" w:rsidRPr="001F4DD0">
        <w:t xml:space="preserve"> Nonetheless, all three</w:t>
      </w:r>
      <w:r w:rsidRPr="001F4DD0">
        <w:t xml:space="preserve"> compounds exhibited moderate to high photoluminescence quantum yields</w:t>
      </w:r>
      <w:r w:rsidR="0022761D" w:rsidRPr="001F4DD0">
        <w:t xml:space="preserve"> (Table 1), consistent with the intense luminescence which has been previously reported for TPP compounds</w:t>
      </w:r>
      <w:r w:rsidRPr="001F4DD0">
        <w:t>.</w:t>
      </w:r>
      <w:r w:rsidR="0022761D" w:rsidRPr="001F4DD0">
        <w:rPr>
          <w:vertAlign w:val="superscript"/>
        </w:rPr>
        <w:t>7</w:t>
      </w:r>
    </w:p>
    <w:p w14:paraId="0C50A6EA" w14:textId="77777777" w:rsidR="003361F2" w:rsidRPr="001F4DD0" w:rsidRDefault="003361F2" w:rsidP="003361F2">
      <w:pPr>
        <w:pStyle w:val="RSCB02ArticleText"/>
        <w:rPr>
          <w:vertAlign w:val="superscript"/>
        </w:rPr>
      </w:pPr>
    </w:p>
    <w:p w14:paraId="5D8912E8" w14:textId="557B8161" w:rsidR="003361F2" w:rsidRPr="001F4DD0" w:rsidRDefault="003361F2" w:rsidP="003361F2">
      <w:pPr>
        <w:pStyle w:val="RSCI02FigureSchemeChartwithtopbar"/>
      </w:pPr>
      <w:r w:rsidRPr="001F4DD0">
        <w:rPr>
          <w:noProof/>
          <w:lang w:eastAsia="en-GB"/>
        </w:rPr>
        <w:drawing>
          <wp:inline distT="0" distB="0" distL="0" distR="0" wp14:anchorId="2A2A94CC" wp14:editId="2AED9A29">
            <wp:extent cx="3180341" cy="608274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7792" cy="6096998"/>
                    </a:xfrm>
                    <a:prstGeom prst="rect">
                      <a:avLst/>
                    </a:prstGeom>
                    <a:noFill/>
                    <a:ln>
                      <a:noFill/>
                    </a:ln>
                  </pic:spPr>
                </pic:pic>
              </a:graphicData>
            </a:graphic>
          </wp:inline>
        </w:drawing>
      </w:r>
    </w:p>
    <w:p w14:paraId="19E4B5C4" w14:textId="25221434" w:rsidR="00696448" w:rsidRPr="001F4DD0" w:rsidRDefault="003361F2" w:rsidP="003361F2">
      <w:pPr>
        <w:pStyle w:val="RSCI01FigureSchemeChartwithbottombar"/>
      </w:pPr>
      <w:r w:rsidRPr="001F4DD0">
        <w:rPr>
          <w:b/>
        </w:rPr>
        <w:t xml:space="preserve">Figure 2 </w:t>
      </w:r>
      <w:r w:rsidRPr="001F4DD0">
        <w:t xml:space="preserve">Absorption (black) and emission (red, </w:t>
      </w:r>
      <w:r w:rsidRPr="001F4DD0">
        <w:rPr>
          <w:rFonts w:ascii="Times New Roman" w:hAnsi="Times New Roman" w:cs="Times New Roman"/>
        </w:rPr>
        <w:t>λ</w:t>
      </w:r>
      <w:r w:rsidRPr="001F4DD0">
        <w:rPr>
          <w:vertAlign w:val="subscript"/>
        </w:rPr>
        <w:t>ex</w:t>
      </w:r>
      <w:r w:rsidRPr="001F4DD0">
        <w:t xml:space="preserve"> = 366 nm) for compounds </w:t>
      </w:r>
      <w:r w:rsidRPr="001F4DD0">
        <w:rPr>
          <w:b/>
        </w:rPr>
        <w:t>L1</w:t>
      </w:r>
      <w:r w:rsidRPr="001F4DD0">
        <w:t xml:space="preserve"> (top), </w:t>
      </w:r>
      <w:r w:rsidRPr="001F4DD0">
        <w:rPr>
          <w:b/>
        </w:rPr>
        <w:t>H</w:t>
      </w:r>
      <w:r w:rsidRPr="001F4DD0">
        <w:rPr>
          <w:b/>
          <w:vertAlign w:val="subscript"/>
        </w:rPr>
        <w:t>2</w:t>
      </w:r>
      <w:r w:rsidRPr="001F4DD0">
        <w:rPr>
          <w:b/>
        </w:rPr>
        <w:t>L2</w:t>
      </w:r>
      <w:r w:rsidRPr="001F4DD0">
        <w:rPr>
          <w:b/>
          <w:vertAlign w:val="subscript"/>
        </w:rPr>
        <w:t xml:space="preserve"> </w:t>
      </w:r>
      <w:r w:rsidRPr="001F4DD0">
        <w:t xml:space="preserve">(middle) and </w:t>
      </w:r>
      <w:r w:rsidRPr="001F4DD0">
        <w:rPr>
          <w:b/>
        </w:rPr>
        <w:t>H</w:t>
      </w:r>
      <w:r w:rsidRPr="001F4DD0">
        <w:rPr>
          <w:b/>
          <w:vertAlign w:val="subscript"/>
        </w:rPr>
        <w:t>2</w:t>
      </w:r>
      <w:r w:rsidRPr="001F4DD0">
        <w:rPr>
          <w:b/>
        </w:rPr>
        <w:t xml:space="preserve">L3 </w:t>
      </w:r>
      <w:r w:rsidRPr="001F4DD0">
        <w:t>(bottom). In the latter two cases, the photophysical properties of the high-concentration forms are shown as solid lines, and the low-concentration forms are shown as dashed lines.</w:t>
      </w:r>
      <w:r w:rsidR="00273594" w:rsidRPr="001F4DD0">
        <w:t xml:space="preserve"> Plots showing the stepwise conversion from the high to low concentration forms is given as Supporting Information, Figures S13 and S14.</w:t>
      </w:r>
    </w:p>
    <w:p w14:paraId="50E835C6" w14:textId="355B6640" w:rsidR="00125744" w:rsidRPr="001F4DD0" w:rsidRDefault="00125744" w:rsidP="00125744">
      <w:pPr>
        <w:pStyle w:val="RSCT01TableTitlewithtopbar"/>
      </w:pPr>
      <w:r w:rsidRPr="001F4DD0">
        <w:rPr>
          <w:b/>
        </w:rPr>
        <w:t>Table 1</w:t>
      </w:r>
      <w:r w:rsidRPr="001F4DD0">
        <w:t xml:space="preserve"> Summary of photophysical parameters for </w:t>
      </w:r>
      <w:r w:rsidRPr="001F4DD0">
        <w:rPr>
          <w:b/>
        </w:rPr>
        <w:t>L1</w:t>
      </w:r>
      <w:r w:rsidRPr="001F4DD0">
        <w:t xml:space="preserve">, </w:t>
      </w:r>
      <w:r w:rsidRPr="001F4DD0">
        <w:rPr>
          <w:b/>
        </w:rPr>
        <w:t>H</w:t>
      </w:r>
      <w:r w:rsidRPr="001F4DD0">
        <w:rPr>
          <w:b/>
          <w:vertAlign w:val="subscript"/>
        </w:rPr>
        <w:t>2</w:t>
      </w:r>
      <w:r w:rsidRPr="001F4DD0">
        <w:rPr>
          <w:b/>
        </w:rPr>
        <w:t>L2</w:t>
      </w:r>
      <w:r w:rsidRPr="001F4DD0">
        <w:rPr>
          <w:b/>
          <w:vertAlign w:val="subscript"/>
        </w:rPr>
        <w:t xml:space="preserve"> </w:t>
      </w:r>
      <w:r w:rsidRPr="001F4DD0">
        <w:t xml:space="preserve">and </w:t>
      </w:r>
      <w:r w:rsidRPr="001F4DD0">
        <w:rPr>
          <w:b/>
        </w:rPr>
        <w:t>H</w:t>
      </w:r>
      <w:r w:rsidRPr="001F4DD0">
        <w:rPr>
          <w:b/>
          <w:vertAlign w:val="subscript"/>
        </w:rPr>
        <w:t>2</w:t>
      </w:r>
      <w:r w:rsidRPr="001F4DD0">
        <w:rPr>
          <w:b/>
        </w:rPr>
        <w:t>L3</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969"/>
        <w:gridCol w:w="456"/>
        <w:gridCol w:w="987"/>
      </w:tblGrid>
      <w:tr w:rsidR="0022761D" w:rsidRPr="001F4DD0" w14:paraId="007778D2" w14:textId="77777777" w:rsidTr="00273594">
        <w:tc>
          <w:tcPr>
            <w:tcW w:w="1555" w:type="dxa"/>
            <w:tcBorders>
              <w:top w:val="single" w:sz="4" w:space="0" w:color="auto"/>
              <w:left w:val="single" w:sz="4" w:space="0" w:color="auto"/>
              <w:bottom w:val="single" w:sz="4" w:space="0" w:color="auto"/>
              <w:right w:val="single" w:sz="4" w:space="0" w:color="auto"/>
            </w:tcBorders>
            <w:vAlign w:val="center"/>
            <w:hideMark/>
          </w:tcPr>
          <w:p w14:paraId="64C59B4C"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Compound (solvent)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E3A6AD" w14:textId="6D015318" w:rsidR="0022761D" w:rsidRPr="001F4DD0" w:rsidRDefault="0022761D" w:rsidP="0022761D">
            <w:pPr>
              <w:pStyle w:val="RSCB06BHeadingSub-Section"/>
              <w:spacing w:after="0"/>
              <w:contextualSpacing/>
              <w:rPr>
                <w:b w:val="0"/>
                <w:sz w:val="14"/>
                <w:lang w:val="en-AU"/>
              </w:rPr>
            </w:pPr>
            <w:r w:rsidRPr="001F4DD0">
              <w:rPr>
                <w:b w:val="0"/>
                <w:sz w:val="14"/>
                <w:lang w:val="en-AU"/>
              </w:rPr>
              <w:t>λ</w:t>
            </w:r>
            <w:r w:rsidRPr="001F4DD0">
              <w:rPr>
                <w:b w:val="0"/>
                <w:sz w:val="14"/>
                <w:vertAlign w:val="subscript"/>
                <w:lang w:val="en-AU"/>
              </w:rPr>
              <w:t xml:space="preserve">max </w:t>
            </w:r>
            <w:r w:rsidRPr="001F4DD0">
              <w:rPr>
                <w:b w:val="0"/>
                <w:sz w:val="14"/>
                <w:lang w:val="en-AU"/>
              </w:rPr>
              <w:t>/nm (ε /10</w:t>
            </w:r>
            <w:r w:rsidRPr="001F4DD0">
              <w:rPr>
                <w:b w:val="0"/>
                <w:sz w:val="14"/>
                <w:vertAlign w:val="superscript"/>
                <w:lang w:val="en-AU"/>
              </w:rPr>
              <w:t>3</w:t>
            </w:r>
            <w:r w:rsidRPr="001F4DD0">
              <w:rPr>
                <w:b w:val="0"/>
                <w:sz w:val="14"/>
                <w:lang w:val="en-AU"/>
              </w:rPr>
              <w:t xml:space="preserve"> L·mol</w:t>
            </w:r>
            <w:r w:rsidRPr="001F4DD0">
              <w:rPr>
                <w:b w:val="0"/>
                <w:sz w:val="14"/>
                <w:vertAlign w:val="superscript"/>
                <w:lang w:val="en-AU"/>
              </w:rPr>
              <w:noBreakHyphen/>
              <w:t>1</w:t>
            </w:r>
            <w:r w:rsidRPr="001F4DD0">
              <w:rPr>
                <w:b w:val="0"/>
                <w:sz w:val="14"/>
                <w:lang w:val="en-AU"/>
              </w:rPr>
              <w:t>·cm</w:t>
            </w:r>
            <w:r w:rsidRPr="001F4DD0">
              <w:rPr>
                <w:b w:val="0"/>
                <w:sz w:val="14"/>
                <w:vertAlign w:val="superscript"/>
                <w:lang w:val="en-AU"/>
              </w:rPr>
              <w:t>-1</w:t>
            </w:r>
            <w:r w:rsidRPr="001F4DD0">
              <w:rPr>
                <w:b w:val="0"/>
                <w:sz w:val="14"/>
                <w:lang w:val="en-A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77DFC30"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λ</w:t>
            </w:r>
            <w:r w:rsidRPr="001F4DD0">
              <w:rPr>
                <w:b w:val="0"/>
                <w:sz w:val="14"/>
                <w:vertAlign w:val="subscript"/>
                <w:lang w:val="en-AU"/>
              </w:rPr>
              <w:t xml:space="preserve">em </w:t>
            </w:r>
            <w:r w:rsidRPr="001F4DD0">
              <w:rPr>
                <w:b w:val="0"/>
                <w:sz w:val="14"/>
                <w:lang w:val="en-AU"/>
              </w:rPr>
              <w:t>/nm</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407FE5"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Φ</w:t>
            </w:r>
            <w:r w:rsidRPr="001F4DD0">
              <w:rPr>
                <w:b w:val="0"/>
                <w:sz w:val="14"/>
                <w:vertAlign w:val="subscript"/>
                <w:lang w:val="en-AU"/>
              </w:rPr>
              <w:t>PL</w:t>
            </w:r>
            <w:r w:rsidRPr="001F4DD0">
              <w:rPr>
                <w:b w:val="0"/>
                <w:sz w:val="14"/>
                <w:lang w:val="en-AU"/>
              </w:rPr>
              <w:t xml:space="preserve"> (± 10%)</w:t>
            </w:r>
          </w:p>
        </w:tc>
      </w:tr>
      <w:tr w:rsidR="0022761D" w:rsidRPr="001F4DD0" w14:paraId="1FAC02C3" w14:textId="77777777" w:rsidTr="00273594">
        <w:tc>
          <w:tcPr>
            <w:tcW w:w="1555" w:type="dxa"/>
            <w:tcBorders>
              <w:top w:val="single" w:sz="4" w:space="0" w:color="auto"/>
              <w:left w:val="single" w:sz="4" w:space="0" w:color="auto"/>
              <w:bottom w:val="nil"/>
              <w:right w:val="single" w:sz="4" w:space="0" w:color="auto"/>
            </w:tcBorders>
            <w:vAlign w:val="center"/>
            <w:hideMark/>
          </w:tcPr>
          <w:p w14:paraId="0262B0E3"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L1 (CHCl</w:t>
            </w:r>
            <w:r w:rsidRPr="001F4DD0">
              <w:rPr>
                <w:b w:val="0"/>
                <w:sz w:val="14"/>
                <w:vertAlign w:val="subscript"/>
                <w:lang w:val="en-AU"/>
              </w:rPr>
              <w:t>3</w:t>
            </w:r>
            <w:r w:rsidRPr="001F4DD0">
              <w:rPr>
                <w:b w:val="0"/>
                <w:sz w:val="14"/>
                <w:lang w:val="en-AU"/>
              </w:rPr>
              <w:t>)</w:t>
            </w:r>
          </w:p>
        </w:tc>
        <w:tc>
          <w:tcPr>
            <w:tcW w:w="1984" w:type="dxa"/>
            <w:tcBorders>
              <w:top w:val="single" w:sz="4" w:space="0" w:color="auto"/>
              <w:left w:val="single" w:sz="4" w:space="0" w:color="auto"/>
              <w:bottom w:val="nil"/>
              <w:right w:val="single" w:sz="4" w:space="0" w:color="auto"/>
            </w:tcBorders>
            <w:vAlign w:val="center"/>
            <w:hideMark/>
          </w:tcPr>
          <w:p w14:paraId="1F28A878"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407 (44 ± 2)</w:t>
            </w:r>
          </w:p>
        </w:tc>
        <w:tc>
          <w:tcPr>
            <w:tcW w:w="425" w:type="dxa"/>
            <w:tcBorders>
              <w:top w:val="single" w:sz="4" w:space="0" w:color="auto"/>
              <w:left w:val="single" w:sz="4" w:space="0" w:color="auto"/>
              <w:bottom w:val="nil"/>
              <w:right w:val="single" w:sz="4" w:space="0" w:color="auto"/>
            </w:tcBorders>
            <w:vAlign w:val="center"/>
            <w:hideMark/>
          </w:tcPr>
          <w:p w14:paraId="75D3C4D0"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459</w:t>
            </w:r>
          </w:p>
        </w:tc>
        <w:tc>
          <w:tcPr>
            <w:tcW w:w="993" w:type="dxa"/>
            <w:tcBorders>
              <w:top w:val="single" w:sz="4" w:space="0" w:color="auto"/>
              <w:left w:val="single" w:sz="4" w:space="0" w:color="auto"/>
              <w:bottom w:val="nil"/>
              <w:right w:val="single" w:sz="4" w:space="0" w:color="auto"/>
            </w:tcBorders>
            <w:vAlign w:val="center"/>
            <w:hideMark/>
          </w:tcPr>
          <w:p w14:paraId="5832607A"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0.55</w:t>
            </w:r>
          </w:p>
        </w:tc>
      </w:tr>
      <w:tr w:rsidR="0022761D" w:rsidRPr="001F4DD0" w14:paraId="25402837" w14:textId="77777777" w:rsidTr="00273594">
        <w:tc>
          <w:tcPr>
            <w:tcW w:w="1555" w:type="dxa"/>
            <w:tcBorders>
              <w:top w:val="nil"/>
              <w:left w:val="single" w:sz="4" w:space="0" w:color="auto"/>
              <w:bottom w:val="nil"/>
              <w:right w:val="single" w:sz="4" w:space="0" w:color="auto"/>
            </w:tcBorders>
            <w:vAlign w:val="center"/>
            <w:hideMark/>
          </w:tcPr>
          <w:p w14:paraId="24F2AF89" w14:textId="7B889158" w:rsidR="0022761D" w:rsidRPr="001F4DD0" w:rsidRDefault="0022761D" w:rsidP="0022761D">
            <w:pPr>
              <w:pStyle w:val="RSCB06BHeadingSub-Section"/>
              <w:spacing w:after="0"/>
              <w:contextualSpacing/>
              <w:rPr>
                <w:b w:val="0"/>
                <w:sz w:val="14"/>
                <w:lang w:val="en-AU"/>
              </w:rPr>
            </w:pPr>
            <w:r w:rsidRPr="001F4DD0">
              <w:rPr>
                <w:b w:val="0"/>
                <w:sz w:val="14"/>
                <w:lang w:val="en-AU"/>
              </w:rPr>
              <w:t>H</w:t>
            </w:r>
            <w:r w:rsidRPr="001F4DD0">
              <w:rPr>
                <w:b w:val="0"/>
                <w:sz w:val="14"/>
                <w:vertAlign w:val="subscript"/>
                <w:lang w:val="en-AU"/>
              </w:rPr>
              <w:t>2</w:t>
            </w:r>
            <w:r w:rsidRPr="001F4DD0">
              <w:rPr>
                <w:b w:val="0"/>
                <w:sz w:val="14"/>
                <w:lang w:val="en-AU"/>
              </w:rPr>
              <w:t xml:space="preserve">L2 (DMSO, &gt; 5 </w:t>
            </w:r>
            <w:r w:rsidRPr="001F4DD0">
              <w:rPr>
                <w:b w:val="0"/>
                <w:sz w:val="14"/>
              </w:rPr>
              <w:t>µM</w:t>
            </w:r>
            <w:r w:rsidRPr="001F4DD0">
              <w:rPr>
                <w:b w:val="0"/>
                <w:sz w:val="14"/>
                <w:lang w:val="en-AU"/>
              </w:rPr>
              <w:t>)</w:t>
            </w:r>
          </w:p>
        </w:tc>
        <w:tc>
          <w:tcPr>
            <w:tcW w:w="1984" w:type="dxa"/>
            <w:tcBorders>
              <w:top w:val="nil"/>
              <w:left w:val="single" w:sz="4" w:space="0" w:color="auto"/>
              <w:bottom w:val="nil"/>
              <w:right w:val="single" w:sz="4" w:space="0" w:color="auto"/>
            </w:tcBorders>
            <w:vAlign w:val="center"/>
            <w:hideMark/>
          </w:tcPr>
          <w:p w14:paraId="0D44D332"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396 (47 ± 1)</w:t>
            </w:r>
          </w:p>
        </w:tc>
        <w:tc>
          <w:tcPr>
            <w:tcW w:w="425" w:type="dxa"/>
            <w:tcBorders>
              <w:top w:val="nil"/>
              <w:left w:val="single" w:sz="4" w:space="0" w:color="auto"/>
              <w:bottom w:val="nil"/>
              <w:right w:val="single" w:sz="4" w:space="0" w:color="auto"/>
            </w:tcBorders>
            <w:vAlign w:val="center"/>
            <w:hideMark/>
          </w:tcPr>
          <w:p w14:paraId="2466D006"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481</w:t>
            </w:r>
          </w:p>
        </w:tc>
        <w:tc>
          <w:tcPr>
            <w:tcW w:w="993" w:type="dxa"/>
            <w:tcBorders>
              <w:top w:val="nil"/>
              <w:left w:val="single" w:sz="4" w:space="0" w:color="auto"/>
              <w:bottom w:val="nil"/>
              <w:right w:val="single" w:sz="4" w:space="0" w:color="auto"/>
            </w:tcBorders>
            <w:vAlign w:val="center"/>
            <w:hideMark/>
          </w:tcPr>
          <w:p w14:paraId="17474C20"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 xml:space="preserve">- </w:t>
            </w:r>
            <w:r w:rsidRPr="001F4DD0">
              <w:rPr>
                <w:b w:val="0"/>
                <w:sz w:val="14"/>
                <w:vertAlign w:val="superscript"/>
                <w:lang w:val="en-AU"/>
              </w:rPr>
              <w:t>(a)</w:t>
            </w:r>
          </w:p>
        </w:tc>
      </w:tr>
      <w:tr w:rsidR="0022761D" w:rsidRPr="001F4DD0" w14:paraId="712FE0D9" w14:textId="77777777" w:rsidTr="00273594">
        <w:tc>
          <w:tcPr>
            <w:tcW w:w="1555" w:type="dxa"/>
            <w:tcBorders>
              <w:top w:val="nil"/>
              <w:left w:val="single" w:sz="4" w:space="0" w:color="auto"/>
              <w:bottom w:val="nil"/>
              <w:right w:val="single" w:sz="4" w:space="0" w:color="auto"/>
            </w:tcBorders>
            <w:vAlign w:val="center"/>
            <w:hideMark/>
          </w:tcPr>
          <w:p w14:paraId="29538F7D" w14:textId="292DAAAD" w:rsidR="0022761D" w:rsidRPr="001F4DD0" w:rsidRDefault="0022761D" w:rsidP="0022761D">
            <w:pPr>
              <w:pStyle w:val="RSCB06BHeadingSub-Section"/>
              <w:spacing w:after="0"/>
              <w:contextualSpacing/>
              <w:rPr>
                <w:b w:val="0"/>
                <w:sz w:val="14"/>
                <w:lang w:val="en-AU"/>
              </w:rPr>
            </w:pPr>
            <w:r w:rsidRPr="001F4DD0">
              <w:rPr>
                <w:b w:val="0"/>
                <w:sz w:val="14"/>
                <w:lang w:val="en-AU"/>
              </w:rPr>
              <w:t>H</w:t>
            </w:r>
            <w:r w:rsidRPr="001F4DD0">
              <w:rPr>
                <w:b w:val="0"/>
                <w:sz w:val="14"/>
                <w:vertAlign w:val="subscript"/>
                <w:lang w:val="en-AU"/>
              </w:rPr>
              <w:t>2</w:t>
            </w:r>
            <w:r w:rsidRPr="001F4DD0">
              <w:rPr>
                <w:b w:val="0"/>
                <w:sz w:val="14"/>
                <w:lang w:val="en-AU"/>
              </w:rPr>
              <w:t xml:space="preserve">L2 (DMSO, &lt; 0.9 </w:t>
            </w:r>
            <w:r w:rsidRPr="001F4DD0">
              <w:rPr>
                <w:b w:val="0"/>
                <w:sz w:val="14"/>
              </w:rPr>
              <w:t>µM</w:t>
            </w:r>
            <w:r w:rsidRPr="001F4DD0">
              <w:rPr>
                <w:b w:val="0"/>
                <w:sz w:val="14"/>
                <w:lang w:val="en-AU"/>
              </w:rPr>
              <w:t>)</w:t>
            </w:r>
          </w:p>
        </w:tc>
        <w:tc>
          <w:tcPr>
            <w:tcW w:w="1984" w:type="dxa"/>
            <w:tcBorders>
              <w:top w:val="nil"/>
              <w:left w:val="single" w:sz="4" w:space="0" w:color="auto"/>
              <w:bottom w:val="nil"/>
              <w:right w:val="single" w:sz="4" w:space="0" w:color="auto"/>
            </w:tcBorders>
            <w:vAlign w:val="center"/>
            <w:hideMark/>
          </w:tcPr>
          <w:p w14:paraId="05B46928"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369 (43 ± 6)</w:t>
            </w:r>
          </w:p>
        </w:tc>
        <w:tc>
          <w:tcPr>
            <w:tcW w:w="425" w:type="dxa"/>
            <w:tcBorders>
              <w:top w:val="nil"/>
              <w:left w:val="single" w:sz="4" w:space="0" w:color="auto"/>
              <w:bottom w:val="nil"/>
              <w:right w:val="single" w:sz="4" w:space="0" w:color="auto"/>
            </w:tcBorders>
            <w:vAlign w:val="center"/>
            <w:hideMark/>
          </w:tcPr>
          <w:p w14:paraId="7532E697"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431</w:t>
            </w:r>
          </w:p>
        </w:tc>
        <w:tc>
          <w:tcPr>
            <w:tcW w:w="993" w:type="dxa"/>
            <w:tcBorders>
              <w:top w:val="nil"/>
              <w:left w:val="single" w:sz="4" w:space="0" w:color="auto"/>
              <w:bottom w:val="nil"/>
              <w:right w:val="single" w:sz="4" w:space="0" w:color="auto"/>
            </w:tcBorders>
            <w:vAlign w:val="center"/>
            <w:hideMark/>
          </w:tcPr>
          <w:p w14:paraId="3CC51E80" w14:textId="77777777" w:rsidR="0022761D" w:rsidRPr="001F4DD0" w:rsidRDefault="0022761D" w:rsidP="0022761D">
            <w:pPr>
              <w:pStyle w:val="RSCB06BHeadingSub-Section"/>
              <w:spacing w:after="0"/>
              <w:contextualSpacing/>
              <w:rPr>
                <w:b w:val="0"/>
                <w:sz w:val="14"/>
                <w:lang w:val="en-AU"/>
              </w:rPr>
            </w:pPr>
            <w:r w:rsidRPr="001F4DD0">
              <w:rPr>
                <w:b w:val="0"/>
                <w:sz w:val="14"/>
                <w:lang w:val="en-AU"/>
              </w:rPr>
              <w:t>0.45</w:t>
            </w:r>
          </w:p>
        </w:tc>
      </w:tr>
      <w:tr w:rsidR="0022761D" w:rsidRPr="001F4DD0" w14:paraId="1CBDE83C" w14:textId="77777777" w:rsidTr="00273594">
        <w:tc>
          <w:tcPr>
            <w:tcW w:w="1555" w:type="dxa"/>
            <w:tcBorders>
              <w:top w:val="nil"/>
              <w:left w:val="single" w:sz="4" w:space="0" w:color="auto"/>
              <w:bottom w:val="nil"/>
              <w:right w:val="single" w:sz="4" w:space="0" w:color="auto"/>
            </w:tcBorders>
            <w:vAlign w:val="center"/>
          </w:tcPr>
          <w:p w14:paraId="612FA069" w14:textId="66F57BEB" w:rsidR="0022761D" w:rsidRPr="001F4DD0" w:rsidRDefault="0022761D" w:rsidP="0022761D">
            <w:pPr>
              <w:pStyle w:val="RSCB06BHeadingSub-Section"/>
              <w:spacing w:after="0"/>
              <w:contextualSpacing/>
              <w:rPr>
                <w:b w:val="0"/>
                <w:sz w:val="14"/>
                <w:lang w:val="en-AU"/>
              </w:rPr>
            </w:pPr>
            <w:r w:rsidRPr="001F4DD0">
              <w:rPr>
                <w:b w:val="0"/>
                <w:sz w:val="14"/>
                <w:lang w:val="en-AU"/>
              </w:rPr>
              <w:t>H</w:t>
            </w:r>
            <w:r w:rsidRPr="001F4DD0">
              <w:rPr>
                <w:b w:val="0"/>
                <w:sz w:val="14"/>
                <w:vertAlign w:val="subscript"/>
                <w:lang w:val="en-AU"/>
              </w:rPr>
              <w:t>2</w:t>
            </w:r>
            <w:r w:rsidRPr="001F4DD0">
              <w:rPr>
                <w:b w:val="0"/>
                <w:sz w:val="14"/>
                <w:lang w:val="en-AU"/>
              </w:rPr>
              <w:t xml:space="preserve">L3 (DMSO, &gt; 7 </w:t>
            </w:r>
            <w:r w:rsidRPr="001F4DD0">
              <w:rPr>
                <w:b w:val="0"/>
                <w:sz w:val="14"/>
              </w:rPr>
              <w:t>µM</w:t>
            </w:r>
            <w:r w:rsidRPr="001F4DD0">
              <w:rPr>
                <w:b w:val="0"/>
                <w:sz w:val="14"/>
                <w:lang w:val="en-AU"/>
              </w:rPr>
              <w:t>)</w:t>
            </w:r>
          </w:p>
        </w:tc>
        <w:tc>
          <w:tcPr>
            <w:tcW w:w="1984" w:type="dxa"/>
            <w:tcBorders>
              <w:top w:val="nil"/>
              <w:left w:val="single" w:sz="4" w:space="0" w:color="auto"/>
              <w:bottom w:val="nil"/>
              <w:right w:val="single" w:sz="4" w:space="0" w:color="auto"/>
            </w:tcBorders>
            <w:vAlign w:val="center"/>
          </w:tcPr>
          <w:p w14:paraId="7B29C74A" w14:textId="62A4B26F" w:rsidR="0022761D" w:rsidRPr="001F4DD0" w:rsidRDefault="0022761D" w:rsidP="0022761D">
            <w:pPr>
              <w:pStyle w:val="RSCB06BHeadingSub-Section"/>
              <w:spacing w:after="0"/>
              <w:contextualSpacing/>
              <w:rPr>
                <w:b w:val="0"/>
                <w:sz w:val="14"/>
                <w:lang w:val="en-AU"/>
              </w:rPr>
            </w:pPr>
            <w:r w:rsidRPr="001F4DD0">
              <w:rPr>
                <w:b w:val="0"/>
                <w:sz w:val="14"/>
                <w:lang w:val="en-AU"/>
              </w:rPr>
              <w:t>393 (48 ± 2)</w:t>
            </w:r>
          </w:p>
        </w:tc>
        <w:tc>
          <w:tcPr>
            <w:tcW w:w="425" w:type="dxa"/>
            <w:tcBorders>
              <w:top w:val="nil"/>
              <w:left w:val="single" w:sz="4" w:space="0" w:color="auto"/>
              <w:bottom w:val="nil"/>
              <w:right w:val="single" w:sz="4" w:space="0" w:color="auto"/>
            </w:tcBorders>
            <w:vAlign w:val="center"/>
          </w:tcPr>
          <w:p w14:paraId="0CCF5859" w14:textId="215C3BB5" w:rsidR="0022761D" w:rsidRPr="001F4DD0" w:rsidRDefault="0022761D" w:rsidP="0022761D">
            <w:pPr>
              <w:pStyle w:val="RSCB06BHeadingSub-Section"/>
              <w:spacing w:after="0"/>
              <w:contextualSpacing/>
              <w:rPr>
                <w:b w:val="0"/>
                <w:sz w:val="14"/>
                <w:lang w:val="en-AU"/>
              </w:rPr>
            </w:pPr>
            <w:r w:rsidRPr="001F4DD0">
              <w:rPr>
                <w:b w:val="0"/>
                <w:sz w:val="14"/>
                <w:lang w:val="en-AU"/>
              </w:rPr>
              <w:t>479</w:t>
            </w:r>
          </w:p>
        </w:tc>
        <w:tc>
          <w:tcPr>
            <w:tcW w:w="993" w:type="dxa"/>
            <w:tcBorders>
              <w:top w:val="nil"/>
              <w:left w:val="single" w:sz="4" w:space="0" w:color="auto"/>
              <w:bottom w:val="nil"/>
              <w:right w:val="single" w:sz="4" w:space="0" w:color="auto"/>
            </w:tcBorders>
            <w:vAlign w:val="center"/>
          </w:tcPr>
          <w:p w14:paraId="097D088E" w14:textId="58B387B4" w:rsidR="0022761D" w:rsidRPr="001F4DD0" w:rsidRDefault="0022761D" w:rsidP="0022761D">
            <w:pPr>
              <w:pStyle w:val="RSCB06BHeadingSub-Section"/>
              <w:spacing w:after="0"/>
              <w:contextualSpacing/>
              <w:rPr>
                <w:b w:val="0"/>
                <w:sz w:val="14"/>
                <w:vertAlign w:val="superscript"/>
                <w:lang w:val="en-AU"/>
              </w:rPr>
            </w:pPr>
            <w:r w:rsidRPr="001F4DD0">
              <w:rPr>
                <w:b w:val="0"/>
                <w:sz w:val="14"/>
                <w:lang w:val="en-AU"/>
              </w:rPr>
              <w:t xml:space="preserve">- </w:t>
            </w:r>
            <w:r w:rsidRPr="001F4DD0">
              <w:rPr>
                <w:b w:val="0"/>
                <w:sz w:val="14"/>
                <w:vertAlign w:val="superscript"/>
                <w:lang w:val="en-AU"/>
              </w:rPr>
              <w:t>(a)</w:t>
            </w:r>
          </w:p>
        </w:tc>
      </w:tr>
      <w:tr w:rsidR="0022761D" w:rsidRPr="001F4DD0" w14:paraId="34BA111F" w14:textId="77777777" w:rsidTr="00273594">
        <w:tc>
          <w:tcPr>
            <w:tcW w:w="1555" w:type="dxa"/>
            <w:tcBorders>
              <w:top w:val="nil"/>
              <w:left w:val="single" w:sz="4" w:space="0" w:color="auto"/>
              <w:bottom w:val="single" w:sz="4" w:space="0" w:color="auto"/>
              <w:right w:val="single" w:sz="4" w:space="0" w:color="auto"/>
            </w:tcBorders>
            <w:vAlign w:val="center"/>
          </w:tcPr>
          <w:p w14:paraId="2B50911D" w14:textId="48302F2B" w:rsidR="0022761D" w:rsidRPr="001F4DD0" w:rsidRDefault="0022761D" w:rsidP="0022761D">
            <w:pPr>
              <w:pStyle w:val="RSCB06BHeadingSub-Section"/>
              <w:spacing w:after="0"/>
              <w:contextualSpacing/>
              <w:rPr>
                <w:b w:val="0"/>
                <w:sz w:val="14"/>
                <w:lang w:val="en-AU"/>
              </w:rPr>
            </w:pPr>
            <w:r w:rsidRPr="001F4DD0">
              <w:rPr>
                <w:b w:val="0"/>
                <w:sz w:val="14"/>
                <w:lang w:val="en-AU"/>
              </w:rPr>
              <w:t>H</w:t>
            </w:r>
            <w:r w:rsidRPr="001F4DD0">
              <w:rPr>
                <w:b w:val="0"/>
                <w:sz w:val="14"/>
                <w:vertAlign w:val="subscript"/>
                <w:lang w:val="en-AU"/>
              </w:rPr>
              <w:t>2</w:t>
            </w:r>
            <w:r w:rsidRPr="001F4DD0">
              <w:rPr>
                <w:b w:val="0"/>
                <w:sz w:val="14"/>
                <w:lang w:val="en-AU"/>
              </w:rPr>
              <w:t xml:space="preserve">L3 (DMSO, &lt; 1.7 </w:t>
            </w:r>
            <w:r w:rsidRPr="001F4DD0">
              <w:rPr>
                <w:b w:val="0"/>
                <w:sz w:val="14"/>
              </w:rPr>
              <w:t>µM)</w:t>
            </w:r>
          </w:p>
        </w:tc>
        <w:tc>
          <w:tcPr>
            <w:tcW w:w="1984" w:type="dxa"/>
            <w:tcBorders>
              <w:top w:val="nil"/>
              <w:left w:val="single" w:sz="4" w:space="0" w:color="auto"/>
              <w:bottom w:val="single" w:sz="4" w:space="0" w:color="auto"/>
              <w:right w:val="single" w:sz="4" w:space="0" w:color="auto"/>
            </w:tcBorders>
            <w:vAlign w:val="center"/>
          </w:tcPr>
          <w:p w14:paraId="4CDBCAEB" w14:textId="757E6BEC" w:rsidR="0022761D" w:rsidRPr="001F4DD0" w:rsidRDefault="0022761D" w:rsidP="0022761D">
            <w:pPr>
              <w:pStyle w:val="RSCB06BHeadingSub-Section"/>
              <w:spacing w:after="0"/>
              <w:contextualSpacing/>
              <w:rPr>
                <w:b w:val="0"/>
                <w:sz w:val="14"/>
                <w:lang w:val="en-AU"/>
              </w:rPr>
            </w:pPr>
            <w:r w:rsidRPr="001F4DD0">
              <w:rPr>
                <w:b w:val="0"/>
                <w:sz w:val="14"/>
                <w:lang w:val="en-AU"/>
              </w:rPr>
              <w:t>366 (34 ± 1)</w:t>
            </w:r>
          </w:p>
        </w:tc>
        <w:tc>
          <w:tcPr>
            <w:tcW w:w="425" w:type="dxa"/>
            <w:tcBorders>
              <w:top w:val="nil"/>
              <w:left w:val="single" w:sz="4" w:space="0" w:color="auto"/>
              <w:bottom w:val="single" w:sz="4" w:space="0" w:color="auto"/>
              <w:right w:val="single" w:sz="4" w:space="0" w:color="auto"/>
            </w:tcBorders>
            <w:vAlign w:val="center"/>
          </w:tcPr>
          <w:p w14:paraId="27047ADB" w14:textId="37B5EA83" w:rsidR="0022761D" w:rsidRPr="001F4DD0" w:rsidRDefault="00125744" w:rsidP="0022761D">
            <w:pPr>
              <w:pStyle w:val="RSCB06BHeadingSub-Section"/>
              <w:spacing w:after="0"/>
              <w:contextualSpacing/>
              <w:rPr>
                <w:b w:val="0"/>
                <w:sz w:val="14"/>
                <w:lang w:val="en-AU"/>
              </w:rPr>
            </w:pPr>
            <w:r w:rsidRPr="001F4DD0">
              <w:rPr>
                <w:b w:val="0"/>
                <w:sz w:val="14"/>
                <w:lang w:val="en-AU"/>
              </w:rPr>
              <w:t>429</w:t>
            </w:r>
          </w:p>
        </w:tc>
        <w:tc>
          <w:tcPr>
            <w:tcW w:w="993" w:type="dxa"/>
            <w:tcBorders>
              <w:top w:val="nil"/>
              <w:left w:val="single" w:sz="4" w:space="0" w:color="auto"/>
              <w:bottom w:val="single" w:sz="4" w:space="0" w:color="auto"/>
              <w:right w:val="single" w:sz="4" w:space="0" w:color="auto"/>
            </w:tcBorders>
            <w:vAlign w:val="center"/>
          </w:tcPr>
          <w:p w14:paraId="71E9E318" w14:textId="54294132" w:rsidR="0022761D" w:rsidRPr="001F4DD0" w:rsidRDefault="00125744" w:rsidP="0022761D">
            <w:pPr>
              <w:pStyle w:val="RSCB06BHeadingSub-Section"/>
              <w:spacing w:after="0"/>
              <w:contextualSpacing/>
              <w:rPr>
                <w:b w:val="0"/>
                <w:sz w:val="14"/>
                <w:lang w:val="en-AU"/>
              </w:rPr>
            </w:pPr>
            <w:r w:rsidRPr="001F4DD0">
              <w:rPr>
                <w:b w:val="0"/>
                <w:sz w:val="14"/>
                <w:lang w:val="en-AU"/>
              </w:rPr>
              <w:t>0.47</w:t>
            </w:r>
          </w:p>
        </w:tc>
      </w:tr>
    </w:tbl>
    <w:p w14:paraId="2641C108" w14:textId="4E423098" w:rsidR="00E66884" w:rsidRPr="001F4DD0" w:rsidRDefault="00DC5EC3" w:rsidP="00DC5EC3">
      <w:pPr>
        <w:pStyle w:val="RSCT04TableFootnotewithbottombar"/>
      </w:pPr>
      <w:r w:rsidRPr="001F4DD0">
        <w:rPr>
          <w:vertAlign w:val="superscript"/>
        </w:rPr>
        <w:t>(a)</w:t>
      </w:r>
      <w:r w:rsidRPr="001F4DD0">
        <w:rPr>
          <w:bCs/>
          <w:lang w:val="en-AU"/>
        </w:rPr>
        <w:t xml:space="preserve"> Φ</w:t>
      </w:r>
      <w:r w:rsidRPr="001F4DD0">
        <w:rPr>
          <w:bCs/>
          <w:vertAlign w:val="subscript"/>
          <w:lang w:val="en-AU"/>
        </w:rPr>
        <w:t>PL</w:t>
      </w:r>
      <w:r w:rsidRPr="001F4DD0">
        <w:rPr>
          <w:bCs/>
        </w:rPr>
        <w:t xml:space="preserve"> measurement unreliable at this concentration</w:t>
      </w:r>
    </w:p>
    <w:p w14:paraId="01FE3E01" w14:textId="59245658" w:rsidR="00696448" w:rsidRPr="001F4DD0" w:rsidRDefault="00696448" w:rsidP="00696448">
      <w:pPr>
        <w:pStyle w:val="RSCB06BHeadingSub-Section"/>
        <w:rPr>
          <w:lang w:val="en-US"/>
        </w:rPr>
      </w:pPr>
      <w:r w:rsidRPr="001F4DD0">
        <w:rPr>
          <w:lang w:val="en-US"/>
        </w:rPr>
        <w:t xml:space="preserve">Synthesis and Structure of </w:t>
      </w:r>
      <w:r w:rsidRPr="001F4DD0">
        <w:rPr>
          <w:i/>
          <w:lang w:val="en-US"/>
        </w:rPr>
        <w:t>poly</w:t>
      </w:r>
      <w:r w:rsidRPr="001F4DD0">
        <w:rPr>
          <w:lang w:val="en-US"/>
        </w:rPr>
        <w:t>-[AgL1</w:t>
      </w:r>
      <w:r w:rsidRPr="001F4DD0">
        <w:rPr>
          <w:vertAlign w:val="subscript"/>
          <w:lang w:val="en-US"/>
        </w:rPr>
        <w:t>2</w:t>
      </w:r>
      <w:r w:rsidRPr="001F4DD0">
        <w:rPr>
          <w:lang w:val="en-US"/>
        </w:rPr>
        <w:t>]</w:t>
      </w:r>
      <w:r w:rsidR="00B129EF" w:rsidRPr="001F4DD0">
        <w:rPr>
          <w:lang w:val="en-US"/>
        </w:rPr>
        <w:t>SbF</w:t>
      </w:r>
      <w:r w:rsidR="00B129EF" w:rsidRPr="001F4DD0">
        <w:rPr>
          <w:vertAlign w:val="subscript"/>
          <w:lang w:val="en-US"/>
        </w:rPr>
        <w:t>6</w:t>
      </w:r>
      <w:r w:rsidRPr="001F4DD0">
        <w:rPr>
          <w:lang w:val="en-US"/>
        </w:rPr>
        <w:t>·3THF·2H</w:t>
      </w:r>
      <w:r w:rsidRPr="001F4DD0">
        <w:rPr>
          <w:vertAlign w:val="subscript"/>
          <w:lang w:val="en-US"/>
        </w:rPr>
        <w:t>2</w:t>
      </w:r>
      <w:r w:rsidRPr="001F4DD0">
        <w:rPr>
          <w:lang w:val="en-US"/>
        </w:rPr>
        <w:t>O 1</w:t>
      </w:r>
    </w:p>
    <w:p w14:paraId="71A7A7DF" w14:textId="7D08BD60" w:rsidR="00696448" w:rsidRPr="001F4DD0" w:rsidRDefault="00696448" w:rsidP="00696448">
      <w:pPr>
        <w:pStyle w:val="RSCB02ArticleText"/>
      </w:pPr>
      <w:r w:rsidRPr="001F4DD0">
        <w:t xml:space="preserve">Having prepared and characterised the ligands </w:t>
      </w:r>
      <w:r w:rsidRPr="001F4DD0">
        <w:rPr>
          <w:b/>
        </w:rPr>
        <w:t>L1</w:t>
      </w:r>
      <w:r w:rsidR="00653B12" w:rsidRPr="001F4DD0">
        <w:t>,</w:t>
      </w:r>
      <w:r w:rsidRPr="001F4DD0">
        <w:t xml:space="preserve"> </w:t>
      </w:r>
      <w:r w:rsidRPr="001F4DD0">
        <w:rPr>
          <w:b/>
        </w:rPr>
        <w:t>H</w:t>
      </w:r>
      <w:r w:rsidRPr="001F4DD0">
        <w:rPr>
          <w:b/>
          <w:vertAlign w:val="subscript"/>
        </w:rPr>
        <w:t>2</w:t>
      </w:r>
      <w:r w:rsidRPr="001F4DD0">
        <w:rPr>
          <w:b/>
        </w:rPr>
        <w:t>L2</w:t>
      </w:r>
      <w:r w:rsidR="00653B12" w:rsidRPr="001F4DD0">
        <w:t xml:space="preserve"> and </w:t>
      </w:r>
      <w:r w:rsidR="00653B12" w:rsidRPr="001F4DD0">
        <w:rPr>
          <w:b/>
        </w:rPr>
        <w:t>H</w:t>
      </w:r>
      <w:r w:rsidR="00653B12" w:rsidRPr="001F4DD0">
        <w:rPr>
          <w:b/>
          <w:vertAlign w:val="subscript"/>
        </w:rPr>
        <w:t>2</w:t>
      </w:r>
      <w:r w:rsidR="00653B12" w:rsidRPr="001F4DD0">
        <w:rPr>
          <w:b/>
        </w:rPr>
        <w:t>L3</w:t>
      </w:r>
      <w:r w:rsidR="00653B12" w:rsidRPr="001F4DD0">
        <w:rPr>
          <w:b/>
          <w:vertAlign w:val="subscript"/>
        </w:rPr>
        <w:t>,</w:t>
      </w:r>
      <w:r w:rsidRPr="001F4DD0">
        <w:t xml:space="preserve"> a study into their coordination chemistry was undertaken. Reaction of </w:t>
      </w:r>
      <w:r w:rsidRPr="001F4DD0">
        <w:rPr>
          <w:b/>
        </w:rPr>
        <w:t>L1</w:t>
      </w:r>
      <w:r w:rsidRPr="001F4DD0">
        <w:t xml:space="preserve"> with AgSbF</w:t>
      </w:r>
      <w:r w:rsidRPr="001F4DD0">
        <w:rPr>
          <w:vertAlign w:val="subscript"/>
        </w:rPr>
        <w:t>6</w:t>
      </w:r>
      <w:r w:rsidRPr="001F4DD0">
        <w:t xml:space="preserve"> in THF yielded X-ray quality single crystals after two days. The diffraction data for complex </w:t>
      </w:r>
      <w:r w:rsidRPr="001F4DD0">
        <w:rPr>
          <w:b/>
        </w:rPr>
        <w:t>1</w:t>
      </w:r>
      <w:r w:rsidRPr="001F4DD0">
        <w:t xml:space="preserve"> were solved and refined in the orthorhombic space group </w:t>
      </w:r>
      <w:r w:rsidRPr="001F4DD0">
        <w:rPr>
          <w:i/>
        </w:rPr>
        <w:t>Ccca</w:t>
      </w:r>
      <w:r w:rsidRPr="001F4DD0">
        <w:t xml:space="preserve">, with the asymmetric unit containing half of one molecule of </w:t>
      </w:r>
      <w:r w:rsidRPr="001F4DD0">
        <w:rPr>
          <w:b/>
        </w:rPr>
        <w:t>L1</w:t>
      </w:r>
      <w:r w:rsidRPr="001F4DD0">
        <w:t>, a silver ion occupying a crystallographic special position, and fragments of two SbF</w:t>
      </w:r>
      <w:r w:rsidRPr="001F4DD0">
        <w:rPr>
          <w:vertAlign w:val="subscript"/>
        </w:rPr>
        <w:t>6</w:t>
      </w:r>
      <w:r w:rsidRPr="001F4DD0">
        <w:rPr>
          <w:vertAlign w:val="superscript"/>
        </w:rPr>
        <w:t>-</w:t>
      </w:r>
      <w:r w:rsidRPr="001F4DD0">
        <w:t xml:space="preserve"> anions. As shown in Figure </w:t>
      </w:r>
      <w:r w:rsidR="00E90EEF" w:rsidRPr="001F4DD0">
        <w:t>3</w:t>
      </w:r>
      <w:r w:rsidRPr="001F4DD0">
        <w:t>, the silver ion is coordinated by four equivalent nitrile nitrogen atoms (N1) in a regular tetrahedral geometry (τ</w:t>
      </w:r>
      <w:r w:rsidRPr="001F4DD0">
        <w:rPr>
          <w:vertAlign w:val="subscript"/>
        </w:rPr>
        <w:t>4</w:t>
      </w:r>
      <w:r w:rsidRPr="001F4DD0">
        <w:t xml:space="preserve"> = 0.81),</w:t>
      </w:r>
      <w:r w:rsidRPr="001F4DD0">
        <w:rPr>
          <w:vertAlign w:val="superscript"/>
        </w:rPr>
        <w:t>1</w:t>
      </w:r>
      <w:r w:rsidR="00653B12" w:rsidRPr="001F4DD0">
        <w:rPr>
          <w:vertAlign w:val="superscript"/>
        </w:rPr>
        <w:t>3</w:t>
      </w:r>
      <w:r w:rsidRPr="001F4DD0">
        <w:t xml:space="preserve"> with Ag-N distance 2.260(4) Å. The </w:t>
      </w:r>
      <w:r w:rsidRPr="001F4DD0">
        <w:rPr>
          <w:b/>
        </w:rPr>
        <w:t>L1</w:t>
      </w:r>
      <w:r w:rsidRPr="001F4DD0">
        <w:t xml:space="preserve"> ligand bridges two silver ions, giving an Ag-Ag distance of 22.3866(4) Å. The ligand adopts a slightly twisted conformation, with interplanar angles of 24.5 and 52.3° between the central pyrrolopyrrole unit and the cyanophenyl and tert-butylphenyl rings, respectively.</w:t>
      </w:r>
    </w:p>
    <w:p w14:paraId="35497489" w14:textId="42D32E54" w:rsidR="00B003D4" w:rsidRPr="001F4DD0" w:rsidRDefault="00696448" w:rsidP="00B003D4">
      <w:pPr>
        <w:pStyle w:val="RSCB02ArticleText"/>
        <w:ind w:firstLine="284"/>
        <w:rPr>
          <w:lang w:val="en-US"/>
        </w:rPr>
      </w:pPr>
      <w:r w:rsidRPr="001F4DD0">
        <w:rPr>
          <w:lang w:val="en-US"/>
        </w:rPr>
        <w:t xml:space="preserve">Expansion through crystallographic symmetry reveals a three-dimensional polymeric structure for </w:t>
      </w:r>
      <w:r w:rsidRPr="001F4DD0">
        <w:rPr>
          <w:b/>
          <w:lang w:val="en-US"/>
        </w:rPr>
        <w:t>1</w:t>
      </w:r>
      <w:r w:rsidRPr="001F4DD0">
        <w:rPr>
          <w:lang w:val="en-US"/>
        </w:rPr>
        <w:t xml:space="preserve">, with tetrahedral silver ions acting as four-connected nodes in a (6,4) </w:t>
      </w:r>
      <w:r w:rsidRPr="001F4DD0">
        <w:rPr>
          <w:b/>
          <w:lang w:val="en-US"/>
        </w:rPr>
        <w:t>dia</w:t>
      </w:r>
      <w:r w:rsidRPr="001F4DD0">
        <w:rPr>
          <w:lang w:val="en-US"/>
        </w:rPr>
        <w:t xml:space="preserve"> network. The large bridging distance imparted by the </w:t>
      </w:r>
      <w:r w:rsidRPr="001F4DD0">
        <w:rPr>
          <w:b/>
          <w:lang w:val="en-US"/>
        </w:rPr>
        <w:t>L1</w:t>
      </w:r>
      <w:r w:rsidRPr="001F4DD0">
        <w:rPr>
          <w:lang w:val="en-US"/>
        </w:rPr>
        <w:t xml:space="preserve"> ligand leads to very large inter-nodal distances in each six-membered loop, with diagonal (node-node) distances all in the range 38 – 47 Å. </w:t>
      </w:r>
    </w:p>
    <w:p w14:paraId="580CA13E" w14:textId="6FFA427E" w:rsidR="00696448" w:rsidRPr="001F4DD0" w:rsidRDefault="00696448" w:rsidP="00653B12">
      <w:pPr>
        <w:pStyle w:val="RSCB02ArticleText"/>
        <w:ind w:firstLine="284"/>
        <w:rPr>
          <w:lang w:val="en-US"/>
        </w:rPr>
      </w:pPr>
      <w:r w:rsidRPr="001F4DD0">
        <w:rPr>
          <w:lang w:val="en-US"/>
        </w:rPr>
        <w:t xml:space="preserve">Unsurprisingly, these large windows lead to interpenetration; specifically, an eightfold interpenetration mode. Despite the high density of the material, no significant face-to-face π-π interactions are present within the structure. Instead, the primary crystal packing interactions between interpenetrated networks are based on C-H···π interactions between the </w:t>
      </w:r>
      <w:r w:rsidRPr="001F4DD0">
        <w:rPr>
          <w:b/>
          <w:lang w:val="en-US"/>
        </w:rPr>
        <w:t>L1</w:t>
      </w:r>
      <w:r w:rsidRPr="001F4DD0">
        <w:rPr>
          <w:lang w:val="en-US"/>
        </w:rPr>
        <w:t xml:space="preserve"> molecules, of which two types are present, both with C-H donors from the tert-butylphenyl groups. The anions reside within square channels parallel to the </w:t>
      </w:r>
      <w:r w:rsidRPr="001F4DD0">
        <w:rPr>
          <w:i/>
          <w:lang w:val="en-US"/>
        </w:rPr>
        <w:t>a</w:t>
      </w:r>
      <w:r w:rsidRPr="001F4DD0">
        <w:rPr>
          <w:lang w:val="en-US"/>
        </w:rPr>
        <w:t xml:space="preserve"> axis (Figure </w:t>
      </w:r>
      <w:r w:rsidR="00273594" w:rsidRPr="001F4DD0">
        <w:rPr>
          <w:lang w:val="en-US"/>
        </w:rPr>
        <w:t>3c</w:t>
      </w:r>
      <w:r w:rsidRPr="001F4DD0">
        <w:rPr>
          <w:lang w:val="en-US"/>
        </w:rPr>
        <w:t xml:space="preserve">), and are </w:t>
      </w:r>
      <w:r w:rsidR="00273594" w:rsidRPr="001F4DD0">
        <w:rPr>
          <w:lang w:val="en-US"/>
        </w:rPr>
        <w:t>localized</w:t>
      </w:r>
      <w:r w:rsidRPr="001F4DD0">
        <w:rPr>
          <w:lang w:val="en-US"/>
        </w:rPr>
        <w:t xml:space="preserve"> within two part-occupancy positions. The remainder of the channel volume is occupied by solvent molecules; elemental analysis gives a formula of </w:t>
      </w:r>
      <w:r w:rsidRPr="001F4DD0">
        <w:rPr>
          <w:i/>
          <w:lang w:val="en-US"/>
        </w:rPr>
        <w:t>poly</w:t>
      </w:r>
      <w:r w:rsidRPr="001F4DD0">
        <w:rPr>
          <w:lang w:val="en-US"/>
        </w:rPr>
        <w:t>-[Ag</w:t>
      </w:r>
      <w:r w:rsidRPr="001F4DD0">
        <w:rPr>
          <w:b/>
          <w:lang w:val="en-US"/>
        </w:rPr>
        <w:t>L</w:t>
      </w:r>
      <w:r w:rsidR="00B129EF" w:rsidRPr="001F4DD0">
        <w:rPr>
          <w:b/>
          <w:lang w:val="en-US"/>
        </w:rPr>
        <w:t>1</w:t>
      </w:r>
      <w:r w:rsidRPr="001F4DD0">
        <w:rPr>
          <w:lang w:val="en-US"/>
        </w:rPr>
        <w:t>]</w:t>
      </w:r>
      <w:r w:rsidR="00F44A39" w:rsidRPr="001F4DD0">
        <w:rPr>
          <w:lang w:val="en-US"/>
        </w:rPr>
        <w:t>SbF</w:t>
      </w:r>
      <w:r w:rsidR="00F44A39" w:rsidRPr="001F4DD0">
        <w:rPr>
          <w:vertAlign w:val="subscript"/>
          <w:lang w:val="en-US"/>
        </w:rPr>
        <w:t>6</w:t>
      </w:r>
      <w:r w:rsidRPr="001F4DD0">
        <w:rPr>
          <w:lang w:val="en-US"/>
        </w:rPr>
        <w:t>·3THF·2H</w:t>
      </w:r>
      <w:r w:rsidRPr="001F4DD0">
        <w:rPr>
          <w:vertAlign w:val="subscript"/>
          <w:lang w:val="en-US"/>
        </w:rPr>
        <w:t>2</w:t>
      </w:r>
      <w:r w:rsidRPr="001F4DD0">
        <w:rPr>
          <w:lang w:val="en-US"/>
        </w:rPr>
        <w:t>O, corroborated by TGA (15 wt% volatiles, calculated 14 wt%, Supporting Information</w:t>
      </w:r>
      <w:r w:rsidR="00273594" w:rsidRPr="001F4DD0">
        <w:rPr>
          <w:lang w:val="en-US"/>
        </w:rPr>
        <w:t xml:space="preserve"> Figure S6</w:t>
      </w:r>
      <w:r w:rsidRPr="001F4DD0">
        <w:rPr>
          <w:lang w:val="en-US"/>
        </w:rPr>
        <w:t>).</w:t>
      </w:r>
    </w:p>
    <w:p w14:paraId="4926A80E" w14:textId="77777777" w:rsidR="00E90EEF" w:rsidRPr="001F4DD0" w:rsidRDefault="00696448" w:rsidP="003F1547">
      <w:pPr>
        <w:pStyle w:val="RSCB02ArticleText"/>
        <w:ind w:firstLine="284"/>
        <w:rPr>
          <w:lang w:val="en-US"/>
        </w:rPr>
      </w:pPr>
      <w:r w:rsidRPr="001F4DD0">
        <w:rPr>
          <w:lang w:val="en-US"/>
        </w:rPr>
        <w:t xml:space="preserve">Complex </w:t>
      </w:r>
      <w:r w:rsidRPr="001F4DD0">
        <w:rPr>
          <w:b/>
          <w:lang w:val="en-US"/>
        </w:rPr>
        <w:t>1</w:t>
      </w:r>
      <w:r w:rsidRPr="001F4DD0">
        <w:rPr>
          <w:lang w:val="en-US"/>
        </w:rPr>
        <w:t xml:space="preserve"> retains the photoluminescence properties of the free </w:t>
      </w:r>
      <w:r w:rsidRPr="001F4DD0">
        <w:rPr>
          <w:b/>
          <w:lang w:val="en-US"/>
        </w:rPr>
        <w:t>L1</w:t>
      </w:r>
      <w:r w:rsidRPr="001F4DD0">
        <w:rPr>
          <w:lang w:val="en-US"/>
        </w:rPr>
        <w:t>; excitation at 366 nm gave an emission band with maximum at 528 nm (Supporting Information</w:t>
      </w:r>
      <w:r w:rsidR="00653B12" w:rsidRPr="001F4DD0">
        <w:rPr>
          <w:lang w:val="en-US"/>
        </w:rPr>
        <w:t>, Figure S15</w:t>
      </w:r>
      <w:r w:rsidRPr="001F4DD0">
        <w:rPr>
          <w:lang w:val="en-US"/>
        </w:rPr>
        <w:t>), a significant bathochromic shift compared to the free ligand in solution. This can most likely be ascribed to a combination of the high density of fluorophores brought about by crystal packing influences, and the influence of the Ag</w:t>
      </w:r>
      <w:r w:rsidRPr="001F4DD0">
        <w:rPr>
          <w:vertAlign w:val="superscript"/>
          <w:lang w:val="en-US"/>
        </w:rPr>
        <w:t>I</w:t>
      </w:r>
      <w:r w:rsidRPr="001F4DD0">
        <w:rPr>
          <w:lang w:val="en-US"/>
        </w:rPr>
        <w:t xml:space="preserve"> ions on the electronics of the </w:t>
      </w:r>
      <w:r w:rsidRPr="001F4DD0">
        <w:rPr>
          <w:b/>
          <w:lang w:val="en-US"/>
        </w:rPr>
        <w:t>L1</w:t>
      </w:r>
      <w:r w:rsidRPr="001F4DD0">
        <w:rPr>
          <w:lang w:val="en-US"/>
        </w:rPr>
        <w:t xml:space="preserve"> ground and excited states, particularly involving the nitrile acceptor. The influence of Ag</w:t>
      </w:r>
      <w:r w:rsidRPr="001F4DD0">
        <w:rPr>
          <w:vertAlign w:val="superscript"/>
          <w:lang w:val="en-US"/>
        </w:rPr>
        <w:t>I</w:t>
      </w:r>
      <w:r w:rsidRPr="001F4DD0">
        <w:rPr>
          <w:lang w:val="en-US"/>
        </w:rPr>
        <w:t xml:space="preserve"> coordination </w:t>
      </w:r>
    </w:p>
    <w:p w14:paraId="6D5F71A9" w14:textId="77777777" w:rsidR="00E90EEF" w:rsidRPr="001F4DD0" w:rsidRDefault="00E90EEF" w:rsidP="00E90EEF">
      <w:pPr>
        <w:pStyle w:val="RSCI02FigureSchemeChartwithtopbar"/>
        <w:jc w:val="center"/>
        <w:rPr>
          <w:lang w:val="en-US"/>
        </w:rPr>
      </w:pPr>
      <w:r w:rsidRPr="001F4DD0">
        <w:rPr>
          <w:noProof/>
          <w:lang w:eastAsia="en-GB"/>
        </w:rPr>
        <w:lastRenderedPageBreak/>
        <w:drawing>
          <wp:inline distT="0" distB="0" distL="0" distR="0" wp14:anchorId="4D90A166" wp14:editId="428C48EC">
            <wp:extent cx="2568591" cy="5861713"/>
            <wp:effectExtent l="0" t="0" r="317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7174" cy="5881300"/>
                    </a:xfrm>
                    <a:prstGeom prst="rect">
                      <a:avLst/>
                    </a:prstGeom>
                    <a:noFill/>
                    <a:ln>
                      <a:noFill/>
                    </a:ln>
                  </pic:spPr>
                </pic:pic>
              </a:graphicData>
            </a:graphic>
          </wp:inline>
        </w:drawing>
      </w:r>
    </w:p>
    <w:p w14:paraId="76C44099" w14:textId="6D3B18B2" w:rsidR="00E90EEF" w:rsidRPr="001F4DD0" w:rsidRDefault="00E90EEF" w:rsidP="00E90EEF">
      <w:pPr>
        <w:pStyle w:val="RSCI01FigureSchemeChartwithbottombar"/>
        <w:rPr>
          <w:lang w:val="en-US"/>
        </w:rPr>
      </w:pPr>
      <w:r w:rsidRPr="001F4DD0">
        <w:rPr>
          <w:b/>
          <w:lang w:val="en-US"/>
        </w:rPr>
        <w:t>Figure 3</w:t>
      </w:r>
      <w:r w:rsidRPr="001F4DD0">
        <w:rPr>
          <w:lang w:val="en-US"/>
        </w:rPr>
        <w:t xml:space="preserve"> </w:t>
      </w:r>
      <w:r w:rsidRPr="001F4DD0">
        <w:t xml:space="preserve">(A) Structure of complex </w:t>
      </w:r>
      <w:r w:rsidRPr="001F4DD0">
        <w:rPr>
          <w:b/>
        </w:rPr>
        <w:t>1</w:t>
      </w:r>
      <w:r w:rsidRPr="001F4DD0">
        <w:t xml:space="preserve"> with heteroatom labelling scheme; (B) Extended structure of </w:t>
      </w:r>
      <w:r w:rsidRPr="001F4DD0">
        <w:rPr>
          <w:b/>
        </w:rPr>
        <w:t>1</w:t>
      </w:r>
      <w:r w:rsidRPr="001F4DD0">
        <w:t xml:space="preserve">; a single diamondoid net; (C) The complete structure of </w:t>
      </w:r>
      <w:r w:rsidRPr="001F4DD0">
        <w:rPr>
          <w:b/>
        </w:rPr>
        <w:t>1</w:t>
      </w:r>
      <w:r w:rsidRPr="001F4DD0">
        <w:t xml:space="preserve"> showing SbF</w:t>
      </w:r>
      <w:r w:rsidRPr="001F4DD0">
        <w:rPr>
          <w:vertAlign w:val="subscript"/>
        </w:rPr>
        <w:t>6</w:t>
      </w:r>
      <w:r w:rsidRPr="001F4DD0">
        <w:rPr>
          <w:vertAlign w:val="superscript"/>
        </w:rPr>
        <w:t>-</w:t>
      </w:r>
      <w:r w:rsidRPr="001F4DD0">
        <w:t xml:space="preserve"> columns parallel to the c axis. All hydrogen atoms are omitted for clarity. Symmetry codes used to generate equivalent atoms: (i) –x, 1-y, 1-z; (ii) 1-x, 3/2-y, +z; (iii) +x, 3/2-y, 3/2-z; (iv) 1-x, +y, 3/2-z.</w:t>
      </w:r>
    </w:p>
    <w:p w14:paraId="335B07F8" w14:textId="6B09EC89" w:rsidR="00696448" w:rsidRPr="001F4DD0" w:rsidRDefault="00696448" w:rsidP="00E90EEF">
      <w:pPr>
        <w:pStyle w:val="RSCB02ArticleText"/>
        <w:rPr>
          <w:lang w:val="en-US"/>
        </w:rPr>
      </w:pPr>
      <w:r w:rsidRPr="001F4DD0">
        <w:rPr>
          <w:lang w:val="en-US"/>
        </w:rPr>
        <w:t xml:space="preserve">to </w:t>
      </w:r>
      <w:r w:rsidRPr="001F4DD0">
        <w:rPr>
          <w:b/>
          <w:lang w:val="en-US"/>
        </w:rPr>
        <w:t>L1</w:t>
      </w:r>
      <w:r w:rsidRPr="001F4DD0">
        <w:rPr>
          <w:lang w:val="en-US"/>
        </w:rPr>
        <w:t xml:space="preserve"> is also evident from infrared spectroscopy, with a shift of 12 cm</w:t>
      </w:r>
      <w:r w:rsidRPr="001F4DD0">
        <w:rPr>
          <w:vertAlign w:val="superscript"/>
          <w:lang w:val="en-US"/>
        </w:rPr>
        <w:t>-1</w:t>
      </w:r>
      <w:r w:rsidRPr="001F4DD0">
        <w:rPr>
          <w:lang w:val="en-US"/>
        </w:rPr>
        <w:t xml:space="preserve"> in the nitrile stretching frequency upon coordination. Although </w:t>
      </w:r>
      <w:r w:rsidRPr="001F4DD0">
        <w:rPr>
          <w:b/>
          <w:lang w:val="en-US"/>
        </w:rPr>
        <w:t>1</w:t>
      </w:r>
      <w:r w:rsidRPr="001F4DD0">
        <w:rPr>
          <w:lang w:val="en-US"/>
        </w:rPr>
        <w:t xml:space="preserve"> contains continuous anion/solvent channels, we were unable to effect any solvent or anion exchange in this material, with all attempts at soaking the material in other solvents or anion mixtures leading to destruction of the material. As such, we turned our attention to</w:t>
      </w:r>
      <w:r w:rsidR="009B3C26" w:rsidRPr="001F4DD0">
        <w:rPr>
          <w:b/>
          <w:lang w:val="en-US"/>
        </w:rPr>
        <w:t xml:space="preserve"> </w:t>
      </w:r>
      <w:r w:rsidR="009B3C26" w:rsidRPr="001F4DD0">
        <w:rPr>
          <w:lang w:val="en-US"/>
        </w:rPr>
        <w:t xml:space="preserve">the carboxylate derivatives </w:t>
      </w:r>
      <w:r w:rsidR="009B3C26" w:rsidRPr="001F4DD0">
        <w:rPr>
          <w:b/>
          <w:lang w:val="en-US"/>
        </w:rPr>
        <w:t>H</w:t>
      </w:r>
      <w:r w:rsidR="009B3C26" w:rsidRPr="001F4DD0">
        <w:rPr>
          <w:b/>
          <w:vertAlign w:val="subscript"/>
          <w:lang w:val="en-US"/>
        </w:rPr>
        <w:t>2</w:t>
      </w:r>
      <w:r w:rsidR="009B3C26" w:rsidRPr="001F4DD0">
        <w:rPr>
          <w:b/>
          <w:lang w:val="en-US"/>
        </w:rPr>
        <w:t xml:space="preserve">L2 </w:t>
      </w:r>
      <w:r w:rsidR="009B3C26" w:rsidRPr="001F4DD0">
        <w:rPr>
          <w:lang w:val="en-US"/>
        </w:rPr>
        <w:t xml:space="preserve">and </w:t>
      </w:r>
      <w:r w:rsidR="009B3C26" w:rsidRPr="001F4DD0">
        <w:rPr>
          <w:b/>
          <w:lang w:val="en-US"/>
        </w:rPr>
        <w:t>H</w:t>
      </w:r>
      <w:r w:rsidR="009B3C26" w:rsidRPr="001F4DD0">
        <w:rPr>
          <w:b/>
          <w:vertAlign w:val="subscript"/>
          <w:lang w:val="en-US"/>
        </w:rPr>
        <w:t>2</w:t>
      </w:r>
      <w:r w:rsidR="009B3C26" w:rsidRPr="001F4DD0">
        <w:rPr>
          <w:b/>
          <w:lang w:val="en-US"/>
        </w:rPr>
        <w:t>L3</w:t>
      </w:r>
      <w:r w:rsidRPr="001F4DD0">
        <w:rPr>
          <w:lang w:val="en-US"/>
        </w:rPr>
        <w:t>, which would be expected to generate more resilient framework materials</w:t>
      </w:r>
      <w:r w:rsidR="009B3C26" w:rsidRPr="001F4DD0">
        <w:rPr>
          <w:lang w:val="en-US"/>
        </w:rPr>
        <w:t>.</w:t>
      </w:r>
    </w:p>
    <w:p w14:paraId="46990CA6" w14:textId="7887256D" w:rsidR="003361F2" w:rsidRPr="001F4DD0" w:rsidRDefault="003361F2" w:rsidP="003361F2">
      <w:pPr>
        <w:pStyle w:val="RSCB02ArticleText"/>
        <w:rPr>
          <w:lang w:val="en-US"/>
        </w:rPr>
      </w:pPr>
    </w:p>
    <w:p w14:paraId="1E555557" w14:textId="77777777" w:rsidR="00696448" w:rsidRPr="001F4DD0" w:rsidRDefault="00696448" w:rsidP="00696448">
      <w:pPr>
        <w:pStyle w:val="RSCB06BHeadingSub-Section"/>
        <w:rPr>
          <w:bCs/>
          <w:lang w:val="en-US"/>
        </w:rPr>
      </w:pPr>
      <w:r w:rsidRPr="001F4DD0">
        <w:rPr>
          <w:bCs/>
          <w:lang w:val="en-US"/>
        </w:rPr>
        <w:t xml:space="preserve">Synthesis and Structure of </w:t>
      </w:r>
      <w:r w:rsidRPr="001F4DD0">
        <w:rPr>
          <w:bCs/>
          <w:i/>
          <w:lang w:val="en-US"/>
        </w:rPr>
        <w:t>poly</w:t>
      </w:r>
      <w:r w:rsidRPr="001F4DD0">
        <w:rPr>
          <w:bCs/>
          <w:lang w:val="en-US"/>
        </w:rPr>
        <w:t>-[Zn</w:t>
      </w:r>
      <w:r w:rsidRPr="001F4DD0">
        <w:rPr>
          <w:bCs/>
          <w:vertAlign w:val="subscript"/>
          <w:lang w:val="en-US"/>
        </w:rPr>
        <w:t>4</w:t>
      </w:r>
      <w:r w:rsidRPr="001F4DD0">
        <w:rPr>
          <w:bCs/>
          <w:lang w:val="en-US"/>
        </w:rPr>
        <w:t>O(L2)</w:t>
      </w:r>
      <w:r w:rsidRPr="001F4DD0">
        <w:rPr>
          <w:bCs/>
          <w:vertAlign w:val="subscript"/>
          <w:lang w:val="en-US"/>
        </w:rPr>
        <w:t>3</w:t>
      </w:r>
      <w:r w:rsidRPr="001F4DD0">
        <w:rPr>
          <w:bCs/>
          <w:lang w:val="en-US"/>
        </w:rPr>
        <w:t>]·20DMA·10H</w:t>
      </w:r>
      <w:r w:rsidRPr="001F4DD0">
        <w:rPr>
          <w:bCs/>
          <w:vertAlign w:val="subscript"/>
          <w:lang w:val="en-US"/>
        </w:rPr>
        <w:t>2</w:t>
      </w:r>
      <w:r w:rsidRPr="001F4DD0">
        <w:rPr>
          <w:bCs/>
          <w:lang w:val="en-US"/>
        </w:rPr>
        <w:t>O 2</w:t>
      </w:r>
    </w:p>
    <w:p w14:paraId="78FCFA07" w14:textId="44EB128D" w:rsidR="00E90EEF" w:rsidRPr="001F4DD0" w:rsidRDefault="00696448" w:rsidP="003F1547">
      <w:pPr>
        <w:pStyle w:val="RSCB02ArticleText"/>
        <w:rPr>
          <w:lang w:val="en-US"/>
        </w:rPr>
      </w:pPr>
      <w:r w:rsidRPr="001F4DD0">
        <w:rPr>
          <w:lang w:val="en-US"/>
        </w:rPr>
        <w:t xml:space="preserve">As a rigid linear aromatic dicarboxylate, </w:t>
      </w:r>
      <w:r w:rsidR="00DC19DC" w:rsidRPr="001F4DD0">
        <w:rPr>
          <w:lang w:val="en-US"/>
        </w:rPr>
        <w:t xml:space="preserve">the deprotonated </w:t>
      </w:r>
      <w:r w:rsidRPr="001F4DD0">
        <w:rPr>
          <w:lang w:val="en-US"/>
        </w:rPr>
        <w:t xml:space="preserve">ligand </w:t>
      </w:r>
      <w:r w:rsidRPr="001F4DD0">
        <w:rPr>
          <w:b/>
          <w:lang w:val="en-US"/>
        </w:rPr>
        <w:t>L2</w:t>
      </w:r>
      <w:r w:rsidRPr="001F4DD0">
        <w:rPr>
          <w:lang w:val="en-US"/>
        </w:rPr>
        <w:t xml:space="preserve"> could be expected to coordinate to Zn</w:t>
      </w:r>
      <w:r w:rsidRPr="001F4DD0">
        <w:rPr>
          <w:vertAlign w:val="superscript"/>
          <w:lang w:val="en-US"/>
        </w:rPr>
        <w:t>II</w:t>
      </w:r>
      <w:r w:rsidRPr="001F4DD0">
        <w:rPr>
          <w:lang w:val="en-US"/>
        </w:rPr>
        <w:t xml:space="preserve"> ions to give a </w:t>
      </w:r>
      <w:r w:rsidRPr="001F4DD0">
        <w:rPr>
          <w:b/>
          <w:lang w:val="en-US"/>
        </w:rPr>
        <w:t>pcu</w:t>
      </w:r>
      <w:r w:rsidRPr="001F4DD0">
        <w:rPr>
          <w:lang w:val="en-US"/>
        </w:rPr>
        <w:t>-type network containing basic zinc acetate nodes.</w:t>
      </w:r>
      <w:r w:rsidRPr="001F4DD0">
        <w:rPr>
          <w:vertAlign w:val="superscript"/>
          <w:lang w:val="en-US"/>
        </w:rPr>
        <w:t>12</w:t>
      </w:r>
      <w:r w:rsidRPr="001F4DD0">
        <w:rPr>
          <w:lang w:val="en-US"/>
        </w:rPr>
        <w:t xml:space="preserve"> Indeed, </w:t>
      </w:r>
      <w:r w:rsidRPr="001F4DD0">
        <w:rPr>
          <w:lang w:val="en-US"/>
        </w:rPr>
        <w:t xml:space="preserve">on reaction with zinc nitrate hexahydrate in a DMA/EtOH mixture, with </w:t>
      </w:r>
      <w:r w:rsidR="009F6E6D" w:rsidRPr="001F4DD0">
        <w:rPr>
          <w:lang w:val="en-US"/>
        </w:rPr>
        <w:t>1,4-diazabicyclo[2.2.2]octane (</w:t>
      </w:r>
      <w:r w:rsidRPr="001F4DD0">
        <w:rPr>
          <w:lang w:val="en-US"/>
        </w:rPr>
        <w:t>DABCO</w:t>
      </w:r>
      <w:r w:rsidR="009F6E6D" w:rsidRPr="001F4DD0">
        <w:rPr>
          <w:lang w:val="en-US"/>
        </w:rPr>
        <w:t>)</w:t>
      </w:r>
      <w:r w:rsidRPr="001F4DD0">
        <w:rPr>
          <w:lang w:val="en-US"/>
        </w:rPr>
        <w:t xml:space="preserve"> included as a base, yellow block crystals were isolated within 6 hours. Despite exhibiting intrinsically poor diffraction characteristics, a single-crystal X-ray diffraction dataset could be obtained of sufficient resolution to provide a structural model of </w:t>
      </w:r>
      <w:r w:rsidRPr="001F4DD0">
        <w:rPr>
          <w:i/>
          <w:lang w:val="en-US"/>
        </w:rPr>
        <w:t>poly</w:t>
      </w:r>
      <w:r w:rsidRPr="001F4DD0">
        <w:rPr>
          <w:lang w:val="en-US"/>
        </w:rPr>
        <w:t>-[Zn</w:t>
      </w:r>
      <w:r w:rsidRPr="001F4DD0">
        <w:rPr>
          <w:vertAlign w:val="subscript"/>
          <w:lang w:val="en-US"/>
        </w:rPr>
        <w:t>4</w:t>
      </w:r>
      <w:r w:rsidRPr="001F4DD0">
        <w:rPr>
          <w:lang w:val="en-US"/>
        </w:rPr>
        <w:t>O(</w:t>
      </w:r>
      <w:r w:rsidRPr="001F4DD0">
        <w:rPr>
          <w:b/>
          <w:lang w:val="en-US"/>
        </w:rPr>
        <w:t>L2</w:t>
      </w:r>
      <w:r w:rsidRPr="001F4DD0">
        <w:rPr>
          <w:lang w:val="en-US"/>
        </w:rPr>
        <w:t>)</w:t>
      </w:r>
      <w:r w:rsidRPr="001F4DD0">
        <w:rPr>
          <w:vertAlign w:val="subscript"/>
          <w:lang w:val="en-US"/>
        </w:rPr>
        <w:t>3</w:t>
      </w:r>
      <w:r w:rsidRPr="001F4DD0">
        <w:rPr>
          <w:lang w:val="en-US"/>
        </w:rPr>
        <w:t xml:space="preserve">] </w:t>
      </w:r>
      <w:r w:rsidRPr="001F4DD0">
        <w:rPr>
          <w:b/>
          <w:lang w:val="en-US"/>
        </w:rPr>
        <w:t>2</w:t>
      </w:r>
      <w:r w:rsidRPr="001F4DD0">
        <w:rPr>
          <w:lang w:val="en-US"/>
        </w:rPr>
        <w:t xml:space="preserve">. The diffraction data for </w:t>
      </w:r>
      <w:r w:rsidRPr="001F4DD0">
        <w:rPr>
          <w:b/>
          <w:lang w:val="en-US"/>
        </w:rPr>
        <w:t>2</w:t>
      </w:r>
      <w:r w:rsidRPr="001F4DD0">
        <w:rPr>
          <w:lang w:val="en-US"/>
        </w:rPr>
        <w:t xml:space="preserve"> were solved and refined in the monoclinic space group </w:t>
      </w:r>
      <w:r w:rsidRPr="001F4DD0">
        <w:rPr>
          <w:i/>
          <w:lang w:val="en-US"/>
        </w:rPr>
        <w:t>P</w:t>
      </w:r>
      <w:r w:rsidRPr="001F4DD0">
        <w:rPr>
          <w:lang w:val="en-US"/>
        </w:rPr>
        <w:t>-1, and revealed [Zn</w:t>
      </w:r>
      <w:r w:rsidRPr="001F4DD0">
        <w:rPr>
          <w:vertAlign w:val="subscript"/>
          <w:lang w:val="en-US"/>
        </w:rPr>
        <w:t>4</w:t>
      </w:r>
      <w:r w:rsidRPr="001F4DD0">
        <w:rPr>
          <w:lang w:val="en-US"/>
        </w:rPr>
        <w:t>O(COO)</w:t>
      </w:r>
      <w:r w:rsidRPr="001F4DD0">
        <w:rPr>
          <w:vertAlign w:val="subscript"/>
          <w:lang w:val="en-US"/>
        </w:rPr>
        <w:t>6</w:t>
      </w:r>
      <w:r w:rsidRPr="001F4DD0">
        <w:rPr>
          <w:lang w:val="en-US"/>
        </w:rPr>
        <w:t xml:space="preserve">] nodes bridged into a three-dimensional, twofold-interpenetrated </w:t>
      </w:r>
      <w:r w:rsidRPr="001F4DD0">
        <w:rPr>
          <w:b/>
          <w:lang w:val="en-US"/>
        </w:rPr>
        <w:t xml:space="preserve">pcu </w:t>
      </w:r>
      <w:r w:rsidRPr="001F4DD0">
        <w:rPr>
          <w:lang w:val="en-US"/>
        </w:rPr>
        <w:t xml:space="preserve">framework by </w:t>
      </w:r>
      <w:r w:rsidRPr="001F4DD0">
        <w:rPr>
          <w:b/>
          <w:lang w:val="en-US"/>
        </w:rPr>
        <w:t>L2</w:t>
      </w:r>
      <w:r w:rsidRPr="001F4DD0">
        <w:rPr>
          <w:lang w:val="en-US"/>
        </w:rPr>
        <w:t xml:space="preserve"> units, shown in Figure </w:t>
      </w:r>
      <w:r w:rsidR="00E90EEF" w:rsidRPr="001F4DD0">
        <w:rPr>
          <w:lang w:val="en-US"/>
        </w:rPr>
        <w:t>4</w:t>
      </w:r>
      <w:r w:rsidRPr="001F4DD0">
        <w:rPr>
          <w:lang w:val="en-US"/>
        </w:rPr>
        <w:t>.</w:t>
      </w:r>
    </w:p>
    <w:p w14:paraId="08E1CEDD" w14:textId="3592BB2F" w:rsidR="00E90EEF" w:rsidRPr="001F4DD0" w:rsidRDefault="00E90EEF" w:rsidP="00E90EEF">
      <w:pPr>
        <w:pStyle w:val="RSCI02FigureSchemeChartwithtopbar"/>
        <w:jc w:val="center"/>
        <w:rPr>
          <w:lang w:val="en-US"/>
        </w:rPr>
      </w:pPr>
      <w:r w:rsidRPr="001F4DD0">
        <w:rPr>
          <w:noProof/>
          <w:lang w:eastAsia="en-GB"/>
        </w:rPr>
        <w:drawing>
          <wp:inline distT="0" distB="0" distL="0" distR="0" wp14:anchorId="645317F9" wp14:editId="1B359DD2">
            <wp:extent cx="2797791" cy="6410857"/>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1021" cy="6441172"/>
                    </a:xfrm>
                    <a:prstGeom prst="rect">
                      <a:avLst/>
                    </a:prstGeom>
                    <a:noFill/>
                    <a:ln>
                      <a:noFill/>
                    </a:ln>
                  </pic:spPr>
                </pic:pic>
              </a:graphicData>
            </a:graphic>
          </wp:inline>
        </w:drawing>
      </w:r>
    </w:p>
    <w:p w14:paraId="5923D9AE" w14:textId="307254B4" w:rsidR="00E90EEF" w:rsidRPr="001F4DD0" w:rsidRDefault="00E90EEF" w:rsidP="00E90EEF">
      <w:pPr>
        <w:pStyle w:val="RSCI01FigureSchemeChartwithbottombar"/>
        <w:rPr>
          <w:lang w:val="en-US"/>
        </w:rPr>
      </w:pPr>
      <w:r w:rsidRPr="001F4DD0">
        <w:rPr>
          <w:b/>
          <w:lang w:val="en-US"/>
        </w:rPr>
        <w:t xml:space="preserve">Figure 4 </w:t>
      </w:r>
      <w:r w:rsidRPr="001F4DD0">
        <w:rPr>
          <w:lang w:val="en-US"/>
        </w:rPr>
        <w:t xml:space="preserve">(A) Representative structure of a ligand and metal environment in complex </w:t>
      </w:r>
      <w:r w:rsidRPr="001F4DD0">
        <w:rPr>
          <w:b/>
          <w:lang w:val="en-US"/>
        </w:rPr>
        <w:t>2</w:t>
      </w:r>
      <w:r w:rsidRPr="001F4DD0">
        <w:rPr>
          <w:lang w:val="en-US"/>
        </w:rPr>
        <w:t xml:space="preserve"> with labelling scheme for unique heteroatoms; (B) Extended structure of complex </w:t>
      </w:r>
      <w:r w:rsidRPr="001F4DD0">
        <w:rPr>
          <w:b/>
          <w:lang w:val="en-US"/>
        </w:rPr>
        <w:t>2</w:t>
      </w:r>
      <w:r w:rsidRPr="001F4DD0">
        <w:rPr>
          <w:lang w:val="en-US"/>
        </w:rPr>
        <w:t xml:space="preserve"> showing the connectivity of a single </w:t>
      </w:r>
      <w:r w:rsidRPr="001F4DD0">
        <w:rPr>
          <w:b/>
          <w:lang w:val="en-US"/>
        </w:rPr>
        <w:t>pcu</w:t>
      </w:r>
      <w:r w:rsidRPr="001F4DD0">
        <w:rPr>
          <w:lang w:val="en-US"/>
        </w:rPr>
        <w:t xml:space="preserve"> cage</w:t>
      </w:r>
      <w:r w:rsidRPr="001F4DD0">
        <w:rPr>
          <w:b/>
          <w:lang w:val="en-US"/>
        </w:rPr>
        <w:t xml:space="preserve">; </w:t>
      </w:r>
      <w:r w:rsidRPr="001F4DD0">
        <w:rPr>
          <w:lang w:val="en-US"/>
        </w:rPr>
        <w:t xml:space="preserve">(C) Topological representation of the offset twofold interpenetration present in complex </w:t>
      </w:r>
      <w:r w:rsidRPr="001F4DD0">
        <w:rPr>
          <w:b/>
          <w:lang w:val="en-US"/>
        </w:rPr>
        <w:t xml:space="preserve">2. </w:t>
      </w:r>
      <w:r w:rsidRPr="001F4DD0">
        <w:rPr>
          <w:lang w:val="en-US"/>
        </w:rPr>
        <w:t>All hydrogen atoms and ligand disorder are omitted for clarity.</w:t>
      </w:r>
    </w:p>
    <w:p w14:paraId="6BAF4ACA" w14:textId="1CB1D4BB" w:rsidR="003F1547" w:rsidRPr="001F4DD0" w:rsidRDefault="00696448" w:rsidP="00E90EEF">
      <w:pPr>
        <w:pStyle w:val="RSCB02ArticleText"/>
      </w:pPr>
      <w:r w:rsidRPr="001F4DD0">
        <w:rPr>
          <w:lang w:val="en-US"/>
        </w:rPr>
        <w:lastRenderedPageBreak/>
        <w:t>The asymmetric unit contains one unique Zn</w:t>
      </w:r>
      <w:r w:rsidRPr="001F4DD0">
        <w:rPr>
          <w:vertAlign w:val="subscript"/>
          <w:lang w:val="en-US"/>
        </w:rPr>
        <w:t>4</w:t>
      </w:r>
      <w:r w:rsidRPr="001F4DD0">
        <w:rPr>
          <w:lang w:val="en-US"/>
        </w:rPr>
        <w:t xml:space="preserve">O core, and three crystallographically independent </w:t>
      </w:r>
      <w:r w:rsidRPr="001F4DD0">
        <w:rPr>
          <w:b/>
          <w:lang w:val="en-US"/>
        </w:rPr>
        <w:t>L2</w:t>
      </w:r>
      <w:r w:rsidRPr="001F4DD0">
        <w:rPr>
          <w:lang w:val="en-US"/>
        </w:rPr>
        <w:t xml:space="preserve"> groups. The </w:t>
      </w:r>
      <w:r w:rsidRPr="001F4DD0">
        <w:rPr>
          <w:b/>
          <w:lang w:val="en-US"/>
        </w:rPr>
        <w:t>L2</w:t>
      </w:r>
      <w:r w:rsidRPr="001F4DD0">
        <w:rPr>
          <w:lang w:val="en-US"/>
        </w:rPr>
        <w:t xml:space="preserve"> units provide bridging distances of 22.5696(8), 22.7345(8) and 22.7582(8) Å, the lengths of the three unit cell edges, between the </w:t>
      </w:r>
      <w:r w:rsidR="00DC19DC" w:rsidRPr="001F4DD0">
        <w:rPr>
          <w:lang w:val="en-US"/>
        </w:rPr>
        <w:t>oxo cores</w:t>
      </w:r>
      <w:r w:rsidRPr="001F4DD0">
        <w:rPr>
          <w:lang w:val="en-US"/>
        </w:rPr>
        <w:t xml:space="preserve"> of each Zn</w:t>
      </w:r>
      <w:r w:rsidRPr="001F4DD0">
        <w:rPr>
          <w:vertAlign w:val="subscript"/>
          <w:lang w:val="en-US"/>
        </w:rPr>
        <w:t>4</w:t>
      </w:r>
      <w:r w:rsidRPr="001F4DD0">
        <w:rPr>
          <w:lang w:val="en-US"/>
        </w:rPr>
        <w:t xml:space="preserve">O node. Similarly to the structure of </w:t>
      </w:r>
      <w:r w:rsidRPr="001F4DD0">
        <w:rPr>
          <w:b/>
          <w:lang w:val="en-US"/>
        </w:rPr>
        <w:t>1</w:t>
      </w:r>
      <w:r w:rsidRPr="001F4DD0">
        <w:rPr>
          <w:lang w:val="en-US"/>
        </w:rPr>
        <w:t xml:space="preserve">, in </w:t>
      </w:r>
      <w:r w:rsidRPr="001F4DD0">
        <w:rPr>
          <w:b/>
          <w:lang w:val="en-US"/>
        </w:rPr>
        <w:t>2</w:t>
      </w:r>
      <w:r w:rsidRPr="001F4DD0">
        <w:rPr>
          <w:lang w:val="en-US"/>
        </w:rPr>
        <w:t xml:space="preserve"> each of the four aryl rings attached to</w:t>
      </w:r>
      <w:r w:rsidR="009F6E6D" w:rsidRPr="001F4DD0">
        <w:rPr>
          <w:lang w:val="en-US"/>
        </w:rPr>
        <w:t xml:space="preserve"> each unique</w:t>
      </w:r>
      <w:r w:rsidRPr="001F4DD0">
        <w:rPr>
          <w:lang w:val="en-US"/>
        </w:rPr>
        <w:t xml:space="preserve"> </w:t>
      </w:r>
      <w:r w:rsidRPr="001F4DD0">
        <w:rPr>
          <w:b/>
          <w:lang w:val="en-US"/>
        </w:rPr>
        <w:t>L2</w:t>
      </w:r>
      <w:r w:rsidRPr="001F4DD0">
        <w:rPr>
          <w:lang w:val="en-US"/>
        </w:rPr>
        <w:t xml:space="preserve"> central core adopt a non-coplanar conformation</w:t>
      </w:r>
      <w:r w:rsidR="009F6E6D" w:rsidRPr="001F4DD0">
        <w:rPr>
          <w:lang w:val="en-US"/>
        </w:rPr>
        <w:t xml:space="preserve"> generally reminiscent of that observed in the structure of the free ligand</w:t>
      </w:r>
      <w:r w:rsidRPr="001F4DD0">
        <w:rPr>
          <w:lang w:val="en-US"/>
        </w:rPr>
        <w:t xml:space="preserve">. Due to the low density of the material, geometric constraints and the uniformly π-electron-rich central core, remarkably few defined </w:t>
      </w:r>
      <w:r w:rsidRPr="001F4DD0">
        <w:rPr>
          <w:b/>
          <w:lang w:val="en-US"/>
        </w:rPr>
        <w:t xml:space="preserve">L2···L2 </w:t>
      </w:r>
      <w:r w:rsidRPr="001F4DD0">
        <w:rPr>
          <w:lang w:val="en-US"/>
        </w:rPr>
        <w:t xml:space="preserve">interactions are present within the structure of </w:t>
      </w:r>
      <w:r w:rsidRPr="001F4DD0">
        <w:rPr>
          <w:b/>
          <w:lang w:val="en-US"/>
        </w:rPr>
        <w:t xml:space="preserve">2. </w:t>
      </w:r>
      <w:r w:rsidRPr="001F4DD0">
        <w:rPr>
          <w:lang w:val="en-US"/>
        </w:rPr>
        <w:t xml:space="preserve">These are essentially limited to weak C-H···π interactions between the phenyl groups and pyrrole </w:t>
      </w:r>
      <w:r w:rsidR="00273594" w:rsidRPr="001F4DD0">
        <w:rPr>
          <w:lang w:val="en-US"/>
        </w:rPr>
        <w:t>centers</w:t>
      </w:r>
      <w:r w:rsidRPr="001F4DD0">
        <w:rPr>
          <w:lang w:val="en-US"/>
        </w:rPr>
        <w:t xml:space="preserve">. This feature is </w:t>
      </w:r>
      <w:r w:rsidR="009F6E6D" w:rsidRPr="001F4DD0">
        <w:rPr>
          <w:lang w:val="en-US"/>
        </w:rPr>
        <w:t xml:space="preserve">a continuation of the surprisingly modest crystal packing forces observed in the structure of the free ligand, and continues to </w:t>
      </w:r>
      <w:r w:rsidR="0062609D" w:rsidRPr="001F4DD0">
        <w:rPr>
          <w:lang w:val="en-US"/>
        </w:rPr>
        <w:t>distinguish</w:t>
      </w:r>
      <w:r w:rsidR="009F6E6D" w:rsidRPr="001F4DD0">
        <w:rPr>
          <w:lang w:val="en-US"/>
        </w:rPr>
        <w:t xml:space="preserve"> the structure of </w:t>
      </w:r>
      <w:r w:rsidR="009F6E6D" w:rsidRPr="001F4DD0">
        <w:rPr>
          <w:b/>
          <w:lang w:val="en-US"/>
        </w:rPr>
        <w:t>2</w:t>
      </w:r>
      <w:r w:rsidR="009F6E6D" w:rsidRPr="001F4DD0">
        <w:rPr>
          <w:lang w:val="en-US"/>
        </w:rPr>
        <w:t xml:space="preserve"> from</w:t>
      </w:r>
      <w:r w:rsidR="0062609D" w:rsidRPr="001F4DD0">
        <w:rPr>
          <w:lang w:val="en-US"/>
        </w:rPr>
        <w:t xml:space="preserve"> </w:t>
      </w:r>
      <w:r w:rsidR="00234B9A" w:rsidRPr="001F4DD0">
        <w:rPr>
          <w:lang w:val="en-US"/>
        </w:rPr>
        <w:t>other</w:t>
      </w:r>
      <w:r w:rsidR="009F6E6D" w:rsidRPr="001F4DD0">
        <w:rPr>
          <w:lang w:val="en-US"/>
        </w:rPr>
        <w:t xml:space="preserve"> </w:t>
      </w:r>
      <w:r w:rsidR="0062609D" w:rsidRPr="001F4DD0">
        <w:rPr>
          <w:lang w:val="en-US"/>
        </w:rPr>
        <w:t>coordination polymer structures containing large conjugated organic fluorophores</w:t>
      </w:r>
      <w:r w:rsidR="00A23284" w:rsidRPr="001F4DD0">
        <w:rPr>
          <w:lang w:val="en-US"/>
        </w:rPr>
        <w:t>.</w:t>
      </w:r>
      <w:r w:rsidR="0026286A" w:rsidRPr="001F4DD0">
        <w:rPr>
          <w:lang w:val="en-US"/>
        </w:rPr>
        <w:t xml:space="preserve"> </w:t>
      </w:r>
      <w:r w:rsidR="00A23284" w:rsidRPr="001F4DD0">
        <w:rPr>
          <w:lang w:val="en-US"/>
        </w:rPr>
        <w:t>W</w:t>
      </w:r>
      <w:r w:rsidR="00273594" w:rsidRPr="001F4DD0">
        <w:rPr>
          <w:lang w:val="en-US"/>
        </w:rPr>
        <w:t xml:space="preserve">hile </w:t>
      </w:r>
      <w:r w:rsidR="00A23284" w:rsidRPr="001F4DD0">
        <w:rPr>
          <w:lang w:val="en-US"/>
        </w:rPr>
        <w:t>its derivatives show</w:t>
      </w:r>
      <w:r w:rsidR="00273594" w:rsidRPr="001F4DD0">
        <w:rPr>
          <w:lang w:val="en-US"/>
        </w:rPr>
        <w:t xml:space="preserve"> similar emission characteristics, </w:t>
      </w:r>
      <w:r w:rsidR="0026286A" w:rsidRPr="001F4DD0">
        <w:rPr>
          <w:lang w:val="en-US"/>
        </w:rPr>
        <w:t>the 1,8-naphthalimide fluorophore</w:t>
      </w:r>
      <w:r w:rsidR="00273594" w:rsidRPr="001F4DD0">
        <w:rPr>
          <w:lang w:val="en-US"/>
        </w:rPr>
        <w:t xml:space="preserve">, for example, </w:t>
      </w:r>
      <w:r w:rsidR="00A23284" w:rsidRPr="001F4DD0">
        <w:rPr>
          <w:lang w:val="en-US"/>
        </w:rPr>
        <w:t xml:space="preserve">dominates the extended structure of its coordination polymers through </w:t>
      </w:r>
      <w:r w:rsidR="00A23284" w:rsidRPr="001F4DD0">
        <w:rPr>
          <w:rFonts w:cstheme="minorHAnsi"/>
          <w:lang w:val="en-US"/>
        </w:rPr>
        <w:t>π</w:t>
      </w:r>
      <w:r w:rsidR="00A23284" w:rsidRPr="001F4DD0">
        <w:rPr>
          <w:lang w:val="en-US"/>
        </w:rPr>
        <w:t>-</w:t>
      </w:r>
      <w:r w:rsidR="00A23284" w:rsidRPr="001F4DD0">
        <w:rPr>
          <w:rFonts w:cstheme="minorHAnsi"/>
          <w:lang w:val="en-US"/>
        </w:rPr>
        <w:t>π</w:t>
      </w:r>
      <w:r w:rsidR="00A23284" w:rsidRPr="001F4DD0">
        <w:rPr>
          <w:lang w:val="en-US"/>
        </w:rPr>
        <w:t xml:space="preserve"> interactions</w:t>
      </w:r>
      <w:r w:rsidRPr="001F4DD0">
        <w:rPr>
          <w:lang w:val="en-US"/>
        </w:rPr>
        <w:t>.</w:t>
      </w:r>
      <w:r w:rsidR="00DC10A7" w:rsidRPr="001F4DD0">
        <w:rPr>
          <w:vertAlign w:val="superscript"/>
          <w:lang w:val="en-US"/>
        </w:rPr>
        <w:t xml:space="preserve">14 </w:t>
      </w:r>
      <w:r w:rsidR="003F1547" w:rsidRPr="001F4DD0">
        <w:t xml:space="preserve">Despite the interpenetration in </w:t>
      </w:r>
      <w:r w:rsidR="003F1547" w:rsidRPr="001F4DD0">
        <w:rPr>
          <w:b/>
        </w:rPr>
        <w:t>2</w:t>
      </w:r>
      <w:r w:rsidR="003F1547" w:rsidRPr="001F4DD0">
        <w:t xml:space="preserve">, significant solvent-accessible volume remains, accounting for </w:t>
      </w:r>
      <w:r w:rsidR="003F1547" w:rsidRPr="001F4DD0">
        <w:rPr>
          <w:i/>
        </w:rPr>
        <w:t>ca.</w:t>
      </w:r>
      <w:r w:rsidR="003F1547" w:rsidRPr="001F4DD0">
        <w:t xml:space="preserve"> 63% of the unit cell. The irregular shape</w:t>
      </w:r>
      <w:r w:rsidR="009F6E6D" w:rsidRPr="001F4DD0">
        <w:t xml:space="preserve"> of the TPP units</w:t>
      </w:r>
      <w:r w:rsidR="003F1547" w:rsidRPr="001F4DD0">
        <w:t xml:space="preserve"> and steric bulk</w:t>
      </w:r>
      <w:r w:rsidR="009F6E6D" w:rsidRPr="001F4DD0">
        <w:t xml:space="preserve"> of the </w:t>
      </w:r>
      <w:r w:rsidR="009F6E6D" w:rsidRPr="001F4DD0">
        <w:rPr>
          <w:i/>
        </w:rPr>
        <w:t>t</w:t>
      </w:r>
      <w:r w:rsidR="009F6E6D" w:rsidRPr="001F4DD0">
        <w:t>-butyl groups</w:t>
      </w:r>
      <w:r w:rsidR="003F1547" w:rsidRPr="001F4DD0">
        <w:t xml:space="preserve"> may hinder the occurrence of further interpenetration, which would typically be expected for a void volume of this magnitude.</w:t>
      </w:r>
    </w:p>
    <w:p w14:paraId="54319476" w14:textId="0D194F7B" w:rsidR="003F1547" w:rsidRPr="001F4DD0" w:rsidRDefault="003F1547" w:rsidP="00696448">
      <w:pPr>
        <w:pStyle w:val="RSCB02ArticleText"/>
        <w:rPr>
          <w:lang w:val="en-US"/>
        </w:rPr>
      </w:pPr>
    </w:p>
    <w:p w14:paraId="1F0AE8A5" w14:textId="7C435671" w:rsidR="003F1547" w:rsidRPr="001F4DD0" w:rsidRDefault="003F1547" w:rsidP="003F1547">
      <w:pPr>
        <w:pStyle w:val="RSCB06BHeadingSub-Section"/>
        <w:rPr>
          <w:w w:val="108"/>
          <w:u w:val="single"/>
          <w:lang w:val="en-US"/>
        </w:rPr>
      </w:pPr>
      <w:r w:rsidRPr="001F4DD0">
        <w:rPr>
          <w:w w:val="108"/>
          <w:lang w:val="en-US"/>
        </w:rPr>
        <w:t xml:space="preserve">Synthesis and Structure of </w:t>
      </w:r>
      <w:r w:rsidR="009F0839" w:rsidRPr="001F4DD0">
        <w:rPr>
          <w:i/>
        </w:rPr>
        <w:t>poly</w:t>
      </w:r>
      <w:r w:rsidR="009F0839" w:rsidRPr="001F4DD0">
        <w:t>-[CdL3]·2.5DMA·3.5H</w:t>
      </w:r>
      <w:r w:rsidR="009F0839" w:rsidRPr="001F4DD0">
        <w:rPr>
          <w:vertAlign w:val="subscript"/>
        </w:rPr>
        <w:t>2</w:t>
      </w:r>
      <w:r w:rsidR="009F0839" w:rsidRPr="001F4DD0">
        <w:t>O 3</w:t>
      </w:r>
    </w:p>
    <w:p w14:paraId="2D407864" w14:textId="5CEC0D85" w:rsidR="00E90EEF" w:rsidRPr="001F4DD0" w:rsidRDefault="00CE4C2B" w:rsidP="00696448">
      <w:pPr>
        <w:pStyle w:val="RSCB02ArticleText"/>
        <w:rPr>
          <w:rFonts w:cstheme="minorHAnsi"/>
        </w:rPr>
      </w:pPr>
      <w:r w:rsidRPr="001F4DD0">
        <w:t xml:space="preserve">With the formation of basic zinc acetate-type nodes in the structure of </w:t>
      </w:r>
      <w:r w:rsidRPr="001F4DD0">
        <w:rPr>
          <w:b/>
        </w:rPr>
        <w:t>2</w:t>
      </w:r>
      <w:r w:rsidRPr="001F4DD0">
        <w:t xml:space="preserve">, we turned to </w:t>
      </w:r>
      <w:r w:rsidRPr="001F4DD0">
        <w:rPr>
          <w:b/>
        </w:rPr>
        <w:t>H</w:t>
      </w:r>
      <w:r w:rsidRPr="001F4DD0">
        <w:rPr>
          <w:b/>
          <w:vertAlign w:val="subscript"/>
        </w:rPr>
        <w:t>2</w:t>
      </w:r>
      <w:r w:rsidRPr="001F4DD0">
        <w:rPr>
          <w:b/>
        </w:rPr>
        <w:t xml:space="preserve">L3 </w:t>
      </w:r>
      <w:r w:rsidRPr="001F4DD0">
        <w:t xml:space="preserve">in an attempt to generate other porous frameworks with mononuclear nodes, through coordination of both carboxylate and imidazole groups. After screening a variety of synthesis conditions and metal ions, we found that reacting </w:t>
      </w:r>
      <w:r w:rsidRPr="001F4DD0">
        <w:rPr>
          <w:b/>
        </w:rPr>
        <w:t>H</w:t>
      </w:r>
      <w:r w:rsidRPr="001F4DD0">
        <w:rPr>
          <w:b/>
          <w:vertAlign w:val="subscript"/>
        </w:rPr>
        <w:t>2</w:t>
      </w:r>
      <w:r w:rsidRPr="001F4DD0">
        <w:rPr>
          <w:b/>
        </w:rPr>
        <w:t xml:space="preserve">L3 </w:t>
      </w:r>
      <w:r w:rsidRPr="001F4DD0">
        <w:t xml:space="preserve">with cadmium nitrate tetrahydrate in N,N-dimethylacetamide at 100 </w:t>
      </w:r>
      <w:r w:rsidRPr="001F4DD0">
        <w:rPr>
          <w:rFonts w:ascii="Times New Roman" w:hAnsi="Times New Roman"/>
        </w:rPr>
        <w:t>°</w:t>
      </w:r>
      <w:r w:rsidRPr="001F4DD0">
        <w:t xml:space="preserve">C gave orange rod crystals of complex </w:t>
      </w:r>
      <w:r w:rsidRPr="001F4DD0">
        <w:rPr>
          <w:b/>
        </w:rPr>
        <w:t>3</w:t>
      </w:r>
      <w:r w:rsidRPr="001F4DD0">
        <w:t xml:space="preserve"> within 6 hours. Analysis by single crystal X-ray diffraction gave a structural model in the hexagonal space group </w:t>
      </w:r>
      <w:r w:rsidRPr="001F4DD0">
        <w:rPr>
          <w:i/>
        </w:rPr>
        <w:t>P</w:t>
      </w:r>
      <w:r w:rsidRPr="001F4DD0">
        <w:t>6</w:t>
      </w:r>
      <w:r w:rsidRPr="001F4DD0">
        <w:rPr>
          <w:vertAlign w:val="subscript"/>
        </w:rPr>
        <w:t>5</w:t>
      </w:r>
      <w:r w:rsidRPr="001F4DD0">
        <w:t xml:space="preserve">22. As a consequence of the sixfold screw axis present, complex </w:t>
      </w:r>
      <w:r w:rsidRPr="001F4DD0">
        <w:rPr>
          <w:b/>
        </w:rPr>
        <w:t>3</w:t>
      </w:r>
      <w:r w:rsidRPr="001F4DD0">
        <w:t xml:space="preserve"> exhibits an extremely long </w:t>
      </w:r>
      <w:r w:rsidRPr="001F4DD0">
        <w:rPr>
          <w:i/>
        </w:rPr>
        <w:t>c</w:t>
      </w:r>
      <w:r w:rsidRPr="001F4DD0">
        <w:t xml:space="preserve"> unit cell edge of 100.2746(19) </w:t>
      </w:r>
      <w:r w:rsidRPr="001F4DD0">
        <w:rPr>
          <w:rFonts w:ascii="Times New Roman" w:hAnsi="Times New Roman"/>
        </w:rPr>
        <w:t>Å</w:t>
      </w:r>
      <w:r w:rsidRPr="001F4DD0">
        <w:t xml:space="preserve">. While this caused practical difficulties in </w:t>
      </w:r>
      <w:r w:rsidR="00A23284" w:rsidRPr="001F4DD0">
        <w:t>data collection</w:t>
      </w:r>
      <w:r w:rsidRPr="001F4DD0">
        <w:t xml:space="preserve">, the data provide an unambiguous structural model. The asymmetric unit of </w:t>
      </w:r>
      <w:r w:rsidRPr="001F4DD0">
        <w:rPr>
          <w:b/>
        </w:rPr>
        <w:t>3</w:t>
      </w:r>
      <w:r w:rsidRPr="001F4DD0">
        <w:t xml:space="preserve"> contains one doubly-deprotonated </w:t>
      </w:r>
      <w:r w:rsidRPr="001F4DD0">
        <w:rPr>
          <w:b/>
        </w:rPr>
        <w:t>L3</w:t>
      </w:r>
      <w:r w:rsidRPr="001F4DD0">
        <w:t xml:space="preserve"> species coordinating to a single unique cadmium (II) ion. No additional solvent or guest molecules could be located from the Fourier residuals, and the data were treated with the SQUEEZE routine.</w:t>
      </w:r>
      <w:r w:rsidR="00DC10A7" w:rsidRPr="001F4DD0">
        <w:rPr>
          <w:vertAlign w:val="superscript"/>
        </w:rPr>
        <w:t>15</w:t>
      </w:r>
      <w:r w:rsidR="00DC19DC" w:rsidRPr="001F4DD0">
        <w:rPr>
          <w:vertAlign w:val="superscript"/>
        </w:rPr>
        <w:t xml:space="preserve"> </w:t>
      </w:r>
      <w:r w:rsidRPr="001F4DD0">
        <w:t xml:space="preserve">The </w:t>
      </w:r>
      <w:r w:rsidRPr="001F4DD0">
        <w:rPr>
          <w:b/>
        </w:rPr>
        <w:t>L3</w:t>
      </w:r>
      <w:r w:rsidRPr="001F4DD0">
        <w:t xml:space="preserve"> molecule exhibits minor crystallographic disorder on one carboxyphenyl ring, but is otherwise surprisingly well ordered, especially compared to </w:t>
      </w:r>
      <w:r w:rsidRPr="001F4DD0">
        <w:rPr>
          <w:b/>
        </w:rPr>
        <w:t>L2</w:t>
      </w:r>
      <w:r w:rsidRPr="001F4DD0">
        <w:t xml:space="preserve"> in complex </w:t>
      </w:r>
      <w:r w:rsidRPr="001F4DD0">
        <w:rPr>
          <w:b/>
        </w:rPr>
        <w:t>2</w:t>
      </w:r>
      <w:r w:rsidRPr="001F4DD0">
        <w:t xml:space="preserve">. This observation is rationalised by considering the coordination mode of the ligand in complex </w:t>
      </w:r>
      <w:r w:rsidRPr="001F4DD0">
        <w:rPr>
          <w:b/>
        </w:rPr>
        <w:t>3</w:t>
      </w:r>
      <w:r w:rsidRPr="001F4DD0">
        <w:t xml:space="preserve">; all four donor groups are bound </w:t>
      </w:r>
      <w:r w:rsidRPr="001F4DD0">
        <w:rPr>
          <w:rFonts w:cstheme="minorHAnsi"/>
        </w:rPr>
        <w:t>to crystallographically equivalent Cd sites</w:t>
      </w:r>
      <w:r w:rsidR="00A23284" w:rsidRPr="001F4DD0">
        <w:rPr>
          <w:rFonts w:cstheme="minorHAnsi"/>
        </w:rPr>
        <w:t>, restricting the possible degrees of freedom of the ligand backbone</w:t>
      </w:r>
      <w:r w:rsidRPr="001F4DD0">
        <w:rPr>
          <w:rFonts w:cstheme="minorHAnsi"/>
        </w:rPr>
        <w:t xml:space="preserve">. The ligand provides relatively symmetric bridging distances of 21.0882(3) and 21.8907(3) </w:t>
      </w:r>
      <w:r w:rsidRPr="001F4DD0">
        <w:rPr>
          <w:rFonts w:ascii="Cambria Math" w:hAnsi="Cambria Math" w:cs="Cambria Math"/>
        </w:rPr>
        <w:t>Å</w:t>
      </w:r>
      <w:r w:rsidRPr="001F4DD0">
        <w:rPr>
          <w:rFonts w:cstheme="minorHAnsi"/>
        </w:rPr>
        <w:t xml:space="preserve"> for </w:t>
      </w:r>
      <w:r w:rsidR="005313F5" w:rsidRPr="001F4DD0">
        <w:rPr>
          <w:rFonts w:cstheme="minorHAnsi"/>
        </w:rPr>
        <w:t xml:space="preserve">carboxylate-carboxylate and imidazole-imidazole </w:t>
      </w:r>
      <w:r w:rsidR="00A23284" w:rsidRPr="001F4DD0">
        <w:rPr>
          <w:rFonts w:cstheme="minorHAnsi"/>
        </w:rPr>
        <w:t>linkages</w:t>
      </w:r>
      <w:r w:rsidR="005313F5" w:rsidRPr="001F4DD0">
        <w:rPr>
          <w:rFonts w:cstheme="minorHAnsi"/>
        </w:rPr>
        <w:t>, respectively.</w:t>
      </w:r>
      <w:r w:rsidRPr="001F4DD0">
        <w:rPr>
          <w:rFonts w:cstheme="minorHAnsi"/>
        </w:rPr>
        <w:t xml:space="preserve"> </w:t>
      </w:r>
      <w:r w:rsidR="00E90EEF" w:rsidRPr="001F4DD0">
        <w:rPr>
          <w:rFonts w:cstheme="minorHAnsi"/>
        </w:rPr>
        <w:t xml:space="preserve">The structure of complex </w:t>
      </w:r>
      <w:r w:rsidR="00E90EEF" w:rsidRPr="001F4DD0">
        <w:rPr>
          <w:rFonts w:cstheme="minorHAnsi"/>
          <w:b/>
        </w:rPr>
        <w:t>3</w:t>
      </w:r>
      <w:r w:rsidR="00E90EEF" w:rsidRPr="001F4DD0">
        <w:rPr>
          <w:rFonts w:cstheme="minorHAnsi"/>
        </w:rPr>
        <w:t xml:space="preserve"> is shown in Figure 5.</w:t>
      </w:r>
    </w:p>
    <w:p w14:paraId="3BEB5329" w14:textId="2DE34DA3" w:rsidR="00E90EEF" w:rsidRPr="001F4DD0" w:rsidRDefault="00E90EEF" w:rsidP="00E90EEF">
      <w:pPr>
        <w:pStyle w:val="RSCI02FigureSchemeChartwithtopbar"/>
      </w:pPr>
      <w:r w:rsidRPr="001F4DD0">
        <w:rPr>
          <w:noProof/>
          <w:lang w:eastAsia="en-GB"/>
        </w:rPr>
        <w:drawing>
          <wp:inline distT="0" distB="0" distL="0" distR="0" wp14:anchorId="788A4199" wp14:editId="4ED059FF">
            <wp:extent cx="2988945" cy="569785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945" cy="5697855"/>
                    </a:xfrm>
                    <a:prstGeom prst="rect">
                      <a:avLst/>
                    </a:prstGeom>
                    <a:noFill/>
                    <a:ln>
                      <a:noFill/>
                    </a:ln>
                  </pic:spPr>
                </pic:pic>
              </a:graphicData>
            </a:graphic>
          </wp:inline>
        </w:drawing>
      </w:r>
    </w:p>
    <w:p w14:paraId="042630D9" w14:textId="27DB8841" w:rsidR="00E90EEF" w:rsidRPr="001F4DD0" w:rsidRDefault="00E90EEF" w:rsidP="00E90EEF">
      <w:pPr>
        <w:pStyle w:val="RSCI01FigureSchemeChartwithbottombar"/>
      </w:pPr>
      <w:r w:rsidRPr="001F4DD0">
        <w:rPr>
          <w:b/>
        </w:rPr>
        <w:t>Figure 5</w:t>
      </w:r>
      <w:r w:rsidRPr="001F4DD0">
        <w:t xml:space="preserve"> (A) The ligand environment and coordination geometry in complex </w:t>
      </w:r>
      <w:r w:rsidRPr="001F4DD0">
        <w:rPr>
          <w:b/>
        </w:rPr>
        <w:t xml:space="preserve">3 </w:t>
      </w:r>
      <w:r w:rsidRPr="001F4DD0">
        <w:t xml:space="preserve">with labelling scheme for unique heteroatoms; (B) Extended structure of complex </w:t>
      </w:r>
      <w:r w:rsidRPr="001F4DD0">
        <w:rPr>
          <w:b/>
        </w:rPr>
        <w:t>3</w:t>
      </w:r>
      <w:r w:rsidRPr="001F4DD0">
        <w:t xml:space="preserve"> showing the connectivity of a single net viewed </w:t>
      </w:r>
      <w:r w:rsidR="00A23284" w:rsidRPr="001F4DD0">
        <w:t>along</w:t>
      </w:r>
      <w:r w:rsidRPr="001F4DD0">
        <w:t xml:space="preserve"> </w:t>
      </w:r>
      <w:r w:rsidRPr="001F4DD0">
        <w:rPr>
          <w:i/>
        </w:rPr>
        <w:t>a</w:t>
      </w:r>
      <w:r w:rsidRPr="001F4DD0">
        <w:t>/</w:t>
      </w:r>
      <w:r w:rsidRPr="001F4DD0">
        <w:rPr>
          <w:i/>
        </w:rPr>
        <w:t>b</w:t>
      </w:r>
      <w:r w:rsidRPr="001F4DD0">
        <w:t xml:space="preserve">; (C) Topological representation of the two interpenetrated nets in the structure of </w:t>
      </w:r>
      <w:r w:rsidRPr="001F4DD0">
        <w:rPr>
          <w:b/>
        </w:rPr>
        <w:t>3</w:t>
      </w:r>
      <w:r w:rsidRPr="001F4DD0">
        <w:t>. All hydrogen atoms and ligand disorder are omitted for clarity.</w:t>
      </w:r>
    </w:p>
    <w:p w14:paraId="1DD8CBA4" w14:textId="1045A973" w:rsidR="00696448" w:rsidRPr="001F4DD0" w:rsidRDefault="005313F5" w:rsidP="00A23284">
      <w:pPr>
        <w:pStyle w:val="RSCB02ArticleText"/>
      </w:pPr>
      <w:r w:rsidRPr="001F4DD0">
        <w:rPr>
          <w:rFonts w:cstheme="minorHAnsi"/>
        </w:rPr>
        <w:t xml:space="preserve">Each cadmium ion links four equivalent molecules of </w:t>
      </w:r>
      <w:r w:rsidRPr="001F4DD0">
        <w:rPr>
          <w:rFonts w:cstheme="minorHAnsi"/>
          <w:b/>
        </w:rPr>
        <w:t>L3</w:t>
      </w:r>
      <w:r w:rsidRPr="001F4DD0">
        <w:rPr>
          <w:rFonts w:cstheme="minorHAnsi"/>
        </w:rPr>
        <w:t xml:space="preserve"> and is coordinated in a distorted octahedral coordination geometry by the two partially chelating carbox</w:t>
      </w:r>
      <w:r w:rsidR="0062609D" w:rsidRPr="001F4DD0">
        <w:rPr>
          <w:rFonts w:cstheme="minorHAnsi"/>
        </w:rPr>
        <w:t>y</w:t>
      </w:r>
      <w:r w:rsidRPr="001F4DD0">
        <w:rPr>
          <w:rFonts w:cstheme="minorHAnsi"/>
        </w:rPr>
        <w:t>lates and two monodentate imidazoles. This gives approximately tetrahedral character to the four-connected no</w:t>
      </w:r>
      <w:r w:rsidRPr="001F4DD0">
        <w:t xml:space="preserve">de defined by the </w:t>
      </w:r>
      <w:r w:rsidR="00A23284" w:rsidRPr="001F4DD0">
        <w:t>metal</w:t>
      </w:r>
      <w:r w:rsidRPr="001F4DD0">
        <w:t xml:space="preserve"> site, while the four-connecting </w:t>
      </w:r>
      <w:r w:rsidRPr="001F4DD0">
        <w:rPr>
          <w:b/>
        </w:rPr>
        <w:t xml:space="preserve">L3 </w:t>
      </w:r>
      <w:r w:rsidRPr="001F4DD0">
        <w:t xml:space="preserve">node is oriented in an approximately square planar fashion. Considering this, it is unsurprising that the overall network topology can be described by the </w:t>
      </w:r>
      <w:r w:rsidRPr="001F4DD0">
        <w:rPr>
          <w:b/>
        </w:rPr>
        <w:t>pts</w:t>
      </w:r>
      <w:r w:rsidRPr="001F4DD0">
        <w:t xml:space="preserve"> net. </w:t>
      </w:r>
      <w:r w:rsidRPr="001F4DD0">
        <w:rPr>
          <w:rFonts w:cstheme="minorHAnsi"/>
        </w:rPr>
        <w:t>However, unlike the highest symmetry (P4</w:t>
      </w:r>
      <w:r w:rsidRPr="001F4DD0">
        <w:rPr>
          <w:rFonts w:cstheme="minorHAnsi"/>
          <w:vertAlign w:val="subscript"/>
        </w:rPr>
        <w:t>2</w:t>
      </w:r>
      <w:r w:rsidRPr="001F4DD0">
        <w:rPr>
          <w:rFonts w:cstheme="minorHAnsi"/>
        </w:rPr>
        <w:t xml:space="preserve">/mmc) form of </w:t>
      </w:r>
      <w:r w:rsidRPr="001F4DD0">
        <w:rPr>
          <w:rFonts w:cstheme="minorHAnsi"/>
          <w:b/>
        </w:rPr>
        <w:t>pts</w:t>
      </w:r>
      <w:r w:rsidRPr="001F4DD0">
        <w:rPr>
          <w:rFonts w:cstheme="minorHAnsi"/>
        </w:rPr>
        <w:t xml:space="preserve"> in which the adjacent square planar nodes are oriented at 90° to one another </w:t>
      </w:r>
      <w:r w:rsidRPr="001F4DD0">
        <w:rPr>
          <w:rFonts w:cstheme="minorHAnsi"/>
          <w:i/>
        </w:rPr>
        <w:t>via</w:t>
      </w:r>
      <w:r w:rsidRPr="001F4DD0">
        <w:rPr>
          <w:rFonts w:cstheme="minorHAnsi"/>
        </w:rPr>
        <w:t xml:space="preserve"> the tetrahedral nodes, in the hexagonal symmetry complex </w:t>
      </w:r>
      <w:r w:rsidRPr="001F4DD0">
        <w:rPr>
          <w:rFonts w:cstheme="minorHAnsi"/>
          <w:b/>
        </w:rPr>
        <w:t>3</w:t>
      </w:r>
      <w:r w:rsidRPr="001F4DD0">
        <w:rPr>
          <w:rFonts w:cstheme="minorHAnsi"/>
        </w:rPr>
        <w:t xml:space="preserve"> each square planar (</w:t>
      </w:r>
      <w:r w:rsidRPr="001F4DD0">
        <w:rPr>
          <w:rFonts w:cstheme="minorHAnsi"/>
          <w:b/>
        </w:rPr>
        <w:t>L3</w:t>
      </w:r>
      <w:r w:rsidRPr="001F4DD0">
        <w:rPr>
          <w:rFonts w:cstheme="minorHAnsi"/>
        </w:rPr>
        <w:t xml:space="preserve">) node is twisted by 60° relative to its nearest neighbours along </w:t>
      </w:r>
      <w:r w:rsidRPr="001F4DD0">
        <w:rPr>
          <w:rFonts w:cstheme="minorHAnsi"/>
          <w:i/>
        </w:rPr>
        <w:t>c</w:t>
      </w:r>
      <w:r w:rsidRPr="001F4DD0">
        <w:rPr>
          <w:rFonts w:cstheme="minorHAnsi"/>
        </w:rPr>
        <w:t>, relating to the extremely large unit cell dimension along this axis.</w:t>
      </w:r>
      <w:r w:rsidRPr="001F4DD0">
        <w:t xml:space="preserve"> </w:t>
      </w:r>
      <w:r w:rsidR="000C4CFE" w:rsidRPr="001F4DD0">
        <w:t xml:space="preserve">The very large windows present in an individual net of </w:t>
      </w:r>
      <w:r w:rsidR="000C4CFE" w:rsidRPr="001F4DD0">
        <w:rPr>
          <w:b/>
        </w:rPr>
        <w:t>3</w:t>
      </w:r>
      <w:r w:rsidR="000C4CFE" w:rsidRPr="001F4DD0">
        <w:t xml:space="preserve"> lead to </w:t>
      </w:r>
      <w:r w:rsidR="000C4CFE" w:rsidRPr="001F4DD0">
        <w:lastRenderedPageBreak/>
        <w:t xml:space="preserve">interpenetration; the complete structure of </w:t>
      </w:r>
      <w:r w:rsidR="000C4CFE" w:rsidRPr="001F4DD0">
        <w:rPr>
          <w:b/>
        </w:rPr>
        <w:t>3</w:t>
      </w:r>
      <w:r w:rsidR="000C4CFE" w:rsidRPr="001F4DD0">
        <w:t xml:space="preserve"> is twofold interpenetrated, however as a non</w:t>
      </w:r>
      <w:r w:rsidR="00A23284" w:rsidRPr="001F4DD0">
        <w:t xml:space="preserve"> </w:t>
      </w:r>
      <w:r w:rsidR="000C4CFE" w:rsidRPr="001F4DD0">
        <w:t xml:space="preserve">self-dual </w:t>
      </w:r>
      <w:r w:rsidR="000C4CFE" w:rsidRPr="001F4DD0">
        <w:rPr>
          <w:b/>
        </w:rPr>
        <w:t>pts</w:t>
      </w:r>
      <w:r w:rsidR="000C4CFE" w:rsidRPr="001F4DD0">
        <w:t xml:space="preserve"> net, the interpenetrated nets are offset to one another and leave considerable solvent-accessible volume of </w:t>
      </w:r>
      <w:r w:rsidR="004E00D3" w:rsidRPr="001F4DD0">
        <w:t>49</w:t>
      </w:r>
      <w:r w:rsidR="000C4CFE" w:rsidRPr="001F4DD0">
        <w:t xml:space="preserve">%, in the form of intersecting three-dimensional channels permeating the entire structure. </w:t>
      </w:r>
      <w:r w:rsidR="0062609D" w:rsidRPr="001F4DD0">
        <w:t>I</w:t>
      </w:r>
      <w:r w:rsidR="000C4CFE" w:rsidRPr="001F4DD0">
        <w:t xml:space="preserve">n keeping with the observations from complex </w:t>
      </w:r>
      <w:r w:rsidR="000C4CFE" w:rsidRPr="001F4DD0">
        <w:rPr>
          <w:b/>
        </w:rPr>
        <w:t>2</w:t>
      </w:r>
      <w:r w:rsidR="000C4CFE" w:rsidRPr="001F4DD0">
        <w:t xml:space="preserve"> and the structures of the free ligands, the pyrrole core of </w:t>
      </w:r>
      <w:r w:rsidR="000C4CFE" w:rsidRPr="001F4DD0">
        <w:rPr>
          <w:b/>
        </w:rPr>
        <w:t>L3</w:t>
      </w:r>
      <w:r w:rsidR="000C4CFE" w:rsidRPr="001F4DD0">
        <w:t xml:space="preserve"> within the structure does not undergo any substantial crystal packing interactions or </w:t>
      </w:r>
      <w:r w:rsidR="0062609D" w:rsidRPr="001F4DD0">
        <w:t xml:space="preserve">significant </w:t>
      </w:r>
      <w:r w:rsidR="000C4CFE" w:rsidRPr="001F4DD0">
        <w:t xml:space="preserve">close contacts with any other framework atoms. Only relatively minor </w:t>
      </w:r>
      <w:r w:rsidR="00A23284" w:rsidRPr="001F4DD0">
        <w:t xml:space="preserve">offset face-to-face </w:t>
      </w:r>
      <w:r w:rsidR="000C4CFE" w:rsidRPr="001F4DD0">
        <w:rPr>
          <w:rFonts w:cstheme="minorHAnsi"/>
        </w:rPr>
        <w:t>π</w:t>
      </w:r>
      <w:r w:rsidR="000C4CFE" w:rsidRPr="001F4DD0">
        <w:t>-</w:t>
      </w:r>
      <w:r w:rsidR="000C4CFE" w:rsidRPr="001F4DD0">
        <w:rPr>
          <w:rFonts w:cstheme="minorHAnsi"/>
        </w:rPr>
        <w:t>π</w:t>
      </w:r>
      <w:r w:rsidR="000C4CFE" w:rsidRPr="001F4DD0">
        <w:t xml:space="preserve"> contacts and C-H</w:t>
      </w:r>
      <w:r w:rsidR="000C4CFE" w:rsidRPr="001F4DD0">
        <w:rPr>
          <w:rFonts w:cstheme="minorHAnsi"/>
        </w:rPr>
        <w:t>···</w:t>
      </w:r>
      <w:r w:rsidR="000C4CFE" w:rsidRPr="001F4DD0">
        <w:t>O hydrogen bonding interactions are observed between adjacent imidazolyl and carboxylate groups from the interpenetrating nets.</w:t>
      </w:r>
    </w:p>
    <w:p w14:paraId="11493A2C" w14:textId="414951D9" w:rsidR="003F1547" w:rsidRPr="001F4DD0" w:rsidRDefault="003F1547" w:rsidP="00696448">
      <w:pPr>
        <w:pStyle w:val="RSCB02ArticleText"/>
      </w:pPr>
    </w:p>
    <w:p w14:paraId="34D5BD96" w14:textId="60E93A00" w:rsidR="003F1547" w:rsidRPr="001F4DD0" w:rsidRDefault="003F1547" w:rsidP="003F1547">
      <w:pPr>
        <w:pStyle w:val="RSCB06BHeadingSub-Section"/>
      </w:pPr>
      <w:r w:rsidRPr="001F4DD0">
        <w:t>Guest Exchange</w:t>
      </w:r>
      <w:r w:rsidR="0062609D" w:rsidRPr="001F4DD0">
        <w:t xml:space="preserve"> and</w:t>
      </w:r>
      <w:r w:rsidRPr="001F4DD0">
        <w:t xml:space="preserve"> Gas Adsorption Studies for Complexes 2 and 3</w:t>
      </w:r>
    </w:p>
    <w:p w14:paraId="3B088818" w14:textId="706603E6" w:rsidR="004E00D3" w:rsidRPr="001F4DD0" w:rsidRDefault="003F1547" w:rsidP="004E00D3">
      <w:pPr>
        <w:pStyle w:val="RSCB02ArticleText"/>
      </w:pPr>
      <w:r w:rsidRPr="001F4DD0">
        <w:t>Given the readily accessible pore volume</w:t>
      </w:r>
      <w:r w:rsidR="004E00D3" w:rsidRPr="001F4DD0">
        <w:t>s</w:t>
      </w:r>
      <w:r w:rsidRPr="001F4DD0">
        <w:t xml:space="preserve"> in</w:t>
      </w:r>
      <w:r w:rsidR="004E00D3" w:rsidRPr="001F4DD0">
        <w:t xml:space="preserve"> complexes</w:t>
      </w:r>
      <w:r w:rsidRPr="001F4DD0">
        <w:t xml:space="preserve"> </w:t>
      </w:r>
      <w:r w:rsidRPr="001F4DD0">
        <w:rPr>
          <w:b/>
        </w:rPr>
        <w:t>2</w:t>
      </w:r>
      <w:r w:rsidR="004E00D3" w:rsidRPr="001F4DD0">
        <w:rPr>
          <w:b/>
        </w:rPr>
        <w:t xml:space="preserve"> </w:t>
      </w:r>
      <w:r w:rsidR="004E00D3" w:rsidRPr="001F4DD0">
        <w:t xml:space="preserve">and </w:t>
      </w:r>
      <w:r w:rsidR="004E00D3" w:rsidRPr="001F4DD0">
        <w:rPr>
          <w:b/>
        </w:rPr>
        <w:t>3</w:t>
      </w:r>
      <w:r w:rsidRPr="001F4DD0">
        <w:t xml:space="preserve">, and the tendency for TPP-derived molecules, including </w:t>
      </w:r>
      <w:r w:rsidRPr="001F4DD0">
        <w:rPr>
          <w:b/>
        </w:rPr>
        <w:t>L1</w:t>
      </w:r>
      <w:r w:rsidRPr="001F4DD0">
        <w:t>, to show solvato</w:t>
      </w:r>
      <w:r w:rsidR="00A23284" w:rsidRPr="001F4DD0">
        <w:t>fluoro</w:t>
      </w:r>
      <w:r w:rsidRPr="001F4DD0">
        <w:t>chromic behaviour, we examined</w:t>
      </w:r>
      <w:r w:rsidR="004E00D3" w:rsidRPr="001F4DD0">
        <w:t xml:space="preserve"> the guest exchange properties of these complexes, as well as probing</w:t>
      </w:r>
      <w:r w:rsidRPr="001F4DD0">
        <w:t xml:space="preserve"> the solid-state photoluminescence of </w:t>
      </w:r>
      <w:r w:rsidRPr="001F4DD0">
        <w:rPr>
          <w:b/>
        </w:rPr>
        <w:t>2</w:t>
      </w:r>
      <w:r w:rsidR="004E00D3" w:rsidRPr="001F4DD0">
        <w:rPr>
          <w:b/>
        </w:rPr>
        <w:t xml:space="preserve"> </w:t>
      </w:r>
      <w:r w:rsidR="004E00D3" w:rsidRPr="001F4DD0">
        <w:t xml:space="preserve">and </w:t>
      </w:r>
      <w:r w:rsidR="004E00D3" w:rsidRPr="001F4DD0">
        <w:rPr>
          <w:b/>
        </w:rPr>
        <w:t>3</w:t>
      </w:r>
      <w:r w:rsidRPr="001F4DD0">
        <w:t xml:space="preserve"> as a function of the exchanged guest.</w:t>
      </w:r>
      <w:r w:rsidR="004E00D3" w:rsidRPr="001F4DD0">
        <w:t xml:space="preserve"> </w:t>
      </w:r>
      <w:r w:rsidRPr="001F4DD0">
        <w:t xml:space="preserve">Solvent exchange and gas adsorption studies were undertaken on </w:t>
      </w:r>
      <w:r w:rsidR="004E00D3" w:rsidRPr="001F4DD0">
        <w:t>the two permanently porous materials</w:t>
      </w:r>
      <w:r w:rsidRPr="001F4DD0">
        <w:t xml:space="preserve"> to probe </w:t>
      </w:r>
      <w:r w:rsidR="004E00D3" w:rsidRPr="001F4DD0">
        <w:t>their</w:t>
      </w:r>
      <w:r w:rsidRPr="001F4DD0">
        <w:t xml:space="preserve"> utility as adsorbent</w:t>
      </w:r>
      <w:r w:rsidR="004E00D3" w:rsidRPr="001F4DD0">
        <w:t>s</w:t>
      </w:r>
      <w:r w:rsidRPr="001F4DD0">
        <w:t>. Firstly, the as-synthesised crystals</w:t>
      </w:r>
      <w:r w:rsidR="00A23284" w:rsidRPr="001F4DD0">
        <w:t xml:space="preserve"> of </w:t>
      </w:r>
      <w:r w:rsidR="00A23284" w:rsidRPr="001F4DD0">
        <w:rPr>
          <w:b/>
        </w:rPr>
        <w:t>2</w:t>
      </w:r>
      <w:r w:rsidRPr="001F4DD0">
        <w:t xml:space="preserve"> were soaked in DMA for 12 hours to remove any residual reactants; digestion of the crystals with </w:t>
      </w:r>
      <w:r w:rsidRPr="001F4DD0">
        <w:rPr>
          <w:i/>
        </w:rPr>
        <w:t>d</w:t>
      </w:r>
      <w:r w:rsidRPr="001F4DD0">
        <w:rPr>
          <w:vertAlign w:val="subscript"/>
        </w:rPr>
        <w:t>1</w:t>
      </w:r>
      <w:r w:rsidRPr="001F4DD0">
        <w:t xml:space="preserve">-TFA and NMR of the resulting solution in </w:t>
      </w:r>
      <w:r w:rsidRPr="001F4DD0">
        <w:rPr>
          <w:i/>
        </w:rPr>
        <w:t>d</w:t>
      </w:r>
      <w:r w:rsidRPr="001F4DD0">
        <w:rPr>
          <w:vertAlign w:val="subscript"/>
        </w:rPr>
        <w:t>6</w:t>
      </w:r>
      <w:r w:rsidRPr="001F4DD0">
        <w:t xml:space="preserve">-DMSO showed only </w:t>
      </w:r>
      <w:r w:rsidRPr="001F4DD0">
        <w:rPr>
          <w:b/>
        </w:rPr>
        <w:t>H</w:t>
      </w:r>
      <w:r w:rsidRPr="001F4DD0">
        <w:rPr>
          <w:b/>
          <w:vertAlign w:val="subscript"/>
        </w:rPr>
        <w:t>2</w:t>
      </w:r>
      <w:r w:rsidRPr="001F4DD0">
        <w:rPr>
          <w:b/>
        </w:rPr>
        <w:t>L2</w:t>
      </w:r>
      <w:r w:rsidRPr="001F4DD0">
        <w:t xml:space="preserve"> and DMA remained (</w:t>
      </w:r>
      <w:r w:rsidR="0062609D" w:rsidRPr="001F4DD0">
        <w:t>Supporting Information, Figure S20</w:t>
      </w:r>
      <w:r w:rsidRPr="001F4DD0">
        <w:t>). This digestion process also led to partial deuteration of the pyrrolic C-H group, as has also been observed for pyrazole derivatives.</w:t>
      </w:r>
      <w:r w:rsidR="00DC10A7" w:rsidRPr="001F4DD0">
        <w:rPr>
          <w:vertAlign w:val="superscript"/>
        </w:rPr>
        <w:t>16</w:t>
      </w:r>
      <w:r w:rsidRPr="001F4DD0">
        <w:t xml:space="preserve"> </w:t>
      </w:r>
    </w:p>
    <w:p w14:paraId="7DAABCD9" w14:textId="7573488F" w:rsidR="003F1547" w:rsidRPr="001F4DD0" w:rsidRDefault="004E00D3" w:rsidP="004E00D3">
      <w:pPr>
        <w:pStyle w:val="RSCB02ArticleText"/>
        <w:ind w:firstLine="284"/>
      </w:pPr>
      <w:r w:rsidRPr="001F4DD0">
        <w:t xml:space="preserve">For complex </w:t>
      </w:r>
      <w:r w:rsidRPr="001F4DD0">
        <w:rPr>
          <w:b/>
        </w:rPr>
        <w:t>2</w:t>
      </w:r>
      <w:r w:rsidRPr="001F4DD0">
        <w:t>, t</w:t>
      </w:r>
      <w:r w:rsidR="003F1547" w:rsidRPr="001F4DD0">
        <w:t>he DMA-loaded crystals showed 45%</w:t>
      </w:r>
      <w:r w:rsidR="003F1547" w:rsidRPr="001F4DD0">
        <w:rPr>
          <w:i/>
        </w:rPr>
        <w:t xml:space="preserve"> </w:t>
      </w:r>
      <w:r w:rsidR="003F1547" w:rsidRPr="001F4DD0">
        <w:t xml:space="preserve">mass loss below 250 °C by TGA; this was consistent with the findings from elemental analysis, and integration of the digested NMR sample (approximately 8 DMA molecules per </w:t>
      </w:r>
      <w:r w:rsidR="003F1547" w:rsidRPr="001F4DD0">
        <w:rPr>
          <w:b/>
        </w:rPr>
        <w:t>L2</w:t>
      </w:r>
      <w:r w:rsidR="003F1547" w:rsidRPr="001F4DD0">
        <w:t xml:space="preserve"> group), all of which gave an approximate formula for the bulk solid of </w:t>
      </w:r>
      <w:r w:rsidR="003F1547" w:rsidRPr="001F4DD0">
        <w:rPr>
          <w:i/>
        </w:rPr>
        <w:t>poly</w:t>
      </w:r>
      <w:r w:rsidR="003F1547" w:rsidRPr="001F4DD0">
        <w:t>-[Zn</w:t>
      </w:r>
      <w:r w:rsidR="003F1547" w:rsidRPr="001F4DD0">
        <w:rPr>
          <w:vertAlign w:val="subscript"/>
        </w:rPr>
        <w:t>4</w:t>
      </w:r>
      <w:r w:rsidR="003F1547" w:rsidRPr="001F4DD0">
        <w:t>O(</w:t>
      </w:r>
      <w:r w:rsidR="003F1547" w:rsidRPr="001F4DD0">
        <w:rPr>
          <w:b/>
        </w:rPr>
        <w:t>L2</w:t>
      </w:r>
      <w:r w:rsidR="003F1547" w:rsidRPr="001F4DD0">
        <w:t>)</w:t>
      </w:r>
      <w:r w:rsidR="003F1547" w:rsidRPr="001F4DD0">
        <w:rPr>
          <w:vertAlign w:val="subscript"/>
        </w:rPr>
        <w:t>3</w:t>
      </w:r>
      <w:r w:rsidR="003F1547" w:rsidRPr="001F4DD0">
        <w:t>]·20DMA·10H</w:t>
      </w:r>
      <w:r w:rsidR="003F1547" w:rsidRPr="001F4DD0">
        <w:rPr>
          <w:vertAlign w:val="subscript"/>
        </w:rPr>
        <w:t>2</w:t>
      </w:r>
      <w:r w:rsidR="003F1547" w:rsidRPr="001F4DD0">
        <w:t xml:space="preserve">0 (calculated volatile mass 47.8%). Transferring these crystals to MeCN and soaking for 24 hours, and refreshing the exchange solution after 12 hours, gave full exchange; TGA showed a complete loss of 37 wt% solvent by 50 °C. X-ray powder diffraction of the MeCN-exchanged material </w:t>
      </w:r>
      <w:r w:rsidR="00057BB2" w:rsidRPr="001F4DD0">
        <w:t xml:space="preserve">at 100 K </w:t>
      </w:r>
      <w:r w:rsidR="003F1547" w:rsidRPr="001F4DD0">
        <w:t>revealed retention of crystallinity while the crystals remained solvated; however, drying in air for even a short period resulted in decomposition to a poorly crystalline phase.</w:t>
      </w:r>
    </w:p>
    <w:p w14:paraId="069D20EF" w14:textId="6A89B8F7" w:rsidR="004E00D3" w:rsidRPr="001F4DD0" w:rsidRDefault="003F1547" w:rsidP="004E00D3">
      <w:pPr>
        <w:pStyle w:val="RSCB02ArticleText"/>
        <w:ind w:firstLine="284"/>
        <w:rPr>
          <w:vertAlign w:val="superscript"/>
          <w:lang w:val="en-US"/>
        </w:rPr>
      </w:pPr>
      <w:r w:rsidRPr="001F4DD0">
        <w:rPr>
          <w:lang w:val="en-US"/>
        </w:rPr>
        <w:t>The MeCN-soaked crystals were evacuated at 75 °C under dynamic vacuum overnight (taking care to avoid contact of the dried crystals with air or moisture), and gas adsorption measurements were performed to probe the internal pore volume. Adsorption of N</w:t>
      </w:r>
      <w:r w:rsidRPr="001F4DD0">
        <w:rPr>
          <w:vertAlign w:val="subscript"/>
          <w:lang w:val="en-US"/>
        </w:rPr>
        <w:t>2</w:t>
      </w:r>
      <w:r w:rsidRPr="001F4DD0">
        <w:rPr>
          <w:lang w:val="en-US"/>
        </w:rPr>
        <w:t xml:space="preserve"> at 77 K provided a type-I isotherm typical for microporous materials of this type,</w:t>
      </w:r>
      <w:r w:rsidR="00E730C8" w:rsidRPr="001F4DD0">
        <w:rPr>
          <w:lang w:val="en-US"/>
        </w:rPr>
        <w:t xml:space="preserve"> although with slower equilibration on the adsorption branch possibly indicating some degree of pore constriction.</w:t>
      </w:r>
      <w:r w:rsidRPr="001F4DD0">
        <w:rPr>
          <w:lang w:val="en-US"/>
        </w:rPr>
        <w:t xml:space="preserve"> </w:t>
      </w:r>
      <w:r w:rsidR="00E730C8" w:rsidRPr="001F4DD0">
        <w:rPr>
          <w:lang w:val="en-US"/>
        </w:rPr>
        <w:t>The</w:t>
      </w:r>
      <w:r w:rsidRPr="001F4DD0">
        <w:rPr>
          <w:lang w:val="en-US"/>
        </w:rPr>
        <w:t xml:space="preserve"> calculated BET surface area</w:t>
      </w:r>
      <w:r w:rsidR="00E730C8" w:rsidRPr="001F4DD0">
        <w:rPr>
          <w:lang w:val="en-US"/>
        </w:rPr>
        <w:t xml:space="preserve">, taken from </w:t>
      </w:r>
      <w:r w:rsidR="00A412A1" w:rsidRPr="001F4DD0">
        <w:rPr>
          <w:lang w:val="en-US"/>
        </w:rPr>
        <w:t xml:space="preserve">the smooth </w:t>
      </w:r>
      <w:r w:rsidR="00E730C8" w:rsidRPr="001F4DD0">
        <w:rPr>
          <w:lang w:val="en-US"/>
        </w:rPr>
        <w:t>desorption branch</w:t>
      </w:r>
      <w:r w:rsidRPr="001F4DD0">
        <w:rPr>
          <w:lang w:val="en-US"/>
        </w:rPr>
        <w:t xml:space="preserve"> </w:t>
      </w:r>
      <w:r w:rsidR="00E730C8" w:rsidRPr="001F4DD0">
        <w:rPr>
          <w:lang w:val="en-US"/>
        </w:rPr>
        <w:t>is</w:t>
      </w:r>
      <w:r w:rsidRPr="001F4DD0">
        <w:rPr>
          <w:lang w:val="en-US"/>
        </w:rPr>
        <w:t xml:space="preserve"> </w:t>
      </w:r>
      <w:r w:rsidR="00E730C8" w:rsidRPr="001F4DD0">
        <w:rPr>
          <w:lang w:val="en-US"/>
        </w:rPr>
        <w:t>717</w:t>
      </w:r>
      <w:r w:rsidRPr="001F4DD0">
        <w:rPr>
          <w:lang w:val="en-US"/>
        </w:rPr>
        <w:t xml:space="preserve"> m</w:t>
      </w:r>
      <w:r w:rsidRPr="001F4DD0">
        <w:rPr>
          <w:vertAlign w:val="superscript"/>
          <w:lang w:val="en-US"/>
        </w:rPr>
        <w:t>2</w:t>
      </w:r>
      <w:r w:rsidRPr="001F4DD0">
        <w:rPr>
          <w:lang w:val="en-US"/>
        </w:rPr>
        <w:t>/g. Similarly, adsorption of H</w:t>
      </w:r>
      <w:r w:rsidRPr="001F4DD0">
        <w:rPr>
          <w:vertAlign w:val="subscript"/>
          <w:lang w:val="en-US"/>
        </w:rPr>
        <w:t>2</w:t>
      </w:r>
      <w:r w:rsidRPr="001F4DD0">
        <w:rPr>
          <w:lang w:val="en-US"/>
        </w:rPr>
        <w:t xml:space="preserve"> at 77 K revealed smooth adsorption and desorption branches with a maximum uptake of 106 cc(STP)/g (</w:t>
      </w:r>
      <w:r w:rsidRPr="001F4DD0">
        <w:rPr>
          <w:i/>
          <w:lang w:val="en-US"/>
        </w:rPr>
        <w:t xml:space="preserve">ca. </w:t>
      </w:r>
      <w:r w:rsidRPr="001F4DD0">
        <w:rPr>
          <w:lang w:val="en-US"/>
        </w:rPr>
        <w:t xml:space="preserve">1 wt%) at 1 </w:t>
      </w:r>
      <w:r w:rsidR="00057BB2" w:rsidRPr="001F4DD0">
        <w:rPr>
          <w:lang w:val="en-US"/>
        </w:rPr>
        <w:t>atm</w:t>
      </w:r>
      <w:r w:rsidR="004D5999" w:rsidRPr="001F4DD0">
        <w:rPr>
          <w:lang w:val="en-US"/>
        </w:rPr>
        <w:t>, as shown in Figure 6</w:t>
      </w:r>
      <w:r w:rsidRPr="001F4DD0">
        <w:rPr>
          <w:lang w:val="en-US"/>
        </w:rPr>
        <w:t>. Adsorption of CO</w:t>
      </w:r>
      <w:r w:rsidRPr="001F4DD0">
        <w:rPr>
          <w:vertAlign w:val="subscript"/>
          <w:lang w:val="en-US"/>
        </w:rPr>
        <w:t>2</w:t>
      </w:r>
      <w:r w:rsidRPr="001F4DD0">
        <w:rPr>
          <w:lang w:val="en-US"/>
        </w:rPr>
        <w:t xml:space="preserve"> at 273K gave a maximum uptake of 42 cc(STP)/g at 1 </w:t>
      </w:r>
      <w:r w:rsidR="00057BB2" w:rsidRPr="001F4DD0">
        <w:rPr>
          <w:lang w:val="en-US"/>
        </w:rPr>
        <w:t>atm</w:t>
      </w:r>
      <w:r w:rsidR="004D5999" w:rsidRPr="001F4DD0">
        <w:rPr>
          <w:lang w:val="en-US"/>
        </w:rPr>
        <w:t xml:space="preserve"> (Figure 7)</w:t>
      </w:r>
      <w:r w:rsidRPr="001F4DD0">
        <w:rPr>
          <w:lang w:val="en-US"/>
        </w:rPr>
        <w:t xml:space="preserve">, and using data from </w:t>
      </w:r>
      <w:r w:rsidR="00057BB2" w:rsidRPr="001F4DD0">
        <w:rPr>
          <w:lang w:val="en-US"/>
        </w:rPr>
        <w:t xml:space="preserve">the </w:t>
      </w:r>
      <w:r w:rsidRPr="001F4DD0">
        <w:rPr>
          <w:lang w:val="en-US"/>
        </w:rPr>
        <w:t xml:space="preserve">273 K, 283 </w:t>
      </w:r>
      <w:r w:rsidRPr="001F4DD0">
        <w:rPr>
          <w:lang w:val="en-US"/>
        </w:rPr>
        <w:t>K and 293 K isotherms (Supporting Information</w:t>
      </w:r>
      <w:r w:rsidR="0062609D" w:rsidRPr="001F4DD0">
        <w:rPr>
          <w:lang w:val="en-US"/>
        </w:rPr>
        <w:t>, Figure S16</w:t>
      </w:r>
      <w:r w:rsidRPr="001F4DD0">
        <w:rPr>
          <w:lang w:val="en-US"/>
        </w:rPr>
        <w:t>) the enthalpy of adsorption for CO</w:t>
      </w:r>
      <w:r w:rsidRPr="001F4DD0">
        <w:rPr>
          <w:vertAlign w:val="subscript"/>
          <w:lang w:val="en-US"/>
        </w:rPr>
        <w:t>2</w:t>
      </w:r>
      <w:r w:rsidRPr="001F4DD0">
        <w:rPr>
          <w:lang w:val="en-US"/>
        </w:rPr>
        <w:t xml:space="preserve"> at zero loading is estimated at approximately -24 kJ mol</w:t>
      </w:r>
      <w:r w:rsidRPr="001F4DD0">
        <w:rPr>
          <w:vertAlign w:val="superscript"/>
          <w:lang w:val="en-US"/>
        </w:rPr>
        <w:t>-1</w:t>
      </w:r>
      <w:r w:rsidRPr="001F4DD0">
        <w:rPr>
          <w:lang w:val="en-US"/>
        </w:rPr>
        <w:t>. These findings are consistent with a large open pore volume without strong adsorbent-adsorbate interactions (at least for these probe molecules), typical for “IRMOF”-type structures.</w:t>
      </w:r>
      <w:r w:rsidRPr="001F4DD0">
        <w:rPr>
          <w:vertAlign w:val="superscript"/>
          <w:lang w:val="en-US"/>
        </w:rPr>
        <w:t>1</w:t>
      </w:r>
      <w:r w:rsidR="00DC10A7" w:rsidRPr="001F4DD0">
        <w:rPr>
          <w:vertAlign w:val="superscript"/>
          <w:lang w:val="en-US"/>
        </w:rPr>
        <w:t>7</w:t>
      </w:r>
    </w:p>
    <w:p w14:paraId="6857AFFA" w14:textId="4F0834D8" w:rsidR="00E90EEF" w:rsidRPr="001F4DD0" w:rsidRDefault="00E90EEF" w:rsidP="00E90EEF">
      <w:pPr>
        <w:pStyle w:val="RSCI02FigureSchemeChartwithtopbar"/>
        <w:rPr>
          <w:vertAlign w:val="superscript"/>
          <w:lang w:val="en-US"/>
        </w:rPr>
      </w:pPr>
      <w:r w:rsidRPr="001F4DD0">
        <w:rPr>
          <w:noProof/>
          <w:vertAlign w:val="superscript"/>
          <w:lang w:eastAsia="en-GB"/>
        </w:rPr>
        <w:drawing>
          <wp:inline distT="0" distB="0" distL="0" distR="0" wp14:anchorId="0376E5D0" wp14:editId="1CC7A311">
            <wp:extent cx="3159760" cy="38690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9760" cy="3869055"/>
                    </a:xfrm>
                    <a:prstGeom prst="rect">
                      <a:avLst/>
                    </a:prstGeom>
                    <a:noFill/>
                    <a:ln>
                      <a:noFill/>
                    </a:ln>
                  </pic:spPr>
                </pic:pic>
              </a:graphicData>
            </a:graphic>
          </wp:inline>
        </w:drawing>
      </w:r>
    </w:p>
    <w:p w14:paraId="17F679A6" w14:textId="65A587CE" w:rsidR="00E90EEF" w:rsidRPr="001F4DD0" w:rsidRDefault="00E90EEF" w:rsidP="00E90EEF">
      <w:pPr>
        <w:pStyle w:val="RSCI01FigureSchemeChartwithbottombar"/>
        <w:rPr>
          <w:lang w:val="en-US"/>
        </w:rPr>
      </w:pPr>
      <w:r w:rsidRPr="001F4DD0">
        <w:rPr>
          <w:b/>
          <w:lang w:val="en-US"/>
        </w:rPr>
        <w:t>Figure 6</w:t>
      </w:r>
      <w:r w:rsidRPr="001F4DD0">
        <w:rPr>
          <w:lang w:val="en-US"/>
        </w:rPr>
        <w:t xml:space="preserve"> N</w:t>
      </w:r>
      <w:r w:rsidRPr="001F4DD0">
        <w:rPr>
          <w:vertAlign w:val="subscript"/>
          <w:lang w:val="en-US"/>
        </w:rPr>
        <w:t>2</w:t>
      </w:r>
      <w:r w:rsidRPr="001F4DD0">
        <w:rPr>
          <w:lang w:val="en-US"/>
        </w:rPr>
        <w:t xml:space="preserve"> (top) and H</w:t>
      </w:r>
      <w:r w:rsidRPr="001F4DD0">
        <w:rPr>
          <w:vertAlign w:val="subscript"/>
          <w:lang w:val="en-US"/>
        </w:rPr>
        <w:t>2</w:t>
      </w:r>
      <w:r w:rsidRPr="001F4DD0">
        <w:rPr>
          <w:lang w:val="en-US"/>
        </w:rPr>
        <w:t xml:space="preserve"> (bottom) adsorption isotherms for complexes </w:t>
      </w:r>
      <w:r w:rsidRPr="001F4DD0">
        <w:rPr>
          <w:b/>
          <w:lang w:val="en-US"/>
        </w:rPr>
        <w:t>2</w:t>
      </w:r>
      <w:r w:rsidRPr="001F4DD0">
        <w:rPr>
          <w:lang w:val="en-US"/>
        </w:rPr>
        <w:t xml:space="preserve"> (green/yellow) and </w:t>
      </w:r>
      <w:r w:rsidRPr="001F4DD0">
        <w:rPr>
          <w:b/>
          <w:lang w:val="en-US"/>
        </w:rPr>
        <w:t>3</w:t>
      </w:r>
      <w:r w:rsidRPr="001F4DD0">
        <w:rPr>
          <w:lang w:val="en-US"/>
        </w:rPr>
        <w:t xml:space="preserve"> (red/blue). All measurements were carried out at 77K.</w:t>
      </w:r>
    </w:p>
    <w:p w14:paraId="779306FE" w14:textId="446B89AC" w:rsidR="004F3418" w:rsidRPr="001F4DD0" w:rsidRDefault="004E00D3" w:rsidP="00057BB2">
      <w:pPr>
        <w:pStyle w:val="RSCB02ArticleText"/>
      </w:pPr>
      <w:r w:rsidRPr="001F4DD0">
        <w:t xml:space="preserve">For complex </w:t>
      </w:r>
      <w:r w:rsidRPr="001F4DD0">
        <w:rPr>
          <w:b/>
        </w:rPr>
        <w:t>3</w:t>
      </w:r>
      <w:r w:rsidRPr="001F4DD0">
        <w:t xml:space="preserve">, </w:t>
      </w:r>
      <w:r w:rsidR="00581EF2" w:rsidRPr="001F4DD0">
        <w:t xml:space="preserve">thermogravimetric analysis revealed a volatile mass of 28.5 wt%, lost in a gradual multi-step process plateauing above 200 °C. This offered excellent agreement with the calculated volatile mass from the molecular formula ascertained by elemental analysis of </w:t>
      </w:r>
      <w:r w:rsidR="00581EF2" w:rsidRPr="001F4DD0">
        <w:rPr>
          <w:i/>
        </w:rPr>
        <w:t>poly</w:t>
      </w:r>
      <w:r w:rsidR="00581EF2" w:rsidRPr="001F4DD0">
        <w:t>-[Cd</w:t>
      </w:r>
      <w:r w:rsidR="00581EF2" w:rsidRPr="001F4DD0">
        <w:rPr>
          <w:b/>
        </w:rPr>
        <w:t>L3</w:t>
      </w:r>
      <w:r w:rsidR="00581EF2" w:rsidRPr="001F4DD0">
        <w:t>]·2.5DMA·3.5H</w:t>
      </w:r>
      <w:r w:rsidR="00581EF2" w:rsidRPr="001F4DD0">
        <w:rPr>
          <w:vertAlign w:val="subscript"/>
        </w:rPr>
        <w:t>2</w:t>
      </w:r>
      <w:r w:rsidR="00581EF2" w:rsidRPr="001F4DD0">
        <w:t>O (calculated volatile mass 27.5 wt%)</w:t>
      </w:r>
      <w:r w:rsidRPr="001F4DD0">
        <w:t>.</w:t>
      </w:r>
      <w:r w:rsidR="00581EF2" w:rsidRPr="001F4DD0">
        <w:t xml:space="preserve"> Soaking the material in acetonitrile overnight gave efficient guest exchange, with the acetonitrile-soaked material </w:t>
      </w:r>
      <w:r w:rsidR="004437A3" w:rsidRPr="001F4DD0">
        <w:t xml:space="preserve">undergoing rapid loss of solvent initiating at room temperature and reaching a plateau by 100 °C. Both materials underwent gradual decomposition processes above 300 </w:t>
      </w:r>
      <w:r w:rsidR="004437A3" w:rsidRPr="001F4DD0">
        <w:rPr>
          <w:rFonts w:ascii="High Tower Text" w:hAnsi="High Tower Text"/>
        </w:rPr>
        <w:t>°</w:t>
      </w:r>
      <w:r w:rsidR="004437A3" w:rsidRPr="001F4DD0">
        <w:t xml:space="preserve">C mostly </w:t>
      </w:r>
      <w:r w:rsidR="004F3418" w:rsidRPr="001F4DD0">
        <w:t>centred</w:t>
      </w:r>
      <w:r w:rsidR="004437A3" w:rsidRPr="001F4DD0">
        <w:t xml:space="preserve"> </w:t>
      </w:r>
      <w:r w:rsidR="004F3418" w:rsidRPr="001F4DD0">
        <w:t>on</w:t>
      </w:r>
      <w:r w:rsidR="004437A3" w:rsidRPr="001F4DD0">
        <w:t xml:space="preserve"> rapid mass losses init</w:t>
      </w:r>
      <w:r w:rsidR="0062609D" w:rsidRPr="001F4DD0">
        <w:t>i</w:t>
      </w:r>
      <w:r w:rsidR="004437A3" w:rsidRPr="001F4DD0">
        <w:t xml:space="preserve">ating at </w:t>
      </w:r>
      <w:r w:rsidR="004437A3" w:rsidRPr="001F4DD0">
        <w:rPr>
          <w:i/>
        </w:rPr>
        <w:t>ca</w:t>
      </w:r>
      <w:r w:rsidR="00057BB2" w:rsidRPr="001F4DD0">
        <w:rPr>
          <w:i/>
        </w:rPr>
        <w:t>.</w:t>
      </w:r>
      <w:r w:rsidR="004437A3" w:rsidRPr="001F4DD0">
        <w:t xml:space="preserve"> 420 </w:t>
      </w:r>
      <w:r w:rsidR="004437A3" w:rsidRPr="001F4DD0">
        <w:rPr>
          <w:rFonts w:ascii="High Tower Text" w:hAnsi="High Tower Text"/>
        </w:rPr>
        <w:t>°</w:t>
      </w:r>
      <w:r w:rsidR="004437A3" w:rsidRPr="001F4DD0">
        <w:t>C.</w:t>
      </w:r>
      <w:r w:rsidRPr="001F4DD0">
        <w:t xml:space="preserve"> </w:t>
      </w:r>
    </w:p>
    <w:p w14:paraId="404D2B38" w14:textId="63EAFB8E" w:rsidR="004E00D3" w:rsidRPr="001F4DD0" w:rsidRDefault="004E00D3" w:rsidP="004E00D3">
      <w:pPr>
        <w:pStyle w:val="RSCB02ArticleText"/>
        <w:ind w:firstLine="284"/>
      </w:pPr>
      <w:r w:rsidRPr="001F4DD0">
        <w:t xml:space="preserve">The acetonitrile-exchanged material was evacuated under dynamic vacuum at 100 </w:t>
      </w:r>
      <w:r w:rsidRPr="001F4DD0">
        <w:rPr>
          <w:rFonts w:ascii="Times New Roman" w:hAnsi="Times New Roman"/>
        </w:rPr>
        <w:t>°</w:t>
      </w:r>
      <w:r w:rsidRPr="001F4DD0">
        <w:t xml:space="preserve">C overnight, and the same gas uptake experiments as discussed above were performed. Complex </w:t>
      </w:r>
      <w:r w:rsidRPr="001F4DD0">
        <w:rPr>
          <w:b/>
        </w:rPr>
        <w:t>3</w:t>
      </w:r>
      <w:r w:rsidRPr="001F4DD0">
        <w:t xml:space="preserve"> immediately revealed much improved gas uptake performance compared to </w:t>
      </w:r>
      <w:r w:rsidRPr="001F4DD0">
        <w:rPr>
          <w:b/>
        </w:rPr>
        <w:t>2</w:t>
      </w:r>
      <w:r w:rsidRPr="001F4DD0">
        <w:t xml:space="preserve"> for all gasses and conditions studied. </w:t>
      </w:r>
      <w:r w:rsidR="0062609D" w:rsidRPr="001F4DD0">
        <w:t>Adsorption</w:t>
      </w:r>
      <w:r w:rsidRPr="001F4DD0">
        <w:t xml:space="preserve"> of N</w:t>
      </w:r>
      <w:r w:rsidRPr="001F4DD0">
        <w:rPr>
          <w:vertAlign w:val="subscript"/>
        </w:rPr>
        <w:t>2</w:t>
      </w:r>
      <w:r w:rsidRPr="001F4DD0">
        <w:t xml:space="preserve"> at 77</w:t>
      </w:r>
      <w:r w:rsidR="0062609D" w:rsidRPr="001F4DD0">
        <w:t xml:space="preserve"> </w:t>
      </w:r>
      <w:r w:rsidRPr="001F4DD0">
        <w:t>K</w:t>
      </w:r>
      <w:r w:rsidR="004D5999" w:rsidRPr="001F4DD0">
        <w:t>, shown in Figure 6,</w:t>
      </w:r>
      <w:r w:rsidRPr="001F4DD0">
        <w:t xml:space="preserve"> gave a maximum uptake of 387 cc(STP)/g at </w:t>
      </w:r>
      <w:r w:rsidRPr="001F4DD0">
        <w:rPr>
          <w:i/>
        </w:rPr>
        <w:t>P</w:t>
      </w:r>
      <w:r w:rsidRPr="001F4DD0">
        <w:t>/</w:t>
      </w:r>
      <w:r w:rsidRPr="001F4DD0">
        <w:rPr>
          <w:i/>
        </w:rPr>
        <w:t>P</w:t>
      </w:r>
      <w:r w:rsidRPr="001F4DD0">
        <w:rPr>
          <w:vertAlign w:val="subscript"/>
        </w:rPr>
        <w:t xml:space="preserve">0 </w:t>
      </w:r>
      <w:r w:rsidRPr="001F4DD0">
        <w:t>= 0.99 and a calculated BET surface area of 1</w:t>
      </w:r>
      <w:r w:rsidR="00E730C8" w:rsidRPr="001F4DD0">
        <w:t>431</w:t>
      </w:r>
      <w:r w:rsidRPr="001F4DD0">
        <w:t xml:space="preserve"> m</w:t>
      </w:r>
      <w:r w:rsidRPr="001F4DD0">
        <w:rPr>
          <w:vertAlign w:val="superscript"/>
        </w:rPr>
        <w:t>2</w:t>
      </w:r>
      <w:r w:rsidRPr="001F4DD0">
        <w:t xml:space="preserve">/g, approximately twice that observed for </w:t>
      </w:r>
      <w:r w:rsidRPr="001F4DD0">
        <w:rPr>
          <w:b/>
        </w:rPr>
        <w:t>2</w:t>
      </w:r>
      <w:r w:rsidRPr="001F4DD0">
        <w:t>. Similarly, the maximum H</w:t>
      </w:r>
      <w:r w:rsidRPr="001F4DD0">
        <w:rPr>
          <w:vertAlign w:val="subscript"/>
        </w:rPr>
        <w:t>2</w:t>
      </w:r>
      <w:r w:rsidRPr="001F4DD0">
        <w:t xml:space="preserve"> uptake of 264 cc(STP)/g at 77K and 1 </w:t>
      </w:r>
      <w:r w:rsidR="00057BB2" w:rsidRPr="001F4DD0">
        <w:t>atm</w:t>
      </w:r>
      <w:r w:rsidRPr="001F4DD0">
        <w:t xml:space="preserve"> (2.1 wt%</w:t>
      </w:r>
      <w:r w:rsidR="004D5999" w:rsidRPr="001F4DD0">
        <w:t>, Figure 6</w:t>
      </w:r>
      <w:r w:rsidRPr="001F4DD0">
        <w:t>) and CO</w:t>
      </w:r>
      <w:r w:rsidRPr="001F4DD0">
        <w:rPr>
          <w:vertAlign w:val="subscript"/>
        </w:rPr>
        <w:t>2</w:t>
      </w:r>
      <w:r w:rsidRPr="001F4DD0">
        <w:t xml:space="preserve"> uptake of 141 cc(STP)/g at 278K and 1 </w:t>
      </w:r>
      <w:r w:rsidR="00057BB2" w:rsidRPr="001F4DD0">
        <w:lastRenderedPageBreak/>
        <w:t>atm</w:t>
      </w:r>
      <w:r w:rsidRPr="001F4DD0">
        <w:t xml:space="preserve"> (22 wt%</w:t>
      </w:r>
      <w:r w:rsidR="004D5999" w:rsidRPr="001F4DD0">
        <w:t>, Figure 7</w:t>
      </w:r>
      <w:r w:rsidRPr="001F4DD0">
        <w:t xml:space="preserve">) are 2-3.5 times the corresponding values </w:t>
      </w:r>
      <w:r w:rsidR="00816776" w:rsidRPr="001F4DD0">
        <w:t xml:space="preserve">measured </w:t>
      </w:r>
      <w:r w:rsidRPr="001F4DD0">
        <w:t xml:space="preserve">for complex </w:t>
      </w:r>
      <w:r w:rsidRPr="001F4DD0">
        <w:rPr>
          <w:b/>
        </w:rPr>
        <w:t>2</w:t>
      </w:r>
      <w:r w:rsidRPr="001F4DD0">
        <w:t xml:space="preserve">. The </w:t>
      </w:r>
      <w:r w:rsidR="00816776" w:rsidRPr="001F4DD0">
        <w:t xml:space="preserve">zero-loading </w:t>
      </w:r>
      <w:r w:rsidRPr="001F4DD0">
        <w:t>enthalpy of adsorption for CO</w:t>
      </w:r>
      <w:r w:rsidRPr="001F4DD0">
        <w:rPr>
          <w:vertAlign w:val="subscript"/>
        </w:rPr>
        <w:t>2</w:t>
      </w:r>
      <w:r w:rsidR="00816776" w:rsidRPr="001F4DD0">
        <w:rPr>
          <w:vertAlign w:val="subscript"/>
        </w:rPr>
        <w:t xml:space="preserve"> </w:t>
      </w:r>
      <w:r w:rsidR="00816776" w:rsidRPr="001F4DD0">
        <w:t>of approximately -25.5 kJ mol</w:t>
      </w:r>
      <w:r w:rsidR="00816776" w:rsidRPr="001F4DD0">
        <w:rPr>
          <w:vertAlign w:val="superscript"/>
        </w:rPr>
        <w:t>-1</w:t>
      </w:r>
      <w:r w:rsidRPr="001F4DD0">
        <w:t xml:space="preserve">, </w:t>
      </w:r>
      <w:r w:rsidR="00816776" w:rsidRPr="001F4DD0">
        <w:t>estimated</w:t>
      </w:r>
      <w:r w:rsidRPr="001F4DD0">
        <w:t xml:space="preserve"> from adsorption isotherms at 278, 293 and 308</w:t>
      </w:r>
      <w:r w:rsidR="00816776" w:rsidRPr="001F4DD0">
        <w:t xml:space="preserve"> K, is similar to that of complex </w:t>
      </w:r>
      <w:r w:rsidR="00816776" w:rsidRPr="001F4DD0">
        <w:rPr>
          <w:b/>
        </w:rPr>
        <w:t>2</w:t>
      </w:r>
      <w:r w:rsidR="00816776" w:rsidRPr="001F4DD0">
        <w:t xml:space="preserve"> and other non-functionalised MOF materials. </w:t>
      </w:r>
      <w:r w:rsidR="00A06328" w:rsidRPr="001F4DD0">
        <w:t xml:space="preserve">X-ray powder diffraction revealed that the structures of the DMA and MeCN-loaded complex </w:t>
      </w:r>
      <w:r w:rsidR="00A06328" w:rsidRPr="001F4DD0">
        <w:rPr>
          <w:b/>
        </w:rPr>
        <w:t>3</w:t>
      </w:r>
      <w:r w:rsidR="00A06328" w:rsidRPr="001F4DD0">
        <w:t xml:space="preserve"> were </w:t>
      </w:r>
      <w:r w:rsidR="00057BB2" w:rsidRPr="001F4DD0">
        <w:t>equivalent</w:t>
      </w:r>
      <w:r w:rsidR="00A06328" w:rsidRPr="001F4DD0">
        <w:t>, and both proved relatively stable to air exposure</w:t>
      </w:r>
      <w:r w:rsidR="00DC19DC" w:rsidRPr="001F4DD0">
        <w:t>, insofar as both measurements could be carried out in air without decomposition</w:t>
      </w:r>
      <w:r w:rsidR="00A06328" w:rsidRPr="001F4DD0">
        <w:t>.</w:t>
      </w:r>
      <w:r w:rsidR="00E730C8" w:rsidRPr="001F4DD0">
        <w:t xml:space="preserve"> In comparison, the relatively lower uptake capacity (despite a larger apparent pore volume), hysteretic adsorption of N</w:t>
      </w:r>
      <w:r w:rsidR="00E730C8" w:rsidRPr="001F4DD0">
        <w:rPr>
          <w:vertAlign w:val="subscript"/>
        </w:rPr>
        <w:t>2</w:t>
      </w:r>
      <w:r w:rsidR="00E730C8" w:rsidRPr="001F4DD0">
        <w:t xml:space="preserve"> and poor stability of complex </w:t>
      </w:r>
      <w:r w:rsidR="00E730C8" w:rsidRPr="001F4DD0">
        <w:rPr>
          <w:b/>
        </w:rPr>
        <w:t>2</w:t>
      </w:r>
      <w:r w:rsidR="00E730C8" w:rsidRPr="001F4DD0">
        <w:t xml:space="preserve"> on drying in air may indicate this material exhibits relatively poorer stability following harsh evacuation conditions compared to complex </w:t>
      </w:r>
      <w:r w:rsidR="00E730C8" w:rsidRPr="001F4DD0">
        <w:rPr>
          <w:b/>
        </w:rPr>
        <w:t>3</w:t>
      </w:r>
      <w:r w:rsidR="00E730C8" w:rsidRPr="001F4DD0">
        <w:t xml:space="preserve">. In spite of this, complex </w:t>
      </w:r>
      <w:r w:rsidR="00E730C8" w:rsidRPr="001F4DD0">
        <w:rPr>
          <w:b/>
        </w:rPr>
        <w:t>2</w:t>
      </w:r>
      <w:r w:rsidR="00E730C8" w:rsidRPr="001F4DD0">
        <w:t xml:space="preserve"> appears by X-ray powder diffraction to be indefinitely stable when immersed in aprotic solvents.</w:t>
      </w:r>
    </w:p>
    <w:p w14:paraId="40D20E30" w14:textId="13ADDAC5" w:rsidR="004D5999" w:rsidRPr="001F4DD0" w:rsidRDefault="004D5999" w:rsidP="004D5999">
      <w:pPr>
        <w:pStyle w:val="RSCI02FigureSchemeChartwithtopbar"/>
      </w:pPr>
      <w:r w:rsidRPr="001F4DD0">
        <w:rPr>
          <w:noProof/>
          <w:lang w:eastAsia="en-GB"/>
        </w:rPr>
        <w:drawing>
          <wp:inline distT="0" distB="0" distL="0" distR="0" wp14:anchorId="1277CB42" wp14:editId="3D63E8A4">
            <wp:extent cx="3159760" cy="38074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9760" cy="3807460"/>
                    </a:xfrm>
                    <a:prstGeom prst="rect">
                      <a:avLst/>
                    </a:prstGeom>
                    <a:noFill/>
                    <a:ln>
                      <a:noFill/>
                    </a:ln>
                  </pic:spPr>
                </pic:pic>
              </a:graphicData>
            </a:graphic>
          </wp:inline>
        </w:drawing>
      </w:r>
    </w:p>
    <w:p w14:paraId="0FAE783C" w14:textId="6AEE5C64" w:rsidR="004D5999" w:rsidRPr="001F4DD0" w:rsidRDefault="004D5999" w:rsidP="004D5999">
      <w:pPr>
        <w:pStyle w:val="RSCI01FigureSchemeChartwithbottombar"/>
      </w:pPr>
      <w:r w:rsidRPr="001F4DD0">
        <w:rPr>
          <w:b/>
        </w:rPr>
        <w:t xml:space="preserve">Figure 7 </w:t>
      </w:r>
      <w:r w:rsidRPr="001F4DD0">
        <w:t>CO</w:t>
      </w:r>
      <w:r w:rsidRPr="001F4DD0">
        <w:rPr>
          <w:vertAlign w:val="subscript"/>
        </w:rPr>
        <w:t>2</w:t>
      </w:r>
      <w:r w:rsidRPr="001F4DD0">
        <w:t xml:space="preserve"> adsorption isotherms for complexes </w:t>
      </w:r>
      <w:r w:rsidRPr="001F4DD0">
        <w:rPr>
          <w:b/>
        </w:rPr>
        <w:t>2</w:t>
      </w:r>
      <w:r w:rsidRPr="001F4DD0">
        <w:t xml:space="preserve"> (top) and </w:t>
      </w:r>
      <w:r w:rsidRPr="001F4DD0">
        <w:rPr>
          <w:b/>
        </w:rPr>
        <w:t>3</w:t>
      </w:r>
      <w:r w:rsidRPr="001F4DD0">
        <w:t xml:space="preserve"> (bottom), measured across three temperatures each as specified.</w:t>
      </w:r>
    </w:p>
    <w:p w14:paraId="677F406D" w14:textId="17D781B9" w:rsidR="0062609D" w:rsidRPr="001F4DD0" w:rsidRDefault="0062609D" w:rsidP="004E00D3">
      <w:pPr>
        <w:pStyle w:val="RSCB02ArticleText"/>
        <w:ind w:firstLine="284"/>
        <w:rPr>
          <w:i/>
        </w:rPr>
      </w:pPr>
    </w:p>
    <w:p w14:paraId="41984DCE" w14:textId="5086F801" w:rsidR="0062609D" w:rsidRPr="001F4DD0" w:rsidRDefault="0062609D" w:rsidP="0062609D">
      <w:pPr>
        <w:pStyle w:val="RSCB08CHeadingIn-line"/>
      </w:pPr>
      <w:r w:rsidRPr="001F4DD0">
        <w:t>Photoluminescence of Complexes 2 and 3</w:t>
      </w:r>
    </w:p>
    <w:p w14:paraId="160C6E59" w14:textId="6B07033B" w:rsidR="003F1547" w:rsidRPr="001F4DD0" w:rsidRDefault="0062609D" w:rsidP="0062609D">
      <w:pPr>
        <w:pStyle w:val="RSCB02ArticleText"/>
      </w:pPr>
      <w:r w:rsidRPr="001F4DD0">
        <w:t xml:space="preserve">The ability of compounds </w:t>
      </w:r>
      <w:r w:rsidRPr="001F4DD0">
        <w:rPr>
          <w:b/>
        </w:rPr>
        <w:t>2</w:t>
      </w:r>
      <w:r w:rsidRPr="001F4DD0">
        <w:t xml:space="preserve"> and </w:t>
      </w:r>
      <w:r w:rsidRPr="001F4DD0">
        <w:rPr>
          <w:b/>
        </w:rPr>
        <w:t xml:space="preserve">3 </w:t>
      </w:r>
      <w:r w:rsidRPr="001F4DD0">
        <w:t xml:space="preserve">to efficiently exchange guests, and the expectation that the adsorbed guests would come into close proximity of the fluorophore sites by the lack of strong packing interactions prompted an examination of the photoluminescence of the two MOFs as a function of the adsorbed guest. </w:t>
      </w:r>
      <w:r w:rsidR="003F1547" w:rsidRPr="001F4DD0">
        <w:t xml:space="preserve">With the solid samples remaining immersed in the guest solvent at all times, emission spectra were recorded for complex </w:t>
      </w:r>
      <w:r w:rsidR="003F1547" w:rsidRPr="001F4DD0">
        <w:rPr>
          <w:b/>
        </w:rPr>
        <w:t>2</w:t>
      </w:r>
      <w:r w:rsidR="003F1547" w:rsidRPr="001F4DD0">
        <w:t xml:space="preserve"> containing the original N,N-dimethylacetamide guest, as well as with acetonitrile and ethyl acetate guests. In the latter case, a stepwise exchange </w:t>
      </w:r>
      <w:r w:rsidR="003F1547" w:rsidRPr="001F4DD0">
        <w:rPr>
          <w:i/>
        </w:rPr>
        <w:t>via</w:t>
      </w:r>
      <w:r w:rsidR="003F1547" w:rsidRPr="001F4DD0">
        <w:t xml:space="preserve"> acetonitrile was </w:t>
      </w:r>
      <w:r w:rsidR="003F1547" w:rsidRPr="001F4DD0">
        <w:t>employed to ensure full exchange, confirmed by digestion and NMR of the solids</w:t>
      </w:r>
      <w:r w:rsidR="004F3418" w:rsidRPr="001F4DD0">
        <w:t xml:space="preserve"> (Supporting Information</w:t>
      </w:r>
      <w:r w:rsidRPr="001F4DD0">
        <w:t>, Figures S21 and S22</w:t>
      </w:r>
      <w:r w:rsidR="004F3418" w:rsidRPr="001F4DD0">
        <w:t>)</w:t>
      </w:r>
      <w:r w:rsidR="003F1547" w:rsidRPr="001F4DD0">
        <w:t xml:space="preserve">. As shown in Figure </w:t>
      </w:r>
      <w:r w:rsidR="004D5999" w:rsidRPr="001F4DD0">
        <w:t>8</w:t>
      </w:r>
      <w:r w:rsidR="003F1547" w:rsidRPr="001F4DD0">
        <w:t>, with excitation at 380 nm, the original (DMA) material shows an emission maximum at 495 nm, while a slight red-shift is observed in acetonitrile to a maximum of 502 nm. Ethyl acetate effects a blue shift of the emission band, with a maximum of 482 nm. The direction of these deviations follows the expected variation in Stokes shift as a function of dielectric constant and refractive index of the guests.</w:t>
      </w:r>
      <w:r w:rsidR="003F1547" w:rsidRPr="001F4DD0">
        <w:rPr>
          <w:vertAlign w:val="superscript"/>
        </w:rPr>
        <w:t>1</w:t>
      </w:r>
      <w:r w:rsidR="00DC10A7" w:rsidRPr="001F4DD0">
        <w:rPr>
          <w:vertAlign w:val="superscript"/>
        </w:rPr>
        <w:t>8</w:t>
      </w:r>
      <w:r w:rsidR="003F1547" w:rsidRPr="001F4DD0">
        <w:t xml:space="preserve"> Although the magnitude of the shift in emission maxima between acetonitrile and ethyl acetate, approximately 820 cm</w:t>
      </w:r>
      <w:r w:rsidR="003F1547" w:rsidRPr="001F4DD0">
        <w:rPr>
          <w:vertAlign w:val="superscript"/>
        </w:rPr>
        <w:t>-1</w:t>
      </w:r>
      <w:r w:rsidR="003F1547" w:rsidRPr="001F4DD0">
        <w:t>, is less pronounced than those observed</w:t>
      </w:r>
      <w:r w:rsidR="004F3418" w:rsidRPr="001F4DD0">
        <w:t xml:space="preserve"> in solution</w:t>
      </w:r>
      <w:r w:rsidR="003F1547" w:rsidRPr="001F4DD0">
        <w:t xml:space="preserve"> for other </w:t>
      </w:r>
      <w:r w:rsidR="004F3418" w:rsidRPr="001F4DD0">
        <w:t xml:space="preserve">fully </w:t>
      </w:r>
      <w:r w:rsidR="003F1547" w:rsidRPr="001F4DD0">
        <w:t xml:space="preserve">organic TPP derivatives by Gryko </w:t>
      </w:r>
      <w:r w:rsidR="003F1547" w:rsidRPr="001F4DD0">
        <w:rPr>
          <w:i/>
        </w:rPr>
        <w:t>et al</w:t>
      </w:r>
      <w:r w:rsidR="003F1547" w:rsidRPr="001F4DD0">
        <w:t>.,</w:t>
      </w:r>
      <w:r w:rsidR="003F1547" w:rsidRPr="001F4DD0">
        <w:rPr>
          <w:vertAlign w:val="superscript"/>
        </w:rPr>
        <w:t>7</w:t>
      </w:r>
      <w:r w:rsidR="003F1547" w:rsidRPr="001F4DD0">
        <w:t xml:space="preserve"> the difference in emission colour between the two is clearly visible to the naked eye (Figure </w:t>
      </w:r>
      <w:r w:rsidR="00D14182" w:rsidRPr="001F4DD0">
        <w:t>8</w:t>
      </w:r>
      <w:r w:rsidR="003F1547" w:rsidRPr="001F4DD0">
        <w:t>, inset).</w:t>
      </w:r>
    </w:p>
    <w:p w14:paraId="0713EBCB" w14:textId="20CCB8A3" w:rsidR="004D5999" w:rsidRPr="001F4DD0" w:rsidRDefault="004D5999" w:rsidP="004D5999">
      <w:pPr>
        <w:pStyle w:val="RSCI02FigureSchemeChartwithtopbar"/>
      </w:pPr>
      <w:r w:rsidRPr="001F4DD0">
        <w:rPr>
          <w:noProof/>
          <w:lang w:eastAsia="en-GB"/>
        </w:rPr>
        <w:drawing>
          <wp:inline distT="0" distB="0" distL="0" distR="0" wp14:anchorId="61EA0F07" wp14:editId="35BA8B4B">
            <wp:extent cx="3166110" cy="18421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6110" cy="1842135"/>
                    </a:xfrm>
                    <a:prstGeom prst="rect">
                      <a:avLst/>
                    </a:prstGeom>
                    <a:noFill/>
                    <a:ln>
                      <a:noFill/>
                    </a:ln>
                  </pic:spPr>
                </pic:pic>
              </a:graphicData>
            </a:graphic>
          </wp:inline>
        </w:drawing>
      </w:r>
    </w:p>
    <w:p w14:paraId="68D3FAA3" w14:textId="35E7FFA4" w:rsidR="004D5999" w:rsidRPr="001F4DD0" w:rsidRDefault="004D5999" w:rsidP="004D5999">
      <w:pPr>
        <w:pStyle w:val="RSCI01FigureSchemeChartwithbottombar"/>
      </w:pPr>
      <w:r w:rsidRPr="001F4DD0">
        <w:rPr>
          <w:b/>
        </w:rPr>
        <w:t>Figure 8</w:t>
      </w:r>
      <w:r w:rsidRPr="001F4DD0">
        <w:t xml:space="preserve"> Emission spectra (λ</w:t>
      </w:r>
      <w:r w:rsidRPr="001F4DD0">
        <w:rPr>
          <w:vertAlign w:val="subscript"/>
        </w:rPr>
        <w:t>ex</w:t>
      </w:r>
      <w:r w:rsidRPr="001F4DD0">
        <w:t xml:space="preserve"> = 380 nm) of complex </w:t>
      </w:r>
      <w:r w:rsidRPr="001F4DD0">
        <w:rPr>
          <w:b/>
        </w:rPr>
        <w:t>2</w:t>
      </w:r>
      <w:r w:rsidRPr="001F4DD0">
        <w:t xml:space="preserve"> with N,N-dimethylacetamide (black, dashed), ethyl acetate (blue) and acetonitrile guests (green). Inset: Photographs of complex </w:t>
      </w:r>
      <w:r w:rsidRPr="001F4DD0">
        <w:rPr>
          <w:b/>
        </w:rPr>
        <w:t>2</w:t>
      </w:r>
      <w:r w:rsidRPr="001F4DD0">
        <w:t xml:space="preserve"> under ethyl acetate or acetonitrile, respectively, under 366 nm irradiation.</w:t>
      </w:r>
    </w:p>
    <w:p w14:paraId="75F1FFCE" w14:textId="7902DF03" w:rsidR="003F1547" w:rsidRPr="001F4DD0" w:rsidRDefault="003F1547" w:rsidP="003F1547">
      <w:pPr>
        <w:pStyle w:val="RSCB02ArticleText"/>
      </w:pPr>
      <w:r w:rsidRPr="001F4DD0">
        <w:t>The emission colour for each guest also proved fully reversible upon soaking the solid in fresh solvent, and no photoluminescence was detected from the supernatant, ruling out the possibility of fluorophore dissolution from the framework itself. In order to address the possibility of the variation in luminescence being coupled to a structural rearrangement, X-ray powder diffraction was carried out at 100</w:t>
      </w:r>
      <w:r w:rsidR="00057BB2" w:rsidRPr="001F4DD0">
        <w:t> </w:t>
      </w:r>
      <w:r w:rsidRPr="001F4DD0">
        <w:t>K on the solvated samples. The diffraction patterns for the MeCN and EtOAc soaked materials proved almost identical</w:t>
      </w:r>
      <w:r w:rsidR="00057BB2" w:rsidRPr="001F4DD0">
        <w:t xml:space="preserve"> (Supporting Information, Figure S3)</w:t>
      </w:r>
      <w:r w:rsidRPr="001F4DD0">
        <w:t>, suggesting no significant structural rearrangement takes place to accompany the change in luminescence, and that the guest solvents are diffuse within the framework. This also implies that the photoluminescence behaviour arises from modulation of the bound fluorophore’s local electronic environment by the solvent, at least for the outer layers of the crystalline material.</w:t>
      </w:r>
    </w:p>
    <w:p w14:paraId="718BC42A" w14:textId="0DB78A6C" w:rsidR="00816776" w:rsidRPr="001F4DD0" w:rsidRDefault="009F0839" w:rsidP="003F1547">
      <w:pPr>
        <w:pStyle w:val="RSCB02ArticleText"/>
      </w:pPr>
      <w:r w:rsidRPr="001F4DD0">
        <w:tab/>
        <w:t xml:space="preserve">Having observed this guest-dependent emission behaviour in complex </w:t>
      </w:r>
      <w:r w:rsidRPr="001F4DD0">
        <w:rPr>
          <w:b/>
        </w:rPr>
        <w:t>2</w:t>
      </w:r>
      <w:r w:rsidRPr="001F4DD0">
        <w:t xml:space="preserve">, we turned our attention to complex </w:t>
      </w:r>
      <w:r w:rsidRPr="001F4DD0">
        <w:rPr>
          <w:b/>
        </w:rPr>
        <w:t>3</w:t>
      </w:r>
      <w:r w:rsidRPr="001F4DD0">
        <w:t xml:space="preserve"> to test for similar behaviour. However, to our surprise, complex </w:t>
      </w:r>
      <w:r w:rsidRPr="001F4DD0">
        <w:rPr>
          <w:b/>
        </w:rPr>
        <w:t>3</w:t>
      </w:r>
      <w:r w:rsidRPr="001F4DD0">
        <w:t xml:space="preserve"> as prepared exhibits no detectable photoluminescence. Following our methodology described above, we sequentially exchanged the internal guest molecules for MeCN, followed by EtOAc. Nonetheless, all three materials failed to exhibit any </w:t>
      </w:r>
      <w:r w:rsidR="00057BB2" w:rsidRPr="001F4DD0">
        <w:t xml:space="preserve">significant </w:t>
      </w:r>
      <w:r w:rsidRPr="001F4DD0">
        <w:t>fluorescence,</w:t>
      </w:r>
      <w:r w:rsidR="004437A3" w:rsidRPr="001F4DD0">
        <w:t xml:space="preserve"> either at room temperature or on cooling to 77K, </w:t>
      </w:r>
      <w:r w:rsidRPr="001F4DD0">
        <w:t xml:space="preserve">implying complex </w:t>
      </w:r>
      <w:r w:rsidRPr="001F4DD0">
        <w:rPr>
          <w:b/>
        </w:rPr>
        <w:t>3</w:t>
      </w:r>
      <w:r w:rsidRPr="001F4DD0">
        <w:t xml:space="preserve"> is intrinsically non-</w:t>
      </w:r>
      <w:r w:rsidR="004437A3" w:rsidRPr="001F4DD0">
        <w:t>emissive</w:t>
      </w:r>
      <w:r w:rsidRPr="001F4DD0">
        <w:t xml:space="preserve">. </w:t>
      </w:r>
    </w:p>
    <w:p w14:paraId="2E6E01F3" w14:textId="77777777" w:rsidR="00A06328" w:rsidRPr="001F4DD0" w:rsidRDefault="00A06328" w:rsidP="003F1547">
      <w:pPr>
        <w:pStyle w:val="RSCB02ArticleText"/>
      </w:pPr>
    </w:p>
    <w:p w14:paraId="61BEF783" w14:textId="05B7F627" w:rsidR="00816776" w:rsidRPr="001F4DD0" w:rsidRDefault="00816776" w:rsidP="00816776">
      <w:pPr>
        <w:pStyle w:val="RSCB06BHeadingSub-Section"/>
      </w:pPr>
      <w:r w:rsidRPr="001F4DD0">
        <w:t>Discussion</w:t>
      </w:r>
    </w:p>
    <w:p w14:paraId="1C626AB5" w14:textId="7507BE72" w:rsidR="001A63E9" w:rsidRPr="001F4DD0" w:rsidRDefault="001A63E9" w:rsidP="003F1547">
      <w:pPr>
        <w:pStyle w:val="RSCB02ArticleText"/>
      </w:pPr>
      <w:r w:rsidRPr="001F4DD0">
        <w:t>The structural chemistry of the TPP derivatives described above is an encouraging prospect for future developments in this area. It is already relatively well understood that rigid linear and square-planar ligand molecules are good candidates for forming robust and highly porous framework materials.</w:t>
      </w:r>
      <w:r w:rsidR="00DC10A7" w:rsidRPr="001F4DD0">
        <w:rPr>
          <w:vertAlign w:val="superscript"/>
        </w:rPr>
        <w:t>19</w:t>
      </w:r>
      <w:r w:rsidRPr="001F4DD0">
        <w:t xml:space="preserve"> However, incorporating intense photoluminescence functionality within the relatively compact ligand core without the need for any additional pendant functionality is a useful aspect of this versatile ligand system. The tendency of the TPP derivatives above to avoid strong </w:t>
      </w:r>
      <w:r w:rsidRPr="001F4DD0">
        <w:rPr>
          <w:rFonts w:cstheme="minorHAnsi"/>
        </w:rPr>
        <w:t>π</w:t>
      </w:r>
      <w:r w:rsidRPr="001F4DD0">
        <w:t>-</w:t>
      </w:r>
      <w:r w:rsidRPr="001F4DD0">
        <w:rPr>
          <w:rFonts w:cstheme="minorHAnsi"/>
        </w:rPr>
        <w:t>π</w:t>
      </w:r>
      <w:r w:rsidRPr="001F4DD0">
        <w:t xml:space="preserve"> interactions in the solid state is a key consideration for designing fluorescent porous materials, particularly for chemical sensing applications </w:t>
      </w:r>
      <w:r w:rsidR="00D14182" w:rsidRPr="001F4DD0">
        <w:t>requiring direct contact between analyte and fluorophore.</w:t>
      </w:r>
      <w:r w:rsidRPr="001F4DD0">
        <w:t xml:space="preserve"> </w:t>
      </w:r>
    </w:p>
    <w:p w14:paraId="3861AC42" w14:textId="5A9C729C" w:rsidR="003F1547" w:rsidRPr="001F4DD0" w:rsidRDefault="009F0839" w:rsidP="001A63E9">
      <w:pPr>
        <w:pStyle w:val="RSCB02ArticleText"/>
        <w:ind w:firstLine="284"/>
      </w:pPr>
      <w:r w:rsidRPr="001F4DD0">
        <w:t xml:space="preserve">Several explanations can be put forward to explain the discrepancy between the highly fluorescent free ligand </w:t>
      </w:r>
      <w:r w:rsidRPr="001F4DD0">
        <w:rPr>
          <w:b/>
        </w:rPr>
        <w:t>H</w:t>
      </w:r>
      <w:r w:rsidRPr="001F4DD0">
        <w:rPr>
          <w:b/>
          <w:vertAlign w:val="subscript"/>
        </w:rPr>
        <w:t>2</w:t>
      </w:r>
      <w:r w:rsidRPr="001F4DD0">
        <w:rPr>
          <w:b/>
        </w:rPr>
        <w:t xml:space="preserve">L3 </w:t>
      </w:r>
      <w:r w:rsidRPr="001F4DD0">
        <w:t>and the non-</w:t>
      </w:r>
      <w:r w:rsidR="00057BB2" w:rsidRPr="001F4DD0">
        <w:t>emissive</w:t>
      </w:r>
      <w:r w:rsidRPr="001F4DD0">
        <w:t xml:space="preserve"> complex</w:t>
      </w:r>
      <w:r w:rsidR="00057BB2" w:rsidRPr="001F4DD0">
        <w:t xml:space="preserve"> </w:t>
      </w:r>
      <w:r w:rsidR="00057BB2" w:rsidRPr="001F4DD0">
        <w:rPr>
          <w:b/>
        </w:rPr>
        <w:t>3</w:t>
      </w:r>
      <w:r w:rsidRPr="001F4DD0">
        <w:t xml:space="preserve">. In contrast to complexes </w:t>
      </w:r>
      <w:r w:rsidRPr="001F4DD0">
        <w:rPr>
          <w:b/>
        </w:rPr>
        <w:t>1</w:t>
      </w:r>
      <w:r w:rsidRPr="001F4DD0">
        <w:t xml:space="preserve"> and </w:t>
      </w:r>
      <w:r w:rsidRPr="001F4DD0">
        <w:rPr>
          <w:b/>
        </w:rPr>
        <w:t>2</w:t>
      </w:r>
      <w:r w:rsidRPr="001F4DD0">
        <w:t>, the coordination through the</w:t>
      </w:r>
      <w:r w:rsidR="001A63E9" w:rsidRPr="001F4DD0">
        <w:t xml:space="preserve"> pyrrolic</w:t>
      </w:r>
      <w:r w:rsidRPr="001F4DD0">
        <w:t xml:space="preserve"> N-substituent is the d</w:t>
      </w:r>
      <w:r w:rsidR="001A63E9" w:rsidRPr="001F4DD0">
        <w:t>istinctive</w:t>
      </w:r>
      <w:r w:rsidRPr="001F4DD0">
        <w:t xml:space="preserve"> feature of complex </w:t>
      </w:r>
      <w:r w:rsidRPr="001F4DD0">
        <w:rPr>
          <w:b/>
        </w:rPr>
        <w:t>3</w:t>
      </w:r>
      <w:r w:rsidRPr="001F4DD0">
        <w:t>. Co</w:t>
      </w:r>
      <w:r w:rsidR="00621D14" w:rsidRPr="001F4DD0">
        <w:t>ordination</w:t>
      </w:r>
      <w:r w:rsidRPr="001F4DD0">
        <w:t xml:space="preserve"> </w:t>
      </w:r>
      <w:r w:rsidR="00621D14" w:rsidRPr="001F4DD0">
        <w:t>of a metal cation</w:t>
      </w:r>
      <w:r w:rsidRPr="001F4DD0">
        <w:t xml:space="preserve"> at this position </w:t>
      </w:r>
      <w:r w:rsidR="001A63E9" w:rsidRPr="001F4DD0">
        <w:t xml:space="preserve">will most likely </w:t>
      </w:r>
      <w:r w:rsidR="00621D14" w:rsidRPr="001F4DD0">
        <w:t>reduce the electron donor capacity of the central electron-rich core and</w:t>
      </w:r>
      <w:r w:rsidR="001A63E9" w:rsidRPr="001F4DD0">
        <w:t xml:space="preserve"> reduc</w:t>
      </w:r>
      <w:r w:rsidR="00621D14" w:rsidRPr="001F4DD0">
        <w:t>e</w:t>
      </w:r>
      <w:r w:rsidR="001A63E9" w:rsidRPr="001F4DD0">
        <w:t xml:space="preserve"> the electron donor capacity of the imidazolylphenyl substituent</w:t>
      </w:r>
      <w:r w:rsidR="00621D14" w:rsidRPr="001F4DD0">
        <w:t>, which is known to be a key element in the fluorescence of these compounds</w:t>
      </w:r>
      <w:r w:rsidR="001A63E9" w:rsidRPr="001F4DD0">
        <w:t>.</w:t>
      </w:r>
      <w:r w:rsidR="00621D14" w:rsidRPr="001F4DD0">
        <w:rPr>
          <w:vertAlign w:val="superscript"/>
        </w:rPr>
        <w:t>7</w:t>
      </w:r>
      <w:r w:rsidR="001A63E9" w:rsidRPr="001F4DD0">
        <w:t xml:space="preserve"> Additionally,</w:t>
      </w:r>
      <w:r w:rsidRPr="001F4DD0">
        <w:t xml:space="preserve"> </w:t>
      </w:r>
      <w:r w:rsidR="001A63E9" w:rsidRPr="001F4DD0">
        <w:t>co</w:t>
      </w:r>
      <w:r w:rsidR="00621D14" w:rsidRPr="001F4DD0">
        <w:t xml:space="preserve">njugation of the heavy </w:t>
      </w:r>
      <w:r w:rsidR="001A63E9" w:rsidRPr="001F4DD0">
        <w:t xml:space="preserve">Cd(II) </w:t>
      </w:r>
      <w:r w:rsidR="00621D14" w:rsidRPr="001F4DD0">
        <w:t xml:space="preserve">ion </w:t>
      </w:r>
      <w:r w:rsidR="001A63E9" w:rsidRPr="001F4DD0">
        <w:t xml:space="preserve">in this way </w:t>
      </w:r>
      <w:r w:rsidR="00057BB2" w:rsidRPr="001F4DD0">
        <w:t>may</w:t>
      </w:r>
      <w:r w:rsidRPr="001F4DD0">
        <w:t xml:space="preserve"> </w:t>
      </w:r>
      <w:r w:rsidR="00621D14" w:rsidRPr="001F4DD0">
        <w:t>influence the excited-state lifetime of the fluorophore,</w:t>
      </w:r>
      <w:r w:rsidR="00621D14" w:rsidRPr="001F4DD0">
        <w:rPr>
          <w:vertAlign w:val="superscript"/>
        </w:rPr>
        <w:t>18</w:t>
      </w:r>
      <w:r w:rsidRPr="001F4DD0">
        <w:t xml:space="preserve"> which </w:t>
      </w:r>
      <w:r w:rsidR="00057BB2" w:rsidRPr="001F4DD0">
        <w:t>would be expected to</w:t>
      </w:r>
      <w:r w:rsidR="001A63E9" w:rsidRPr="001F4DD0">
        <w:t xml:space="preserve"> make efficient</w:t>
      </w:r>
      <w:r w:rsidRPr="001F4DD0">
        <w:t xml:space="preserve"> quenching through non-radiative decay pathways (for example, aromatic ring rotations</w:t>
      </w:r>
      <w:r w:rsidR="00621D14" w:rsidRPr="001F4DD0">
        <w:rPr>
          <w:vertAlign w:val="superscript"/>
        </w:rPr>
        <w:t>20</w:t>
      </w:r>
      <w:r w:rsidRPr="001F4DD0">
        <w:t xml:space="preserve"> allowed by the loose packing mode in the porous framework) more influential.</w:t>
      </w:r>
    </w:p>
    <w:p w14:paraId="7FE1E6AA" w14:textId="46CBF78D" w:rsidR="00E61949" w:rsidRPr="001F4DD0" w:rsidRDefault="00180ABE" w:rsidP="00AF4737">
      <w:pPr>
        <w:pStyle w:val="RSCB04AHeadingSection"/>
      </w:pPr>
      <w:r w:rsidRPr="001F4DD0">
        <w:t>Conclusions</w:t>
      </w:r>
    </w:p>
    <w:p w14:paraId="7BAF5372" w14:textId="264FC70C" w:rsidR="002A1271" w:rsidRPr="001F4DD0" w:rsidRDefault="002A1271" w:rsidP="002A1271">
      <w:pPr>
        <w:pStyle w:val="RSCB02ArticleText"/>
        <w:rPr>
          <w:lang w:val="en-US"/>
        </w:rPr>
      </w:pPr>
      <w:r w:rsidRPr="001F4DD0">
        <w:rPr>
          <w:lang w:val="en-US"/>
        </w:rPr>
        <w:t>The capability for TPP fluorophores to form 3-dimensional coordination polymers with prominent luminescence and permanent porosity is an extremely encouraging result in the search for MOF-based fluorescent sensor devices.</w:t>
      </w:r>
      <w:r w:rsidR="00DD4C92" w:rsidRPr="001F4DD0">
        <w:rPr>
          <w:lang w:val="en-US"/>
        </w:rPr>
        <w:t xml:space="preserve"> Here, we have shown that metal-coordinating functionality can be readily appended to the TPP fluorophore core, and used to transfer responsive photoluminescence properties into a porous framework.</w:t>
      </w:r>
      <w:r w:rsidRPr="001F4DD0">
        <w:rPr>
          <w:lang w:val="en-US"/>
        </w:rPr>
        <w:t xml:space="preserve"> As the basis of MOF linker molecules, the TPP moiety provides several useful features; as well as structural rigidity, the relatively small and electron</w:t>
      </w:r>
      <w:r w:rsidR="00057BB2" w:rsidRPr="001F4DD0">
        <w:rPr>
          <w:lang w:val="en-US"/>
        </w:rPr>
        <w:t>-</w:t>
      </w:r>
      <w:r w:rsidRPr="001F4DD0">
        <w:rPr>
          <w:lang w:val="en-US"/>
        </w:rPr>
        <w:t>rich central π-surface flanked by twisted phenyl groups may serve to dissuade aggregation through face-to-face π-π interactions which can often lead to dense packing modes in other fluorophore species. Indeed, fully exposing the fluorophore core to the internal pore volume in microporous materials is a key consideration in extracting the maximum performance of heterogeneous chemical sensors of this type. By combining the structural and photophysical properties of the TPP core with the selective adsorption and concentration effects at play in microporous hosts, a new generation of sensitive and versatile sensor platforms may become a reality, with numerous potential applications.</w:t>
      </w:r>
    </w:p>
    <w:p w14:paraId="43E91BFA" w14:textId="60E31518" w:rsidR="003F1547" w:rsidRPr="001F4DD0" w:rsidRDefault="003F1547" w:rsidP="00E61949">
      <w:pPr>
        <w:pStyle w:val="RSCB02ArticleText"/>
      </w:pPr>
    </w:p>
    <w:p w14:paraId="02AD1A4E" w14:textId="4246287B" w:rsidR="003F1547" w:rsidRPr="001F4DD0" w:rsidRDefault="003F1547" w:rsidP="003F1547">
      <w:pPr>
        <w:pStyle w:val="RSCB04AHeadingSection"/>
      </w:pPr>
      <w:r w:rsidRPr="001F4DD0">
        <w:t>Experimental</w:t>
      </w:r>
    </w:p>
    <w:p w14:paraId="188BD027" w14:textId="61A15EFA" w:rsidR="003F1547" w:rsidRPr="001F4DD0" w:rsidRDefault="003F1547" w:rsidP="003F1547">
      <w:pPr>
        <w:pStyle w:val="RSCB06BHeadingSub-Section"/>
      </w:pPr>
      <w:r w:rsidRPr="001F4DD0">
        <w:t>Materials and Methods</w:t>
      </w:r>
    </w:p>
    <w:p w14:paraId="290E86EB" w14:textId="354E3438" w:rsidR="003F1547" w:rsidRPr="001F4DD0" w:rsidRDefault="003F1547" w:rsidP="003F1547">
      <w:pPr>
        <w:pStyle w:val="RSCB02ArticleText"/>
        <w:rPr>
          <w:lang w:val="en-AU"/>
        </w:rPr>
      </w:pPr>
      <w:r w:rsidRPr="001F4DD0">
        <w:rPr>
          <w:lang w:val="en-AU"/>
        </w:rPr>
        <w:t xml:space="preserve">All starting materials, reagents and solvents were purchased from Sigma/Merck, Fluorochem or Alfa Aesar, and were used as received without further purification. Synthesis of the ligands was adapted from the general synthesis reported by Gryko </w:t>
      </w:r>
      <w:r w:rsidRPr="001F4DD0">
        <w:rPr>
          <w:i/>
          <w:lang w:val="en-AU"/>
        </w:rPr>
        <w:t>et al.</w:t>
      </w:r>
      <w:r w:rsidRPr="001F4DD0">
        <w:rPr>
          <w:vertAlign w:val="superscript"/>
          <w:lang w:val="en-AU"/>
        </w:rPr>
        <w:t>7</w:t>
      </w:r>
      <w:r w:rsidRPr="001F4DD0">
        <w:rPr>
          <w:lang w:val="en-AU"/>
        </w:rPr>
        <w:t xml:space="preserve"> NMR spectra were recorded using a Bruker AVANCE III instrument operating at 400 MHz for </w:t>
      </w:r>
      <w:r w:rsidRPr="001F4DD0">
        <w:rPr>
          <w:vertAlign w:val="superscript"/>
          <w:lang w:val="en-AU"/>
        </w:rPr>
        <w:t>1</w:t>
      </w:r>
      <w:r w:rsidRPr="001F4DD0">
        <w:rPr>
          <w:lang w:val="en-AU"/>
        </w:rPr>
        <w:t xml:space="preserve">H and 100 MHz for </w:t>
      </w:r>
      <w:r w:rsidRPr="001F4DD0">
        <w:rPr>
          <w:vertAlign w:val="superscript"/>
          <w:lang w:val="en-AU"/>
        </w:rPr>
        <w:t>13</w:t>
      </w:r>
      <w:r w:rsidRPr="001F4DD0">
        <w:rPr>
          <w:lang w:val="en-AU"/>
        </w:rPr>
        <w:t xml:space="preserve">C, using </w:t>
      </w:r>
      <w:r w:rsidRPr="001F4DD0">
        <w:rPr>
          <w:i/>
          <w:lang w:val="en-AU"/>
        </w:rPr>
        <w:t>d</w:t>
      </w:r>
      <w:r w:rsidRPr="001F4DD0">
        <w:rPr>
          <w:vertAlign w:val="subscript"/>
          <w:lang w:val="en-AU"/>
        </w:rPr>
        <w:t>6</w:t>
      </w:r>
      <w:r w:rsidRPr="001F4DD0">
        <w:rPr>
          <w:lang w:val="en-AU"/>
        </w:rPr>
        <w:t>-DMSO as the solvent. Chemical shifts are reported in ppm with the residual solvent as the internal reference. For the digestion experiments, solid samples of each complex (</w:t>
      </w:r>
      <w:r w:rsidRPr="001F4DD0">
        <w:rPr>
          <w:i/>
          <w:lang w:val="en-AU"/>
        </w:rPr>
        <w:t>ca</w:t>
      </w:r>
      <w:r w:rsidRPr="001F4DD0">
        <w:rPr>
          <w:lang w:val="en-AU"/>
        </w:rPr>
        <w:t xml:space="preserve">. 5 mg) were decomposed with 1-2 drops of </w:t>
      </w:r>
      <w:r w:rsidRPr="001F4DD0">
        <w:rPr>
          <w:i/>
          <w:lang w:val="en-AU"/>
        </w:rPr>
        <w:t>d</w:t>
      </w:r>
      <w:r w:rsidRPr="001F4DD0">
        <w:rPr>
          <w:vertAlign w:val="subscript"/>
          <w:lang w:val="en-AU"/>
        </w:rPr>
        <w:t>1</w:t>
      </w:r>
      <w:r w:rsidRPr="001F4DD0">
        <w:rPr>
          <w:lang w:val="en-AU"/>
        </w:rPr>
        <w:t xml:space="preserve">-TFA and the resulting mixture was diluted using </w:t>
      </w:r>
      <w:r w:rsidRPr="001F4DD0">
        <w:rPr>
          <w:i/>
          <w:lang w:val="en-AU"/>
        </w:rPr>
        <w:t>d</w:t>
      </w:r>
      <w:r w:rsidRPr="001F4DD0">
        <w:rPr>
          <w:vertAlign w:val="subscript"/>
          <w:lang w:val="en-AU"/>
        </w:rPr>
        <w:t>6</w:t>
      </w:r>
      <w:r w:rsidRPr="001F4DD0">
        <w:rPr>
          <w:lang w:val="en-AU"/>
        </w:rPr>
        <w:t xml:space="preserve">-DMSO to obtain spectra. Mass spectra were acquired using a Micromass time of flight mass spectrometer (tof), interfaced to a Waters 2690 HPLC, with samples dissolved in HPLC-grade MeOH or MeCN, with trace methanolic NaOH added to </w:t>
      </w:r>
      <w:r w:rsidRPr="001F4DD0">
        <w:rPr>
          <w:b/>
          <w:lang w:val="en-AU"/>
        </w:rPr>
        <w:t xml:space="preserve">2 </w:t>
      </w:r>
      <w:r w:rsidR="00DD4C92" w:rsidRPr="001F4DD0">
        <w:rPr>
          <w:lang w:val="en-AU"/>
        </w:rPr>
        <w:t>and</w:t>
      </w:r>
      <w:r w:rsidR="00DD4C92" w:rsidRPr="001F4DD0">
        <w:rPr>
          <w:b/>
          <w:lang w:val="en-AU"/>
        </w:rPr>
        <w:t xml:space="preserve"> 3 </w:t>
      </w:r>
      <w:r w:rsidRPr="001F4DD0">
        <w:rPr>
          <w:lang w:val="en-AU"/>
        </w:rPr>
        <w:t>to aid solubility. The instrument was operated in positive or negative mode as required. Leucine Enkephalin was used as an internal lock mass. Masses were recorded over the range 100-1000 m/z. Melting points were determined using an Electrothermal IA9000 digital melting point apparatus and are uncorrected. Infrared spectra were recorded on a PerkinElmer Spectrum One FTIR spectrometer in the range 4000 - 550 cm</w:t>
      </w:r>
      <w:r w:rsidRPr="001F4DD0">
        <w:rPr>
          <w:vertAlign w:val="superscript"/>
          <w:lang w:val="en-AU"/>
        </w:rPr>
        <w:t>-1</w:t>
      </w:r>
      <w:r w:rsidRPr="001F4DD0">
        <w:rPr>
          <w:lang w:val="en-AU"/>
        </w:rPr>
        <w:t>.  Thermogravimetric ana</w:t>
      </w:r>
      <w:r w:rsidR="00777101" w:rsidRPr="001F4DD0">
        <w:rPr>
          <w:lang w:val="en-AU"/>
        </w:rPr>
        <w:t>lysis was performed on a Perkin</w:t>
      </w:r>
      <w:r w:rsidRPr="001F4DD0">
        <w:rPr>
          <w:lang w:val="en-AU"/>
        </w:rPr>
        <w:t>Elmer Pyris 1 TGA in the temperature ranges specified, with a scan rate 5 °C min</w:t>
      </w:r>
      <w:r w:rsidRPr="001F4DD0">
        <w:rPr>
          <w:vertAlign w:val="superscript"/>
          <w:lang w:val="en-AU"/>
        </w:rPr>
        <w:t>-1</w:t>
      </w:r>
      <w:r w:rsidRPr="001F4DD0">
        <w:rPr>
          <w:lang w:val="en-AU"/>
        </w:rPr>
        <w:t xml:space="preserve"> under a nitrogen atmosphere with N</w:t>
      </w:r>
      <w:r w:rsidRPr="001F4DD0">
        <w:rPr>
          <w:vertAlign w:val="subscript"/>
          <w:lang w:val="en-AU"/>
        </w:rPr>
        <w:t>2</w:t>
      </w:r>
      <w:r w:rsidRPr="001F4DD0">
        <w:rPr>
          <w:lang w:val="en-AU"/>
        </w:rPr>
        <w:t xml:space="preserve"> flow rate 20 mL/min. All photophysical measurements were performed at 298</w:t>
      </w:r>
      <w:r w:rsidR="00DC10A7" w:rsidRPr="001F4DD0">
        <w:rPr>
          <w:lang w:val="en-AU"/>
        </w:rPr>
        <w:t xml:space="preserve"> </w:t>
      </w:r>
      <w:r w:rsidRPr="001F4DD0">
        <w:rPr>
          <w:lang w:val="en-AU"/>
        </w:rPr>
        <w:t>K in spectrophotometric grade solvents. UV-Vis absorption spectra were measured in 1 cm quartz cuvettes on a Varian Cary 50 spectrophotometer or a Thermo Scientific Evolution 220 spectrophotometer. Fluorescence spectra were measured on a Varian Cary Eclipse Fluorimeter. All solution-phase emission spectra were recorded with excitation wavelength 366 nm (in order to match excitation intensity with the Quinine Sulfate standard), and comparison with the emission spectra recorded with λ</w:t>
      </w:r>
      <w:r w:rsidRPr="001F4DD0">
        <w:rPr>
          <w:vertAlign w:val="subscript"/>
          <w:lang w:val="en-AU"/>
        </w:rPr>
        <w:t>ex</w:t>
      </w:r>
      <w:r w:rsidRPr="001F4DD0">
        <w:rPr>
          <w:lang w:val="en-AU"/>
        </w:rPr>
        <w:t xml:space="preserve"> = λ</w:t>
      </w:r>
      <w:r w:rsidRPr="001F4DD0">
        <w:rPr>
          <w:vertAlign w:val="subscript"/>
          <w:lang w:val="en-AU"/>
        </w:rPr>
        <w:t>max</w:t>
      </w:r>
      <w:r w:rsidRPr="001F4DD0">
        <w:rPr>
          <w:lang w:val="en-AU"/>
        </w:rPr>
        <w:t>(abs) showed no change in emission band position or shape. Quantum yields were calculated by comparison with quinine sulfate in 2M H</w:t>
      </w:r>
      <w:r w:rsidRPr="001F4DD0">
        <w:rPr>
          <w:vertAlign w:val="subscript"/>
          <w:lang w:val="en-AU"/>
        </w:rPr>
        <w:t>2</w:t>
      </w:r>
      <w:r w:rsidRPr="001F4DD0">
        <w:rPr>
          <w:lang w:val="en-AU"/>
        </w:rPr>
        <w:t>SO</w:t>
      </w:r>
      <w:r w:rsidRPr="001F4DD0">
        <w:rPr>
          <w:vertAlign w:val="subscript"/>
          <w:lang w:val="en-AU"/>
        </w:rPr>
        <w:t>4</w:t>
      </w:r>
      <w:r w:rsidRPr="001F4DD0">
        <w:rPr>
          <w:lang w:val="en-AU"/>
        </w:rPr>
        <w:t xml:space="preserve"> with excitation at 366 nm using an excitation slit width of 2.5 nm for all samples, and emission integrated across the range 380 – 600 nm. Solid-state emission spectra were measured at room temperature with solid samples (</w:t>
      </w:r>
      <w:r w:rsidRPr="001F4DD0">
        <w:rPr>
          <w:i/>
          <w:lang w:val="en-AU"/>
        </w:rPr>
        <w:t xml:space="preserve">ca. </w:t>
      </w:r>
      <w:r w:rsidRPr="001F4DD0">
        <w:rPr>
          <w:lang w:val="en-AU"/>
        </w:rPr>
        <w:t xml:space="preserve">20 mg) covered by a layer of clean solvent in a sample holder mounted within a </w:t>
      </w:r>
      <w:r w:rsidR="00FC08E9" w:rsidRPr="001F4DD0">
        <w:rPr>
          <w:lang w:val="en-AU"/>
        </w:rPr>
        <w:t>fluorescence</w:t>
      </w:r>
      <w:r w:rsidRPr="001F4DD0">
        <w:rPr>
          <w:lang w:val="en-AU"/>
        </w:rPr>
        <w:t xml:space="preserve"> cuvette; in all cases, no measurable photoluminescence was observed from the solvent layer above the samples. Gas adsorption isotherms were measured using a Quantachrome Autosorb IQ gas sorption analyser. Chemically pure (CP, N4.5) grade He, N</w:t>
      </w:r>
      <w:r w:rsidRPr="001F4DD0">
        <w:rPr>
          <w:vertAlign w:val="subscript"/>
          <w:lang w:val="en-AU"/>
        </w:rPr>
        <w:t>2</w:t>
      </w:r>
      <w:r w:rsidRPr="001F4DD0">
        <w:rPr>
          <w:lang w:val="en-AU"/>
        </w:rPr>
        <w:t>, H</w:t>
      </w:r>
      <w:r w:rsidRPr="001F4DD0">
        <w:rPr>
          <w:vertAlign w:val="subscript"/>
          <w:lang w:val="en-AU"/>
        </w:rPr>
        <w:t>2</w:t>
      </w:r>
      <w:r w:rsidRPr="001F4DD0">
        <w:rPr>
          <w:lang w:val="en-AU"/>
        </w:rPr>
        <w:t xml:space="preserve"> and CO</w:t>
      </w:r>
      <w:r w:rsidRPr="001F4DD0">
        <w:rPr>
          <w:vertAlign w:val="subscript"/>
          <w:lang w:val="en-AU"/>
        </w:rPr>
        <w:t>2</w:t>
      </w:r>
      <w:r w:rsidRPr="001F4DD0">
        <w:rPr>
          <w:lang w:val="en-AU"/>
        </w:rPr>
        <w:t xml:space="preserve"> gases from BOC gases were used for the measurements. The sample</w:t>
      </w:r>
      <w:r w:rsidR="00DC10A7" w:rsidRPr="001F4DD0">
        <w:rPr>
          <w:lang w:val="en-AU"/>
        </w:rPr>
        <w:t>s</w:t>
      </w:r>
      <w:r w:rsidRPr="001F4DD0">
        <w:rPr>
          <w:lang w:val="en-AU"/>
        </w:rPr>
        <w:t xml:space="preserve"> of acetonitrile-exchanged complex</w:t>
      </w:r>
      <w:r w:rsidR="00DC10A7" w:rsidRPr="001F4DD0">
        <w:rPr>
          <w:lang w:val="en-AU"/>
        </w:rPr>
        <w:t>es</w:t>
      </w:r>
      <w:r w:rsidRPr="001F4DD0">
        <w:rPr>
          <w:lang w:val="en-AU"/>
        </w:rPr>
        <w:t xml:space="preserve"> </w:t>
      </w:r>
      <w:r w:rsidRPr="001F4DD0">
        <w:rPr>
          <w:b/>
          <w:lang w:val="en-AU"/>
        </w:rPr>
        <w:t>2</w:t>
      </w:r>
      <w:r w:rsidRPr="001F4DD0">
        <w:rPr>
          <w:lang w:val="en-AU"/>
        </w:rPr>
        <w:t xml:space="preserve"> </w:t>
      </w:r>
      <w:r w:rsidR="00DC10A7" w:rsidRPr="001F4DD0">
        <w:rPr>
          <w:lang w:val="en-AU"/>
        </w:rPr>
        <w:t xml:space="preserve">and </w:t>
      </w:r>
      <w:r w:rsidR="00DC10A7" w:rsidRPr="001F4DD0">
        <w:rPr>
          <w:b/>
          <w:lang w:val="en-AU"/>
        </w:rPr>
        <w:t xml:space="preserve">3 </w:t>
      </w:r>
      <w:r w:rsidRPr="001F4DD0">
        <w:rPr>
          <w:lang w:val="en-AU"/>
        </w:rPr>
        <w:t>w</w:t>
      </w:r>
      <w:r w:rsidR="00DC10A7" w:rsidRPr="001F4DD0">
        <w:rPr>
          <w:lang w:val="en-AU"/>
        </w:rPr>
        <w:t>ere</w:t>
      </w:r>
      <w:r w:rsidRPr="001F4DD0">
        <w:rPr>
          <w:lang w:val="en-AU"/>
        </w:rPr>
        <w:t xml:space="preserve"> de-gassed under dynamic vacuum at 75 °C</w:t>
      </w:r>
      <w:r w:rsidR="00DC10A7" w:rsidRPr="001F4DD0">
        <w:rPr>
          <w:lang w:val="en-AU"/>
        </w:rPr>
        <w:t xml:space="preserve"> and 100 °C, respectively,</w:t>
      </w:r>
      <w:r w:rsidRPr="001F4DD0">
        <w:rPr>
          <w:lang w:val="en-AU"/>
        </w:rPr>
        <w:t xml:space="preserve"> for 24 hours prior to the measurements</w:t>
      </w:r>
      <w:r w:rsidR="00DC10A7" w:rsidRPr="001F4DD0">
        <w:rPr>
          <w:lang w:val="en-AU"/>
        </w:rPr>
        <w:t>.</w:t>
      </w:r>
      <w:r w:rsidR="00621D14" w:rsidRPr="001F4DD0">
        <w:rPr>
          <w:lang w:val="en-AU"/>
        </w:rPr>
        <w:t xml:space="preserve"> Datapoints for BET analysis were selected based on established criteria.</w:t>
      </w:r>
      <w:r w:rsidR="00742752" w:rsidRPr="001F4DD0">
        <w:rPr>
          <w:vertAlign w:val="superscript"/>
          <w:lang w:val="en-AU"/>
        </w:rPr>
        <w:t>21</w:t>
      </w:r>
    </w:p>
    <w:p w14:paraId="3A4B8898" w14:textId="39E5C739" w:rsidR="003F1547" w:rsidRPr="001F4DD0" w:rsidRDefault="003F1547" w:rsidP="00DD4C92">
      <w:pPr>
        <w:pStyle w:val="RSCB02ArticleText"/>
        <w:ind w:firstLine="284"/>
        <w:rPr>
          <w:vertAlign w:val="superscript"/>
          <w:lang w:val="en-AU"/>
        </w:rPr>
      </w:pPr>
      <w:r w:rsidRPr="001F4DD0">
        <w:rPr>
          <w:lang w:val="en-AU"/>
        </w:rPr>
        <w:t xml:space="preserve">X-ray powder diffraction patterns for complex </w:t>
      </w:r>
      <w:r w:rsidRPr="001F4DD0">
        <w:rPr>
          <w:b/>
          <w:lang w:val="en-AU"/>
        </w:rPr>
        <w:t xml:space="preserve">1 </w:t>
      </w:r>
      <w:r w:rsidRPr="001F4DD0">
        <w:rPr>
          <w:lang w:val="en-AU"/>
        </w:rPr>
        <w:t xml:space="preserve">and the air-decomposed complex </w:t>
      </w:r>
      <w:r w:rsidRPr="001F4DD0">
        <w:rPr>
          <w:b/>
          <w:lang w:val="en-AU"/>
        </w:rPr>
        <w:t>2</w:t>
      </w:r>
      <w:r w:rsidRPr="001F4DD0">
        <w:rPr>
          <w:lang w:val="en-AU"/>
        </w:rPr>
        <w:t xml:space="preserve"> were recorded with a Bruker D2 Phaser instrument using Cu-Kα (λ = 1.5405 Å) radiation at room </w:t>
      </w:r>
      <w:r w:rsidRPr="001F4DD0">
        <w:rPr>
          <w:lang w:val="en-AU"/>
        </w:rPr>
        <w:lastRenderedPageBreak/>
        <w:t xml:space="preserve">temperature. Raw data were compared with the simulated patterns from the single crystal data collections carried out at 100 K. For the fresh and solvent-exchanged complex </w:t>
      </w:r>
      <w:r w:rsidRPr="001F4DD0">
        <w:rPr>
          <w:b/>
          <w:lang w:val="en-AU"/>
        </w:rPr>
        <w:t>2</w:t>
      </w:r>
      <w:r w:rsidRPr="001F4DD0">
        <w:rPr>
          <w:lang w:val="en-AU"/>
        </w:rPr>
        <w:t>, X-ray powder diffraction patterns were measured using a Bruker APEX-II Duo operating at Cu-Kα wavelength (λ = 1.5405 Å). Samples, slurried in their exchange solvent, were ground together with a small quantity of NVH immersion oil and the resulting mass was immediately transferred to the cryostream of the instrument (T = 100 K). Data were collected using three 360 ° scans in φ covering the 2θ range 3 – 55 °, which were subsequently merged and the Debye rings integrated in Bruker APEX-3, with baseline corrections then applied in DIFFRAC.EVA.</w:t>
      </w:r>
      <w:r w:rsidR="00742752" w:rsidRPr="001F4DD0">
        <w:rPr>
          <w:vertAlign w:val="superscript"/>
          <w:lang w:val="en-AU"/>
        </w:rPr>
        <w:t>22</w:t>
      </w:r>
      <w:r w:rsidRPr="001F4DD0">
        <w:rPr>
          <w:vertAlign w:val="superscript"/>
          <w:lang w:val="en-AU"/>
        </w:rPr>
        <w:t xml:space="preserve">, </w:t>
      </w:r>
      <w:r w:rsidR="00742752" w:rsidRPr="001F4DD0">
        <w:rPr>
          <w:vertAlign w:val="superscript"/>
          <w:lang w:val="en-AU"/>
        </w:rPr>
        <w:t>23</w:t>
      </w:r>
    </w:p>
    <w:p w14:paraId="5EB158A6" w14:textId="77777777" w:rsidR="004D5999" w:rsidRPr="001F4DD0" w:rsidRDefault="004D5999" w:rsidP="003F1547">
      <w:pPr>
        <w:pStyle w:val="RSCB02ArticleText"/>
      </w:pPr>
    </w:p>
    <w:p w14:paraId="42CFE849" w14:textId="53175DAF" w:rsidR="003F1547" w:rsidRPr="001F4DD0" w:rsidRDefault="003F1547" w:rsidP="003F1547">
      <w:pPr>
        <w:pStyle w:val="RSCB06BHeadingSub-Section"/>
      </w:pPr>
      <w:r w:rsidRPr="001F4DD0">
        <w:t>X-ray Crystallography</w:t>
      </w:r>
    </w:p>
    <w:p w14:paraId="548EB53B" w14:textId="1610666E" w:rsidR="003F1547" w:rsidRPr="001F4DD0" w:rsidRDefault="003F1547" w:rsidP="003F1547">
      <w:pPr>
        <w:pStyle w:val="RSCB02ArticleText"/>
        <w:rPr>
          <w:lang w:val="en-AU"/>
        </w:rPr>
      </w:pPr>
      <w:r w:rsidRPr="001F4DD0">
        <w:rPr>
          <w:lang w:val="en-AU"/>
        </w:rPr>
        <w:t xml:space="preserve">Crystal and refinement data are presented in Table </w:t>
      </w:r>
      <w:r w:rsidR="00D5192C" w:rsidRPr="001F4DD0">
        <w:rPr>
          <w:lang w:val="en-AU"/>
        </w:rPr>
        <w:t>2</w:t>
      </w:r>
      <w:r w:rsidRPr="001F4DD0">
        <w:rPr>
          <w:lang w:val="en-AU"/>
        </w:rPr>
        <w:t>. CCDC 1818940-1818943</w:t>
      </w:r>
      <w:r w:rsidR="00DC10A7" w:rsidRPr="001F4DD0">
        <w:rPr>
          <w:lang w:val="en-AU"/>
        </w:rPr>
        <w:t xml:space="preserve"> and </w:t>
      </w:r>
      <w:r w:rsidR="00DC10A7" w:rsidRPr="001F4DD0">
        <w:t>1840308-1840309</w:t>
      </w:r>
      <w:r w:rsidRPr="001F4DD0">
        <w:rPr>
          <w:lang w:val="en-AU"/>
        </w:rPr>
        <w:t>. All datasets were collected on a Bruker APEX-II Duo dual-source instrument using microfocus Cu-Kα radiation (λ = 1.5405 Å). The four datasets were each collected using ω and φ scans. Single crystals were mounted on Mitegen micromounts in NVH immersion oil, and maintained at a temperature of 100 K using a Cobra cryostream. The diffraction data were reduced and processed using the Bruker APEX suite of programs.</w:t>
      </w:r>
      <w:r w:rsidR="00DC10A7" w:rsidRPr="001F4DD0">
        <w:rPr>
          <w:vertAlign w:val="superscript"/>
          <w:lang w:val="en-AU"/>
        </w:rPr>
        <w:t>2</w:t>
      </w:r>
      <w:r w:rsidR="00742752" w:rsidRPr="001F4DD0">
        <w:rPr>
          <w:vertAlign w:val="superscript"/>
          <w:lang w:val="en-AU"/>
        </w:rPr>
        <w:t>2</w:t>
      </w:r>
      <w:r w:rsidRPr="001F4DD0">
        <w:rPr>
          <w:vertAlign w:val="superscript"/>
          <w:lang w:val="en-AU"/>
        </w:rPr>
        <w:t xml:space="preserve"> </w:t>
      </w:r>
      <w:r w:rsidRPr="001F4DD0">
        <w:rPr>
          <w:lang w:val="en-AU"/>
        </w:rPr>
        <w:t>Multi-scan absorption corrections were applied using SADABS.</w:t>
      </w:r>
      <w:r w:rsidR="00DC10A7" w:rsidRPr="001F4DD0">
        <w:rPr>
          <w:vertAlign w:val="superscript"/>
          <w:lang w:val="en-AU"/>
        </w:rPr>
        <w:t>2</w:t>
      </w:r>
      <w:r w:rsidR="00742752" w:rsidRPr="001F4DD0">
        <w:rPr>
          <w:vertAlign w:val="superscript"/>
          <w:lang w:val="en-AU"/>
        </w:rPr>
        <w:t>4</w:t>
      </w:r>
      <w:r w:rsidRPr="001F4DD0">
        <w:rPr>
          <w:lang w:val="en-AU"/>
        </w:rPr>
        <w:t xml:space="preserve"> The data were solved using the Intrinsic Phasing routine in SHELXT and refined with full-matrix least squares procedures using SHELXL-2015 within the OLEX-2 GUI.</w:t>
      </w:r>
      <w:r w:rsidR="00DC10A7" w:rsidRPr="001F4DD0">
        <w:rPr>
          <w:vertAlign w:val="superscript"/>
          <w:lang w:val="en-AU"/>
        </w:rPr>
        <w:t>2</w:t>
      </w:r>
      <w:r w:rsidR="00742752" w:rsidRPr="001F4DD0">
        <w:rPr>
          <w:vertAlign w:val="superscript"/>
          <w:lang w:val="en-AU"/>
        </w:rPr>
        <w:t>5</w:t>
      </w:r>
      <w:r w:rsidRPr="001F4DD0">
        <w:rPr>
          <w:vertAlign w:val="superscript"/>
          <w:lang w:val="en-AU"/>
        </w:rPr>
        <w:t>-2</w:t>
      </w:r>
      <w:r w:rsidR="00742752" w:rsidRPr="001F4DD0">
        <w:rPr>
          <w:vertAlign w:val="superscript"/>
          <w:lang w:val="en-AU"/>
        </w:rPr>
        <w:t>7</w:t>
      </w:r>
      <w:r w:rsidRPr="001F4DD0">
        <w:rPr>
          <w:lang w:val="en-AU"/>
        </w:rPr>
        <w:t>.  All non-hydrogen atoms were refined with anisotropic displacement parameters. All hydrogen atoms were placed in calculated positions and refined with a riding model, with isotropic displacement parameters equal to either 1.2 or 1.5 times the isotropic equivalent of their carrier atoms. Specific</w:t>
      </w:r>
      <w:r w:rsidR="00A23284" w:rsidRPr="001F4DD0">
        <w:rPr>
          <w:lang w:val="en-AU"/>
        </w:rPr>
        <w:t xml:space="preserve"> collection and</w:t>
      </w:r>
      <w:r w:rsidRPr="001F4DD0">
        <w:rPr>
          <w:lang w:val="en-AU"/>
        </w:rPr>
        <w:t xml:space="preserve"> refinement strategies are further outlined in the combined crystallographic information file (cif)</w:t>
      </w:r>
      <w:r w:rsidR="00DD4C92" w:rsidRPr="001F4DD0">
        <w:rPr>
          <w:lang w:val="en-AU"/>
        </w:rPr>
        <w:t xml:space="preserve"> under the _refine_special_details heading</w:t>
      </w:r>
      <w:r w:rsidRPr="001F4DD0">
        <w:rPr>
          <w:lang w:val="en-AU"/>
        </w:rPr>
        <w:t xml:space="preserve">. The solvate structures of </w:t>
      </w:r>
      <w:r w:rsidRPr="001F4DD0">
        <w:rPr>
          <w:b/>
          <w:lang w:val="en-AU"/>
        </w:rPr>
        <w:t>L1</w:t>
      </w:r>
      <w:r w:rsidR="008A0B86" w:rsidRPr="001F4DD0">
        <w:rPr>
          <w:lang w:val="en-AU"/>
        </w:rPr>
        <w:t>,</w:t>
      </w:r>
      <w:r w:rsidRPr="001F4DD0">
        <w:rPr>
          <w:lang w:val="en-AU"/>
        </w:rPr>
        <w:t xml:space="preserve"> </w:t>
      </w:r>
      <w:r w:rsidRPr="001F4DD0">
        <w:rPr>
          <w:b/>
          <w:lang w:val="en-AU"/>
        </w:rPr>
        <w:t>H</w:t>
      </w:r>
      <w:r w:rsidRPr="001F4DD0">
        <w:rPr>
          <w:b/>
          <w:vertAlign w:val="subscript"/>
          <w:lang w:val="en-AU"/>
        </w:rPr>
        <w:t>2</w:t>
      </w:r>
      <w:r w:rsidRPr="001F4DD0">
        <w:rPr>
          <w:b/>
          <w:lang w:val="en-AU"/>
        </w:rPr>
        <w:t>L2</w:t>
      </w:r>
      <w:r w:rsidR="008A0B86" w:rsidRPr="001F4DD0">
        <w:rPr>
          <w:b/>
          <w:lang w:val="en-AU"/>
        </w:rPr>
        <w:t>, H</w:t>
      </w:r>
      <w:r w:rsidR="008A0B86" w:rsidRPr="001F4DD0">
        <w:rPr>
          <w:b/>
          <w:vertAlign w:val="subscript"/>
          <w:lang w:val="en-AU"/>
        </w:rPr>
        <w:t>2</w:t>
      </w:r>
      <w:r w:rsidR="008A0B86" w:rsidRPr="001F4DD0">
        <w:rPr>
          <w:b/>
          <w:lang w:val="en-AU"/>
        </w:rPr>
        <w:t>L3</w:t>
      </w:r>
      <w:r w:rsidRPr="001F4DD0">
        <w:rPr>
          <w:b/>
          <w:lang w:val="en-AU"/>
        </w:rPr>
        <w:t xml:space="preserve"> </w:t>
      </w:r>
      <w:r w:rsidRPr="001F4DD0">
        <w:rPr>
          <w:lang w:val="en-AU"/>
        </w:rPr>
        <w:t xml:space="preserve">and the structure of complex </w:t>
      </w:r>
      <w:r w:rsidRPr="001F4DD0">
        <w:rPr>
          <w:b/>
          <w:lang w:val="en-AU"/>
        </w:rPr>
        <w:t>1</w:t>
      </w:r>
      <w:r w:rsidRPr="001F4DD0">
        <w:rPr>
          <w:lang w:val="en-AU"/>
        </w:rPr>
        <w:t xml:space="preserve"> could be fully refined to convergence with only minimal restraints, mostly to maintain chemical geometry for the partial-occupancy or disordered solvent molecules in the two ligand structures.</w:t>
      </w:r>
      <w:r w:rsidR="008A0B86" w:rsidRPr="001F4DD0">
        <w:rPr>
          <w:lang w:val="en-AU"/>
        </w:rPr>
        <w:t xml:space="preserve"> Complex </w:t>
      </w:r>
      <w:r w:rsidR="008A0B86" w:rsidRPr="001F4DD0">
        <w:rPr>
          <w:b/>
          <w:lang w:val="en-AU"/>
        </w:rPr>
        <w:t>3</w:t>
      </w:r>
      <w:r w:rsidR="008A0B86" w:rsidRPr="001F4DD0">
        <w:rPr>
          <w:lang w:val="en-AU"/>
        </w:rPr>
        <w:t xml:space="preserve"> was refined to convergence with only minor functional group disorder. The SQUEEZE routine was employed for complexes </w:t>
      </w:r>
      <w:r w:rsidR="008A0B86" w:rsidRPr="001F4DD0">
        <w:rPr>
          <w:b/>
          <w:lang w:val="en-AU"/>
        </w:rPr>
        <w:t>2</w:t>
      </w:r>
      <w:r w:rsidR="008A0B86" w:rsidRPr="001F4DD0">
        <w:rPr>
          <w:lang w:val="en-AU"/>
        </w:rPr>
        <w:t xml:space="preserve"> and </w:t>
      </w:r>
      <w:r w:rsidR="008A0B86" w:rsidRPr="001F4DD0">
        <w:rPr>
          <w:b/>
          <w:lang w:val="en-AU"/>
        </w:rPr>
        <w:t>3</w:t>
      </w:r>
      <w:r w:rsidR="008A0B86" w:rsidRPr="001F4DD0">
        <w:rPr>
          <w:lang w:val="en-AU"/>
        </w:rPr>
        <w:t>;</w:t>
      </w:r>
      <w:r w:rsidR="008A0B86" w:rsidRPr="001F4DD0">
        <w:rPr>
          <w:vertAlign w:val="superscript"/>
          <w:lang w:val="en-AU"/>
        </w:rPr>
        <w:t>15</w:t>
      </w:r>
      <w:r w:rsidR="008A0B86" w:rsidRPr="001F4DD0">
        <w:rPr>
          <w:lang w:val="en-AU"/>
        </w:rPr>
        <w:t xml:space="preserve"> in both cases, solvation was better determined by supporting methods, a combination of elemental analysis, thermogravimetric analysis and, in the case of complex </w:t>
      </w:r>
      <w:r w:rsidR="008A0B86" w:rsidRPr="001F4DD0">
        <w:rPr>
          <w:b/>
          <w:lang w:val="en-AU"/>
        </w:rPr>
        <w:t>2</w:t>
      </w:r>
      <w:r w:rsidR="008A0B86" w:rsidRPr="001F4DD0">
        <w:rPr>
          <w:lang w:val="en-AU"/>
        </w:rPr>
        <w:t>, digestion of the crystals and guest quantification with NMR.</w:t>
      </w:r>
      <w:r w:rsidR="00DD4C92" w:rsidRPr="001F4DD0">
        <w:rPr>
          <w:lang w:val="en-AU"/>
        </w:rPr>
        <w:t xml:space="preserve"> The extremely long </w:t>
      </w:r>
      <w:r w:rsidR="00DD4C92" w:rsidRPr="001F4DD0">
        <w:rPr>
          <w:i/>
          <w:lang w:val="en-AU"/>
        </w:rPr>
        <w:t>c</w:t>
      </w:r>
      <w:r w:rsidR="00DD4C92" w:rsidRPr="001F4DD0">
        <w:rPr>
          <w:lang w:val="en-AU"/>
        </w:rPr>
        <w:t xml:space="preserve"> unit cell edge in complex </w:t>
      </w:r>
      <w:r w:rsidR="00DD4C92" w:rsidRPr="001F4DD0">
        <w:rPr>
          <w:b/>
          <w:lang w:val="en-AU"/>
        </w:rPr>
        <w:t>3</w:t>
      </w:r>
      <w:r w:rsidR="00DD4C92" w:rsidRPr="001F4DD0">
        <w:rPr>
          <w:lang w:val="en-AU"/>
        </w:rPr>
        <w:t xml:space="preserve"> necessitated a 90 mm crystal-to-detector distance; under these conditions it was not feasible to collect data beyond a resolution of </w:t>
      </w:r>
      <w:r w:rsidR="00DD4C92" w:rsidRPr="001F4DD0">
        <w:rPr>
          <w:i/>
          <w:lang w:val="en-AU"/>
        </w:rPr>
        <w:t>ca.</w:t>
      </w:r>
      <w:r w:rsidR="00DD4C92" w:rsidRPr="001F4DD0">
        <w:rPr>
          <w:lang w:val="en-AU"/>
        </w:rPr>
        <w:t xml:space="preserve"> 0.9 </w:t>
      </w:r>
      <w:r w:rsidR="00DD4C92" w:rsidRPr="001F4DD0">
        <w:rPr>
          <w:rFonts w:ascii="Times New Roman" w:hAnsi="Times New Roman"/>
          <w:lang w:val="en-AU"/>
        </w:rPr>
        <w:t>Å</w:t>
      </w:r>
      <w:r w:rsidR="00DD4C92" w:rsidRPr="001F4DD0">
        <w:rPr>
          <w:lang w:val="en-AU"/>
        </w:rPr>
        <w:t>.</w:t>
      </w:r>
    </w:p>
    <w:p w14:paraId="01CB6DC8" w14:textId="5B8BF2BA" w:rsidR="003F1547" w:rsidRPr="001F4DD0" w:rsidRDefault="003F1547" w:rsidP="003F1547">
      <w:pPr>
        <w:pStyle w:val="RSCB02ArticleText"/>
        <w:rPr>
          <w:lang w:val="en-AU"/>
        </w:rPr>
      </w:pPr>
      <w:r w:rsidRPr="001F4DD0">
        <w:rPr>
          <w:lang w:val="en-AU"/>
        </w:rPr>
        <w:tab/>
        <w:t xml:space="preserve">In the case of complex </w:t>
      </w:r>
      <w:r w:rsidRPr="001F4DD0">
        <w:rPr>
          <w:b/>
          <w:lang w:val="en-AU"/>
        </w:rPr>
        <w:t>2</w:t>
      </w:r>
      <w:r w:rsidRPr="001F4DD0">
        <w:rPr>
          <w:lang w:val="en-AU"/>
        </w:rPr>
        <w:t>, while the metal sites and two of the three ligand molecules (C1-C40 and C41-C80) were well ordered, and could be modelled with only minor restraints on the U</w:t>
      </w:r>
      <w:r w:rsidRPr="001F4DD0">
        <w:rPr>
          <w:vertAlign w:val="subscript"/>
          <w:lang w:val="en-AU"/>
        </w:rPr>
        <w:t>ij</w:t>
      </w:r>
      <w:r w:rsidRPr="001F4DD0">
        <w:rPr>
          <w:lang w:val="en-AU"/>
        </w:rPr>
        <w:t xml:space="preserve"> parameters of the </w:t>
      </w:r>
      <w:r w:rsidRPr="001F4DD0">
        <w:rPr>
          <w:i/>
          <w:lang w:val="en-AU"/>
        </w:rPr>
        <w:t>tert</w:t>
      </w:r>
      <w:r w:rsidRPr="001F4DD0">
        <w:rPr>
          <w:lang w:val="en-AU"/>
        </w:rPr>
        <w:t xml:space="preserve">-butyl groups, the remaining residue (C81-C120) exhibited significant disorder. This was manifest as one major geometric contributor overlapped by several others at low occupancy, indicative of both a bowing of the central pyrrolopyrrole unit and a rotation of this group </w:t>
      </w:r>
      <w:r w:rsidRPr="001F4DD0">
        <w:rPr>
          <w:lang w:val="en-AU"/>
        </w:rPr>
        <w:t xml:space="preserve">about the fixed carboxyphenyl groups. This issue was also exacerbated by relatively poor diffraction characteristics, commonly observed in open framework materials of this type. </w:t>
      </w:r>
      <w:r w:rsidR="008A0B86" w:rsidRPr="001F4DD0">
        <w:rPr>
          <w:lang w:val="en-AU"/>
        </w:rPr>
        <w:t>T</w:t>
      </w:r>
      <w:r w:rsidRPr="001F4DD0">
        <w:rPr>
          <w:lang w:val="en-AU"/>
        </w:rPr>
        <w:t>he other contributors could not be reasonably modelled without over-refinement, and the geometry of the main contributor was fixed using rigid group AFIX cards for the two outer phenyl rings and one of the two pyrrole units. The remaining distances and angles were restrained with DFIX commands, and</w:t>
      </w:r>
      <w:r w:rsidR="008A0B86" w:rsidRPr="001F4DD0">
        <w:rPr>
          <w:lang w:val="en-AU"/>
        </w:rPr>
        <w:t xml:space="preserve"> </w:t>
      </w:r>
      <w:r w:rsidRPr="001F4DD0">
        <w:rPr>
          <w:lang w:val="en-AU"/>
        </w:rPr>
        <w:t>ISOR and RIGU restraints and EADP constraints were used to maintain these groups as a chemically sound model. As such, bond length and angle calculations from the fragment C81-C120 are considerably less meaningful than those derived from the remainder of the structure.</w:t>
      </w:r>
    </w:p>
    <w:p w14:paraId="00E9837F" w14:textId="68B51F98" w:rsidR="004D5999" w:rsidRPr="001F4DD0" w:rsidRDefault="003F1547" w:rsidP="003F1547">
      <w:pPr>
        <w:pStyle w:val="RSCB02ArticleText"/>
        <w:rPr>
          <w:lang w:val="en-AU"/>
        </w:rPr>
      </w:pPr>
      <w:r w:rsidRPr="001F4DD0">
        <w:rPr>
          <w:lang w:val="en-AU"/>
        </w:rPr>
        <w:tab/>
      </w:r>
    </w:p>
    <w:p w14:paraId="678F4D10" w14:textId="0B01B571" w:rsidR="003F1547" w:rsidRPr="001F4DD0" w:rsidRDefault="003F1547" w:rsidP="003F1547">
      <w:pPr>
        <w:pStyle w:val="RSCB06BHeadingSub-Section"/>
      </w:pPr>
      <w:r w:rsidRPr="001F4DD0">
        <w:t>Synthesis</w:t>
      </w:r>
    </w:p>
    <w:p w14:paraId="5B9A76C8" w14:textId="2DD2C762" w:rsidR="003F1547" w:rsidRPr="001F4DD0" w:rsidRDefault="003F1547" w:rsidP="003F1547">
      <w:pPr>
        <w:pStyle w:val="RSCB06BHeadingSub-Section"/>
      </w:pPr>
      <w:r w:rsidRPr="001F4DD0">
        <w:t>Synthesis of L1</w:t>
      </w:r>
    </w:p>
    <w:p w14:paraId="264618CA" w14:textId="77777777" w:rsidR="003F1547" w:rsidRPr="001F4DD0" w:rsidRDefault="003F1547" w:rsidP="003F1547">
      <w:pPr>
        <w:pStyle w:val="RSCB02ArticleText"/>
        <w:rPr>
          <w:lang w:val="en-AU"/>
        </w:rPr>
      </w:pPr>
      <w:r w:rsidRPr="001F4DD0">
        <w:rPr>
          <w:lang w:val="en-AU"/>
        </w:rPr>
        <w:t>4-Formylbenzonitrile (500 mg; 3.8 mmol), 4-tert-butyl aniline (610 μL; 3.8 mmol) and para-toluenesulfonic acid (70 mg; 0.4 mmol) were combined in glacial acetic acid (3 mL) and heated at 90 °C for 30 minutes in air. Following this period, 2,3-butanedione (170 μL; 1.9 mmol) was added dropwise, and the mixture was stirred at 90 °C for a further 3 hours. After this period, the mixture was cooled to room temperature, filtered, and the yellow solids were washed with methanol. The solids were slurried in 50 mL of hot ethyl acetate and filtered, and the solids washed with 2×50 mL of ethyl acetate, giving the product as a bright yellow solid. Yield 135 mg (12%); m.p. &gt;300 °C; Found C, 83.42; H, 6.34; N, 9.71; Calculated for C</w:t>
      </w:r>
      <w:r w:rsidRPr="001F4DD0">
        <w:rPr>
          <w:vertAlign w:val="subscript"/>
          <w:lang w:val="en-AU"/>
        </w:rPr>
        <w:t>40</w:t>
      </w:r>
      <w:r w:rsidRPr="001F4DD0">
        <w:rPr>
          <w:lang w:val="en-AU"/>
        </w:rPr>
        <w:t>H</w:t>
      </w:r>
      <w:r w:rsidRPr="001F4DD0">
        <w:rPr>
          <w:vertAlign w:val="subscript"/>
          <w:lang w:val="en-AU"/>
        </w:rPr>
        <w:t>36</w:t>
      </w:r>
      <w:r w:rsidRPr="001F4DD0">
        <w:rPr>
          <w:lang w:val="en-AU"/>
        </w:rPr>
        <w:t>N</w:t>
      </w:r>
      <w:r w:rsidRPr="001F4DD0">
        <w:rPr>
          <w:vertAlign w:val="subscript"/>
          <w:lang w:val="en-AU"/>
        </w:rPr>
        <w:t>4</w:t>
      </w:r>
      <w:r w:rsidRPr="001F4DD0">
        <w:rPr>
          <w:lang w:val="en-AU"/>
        </w:rPr>
        <w:t xml:space="preserve"> C, 83.88; H, 6.34; N, 9.78%; δ</w:t>
      </w:r>
      <w:r w:rsidRPr="001F4DD0">
        <w:rPr>
          <w:vertAlign w:val="subscript"/>
          <w:lang w:val="en-AU"/>
        </w:rPr>
        <w:t>H</w:t>
      </w:r>
      <w:r w:rsidRPr="001F4DD0">
        <w:rPr>
          <w:lang w:val="en-AU"/>
        </w:rPr>
        <w:t xml:space="preserve"> (CDCl</w:t>
      </w:r>
      <w:r w:rsidRPr="001F4DD0">
        <w:rPr>
          <w:vertAlign w:val="subscript"/>
          <w:lang w:val="en-AU"/>
        </w:rPr>
        <w:t>3</w:t>
      </w:r>
      <w:r w:rsidRPr="001F4DD0">
        <w:rPr>
          <w:lang w:val="en-AU"/>
        </w:rPr>
        <w:t xml:space="preserve">, 400 MHz) 1.37 (s, 18H, H6), 6.49 (s, 2H, H3), 7.18 (d, 4H, </w:t>
      </w:r>
      <w:r w:rsidRPr="001F4DD0">
        <w:rPr>
          <w:vertAlign w:val="superscript"/>
          <w:lang w:val="en-AU"/>
        </w:rPr>
        <w:t>3</w:t>
      </w:r>
      <w:r w:rsidRPr="001F4DD0">
        <w:rPr>
          <w:i/>
          <w:lang w:val="en-AU"/>
        </w:rPr>
        <w:t>J</w:t>
      </w:r>
      <w:r w:rsidRPr="001F4DD0">
        <w:rPr>
          <w:lang w:val="en-AU"/>
        </w:rPr>
        <w:t xml:space="preserve"> = 8.5 Hz, H4),  7.29 (d, 4H, </w:t>
      </w:r>
      <w:r w:rsidRPr="001F4DD0">
        <w:rPr>
          <w:vertAlign w:val="superscript"/>
          <w:lang w:val="en-AU"/>
        </w:rPr>
        <w:t>3</w:t>
      </w:r>
      <w:r w:rsidRPr="001F4DD0">
        <w:rPr>
          <w:i/>
          <w:lang w:val="en-AU"/>
        </w:rPr>
        <w:t xml:space="preserve">J </w:t>
      </w:r>
      <w:r w:rsidRPr="001F4DD0">
        <w:rPr>
          <w:lang w:val="en-AU"/>
        </w:rPr>
        <w:t xml:space="preserve">= 8.4 Hz, H2), 7.43 (d, 4H, </w:t>
      </w:r>
      <w:r w:rsidRPr="001F4DD0">
        <w:rPr>
          <w:vertAlign w:val="superscript"/>
          <w:lang w:val="en-AU"/>
        </w:rPr>
        <w:t>3</w:t>
      </w:r>
      <w:r w:rsidRPr="001F4DD0">
        <w:rPr>
          <w:i/>
          <w:lang w:val="en-AU"/>
        </w:rPr>
        <w:t>J</w:t>
      </w:r>
      <w:r w:rsidRPr="001F4DD0">
        <w:rPr>
          <w:lang w:val="en-AU"/>
        </w:rPr>
        <w:t xml:space="preserve"> = 8.4 Hz, H5), 7.48 (d, 4H, </w:t>
      </w:r>
      <w:r w:rsidRPr="001F4DD0">
        <w:rPr>
          <w:vertAlign w:val="superscript"/>
          <w:lang w:val="en-AU"/>
        </w:rPr>
        <w:t>3</w:t>
      </w:r>
      <w:r w:rsidRPr="001F4DD0">
        <w:rPr>
          <w:i/>
          <w:lang w:val="en-AU"/>
        </w:rPr>
        <w:t>J</w:t>
      </w:r>
      <w:r w:rsidRPr="001F4DD0">
        <w:rPr>
          <w:lang w:val="en-AU"/>
        </w:rPr>
        <w:t xml:space="preserve"> = 8.3 Hz, H1); δ</w:t>
      </w:r>
      <w:r w:rsidRPr="001F4DD0">
        <w:rPr>
          <w:vertAlign w:val="subscript"/>
          <w:lang w:val="en-AU"/>
        </w:rPr>
        <w:t>C</w:t>
      </w:r>
      <w:r w:rsidRPr="001F4DD0">
        <w:rPr>
          <w:lang w:val="en-AU"/>
        </w:rPr>
        <w:t xml:space="preserve"> (CDCl</w:t>
      </w:r>
      <w:r w:rsidRPr="001F4DD0">
        <w:rPr>
          <w:vertAlign w:val="subscript"/>
          <w:lang w:val="en-AU"/>
        </w:rPr>
        <w:t>3</w:t>
      </w:r>
      <w:r w:rsidRPr="001F4DD0">
        <w:rPr>
          <w:lang w:val="en-AU"/>
        </w:rPr>
        <w:t xml:space="preserve">, 100 MHz) 31.37, 34.64, 96.08, 109.01, 119.16, 124.79, 126.40, 127.84, 131.94, 133.42, 135.02, 136.63, 137.75, 149.70; </w:t>
      </w:r>
      <w:r w:rsidRPr="001F4DD0">
        <w:rPr>
          <w:i/>
          <w:lang w:val="en-AU"/>
        </w:rPr>
        <w:t>m/z</w:t>
      </w:r>
      <w:r w:rsidRPr="001F4DD0">
        <w:rPr>
          <w:lang w:val="en-AU"/>
        </w:rPr>
        <w:t xml:space="preserve"> (HR-ESMS) 573.3006 ([M+H]</w:t>
      </w:r>
      <w:r w:rsidRPr="001F4DD0">
        <w:rPr>
          <w:vertAlign w:val="superscript"/>
          <w:lang w:val="en-AU"/>
        </w:rPr>
        <w:t>+</w:t>
      </w:r>
      <w:r w:rsidRPr="001F4DD0">
        <w:rPr>
          <w:lang w:val="en-AU"/>
        </w:rPr>
        <w:t>, calculated for C</w:t>
      </w:r>
      <w:r w:rsidRPr="001F4DD0">
        <w:rPr>
          <w:vertAlign w:val="subscript"/>
          <w:lang w:val="en-AU"/>
        </w:rPr>
        <w:t>40</w:t>
      </w:r>
      <w:r w:rsidRPr="001F4DD0">
        <w:rPr>
          <w:lang w:val="en-AU"/>
        </w:rPr>
        <w:t>H</w:t>
      </w:r>
      <w:r w:rsidRPr="001F4DD0">
        <w:rPr>
          <w:vertAlign w:val="subscript"/>
          <w:lang w:val="en-AU"/>
        </w:rPr>
        <w:t>37</w:t>
      </w:r>
      <w:r w:rsidRPr="001F4DD0">
        <w:rPr>
          <w:lang w:val="en-AU"/>
        </w:rPr>
        <w:t>N</w:t>
      </w:r>
      <w:r w:rsidRPr="001F4DD0">
        <w:rPr>
          <w:vertAlign w:val="subscript"/>
          <w:lang w:val="en-AU"/>
        </w:rPr>
        <w:t>4</w:t>
      </w:r>
      <w:r w:rsidRPr="001F4DD0">
        <w:rPr>
          <w:lang w:val="en-AU"/>
        </w:rPr>
        <w:t xml:space="preserve"> 573.3013); ν</w:t>
      </w:r>
      <w:r w:rsidRPr="001F4DD0">
        <w:rPr>
          <w:vertAlign w:val="subscript"/>
          <w:lang w:val="en-AU"/>
        </w:rPr>
        <w:t>max</w:t>
      </w:r>
      <w:r w:rsidRPr="001F4DD0">
        <w:rPr>
          <w:lang w:val="en-AU"/>
        </w:rPr>
        <w:t xml:space="preserve"> (ATR, cm</w:t>
      </w:r>
      <w:r w:rsidRPr="001F4DD0">
        <w:rPr>
          <w:vertAlign w:val="superscript"/>
          <w:lang w:val="en-AU"/>
        </w:rPr>
        <w:t>-1</w:t>
      </w:r>
      <w:r w:rsidRPr="001F4DD0">
        <w:rPr>
          <w:lang w:val="en-AU"/>
        </w:rPr>
        <w:t>) 2960m, 2904m, 2866m, 2224s, 1600s, 1515s, 1463m,  1413m, 1379m, 1270m, 1170m, 1143w, 1108w, 1018w sh, 833s sh, 773s, 749m, 721w, 679m, 634w. A single crystal of the title compound as a toluene solvate for X-ray diffraction was grown by slow evaporation from toluene.</w:t>
      </w:r>
    </w:p>
    <w:p w14:paraId="0A37B640" w14:textId="14DE1A19" w:rsidR="003F1547" w:rsidRPr="001F4DD0" w:rsidRDefault="003F1547" w:rsidP="003F1547">
      <w:pPr>
        <w:pStyle w:val="RSCB02ArticleText"/>
      </w:pPr>
    </w:p>
    <w:p w14:paraId="279BEDED" w14:textId="6640DA57" w:rsidR="003F1547" w:rsidRPr="001F4DD0" w:rsidRDefault="003F1547" w:rsidP="003F1547">
      <w:pPr>
        <w:pStyle w:val="RSCB06BHeadingSub-Section"/>
      </w:pPr>
      <w:r w:rsidRPr="001F4DD0">
        <w:t>Synthesis of H</w:t>
      </w:r>
      <w:r w:rsidRPr="001F4DD0">
        <w:rPr>
          <w:vertAlign w:val="subscript"/>
        </w:rPr>
        <w:t>2</w:t>
      </w:r>
      <w:r w:rsidRPr="001F4DD0">
        <w:t>L2</w:t>
      </w:r>
    </w:p>
    <w:p w14:paraId="32DFB76A" w14:textId="77777777" w:rsidR="003F1547" w:rsidRPr="001F4DD0" w:rsidRDefault="003F1547" w:rsidP="003F1547">
      <w:pPr>
        <w:pStyle w:val="RSCB02ArticleText"/>
        <w:rPr>
          <w:lang w:val="en-AU"/>
        </w:rPr>
      </w:pPr>
      <w:r w:rsidRPr="001F4DD0">
        <w:rPr>
          <w:lang w:val="en-AU"/>
        </w:rPr>
        <w:t>A mixture of 4-formylbenzoic acid (900 mg, 6.0 mmol), 4-tert-butyl aniline (950 μL, 5.9 mmol) and para-toluenesulfonic acid (110 mg, 0.6 mmol) in glacial acetic acid (5 mL) was heated at 90 °C for 30 minutes. To the thick yellow mixture was added 2,3-butanedione (260 μL, 2.9 mmol) and the mixture was heated at 90 °C, during which time the original thick paste dispersed into a freely stirring suspension. On completion, the reaction mixture was cooled to room temperature, filtered, washed with 5 mL of glacial acetic acid and 2×10 mL of methanol, and the solids air dried. The solids were then dispersed in 100 mL of boiling ethyl acetate, and filtered, washed with 2×50 mL of ethyl acetate and 2×50 mL of methanol, and dried</w:t>
      </w:r>
      <w:r w:rsidRPr="001F4DD0">
        <w:rPr>
          <w:i/>
          <w:lang w:val="en-AU"/>
        </w:rPr>
        <w:t xml:space="preserve"> </w:t>
      </w:r>
      <w:r w:rsidRPr="001F4DD0">
        <w:rPr>
          <w:lang w:val="en-AU"/>
        </w:rPr>
        <w:t>in air. Yield 669 mg (1.1 mmol, 37%); m.p. &gt; 300 °C; Found C, 77.48; H, 6.16; N, 4.48; Calculated for C</w:t>
      </w:r>
      <w:r w:rsidRPr="001F4DD0">
        <w:rPr>
          <w:vertAlign w:val="subscript"/>
          <w:lang w:val="en-AU"/>
        </w:rPr>
        <w:t>40</w:t>
      </w:r>
      <w:r w:rsidRPr="001F4DD0">
        <w:rPr>
          <w:lang w:val="en-AU"/>
        </w:rPr>
        <w:t>H</w:t>
      </w:r>
      <w:r w:rsidRPr="001F4DD0">
        <w:rPr>
          <w:vertAlign w:val="subscript"/>
          <w:lang w:val="en-AU"/>
        </w:rPr>
        <w:t>38</w:t>
      </w:r>
      <w:r w:rsidRPr="001F4DD0">
        <w:rPr>
          <w:lang w:val="en-AU"/>
        </w:rPr>
        <w:t>N</w:t>
      </w:r>
      <w:r w:rsidRPr="001F4DD0">
        <w:rPr>
          <w:vertAlign w:val="subscript"/>
          <w:lang w:val="en-AU"/>
        </w:rPr>
        <w:t>2</w:t>
      </w:r>
      <w:r w:rsidRPr="001F4DD0">
        <w:rPr>
          <w:lang w:val="en-AU"/>
        </w:rPr>
        <w:t>O</w:t>
      </w:r>
      <w:r w:rsidRPr="001F4DD0">
        <w:rPr>
          <w:vertAlign w:val="subscript"/>
          <w:lang w:val="en-AU"/>
        </w:rPr>
        <w:t>4</w:t>
      </w:r>
      <w:r w:rsidRPr="001F4DD0">
        <w:rPr>
          <w:lang w:val="en-AU"/>
        </w:rPr>
        <w:t>·0.5H</w:t>
      </w:r>
      <w:r w:rsidRPr="001F4DD0">
        <w:rPr>
          <w:vertAlign w:val="subscript"/>
          <w:lang w:val="en-AU"/>
        </w:rPr>
        <w:t>2</w:t>
      </w:r>
      <w:r w:rsidRPr="001F4DD0">
        <w:rPr>
          <w:lang w:val="en-AU"/>
        </w:rPr>
        <w:t>O C, 77.52; H, 6.34; N, 4.52; δ</w:t>
      </w:r>
      <w:r w:rsidRPr="001F4DD0">
        <w:rPr>
          <w:vertAlign w:val="subscript"/>
          <w:lang w:val="en-AU"/>
        </w:rPr>
        <w:t xml:space="preserve">H </w:t>
      </w:r>
      <w:r w:rsidRPr="001F4DD0">
        <w:rPr>
          <w:lang w:val="en-AU"/>
        </w:rPr>
        <w:t>(</w:t>
      </w:r>
      <w:r w:rsidRPr="001F4DD0">
        <w:rPr>
          <w:i/>
          <w:lang w:val="en-AU"/>
        </w:rPr>
        <w:t>d</w:t>
      </w:r>
      <w:r w:rsidRPr="001F4DD0">
        <w:rPr>
          <w:vertAlign w:val="subscript"/>
          <w:lang w:val="en-AU"/>
        </w:rPr>
        <w:t>6</w:t>
      </w:r>
      <w:r w:rsidRPr="001F4DD0">
        <w:rPr>
          <w:lang w:val="en-AU"/>
        </w:rPr>
        <w:t xml:space="preserve">-DMSO, 400 MHz) 1.31 (s, 18H, H6), 6.60 (S, 2H, H3), 7.21 (d, </w:t>
      </w:r>
      <w:r w:rsidRPr="001F4DD0">
        <w:rPr>
          <w:lang w:val="en-AU"/>
        </w:rPr>
        <w:lastRenderedPageBreak/>
        <w:t xml:space="preserve">4H, </w:t>
      </w:r>
      <w:r w:rsidRPr="001F4DD0">
        <w:rPr>
          <w:vertAlign w:val="superscript"/>
          <w:lang w:val="en-AU"/>
        </w:rPr>
        <w:t>3</w:t>
      </w:r>
      <w:r w:rsidRPr="001F4DD0">
        <w:rPr>
          <w:i/>
          <w:lang w:val="en-AU"/>
        </w:rPr>
        <w:t>J</w:t>
      </w:r>
      <w:r w:rsidRPr="001F4DD0">
        <w:rPr>
          <w:lang w:val="en-AU"/>
        </w:rPr>
        <w:t xml:space="preserve"> = 8.6 Hz, H4), 7.30 (d, 4H, </w:t>
      </w:r>
      <w:r w:rsidRPr="001F4DD0">
        <w:rPr>
          <w:vertAlign w:val="superscript"/>
          <w:lang w:val="en-AU"/>
        </w:rPr>
        <w:t>3</w:t>
      </w:r>
      <w:r w:rsidRPr="001F4DD0">
        <w:rPr>
          <w:i/>
          <w:lang w:val="en-AU"/>
        </w:rPr>
        <w:t>J</w:t>
      </w:r>
      <w:r w:rsidRPr="001F4DD0">
        <w:rPr>
          <w:lang w:val="en-AU"/>
        </w:rPr>
        <w:t xml:space="preserve"> = 8.3 Hz, H2), 7.47 (d, 4H, </w:t>
      </w:r>
      <w:r w:rsidRPr="001F4DD0">
        <w:rPr>
          <w:vertAlign w:val="superscript"/>
          <w:lang w:val="en-AU"/>
        </w:rPr>
        <w:t>3</w:t>
      </w:r>
      <w:r w:rsidRPr="001F4DD0">
        <w:rPr>
          <w:i/>
          <w:lang w:val="en-AU"/>
        </w:rPr>
        <w:t>J</w:t>
      </w:r>
      <w:r w:rsidRPr="001F4DD0">
        <w:rPr>
          <w:lang w:val="en-AU"/>
        </w:rPr>
        <w:t xml:space="preserve"> = 8.6 Hz, H5), 7.78 (d, 4H, </w:t>
      </w:r>
      <w:r w:rsidRPr="001F4DD0">
        <w:rPr>
          <w:vertAlign w:val="superscript"/>
          <w:lang w:val="en-AU"/>
        </w:rPr>
        <w:t>3</w:t>
      </w:r>
      <w:r w:rsidRPr="001F4DD0">
        <w:rPr>
          <w:i/>
          <w:lang w:val="en-AU"/>
        </w:rPr>
        <w:t>J</w:t>
      </w:r>
      <w:r w:rsidRPr="001F4DD0">
        <w:rPr>
          <w:lang w:val="en-AU"/>
        </w:rPr>
        <w:t xml:space="preserve"> = 8.3 Hz, H1), 12.84 (br s, H7); Due to the very poor solubility of the title compound we were unable to obtain a satisfactory </w:t>
      </w:r>
      <w:r w:rsidRPr="001F4DD0">
        <w:rPr>
          <w:vertAlign w:val="superscript"/>
          <w:lang w:val="en-AU"/>
        </w:rPr>
        <w:t>13</w:t>
      </w:r>
      <w:r w:rsidRPr="001F4DD0">
        <w:rPr>
          <w:lang w:val="en-AU"/>
        </w:rPr>
        <w:t xml:space="preserve">C NMR spectrum; </w:t>
      </w:r>
      <w:r w:rsidRPr="001F4DD0">
        <w:rPr>
          <w:i/>
          <w:lang w:val="en-AU"/>
        </w:rPr>
        <w:t>m/z</w:t>
      </w:r>
      <w:r w:rsidRPr="001F4DD0">
        <w:rPr>
          <w:lang w:val="en-AU"/>
        </w:rPr>
        <w:t xml:space="preserve"> (APCI) 609.2734 ([M-H]</w:t>
      </w:r>
      <w:r w:rsidRPr="001F4DD0">
        <w:rPr>
          <w:vertAlign w:val="superscript"/>
          <w:lang w:val="en-AU"/>
        </w:rPr>
        <w:t>-</w:t>
      </w:r>
      <w:r w:rsidRPr="001F4DD0">
        <w:rPr>
          <w:lang w:val="en-AU"/>
        </w:rPr>
        <w:t>, calculated for C</w:t>
      </w:r>
      <w:r w:rsidRPr="001F4DD0">
        <w:rPr>
          <w:vertAlign w:val="subscript"/>
          <w:lang w:val="en-AU"/>
        </w:rPr>
        <w:t>40</w:t>
      </w:r>
      <w:r w:rsidRPr="001F4DD0">
        <w:rPr>
          <w:lang w:val="en-AU"/>
        </w:rPr>
        <w:t>H</w:t>
      </w:r>
      <w:r w:rsidRPr="001F4DD0">
        <w:rPr>
          <w:vertAlign w:val="subscript"/>
          <w:lang w:val="en-AU"/>
        </w:rPr>
        <w:t>37</w:t>
      </w:r>
      <w:r w:rsidRPr="001F4DD0">
        <w:rPr>
          <w:lang w:val="en-AU"/>
        </w:rPr>
        <w:t>N</w:t>
      </w:r>
      <w:r w:rsidRPr="001F4DD0">
        <w:rPr>
          <w:vertAlign w:val="subscript"/>
          <w:lang w:val="en-AU"/>
        </w:rPr>
        <w:t>2</w:t>
      </w:r>
      <w:r w:rsidRPr="001F4DD0">
        <w:rPr>
          <w:lang w:val="en-AU"/>
        </w:rPr>
        <w:t>O</w:t>
      </w:r>
      <w:r w:rsidRPr="001F4DD0">
        <w:rPr>
          <w:vertAlign w:val="subscript"/>
          <w:lang w:val="en-AU"/>
        </w:rPr>
        <w:t>4</w:t>
      </w:r>
      <w:r w:rsidRPr="001F4DD0">
        <w:rPr>
          <w:lang w:val="en-AU"/>
        </w:rPr>
        <w:t xml:space="preserve"> 609.2759);  ν</w:t>
      </w:r>
      <w:r w:rsidRPr="001F4DD0">
        <w:rPr>
          <w:vertAlign w:val="subscript"/>
          <w:lang w:val="en-AU"/>
        </w:rPr>
        <w:t>max</w:t>
      </w:r>
      <w:r w:rsidRPr="001F4DD0">
        <w:rPr>
          <w:lang w:val="en-AU"/>
        </w:rPr>
        <w:t xml:space="preserve"> (ATR, cm</w:t>
      </w:r>
      <w:r w:rsidRPr="001F4DD0">
        <w:rPr>
          <w:vertAlign w:val="superscript"/>
          <w:lang w:val="en-AU"/>
        </w:rPr>
        <w:t>-1</w:t>
      </w:r>
      <w:r w:rsidRPr="001F4DD0">
        <w:rPr>
          <w:lang w:val="en-AU"/>
        </w:rPr>
        <w:t xml:space="preserve">) 2960m, 2868w, 2817 m br, 1674s, 1599s, 1563w, 1518m, 1462m, 1418m br, 1375m, 1318m, 1290s sh, 1186s, 1146w, 1107w, 1055w, 1015w, 942m br, 844s, 751s, 704m, 671w. A single crystal of the title compound as a dimethylacetamide solvate for X-ray diffraction was obtained from a mixture of </w:t>
      </w:r>
      <w:r w:rsidRPr="001F4DD0">
        <w:rPr>
          <w:b/>
          <w:lang w:val="en-AU"/>
        </w:rPr>
        <w:t>H</w:t>
      </w:r>
      <w:r w:rsidRPr="001F4DD0">
        <w:rPr>
          <w:b/>
          <w:vertAlign w:val="subscript"/>
          <w:lang w:val="en-AU"/>
        </w:rPr>
        <w:t>2</w:t>
      </w:r>
      <w:r w:rsidRPr="001F4DD0">
        <w:rPr>
          <w:b/>
          <w:lang w:val="en-AU"/>
        </w:rPr>
        <w:t>L1</w:t>
      </w:r>
      <w:r w:rsidRPr="001F4DD0">
        <w:rPr>
          <w:lang w:val="en-AU"/>
        </w:rPr>
        <w:t xml:space="preserve"> (20 mg) in N,N-dimethylacetamide (1 mL) heated at 100 °C and cooled to room temperature.</w:t>
      </w:r>
    </w:p>
    <w:p w14:paraId="61051E5C" w14:textId="196651DE" w:rsidR="003F1547" w:rsidRPr="001F4DD0" w:rsidRDefault="003F1547" w:rsidP="003F1547">
      <w:pPr>
        <w:pStyle w:val="RSCB02ArticleText"/>
      </w:pPr>
    </w:p>
    <w:p w14:paraId="055F6401" w14:textId="77777777" w:rsidR="004D5999" w:rsidRPr="001F4DD0" w:rsidRDefault="004D5999" w:rsidP="003F1547">
      <w:pPr>
        <w:pStyle w:val="RSCB02ArticleText"/>
      </w:pPr>
    </w:p>
    <w:p w14:paraId="3A41BA44" w14:textId="03A93095" w:rsidR="003F1547" w:rsidRPr="001F4DD0" w:rsidRDefault="003F1547" w:rsidP="003F1547">
      <w:pPr>
        <w:pStyle w:val="RSCB06BHeadingSub-Section"/>
      </w:pPr>
      <w:r w:rsidRPr="001F4DD0">
        <w:t>Synthesis of H</w:t>
      </w:r>
      <w:r w:rsidRPr="001F4DD0">
        <w:rPr>
          <w:vertAlign w:val="subscript"/>
        </w:rPr>
        <w:t>2</w:t>
      </w:r>
      <w:r w:rsidRPr="001F4DD0">
        <w:t>L3</w:t>
      </w:r>
    </w:p>
    <w:p w14:paraId="2BF3BAC7" w14:textId="5A82B464" w:rsidR="00690F5F" w:rsidRPr="001F4DD0" w:rsidRDefault="00690F5F" w:rsidP="00690F5F">
      <w:pPr>
        <w:pStyle w:val="RSCB06BHeadingSub-Section"/>
        <w:jc w:val="both"/>
        <w:rPr>
          <w:b w:val="0"/>
          <w:lang w:val="en-AU"/>
        </w:rPr>
      </w:pPr>
      <w:r w:rsidRPr="001F4DD0">
        <w:rPr>
          <w:b w:val="0"/>
        </w:rPr>
        <w:t>A mixture of 4-formylbenzoic acid (900 mg, 6.0 mmol), 4-(</w:t>
      </w:r>
      <w:r w:rsidRPr="001F4DD0">
        <w:rPr>
          <w:b w:val="0"/>
          <w:i/>
        </w:rPr>
        <w:t>1H</w:t>
      </w:r>
      <w:r w:rsidRPr="001F4DD0">
        <w:rPr>
          <w:b w:val="0"/>
        </w:rPr>
        <w:t>-imidazol-1-yl)-aniline (950 mg; 6.0 mmol) and para-toluenesulfonic acid (110 mg, 0.6 mmol) in 5 mL of glacial acetic acid was heated to 90 °C and held at this temperature with stirring for 30 minutes. Following this period, 2,3-butanedione (</w:t>
      </w:r>
      <w:r w:rsidRPr="001F4DD0">
        <w:rPr>
          <w:b w:val="0"/>
          <w:lang w:val="en-AU"/>
        </w:rPr>
        <w:t xml:space="preserve">260 μL, 2.9 mmol) was added dropwise. The mixture was stirred at 90 </w:t>
      </w:r>
      <w:r w:rsidRPr="001F4DD0">
        <w:rPr>
          <w:b w:val="0"/>
        </w:rPr>
        <w:t>°C for a further 3 hours, before being cooled to room temperature and filtered. The solids were washed with a further 5 mL of acetic acid and two 5 mL portions of methanol, and the crude solids were dried in air. The solids were then dispersed in 50 mL of boiling ethyl acetate, filtered, and washed with ethyl acetate (50 mL), methanol (50 mL) and diethyl ether (50 mL), leaving a bright yellow solid. Yield 225 mg (12%)</w:t>
      </w:r>
      <w:r w:rsidR="000803E3" w:rsidRPr="001F4DD0">
        <w:rPr>
          <w:b w:val="0"/>
        </w:rPr>
        <w:t xml:space="preserve">; m.p. &gt;300 </w:t>
      </w:r>
      <w:r w:rsidR="000803E3" w:rsidRPr="001F4DD0">
        <w:rPr>
          <w:rFonts w:ascii="High Tower Text" w:hAnsi="High Tower Text"/>
          <w:b w:val="0"/>
        </w:rPr>
        <w:t>°</w:t>
      </w:r>
      <w:r w:rsidR="000803E3" w:rsidRPr="001F4DD0">
        <w:rPr>
          <w:b w:val="0"/>
        </w:rPr>
        <w:t>C; Found C, 69.05; H, 3.90; N, 12.46; Calculated for C</w:t>
      </w:r>
      <w:r w:rsidR="000803E3" w:rsidRPr="001F4DD0">
        <w:rPr>
          <w:b w:val="0"/>
          <w:vertAlign w:val="subscript"/>
        </w:rPr>
        <w:t>38</w:t>
      </w:r>
      <w:r w:rsidR="000803E3" w:rsidRPr="001F4DD0">
        <w:rPr>
          <w:b w:val="0"/>
        </w:rPr>
        <w:t>H</w:t>
      </w:r>
      <w:r w:rsidR="000803E3" w:rsidRPr="001F4DD0">
        <w:rPr>
          <w:b w:val="0"/>
          <w:vertAlign w:val="subscript"/>
        </w:rPr>
        <w:t>26</w:t>
      </w:r>
      <w:r w:rsidR="000803E3" w:rsidRPr="001F4DD0">
        <w:rPr>
          <w:b w:val="0"/>
        </w:rPr>
        <w:t>N</w:t>
      </w:r>
      <w:r w:rsidR="000803E3" w:rsidRPr="001F4DD0">
        <w:rPr>
          <w:b w:val="0"/>
          <w:vertAlign w:val="subscript"/>
        </w:rPr>
        <w:t>6</w:t>
      </w:r>
      <w:r w:rsidR="000803E3" w:rsidRPr="001F4DD0">
        <w:rPr>
          <w:b w:val="0"/>
        </w:rPr>
        <w:t>O</w:t>
      </w:r>
      <w:r w:rsidR="000803E3" w:rsidRPr="001F4DD0">
        <w:rPr>
          <w:b w:val="0"/>
          <w:vertAlign w:val="subscript"/>
        </w:rPr>
        <w:t>4</w:t>
      </w:r>
      <w:r w:rsidR="000803E3" w:rsidRPr="001F4DD0">
        <w:rPr>
          <w:b w:val="0"/>
        </w:rPr>
        <w:t>·1.5H</w:t>
      </w:r>
      <w:r w:rsidR="000803E3" w:rsidRPr="001F4DD0">
        <w:rPr>
          <w:b w:val="0"/>
          <w:vertAlign w:val="subscript"/>
        </w:rPr>
        <w:t>2</w:t>
      </w:r>
      <w:r w:rsidR="000803E3" w:rsidRPr="001F4DD0">
        <w:rPr>
          <w:b w:val="0"/>
        </w:rPr>
        <w:t>O C, 69.40; H, 4.45; N, 12.78%; δ</w:t>
      </w:r>
      <w:r w:rsidR="000803E3" w:rsidRPr="001F4DD0">
        <w:rPr>
          <w:b w:val="0"/>
          <w:vertAlign w:val="subscript"/>
        </w:rPr>
        <w:t>H</w:t>
      </w:r>
      <w:r w:rsidR="000803E3" w:rsidRPr="001F4DD0">
        <w:rPr>
          <w:b w:val="0"/>
        </w:rPr>
        <w:t xml:space="preserve"> (d6-DMSO, 400 MHz) 6.71 (s, 2H, H3), </w:t>
      </w:r>
      <w:r w:rsidR="001464C8" w:rsidRPr="001F4DD0">
        <w:rPr>
          <w:b w:val="0"/>
        </w:rPr>
        <w:t xml:space="preserve">7.13 (s, 2H, H6), 7.37 (d, 4H, </w:t>
      </w:r>
      <w:r w:rsidR="001464C8" w:rsidRPr="001F4DD0">
        <w:rPr>
          <w:b w:val="0"/>
          <w:i/>
        </w:rPr>
        <w:t>J</w:t>
      </w:r>
      <w:r w:rsidR="001464C8" w:rsidRPr="001F4DD0">
        <w:rPr>
          <w:b w:val="0"/>
        </w:rPr>
        <w:t xml:space="preserve"> = 8.3 Hz, H4), 7.44 (2, 4H, </w:t>
      </w:r>
      <w:r w:rsidR="001464C8" w:rsidRPr="001F4DD0">
        <w:rPr>
          <w:b w:val="0"/>
          <w:i/>
        </w:rPr>
        <w:t>J</w:t>
      </w:r>
      <w:r w:rsidR="001464C8" w:rsidRPr="001F4DD0">
        <w:rPr>
          <w:b w:val="0"/>
        </w:rPr>
        <w:t xml:space="preserve"> = 8.7 Hz, </w:t>
      </w:r>
      <w:r w:rsidR="00E866E7" w:rsidRPr="001F4DD0">
        <w:rPr>
          <w:b w:val="0"/>
        </w:rPr>
        <w:t xml:space="preserve">H2), 7.76 – 7.85 (m, 10H, H1 + H5 + H7), 8.32 (s, 2H, H8), 12.8 (br s, 2H, H9); we were unable to obtain a satisfactory </w:t>
      </w:r>
      <w:r w:rsidR="00E866E7" w:rsidRPr="001F4DD0">
        <w:rPr>
          <w:b w:val="0"/>
          <w:vertAlign w:val="superscript"/>
        </w:rPr>
        <w:t>13</w:t>
      </w:r>
      <w:r w:rsidR="00E866E7" w:rsidRPr="001F4DD0">
        <w:rPr>
          <w:b w:val="0"/>
        </w:rPr>
        <w:t>C NMR due to the extremely poor solubility of the compound, which tended to precipitate from d</w:t>
      </w:r>
      <w:r w:rsidR="00E866E7" w:rsidRPr="001F4DD0">
        <w:rPr>
          <w:b w:val="0"/>
          <w:vertAlign w:val="subscript"/>
        </w:rPr>
        <w:t>6</w:t>
      </w:r>
      <w:r w:rsidR="00E866E7" w:rsidRPr="001F4DD0">
        <w:rPr>
          <w:b w:val="0"/>
        </w:rPr>
        <w:t xml:space="preserve">-DMSO during the experiment; </w:t>
      </w:r>
      <w:r w:rsidR="00E866E7" w:rsidRPr="001F4DD0">
        <w:rPr>
          <w:b w:val="0"/>
          <w:i/>
        </w:rPr>
        <w:t>m/z</w:t>
      </w:r>
      <w:r w:rsidR="00E866E7" w:rsidRPr="001F4DD0">
        <w:rPr>
          <w:b w:val="0"/>
        </w:rPr>
        <w:t xml:space="preserve"> (APCI) 629.1928 ([M-H]</w:t>
      </w:r>
      <w:r w:rsidR="00E866E7" w:rsidRPr="001F4DD0">
        <w:rPr>
          <w:b w:val="0"/>
          <w:vertAlign w:val="superscript"/>
        </w:rPr>
        <w:t>-</w:t>
      </w:r>
      <w:r w:rsidR="00E866E7" w:rsidRPr="001F4DD0">
        <w:rPr>
          <w:b w:val="0"/>
        </w:rPr>
        <w:t>, calculated for C</w:t>
      </w:r>
      <w:r w:rsidR="00E866E7" w:rsidRPr="001F4DD0">
        <w:rPr>
          <w:b w:val="0"/>
          <w:vertAlign w:val="subscript"/>
        </w:rPr>
        <w:t>38</w:t>
      </w:r>
      <w:r w:rsidR="00E866E7" w:rsidRPr="001F4DD0">
        <w:rPr>
          <w:b w:val="0"/>
        </w:rPr>
        <w:t>H</w:t>
      </w:r>
      <w:r w:rsidR="00E866E7" w:rsidRPr="001F4DD0">
        <w:rPr>
          <w:b w:val="0"/>
          <w:vertAlign w:val="subscript"/>
        </w:rPr>
        <w:t>25</w:t>
      </w:r>
      <w:r w:rsidR="00E866E7" w:rsidRPr="001F4DD0">
        <w:rPr>
          <w:b w:val="0"/>
        </w:rPr>
        <w:t>N</w:t>
      </w:r>
      <w:r w:rsidR="00E866E7" w:rsidRPr="001F4DD0">
        <w:rPr>
          <w:b w:val="0"/>
          <w:vertAlign w:val="subscript"/>
        </w:rPr>
        <w:t>6</w:t>
      </w:r>
      <w:r w:rsidR="00E866E7" w:rsidRPr="001F4DD0">
        <w:rPr>
          <w:b w:val="0"/>
        </w:rPr>
        <w:t>O</w:t>
      </w:r>
      <w:r w:rsidR="00E866E7" w:rsidRPr="001F4DD0">
        <w:rPr>
          <w:b w:val="0"/>
          <w:vertAlign w:val="subscript"/>
        </w:rPr>
        <w:t>4</w:t>
      </w:r>
      <w:r w:rsidR="00E866E7" w:rsidRPr="001F4DD0">
        <w:rPr>
          <w:b w:val="0"/>
        </w:rPr>
        <w:t xml:space="preserve"> 629.1943; </w:t>
      </w:r>
      <w:r w:rsidR="00E866E7" w:rsidRPr="001F4DD0">
        <w:rPr>
          <w:b w:val="0"/>
          <w:lang w:val="en-AU"/>
        </w:rPr>
        <w:t>ν</w:t>
      </w:r>
      <w:r w:rsidR="00E866E7" w:rsidRPr="001F4DD0">
        <w:rPr>
          <w:b w:val="0"/>
          <w:vertAlign w:val="subscript"/>
          <w:lang w:val="en-AU"/>
        </w:rPr>
        <w:t>max</w:t>
      </w:r>
      <w:r w:rsidR="00E866E7" w:rsidRPr="001F4DD0">
        <w:rPr>
          <w:b w:val="0"/>
          <w:lang w:val="en-AU"/>
        </w:rPr>
        <w:t xml:space="preserve"> (ATR, cm</w:t>
      </w:r>
      <w:r w:rsidR="00E866E7" w:rsidRPr="001F4DD0">
        <w:rPr>
          <w:b w:val="0"/>
          <w:vertAlign w:val="superscript"/>
          <w:lang w:val="en-AU"/>
        </w:rPr>
        <w:t>-1</w:t>
      </w:r>
      <w:r w:rsidR="00E866E7" w:rsidRPr="001F4DD0">
        <w:rPr>
          <w:b w:val="0"/>
          <w:lang w:val="en-AU"/>
        </w:rPr>
        <w:t xml:space="preserve">) </w:t>
      </w:r>
      <w:r w:rsidR="00806F63" w:rsidRPr="001F4DD0">
        <w:rPr>
          <w:b w:val="0"/>
          <w:lang w:val="en-AU"/>
        </w:rPr>
        <w:t xml:space="preserve">3407w br, 3116w, 3079w, 1690s sh, 1601s, 1564w, 1514s, 1468m sh, 1408m sh, 1377w, 1363w, 1273m sh, </w:t>
      </w:r>
      <w:r w:rsidR="00146722" w:rsidRPr="001F4DD0">
        <w:rPr>
          <w:b w:val="0"/>
          <w:lang w:val="en-AU"/>
        </w:rPr>
        <w:t>1233m, 1175s, 1139w, 1102m sh, 1054s, 1013w, 964w, 829s sh, 786w, 746m, 727s, 702m, 671w, 649m.</w:t>
      </w:r>
      <w:r w:rsidR="00A6114C" w:rsidRPr="001F4DD0">
        <w:rPr>
          <w:b w:val="0"/>
          <w:lang w:val="en-AU"/>
        </w:rPr>
        <w:t xml:space="preserve"> Single crystals of the </w:t>
      </w:r>
      <w:r w:rsidR="00DD4C92" w:rsidRPr="001F4DD0">
        <w:rPr>
          <w:b w:val="0"/>
          <w:lang w:val="en-AU"/>
        </w:rPr>
        <w:t>tetrakis</w:t>
      </w:r>
      <w:r w:rsidR="00A6114C" w:rsidRPr="001F4DD0">
        <w:rPr>
          <w:b w:val="0"/>
          <w:lang w:val="en-AU"/>
        </w:rPr>
        <w:t>-DMSO solvate were prepared in small quantities by recrystallization from hot DMSO.</w:t>
      </w:r>
    </w:p>
    <w:p w14:paraId="39972868" w14:textId="77777777" w:rsidR="00E866E7" w:rsidRPr="001F4DD0" w:rsidRDefault="00E866E7" w:rsidP="00690F5F">
      <w:pPr>
        <w:pStyle w:val="RSCB06BHeadingSub-Section"/>
        <w:jc w:val="both"/>
        <w:rPr>
          <w:b w:val="0"/>
        </w:rPr>
      </w:pPr>
    </w:p>
    <w:p w14:paraId="4D5BCC96" w14:textId="6C656829" w:rsidR="003F1547" w:rsidRPr="001F4DD0" w:rsidRDefault="003F1547" w:rsidP="003F1547">
      <w:pPr>
        <w:pStyle w:val="RSCB06BHeadingSub-Section"/>
        <w:rPr>
          <w:b w:val="0"/>
          <w:i/>
        </w:rPr>
      </w:pPr>
      <w:r w:rsidRPr="001F4DD0">
        <w:t xml:space="preserve">Synthesis of </w:t>
      </w:r>
      <w:r w:rsidR="009F0839" w:rsidRPr="001F4DD0">
        <w:rPr>
          <w:i/>
          <w:lang w:val="en-US"/>
        </w:rPr>
        <w:t>poly</w:t>
      </w:r>
      <w:r w:rsidR="009F0839" w:rsidRPr="001F4DD0">
        <w:rPr>
          <w:lang w:val="en-US"/>
        </w:rPr>
        <w:t>-[AgL1</w:t>
      </w:r>
      <w:r w:rsidR="009F0839" w:rsidRPr="001F4DD0">
        <w:rPr>
          <w:vertAlign w:val="subscript"/>
          <w:lang w:val="en-US"/>
        </w:rPr>
        <w:t>2</w:t>
      </w:r>
      <w:r w:rsidR="009F0839" w:rsidRPr="001F4DD0">
        <w:rPr>
          <w:lang w:val="en-US"/>
        </w:rPr>
        <w:t>]</w:t>
      </w:r>
      <w:r w:rsidR="00B129EF" w:rsidRPr="001F4DD0">
        <w:rPr>
          <w:lang w:val="en-US"/>
        </w:rPr>
        <w:t>SbF</w:t>
      </w:r>
      <w:r w:rsidR="00B129EF" w:rsidRPr="001F4DD0">
        <w:rPr>
          <w:vertAlign w:val="subscript"/>
          <w:lang w:val="en-US"/>
        </w:rPr>
        <w:t>6</w:t>
      </w:r>
      <w:r w:rsidR="009F0839" w:rsidRPr="001F4DD0">
        <w:rPr>
          <w:lang w:val="en-US"/>
        </w:rPr>
        <w:t>·3THF·2H</w:t>
      </w:r>
      <w:r w:rsidR="009F0839" w:rsidRPr="001F4DD0">
        <w:rPr>
          <w:vertAlign w:val="subscript"/>
          <w:lang w:val="en-US"/>
        </w:rPr>
        <w:t>2</w:t>
      </w:r>
      <w:r w:rsidR="009F0839" w:rsidRPr="001F4DD0">
        <w:rPr>
          <w:lang w:val="en-US"/>
        </w:rPr>
        <w:t>O 1</w:t>
      </w:r>
    </w:p>
    <w:p w14:paraId="20D504C5" w14:textId="75429C90" w:rsidR="00857024" w:rsidRPr="001F4DD0" w:rsidRDefault="00690F5F" w:rsidP="00857024">
      <w:pPr>
        <w:pStyle w:val="RSCB02ArticleText"/>
        <w:rPr>
          <w:lang w:val="en-AU"/>
        </w:rPr>
      </w:pPr>
      <w:r w:rsidRPr="001F4DD0">
        <w:rPr>
          <w:lang w:val="en-AU"/>
        </w:rPr>
        <w:t>L</w:t>
      </w:r>
      <w:r w:rsidR="00857024" w:rsidRPr="001F4DD0">
        <w:rPr>
          <w:lang w:val="en-AU"/>
        </w:rPr>
        <w:t xml:space="preserve">igand </w:t>
      </w:r>
      <w:r w:rsidR="00857024" w:rsidRPr="001F4DD0">
        <w:rPr>
          <w:b/>
          <w:lang w:val="en-AU"/>
        </w:rPr>
        <w:t>L1</w:t>
      </w:r>
      <w:r w:rsidR="00857024" w:rsidRPr="001F4DD0">
        <w:rPr>
          <w:lang w:val="en-AU"/>
        </w:rPr>
        <w:t xml:space="preserve"> (10 mg, 17 μmol) was slurried in 5 mL of THF, and combined with a solution of silver hexafluoroantimonate (6 mg, 17 μmol) in 5 mL of THF, with exclusion of ambient light. The mixture was sealed and left to stand for 48 hours, yielding orange crystals of the title compound. Yield 6.9 mg (46 %); m.p &gt;300 °C (decomp.); Found C, 63.35; H, 5.62; N, 6.29; Calculated for [Ag</w:t>
      </w:r>
      <w:r w:rsidR="00857024" w:rsidRPr="001F4DD0">
        <w:rPr>
          <w:b/>
          <w:lang w:val="en-AU"/>
        </w:rPr>
        <w:t>L1</w:t>
      </w:r>
      <w:r w:rsidR="00857024" w:rsidRPr="001F4DD0">
        <w:rPr>
          <w:vertAlign w:val="subscript"/>
          <w:lang w:val="en-AU"/>
        </w:rPr>
        <w:t>2</w:t>
      </w:r>
      <w:r w:rsidR="00857024" w:rsidRPr="001F4DD0">
        <w:rPr>
          <w:lang w:val="en-AU"/>
        </w:rPr>
        <w:t>]</w:t>
      </w:r>
      <w:r w:rsidR="00B129EF" w:rsidRPr="001F4DD0">
        <w:rPr>
          <w:lang w:val="en-AU"/>
        </w:rPr>
        <w:t>SbF</w:t>
      </w:r>
      <w:r w:rsidR="00B129EF" w:rsidRPr="001F4DD0">
        <w:rPr>
          <w:vertAlign w:val="subscript"/>
          <w:lang w:val="en-AU"/>
        </w:rPr>
        <w:t>6</w:t>
      </w:r>
      <w:r w:rsidR="00857024" w:rsidRPr="001F4DD0">
        <w:rPr>
          <w:lang w:val="en-AU"/>
        </w:rPr>
        <w:t>·3THF·2H</w:t>
      </w:r>
      <w:r w:rsidR="00857024" w:rsidRPr="001F4DD0">
        <w:rPr>
          <w:vertAlign w:val="subscript"/>
          <w:lang w:val="en-AU"/>
        </w:rPr>
        <w:t>2</w:t>
      </w:r>
      <w:r w:rsidR="00857024" w:rsidRPr="001F4DD0">
        <w:rPr>
          <w:lang w:val="en-AU"/>
        </w:rPr>
        <w:t>O (C</w:t>
      </w:r>
      <w:r w:rsidR="00857024" w:rsidRPr="001F4DD0">
        <w:rPr>
          <w:vertAlign w:val="subscript"/>
          <w:lang w:val="en-AU"/>
        </w:rPr>
        <w:t>92</w:t>
      </w:r>
      <w:r w:rsidR="00857024" w:rsidRPr="001F4DD0">
        <w:rPr>
          <w:lang w:val="en-AU"/>
        </w:rPr>
        <w:t>H</w:t>
      </w:r>
      <w:r w:rsidR="00857024" w:rsidRPr="001F4DD0">
        <w:rPr>
          <w:vertAlign w:val="subscript"/>
          <w:lang w:val="en-AU"/>
        </w:rPr>
        <w:t>100</w:t>
      </w:r>
      <w:r w:rsidR="00857024" w:rsidRPr="001F4DD0">
        <w:rPr>
          <w:lang w:val="en-AU"/>
        </w:rPr>
        <w:t>AgF</w:t>
      </w:r>
      <w:r w:rsidR="00857024" w:rsidRPr="001F4DD0">
        <w:rPr>
          <w:vertAlign w:val="subscript"/>
          <w:lang w:val="en-AU"/>
        </w:rPr>
        <w:t>6</w:t>
      </w:r>
      <w:r w:rsidR="00857024" w:rsidRPr="001F4DD0">
        <w:rPr>
          <w:lang w:val="en-AU"/>
        </w:rPr>
        <w:t>N</w:t>
      </w:r>
      <w:r w:rsidR="00857024" w:rsidRPr="001F4DD0">
        <w:rPr>
          <w:vertAlign w:val="subscript"/>
          <w:lang w:val="en-AU"/>
        </w:rPr>
        <w:t>8</w:t>
      </w:r>
      <w:r w:rsidR="00857024" w:rsidRPr="001F4DD0">
        <w:rPr>
          <w:lang w:val="en-AU"/>
        </w:rPr>
        <w:t>O</w:t>
      </w:r>
      <w:r w:rsidR="00857024" w:rsidRPr="001F4DD0">
        <w:rPr>
          <w:vertAlign w:val="subscript"/>
          <w:lang w:val="en-AU"/>
        </w:rPr>
        <w:t>5</w:t>
      </w:r>
      <w:r w:rsidR="00857024" w:rsidRPr="001F4DD0">
        <w:rPr>
          <w:lang w:val="en-AU"/>
        </w:rPr>
        <w:t>Sb] C, 63.45; H, 5.79; N, 6.43%; ν</w:t>
      </w:r>
      <w:r w:rsidR="00857024" w:rsidRPr="001F4DD0">
        <w:rPr>
          <w:vertAlign w:val="subscript"/>
          <w:lang w:val="en-AU"/>
        </w:rPr>
        <w:t>max</w:t>
      </w:r>
      <w:r w:rsidR="00857024" w:rsidRPr="001F4DD0">
        <w:rPr>
          <w:lang w:val="en-AU"/>
        </w:rPr>
        <w:t xml:space="preserve"> (ATR, cm</w:t>
      </w:r>
      <w:r w:rsidR="00857024" w:rsidRPr="001F4DD0">
        <w:rPr>
          <w:vertAlign w:val="superscript"/>
          <w:lang w:val="en-AU"/>
        </w:rPr>
        <w:t>-1</w:t>
      </w:r>
      <w:r w:rsidR="00857024" w:rsidRPr="001F4DD0">
        <w:rPr>
          <w:lang w:val="en-AU"/>
        </w:rPr>
        <w:t>) 3341 w br, 2953m, 2901w, 2864w, 2236s, 1592s, 1553w, 1515s, 1458m, 1412m, 1376m sh, 1269w, 1238w, 1175s, 1144w, 1114w, 1060m, 1020w, 901w, 841s, 797w, 766w, 721w, 684w, 653s. Phase purity was confirmed by X-ray powder diffraction.</w:t>
      </w:r>
    </w:p>
    <w:p w14:paraId="7B1E953C" w14:textId="44D5D341" w:rsidR="00857024" w:rsidRPr="001F4DD0" w:rsidRDefault="00857024" w:rsidP="00857024">
      <w:pPr>
        <w:pStyle w:val="RSCB02ArticleText"/>
      </w:pPr>
    </w:p>
    <w:p w14:paraId="5A1643B2" w14:textId="14D1AFEA" w:rsidR="00857024" w:rsidRPr="001F4DD0" w:rsidRDefault="00857024" w:rsidP="00857024">
      <w:pPr>
        <w:pStyle w:val="RSCB06BHeadingSub-Section"/>
      </w:pPr>
      <w:r w:rsidRPr="001F4DD0">
        <w:t xml:space="preserve">Synthesis of </w:t>
      </w:r>
      <w:r w:rsidR="00A6114C" w:rsidRPr="001F4DD0">
        <w:rPr>
          <w:bCs/>
          <w:i/>
          <w:lang w:val="en-US"/>
        </w:rPr>
        <w:t>poly</w:t>
      </w:r>
      <w:r w:rsidR="00A6114C" w:rsidRPr="001F4DD0">
        <w:rPr>
          <w:bCs/>
          <w:lang w:val="en-US"/>
        </w:rPr>
        <w:t>-[Zn</w:t>
      </w:r>
      <w:r w:rsidR="00A6114C" w:rsidRPr="001F4DD0">
        <w:rPr>
          <w:bCs/>
          <w:vertAlign w:val="subscript"/>
          <w:lang w:val="en-US"/>
        </w:rPr>
        <w:t>4</w:t>
      </w:r>
      <w:r w:rsidR="00A6114C" w:rsidRPr="001F4DD0">
        <w:rPr>
          <w:bCs/>
          <w:lang w:val="en-US"/>
        </w:rPr>
        <w:t>O(L2)</w:t>
      </w:r>
      <w:r w:rsidR="00A6114C" w:rsidRPr="001F4DD0">
        <w:rPr>
          <w:bCs/>
          <w:vertAlign w:val="subscript"/>
          <w:lang w:val="en-US"/>
        </w:rPr>
        <w:t>3</w:t>
      </w:r>
      <w:r w:rsidR="00A6114C" w:rsidRPr="001F4DD0">
        <w:rPr>
          <w:bCs/>
          <w:lang w:val="en-US"/>
        </w:rPr>
        <w:t>]·20DMA·10H</w:t>
      </w:r>
      <w:r w:rsidR="00A6114C" w:rsidRPr="001F4DD0">
        <w:rPr>
          <w:bCs/>
          <w:vertAlign w:val="subscript"/>
          <w:lang w:val="en-US"/>
        </w:rPr>
        <w:t>2</w:t>
      </w:r>
      <w:r w:rsidR="00A6114C" w:rsidRPr="001F4DD0">
        <w:rPr>
          <w:bCs/>
          <w:lang w:val="en-US"/>
        </w:rPr>
        <w:t xml:space="preserve">O </w:t>
      </w:r>
      <w:r w:rsidRPr="001F4DD0">
        <w:t xml:space="preserve"> 2</w:t>
      </w:r>
    </w:p>
    <w:p w14:paraId="362327B3" w14:textId="77777777" w:rsidR="00857024" w:rsidRPr="001F4DD0" w:rsidRDefault="00857024" w:rsidP="00857024">
      <w:pPr>
        <w:pStyle w:val="RSCB02ArticleText"/>
        <w:rPr>
          <w:lang w:val="en-AU"/>
        </w:rPr>
      </w:pPr>
      <w:r w:rsidRPr="001F4DD0">
        <w:rPr>
          <w:lang w:val="en-AU"/>
        </w:rPr>
        <w:t xml:space="preserve">A mixture of </w:t>
      </w:r>
      <w:r w:rsidRPr="001F4DD0">
        <w:rPr>
          <w:b/>
          <w:lang w:val="en-AU"/>
        </w:rPr>
        <w:t>H</w:t>
      </w:r>
      <w:r w:rsidRPr="001F4DD0">
        <w:rPr>
          <w:b/>
          <w:vertAlign w:val="subscript"/>
          <w:lang w:val="en-AU"/>
        </w:rPr>
        <w:t>2</w:t>
      </w:r>
      <w:r w:rsidRPr="001F4DD0">
        <w:rPr>
          <w:b/>
          <w:lang w:val="en-AU"/>
        </w:rPr>
        <w:t>L2</w:t>
      </w:r>
      <w:r w:rsidRPr="001F4DD0">
        <w:rPr>
          <w:lang w:val="en-AU"/>
        </w:rPr>
        <w:t xml:space="preserve"> (10 mg, 16 μmol), zinc nitrate hexahydrate (10 mg; 34 μmol) and DABCO (5 mg, 45 μmol) was combined in 2 mL of a 2:1 mixture of N,N-dimethylacetamide and ethanol. The resulting suspension was homogenised with brief sonication, sealed, and heated at 100 °C for 6 hours, agitating the sample after 1 hour. The resulting yellow crystals were filtered hot, washed with 2×5 mL of N,N-dimethylacetamide, and air dried. Samples for gas adsorption or solvent exchange studies were immediately transferred into their respective exchange solvents without allowing th</w:t>
      </w:r>
      <w:bookmarkStart w:id="1" w:name="_GoBack"/>
      <w:bookmarkEnd w:id="1"/>
      <w:r w:rsidRPr="001F4DD0">
        <w:rPr>
          <w:lang w:val="en-AU"/>
        </w:rPr>
        <w:t>e solids to dry. Yield 7 mg (32%); m.p. &gt;300 °C; Found C, 59.18; H, 7.05; N, 8.61; calculated for [Zn</w:t>
      </w:r>
      <w:r w:rsidRPr="001F4DD0">
        <w:rPr>
          <w:vertAlign w:val="subscript"/>
          <w:lang w:val="en-AU"/>
        </w:rPr>
        <w:t>4</w:t>
      </w:r>
      <w:r w:rsidRPr="001F4DD0">
        <w:rPr>
          <w:lang w:val="en-AU"/>
        </w:rPr>
        <w:t>O(</w:t>
      </w:r>
      <w:r w:rsidRPr="001F4DD0">
        <w:rPr>
          <w:b/>
          <w:lang w:val="en-AU"/>
        </w:rPr>
        <w:t>L2</w:t>
      </w:r>
      <w:r w:rsidRPr="001F4DD0">
        <w:rPr>
          <w:lang w:val="en-AU"/>
        </w:rPr>
        <w:t>)</w:t>
      </w:r>
      <w:r w:rsidRPr="001F4DD0">
        <w:rPr>
          <w:vertAlign w:val="subscript"/>
          <w:lang w:val="en-AU"/>
        </w:rPr>
        <w:t>3</w:t>
      </w:r>
      <w:r w:rsidRPr="001F4DD0">
        <w:rPr>
          <w:lang w:val="en-AU"/>
        </w:rPr>
        <w:t>]·20DMA·10H</w:t>
      </w:r>
      <w:r w:rsidRPr="001F4DD0">
        <w:rPr>
          <w:vertAlign w:val="subscript"/>
          <w:lang w:val="en-AU"/>
        </w:rPr>
        <w:t>2</w:t>
      </w:r>
      <w:r w:rsidRPr="001F4DD0">
        <w:rPr>
          <w:lang w:val="en-AU"/>
        </w:rPr>
        <w:t>O C, 59.66; H, 7.71; N, 9.04%; ν</w:t>
      </w:r>
      <w:r w:rsidRPr="001F4DD0">
        <w:rPr>
          <w:vertAlign w:val="subscript"/>
          <w:lang w:val="en-AU"/>
        </w:rPr>
        <w:t>max</w:t>
      </w:r>
      <w:r w:rsidRPr="001F4DD0">
        <w:rPr>
          <w:lang w:val="en-AU"/>
        </w:rPr>
        <w:t xml:space="preserve"> (ATR, cm</w:t>
      </w:r>
      <w:r w:rsidRPr="001F4DD0">
        <w:rPr>
          <w:vertAlign w:val="superscript"/>
          <w:lang w:val="en-AU"/>
        </w:rPr>
        <w:t>-1</w:t>
      </w:r>
      <w:r w:rsidRPr="001F4DD0">
        <w:rPr>
          <w:lang w:val="en-AU"/>
        </w:rPr>
        <w:t>) 3424w br, 2955m, 2868m, 1601s sh, 1549w, 1513m, 1462w, 1391s sh, 1265m, 1182m, 1140w, 1104w, 1058w, 1014m, 842m, 788m, 757m, 707w, 674w. Phase purity was confirmed by X-ray powder diffraction.</w:t>
      </w:r>
    </w:p>
    <w:p w14:paraId="4A5E4A62" w14:textId="6A2DF533" w:rsidR="00857024" w:rsidRPr="001F4DD0" w:rsidRDefault="00857024" w:rsidP="00857024">
      <w:pPr>
        <w:pStyle w:val="RSCB02ArticleText"/>
      </w:pPr>
    </w:p>
    <w:p w14:paraId="00248776" w14:textId="146D7CDB" w:rsidR="00857024" w:rsidRPr="001F4DD0" w:rsidRDefault="00857024" w:rsidP="00857024">
      <w:pPr>
        <w:pStyle w:val="RSCB02ArticleText"/>
      </w:pPr>
    </w:p>
    <w:p w14:paraId="475B9FDF" w14:textId="64235F85" w:rsidR="00857024" w:rsidRPr="001F4DD0" w:rsidRDefault="00857024" w:rsidP="00857024">
      <w:pPr>
        <w:pStyle w:val="RSCB06BHeadingSub-Section"/>
      </w:pPr>
      <w:r w:rsidRPr="001F4DD0">
        <w:t xml:space="preserve">Synthesis of </w:t>
      </w:r>
      <w:r w:rsidR="001C3BD5" w:rsidRPr="001F4DD0">
        <w:rPr>
          <w:i/>
        </w:rPr>
        <w:t>poly</w:t>
      </w:r>
      <w:r w:rsidR="001C3BD5" w:rsidRPr="001F4DD0">
        <w:t>-[CdL3]·2.5DMA·3.5H</w:t>
      </w:r>
      <w:r w:rsidR="001C3BD5" w:rsidRPr="001F4DD0">
        <w:rPr>
          <w:vertAlign w:val="subscript"/>
        </w:rPr>
        <w:t>2</w:t>
      </w:r>
      <w:r w:rsidR="001C3BD5" w:rsidRPr="001F4DD0">
        <w:t>O</w:t>
      </w:r>
      <w:r w:rsidRPr="001F4DD0">
        <w:t xml:space="preserve"> 3</w:t>
      </w:r>
    </w:p>
    <w:p w14:paraId="336BFCEC" w14:textId="431C1A77" w:rsidR="00857024" w:rsidRPr="001F4DD0" w:rsidRDefault="00680D91" w:rsidP="00DC10A7">
      <w:pPr>
        <w:pStyle w:val="RSCB06BHeadingSub-Section"/>
        <w:jc w:val="both"/>
        <w:rPr>
          <w:b w:val="0"/>
        </w:rPr>
      </w:pPr>
      <w:r w:rsidRPr="001F4DD0">
        <w:rPr>
          <w:b w:val="0"/>
        </w:rPr>
        <w:t xml:space="preserve">Ligand </w:t>
      </w:r>
      <w:r w:rsidRPr="001F4DD0">
        <w:t>H</w:t>
      </w:r>
      <w:r w:rsidRPr="001F4DD0">
        <w:rPr>
          <w:vertAlign w:val="subscript"/>
        </w:rPr>
        <w:t>2</w:t>
      </w:r>
      <w:r w:rsidRPr="001F4DD0">
        <w:t>L3</w:t>
      </w:r>
      <w:r w:rsidRPr="001F4DD0">
        <w:rPr>
          <w:b w:val="0"/>
        </w:rPr>
        <w:t xml:space="preserve"> (10 mg, 16 µmol) and cadmium nitrate tetrahydrate (10 mg, 32 µmol) were combined in 2 mL of N,N-dimethylacetamide, and the turbid yellow mixture was homogenised by sonication. The mixture was sealed and heated at 100 </w:t>
      </w:r>
      <w:r w:rsidRPr="001F4DD0">
        <w:rPr>
          <w:rFonts w:ascii="High Tower Text" w:hAnsi="High Tower Text"/>
          <w:b w:val="0"/>
        </w:rPr>
        <w:t>°</w:t>
      </w:r>
      <w:r w:rsidRPr="001F4DD0">
        <w:rPr>
          <w:b w:val="0"/>
        </w:rPr>
        <w:t>C for 6 hours, at which point the orange crystals of the product were isolated by filtration and washed with N,N-dimethylacetamide. Yield 5.0 mg (</w:t>
      </w:r>
      <w:r w:rsidR="001C3BD5" w:rsidRPr="001F4DD0">
        <w:rPr>
          <w:b w:val="0"/>
        </w:rPr>
        <w:t xml:space="preserve">31%); m.p. &gt; 300 </w:t>
      </w:r>
      <w:r w:rsidR="001C3BD5" w:rsidRPr="001F4DD0">
        <w:rPr>
          <w:rFonts w:ascii="High Tower Text" w:hAnsi="High Tower Text"/>
          <w:b w:val="0"/>
        </w:rPr>
        <w:t>°</w:t>
      </w:r>
      <w:r w:rsidR="001C3BD5" w:rsidRPr="001F4DD0">
        <w:rPr>
          <w:b w:val="0"/>
        </w:rPr>
        <w:t>C; Found C, 56.10; H, 4.75; N, 11.94; Calculated for C</w:t>
      </w:r>
      <w:r w:rsidR="001C3BD5" w:rsidRPr="001F4DD0">
        <w:rPr>
          <w:b w:val="0"/>
          <w:vertAlign w:val="subscript"/>
        </w:rPr>
        <w:t>38</w:t>
      </w:r>
      <w:r w:rsidR="001C3BD5" w:rsidRPr="001F4DD0">
        <w:rPr>
          <w:b w:val="0"/>
        </w:rPr>
        <w:t>H</w:t>
      </w:r>
      <w:r w:rsidR="001C3BD5" w:rsidRPr="001F4DD0">
        <w:rPr>
          <w:b w:val="0"/>
          <w:vertAlign w:val="subscript"/>
        </w:rPr>
        <w:t>24</w:t>
      </w:r>
      <w:r w:rsidR="001C3BD5" w:rsidRPr="001F4DD0">
        <w:rPr>
          <w:b w:val="0"/>
        </w:rPr>
        <w:t>N</w:t>
      </w:r>
      <w:r w:rsidR="001C3BD5" w:rsidRPr="001F4DD0">
        <w:rPr>
          <w:b w:val="0"/>
          <w:vertAlign w:val="subscript"/>
        </w:rPr>
        <w:t>6</w:t>
      </w:r>
      <w:r w:rsidR="001C3BD5" w:rsidRPr="001F4DD0">
        <w:rPr>
          <w:b w:val="0"/>
        </w:rPr>
        <w:t>O</w:t>
      </w:r>
      <w:r w:rsidR="001C3BD5" w:rsidRPr="001F4DD0">
        <w:rPr>
          <w:b w:val="0"/>
          <w:vertAlign w:val="subscript"/>
        </w:rPr>
        <w:t>4</w:t>
      </w:r>
      <w:r w:rsidR="001C3BD5" w:rsidRPr="001F4DD0">
        <w:rPr>
          <w:b w:val="0"/>
        </w:rPr>
        <w:t>Cd·2.5DMA·2.5H</w:t>
      </w:r>
      <w:r w:rsidR="001C3BD5" w:rsidRPr="001F4DD0">
        <w:rPr>
          <w:b w:val="0"/>
          <w:vertAlign w:val="subscript"/>
        </w:rPr>
        <w:t>2</w:t>
      </w:r>
      <w:r w:rsidR="001C3BD5" w:rsidRPr="001F4DD0">
        <w:rPr>
          <w:b w:val="0"/>
        </w:rPr>
        <w:t xml:space="preserve">O C, 56.42; H, 5.28; N, 11.65%; </w:t>
      </w:r>
      <w:r w:rsidR="00A02848" w:rsidRPr="001F4DD0">
        <w:rPr>
          <w:b w:val="0"/>
          <w:lang w:val="en-AU"/>
        </w:rPr>
        <w:t>ν</w:t>
      </w:r>
      <w:r w:rsidR="00A02848" w:rsidRPr="001F4DD0">
        <w:rPr>
          <w:b w:val="0"/>
          <w:vertAlign w:val="subscript"/>
          <w:lang w:val="en-AU"/>
        </w:rPr>
        <w:t>max</w:t>
      </w:r>
      <w:r w:rsidR="00A02848" w:rsidRPr="001F4DD0">
        <w:rPr>
          <w:b w:val="0"/>
          <w:lang w:val="en-AU"/>
        </w:rPr>
        <w:t xml:space="preserve"> (ATR, cm</w:t>
      </w:r>
      <w:r w:rsidR="00A02848" w:rsidRPr="001F4DD0">
        <w:rPr>
          <w:b w:val="0"/>
          <w:vertAlign w:val="superscript"/>
          <w:lang w:val="en-AU"/>
        </w:rPr>
        <w:t>-1</w:t>
      </w:r>
      <w:r w:rsidR="00A02848" w:rsidRPr="001F4DD0">
        <w:rPr>
          <w:b w:val="0"/>
          <w:lang w:val="en-AU"/>
        </w:rPr>
        <w:t>)</w:t>
      </w:r>
      <w:r w:rsidR="00A17D1F" w:rsidRPr="001F4DD0">
        <w:rPr>
          <w:b w:val="0"/>
          <w:lang w:val="en-AU"/>
        </w:rPr>
        <w:t xml:space="preserve"> 3415w, 3116w, 2932w, 1627s, sh, 1606s, 1588s, 1522s, 1382s, 1366m, 1263m, 1172w sh, 1134w, 1060m, 1013m, 962m, 933w, 852s, 754s, 716w, 651m</w:t>
      </w:r>
      <w:r w:rsidR="00A02848" w:rsidRPr="001F4DD0">
        <w:rPr>
          <w:b w:val="0"/>
          <w:lang w:val="en-AU"/>
        </w:rPr>
        <w:t>. Phase purity was confirmed by X-ray powder diffraction.</w:t>
      </w:r>
    </w:p>
    <w:p w14:paraId="751CB341" w14:textId="77777777" w:rsidR="00C9557D" w:rsidRPr="001F4DD0" w:rsidRDefault="00C9557D" w:rsidP="00C9557D">
      <w:pPr>
        <w:pStyle w:val="RSCB04AHeadingSection"/>
      </w:pPr>
      <w:r w:rsidRPr="001F4DD0">
        <w:t>Conflict</w:t>
      </w:r>
      <w:r w:rsidR="00F05C18" w:rsidRPr="001F4DD0">
        <w:t>s</w:t>
      </w:r>
      <w:r w:rsidRPr="001F4DD0">
        <w:t xml:space="preserve"> of interest</w:t>
      </w:r>
    </w:p>
    <w:p w14:paraId="02CD7C05" w14:textId="28302D49" w:rsidR="00A05364" w:rsidRPr="001F4DD0" w:rsidRDefault="00A05364" w:rsidP="00A05364">
      <w:pPr>
        <w:rPr>
          <w:rFonts w:cs="Times New Roman"/>
          <w:w w:val="108"/>
          <w:sz w:val="18"/>
          <w:szCs w:val="18"/>
        </w:rPr>
      </w:pPr>
      <w:r w:rsidRPr="001F4DD0">
        <w:rPr>
          <w:rFonts w:cs="Times New Roman"/>
          <w:w w:val="108"/>
          <w:sz w:val="18"/>
          <w:szCs w:val="18"/>
        </w:rPr>
        <w:t>There are no conflicts to declare</w:t>
      </w:r>
    </w:p>
    <w:p w14:paraId="201B7B53" w14:textId="022F732E" w:rsidR="00FA2DA2" w:rsidRPr="001F4DD0" w:rsidRDefault="00FA2DA2" w:rsidP="00FA2DA2">
      <w:pPr>
        <w:pStyle w:val="RSCB04AHeadingSection"/>
      </w:pPr>
      <w:r w:rsidRPr="001F4DD0">
        <w:t>Acknowledgements</w:t>
      </w:r>
    </w:p>
    <w:p w14:paraId="7F51224B" w14:textId="77777777" w:rsidR="00857024" w:rsidRPr="001F4DD0" w:rsidRDefault="00857024" w:rsidP="00857024">
      <w:pPr>
        <w:pStyle w:val="RSCB02ArticleText"/>
        <w:rPr>
          <w:lang w:val="en-US"/>
        </w:rPr>
      </w:pPr>
      <w:r w:rsidRPr="001F4DD0">
        <w:rPr>
          <w:lang w:val="en-US"/>
        </w:rPr>
        <w:t xml:space="preserve">We acknowledge the Irish Research Council (Fellowships </w:t>
      </w:r>
      <w:r w:rsidRPr="001F4DD0">
        <w:rPr>
          <w:iCs/>
          <w:lang w:val="en-US"/>
        </w:rPr>
        <w:t>GOIPD</w:t>
      </w:r>
      <w:r w:rsidRPr="001F4DD0">
        <w:rPr>
          <w:lang w:val="en-US"/>
        </w:rPr>
        <w:t>/2015/446 to C.S.H. and ELEVATEPD/2014/63 to G.O’M.), Science Foundation Ireland (PI awards 13/IA/1865 to T.G. and 13/IA/1896 to W.S.), the European Research Council (CoG 2014 – 647719 to W.S.), the Royal Society of Chemistry (RF18-5224 to C.S.H.), the School of Chemical and Physical Sciences, Keele University, and the School of Chemistry, Trinity College Dublin.</w:t>
      </w:r>
    </w:p>
    <w:p w14:paraId="7162537F" w14:textId="77777777" w:rsidR="00857024" w:rsidRPr="001F4DD0" w:rsidRDefault="00857024" w:rsidP="00857024">
      <w:pPr>
        <w:pStyle w:val="RSCB02ArticleText"/>
      </w:pPr>
    </w:p>
    <w:p w14:paraId="73C7088E" w14:textId="77777777" w:rsidR="00D010E8" w:rsidRPr="001F4DD0" w:rsidRDefault="00E61949" w:rsidP="00EF6BD4">
      <w:pPr>
        <w:pStyle w:val="RSCB04AHeadingSection"/>
      </w:pPr>
      <w:r w:rsidRPr="001F4DD0">
        <w:t>Notes and references</w:t>
      </w:r>
    </w:p>
    <w:p w14:paraId="2C7B066F" w14:textId="77777777" w:rsidR="001651A7" w:rsidRPr="001F4DD0" w:rsidRDefault="001651A7" w:rsidP="001651A7">
      <w:pPr>
        <w:pStyle w:val="RSCR02References"/>
        <w:numPr>
          <w:ilvl w:val="0"/>
          <w:numId w:val="8"/>
        </w:numPr>
        <w:tabs>
          <w:tab w:val="left" w:pos="284"/>
        </w:tabs>
        <w:ind w:left="284" w:hanging="284"/>
      </w:pPr>
      <w:r w:rsidRPr="001F4DD0">
        <w:t xml:space="preserve">I. Stassen, N. Burtch, A. Talin, P. Falcaro, M. Allendorf and R. Ameloot, </w:t>
      </w:r>
      <w:r w:rsidRPr="001F4DD0">
        <w:rPr>
          <w:i/>
        </w:rPr>
        <w:t xml:space="preserve">Chem. Soc. Rev. </w:t>
      </w:r>
      <w:r w:rsidRPr="001F4DD0">
        <w:t xml:space="preserve">2017, </w:t>
      </w:r>
      <w:r w:rsidRPr="001F4DD0">
        <w:rPr>
          <w:b/>
        </w:rPr>
        <w:t>46</w:t>
      </w:r>
      <w:r w:rsidRPr="001F4DD0">
        <w:t xml:space="preserve">, 3185-3241; N. S. Bobbitt, M. L. Mendonca, A. J. Howarth, T. Islamoglu, J. T. Hupp, O. K. Farha and R. Q. Snurr, </w:t>
      </w:r>
      <w:r w:rsidRPr="001F4DD0">
        <w:rPr>
          <w:i/>
        </w:rPr>
        <w:t xml:space="preserve">Chem. Soc. Rev. </w:t>
      </w:r>
      <w:r w:rsidRPr="001F4DD0">
        <w:t xml:space="preserve">2017, </w:t>
      </w:r>
      <w:r w:rsidRPr="001F4DD0">
        <w:rPr>
          <w:b/>
        </w:rPr>
        <w:t>46</w:t>
      </w:r>
      <w:r w:rsidRPr="001F4DD0">
        <w:t xml:space="preserve">, 3357-3385; D. O’Nolan, A. Kumar and M. J. Zaworotko, </w:t>
      </w:r>
      <w:r w:rsidRPr="001F4DD0">
        <w:rPr>
          <w:i/>
        </w:rPr>
        <w:t xml:space="preserve">J. Am. Chem. Soc. </w:t>
      </w:r>
      <w:r w:rsidRPr="001F4DD0">
        <w:t xml:space="preserve">2017, </w:t>
      </w:r>
      <w:r w:rsidRPr="001F4DD0">
        <w:rPr>
          <w:b/>
        </w:rPr>
        <w:t>139</w:t>
      </w:r>
      <w:r w:rsidRPr="001F4DD0">
        <w:t>, 8508-8513.</w:t>
      </w:r>
    </w:p>
    <w:p w14:paraId="06B28B5F" w14:textId="77777777" w:rsidR="001651A7" w:rsidRPr="001F4DD0" w:rsidRDefault="001651A7" w:rsidP="001651A7">
      <w:pPr>
        <w:pStyle w:val="RSCR02References"/>
        <w:numPr>
          <w:ilvl w:val="0"/>
          <w:numId w:val="8"/>
        </w:numPr>
        <w:tabs>
          <w:tab w:val="left" w:pos="284"/>
        </w:tabs>
        <w:ind w:left="284" w:hanging="284"/>
      </w:pPr>
      <w:r w:rsidRPr="001F4DD0">
        <w:lastRenderedPageBreak/>
        <w:t xml:space="preserve">X. Zhao, X. Bu, T. Wu, S.-T. Zheng, L. Wang and P. Feng, </w:t>
      </w:r>
      <w:r w:rsidRPr="001F4DD0">
        <w:rPr>
          <w:i/>
        </w:rPr>
        <w:t xml:space="preserve">Nature Commun. </w:t>
      </w:r>
      <w:r w:rsidRPr="001F4DD0">
        <w:t xml:space="preserve">2013, </w:t>
      </w:r>
      <w:r w:rsidRPr="001F4DD0">
        <w:rPr>
          <w:b/>
        </w:rPr>
        <w:t>4</w:t>
      </w:r>
      <w:r w:rsidRPr="001F4DD0">
        <w:t xml:space="preserve">, 2344; B. Van de Voorde, B. Bueken, J. Denayer and D. De Vos, </w:t>
      </w:r>
      <w:r w:rsidRPr="001F4DD0">
        <w:rPr>
          <w:i/>
        </w:rPr>
        <w:t xml:space="preserve">Chem. Soc. Rev. </w:t>
      </w:r>
      <w:r w:rsidRPr="001F4DD0">
        <w:t xml:space="preserve">2014, </w:t>
      </w:r>
      <w:r w:rsidRPr="001F4DD0">
        <w:rPr>
          <w:b/>
        </w:rPr>
        <w:t>43</w:t>
      </w:r>
      <w:r w:rsidRPr="001F4DD0">
        <w:t xml:space="preserve">, 5766-5778; K. A. Cychosz, A. G. Wong-Foy and A. J. Matzger, </w:t>
      </w:r>
      <w:r w:rsidRPr="001F4DD0">
        <w:rPr>
          <w:i/>
        </w:rPr>
        <w:t xml:space="preserve">J. Am. Chem. Soc. </w:t>
      </w:r>
      <w:r w:rsidRPr="001F4DD0">
        <w:t xml:space="preserve">2008, </w:t>
      </w:r>
      <w:r w:rsidRPr="001F4DD0">
        <w:rPr>
          <w:b/>
        </w:rPr>
        <w:t>130</w:t>
      </w:r>
      <w:r w:rsidRPr="001F4DD0">
        <w:t>, 6938-6939.</w:t>
      </w:r>
    </w:p>
    <w:p w14:paraId="0A997416" w14:textId="77777777" w:rsidR="001651A7" w:rsidRPr="001F4DD0" w:rsidRDefault="001651A7" w:rsidP="001651A7">
      <w:pPr>
        <w:pStyle w:val="RSCR02References"/>
        <w:numPr>
          <w:ilvl w:val="0"/>
          <w:numId w:val="8"/>
        </w:numPr>
        <w:tabs>
          <w:tab w:val="left" w:pos="284"/>
        </w:tabs>
        <w:ind w:left="284" w:hanging="284"/>
      </w:pPr>
      <w:r w:rsidRPr="001F4DD0">
        <w:t xml:space="preserve">M. Hoshino, A. Khutia, H. Xing, Y. Inokuma and M. Fujita, </w:t>
      </w:r>
      <w:r w:rsidRPr="001F4DD0">
        <w:rPr>
          <w:i/>
        </w:rPr>
        <w:t>IUCrJ</w:t>
      </w:r>
      <w:r w:rsidRPr="001F4DD0">
        <w:t xml:space="preserve">, 2016, </w:t>
      </w:r>
      <w:r w:rsidRPr="001F4DD0">
        <w:rPr>
          <w:b/>
        </w:rPr>
        <w:t>3</w:t>
      </w:r>
      <w:r w:rsidRPr="001F4DD0">
        <w:t>, 139-151.</w:t>
      </w:r>
    </w:p>
    <w:p w14:paraId="3C0728CA" w14:textId="77777777" w:rsidR="001651A7" w:rsidRPr="001F4DD0" w:rsidRDefault="001651A7" w:rsidP="001651A7">
      <w:pPr>
        <w:pStyle w:val="RSCR02References"/>
        <w:numPr>
          <w:ilvl w:val="0"/>
          <w:numId w:val="8"/>
        </w:numPr>
        <w:tabs>
          <w:tab w:val="left" w:pos="284"/>
        </w:tabs>
        <w:ind w:left="284" w:hanging="284"/>
      </w:pPr>
      <w:r w:rsidRPr="001F4DD0">
        <w:t xml:space="preserve">L. E. Kreno, K. Leong, O. K. Farha, M. Allendorf, R. P. Van Duyne and J. T. Hupp, </w:t>
      </w:r>
      <w:r w:rsidRPr="001F4DD0">
        <w:rPr>
          <w:i/>
        </w:rPr>
        <w:t xml:space="preserve">Chem. Rev. </w:t>
      </w:r>
      <w:r w:rsidRPr="001F4DD0">
        <w:t xml:space="preserve">2012, </w:t>
      </w:r>
      <w:r w:rsidRPr="001F4DD0">
        <w:rPr>
          <w:b/>
        </w:rPr>
        <w:t>112</w:t>
      </w:r>
      <w:r w:rsidRPr="001F4DD0">
        <w:t xml:space="preserve">, 1105-1125; S. G. Dunning, A. J. Nuñez, M. D. Moore, A. Steiner, V. M. Lynch, J. L. Sessler, B. J. Holliday and S. M. Humphrey, </w:t>
      </w:r>
      <w:r w:rsidRPr="001F4DD0">
        <w:rPr>
          <w:i/>
        </w:rPr>
        <w:t>Chem</w:t>
      </w:r>
      <w:r w:rsidRPr="001F4DD0">
        <w:t xml:space="preserve"> 2017, </w:t>
      </w:r>
      <w:r w:rsidRPr="001F4DD0">
        <w:rPr>
          <w:b/>
        </w:rPr>
        <w:t>2</w:t>
      </w:r>
      <w:r w:rsidRPr="001F4DD0">
        <w:t xml:space="preserve">, 579-589; G. Tobin, S. Comby, N. Zhu, R. Clérac, T. Gunnlaugsson and W. Schmitt, </w:t>
      </w:r>
      <w:r w:rsidRPr="001F4DD0">
        <w:rPr>
          <w:i/>
        </w:rPr>
        <w:t xml:space="preserve">Chem. Commun. </w:t>
      </w:r>
      <w:r w:rsidRPr="001F4DD0">
        <w:t xml:space="preserve">2015, </w:t>
      </w:r>
      <w:r w:rsidRPr="001F4DD0">
        <w:rPr>
          <w:b/>
        </w:rPr>
        <w:t>51</w:t>
      </w:r>
      <w:r w:rsidRPr="001F4DD0">
        <w:t xml:space="preserve">, 13313-13316; D. Wu, A. C. Sedgwick, T. Gunnlaugsson, E. U. Akkaya, J. Yoon and T. D. James, </w:t>
      </w:r>
      <w:r w:rsidRPr="001F4DD0">
        <w:rPr>
          <w:i/>
        </w:rPr>
        <w:t xml:space="preserve">Chem. Soc. Rev. </w:t>
      </w:r>
      <w:r w:rsidRPr="001F4DD0">
        <w:t xml:space="preserve">2017, </w:t>
      </w:r>
      <w:r w:rsidRPr="001F4DD0">
        <w:rPr>
          <w:b/>
        </w:rPr>
        <w:t>46</w:t>
      </w:r>
      <w:r w:rsidRPr="001F4DD0">
        <w:t>, 7105-7123.</w:t>
      </w:r>
    </w:p>
    <w:p w14:paraId="79B49B15" w14:textId="77777777" w:rsidR="001651A7" w:rsidRPr="001F4DD0" w:rsidRDefault="001651A7" w:rsidP="001651A7">
      <w:pPr>
        <w:pStyle w:val="RSCR02References"/>
        <w:numPr>
          <w:ilvl w:val="0"/>
          <w:numId w:val="8"/>
        </w:numPr>
        <w:tabs>
          <w:tab w:val="left" w:pos="284"/>
        </w:tabs>
        <w:ind w:left="284" w:hanging="284"/>
      </w:pPr>
      <w:r w:rsidRPr="001F4DD0">
        <w:t xml:space="preserve">S. S. Nagarkar, B. Joarder, A. K. Chaudhari, S. Mukherjee and S. K. Ghosh, </w:t>
      </w:r>
      <w:r w:rsidRPr="001F4DD0">
        <w:rPr>
          <w:i/>
        </w:rPr>
        <w:t xml:space="preserve">Angew. Chem. Int. Ed. </w:t>
      </w:r>
      <w:r w:rsidRPr="001F4DD0">
        <w:t xml:space="preserve">2013, </w:t>
      </w:r>
      <w:r w:rsidRPr="001F4DD0">
        <w:rPr>
          <w:b/>
        </w:rPr>
        <w:t>52</w:t>
      </w:r>
      <w:r w:rsidRPr="001F4DD0">
        <w:t>, 2881-2885.</w:t>
      </w:r>
    </w:p>
    <w:p w14:paraId="20AE5C55" w14:textId="77777777" w:rsidR="001651A7" w:rsidRPr="001F4DD0" w:rsidRDefault="001651A7" w:rsidP="001651A7">
      <w:pPr>
        <w:pStyle w:val="RSCR02References"/>
        <w:numPr>
          <w:ilvl w:val="0"/>
          <w:numId w:val="8"/>
        </w:numPr>
        <w:tabs>
          <w:tab w:val="left" w:pos="284"/>
        </w:tabs>
        <w:ind w:left="284" w:hanging="284"/>
      </w:pPr>
      <w:r w:rsidRPr="001F4DD0">
        <w:t xml:space="preserve">Y. Takashima, V. M. Martínez, S. Furukawa, M. Kondo, S. Shimomura, H. Uehara, M. Nakahama, K. Sugimoto and S. Kitagawa, </w:t>
      </w:r>
      <w:r w:rsidRPr="001F4DD0">
        <w:rPr>
          <w:i/>
        </w:rPr>
        <w:t xml:space="preserve">Nature Commun. </w:t>
      </w:r>
      <w:r w:rsidRPr="001F4DD0">
        <w:t xml:space="preserve">2010, </w:t>
      </w:r>
      <w:r w:rsidRPr="001F4DD0">
        <w:rPr>
          <w:b/>
        </w:rPr>
        <w:t>2</w:t>
      </w:r>
      <w:r w:rsidRPr="001F4DD0">
        <w:t xml:space="preserve">, 168; J. Cui, Y. Li, Z. Guo and H. Zheng, </w:t>
      </w:r>
      <w:r w:rsidRPr="001F4DD0">
        <w:rPr>
          <w:i/>
        </w:rPr>
        <w:t xml:space="preserve">Chem. Commun. </w:t>
      </w:r>
      <w:r w:rsidRPr="001F4DD0">
        <w:t xml:space="preserve">2013, </w:t>
      </w:r>
      <w:r w:rsidRPr="001F4DD0">
        <w:rPr>
          <w:b/>
        </w:rPr>
        <w:t>49</w:t>
      </w:r>
      <w:r w:rsidRPr="001F4DD0">
        <w:t>, 555-557.</w:t>
      </w:r>
    </w:p>
    <w:p w14:paraId="5C18EB57" w14:textId="77777777" w:rsidR="001651A7" w:rsidRPr="001F4DD0" w:rsidRDefault="001651A7" w:rsidP="001651A7">
      <w:pPr>
        <w:pStyle w:val="RSCR02References"/>
        <w:numPr>
          <w:ilvl w:val="0"/>
          <w:numId w:val="8"/>
        </w:numPr>
        <w:tabs>
          <w:tab w:val="left" w:pos="284"/>
        </w:tabs>
        <w:ind w:left="284" w:hanging="284"/>
      </w:pPr>
      <w:r w:rsidRPr="001F4DD0">
        <w:t xml:space="preserve">D. H. Friese, A. Mikhaylov, M. Krzeszewski, Y. M. Poronik, A. Rebane, K. Ruud and D. T. Gryko, </w:t>
      </w:r>
      <w:r w:rsidRPr="001F4DD0">
        <w:rPr>
          <w:i/>
        </w:rPr>
        <w:t xml:space="preserve">Chem. Eur. J. </w:t>
      </w:r>
      <w:r w:rsidRPr="001F4DD0">
        <w:t xml:space="preserve">2015, </w:t>
      </w:r>
      <w:r w:rsidRPr="001F4DD0">
        <w:rPr>
          <w:b/>
        </w:rPr>
        <w:t>21</w:t>
      </w:r>
      <w:r w:rsidRPr="001F4DD0">
        <w:t>, 18364–18374.</w:t>
      </w:r>
    </w:p>
    <w:p w14:paraId="430946DE" w14:textId="77777777" w:rsidR="001651A7" w:rsidRPr="001F4DD0" w:rsidRDefault="001651A7" w:rsidP="001651A7">
      <w:pPr>
        <w:pStyle w:val="RSCR02References"/>
        <w:numPr>
          <w:ilvl w:val="0"/>
          <w:numId w:val="8"/>
        </w:numPr>
        <w:tabs>
          <w:tab w:val="left" w:pos="284"/>
        </w:tabs>
        <w:ind w:left="284" w:hanging="284"/>
      </w:pPr>
      <w:r w:rsidRPr="001F4DD0">
        <w:t xml:space="preserve">M. Kaur and D. H. Choi, </w:t>
      </w:r>
      <w:r w:rsidRPr="001F4DD0">
        <w:rPr>
          <w:i/>
        </w:rPr>
        <w:t xml:space="preserve">Chem. Soc. Rev. </w:t>
      </w:r>
      <w:r w:rsidRPr="001F4DD0">
        <w:t xml:space="preserve">2014, </w:t>
      </w:r>
      <w:r w:rsidRPr="001F4DD0">
        <w:rPr>
          <w:b/>
        </w:rPr>
        <w:t>44</w:t>
      </w:r>
      <w:r w:rsidRPr="001F4DD0">
        <w:t>, 58-77.</w:t>
      </w:r>
    </w:p>
    <w:p w14:paraId="55F07974" w14:textId="77777777" w:rsidR="001651A7" w:rsidRPr="001F4DD0" w:rsidRDefault="001651A7" w:rsidP="001651A7">
      <w:pPr>
        <w:pStyle w:val="RSCR02References"/>
        <w:numPr>
          <w:ilvl w:val="0"/>
          <w:numId w:val="8"/>
        </w:numPr>
        <w:tabs>
          <w:tab w:val="left" w:pos="284"/>
        </w:tabs>
        <w:ind w:left="284" w:hanging="284"/>
      </w:pPr>
      <w:r w:rsidRPr="001F4DD0">
        <w:t xml:space="preserve">M. Krzeszewski, D. Gryko and D. T. Gryko, </w:t>
      </w:r>
      <w:r w:rsidRPr="001F4DD0">
        <w:rPr>
          <w:i/>
        </w:rPr>
        <w:t xml:space="preserve">Acc. Chem. Res. </w:t>
      </w:r>
      <w:r w:rsidRPr="001F4DD0">
        <w:rPr>
          <w:b/>
        </w:rPr>
        <w:t>2017</w:t>
      </w:r>
      <w:r w:rsidRPr="001F4DD0">
        <w:t xml:space="preserve">, </w:t>
      </w:r>
      <w:r w:rsidRPr="001F4DD0">
        <w:rPr>
          <w:i/>
        </w:rPr>
        <w:t>50</w:t>
      </w:r>
      <w:r w:rsidRPr="001F4DD0">
        <w:t xml:space="preserve">, 2334-2345; B. Dereka, A. Rosspeintner, M. Krzeszewski, D. T. Gryko and E. Vauthey, </w:t>
      </w:r>
      <w:r w:rsidRPr="001F4DD0">
        <w:rPr>
          <w:i/>
        </w:rPr>
        <w:t xml:space="preserve">Angew. Chem. Int. Ed. </w:t>
      </w:r>
      <w:r w:rsidRPr="001F4DD0">
        <w:t xml:space="preserve">2016, </w:t>
      </w:r>
      <w:r w:rsidRPr="001F4DD0">
        <w:rPr>
          <w:b/>
        </w:rPr>
        <w:t>55</w:t>
      </w:r>
      <w:r w:rsidRPr="001F4DD0">
        <w:t>,</w:t>
      </w:r>
      <w:r w:rsidRPr="001F4DD0">
        <w:rPr>
          <w:i/>
        </w:rPr>
        <w:t xml:space="preserve"> </w:t>
      </w:r>
      <w:r w:rsidRPr="001F4DD0">
        <w:t>15624-15628.</w:t>
      </w:r>
    </w:p>
    <w:p w14:paraId="057049EF" w14:textId="77777777" w:rsidR="001651A7" w:rsidRPr="001F4DD0" w:rsidRDefault="001651A7" w:rsidP="001651A7">
      <w:pPr>
        <w:pStyle w:val="RSCR02References"/>
        <w:numPr>
          <w:ilvl w:val="0"/>
          <w:numId w:val="8"/>
        </w:numPr>
        <w:tabs>
          <w:tab w:val="left" w:pos="284"/>
        </w:tabs>
        <w:ind w:left="284" w:hanging="284"/>
      </w:pPr>
      <w:r w:rsidRPr="001F4DD0">
        <w:t xml:space="preserve">K. Li, Y. Liu, Y. Li, Q. Feng, H. Hou and B. Z. Tang, </w:t>
      </w:r>
      <w:r w:rsidRPr="001F4DD0">
        <w:rPr>
          <w:i/>
        </w:rPr>
        <w:t xml:space="preserve">Chem. Sci. </w:t>
      </w:r>
      <w:r w:rsidRPr="001F4DD0">
        <w:t xml:space="preserve">2017, </w:t>
      </w:r>
      <w:r w:rsidRPr="001F4DD0">
        <w:rPr>
          <w:b/>
        </w:rPr>
        <w:t>8</w:t>
      </w:r>
      <w:r w:rsidRPr="001F4DD0">
        <w:t>, 7258-7267.</w:t>
      </w:r>
    </w:p>
    <w:p w14:paraId="44B8A577" w14:textId="3EF7D420" w:rsidR="00F157DD" w:rsidRPr="001F4DD0" w:rsidRDefault="00700344" w:rsidP="001651A7">
      <w:pPr>
        <w:pStyle w:val="RSCR02References"/>
      </w:pPr>
      <w:r w:rsidRPr="001F4DD0">
        <w:t xml:space="preserve">M. Du, C.-P. Li, C.-S. Liu and S.-M. Fang, </w:t>
      </w:r>
      <w:r w:rsidRPr="001F4DD0">
        <w:rPr>
          <w:i/>
        </w:rPr>
        <w:t xml:space="preserve">Coord. Chem. Rev. </w:t>
      </w:r>
      <w:r w:rsidRPr="001F4DD0">
        <w:t xml:space="preserve">2013, </w:t>
      </w:r>
      <w:r w:rsidRPr="001F4DD0">
        <w:rPr>
          <w:b/>
        </w:rPr>
        <w:t>257</w:t>
      </w:r>
      <w:r w:rsidRPr="001F4DD0">
        <w:t xml:space="preserve">, 1282-1305; Z. Yin, Y.-L. Zhou, M.-H. Zeng and M. Kurmoo, </w:t>
      </w:r>
      <w:r w:rsidRPr="001F4DD0">
        <w:rPr>
          <w:i/>
        </w:rPr>
        <w:t xml:space="preserve">Dalton Trans. </w:t>
      </w:r>
      <w:r w:rsidRPr="001F4DD0">
        <w:t xml:space="preserve">2015, </w:t>
      </w:r>
      <w:r w:rsidRPr="001F4DD0">
        <w:rPr>
          <w:b/>
        </w:rPr>
        <w:t>44</w:t>
      </w:r>
      <w:r w:rsidRPr="001F4DD0">
        <w:t xml:space="preserve">, 5258-5275; C. S. Hawes, R. Babarao, M. R. Hill, K. F. White, B. F. Abrahams and P. E. Kruger, </w:t>
      </w:r>
      <w:r w:rsidRPr="001F4DD0">
        <w:rPr>
          <w:i/>
        </w:rPr>
        <w:t xml:space="preserve">Chem. Commun. </w:t>
      </w:r>
      <w:r w:rsidRPr="001F4DD0">
        <w:t xml:space="preserve">2012, </w:t>
      </w:r>
      <w:r w:rsidRPr="001F4DD0">
        <w:rPr>
          <w:b/>
        </w:rPr>
        <w:t>48</w:t>
      </w:r>
      <w:r w:rsidRPr="001F4DD0">
        <w:t>, 11558-11560</w:t>
      </w:r>
    </w:p>
    <w:p w14:paraId="294C3A30" w14:textId="3528C89F" w:rsidR="00DC10A7" w:rsidRPr="001F4DD0" w:rsidRDefault="004C1580" w:rsidP="004C1580">
      <w:pPr>
        <w:pStyle w:val="RSCR02References"/>
      </w:pPr>
      <w:r w:rsidRPr="001F4DD0">
        <w:t xml:space="preserve">U. Rösch, S. Yao, R. Worthmann and F. Würthner, </w:t>
      </w:r>
      <w:r w:rsidRPr="001F4DD0">
        <w:rPr>
          <w:i/>
        </w:rPr>
        <w:t xml:space="preserve">Angew. Chem. Int. Ed. </w:t>
      </w:r>
      <w:r w:rsidRPr="001F4DD0">
        <w:t xml:space="preserve">2006, </w:t>
      </w:r>
      <w:r w:rsidRPr="001F4DD0">
        <w:rPr>
          <w:b/>
        </w:rPr>
        <w:t>118</w:t>
      </w:r>
      <w:r w:rsidRPr="001F4DD0">
        <w:t xml:space="preserve">, 7184-7188; S. Kim, M. Fujitsuka, N. Tohnai, T. Tachikawa, I. Hisaki, M. Miyata and T. Majima, </w:t>
      </w:r>
      <w:r w:rsidRPr="001F4DD0">
        <w:rPr>
          <w:i/>
        </w:rPr>
        <w:t xml:space="preserve">Chem. Commun. </w:t>
      </w:r>
      <w:r w:rsidRPr="001F4DD0">
        <w:t xml:space="preserve">2015, </w:t>
      </w:r>
      <w:r w:rsidRPr="001F4DD0">
        <w:rPr>
          <w:b/>
        </w:rPr>
        <w:t>51</w:t>
      </w:r>
      <w:r w:rsidRPr="001F4DD0">
        <w:t xml:space="preserve">, 11580-11583; Y. Hong, J. W. Y. Lam and B. Z. Tang, </w:t>
      </w:r>
      <w:r w:rsidRPr="001F4DD0">
        <w:rPr>
          <w:i/>
        </w:rPr>
        <w:t xml:space="preserve">Chem. Soc. Rev. </w:t>
      </w:r>
      <w:r w:rsidRPr="001F4DD0">
        <w:t xml:space="preserve">2011, </w:t>
      </w:r>
      <w:r w:rsidRPr="001F4DD0">
        <w:rPr>
          <w:b/>
        </w:rPr>
        <w:t>40</w:t>
      </w:r>
      <w:r w:rsidRPr="001F4DD0">
        <w:t>, 5361-5388.</w:t>
      </w:r>
    </w:p>
    <w:p w14:paraId="5B7E1AA3" w14:textId="77777777" w:rsidR="00DC10A7" w:rsidRPr="001F4DD0" w:rsidRDefault="00DC10A7" w:rsidP="00DC10A7">
      <w:pPr>
        <w:pStyle w:val="RSCR02References"/>
      </w:pPr>
      <w:r w:rsidRPr="001F4DD0">
        <w:t xml:space="preserve">L. Yang, D. R. Powell and R. P. Houser, </w:t>
      </w:r>
      <w:r w:rsidRPr="001F4DD0">
        <w:rPr>
          <w:i/>
        </w:rPr>
        <w:t xml:space="preserve">Dalton Trans. </w:t>
      </w:r>
      <w:r w:rsidRPr="001F4DD0">
        <w:t>2007, 955-964.</w:t>
      </w:r>
    </w:p>
    <w:p w14:paraId="51DBE824" w14:textId="2695F918" w:rsidR="00DC10A7" w:rsidRPr="001F4DD0" w:rsidRDefault="00234B9A" w:rsidP="001651A7">
      <w:pPr>
        <w:pStyle w:val="RSCR02References"/>
      </w:pPr>
      <w:r w:rsidRPr="001F4DD0">
        <w:t xml:space="preserve">C. S. Hawes, K. Byrne, W. Schmitt and T. Gunnlaugsson, </w:t>
      </w:r>
      <w:r w:rsidRPr="001F4DD0">
        <w:rPr>
          <w:i/>
        </w:rPr>
        <w:t xml:space="preserve">Inorg. Chem. </w:t>
      </w:r>
      <w:r w:rsidRPr="001F4DD0">
        <w:t xml:space="preserve">2016, </w:t>
      </w:r>
      <w:r w:rsidRPr="001F4DD0">
        <w:rPr>
          <w:b/>
        </w:rPr>
        <w:t>55</w:t>
      </w:r>
      <w:r w:rsidRPr="001F4DD0">
        <w:t xml:space="preserve">, 11570-11582; J. A. Kitchen, </w:t>
      </w:r>
      <w:r w:rsidR="0026286A" w:rsidRPr="001F4DD0">
        <w:t xml:space="preserve">P. N. Martinho, G. G. Morgan and T. Gunnlaugsson, </w:t>
      </w:r>
      <w:r w:rsidR="0026286A" w:rsidRPr="001F4DD0">
        <w:rPr>
          <w:i/>
        </w:rPr>
        <w:t xml:space="preserve">Dalton Trans. </w:t>
      </w:r>
      <w:r w:rsidR="0026286A" w:rsidRPr="001F4DD0">
        <w:t xml:space="preserve">2014, </w:t>
      </w:r>
      <w:r w:rsidR="0026286A" w:rsidRPr="001F4DD0">
        <w:rPr>
          <w:b/>
        </w:rPr>
        <w:t>43</w:t>
      </w:r>
      <w:r w:rsidR="0026286A" w:rsidRPr="001F4DD0">
        <w:t xml:space="preserve">, 6468-6479; D. L. Reger, A. Debreczeni, J. J. Horger and M. D. Smith, </w:t>
      </w:r>
      <w:r w:rsidR="0026286A" w:rsidRPr="001F4DD0">
        <w:rPr>
          <w:i/>
        </w:rPr>
        <w:t xml:space="preserve">Cryst. Growth Des. </w:t>
      </w:r>
      <w:r w:rsidR="0026286A" w:rsidRPr="001F4DD0">
        <w:t xml:space="preserve">2011, </w:t>
      </w:r>
      <w:r w:rsidR="0026286A" w:rsidRPr="001F4DD0">
        <w:rPr>
          <w:b/>
        </w:rPr>
        <w:t>11</w:t>
      </w:r>
      <w:r w:rsidR="0026286A" w:rsidRPr="001F4DD0">
        <w:t xml:space="preserve">, 4068-4079; A. B. Carter, R. J. Laverick, D. J. Wales, S. O. Akponasa, A. J. Scott, T. D. Keene and J. A. Kitchen, </w:t>
      </w:r>
      <w:r w:rsidR="0026286A" w:rsidRPr="001F4DD0">
        <w:rPr>
          <w:i/>
        </w:rPr>
        <w:t xml:space="preserve">Cryst. Growth Des. </w:t>
      </w:r>
      <w:r w:rsidR="0026286A" w:rsidRPr="001F4DD0">
        <w:t xml:space="preserve">2017, </w:t>
      </w:r>
      <w:r w:rsidR="0026286A" w:rsidRPr="001F4DD0">
        <w:rPr>
          <w:b/>
        </w:rPr>
        <w:t>17</w:t>
      </w:r>
      <w:r w:rsidR="0026286A" w:rsidRPr="001F4DD0">
        <w:t>, 5129-5144</w:t>
      </w:r>
    </w:p>
    <w:p w14:paraId="3320321A" w14:textId="718DF59A" w:rsidR="00DC10A7" w:rsidRPr="001F4DD0" w:rsidRDefault="008A0B86" w:rsidP="001651A7">
      <w:pPr>
        <w:pStyle w:val="RSCR02References"/>
      </w:pPr>
      <w:r w:rsidRPr="001F4DD0">
        <w:t xml:space="preserve">A. L. Spek, </w:t>
      </w:r>
      <w:r w:rsidRPr="001F4DD0">
        <w:rPr>
          <w:i/>
        </w:rPr>
        <w:t xml:space="preserve">Acta Crystallogr. Sect. C. </w:t>
      </w:r>
      <w:r w:rsidRPr="001F4DD0">
        <w:t xml:space="preserve">2015, </w:t>
      </w:r>
      <w:r w:rsidRPr="001F4DD0">
        <w:rPr>
          <w:b/>
        </w:rPr>
        <w:t>71</w:t>
      </w:r>
      <w:r w:rsidRPr="001F4DD0">
        <w:t>, 9-18</w:t>
      </w:r>
    </w:p>
    <w:p w14:paraId="4D886963" w14:textId="43BAD648" w:rsidR="00DC10A7" w:rsidRPr="001F4DD0" w:rsidRDefault="00DC10A7" w:rsidP="001651A7">
      <w:pPr>
        <w:pStyle w:val="RSCR02References"/>
      </w:pPr>
      <w:r w:rsidRPr="001F4DD0">
        <w:t xml:space="preserve">B. M. Ahmed and G. Mezei, </w:t>
      </w:r>
      <w:r w:rsidRPr="001F4DD0">
        <w:rPr>
          <w:i/>
        </w:rPr>
        <w:t xml:space="preserve">J. Org. Chem. </w:t>
      </w:r>
      <w:r w:rsidRPr="001F4DD0">
        <w:t xml:space="preserve">2018, </w:t>
      </w:r>
      <w:r w:rsidRPr="001F4DD0">
        <w:rPr>
          <w:b/>
        </w:rPr>
        <w:t>83</w:t>
      </w:r>
      <w:r w:rsidRPr="001F4DD0">
        <w:t>, 1649-1653</w:t>
      </w:r>
    </w:p>
    <w:p w14:paraId="71BB6A9C" w14:textId="4B965CA2" w:rsidR="00DC10A7" w:rsidRPr="001F4DD0" w:rsidRDefault="00DC10A7" w:rsidP="001651A7">
      <w:pPr>
        <w:pStyle w:val="RSCR02References"/>
      </w:pPr>
      <w:r w:rsidRPr="001F4DD0">
        <w:t xml:space="preserve">M. Eddaoudi, J. Kim, N. Rosi, D. Vodak, J. Wachter, M. O’Keeffe and O. M. Yaghi, </w:t>
      </w:r>
      <w:r w:rsidRPr="001F4DD0">
        <w:rPr>
          <w:i/>
        </w:rPr>
        <w:t>Science</w:t>
      </w:r>
      <w:r w:rsidRPr="001F4DD0">
        <w:t xml:space="preserve"> 2002, </w:t>
      </w:r>
      <w:r w:rsidRPr="001F4DD0">
        <w:rPr>
          <w:b/>
        </w:rPr>
        <w:t>295</w:t>
      </w:r>
      <w:r w:rsidRPr="001F4DD0">
        <w:t>, 469-472</w:t>
      </w:r>
    </w:p>
    <w:p w14:paraId="7B7EA984" w14:textId="77777777" w:rsidR="00DC10A7" w:rsidRPr="001F4DD0" w:rsidRDefault="00DC10A7" w:rsidP="00DC10A7">
      <w:pPr>
        <w:pStyle w:val="RSCR02References"/>
      </w:pPr>
      <w:r w:rsidRPr="001F4DD0">
        <w:t xml:space="preserve">J. R. Lacowicz, </w:t>
      </w:r>
      <w:r w:rsidRPr="001F4DD0">
        <w:rPr>
          <w:i/>
        </w:rPr>
        <w:t>Principles of Fluorescence Spectroscopy</w:t>
      </w:r>
      <w:r w:rsidRPr="001F4DD0">
        <w:t>, Springer, New York, U.S.A., 2006.</w:t>
      </w:r>
    </w:p>
    <w:p w14:paraId="626C7DEE" w14:textId="48503E73" w:rsidR="00DC10A7" w:rsidRPr="001F4DD0" w:rsidRDefault="00700344" w:rsidP="00D5192C">
      <w:pPr>
        <w:pStyle w:val="RSCR02References"/>
        <w:rPr>
          <w:rStyle w:val="listitem-data"/>
        </w:rPr>
      </w:pPr>
      <w:r w:rsidRPr="001F4DD0">
        <w:t xml:space="preserve">D. Zhao, D. J. Timmons, D. Yuan and H.-C. Zhou, </w:t>
      </w:r>
      <w:r w:rsidRPr="001F4DD0">
        <w:rPr>
          <w:i/>
        </w:rPr>
        <w:t xml:space="preserve">Acc. Chem. Res. </w:t>
      </w:r>
      <w:r w:rsidRPr="001F4DD0">
        <w:t xml:space="preserve">2011, </w:t>
      </w:r>
      <w:r w:rsidRPr="001F4DD0">
        <w:rPr>
          <w:b/>
        </w:rPr>
        <w:t>44</w:t>
      </w:r>
      <w:r w:rsidRPr="001F4DD0">
        <w:t>, 123-133</w:t>
      </w:r>
      <w:r w:rsidR="0026286A" w:rsidRPr="001F4DD0">
        <w:t xml:space="preserve">; P. Deria, J. E. Mondloch, E. Tylianakis, P. Ghosh, W. Bury, R. Q. Snurr, J. T. Hupp and O. K. Farha, </w:t>
      </w:r>
      <w:r w:rsidR="0026286A" w:rsidRPr="001F4DD0">
        <w:rPr>
          <w:i/>
        </w:rPr>
        <w:t xml:space="preserve">J. Am. Chem. Soc. </w:t>
      </w:r>
      <w:r w:rsidR="0026286A" w:rsidRPr="001F4DD0">
        <w:t xml:space="preserve">2013, </w:t>
      </w:r>
      <w:r w:rsidR="0026286A" w:rsidRPr="001F4DD0">
        <w:rPr>
          <w:b/>
        </w:rPr>
        <w:t>135</w:t>
      </w:r>
      <w:r w:rsidR="0026286A" w:rsidRPr="001F4DD0">
        <w:t>, 16801-16804</w:t>
      </w:r>
      <w:r w:rsidR="004C1580" w:rsidRPr="001F4DD0">
        <w:t xml:space="preserve">; B. F. Abrahams, R. W. Elliott, T. A. Hudson, R. Robson and A. L. Sutton, </w:t>
      </w:r>
      <w:r w:rsidR="004C1580" w:rsidRPr="001F4DD0">
        <w:rPr>
          <w:i/>
        </w:rPr>
        <w:t xml:space="preserve">CrystEngComm </w:t>
      </w:r>
      <w:r w:rsidR="004C1580" w:rsidRPr="001F4DD0">
        <w:t xml:space="preserve">2018, </w:t>
      </w:r>
      <w:r w:rsidR="004C1580" w:rsidRPr="001F4DD0">
        <w:rPr>
          <w:i/>
        </w:rPr>
        <w:t>In Press</w:t>
      </w:r>
      <w:r w:rsidR="004C1580" w:rsidRPr="001F4DD0">
        <w:t xml:space="preserve">, DOI: </w:t>
      </w:r>
      <w:r w:rsidR="004C1580" w:rsidRPr="001F4DD0">
        <w:rPr>
          <w:rStyle w:val="listitem-data"/>
        </w:rPr>
        <w:t>10.1039/C8CE00413G</w:t>
      </w:r>
    </w:p>
    <w:p w14:paraId="4978AB80" w14:textId="667EB3E1" w:rsidR="00621D14" w:rsidRPr="001F4DD0" w:rsidRDefault="00621D14" w:rsidP="00621D14">
      <w:pPr>
        <w:pStyle w:val="RSCR02References"/>
        <w:numPr>
          <w:ilvl w:val="0"/>
          <w:numId w:val="0"/>
        </w:numPr>
        <w:ind w:left="284" w:hanging="284"/>
        <w:rPr>
          <w:rStyle w:val="listitem-data"/>
        </w:rPr>
      </w:pPr>
      <w:r w:rsidRPr="001F4DD0">
        <w:rPr>
          <w:rStyle w:val="listitem-data"/>
        </w:rPr>
        <w:t>20</w:t>
      </w:r>
      <w:r w:rsidRPr="001F4DD0">
        <w:rPr>
          <w:rStyle w:val="listitem-data"/>
        </w:rPr>
        <w:tab/>
      </w:r>
      <w:r w:rsidR="00752372" w:rsidRPr="001F4DD0">
        <w:rPr>
          <w:rStyle w:val="listitem-data"/>
        </w:rPr>
        <w:t xml:space="preserve">M. K. Kurimova, G. Yahioglu, J. A. Levitt and K. Suhling, </w:t>
      </w:r>
      <w:r w:rsidR="00752372" w:rsidRPr="001F4DD0">
        <w:rPr>
          <w:rStyle w:val="listitem-data"/>
          <w:i/>
        </w:rPr>
        <w:t xml:space="preserve">J. Am. Chem. Soc. </w:t>
      </w:r>
      <w:r w:rsidR="00752372" w:rsidRPr="001F4DD0">
        <w:rPr>
          <w:rStyle w:val="listitem-data"/>
        </w:rPr>
        <w:t xml:space="preserve">2008, </w:t>
      </w:r>
      <w:r w:rsidR="00752372" w:rsidRPr="001F4DD0">
        <w:rPr>
          <w:rStyle w:val="listitem-data"/>
          <w:b/>
        </w:rPr>
        <w:t>130</w:t>
      </w:r>
      <w:r w:rsidR="00752372" w:rsidRPr="001F4DD0">
        <w:rPr>
          <w:rStyle w:val="listitem-data"/>
        </w:rPr>
        <w:t xml:space="preserve">, 6672-6673; A. F. Henwood, S. Evariste, A. M. Z. Slawin and E. Zysman-Colman, </w:t>
      </w:r>
      <w:r w:rsidR="00752372" w:rsidRPr="001F4DD0">
        <w:rPr>
          <w:rStyle w:val="listitem-data"/>
          <w:i/>
        </w:rPr>
        <w:t xml:space="preserve">Faraday Discuss. </w:t>
      </w:r>
      <w:r w:rsidR="00752372" w:rsidRPr="001F4DD0">
        <w:rPr>
          <w:rStyle w:val="listitem-data"/>
        </w:rPr>
        <w:t xml:space="preserve">2014, </w:t>
      </w:r>
      <w:r w:rsidR="00752372" w:rsidRPr="001F4DD0">
        <w:rPr>
          <w:rStyle w:val="listitem-data"/>
          <w:b/>
        </w:rPr>
        <w:t>174</w:t>
      </w:r>
      <w:r w:rsidR="00752372" w:rsidRPr="001F4DD0">
        <w:rPr>
          <w:rStyle w:val="listitem-data"/>
        </w:rPr>
        <w:t xml:space="preserve">, 165-182; M. A. Haidekker, T. P. Brady, D. Lichlyter and E. A. Theodorakis, </w:t>
      </w:r>
      <w:r w:rsidR="00752372" w:rsidRPr="001F4DD0">
        <w:rPr>
          <w:rStyle w:val="listitem-data"/>
          <w:i/>
        </w:rPr>
        <w:t xml:space="preserve">J. Am. Chem. Soc. </w:t>
      </w:r>
      <w:r w:rsidR="00752372" w:rsidRPr="001F4DD0">
        <w:rPr>
          <w:rStyle w:val="listitem-data"/>
        </w:rPr>
        <w:t xml:space="preserve">2006, </w:t>
      </w:r>
      <w:r w:rsidR="00752372" w:rsidRPr="001F4DD0">
        <w:rPr>
          <w:rStyle w:val="listitem-data"/>
          <w:b/>
        </w:rPr>
        <w:t>128</w:t>
      </w:r>
      <w:r w:rsidR="00752372" w:rsidRPr="001F4DD0">
        <w:rPr>
          <w:rStyle w:val="listitem-data"/>
        </w:rPr>
        <w:t>, 398-399</w:t>
      </w:r>
    </w:p>
    <w:p w14:paraId="2A59D84B" w14:textId="2DCBD4CB" w:rsidR="00621D14" w:rsidRPr="001F4DD0" w:rsidRDefault="00742752" w:rsidP="00742752">
      <w:pPr>
        <w:pStyle w:val="RSCR02References"/>
        <w:numPr>
          <w:ilvl w:val="0"/>
          <w:numId w:val="0"/>
        </w:numPr>
        <w:ind w:left="284" w:hanging="284"/>
      </w:pPr>
      <w:r w:rsidRPr="001F4DD0">
        <w:rPr>
          <w:rStyle w:val="listitem-data"/>
        </w:rPr>
        <w:t>21</w:t>
      </w:r>
      <w:r w:rsidRPr="001F4DD0">
        <w:rPr>
          <w:rStyle w:val="listitem-data"/>
        </w:rPr>
        <w:tab/>
        <w:t xml:space="preserve">D. A. Gómez-Gualdrón, P. Z. Moghadam, J. T. Hupp, O. K. Farha and R. Q. Snurr, </w:t>
      </w:r>
      <w:r w:rsidRPr="001F4DD0">
        <w:rPr>
          <w:rStyle w:val="listitem-data"/>
          <w:i/>
        </w:rPr>
        <w:t xml:space="preserve">J. Am. Chem. Soc. </w:t>
      </w:r>
      <w:r w:rsidRPr="001F4DD0">
        <w:rPr>
          <w:rStyle w:val="listitem-data"/>
        </w:rPr>
        <w:t xml:space="preserve">2016, </w:t>
      </w:r>
      <w:r w:rsidRPr="001F4DD0">
        <w:rPr>
          <w:rStyle w:val="listitem-data"/>
          <w:b/>
        </w:rPr>
        <w:t>138</w:t>
      </w:r>
      <w:r w:rsidRPr="001F4DD0">
        <w:rPr>
          <w:rStyle w:val="listitem-data"/>
        </w:rPr>
        <w:t xml:space="preserve">, 215-224; Y. Zhu, H. Long and W. Zhang, </w:t>
      </w:r>
      <w:r w:rsidRPr="001F4DD0">
        <w:rPr>
          <w:rStyle w:val="listitem-data"/>
          <w:i/>
        </w:rPr>
        <w:t xml:space="preserve">Chem. Mater. </w:t>
      </w:r>
      <w:r w:rsidRPr="001F4DD0">
        <w:rPr>
          <w:rStyle w:val="listitem-data"/>
        </w:rPr>
        <w:t xml:space="preserve">2013, </w:t>
      </w:r>
      <w:r w:rsidRPr="001F4DD0">
        <w:rPr>
          <w:rStyle w:val="listitem-data"/>
          <w:b/>
        </w:rPr>
        <w:t>25</w:t>
      </w:r>
      <w:r w:rsidRPr="001F4DD0">
        <w:rPr>
          <w:rStyle w:val="listitem-data"/>
        </w:rPr>
        <w:t>, 1630-1635</w:t>
      </w:r>
    </w:p>
    <w:p w14:paraId="71185CD3" w14:textId="26A50D7D" w:rsidR="00DC10A7" w:rsidRPr="001F4DD0" w:rsidRDefault="00742752" w:rsidP="00742752">
      <w:pPr>
        <w:pStyle w:val="RSCR02References"/>
        <w:numPr>
          <w:ilvl w:val="0"/>
          <w:numId w:val="0"/>
        </w:numPr>
        <w:ind w:left="284" w:hanging="284"/>
      </w:pPr>
      <w:r w:rsidRPr="001F4DD0">
        <w:rPr>
          <w:lang w:val="en-US"/>
        </w:rPr>
        <w:t>22</w:t>
      </w:r>
      <w:r w:rsidRPr="001F4DD0">
        <w:rPr>
          <w:i/>
          <w:lang w:val="en-US"/>
        </w:rPr>
        <w:tab/>
      </w:r>
      <w:r w:rsidR="00DC10A7" w:rsidRPr="001F4DD0">
        <w:rPr>
          <w:i/>
          <w:lang w:val="en-US"/>
        </w:rPr>
        <w:t>Bruker APEX-3</w:t>
      </w:r>
      <w:r w:rsidR="00DC10A7" w:rsidRPr="001F4DD0">
        <w:rPr>
          <w:lang w:val="en-US"/>
        </w:rPr>
        <w:t>, Bruker-AXS Inc., Madison, WI, 2016</w:t>
      </w:r>
    </w:p>
    <w:p w14:paraId="27DE071D" w14:textId="76B0797E" w:rsidR="00DC10A7" w:rsidRPr="001F4DD0" w:rsidRDefault="00742752" w:rsidP="00742752">
      <w:pPr>
        <w:pStyle w:val="RSCR02References"/>
        <w:numPr>
          <w:ilvl w:val="0"/>
          <w:numId w:val="0"/>
        </w:numPr>
        <w:ind w:left="284" w:hanging="284"/>
      </w:pPr>
      <w:r w:rsidRPr="001F4DD0">
        <w:rPr>
          <w:lang w:val="en-US"/>
        </w:rPr>
        <w:t>23</w:t>
      </w:r>
      <w:r w:rsidRPr="001F4DD0">
        <w:rPr>
          <w:i/>
          <w:lang w:val="en-US"/>
        </w:rPr>
        <w:tab/>
      </w:r>
      <w:r w:rsidR="00DC10A7" w:rsidRPr="001F4DD0">
        <w:rPr>
          <w:i/>
          <w:lang w:val="en-US"/>
        </w:rPr>
        <w:t>Bruker DIFFRAC.EVA</w:t>
      </w:r>
      <w:r w:rsidR="00DC10A7" w:rsidRPr="001F4DD0">
        <w:rPr>
          <w:lang w:val="en-US"/>
        </w:rPr>
        <w:t>, Bruker-AXS Inc., Madison, WI, 2016</w:t>
      </w:r>
    </w:p>
    <w:p w14:paraId="476664B1" w14:textId="46C6D363" w:rsidR="00DC10A7" w:rsidRPr="001F4DD0" w:rsidRDefault="00742752" w:rsidP="00742752">
      <w:pPr>
        <w:pStyle w:val="RSCR02References"/>
        <w:numPr>
          <w:ilvl w:val="0"/>
          <w:numId w:val="0"/>
        </w:numPr>
        <w:ind w:left="284" w:hanging="284"/>
      </w:pPr>
      <w:r w:rsidRPr="001F4DD0">
        <w:rPr>
          <w:lang w:val="en-US"/>
        </w:rPr>
        <w:t>24</w:t>
      </w:r>
      <w:r w:rsidRPr="001F4DD0">
        <w:rPr>
          <w:lang w:val="en-US"/>
        </w:rPr>
        <w:tab/>
      </w:r>
      <w:r w:rsidR="008A0B86" w:rsidRPr="001F4DD0">
        <w:rPr>
          <w:i/>
          <w:lang w:val="en-US"/>
        </w:rPr>
        <w:t>SADABS</w:t>
      </w:r>
      <w:r w:rsidR="008A0B86" w:rsidRPr="001F4DD0">
        <w:rPr>
          <w:lang w:val="en-US"/>
        </w:rPr>
        <w:t>. Bruker-AXS Inc., Madison, WI, 2016</w:t>
      </w:r>
    </w:p>
    <w:p w14:paraId="58D8BD59" w14:textId="7E91A9E8" w:rsidR="008A0B86" w:rsidRPr="001F4DD0" w:rsidRDefault="00742752" w:rsidP="00742752">
      <w:pPr>
        <w:pStyle w:val="RSCR02References"/>
        <w:numPr>
          <w:ilvl w:val="0"/>
          <w:numId w:val="0"/>
        </w:numPr>
        <w:ind w:left="284" w:hanging="284"/>
      </w:pPr>
      <w:r w:rsidRPr="001F4DD0">
        <w:rPr>
          <w:lang w:val="en-US"/>
        </w:rPr>
        <w:t>25</w:t>
      </w:r>
      <w:r w:rsidRPr="001F4DD0">
        <w:rPr>
          <w:lang w:val="en-US"/>
        </w:rPr>
        <w:tab/>
      </w:r>
      <w:r w:rsidR="008A0B86" w:rsidRPr="001F4DD0">
        <w:rPr>
          <w:lang w:val="en-US"/>
        </w:rPr>
        <w:t>G.</w:t>
      </w:r>
      <w:r w:rsidR="008A0B86" w:rsidRPr="001F4DD0">
        <w:t xml:space="preserve"> M. Sheldrick, </w:t>
      </w:r>
      <w:r w:rsidR="008A0B86" w:rsidRPr="001F4DD0">
        <w:rPr>
          <w:i/>
        </w:rPr>
        <w:t xml:space="preserve">Acta Crystallogr. Sect. A. </w:t>
      </w:r>
      <w:r w:rsidR="008A0B86" w:rsidRPr="001F4DD0">
        <w:t xml:space="preserve">2015, </w:t>
      </w:r>
      <w:r w:rsidR="008A0B86" w:rsidRPr="001F4DD0">
        <w:rPr>
          <w:b/>
        </w:rPr>
        <w:t>71</w:t>
      </w:r>
      <w:r w:rsidR="008A0B86" w:rsidRPr="001F4DD0">
        <w:t>, 3-8</w:t>
      </w:r>
    </w:p>
    <w:p w14:paraId="1AF647A3" w14:textId="0FBF5387" w:rsidR="008A0B86" w:rsidRPr="001F4DD0" w:rsidRDefault="00742752" w:rsidP="00742752">
      <w:pPr>
        <w:pStyle w:val="RSCR02References"/>
        <w:numPr>
          <w:ilvl w:val="0"/>
          <w:numId w:val="0"/>
        </w:numPr>
        <w:ind w:left="284" w:hanging="284"/>
      </w:pPr>
      <w:r w:rsidRPr="001F4DD0">
        <w:rPr>
          <w:lang w:val="en-US"/>
        </w:rPr>
        <w:t>26</w:t>
      </w:r>
      <w:r w:rsidRPr="001F4DD0">
        <w:rPr>
          <w:lang w:val="en-US"/>
        </w:rPr>
        <w:tab/>
      </w:r>
      <w:r w:rsidR="008A0B86" w:rsidRPr="001F4DD0">
        <w:rPr>
          <w:lang w:val="en-US"/>
        </w:rPr>
        <w:t>G.</w:t>
      </w:r>
      <w:r w:rsidR="008A0B86" w:rsidRPr="001F4DD0">
        <w:t xml:space="preserve"> M. Sheldrick, </w:t>
      </w:r>
      <w:r w:rsidR="008A0B86" w:rsidRPr="001F4DD0">
        <w:rPr>
          <w:i/>
        </w:rPr>
        <w:t xml:space="preserve">Acta Crystallogr. Sect. C. </w:t>
      </w:r>
      <w:r w:rsidR="008A0B86" w:rsidRPr="001F4DD0">
        <w:t xml:space="preserve">2015, </w:t>
      </w:r>
      <w:r w:rsidR="008A0B86" w:rsidRPr="001F4DD0">
        <w:rPr>
          <w:b/>
        </w:rPr>
        <w:t>71</w:t>
      </w:r>
      <w:r w:rsidR="008A0B86" w:rsidRPr="001F4DD0">
        <w:t>, 3-8</w:t>
      </w:r>
    </w:p>
    <w:p w14:paraId="6CB490E7" w14:textId="6B1EB5BE" w:rsidR="008A0B86" w:rsidRPr="001F4DD0" w:rsidRDefault="00742752" w:rsidP="00742752">
      <w:pPr>
        <w:pStyle w:val="RSCR02References"/>
        <w:numPr>
          <w:ilvl w:val="0"/>
          <w:numId w:val="0"/>
        </w:numPr>
        <w:ind w:left="284" w:hanging="284"/>
      </w:pPr>
      <w:r w:rsidRPr="001F4DD0">
        <w:rPr>
          <w:lang w:val="en-US"/>
        </w:rPr>
        <w:t>27</w:t>
      </w:r>
      <w:r w:rsidRPr="001F4DD0">
        <w:rPr>
          <w:lang w:val="en-US"/>
        </w:rPr>
        <w:tab/>
      </w:r>
      <w:r w:rsidR="008A0B86" w:rsidRPr="001F4DD0">
        <w:rPr>
          <w:lang w:val="en-US"/>
        </w:rPr>
        <w:t xml:space="preserve">O. V. Dolomanov, L. J. Bourhis, R. J. Gildea, J. A. K. Howard and H. Puschmann, </w:t>
      </w:r>
      <w:r w:rsidR="008A0B86" w:rsidRPr="001F4DD0">
        <w:rPr>
          <w:i/>
          <w:lang w:val="en-US"/>
        </w:rPr>
        <w:t xml:space="preserve">J. Appl. Crystallogr. </w:t>
      </w:r>
      <w:r w:rsidR="008A0B86" w:rsidRPr="001F4DD0">
        <w:rPr>
          <w:lang w:val="en-US"/>
        </w:rPr>
        <w:t xml:space="preserve">2009, </w:t>
      </w:r>
      <w:r w:rsidR="008A0B86" w:rsidRPr="001F4DD0">
        <w:rPr>
          <w:b/>
          <w:lang w:val="en-US"/>
        </w:rPr>
        <w:t>42</w:t>
      </w:r>
      <w:r w:rsidR="008A0B86" w:rsidRPr="001F4DD0">
        <w:rPr>
          <w:lang w:val="en-US"/>
        </w:rPr>
        <w:t>, 339-341</w:t>
      </w:r>
    </w:p>
    <w:p w14:paraId="7AA05324" w14:textId="73053070" w:rsidR="008A0B86" w:rsidRPr="001F4DD0" w:rsidRDefault="008A0B86" w:rsidP="0026286A">
      <w:pPr>
        <w:pStyle w:val="RSCR02References"/>
        <w:numPr>
          <w:ilvl w:val="0"/>
          <w:numId w:val="0"/>
        </w:numPr>
        <w:ind w:left="284"/>
      </w:pPr>
    </w:p>
    <w:p w14:paraId="29202F13" w14:textId="52BAC571" w:rsidR="00D5192C" w:rsidRPr="001F4DD0" w:rsidRDefault="00D5192C" w:rsidP="0026286A">
      <w:pPr>
        <w:pStyle w:val="RSCR02References"/>
        <w:numPr>
          <w:ilvl w:val="0"/>
          <w:numId w:val="0"/>
        </w:numPr>
        <w:ind w:left="284"/>
      </w:pPr>
    </w:p>
    <w:p w14:paraId="62355C36" w14:textId="341F6D7E" w:rsidR="00D5192C" w:rsidRPr="001F4DD0" w:rsidRDefault="00D5192C" w:rsidP="0026286A">
      <w:pPr>
        <w:pStyle w:val="RSCR02References"/>
        <w:numPr>
          <w:ilvl w:val="0"/>
          <w:numId w:val="0"/>
        </w:numPr>
        <w:ind w:left="284"/>
      </w:pPr>
    </w:p>
    <w:p w14:paraId="34B84780" w14:textId="1C9BD357" w:rsidR="00D5192C" w:rsidRPr="001F4DD0" w:rsidRDefault="00D5192C" w:rsidP="0026286A">
      <w:pPr>
        <w:pStyle w:val="RSCR02References"/>
        <w:numPr>
          <w:ilvl w:val="0"/>
          <w:numId w:val="0"/>
        </w:numPr>
        <w:ind w:left="284"/>
      </w:pPr>
    </w:p>
    <w:p w14:paraId="21078248" w14:textId="381DB72F" w:rsidR="00D5192C" w:rsidRPr="001F4DD0" w:rsidRDefault="00D5192C" w:rsidP="0026286A">
      <w:pPr>
        <w:pStyle w:val="RSCR02References"/>
        <w:numPr>
          <w:ilvl w:val="0"/>
          <w:numId w:val="0"/>
        </w:numPr>
        <w:ind w:left="284"/>
      </w:pPr>
    </w:p>
    <w:p w14:paraId="6709544C" w14:textId="6BF3D9B9" w:rsidR="00D5192C" w:rsidRPr="001F4DD0" w:rsidRDefault="00D5192C" w:rsidP="0026286A">
      <w:pPr>
        <w:pStyle w:val="RSCR02References"/>
        <w:numPr>
          <w:ilvl w:val="0"/>
          <w:numId w:val="0"/>
        </w:numPr>
        <w:ind w:left="284"/>
      </w:pPr>
    </w:p>
    <w:p w14:paraId="04F4808D" w14:textId="32F45BE5" w:rsidR="00D5192C" w:rsidRPr="001F4DD0" w:rsidRDefault="00D5192C" w:rsidP="0026286A">
      <w:pPr>
        <w:pStyle w:val="RSCR02References"/>
        <w:numPr>
          <w:ilvl w:val="0"/>
          <w:numId w:val="0"/>
        </w:numPr>
        <w:ind w:left="284"/>
      </w:pPr>
    </w:p>
    <w:p w14:paraId="63761C48" w14:textId="4527E9EC" w:rsidR="00D5192C" w:rsidRPr="001F4DD0" w:rsidRDefault="00D5192C" w:rsidP="0026286A">
      <w:pPr>
        <w:pStyle w:val="RSCR02References"/>
        <w:numPr>
          <w:ilvl w:val="0"/>
          <w:numId w:val="0"/>
        </w:numPr>
        <w:ind w:left="284"/>
      </w:pPr>
    </w:p>
    <w:p w14:paraId="2745CE90" w14:textId="3C123D42" w:rsidR="00D5192C" w:rsidRPr="001F4DD0" w:rsidRDefault="00D5192C" w:rsidP="0026286A">
      <w:pPr>
        <w:pStyle w:val="RSCR02References"/>
        <w:numPr>
          <w:ilvl w:val="0"/>
          <w:numId w:val="0"/>
        </w:numPr>
        <w:ind w:left="284"/>
      </w:pPr>
    </w:p>
    <w:p w14:paraId="22C4E9BD" w14:textId="7747CC8D" w:rsidR="00D5192C" w:rsidRPr="001F4DD0" w:rsidRDefault="00D5192C" w:rsidP="0026286A">
      <w:pPr>
        <w:pStyle w:val="RSCR02References"/>
        <w:numPr>
          <w:ilvl w:val="0"/>
          <w:numId w:val="0"/>
        </w:numPr>
        <w:ind w:left="284"/>
      </w:pPr>
    </w:p>
    <w:p w14:paraId="187F35B6" w14:textId="633C3D97" w:rsidR="00D5192C" w:rsidRPr="001F4DD0" w:rsidRDefault="00D5192C" w:rsidP="0026286A">
      <w:pPr>
        <w:pStyle w:val="RSCR02References"/>
        <w:numPr>
          <w:ilvl w:val="0"/>
          <w:numId w:val="0"/>
        </w:numPr>
        <w:ind w:left="284"/>
      </w:pPr>
    </w:p>
    <w:p w14:paraId="1913A5B8" w14:textId="21C951D9" w:rsidR="00D5192C" w:rsidRPr="001F4DD0" w:rsidRDefault="00D5192C" w:rsidP="0026286A">
      <w:pPr>
        <w:pStyle w:val="RSCR02References"/>
        <w:numPr>
          <w:ilvl w:val="0"/>
          <w:numId w:val="0"/>
        </w:numPr>
        <w:ind w:left="284"/>
      </w:pPr>
    </w:p>
    <w:p w14:paraId="4355A8AE" w14:textId="4834F38D" w:rsidR="00D5192C" w:rsidRPr="001F4DD0" w:rsidRDefault="00D5192C" w:rsidP="0026286A">
      <w:pPr>
        <w:pStyle w:val="RSCR02References"/>
        <w:numPr>
          <w:ilvl w:val="0"/>
          <w:numId w:val="0"/>
        </w:numPr>
        <w:ind w:left="284"/>
      </w:pPr>
    </w:p>
    <w:p w14:paraId="327047FB" w14:textId="18864745" w:rsidR="00D5192C" w:rsidRPr="001F4DD0" w:rsidRDefault="00D5192C" w:rsidP="0026286A">
      <w:pPr>
        <w:pStyle w:val="RSCR02References"/>
        <w:numPr>
          <w:ilvl w:val="0"/>
          <w:numId w:val="0"/>
        </w:numPr>
        <w:ind w:left="284"/>
      </w:pPr>
    </w:p>
    <w:p w14:paraId="7268E8CC" w14:textId="3DB7C5EF" w:rsidR="00D5192C" w:rsidRPr="001F4DD0" w:rsidRDefault="00D5192C" w:rsidP="0026286A">
      <w:pPr>
        <w:pStyle w:val="RSCR02References"/>
        <w:numPr>
          <w:ilvl w:val="0"/>
          <w:numId w:val="0"/>
        </w:numPr>
        <w:ind w:left="284"/>
      </w:pPr>
    </w:p>
    <w:p w14:paraId="4E3123FC" w14:textId="4E3E634C" w:rsidR="00D5192C" w:rsidRPr="001F4DD0" w:rsidRDefault="00D5192C" w:rsidP="0026286A">
      <w:pPr>
        <w:pStyle w:val="RSCR02References"/>
        <w:numPr>
          <w:ilvl w:val="0"/>
          <w:numId w:val="0"/>
        </w:numPr>
        <w:ind w:left="284"/>
      </w:pPr>
    </w:p>
    <w:p w14:paraId="4A7431E7" w14:textId="66AB35D8" w:rsidR="00D5192C" w:rsidRPr="001F4DD0" w:rsidRDefault="00D5192C" w:rsidP="0026286A">
      <w:pPr>
        <w:pStyle w:val="RSCR02References"/>
        <w:numPr>
          <w:ilvl w:val="0"/>
          <w:numId w:val="0"/>
        </w:numPr>
        <w:ind w:left="284"/>
      </w:pPr>
    </w:p>
    <w:p w14:paraId="513D91E2" w14:textId="421272F4" w:rsidR="00D5192C" w:rsidRPr="001F4DD0" w:rsidRDefault="00D5192C" w:rsidP="0026286A">
      <w:pPr>
        <w:pStyle w:val="RSCR02References"/>
        <w:numPr>
          <w:ilvl w:val="0"/>
          <w:numId w:val="0"/>
        </w:numPr>
        <w:ind w:left="284"/>
      </w:pPr>
    </w:p>
    <w:p w14:paraId="58D0CB0A" w14:textId="5D0A14A6" w:rsidR="00D5192C" w:rsidRPr="001F4DD0" w:rsidRDefault="00D5192C" w:rsidP="0026286A">
      <w:pPr>
        <w:pStyle w:val="RSCR02References"/>
        <w:numPr>
          <w:ilvl w:val="0"/>
          <w:numId w:val="0"/>
        </w:numPr>
        <w:ind w:left="284"/>
      </w:pPr>
    </w:p>
    <w:p w14:paraId="66C71239" w14:textId="7E130073" w:rsidR="00D5192C" w:rsidRPr="001F4DD0" w:rsidRDefault="00D5192C" w:rsidP="0026286A">
      <w:pPr>
        <w:pStyle w:val="RSCR02References"/>
        <w:numPr>
          <w:ilvl w:val="0"/>
          <w:numId w:val="0"/>
        </w:numPr>
        <w:ind w:left="284"/>
      </w:pPr>
    </w:p>
    <w:p w14:paraId="3A05439F" w14:textId="770010BC" w:rsidR="00D5192C" w:rsidRPr="001F4DD0" w:rsidRDefault="00D5192C" w:rsidP="0026286A">
      <w:pPr>
        <w:pStyle w:val="RSCR02References"/>
        <w:numPr>
          <w:ilvl w:val="0"/>
          <w:numId w:val="0"/>
        </w:numPr>
        <w:ind w:left="284"/>
      </w:pPr>
    </w:p>
    <w:p w14:paraId="588F04AA" w14:textId="01B2DE14" w:rsidR="00D5192C" w:rsidRPr="001F4DD0" w:rsidRDefault="00D5192C" w:rsidP="0026286A">
      <w:pPr>
        <w:pStyle w:val="RSCR02References"/>
        <w:numPr>
          <w:ilvl w:val="0"/>
          <w:numId w:val="0"/>
        </w:numPr>
        <w:ind w:left="284"/>
      </w:pPr>
    </w:p>
    <w:p w14:paraId="45FE6375" w14:textId="4B3A5034" w:rsidR="00D5192C" w:rsidRPr="001F4DD0" w:rsidRDefault="00D5192C" w:rsidP="0026286A">
      <w:pPr>
        <w:pStyle w:val="RSCR02References"/>
        <w:numPr>
          <w:ilvl w:val="0"/>
          <w:numId w:val="0"/>
        </w:numPr>
        <w:ind w:left="284"/>
      </w:pPr>
    </w:p>
    <w:p w14:paraId="1723BD6D" w14:textId="5126AC9A" w:rsidR="00D5192C" w:rsidRPr="001F4DD0" w:rsidRDefault="00D5192C" w:rsidP="0026286A">
      <w:pPr>
        <w:pStyle w:val="RSCR02References"/>
        <w:numPr>
          <w:ilvl w:val="0"/>
          <w:numId w:val="0"/>
        </w:numPr>
        <w:ind w:left="284"/>
      </w:pPr>
    </w:p>
    <w:p w14:paraId="53B87E04" w14:textId="67C732C5" w:rsidR="00D5192C" w:rsidRPr="001F4DD0" w:rsidRDefault="00D5192C" w:rsidP="0026286A">
      <w:pPr>
        <w:pStyle w:val="RSCR02References"/>
        <w:numPr>
          <w:ilvl w:val="0"/>
          <w:numId w:val="0"/>
        </w:numPr>
        <w:ind w:left="284"/>
      </w:pPr>
    </w:p>
    <w:p w14:paraId="5FF3AF2B" w14:textId="2293EB46" w:rsidR="00D5192C" w:rsidRPr="001F4DD0" w:rsidRDefault="00D5192C" w:rsidP="0026286A">
      <w:pPr>
        <w:pStyle w:val="RSCR02References"/>
        <w:numPr>
          <w:ilvl w:val="0"/>
          <w:numId w:val="0"/>
        </w:numPr>
        <w:ind w:left="284"/>
      </w:pPr>
    </w:p>
    <w:p w14:paraId="1FB5B06D" w14:textId="183E10D4" w:rsidR="00D5192C" w:rsidRPr="001F4DD0" w:rsidRDefault="00D5192C" w:rsidP="0026286A">
      <w:pPr>
        <w:pStyle w:val="RSCR02References"/>
        <w:numPr>
          <w:ilvl w:val="0"/>
          <w:numId w:val="0"/>
        </w:numPr>
        <w:ind w:left="284"/>
      </w:pPr>
    </w:p>
    <w:p w14:paraId="20185695" w14:textId="60BE4321" w:rsidR="00D5192C" w:rsidRPr="001F4DD0" w:rsidRDefault="00D5192C" w:rsidP="0026286A">
      <w:pPr>
        <w:pStyle w:val="RSCR02References"/>
        <w:numPr>
          <w:ilvl w:val="0"/>
          <w:numId w:val="0"/>
        </w:numPr>
        <w:ind w:left="284"/>
      </w:pPr>
    </w:p>
    <w:p w14:paraId="7E22413F" w14:textId="032DFC2F" w:rsidR="00D5192C" w:rsidRPr="001F4DD0" w:rsidRDefault="00D5192C" w:rsidP="0026286A">
      <w:pPr>
        <w:pStyle w:val="RSCR02References"/>
        <w:numPr>
          <w:ilvl w:val="0"/>
          <w:numId w:val="0"/>
        </w:numPr>
        <w:ind w:left="284"/>
      </w:pPr>
    </w:p>
    <w:p w14:paraId="163058F0" w14:textId="57D0BC11" w:rsidR="00D5192C" w:rsidRPr="001F4DD0" w:rsidRDefault="00D5192C" w:rsidP="0026286A">
      <w:pPr>
        <w:pStyle w:val="RSCR02References"/>
        <w:numPr>
          <w:ilvl w:val="0"/>
          <w:numId w:val="0"/>
        </w:numPr>
        <w:ind w:left="284"/>
      </w:pPr>
    </w:p>
    <w:p w14:paraId="7DCBB096" w14:textId="0A427796" w:rsidR="00D5192C" w:rsidRPr="001F4DD0" w:rsidRDefault="00D5192C" w:rsidP="0026286A">
      <w:pPr>
        <w:pStyle w:val="RSCR02References"/>
        <w:numPr>
          <w:ilvl w:val="0"/>
          <w:numId w:val="0"/>
        </w:numPr>
        <w:ind w:left="284"/>
      </w:pPr>
    </w:p>
    <w:p w14:paraId="32F26A2B" w14:textId="18DFC1B3" w:rsidR="00D5192C" w:rsidRPr="001F4DD0" w:rsidRDefault="00D5192C" w:rsidP="0026286A">
      <w:pPr>
        <w:pStyle w:val="RSCR02References"/>
        <w:numPr>
          <w:ilvl w:val="0"/>
          <w:numId w:val="0"/>
        </w:numPr>
        <w:ind w:left="284"/>
      </w:pPr>
    </w:p>
    <w:p w14:paraId="5B16ADD8" w14:textId="10180BB1" w:rsidR="00D5192C" w:rsidRPr="001F4DD0" w:rsidRDefault="00D5192C" w:rsidP="0026286A">
      <w:pPr>
        <w:pStyle w:val="RSCR02References"/>
        <w:numPr>
          <w:ilvl w:val="0"/>
          <w:numId w:val="0"/>
        </w:numPr>
        <w:ind w:left="284"/>
      </w:pPr>
    </w:p>
    <w:p w14:paraId="05853F13" w14:textId="63D17119" w:rsidR="00D5192C" w:rsidRPr="001F4DD0" w:rsidRDefault="00D5192C" w:rsidP="0026286A">
      <w:pPr>
        <w:pStyle w:val="RSCR02References"/>
        <w:numPr>
          <w:ilvl w:val="0"/>
          <w:numId w:val="0"/>
        </w:numPr>
        <w:ind w:left="284"/>
      </w:pPr>
    </w:p>
    <w:p w14:paraId="74ECCAEF" w14:textId="3B322085" w:rsidR="00D5192C" w:rsidRPr="001F4DD0" w:rsidRDefault="00D5192C" w:rsidP="0026286A">
      <w:pPr>
        <w:pStyle w:val="RSCR02References"/>
        <w:numPr>
          <w:ilvl w:val="0"/>
          <w:numId w:val="0"/>
        </w:numPr>
        <w:ind w:left="284"/>
      </w:pPr>
    </w:p>
    <w:p w14:paraId="0D166529" w14:textId="2F339D61" w:rsidR="00D5192C" w:rsidRPr="001F4DD0" w:rsidRDefault="00D5192C" w:rsidP="0026286A">
      <w:pPr>
        <w:pStyle w:val="RSCR02References"/>
        <w:numPr>
          <w:ilvl w:val="0"/>
          <w:numId w:val="0"/>
        </w:numPr>
        <w:ind w:left="284"/>
      </w:pPr>
    </w:p>
    <w:p w14:paraId="6A2950A7" w14:textId="4E07FC45" w:rsidR="00D5192C" w:rsidRPr="001F4DD0" w:rsidRDefault="00D5192C" w:rsidP="0026286A">
      <w:pPr>
        <w:pStyle w:val="RSCR02References"/>
        <w:numPr>
          <w:ilvl w:val="0"/>
          <w:numId w:val="0"/>
        </w:numPr>
        <w:ind w:left="284"/>
      </w:pPr>
    </w:p>
    <w:p w14:paraId="2365C899" w14:textId="12CD4DC8" w:rsidR="00D5192C" w:rsidRPr="001F4DD0" w:rsidRDefault="00D5192C" w:rsidP="0026286A">
      <w:pPr>
        <w:pStyle w:val="RSCR02References"/>
        <w:numPr>
          <w:ilvl w:val="0"/>
          <w:numId w:val="0"/>
        </w:numPr>
        <w:ind w:left="284"/>
      </w:pPr>
    </w:p>
    <w:p w14:paraId="692DADF9" w14:textId="18780BC4" w:rsidR="00D5192C" w:rsidRPr="001F4DD0" w:rsidRDefault="00D5192C" w:rsidP="0026286A">
      <w:pPr>
        <w:pStyle w:val="RSCR02References"/>
        <w:numPr>
          <w:ilvl w:val="0"/>
          <w:numId w:val="0"/>
        </w:numPr>
        <w:ind w:left="284"/>
      </w:pPr>
    </w:p>
    <w:p w14:paraId="50681DAB" w14:textId="4546FD31" w:rsidR="00D5192C" w:rsidRPr="001F4DD0" w:rsidRDefault="00D5192C" w:rsidP="0026286A">
      <w:pPr>
        <w:pStyle w:val="RSCR02References"/>
        <w:numPr>
          <w:ilvl w:val="0"/>
          <w:numId w:val="0"/>
        </w:numPr>
        <w:ind w:left="284"/>
      </w:pPr>
    </w:p>
    <w:p w14:paraId="4F6C12FF" w14:textId="0021A472" w:rsidR="00D5192C" w:rsidRPr="001F4DD0" w:rsidRDefault="00D5192C" w:rsidP="0026286A">
      <w:pPr>
        <w:pStyle w:val="RSCR02References"/>
        <w:numPr>
          <w:ilvl w:val="0"/>
          <w:numId w:val="0"/>
        </w:numPr>
        <w:ind w:left="284"/>
      </w:pPr>
    </w:p>
    <w:p w14:paraId="25AE5ACB" w14:textId="2CDDEC20" w:rsidR="00D5192C" w:rsidRPr="001F4DD0" w:rsidRDefault="00D5192C" w:rsidP="0026286A">
      <w:pPr>
        <w:pStyle w:val="RSCR02References"/>
        <w:numPr>
          <w:ilvl w:val="0"/>
          <w:numId w:val="0"/>
        </w:numPr>
        <w:ind w:left="284"/>
      </w:pPr>
    </w:p>
    <w:p w14:paraId="58B84956" w14:textId="30E24D8C" w:rsidR="00D5192C" w:rsidRPr="001F4DD0" w:rsidRDefault="00D5192C" w:rsidP="0026286A">
      <w:pPr>
        <w:pStyle w:val="RSCR02References"/>
        <w:numPr>
          <w:ilvl w:val="0"/>
          <w:numId w:val="0"/>
        </w:numPr>
        <w:ind w:left="284"/>
      </w:pPr>
    </w:p>
    <w:p w14:paraId="74C5BD83" w14:textId="610439A2" w:rsidR="00D5192C" w:rsidRPr="001F4DD0" w:rsidRDefault="00D5192C" w:rsidP="0026286A">
      <w:pPr>
        <w:pStyle w:val="RSCR02References"/>
        <w:numPr>
          <w:ilvl w:val="0"/>
          <w:numId w:val="0"/>
        </w:numPr>
        <w:ind w:left="284"/>
      </w:pPr>
    </w:p>
    <w:p w14:paraId="7A23DD2E" w14:textId="4CE92C0A" w:rsidR="00D5192C" w:rsidRPr="001F4DD0" w:rsidRDefault="00D5192C" w:rsidP="0026286A">
      <w:pPr>
        <w:pStyle w:val="RSCR02References"/>
        <w:numPr>
          <w:ilvl w:val="0"/>
          <w:numId w:val="0"/>
        </w:numPr>
        <w:ind w:left="284"/>
      </w:pPr>
    </w:p>
    <w:p w14:paraId="284B5F10" w14:textId="6E8AC413" w:rsidR="00D5192C" w:rsidRPr="001F4DD0" w:rsidRDefault="00D5192C" w:rsidP="0026286A">
      <w:pPr>
        <w:pStyle w:val="RSCR02References"/>
        <w:numPr>
          <w:ilvl w:val="0"/>
          <w:numId w:val="0"/>
        </w:numPr>
        <w:ind w:left="284"/>
      </w:pPr>
    </w:p>
    <w:p w14:paraId="5C90EFE2" w14:textId="3F4F88FE" w:rsidR="00D5192C" w:rsidRPr="001F4DD0" w:rsidRDefault="00D5192C" w:rsidP="0026286A">
      <w:pPr>
        <w:pStyle w:val="RSCR02References"/>
        <w:numPr>
          <w:ilvl w:val="0"/>
          <w:numId w:val="0"/>
        </w:numPr>
        <w:ind w:left="284"/>
      </w:pPr>
    </w:p>
    <w:p w14:paraId="69475495" w14:textId="7084CFF0" w:rsidR="00D5192C" w:rsidRPr="001F4DD0" w:rsidRDefault="00D5192C" w:rsidP="0026286A">
      <w:pPr>
        <w:pStyle w:val="RSCR02References"/>
        <w:numPr>
          <w:ilvl w:val="0"/>
          <w:numId w:val="0"/>
        </w:numPr>
        <w:ind w:left="284"/>
      </w:pPr>
    </w:p>
    <w:p w14:paraId="322A1509" w14:textId="1375D503" w:rsidR="00D5192C" w:rsidRPr="001F4DD0" w:rsidRDefault="00D5192C" w:rsidP="0026286A">
      <w:pPr>
        <w:pStyle w:val="RSCR02References"/>
        <w:numPr>
          <w:ilvl w:val="0"/>
          <w:numId w:val="0"/>
        </w:numPr>
        <w:ind w:left="284"/>
      </w:pPr>
    </w:p>
    <w:p w14:paraId="2A79864B" w14:textId="1321B98D" w:rsidR="00D5192C" w:rsidRPr="001F4DD0" w:rsidRDefault="00D5192C" w:rsidP="0026286A">
      <w:pPr>
        <w:pStyle w:val="RSCR02References"/>
        <w:numPr>
          <w:ilvl w:val="0"/>
          <w:numId w:val="0"/>
        </w:numPr>
        <w:ind w:left="284"/>
      </w:pPr>
    </w:p>
    <w:p w14:paraId="0FD80295" w14:textId="6CE7D5FC" w:rsidR="00D5192C" w:rsidRPr="001F4DD0" w:rsidRDefault="00D5192C" w:rsidP="0026286A">
      <w:pPr>
        <w:pStyle w:val="RSCR02References"/>
        <w:numPr>
          <w:ilvl w:val="0"/>
          <w:numId w:val="0"/>
        </w:numPr>
        <w:ind w:left="284"/>
      </w:pPr>
    </w:p>
    <w:p w14:paraId="150905CF" w14:textId="163080FC" w:rsidR="00D5192C" w:rsidRPr="001F4DD0" w:rsidRDefault="00D5192C" w:rsidP="0026286A">
      <w:pPr>
        <w:pStyle w:val="RSCR02References"/>
        <w:numPr>
          <w:ilvl w:val="0"/>
          <w:numId w:val="0"/>
        </w:numPr>
        <w:ind w:left="284"/>
      </w:pPr>
    </w:p>
    <w:p w14:paraId="741339DC" w14:textId="77777777" w:rsidR="00D5192C" w:rsidRPr="001F4DD0" w:rsidRDefault="00D5192C" w:rsidP="00D5192C">
      <w:pPr>
        <w:pStyle w:val="RSCR02References"/>
        <w:numPr>
          <w:ilvl w:val="0"/>
          <w:numId w:val="0"/>
        </w:numPr>
        <w:sectPr w:rsidR="00D5192C" w:rsidRPr="001F4DD0" w:rsidSect="00514CBA">
          <w:type w:val="continuous"/>
          <w:pgSz w:w="11907" w:h="16840" w:code="9"/>
          <w:pgMar w:top="1009" w:right="851" w:bottom="1758" w:left="851" w:header="851" w:footer="1049" w:gutter="0"/>
          <w:cols w:num="2" w:space="227"/>
          <w:titlePg/>
          <w:docGrid w:linePitch="360"/>
        </w:sectPr>
      </w:pPr>
    </w:p>
    <w:p w14:paraId="53009882" w14:textId="77777777" w:rsidR="00D5192C" w:rsidRPr="001F4DD0" w:rsidRDefault="00D5192C" w:rsidP="00D5192C">
      <w:pPr>
        <w:pStyle w:val="TAMainText"/>
        <w:ind w:firstLine="0"/>
        <w:rPr>
          <w:sz w:val="18"/>
          <w:lang w:val="en-AU"/>
        </w:rPr>
      </w:pPr>
      <w:r w:rsidRPr="001F4DD0">
        <w:rPr>
          <w:b/>
          <w:sz w:val="18"/>
          <w:lang w:val="en-AU"/>
        </w:rPr>
        <w:lastRenderedPageBreak/>
        <w:t xml:space="preserve">Table 2 </w:t>
      </w:r>
      <w:r w:rsidRPr="001F4DD0">
        <w:rPr>
          <w:sz w:val="18"/>
          <w:lang w:val="en-AU"/>
        </w:rPr>
        <w:t>Crystal and refinement data for all structures</w:t>
      </w:r>
    </w:p>
    <w:tbl>
      <w:tblPr>
        <w:tblStyle w:val="TableGrid"/>
        <w:tblW w:w="13503" w:type="dxa"/>
        <w:jc w:val="center"/>
        <w:tblLayout w:type="fixed"/>
        <w:tblLook w:val="04A0" w:firstRow="1" w:lastRow="0" w:firstColumn="1" w:lastColumn="0" w:noHBand="0" w:noVBand="1"/>
      </w:tblPr>
      <w:tblGrid>
        <w:gridCol w:w="1929"/>
        <w:gridCol w:w="1929"/>
        <w:gridCol w:w="1929"/>
        <w:gridCol w:w="1929"/>
        <w:gridCol w:w="1929"/>
        <w:gridCol w:w="1929"/>
        <w:gridCol w:w="1929"/>
      </w:tblGrid>
      <w:tr w:rsidR="00D5192C" w:rsidRPr="001F4DD0" w14:paraId="4442D54F" w14:textId="1300F3BB"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58E78F0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Identification code</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666537C" w14:textId="680B1F5B" w:rsidR="00D5192C" w:rsidRPr="001F4DD0" w:rsidRDefault="00D5192C" w:rsidP="00D5192C">
            <w:pPr>
              <w:pStyle w:val="TCTableBody"/>
              <w:jc w:val="center"/>
              <w:rPr>
                <w:rFonts w:ascii="Times New Roman" w:hAnsi="Times New Roman"/>
                <w:b/>
                <w:sz w:val="14"/>
                <w:szCs w:val="14"/>
                <w:lang w:val="en-AU"/>
              </w:rPr>
            </w:pPr>
            <w:r w:rsidRPr="001F4DD0">
              <w:rPr>
                <w:rFonts w:ascii="Times New Roman" w:hAnsi="Times New Roman"/>
                <w:b/>
                <w:sz w:val="14"/>
                <w:szCs w:val="14"/>
                <w:lang w:val="en-AU"/>
              </w:rPr>
              <w:t>L1·PhMe</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E9D9D61" w14:textId="0448D255" w:rsidR="00D5192C" w:rsidRPr="001F4DD0" w:rsidRDefault="00D5192C" w:rsidP="00D5192C">
            <w:pPr>
              <w:pStyle w:val="TCTableBody"/>
              <w:jc w:val="center"/>
              <w:rPr>
                <w:rFonts w:ascii="Times New Roman" w:hAnsi="Times New Roman"/>
                <w:b/>
                <w:sz w:val="14"/>
                <w:szCs w:val="14"/>
                <w:lang w:val="en-AU"/>
              </w:rPr>
            </w:pPr>
            <w:r w:rsidRPr="001F4DD0">
              <w:rPr>
                <w:rFonts w:ascii="Times New Roman" w:hAnsi="Times New Roman"/>
                <w:b/>
                <w:sz w:val="14"/>
                <w:szCs w:val="14"/>
                <w:lang w:val="en-AU"/>
              </w:rPr>
              <w:t>H</w:t>
            </w:r>
            <w:r w:rsidRPr="001F4DD0">
              <w:rPr>
                <w:rFonts w:ascii="Times New Roman" w:hAnsi="Times New Roman"/>
                <w:b/>
                <w:sz w:val="14"/>
                <w:szCs w:val="14"/>
                <w:vertAlign w:val="subscript"/>
                <w:lang w:val="en-AU"/>
              </w:rPr>
              <w:t>2</w:t>
            </w:r>
            <w:r w:rsidRPr="001F4DD0">
              <w:rPr>
                <w:rFonts w:ascii="Times New Roman" w:hAnsi="Times New Roman"/>
                <w:b/>
                <w:sz w:val="14"/>
                <w:szCs w:val="14"/>
                <w:lang w:val="en-AU"/>
              </w:rPr>
              <w:t>L2·2DMA</w:t>
            </w:r>
          </w:p>
        </w:tc>
        <w:tc>
          <w:tcPr>
            <w:tcW w:w="1929" w:type="dxa"/>
            <w:tcBorders>
              <w:top w:val="single" w:sz="4" w:space="0" w:color="auto"/>
              <w:left w:val="single" w:sz="4" w:space="0" w:color="auto"/>
              <w:bottom w:val="single" w:sz="4" w:space="0" w:color="auto"/>
              <w:right w:val="single" w:sz="4" w:space="0" w:color="auto"/>
            </w:tcBorders>
            <w:vAlign w:val="center"/>
          </w:tcPr>
          <w:p w14:paraId="5F0B9E20" w14:textId="5C62EB8C" w:rsidR="00D5192C" w:rsidRPr="001F4DD0" w:rsidRDefault="00D5192C" w:rsidP="00D5192C">
            <w:pPr>
              <w:pStyle w:val="TCTableBody"/>
              <w:jc w:val="center"/>
              <w:rPr>
                <w:rFonts w:ascii="Times New Roman" w:hAnsi="Times New Roman"/>
                <w:b/>
                <w:sz w:val="14"/>
                <w:szCs w:val="14"/>
                <w:vertAlign w:val="superscript"/>
                <w:lang w:val="en-AU"/>
              </w:rPr>
            </w:pPr>
            <w:r w:rsidRPr="001F4DD0">
              <w:rPr>
                <w:rFonts w:ascii="Times New Roman" w:hAnsi="Times New Roman"/>
                <w:b/>
                <w:sz w:val="14"/>
                <w:szCs w:val="14"/>
                <w:lang w:val="en-AU"/>
              </w:rPr>
              <w:t>H</w:t>
            </w:r>
            <w:r w:rsidRPr="001F4DD0">
              <w:rPr>
                <w:rFonts w:ascii="Times New Roman" w:hAnsi="Times New Roman"/>
                <w:b/>
                <w:sz w:val="14"/>
                <w:szCs w:val="14"/>
                <w:vertAlign w:val="subscript"/>
                <w:lang w:val="en-AU"/>
              </w:rPr>
              <w:t>2</w:t>
            </w:r>
            <w:r w:rsidRPr="001F4DD0">
              <w:rPr>
                <w:rFonts w:ascii="Times New Roman" w:hAnsi="Times New Roman"/>
                <w:b/>
                <w:sz w:val="14"/>
                <w:szCs w:val="14"/>
                <w:lang w:val="en-AU"/>
              </w:rPr>
              <w:t>L3·4DMSO</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FAB6A34" w14:textId="428E1014" w:rsidR="00D5192C" w:rsidRPr="001F4DD0" w:rsidRDefault="00D5192C" w:rsidP="00D5192C">
            <w:pPr>
              <w:pStyle w:val="TCTableBody"/>
              <w:jc w:val="center"/>
              <w:rPr>
                <w:rFonts w:ascii="Times New Roman" w:hAnsi="Times New Roman"/>
                <w:b/>
                <w:sz w:val="14"/>
                <w:szCs w:val="14"/>
                <w:lang w:val="en-AU"/>
              </w:rPr>
            </w:pPr>
            <w:r w:rsidRPr="001F4DD0">
              <w:rPr>
                <w:rFonts w:ascii="Times New Roman" w:hAnsi="Times New Roman"/>
                <w:b/>
                <w:sz w:val="14"/>
                <w:szCs w:val="14"/>
                <w:lang w:val="en-AU"/>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E16302C" w14:textId="77777777" w:rsidR="00D5192C" w:rsidRPr="001F4DD0" w:rsidRDefault="00D5192C" w:rsidP="00D5192C">
            <w:pPr>
              <w:pStyle w:val="TCTableBody"/>
              <w:jc w:val="center"/>
              <w:rPr>
                <w:rFonts w:ascii="Times New Roman" w:hAnsi="Times New Roman"/>
                <w:b/>
                <w:sz w:val="14"/>
                <w:szCs w:val="14"/>
                <w:lang w:val="en-AU"/>
              </w:rPr>
            </w:pPr>
            <w:r w:rsidRPr="001F4DD0">
              <w:rPr>
                <w:rFonts w:ascii="Times New Roman" w:hAnsi="Times New Roman"/>
                <w:b/>
                <w:sz w:val="14"/>
                <w:szCs w:val="14"/>
                <w:lang w:val="en-AU"/>
              </w:rPr>
              <w:t>2</w:t>
            </w:r>
          </w:p>
        </w:tc>
        <w:tc>
          <w:tcPr>
            <w:tcW w:w="1929" w:type="dxa"/>
            <w:tcBorders>
              <w:top w:val="single" w:sz="4" w:space="0" w:color="auto"/>
              <w:left w:val="single" w:sz="4" w:space="0" w:color="auto"/>
              <w:bottom w:val="single" w:sz="4" w:space="0" w:color="auto"/>
              <w:right w:val="single" w:sz="4" w:space="0" w:color="auto"/>
            </w:tcBorders>
            <w:vAlign w:val="center"/>
          </w:tcPr>
          <w:p w14:paraId="269306A1" w14:textId="289F5C52" w:rsidR="00D5192C" w:rsidRPr="001F4DD0" w:rsidRDefault="00D5192C" w:rsidP="00D5192C">
            <w:pPr>
              <w:pStyle w:val="TCTableBody"/>
              <w:jc w:val="center"/>
              <w:rPr>
                <w:rFonts w:ascii="Times New Roman" w:hAnsi="Times New Roman"/>
                <w:b/>
                <w:sz w:val="14"/>
                <w:szCs w:val="14"/>
                <w:lang w:val="en-AU"/>
              </w:rPr>
            </w:pPr>
            <w:r w:rsidRPr="001F4DD0">
              <w:rPr>
                <w:rFonts w:ascii="Times New Roman" w:hAnsi="Times New Roman"/>
                <w:b/>
                <w:sz w:val="14"/>
                <w:szCs w:val="14"/>
                <w:lang w:val="en-AU"/>
              </w:rPr>
              <w:t>3</w:t>
            </w:r>
          </w:p>
        </w:tc>
      </w:tr>
      <w:tr w:rsidR="00D5192C" w:rsidRPr="001F4DD0" w14:paraId="483295F2" w14:textId="71722314"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52FE22EC"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Empirical formula</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A8E8ECC"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w:t>
            </w:r>
            <w:r w:rsidRPr="001F4DD0">
              <w:rPr>
                <w:rFonts w:ascii="Times New Roman" w:hAnsi="Times New Roman"/>
                <w:sz w:val="14"/>
                <w:szCs w:val="14"/>
                <w:vertAlign w:val="subscript"/>
                <w:lang w:val="en-AU"/>
              </w:rPr>
              <w:t>47</w:t>
            </w:r>
            <w:r w:rsidRPr="001F4DD0">
              <w:rPr>
                <w:rFonts w:ascii="Times New Roman" w:hAnsi="Times New Roman"/>
                <w:sz w:val="14"/>
                <w:szCs w:val="14"/>
                <w:lang w:val="en-AU"/>
              </w:rPr>
              <w:t>H</w:t>
            </w:r>
            <w:r w:rsidRPr="001F4DD0">
              <w:rPr>
                <w:rFonts w:ascii="Times New Roman" w:hAnsi="Times New Roman"/>
                <w:sz w:val="14"/>
                <w:szCs w:val="14"/>
                <w:vertAlign w:val="subscript"/>
                <w:lang w:val="en-AU"/>
              </w:rPr>
              <w:t>44</w:t>
            </w:r>
            <w:r w:rsidRPr="001F4DD0">
              <w:rPr>
                <w:rFonts w:ascii="Times New Roman" w:hAnsi="Times New Roman"/>
                <w:sz w:val="14"/>
                <w:szCs w:val="14"/>
                <w:lang w:val="en-AU"/>
              </w:rPr>
              <w:t>N</w:t>
            </w:r>
            <w:r w:rsidRPr="001F4DD0">
              <w:rPr>
                <w:rFonts w:ascii="Times New Roman" w:hAnsi="Times New Roman"/>
                <w:sz w:val="14"/>
                <w:szCs w:val="14"/>
                <w:vertAlign w:val="subscript"/>
                <w:lang w:val="en-AU"/>
              </w:rPr>
              <w:t>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A092ADC"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w:t>
            </w:r>
            <w:r w:rsidRPr="001F4DD0">
              <w:rPr>
                <w:rFonts w:ascii="Times New Roman" w:hAnsi="Times New Roman"/>
                <w:sz w:val="14"/>
                <w:szCs w:val="14"/>
                <w:vertAlign w:val="subscript"/>
                <w:lang w:val="en-AU"/>
              </w:rPr>
              <w:t>48</w:t>
            </w:r>
            <w:r w:rsidRPr="001F4DD0">
              <w:rPr>
                <w:rFonts w:ascii="Times New Roman" w:hAnsi="Times New Roman"/>
                <w:sz w:val="14"/>
                <w:szCs w:val="14"/>
                <w:lang w:val="en-AU"/>
              </w:rPr>
              <w:t>H</w:t>
            </w:r>
            <w:r w:rsidRPr="001F4DD0">
              <w:rPr>
                <w:rFonts w:ascii="Times New Roman" w:hAnsi="Times New Roman"/>
                <w:sz w:val="14"/>
                <w:szCs w:val="14"/>
                <w:vertAlign w:val="subscript"/>
                <w:lang w:val="en-AU"/>
              </w:rPr>
              <w:t>56</w:t>
            </w:r>
            <w:r w:rsidRPr="001F4DD0">
              <w:rPr>
                <w:rFonts w:ascii="Times New Roman" w:hAnsi="Times New Roman"/>
                <w:sz w:val="14"/>
                <w:szCs w:val="14"/>
                <w:lang w:val="en-AU"/>
              </w:rPr>
              <w:t>N</w:t>
            </w:r>
            <w:r w:rsidRPr="001F4DD0">
              <w:rPr>
                <w:rFonts w:ascii="Times New Roman" w:hAnsi="Times New Roman"/>
                <w:sz w:val="14"/>
                <w:szCs w:val="14"/>
                <w:vertAlign w:val="subscript"/>
                <w:lang w:val="en-AU"/>
              </w:rPr>
              <w:t>4</w:t>
            </w:r>
            <w:r w:rsidRPr="001F4DD0">
              <w:rPr>
                <w:rFonts w:ascii="Times New Roman" w:hAnsi="Times New Roman"/>
                <w:sz w:val="14"/>
                <w:szCs w:val="14"/>
                <w:lang w:val="en-AU"/>
              </w:rPr>
              <w:t>O</w:t>
            </w:r>
            <w:r w:rsidRPr="001F4DD0">
              <w:rPr>
                <w:rFonts w:ascii="Times New Roman" w:hAnsi="Times New Roman"/>
                <w:sz w:val="14"/>
                <w:szCs w:val="14"/>
                <w:vertAlign w:val="subscript"/>
                <w:lang w:val="en-AU"/>
              </w:rPr>
              <w:t>6</w:t>
            </w:r>
          </w:p>
        </w:tc>
        <w:tc>
          <w:tcPr>
            <w:tcW w:w="1929" w:type="dxa"/>
            <w:tcBorders>
              <w:top w:val="single" w:sz="4" w:space="0" w:color="auto"/>
              <w:left w:val="single" w:sz="4" w:space="0" w:color="auto"/>
              <w:bottom w:val="single" w:sz="4" w:space="0" w:color="auto"/>
              <w:right w:val="single" w:sz="4" w:space="0" w:color="auto"/>
            </w:tcBorders>
            <w:vAlign w:val="center"/>
          </w:tcPr>
          <w:p w14:paraId="28B01907" w14:textId="67F51A1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C</w:t>
            </w:r>
            <w:r w:rsidRPr="001F4DD0">
              <w:rPr>
                <w:rFonts w:ascii="Times New Roman" w:hAnsi="Times New Roman"/>
                <w:color w:val="000000"/>
                <w:sz w:val="14"/>
                <w:szCs w:val="14"/>
                <w:vertAlign w:val="subscript"/>
              </w:rPr>
              <w:t>46</w:t>
            </w:r>
            <w:r w:rsidRPr="001F4DD0">
              <w:rPr>
                <w:rFonts w:ascii="Times New Roman" w:hAnsi="Times New Roman"/>
                <w:color w:val="000000"/>
                <w:sz w:val="14"/>
                <w:szCs w:val="14"/>
              </w:rPr>
              <w:t>H</w:t>
            </w:r>
            <w:r w:rsidRPr="001F4DD0">
              <w:rPr>
                <w:rFonts w:ascii="Times New Roman" w:hAnsi="Times New Roman"/>
                <w:color w:val="000000"/>
                <w:sz w:val="14"/>
                <w:szCs w:val="14"/>
                <w:vertAlign w:val="subscript"/>
              </w:rPr>
              <w:t>50</w:t>
            </w:r>
            <w:r w:rsidRPr="001F4DD0">
              <w:rPr>
                <w:rFonts w:ascii="Times New Roman" w:hAnsi="Times New Roman"/>
                <w:color w:val="000000"/>
                <w:sz w:val="14"/>
                <w:szCs w:val="14"/>
              </w:rPr>
              <w:t>N</w:t>
            </w:r>
            <w:r w:rsidRPr="001F4DD0">
              <w:rPr>
                <w:rFonts w:ascii="Times New Roman" w:hAnsi="Times New Roman"/>
                <w:color w:val="000000"/>
                <w:sz w:val="14"/>
                <w:szCs w:val="14"/>
                <w:vertAlign w:val="subscript"/>
              </w:rPr>
              <w:t>6</w:t>
            </w:r>
            <w:r w:rsidRPr="001F4DD0">
              <w:rPr>
                <w:rFonts w:ascii="Times New Roman" w:hAnsi="Times New Roman"/>
                <w:color w:val="000000"/>
                <w:sz w:val="14"/>
                <w:szCs w:val="14"/>
              </w:rPr>
              <w:t>O</w:t>
            </w:r>
            <w:r w:rsidRPr="001F4DD0">
              <w:rPr>
                <w:rFonts w:ascii="Times New Roman" w:hAnsi="Times New Roman"/>
                <w:color w:val="000000"/>
                <w:sz w:val="14"/>
                <w:szCs w:val="14"/>
                <w:vertAlign w:val="subscript"/>
              </w:rPr>
              <w:t>8</w:t>
            </w:r>
            <w:r w:rsidRPr="001F4DD0">
              <w:rPr>
                <w:rFonts w:ascii="Times New Roman" w:hAnsi="Times New Roman"/>
                <w:color w:val="000000"/>
                <w:sz w:val="14"/>
                <w:szCs w:val="14"/>
              </w:rPr>
              <w:t>S</w:t>
            </w:r>
            <w:r w:rsidRPr="001F4DD0">
              <w:rPr>
                <w:rFonts w:ascii="Times New Roman" w:hAnsi="Times New Roman"/>
                <w:color w:val="000000"/>
                <w:sz w:val="14"/>
                <w:szCs w:val="14"/>
                <w:vertAlign w:val="subscript"/>
              </w:rPr>
              <w:t>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CBE1269" w14:textId="5BBE257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w:t>
            </w:r>
            <w:r w:rsidRPr="001F4DD0">
              <w:rPr>
                <w:rFonts w:ascii="Times New Roman" w:hAnsi="Times New Roman"/>
                <w:sz w:val="14"/>
                <w:szCs w:val="14"/>
                <w:vertAlign w:val="subscript"/>
                <w:lang w:val="en-AU"/>
              </w:rPr>
              <w:t>80</w:t>
            </w:r>
            <w:r w:rsidRPr="001F4DD0">
              <w:rPr>
                <w:rFonts w:ascii="Times New Roman" w:hAnsi="Times New Roman"/>
                <w:sz w:val="14"/>
                <w:szCs w:val="14"/>
                <w:lang w:val="en-AU"/>
              </w:rPr>
              <w:t>H</w:t>
            </w:r>
            <w:r w:rsidRPr="001F4DD0">
              <w:rPr>
                <w:rFonts w:ascii="Times New Roman" w:hAnsi="Times New Roman"/>
                <w:sz w:val="14"/>
                <w:szCs w:val="14"/>
                <w:vertAlign w:val="subscript"/>
                <w:lang w:val="en-AU"/>
              </w:rPr>
              <w:t>72</w:t>
            </w:r>
            <w:r w:rsidRPr="001F4DD0">
              <w:rPr>
                <w:rFonts w:ascii="Times New Roman" w:hAnsi="Times New Roman"/>
                <w:sz w:val="14"/>
                <w:szCs w:val="14"/>
                <w:lang w:val="en-AU"/>
              </w:rPr>
              <w:t>AgF</w:t>
            </w:r>
            <w:r w:rsidRPr="001F4DD0">
              <w:rPr>
                <w:rFonts w:ascii="Times New Roman" w:hAnsi="Times New Roman"/>
                <w:sz w:val="14"/>
                <w:szCs w:val="14"/>
                <w:vertAlign w:val="subscript"/>
                <w:lang w:val="en-AU"/>
              </w:rPr>
              <w:t>6</w:t>
            </w:r>
            <w:r w:rsidRPr="001F4DD0">
              <w:rPr>
                <w:rFonts w:ascii="Times New Roman" w:hAnsi="Times New Roman"/>
                <w:sz w:val="14"/>
                <w:szCs w:val="14"/>
                <w:lang w:val="en-AU"/>
              </w:rPr>
              <w:t>N</w:t>
            </w:r>
            <w:r w:rsidRPr="001F4DD0">
              <w:rPr>
                <w:rFonts w:ascii="Times New Roman" w:hAnsi="Times New Roman"/>
                <w:sz w:val="14"/>
                <w:szCs w:val="14"/>
                <w:vertAlign w:val="subscript"/>
                <w:lang w:val="en-AU"/>
              </w:rPr>
              <w:t>8</w:t>
            </w:r>
            <w:r w:rsidRPr="001F4DD0">
              <w:rPr>
                <w:rFonts w:ascii="Times New Roman" w:hAnsi="Times New Roman"/>
                <w:sz w:val="14"/>
                <w:szCs w:val="14"/>
                <w:lang w:val="en-AU"/>
              </w:rPr>
              <w:t>Sb</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2D533D8"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w:t>
            </w:r>
            <w:r w:rsidRPr="001F4DD0">
              <w:rPr>
                <w:rFonts w:ascii="Times New Roman" w:hAnsi="Times New Roman"/>
                <w:sz w:val="14"/>
                <w:szCs w:val="14"/>
                <w:vertAlign w:val="subscript"/>
                <w:lang w:val="en-AU"/>
              </w:rPr>
              <w:t>120</w:t>
            </w:r>
            <w:r w:rsidRPr="001F4DD0">
              <w:rPr>
                <w:rFonts w:ascii="Times New Roman" w:hAnsi="Times New Roman"/>
                <w:sz w:val="14"/>
                <w:szCs w:val="14"/>
                <w:lang w:val="en-AU"/>
              </w:rPr>
              <w:t>H</w:t>
            </w:r>
            <w:r w:rsidRPr="001F4DD0">
              <w:rPr>
                <w:rFonts w:ascii="Times New Roman" w:hAnsi="Times New Roman"/>
                <w:sz w:val="14"/>
                <w:szCs w:val="14"/>
                <w:vertAlign w:val="subscript"/>
                <w:lang w:val="en-AU"/>
              </w:rPr>
              <w:t>108</w:t>
            </w:r>
            <w:r w:rsidRPr="001F4DD0">
              <w:rPr>
                <w:rFonts w:ascii="Times New Roman" w:hAnsi="Times New Roman"/>
                <w:sz w:val="14"/>
                <w:szCs w:val="14"/>
                <w:lang w:val="en-AU"/>
              </w:rPr>
              <w:t>N</w:t>
            </w:r>
            <w:r w:rsidRPr="001F4DD0">
              <w:rPr>
                <w:rFonts w:ascii="Times New Roman" w:hAnsi="Times New Roman"/>
                <w:sz w:val="14"/>
                <w:szCs w:val="14"/>
                <w:vertAlign w:val="subscript"/>
                <w:lang w:val="en-AU"/>
              </w:rPr>
              <w:t>6</w:t>
            </w:r>
            <w:r w:rsidRPr="001F4DD0">
              <w:rPr>
                <w:rFonts w:ascii="Times New Roman" w:hAnsi="Times New Roman"/>
                <w:sz w:val="14"/>
                <w:szCs w:val="14"/>
                <w:lang w:val="en-AU"/>
              </w:rPr>
              <w:t>O</w:t>
            </w:r>
            <w:r w:rsidRPr="001F4DD0">
              <w:rPr>
                <w:rFonts w:ascii="Times New Roman" w:hAnsi="Times New Roman"/>
                <w:sz w:val="14"/>
                <w:szCs w:val="14"/>
                <w:vertAlign w:val="subscript"/>
                <w:lang w:val="en-AU"/>
              </w:rPr>
              <w:t>13</w:t>
            </w:r>
            <w:r w:rsidRPr="001F4DD0">
              <w:rPr>
                <w:rFonts w:ascii="Times New Roman" w:hAnsi="Times New Roman"/>
                <w:sz w:val="14"/>
                <w:szCs w:val="14"/>
                <w:lang w:val="en-AU"/>
              </w:rPr>
              <w:t>Zn</w:t>
            </w:r>
            <w:r w:rsidRPr="001F4DD0">
              <w:rPr>
                <w:rFonts w:ascii="Times New Roman" w:hAnsi="Times New Roman"/>
                <w:sz w:val="14"/>
                <w:szCs w:val="14"/>
                <w:vertAlign w:val="subscript"/>
                <w:lang w:val="en-AU"/>
              </w:rPr>
              <w:t>4</w:t>
            </w:r>
          </w:p>
        </w:tc>
        <w:tc>
          <w:tcPr>
            <w:tcW w:w="1929" w:type="dxa"/>
            <w:tcBorders>
              <w:top w:val="single" w:sz="4" w:space="0" w:color="auto"/>
              <w:left w:val="single" w:sz="4" w:space="0" w:color="auto"/>
              <w:bottom w:val="single" w:sz="4" w:space="0" w:color="auto"/>
              <w:right w:val="single" w:sz="4" w:space="0" w:color="auto"/>
            </w:tcBorders>
            <w:vAlign w:val="center"/>
          </w:tcPr>
          <w:p w14:paraId="42B8B93E" w14:textId="08055159"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C</w:t>
            </w:r>
            <w:r w:rsidRPr="001F4DD0">
              <w:rPr>
                <w:rFonts w:ascii="Times New Roman" w:hAnsi="Times New Roman"/>
                <w:color w:val="000000"/>
                <w:sz w:val="14"/>
                <w:szCs w:val="14"/>
                <w:vertAlign w:val="subscript"/>
              </w:rPr>
              <w:t>38</w:t>
            </w:r>
            <w:r w:rsidRPr="001F4DD0">
              <w:rPr>
                <w:rFonts w:ascii="Times New Roman" w:hAnsi="Times New Roman"/>
                <w:color w:val="000000"/>
                <w:sz w:val="14"/>
                <w:szCs w:val="14"/>
              </w:rPr>
              <w:t>H</w:t>
            </w:r>
            <w:r w:rsidRPr="001F4DD0">
              <w:rPr>
                <w:rFonts w:ascii="Times New Roman" w:hAnsi="Times New Roman"/>
                <w:color w:val="000000"/>
                <w:sz w:val="14"/>
                <w:szCs w:val="14"/>
                <w:vertAlign w:val="subscript"/>
              </w:rPr>
              <w:t>24</w:t>
            </w:r>
            <w:r w:rsidRPr="001F4DD0">
              <w:rPr>
                <w:rFonts w:ascii="Times New Roman" w:hAnsi="Times New Roman"/>
                <w:color w:val="000000"/>
                <w:sz w:val="14"/>
                <w:szCs w:val="14"/>
              </w:rPr>
              <w:t>CdN</w:t>
            </w:r>
            <w:r w:rsidRPr="001F4DD0">
              <w:rPr>
                <w:rFonts w:ascii="Times New Roman" w:hAnsi="Times New Roman"/>
                <w:color w:val="000000"/>
                <w:sz w:val="14"/>
                <w:szCs w:val="14"/>
                <w:vertAlign w:val="subscript"/>
              </w:rPr>
              <w:t>6</w:t>
            </w:r>
            <w:r w:rsidRPr="001F4DD0">
              <w:rPr>
                <w:rFonts w:ascii="Times New Roman" w:hAnsi="Times New Roman"/>
                <w:color w:val="000000"/>
                <w:sz w:val="14"/>
                <w:szCs w:val="14"/>
              </w:rPr>
              <w:t>O</w:t>
            </w:r>
            <w:r w:rsidRPr="001F4DD0">
              <w:rPr>
                <w:rFonts w:ascii="Times New Roman" w:hAnsi="Times New Roman"/>
                <w:color w:val="000000"/>
                <w:sz w:val="14"/>
                <w:szCs w:val="14"/>
                <w:vertAlign w:val="subscript"/>
              </w:rPr>
              <w:t>4</w:t>
            </w:r>
          </w:p>
        </w:tc>
      </w:tr>
      <w:tr w:rsidR="00D5192C" w:rsidRPr="001F4DD0" w14:paraId="48AD41DF" w14:textId="43A7467B"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57AF52C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Formula weight</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C06D84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664.86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DA33884"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784.96</w:t>
            </w:r>
          </w:p>
        </w:tc>
        <w:tc>
          <w:tcPr>
            <w:tcW w:w="1929" w:type="dxa"/>
            <w:tcBorders>
              <w:top w:val="single" w:sz="4" w:space="0" w:color="auto"/>
              <w:left w:val="single" w:sz="4" w:space="0" w:color="auto"/>
              <w:bottom w:val="single" w:sz="4" w:space="0" w:color="auto"/>
              <w:right w:val="single" w:sz="4" w:space="0" w:color="auto"/>
            </w:tcBorders>
            <w:vAlign w:val="center"/>
          </w:tcPr>
          <w:p w14:paraId="195E2349" w14:textId="40F600DA"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943.16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9BBE004" w14:textId="06BCF05F"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1489.07</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78DDEE7"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2103.6</w:t>
            </w:r>
          </w:p>
        </w:tc>
        <w:tc>
          <w:tcPr>
            <w:tcW w:w="1929" w:type="dxa"/>
            <w:tcBorders>
              <w:top w:val="single" w:sz="4" w:space="0" w:color="auto"/>
              <w:left w:val="single" w:sz="4" w:space="0" w:color="auto"/>
              <w:bottom w:val="single" w:sz="4" w:space="0" w:color="auto"/>
              <w:right w:val="single" w:sz="4" w:space="0" w:color="auto"/>
            </w:tcBorders>
            <w:vAlign w:val="center"/>
          </w:tcPr>
          <w:p w14:paraId="0347B70D" w14:textId="4F0E727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741.03</w:t>
            </w:r>
          </w:p>
        </w:tc>
      </w:tr>
      <w:tr w:rsidR="00D5192C" w:rsidRPr="001F4DD0" w14:paraId="37C45AA4" w14:textId="71462372"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39C4EED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Temperature/K</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30A837E"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563621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100</w:t>
            </w:r>
          </w:p>
        </w:tc>
        <w:tc>
          <w:tcPr>
            <w:tcW w:w="1929" w:type="dxa"/>
            <w:tcBorders>
              <w:top w:val="single" w:sz="4" w:space="0" w:color="auto"/>
              <w:left w:val="single" w:sz="4" w:space="0" w:color="auto"/>
              <w:bottom w:val="single" w:sz="4" w:space="0" w:color="auto"/>
              <w:right w:val="single" w:sz="4" w:space="0" w:color="auto"/>
            </w:tcBorders>
            <w:vAlign w:val="center"/>
          </w:tcPr>
          <w:p w14:paraId="0136A6B6" w14:textId="79F004E5" w:rsidR="00D5192C" w:rsidRPr="001F4DD0" w:rsidRDefault="00004BC7"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120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0B827EF" w14:textId="4B7C78E4"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3E0F28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100</w:t>
            </w:r>
          </w:p>
        </w:tc>
        <w:tc>
          <w:tcPr>
            <w:tcW w:w="1929" w:type="dxa"/>
            <w:tcBorders>
              <w:top w:val="single" w:sz="4" w:space="0" w:color="auto"/>
              <w:left w:val="single" w:sz="4" w:space="0" w:color="auto"/>
              <w:bottom w:val="single" w:sz="4" w:space="0" w:color="auto"/>
              <w:right w:val="single" w:sz="4" w:space="0" w:color="auto"/>
            </w:tcBorders>
            <w:vAlign w:val="center"/>
          </w:tcPr>
          <w:p w14:paraId="2ACAAF53" w14:textId="6C368400" w:rsidR="00D5192C" w:rsidRPr="001F4DD0" w:rsidRDefault="00004BC7"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100</w:t>
            </w:r>
          </w:p>
        </w:tc>
      </w:tr>
      <w:tr w:rsidR="00D5192C" w:rsidRPr="001F4DD0" w14:paraId="0D55362F" w14:textId="3CB4C4B7"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02D61142"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Crystal system</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960D5FC"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triclinic</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2FE098D"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monoclinic</w:t>
            </w:r>
          </w:p>
        </w:tc>
        <w:tc>
          <w:tcPr>
            <w:tcW w:w="1929" w:type="dxa"/>
            <w:tcBorders>
              <w:top w:val="single" w:sz="4" w:space="0" w:color="auto"/>
              <w:left w:val="single" w:sz="4" w:space="0" w:color="auto"/>
              <w:bottom w:val="single" w:sz="4" w:space="0" w:color="auto"/>
              <w:right w:val="single" w:sz="4" w:space="0" w:color="auto"/>
            </w:tcBorders>
            <w:vAlign w:val="center"/>
          </w:tcPr>
          <w:p w14:paraId="0ED03B7D" w14:textId="5A398A6D"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triclinic</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6C1515F" w14:textId="28A64C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orthorhombic</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15B799C"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triclinic</w:t>
            </w:r>
          </w:p>
        </w:tc>
        <w:tc>
          <w:tcPr>
            <w:tcW w:w="1929" w:type="dxa"/>
            <w:tcBorders>
              <w:top w:val="single" w:sz="4" w:space="0" w:color="auto"/>
              <w:left w:val="single" w:sz="4" w:space="0" w:color="auto"/>
              <w:bottom w:val="single" w:sz="4" w:space="0" w:color="auto"/>
              <w:right w:val="single" w:sz="4" w:space="0" w:color="auto"/>
            </w:tcBorders>
            <w:vAlign w:val="center"/>
          </w:tcPr>
          <w:p w14:paraId="7DEB77D8" w14:textId="4963AABE"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hexagonal</w:t>
            </w:r>
          </w:p>
        </w:tc>
      </w:tr>
      <w:tr w:rsidR="00D5192C" w:rsidRPr="001F4DD0" w14:paraId="0D04E9CA" w14:textId="4D6191BA"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190C5AC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Space group</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A02620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i/>
                <w:sz w:val="14"/>
                <w:szCs w:val="14"/>
                <w:lang w:val="en-AU"/>
              </w:rPr>
              <w:t>P</w:t>
            </w:r>
            <w:r w:rsidRPr="001F4DD0">
              <w:rPr>
                <w:rFonts w:ascii="Times New Roman" w:hAnsi="Times New Roman"/>
                <w:sz w:val="14"/>
                <w:szCs w:val="14"/>
                <w:lang w:val="en-AU"/>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876633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i/>
                <w:sz w:val="14"/>
                <w:szCs w:val="14"/>
                <w:lang w:val="en-AU"/>
              </w:rPr>
              <w:t>P</w:t>
            </w:r>
            <w:r w:rsidRPr="001F4DD0">
              <w:rPr>
                <w:rFonts w:ascii="Times New Roman" w:hAnsi="Times New Roman"/>
                <w:sz w:val="14"/>
                <w:szCs w:val="14"/>
                <w:lang w:val="en-AU"/>
              </w:rPr>
              <w:t>2</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w:t>
            </w:r>
            <w:r w:rsidRPr="001F4DD0">
              <w:rPr>
                <w:rFonts w:ascii="Times New Roman" w:hAnsi="Times New Roman"/>
                <w:i/>
                <w:sz w:val="14"/>
                <w:szCs w:val="14"/>
                <w:lang w:val="en-AU"/>
              </w:rPr>
              <w:t>c</w:t>
            </w:r>
          </w:p>
        </w:tc>
        <w:tc>
          <w:tcPr>
            <w:tcW w:w="1929" w:type="dxa"/>
            <w:tcBorders>
              <w:top w:val="single" w:sz="4" w:space="0" w:color="auto"/>
              <w:left w:val="single" w:sz="4" w:space="0" w:color="auto"/>
              <w:bottom w:val="single" w:sz="4" w:space="0" w:color="auto"/>
              <w:right w:val="single" w:sz="4" w:space="0" w:color="auto"/>
            </w:tcBorders>
            <w:vAlign w:val="center"/>
          </w:tcPr>
          <w:p w14:paraId="03BCFAE7" w14:textId="6C80522F"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i/>
                <w:color w:val="000000"/>
                <w:sz w:val="14"/>
                <w:szCs w:val="14"/>
              </w:rPr>
              <w:t>P</w:t>
            </w:r>
            <w:r w:rsidRPr="001F4DD0">
              <w:rPr>
                <w:rFonts w:ascii="Times New Roman" w:hAnsi="Times New Roman"/>
                <w:color w:val="000000"/>
                <w:sz w:val="14"/>
                <w:szCs w:val="14"/>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0C8AD7E" w14:textId="6586E99C"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w:t>
            </w:r>
            <w:r w:rsidRPr="001F4DD0">
              <w:rPr>
                <w:rFonts w:ascii="Times New Roman" w:hAnsi="Times New Roman"/>
                <w:i/>
                <w:sz w:val="14"/>
                <w:szCs w:val="14"/>
                <w:lang w:val="en-AU"/>
              </w:rPr>
              <w:t>cca</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DB467F4"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i/>
                <w:sz w:val="14"/>
                <w:szCs w:val="14"/>
                <w:lang w:val="en-AU"/>
              </w:rPr>
              <w:t>P</w:t>
            </w:r>
            <w:r w:rsidRPr="001F4DD0">
              <w:rPr>
                <w:rFonts w:ascii="Times New Roman" w:hAnsi="Times New Roman"/>
                <w:sz w:val="14"/>
                <w:szCs w:val="14"/>
                <w:lang w:val="en-AU"/>
              </w:rPr>
              <w:t>-1</w:t>
            </w:r>
          </w:p>
        </w:tc>
        <w:tc>
          <w:tcPr>
            <w:tcW w:w="1929" w:type="dxa"/>
            <w:tcBorders>
              <w:top w:val="single" w:sz="4" w:space="0" w:color="auto"/>
              <w:left w:val="single" w:sz="4" w:space="0" w:color="auto"/>
              <w:bottom w:val="single" w:sz="4" w:space="0" w:color="auto"/>
              <w:right w:val="single" w:sz="4" w:space="0" w:color="auto"/>
            </w:tcBorders>
            <w:vAlign w:val="center"/>
          </w:tcPr>
          <w:p w14:paraId="33207AF1" w14:textId="0F9A19F6" w:rsidR="00D5192C" w:rsidRPr="001F4DD0" w:rsidRDefault="00D5192C" w:rsidP="00D5192C">
            <w:pPr>
              <w:pStyle w:val="TCTableBody"/>
              <w:jc w:val="center"/>
              <w:rPr>
                <w:rFonts w:ascii="Times New Roman" w:hAnsi="Times New Roman"/>
                <w:i/>
                <w:sz w:val="14"/>
                <w:szCs w:val="14"/>
                <w:lang w:val="en-AU"/>
              </w:rPr>
            </w:pPr>
            <w:r w:rsidRPr="001F4DD0">
              <w:rPr>
                <w:rFonts w:ascii="Times New Roman" w:hAnsi="Times New Roman"/>
                <w:i/>
                <w:color w:val="000000"/>
                <w:sz w:val="14"/>
                <w:szCs w:val="14"/>
              </w:rPr>
              <w:t>P</w:t>
            </w:r>
            <w:r w:rsidRPr="001F4DD0">
              <w:rPr>
                <w:rFonts w:ascii="Times New Roman" w:hAnsi="Times New Roman"/>
                <w:color w:val="000000"/>
                <w:sz w:val="14"/>
                <w:szCs w:val="14"/>
              </w:rPr>
              <w:t>6</w:t>
            </w:r>
            <w:r w:rsidRPr="001F4DD0">
              <w:rPr>
                <w:rFonts w:ascii="Times New Roman" w:hAnsi="Times New Roman"/>
                <w:color w:val="000000"/>
                <w:sz w:val="14"/>
                <w:szCs w:val="14"/>
                <w:vertAlign w:val="subscript"/>
              </w:rPr>
              <w:t>5</w:t>
            </w:r>
            <w:r w:rsidRPr="001F4DD0">
              <w:rPr>
                <w:rFonts w:ascii="Times New Roman" w:hAnsi="Times New Roman"/>
                <w:color w:val="000000"/>
                <w:sz w:val="14"/>
                <w:szCs w:val="14"/>
              </w:rPr>
              <w:t>22</w:t>
            </w:r>
          </w:p>
        </w:tc>
      </w:tr>
      <w:tr w:rsidR="00D5192C" w:rsidRPr="001F4DD0" w14:paraId="276AC0EE" w14:textId="00193863"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10899E76"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a/Å</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A90D19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6.259(3)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0C439BB"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6.1199(2)</w:t>
            </w:r>
          </w:p>
        </w:tc>
        <w:tc>
          <w:tcPr>
            <w:tcW w:w="1929" w:type="dxa"/>
            <w:tcBorders>
              <w:top w:val="single" w:sz="4" w:space="0" w:color="auto"/>
              <w:left w:val="single" w:sz="4" w:space="0" w:color="auto"/>
              <w:bottom w:val="single" w:sz="4" w:space="0" w:color="auto"/>
              <w:right w:val="single" w:sz="4" w:space="0" w:color="auto"/>
            </w:tcBorders>
            <w:vAlign w:val="center"/>
          </w:tcPr>
          <w:p w14:paraId="796A60B3" w14:textId="11DDC61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5.5946(3)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2E7B285" w14:textId="03F21709"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10.7985(3)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DB86E4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22.5696(8)</w:t>
            </w:r>
          </w:p>
        </w:tc>
        <w:tc>
          <w:tcPr>
            <w:tcW w:w="1929" w:type="dxa"/>
            <w:tcBorders>
              <w:top w:val="single" w:sz="4" w:space="0" w:color="auto"/>
              <w:left w:val="single" w:sz="4" w:space="0" w:color="auto"/>
              <w:bottom w:val="single" w:sz="4" w:space="0" w:color="auto"/>
              <w:right w:val="single" w:sz="4" w:space="0" w:color="auto"/>
            </w:tcBorders>
            <w:vAlign w:val="center"/>
          </w:tcPr>
          <w:p w14:paraId="6294D05B" w14:textId="25E2AB2A"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13.4720(3)</w:t>
            </w:r>
          </w:p>
        </w:tc>
      </w:tr>
      <w:tr w:rsidR="00D5192C" w:rsidRPr="001F4DD0" w14:paraId="62E9487F" w14:textId="020A1B37"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4578341E"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b/Å</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F742B9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10.267(5)</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6B8ADF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11.6124(4)</w:t>
            </w:r>
          </w:p>
        </w:tc>
        <w:tc>
          <w:tcPr>
            <w:tcW w:w="1929" w:type="dxa"/>
            <w:tcBorders>
              <w:top w:val="single" w:sz="4" w:space="0" w:color="auto"/>
              <w:left w:val="single" w:sz="4" w:space="0" w:color="auto"/>
              <w:bottom w:val="single" w:sz="4" w:space="0" w:color="auto"/>
              <w:right w:val="single" w:sz="4" w:space="0" w:color="auto"/>
            </w:tcBorders>
            <w:vAlign w:val="center"/>
          </w:tcPr>
          <w:p w14:paraId="5D9E231D" w14:textId="040450B9"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11.5848(6)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5F60D4E" w14:textId="010CA838"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29.4144(9)</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B6954DD"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22.7345(8)</w:t>
            </w:r>
          </w:p>
        </w:tc>
        <w:tc>
          <w:tcPr>
            <w:tcW w:w="1929" w:type="dxa"/>
            <w:tcBorders>
              <w:top w:val="single" w:sz="4" w:space="0" w:color="auto"/>
              <w:left w:val="single" w:sz="4" w:space="0" w:color="auto"/>
              <w:bottom w:val="single" w:sz="4" w:space="0" w:color="auto"/>
              <w:right w:val="single" w:sz="4" w:space="0" w:color="auto"/>
            </w:tcBorders>
            <w:vAlign w:val="center"/>
          </w:tcPr>
          <w:p w14:paraId="58C2BA29" w14:textId="03CD37F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13.4720(3)</w:t>
            </w:r>
          </w:p>
        </w:tc>
      </w:tr>
      <w:tr w:rsidR="00D5192C" w:rsidRPr="001F4DD0" w14:paraId="4340FCF3" w14:textId="416CA50B"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2A8F2267"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c/Å</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027A35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14.832(8)</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BB1CC86"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28.9629(9)</w:t>
            </w:r>
          </w:p>
        </w:tc>
        <w:tc>
          <w:tcPr>
            <w:tcW w:w="1929" w:type="dxa"/>
            <w:tcBorders>
              <w:top w:val="single" w:sz="4" w:space="0" w:color="auto"/>
              <w:left w:val="single" w:sz="4" w:space="0" w:color="auto"/>
              <w:bottom w:val="single" w:sz="4" w:space="0" w:color="auto"/>
              <w:right w:val="single" w:sz="4" w:space="0" w:color="auto"/>
            </w:tcBorders>
            <w:vAlign w:val="center"/>
          </w:tcPr>
          <w:p w14:paraId="6041D168" w14:textId="349974D1"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18.1469(9)</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EFFDF97" w14:textId="16B6074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25.9424(8)</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9314C18"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22.7582(8)</w:t>
            </w:r>
          </w:p>
        </w:tc>
        <w:tc>
          <w:tcPr>
            <w:tcW w:w="1929" w:type="dxa"/>
            <w:tcBorders>
              <w:top w:val="single" w:sz="4" w:space="0" w:color="auto"/>
              <w:left w:val="single" w:sz="4" w:space="0" w:color="auto"/>
              <w:bottom w:val="single" w:sz="4" w:space="0" w:color="auto"/>
              <w:right w:val="single" w:sz="4" w:space="0" w:color="auto"/>
            </w:tcBorders>
            <w:vAlign w:val="center"/>
          </w:tcPr>
          <w:p w14:paraId="000461EE" w14:textId="72E899B4"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100.2746(19)</w:t>
            </w:r>
          </w:p>
        </w:tc>
      </w:tr>
      <w:tr w:rsidR="00D5192C" w:rsidRPr="001F4DD0" w14:paraId="21403FEA" w14:textId="432D8D26"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2F34D404"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α/°</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8B659D9"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94.749(17)</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6A19CB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90</w:t>
            </w:r>
          </w:p>
        </w:tc>
        <w:tc>
          <w:tcPr>
            <w:tcW w:w="1929" w:type="dxa"/>
            <w:tcBorders>
              <w:top w:val="single" w:sz="4" w:space="0" w:color="auto"/>
              <w:left w:val="single" w:sz="4" w:space="0" w:color="auto"/>
              <w:bottom w:val="single" w:sz="4" w:space="0" w:color="auto"/>
              <w:right w:val="single" w:sz="4" w:space="0" w:color="auto"/>
            </w:tcBorders>
            <w:vAlign w:val="center"/>
          </w:tcPr>
          <w:p w14:paraId="4C3414A6" w14:textId="7E2344D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84.9420(10)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10706BB" w14:textId="580B7FD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59A086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89.484(2)</w:t>
            </w:r>
          </w:p>
        </w:tc>
        <w:tc>
          <w:tcPr>
            <w:tcW w:w="1929" w:type="dxa"/>
            <w:tcBorders>
              <w:top w:val="single" w:sz="4" w:space="0" w:color="auto"/>
              <w:left w:val="single" w:sz="4" w:space="0" w:color="auto"/>
              <w:bottom w:val="single" w:sz="4" w:space="0" w:color="auto"/>
              <w:right w:val="single" w:sz="4" w:space="0" w:color="auto"/>
            </w:tcBorders>
            <w:vAlign w:val="center"/>
          </w:tcPr>
          <w:p w14:paraId="458CD2A8" w14:textId="605D773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90</w:t>
            </w:r>
          </w:p>
        </w:tc>
      </w:tr>
      <w:tr w:rsidR="00D5192C" w:rsidRPr="001F4DD0" w14:paraId="766AC62E" w14:textId="467A554A"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38E0C33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β/°</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1ADA1D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94.10(2)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D27A4C8"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92.694(2)</w:t>
            </w:r>
          </w:p>
        </w:tc>
        <w:tc>
          <w:tcPr>
            <w:tcW w:w="1929" w:type="dxa"/>
            <w:tcBorders>
              <w:top w:val="single" w:sz="4" w:space="0" w:color="auto"/>
              <w:left w:val="single" w:sz="4" w:space="0" w:color="auto"/>
              <w:bottom w:val="single" w:sz="4" w:space="0" w:color="auto"/>
              <w:right w:val="single" w:sz="4" w:space="0" w:color="auto"/>
            </w:tcBorders>
            <w:vAlign w:val="center"/>
          </w:tcPr>
          <w:p w14:paraId="47EA8201" w14:textId="2A1436C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81.7040(10)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4E94C0C" w14:textId="05091154"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5173576"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75.944(2)</w:t>
            </w:r>
          </w:p>
        </w:tc>
        <w:tc>
          <w:tcPr>
            <w:tcW w:w="1929" w:type="dxa"/>
            <w:tcBorders>
              <w:top w:val="single" w:sz="4" w:space="0" w:color="auto"/>
              <w:left w:val="single" w:sz="4" w:space="0" w:color="auto"/>
              <w:bottom w:val="single" w:sz="4" w:space="0" w:color="auto"/>
              <w:right w:val="single" w:sz="4" w:space="0" w:color="auto"/>
            </w:tcBorders>
            <w:vAlign w:val="center"/>
          </w:tcPr>
          <w:p w14:paraId="5E26E50D" w14:textId="7CB35750"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90</w:t>
            </w:r>
          </w:p>
        </w:tc>
      </w:tr>
      <w:tr w:rsidR="00D5192C" w:rsidRPr="001F4DD0" w14:paraId="6691151F" w14:textId="152E1684"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7941DC8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γ/°</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EB51C3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102.130(17)</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507BA8D"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90</w:t>
            </w:r>
          </w:p>
        </w:tc>
        <w:tc>
          <w:tcPr>
            <w:tcW w:w="1929" w:type="dxa"/>
            <w:tcBorders>
              <w:top w:val="single" w:sz="4" w:space="0" w:color="auto"/>
              <w:left w:val="single" w:sz="4" w:space="0" w:color="auto"/>
              <w:bottom w:val="single" w:sz="4" w:space="0" w:color="auto"/>
              <w:right w:val="single" w:sz="4" w:space="0" w:color="auto"/>
            </w:tcBorders>
            <w:vAlign w:val="center"/>
          </w:tcPr>
          <w:p w14:paraId="76B64E3A" w14:textId="64857DBA"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88.700(2)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48C8DF7" w14:textId="0A8A4CF0"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F2EEEE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87.829(2)</w:t>
            </w:r>
          </w:p>
        </w:tc>
        <w:tc>
          <w:tcPr>
            <w:tcW w:w="1929" w:type="dxa"/>
            <w:tcBorders>
              <w:top w:val="single" w:sz="4" w:space="0" w:color="auto"/>
              <w:left w:val="single" w:sz="4" w:space="0" w:color="auto"/>
              <w:bottom w:val="single" w:sz="4" w:space="0" w:color="auto"/>
              <w:right w:val="single" w:sz="4" w:space="0" w:color="auto"/>
            </w:tcBorders>
            <w:vAlign w:val="center"/>
          </w:tcPr>
          <w:p w14:paraId="242283EC" w14:textId="07298C35"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120</w:t>
            </w:r>
          </w:p>
        </w:tc>
      </w:tr>
      <w:tr w:rsidR="00D5192C" w:rsidRPr="001F4DD0" w14:paraId="005FC111" w14:textId="5B2BB087"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66E43F58"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Volume/Å</w:t>
            </w:r>
            <w:r w:rsidRPr="001F4DD0">
              <w:rPr>
                <w:rFonts w:ascii="Times New Roman" w:hAnsi="Times New Roman"/>
                <w:sz w:val="14"/>
                <w:szCs w:val="14"/>
                <w:vertAlign w:val="superscript"/>
                <w:lang w:val="en-AU"/>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D5F013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924.7(8)</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0BD6FB2"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2056.02(12)</w:t>
            </w:r>
          </w:p>
        </w:tc>
        <w:tc>
          <w:tcPr>
            <w:tcW w:w="1929" w:type="dxa"/>
            <w:tcBorders>
              <w:top w:val="single" w:sz="4" w:space="0" w:color="auto"/>
              <w:left w:val="single" w:sz="4" w:space="0" w:color="auto"/>
              <w:bottom w:val="single" w:sz="4" w:space="0" w:color="auto"/>
              <w:right w:val="single" w:sz="4" w:space="0" w:color="auto"/>
            </w:tcBorders>
            <w:vAlign w:val="center"/>
          </w:tcPr>
          <w:p w14:paraId="29BB5162" w14:textId="70352CD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1159.24(10)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E72D0AA" w14:textId="4AE40C5E"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8240.1(4)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5BBCACC"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11319.7(7)</w:t>
            </w:r>
          </w:p>
        </w:tc>
        <w:tc>
          <w:tcPr>
            <w:tcW w:w="1929" w:type="dxa"/>
            <w:tcBorders>
              <w:top w:val="single" w:sz="4" w:space="0" w:color="auto"/>
              <w:left w:val="single" w:sz="4" w:space="0" w:color="auto"/>
              <w:bottom w:val="single" w:sz="4" w:space="0" w:color="auto"/>
              <w:right w:val="single" w:sz="4" w:space="0" w:color="auto"/>
            </w:tcBorders>
            <w:vAlign w:val="center"/>
          </w:tcPr>
          <w:p w14:paraId="362002EF" w14:textId="5FF46F58"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15761.1(8)</w:t>
            </w:r>
          </w:p>
        </w:tc>
      </w:tr>
      <w:tr w:rsidR="00D5192C" w:rsidRPr="001F4DD0" w14:paraId="7A59F18A" w14:textId="051D6724"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747E4B3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Z</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C17827A"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CF544E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w:t>
            </w:r>
          </w:p>
        </w:tc>
        <w:tc>
          <w:tcPr>
            <w:tcW w:w="1929" w:type="dxa"/>
            <w:tcBorders>
              <w:top w:val="single" w:sz="4" w:space="0" w:color="auto"/>
              <w:left w:val="single" w:sz="4" w:space="0" w:color="auto"/>
              <w:bottom w:val="single" w:sz="4" w:space="0" w:color="auto"/>
              <w:right w:val="single" w:sz="4" w:space="0" w:color="auto"/>
            </w:tcBorders>
            <w:vAlign w:val="center"/>
          </w:tcPr>
          <w:p w14:paraId="078DC7A6" w14:textId="430575D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8624AA9" w14:textId="122DF14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DD6F3F6"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w:t>
            </w:r>
          </w:p>
        </w:tc>
        <w:tc>
          <w:tcPr>
            <w:tcW w:w="1929" w:type="dxa"/>
            <w:tcBorders>
              <w:top w:val="single" w:sz="4" w:space="0" w:color="auto"/>
              <w:left w:val="single" w:sz="4" w:space="0" w:color="auto"/>
              <w:bottom w:val="single" w:sz="4" w:space="0" w:color="auto"/>
              <w:right w:val="single" w:sz="4" w:space="0" w:color="auto"/>
            </w:tcBorders>
            <w:vAlign w:val="center"/>
          </w:tcPr>
          <w:p w14:paraId="540A7B29" w14:textId="3F60759C"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12</w:t>
            </w:r>
          </w:p>
        </w:tc>
      </w:tr>
      <w:tr w:rsidR="00D5192C" w:rsidRPr="001F4DD0" w14:paraId="509EE8B0" w14:textId="3123BEBE"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67943EC8"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ρ</w:t>
            </w:r>
            <w:r w:rsidRPr="001F4DD0">
              <w:rPr>
                <w:rFonts w:ascii="Times New Roman" w:hAnsi="Times New Roman"/>
                <w:sz w:val="14"/>
                <w:szCs w:val="14"/>
                <w:vertAlign w:val="subscript"/>
                <w:lang w:val="en-AU"/>
              </w:rPr>
              <w:t>calc</w:t>
            </w:r>
            <w:r w:rsidRPr="001F4DD0">
              <w:rPr>
                <w:rFonts w:ascii="Times New Roman" w:hAnsi="Times New Roman"/>
                <w:sz w:val="14"/>
                <w:szCs w:val="14"/>
                <w:lang w:val="en-AU"/>
              </w:rPr>
              <w:t>g/cm</w:t>
            </w:r>
            <w:r w:rsidRPr="001F4DD0">
              <w:rPr>
                <w:rFonts w:ascii="Times New Roman" w:hAnsi="Times New Roman"/>
                <w:sz w:val="14"/>
                <w:szCs w:val="14"/>
                <w:vertAlign w:val="superscript"/>
                <w:lang w:val="en-AU"/>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D395E0A"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1.194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CD9883D"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1.268</w:t>
            </w:r>
          </w:p>
        </w:tc>
        <w:tc>
          <w:tcPr>
            <w:tcW w:w="1929" w:type="dxa"/>
            <w:tcBorders>
              <w:top w:val="single" w:sz="4" w:space="0" w:color="auto"/>
              <w:left w:val="single" w:sz="4" w:space="0" w:color="auto"/>
              <w:bottom w:val="single" w:sz="4" w:space="0" w:color="auto"/>
              <w:right w:val="single" w:sz="4" w:space="0" w:color="auto"/>
            </w:tcBorders>
            <w:vAlign w:val="center"/>
          </w:tcPr>
          <w:p w14:paraId="212CB5D2" w14:textId="43869531"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1.351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04C6780" w14:textId="6530EE24"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1.200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E2B5D16"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0.617</w:t>
            </w:r>
          </w:p>
        </w:tc>
        <w:tc>
          <w:tcPr>
            <w:tcW w:w="1929" w:type="dxa"/>
            <w:tcBorders>
              <w:top w:val="single" w:sz="4" w:space="0" w:color="auto"/>
              <w:left w:val="single" w:sz="4" w:space="0" w:color="auto"/>
              <w:bottom w:val="single" w:sz="4" w:space="0" w:color="auto"/>
              <w:right w:val="single" w:sz="4" w:space="0" w:color="auto"/>
            </w:tcBorders>
            <w:vAlign w:val="center"/>
          </w:tcPr>
          <w:p w14:paraId="4359599D" w14:textId="728CB810"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0.937</w:t>
            </w:r>
          </w:p>
        </w:tc>
      </w:tr>
      <w:tr w:rsidR="00D5192C" w:rsidRPr="001F4DD0" w14:paraId="16DD15C2" w14:textId="55CFA6AA"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7B517DA7"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μ/mm</w:t>
            </w:r>
            <w:r w:rsidRPr="001F4DD0">
              <w:rPr>
                <w:rFonts w:ascii="Times New Roman" w:hAnsi="Times New Roman"/>
                <w:sz w:val="14"/>
                <w:szCs w:val="14"/>
                <w:vertAlign w:val="superscript"/>
                <w:lang w:val="en-AU"/>
              </w:rPr>
              <w:noBreakHyphen/>
              <w:t>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04E681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0.535</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AFB9D3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0.668</w:t>
            </w:r>
          </w:p>
        </w:tc>
        <w:tc>
          <w:tcPr>
            <w:tcW w:w="1929" w:type="dxa"/>
            <w:tcBorders>
              <w:top w:val="single" w:sz="4" w:space="0" w:color="auto"/>
              <w:left w:val="single" w:sz="4" w:space="0" w:color="auto"/>
              <w:bottom w:val="single" w:sz="4" w:space="0" w:color="auto"/>
              <w:right w:val="single" w:sz="4" w:space="0" w:color="auto"/>
            </w:tcBorders>
            <w:vAlign w:val="center"/>
          </w:tcPr>
          <w:p w14:paraId="21220F13" w14:textId="1D165BB5"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0.264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1CAE136" w14:textId="4B47EB7E"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4.966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F2E862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0.725</w:t>
            </w:r>
          </w:p>
        </w:tc>
        <w:tc>
          <w:tcPr>
            <w:tcW w:w="1929" w:type="dxa"/>
            <w:tcBorders>
              <w:top w:val="single" w:sz="4" w:space="0" w:color="auto"/>
              <w:left w:val="single" w:sz="4" w:space="0" w:color="auto"/>
              <w:bottom w:val="single" w:sz="4" w:space="0" w:color="auto"/>
              <w:right w:val="single" w:sz="4" w:space="0" w:color="auto"/>
            </w:tcBorders>
            <w:vAlign w:val="center"/>
          </w:tcPr>
          <w:p w14:paraId="1A399E4D" w14:textId="1B7E283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3.593</w:t>
            </w:r>
          </w:p>
        </w:tc>
      </w:tr>
      <w:tr w:rsidR="00D5192C" w:rsidRPr="001F4DD0" w14:paraId="1BCE4B86" w14:textId="2F7AC1F2"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3A98759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F(000)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5E2F719"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354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F2E2F2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840</w:t>
            </w:r>
          </w:p>
        </w:tc>
        <w:tc>
          <w:tcPr>
            <w:tcW w:w="1929" w:type="dxa"/>
            <w:tcBorders>
              <w:top w:val="single" w:sz="4" w:space="0" w:color="auto"/>
              <w:left w:val="single" w:sz="4" w:space="0" w:color="auto"/>
              <w:bottom w:val="single" w:sz="4" w:space="0" w:color="auto"/>
              <w:right w:val="single" w:sz="4" w:space="0" w:color="auto"/>
            </w:tcBorders>
            <w:vAlign w:val="center"/>
          </w:tcPr>
          <w:p w14:paraId="1D08A7FC" w14:textId="7DC8FF99"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496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9D2F5E7" w14:textId="32A91EA0"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3040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D3094E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2188</w:t>
            </w:r>
          </w:p>
        </w:tc>
        <w:tc>
          <w:tcPr>
            <w:tcW w:w="1929" w:type="dxa"/>
            <w:tcBorders>
              <w:top w:val="single" w:sz="4" w:space="0" w:color="auto"/>
              <w:left w:val="single" w:sz="4" w:space="0" w:color="auto"/>
              <w:bottom w:val="single" w:sz="4" w:space="0" w:color="auto"/>
              <w:right w:val="single" w:sz="4" w:space="0" w:color="auto"/>
            </w:tcBorders>
            <w:vAlign w:val="center"/>
          </w:tcPr>
          <w:p w14:paraId="136F2FD1" w14:textId="51D976C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4488</w:t>
            </w:r>
          </w:p>
        </w:tc>
      </w:tr>
      <w:tr w:rsidR="00D5192C" w:rsidRPr="001F4DD0" w14:paraId="047A584D" w14:textId="2B8A22AB"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54341E1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Crystal size/mm</w:t>
            </w:r>
            <w:r w:rsidRPr="001F4DD0">
              <w:rPr>
                <w:rFonts w:ascii="Times New Roman" w:hAnsi="Times New Roman"/>
                <w:sz w:val="14"/>
                <w:szCs w:val="14"/>
                <w:vertAlign w:val="superscript"/>
                <w:lang w:val="en-AU"/>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E72F3A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0.18 × 0.05 × 0.04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AF945D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0.2 × 0.06 × 0.03</w:t>
            </w:r>
          </w:p>
        </w:tc>
        <w:tc>
          <w:tcPr>
            <w:tcW w:w="1929" w:type="dxa"/>
            <w:tcBorders>
              <w:top w:val="single" w:sz="4" w:space="0" w:color="auto"/>
              <w:left w:val="single" w:sz="4" w:space="0" w:color="auto"/>
              <w:bottom w:val="single" w:sz="4" w:space="0" w:color="auto"/>
              <w:right w:val="single" w:sz="4" w:space="0" w:color="auto"/>
            </w:tcBorders>
            <w:vAlign w:val="center"/>
          </w:tcPr>
          <w:p w14:paraId="433FA50C" w14:textId="23029069"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0.25 × 0.12 × 0.04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7F87D80" w14:textId="70212970"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0.11 × 0.04 × 0.04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2F38D22"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0.16 × 0.16 × 0.11</w:t>
            </w:r>
          </w:p>
        </w:tc>
        <w:tc>
          <w:tcPr>
            <w:tcW w:w="1929" w:type="dxa"/>
            <w:tcBorders>
              <w:top w:val="single" w:sz="4" w:space="0" w:color="auto"/>
              <w:left w:val="single" w:sz="4" w:space="0" w:color="auto"/>
              <w:bottom w:val="single" w:sz="4" w:space="0" w:color="auto"/>
              <w:right w:val="single" w:sz="4" w:space="0" w:color="auto"/>
            </w:tcBorders>
            <w:vAlign w:val="center"/>
          </w:tcPr>
          <w:p w14:paraId="6D60C75F" w14:textId="1EADD3D5"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0.26 × 0.08 × 0.06</w:t>
            </w:r>
          </w:p>
        </w:tc>
      </w:tr>
      <w:tr w:rsidR="00D5192C" w:rsidRPr="001F4DD0" w14:paraId="1285EFAA" w14:textId="34CD6BC4"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649A3AB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Radiation</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BCA8566"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Cu Kα (λ = 1.54178)</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36C5F8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Cu Kα (λ = 1.54178)</w:t>
            </w:r>
          </w:p>
        </w:tc>
        <w:tc>
          <w:tcPr>
            <w:tcW w:w="1929" w:type="dxa"/>
            <w:tcBorders>
              <w:top w:val="single" w:sz="4" w:space="0" w:color="auto"/>
              <w:left w:val="single" w:sz="4" w:space="0" w:color="auto"/>
              <w:bottom w:val="single" w:sz="4" w:space="0" w:color="auto"/>
              <w:right w:val="single" w:sz="4" w:space="0" w:color="auto"/>
            </w:tcBorders>
            <w:vAlign w:val="center"/>
          </w:tcPr>
          <w:p w14:paraId="02DF79AA" w14:textId="0D1DF71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Mo</w:t>
            </w:r>
            <w:r w:rsidR="00004BC7" w:rsidRPr="001F4DD0">
              <w:rPr>
                <w:rFonts w:ascii="Times New Roman" w:hAnsi="Times New Roman"/>
                <w:color w:val="000000"/>
                <w:sz w:val="14"/>
                <w:szCs w:val="14"/>
              </w:rPr>
              <w:t xml:space="preserve"> </w:t>
            </w:r>
            <w:r w:rsidRPr="001F4DD0">
              <w:rPr>
                <w:rFonts w:ascii="Times New Roman" w:hAnsi="Times New Roman"/>
                <w:color w:val="000000"/>
                <w:sz w:val="14"/>
                <w:szCs w:val="14"/>
              </w:rPr>
              <w:t>Kα (λ = 0.71073)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F990D0B" w14:textId="7BABA4D5"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Cu Kα (λ = 1.54178)</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D961A9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Cu Kα (λ = 1.54178)</w:t>
            </w:r>
          </w:p>
        </w:tc>
        <w:tc>
          <w:tcPr>
            <w:tcW w:w="1929" w:type="dxa"/>
            <w:tcBorders>
              <w:top w:val="single" w:sz="4" w:space="0" w:color="auto"/>
              <w:left w:val="single" w:sz="4" w:space="0" w:color="auto"/>
              <w:bottom w:val="single" w:sz="4" w:space="0" w:color="auto"/>
              <w:right w:val="single" w:sz="4" w:space="0" w:color="auto"/>
            </w:tcBorders>
            <w:vAlign w:val="center"/>
          </w:tcPr>
          <w:p w14:paraId="47AC198A" w14:textId="0272E73E"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Cu</w:t>
            </w:r>
            <w:r w:rsidR="00004BC7" w:rsidRPr="001F4DD0">
              <w:rPr>
                <w:rFonts w:ascii="Times New Roman" w:hAnsi="Times New Roman"/>
                <w:color w:val="000000"/>
                <w:sz w:val="14"/>
                <w:szCs w:val="14"/>
              </w:rPr>
              <w:t xml:space="preserve"> </w:t>
            </w:r>
            <w:r w:rsidRPr="001F4DD0">
              <w:rPr>
                <w:rFonts w:ascii="Times New Roman" w:hAnsi="Times New Roman"/>
                <w:color w:val="000000"/>
                <w:sz w:val="14"/>
                <w:szCs w:val="14"/>
              </w:rPr>
              <w:t>Kα (λ = 1.54178)</w:t>
            </w:r>
          </w:p>
        </w:tc>
      </w:tr>
      <w:tr w:rsidR="00D5192C" w:rsidRPr="001F4DD0" w14:paraId="4F0FFC07" w14:textId="305CAD15"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37480F12"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2Θ range for data collection/°</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276F5DC"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8.854 to 136.086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8C2EE57"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6.11 to 136.662</w:t>
            </w:r>
          </w:p>
        </w:tc>
        <w:tc>
          <w:tcPr>
            <w:tcW w:w="1929" w:type="dxa"/>
            <w:tcBorders>
              <w:top w:val="single" w:sz="4" w:space="0" w:color="auto"/>
              <w:left w:val="single" w:sz="4" w:space="0" w:color="auto"/>
              <w:bottom w:val="single" w:sz="4" w:space="0" w:color="auto"/>
              <w:right w:val="single" w:sz="4" w:space="0" w:color="auto"/>
            </w:tcBorders>
            <w:vAlign w:val="center"/>
          </w:tcPr>
          <w:p w14:paraId="29F10C81" w14:textId="03594DFB"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3.53 to 56.732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93E24EC" w14:textId="524B3304"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6.01 to 136.87</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01B36B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3.89 to 108.672</w:t>
            </w:r>
          </w:p>
        </w:tc>
        <w:tc>
          <w:tcPr>
            <w:tcW w:w="1929" w:type="dxa"/>
            <w:tcBorders>
              <w:top w:val="single" w:sz="4" w:space="0" w:color="auto"/>
              <w:left w:val="single" w:sz="4" w:space="0" w:color="auto"/>
              <w:bottom w:val="single" w:sz="4" w:space="0" w:color="auto"/>
              <w:right w:val="single" w:sz="4" w:space="0" w:color="auto"/>
            </w:tcBorders>
            <w:vAlign w:val="center"/>
          </w:tcPr>
          <w:p w14:paraId="6E68D252" w14:textId="7703BB95"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5.288 to 117.904</w:t>
            </w:r>
          </w:p>
        </w:tc>
      </w:tr>
      <w:tr w:rsidR="00D5192C" w:rsidRPr="001F4DD0" w14:paraId="39F9F4D8" w14:textId="46598FDF"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33446CB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Index ranges</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30A751A"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-7 ≤ h ≤ 7, -12 ≤ k ≤ 11, -17 ≤ l ≤ 17</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33B462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-7 ≤ h ≤ 7, -13 ≤ k ≤ 13, -21 ≤ l ≤ 34</w:t>
            </w:r>
          </w:p>
        </w:tc>
        <w:tc>
          <w:tcPr>
            <w:tcW w:w="1929" w:type="dxa"/>
            <w:tcBorders>
              <w:top w:val="single" w:sz="4" w:space="0" w:color="auto"/>
              <w:left w:val="single" w:sz="4" w:space="0" w:color="auto"/>
              <w:bottom w:val="single" w:sz="4" w:space="0" w:color="auto"/>
              <w:right w:val="single" w:sz="4" w:space="0" w:color="auto"/>
            </w:tcBorders>
            <w:vAlign w:val="center"/>
          </w:tcPr>
          <w:p w14:paraId="12106C7E" w14:textId="14115A4C"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-7 ≤ h ≤ 7, -15 ≤ k ≤ 11, -24 ≤ l ≤ 23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3FE381B" w14:textId="1F79787F"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-11 ≤ h ≤ 12, -34 ≤ k ≤ 35, -25 ≤ l ≤ 31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ABB2EAA"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-23 ≤ h ≤ 23, -23 ≤ k ≤ 21, -23 ≤ l ≤ 23</w:t>
            </w:r>
          </w:p>
        </w:tc>
        <w:tc>
          <w:tcPr>
            <w:tcW w:w="1929" w:type="dxa"/>
            <w:tcBorders>
              <w:top w:val="single" w:sz="4" w:space="0" w:color="auto"/>
              <w:left w:val="single" w:sz="4" w:space="0" w:color="auto"/>
              <w:bottom w:val="single" w:sz="4" w:space="0" w:color="auto"/>
              <w:right w:val="single" w:sz="4" w:space="0" w:color="auto"/>
            </w:tcBorders>
            <w:vAlign w:val="center"/>
          </w:tcPr>
          <w:p w14:paraId="74F1300E" w14:textId="654040EE"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-14 ≤ h ≤ 12, -14 ≤ k ≤ 14, -111 ≤ l ≤ 111</w:t>
            </w:r>
          </w:p>
        </w:tc>
      </w:tr>
      <w:tr w:rsidR="00D5192C" w:rsidRPr="001F4DD0" w14:paraId="38135D67" w14:textId="63CD8551"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4532C814"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Reflections collected</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832774A"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10234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3172B6C"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14305</w:t>
            </w:r>
          </w:p>
        </w:tc>
        <w:tc>
          <w:tcPr>
            <w:tcW w:w="1929" w:type="dxa"/>
            <w:tcBorders>
              <w:top w:val="single" w:sz="4" w:space="0" w:color="auto"/>
              <w:left w:val="single" w:sz="4" w:space="0" w:color="auto"/>
              <w:bottom w:val="single" w:sz="4" w:space="0" w:color="auto"/>
              <w:right w:val="single" w:sz="4" w:space="0" w:color="auto"/>
            </w:tcBorders>
            <w:vAlign w:val="center"/>
          </w:tcPr>
          <w:p w14:paraId="08D56FD9" w14:textId="78C1CD5A"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11850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AE9AA66" w14:textId="1B1ED4C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31802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13ACE9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63193</w:t>
            </w:r>
          </w:p>
        </w:tc>
        <w:tc>
          <w:tcPr>
            <w:tcW w:w="1929" w:type="dxa"/>
            <w:tcBorders>
              <w:top w:val="single" w:sz="4" w:space="0" w:color="auto"/>
              <w:left w:val="single" w:sz="4" w:space="0" w:color="auto"/>
              <w:bottom w:val="single" w:sz="4" w:space="0" w:color="auto"/>
              <w:right w:val="single" w:sz="4" w:space="0" w:color="auto"/>
            </w:tcBorders>
            <w:vAlign w:val="center"/>
          </w:tcPr>
          <w:p w14:paraId="5E80548F" w14:textId="6D07E9C3"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71590</w:t>
            </w:r>
          </w:p>
        </w:tc>
      </w:tr>
      <w:tr w:rsidR="00D5192C" w:rsidRPr="001F4DD0" w14:paraId="4FA8541B" w14:textId="7C38CD82"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59F3124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Independent reflections</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D103FA6"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3350 [R</w:t>
            </w:r>
            <w:r w:rsidRPr="001F4DD0">
              <w:rPr>
                <w:rFonts w:ascii="Times New Roman" w:hAnsi="Times New Roman"/>
                <w:sz w:val="14"/>
                <w:szCs w:val="14"/>
                <w:vertAlign w:val="subscript"/>
                <w:lang w:val="en-AU"/>
              </w:rPr>
              <w:t>int</w:t>
            </w:r>
            <w:r w:rsidRPr="001F4DD0">
              <w:rPr>
                <w:rFonts w:ascii="Times New Roman" w:hAnsi="Times New Roman"/>
                <w:sz w:val="14"/>
                <w:szCs w:val="14"/>
                <w:lang w:val="en-AU"/>
              </w:rPr>
              <w:t xml:space="preserve"> = 0.0323, R</w:t>
            </w:r>
            <w:r w:rsidRPr="001F4DD0">
              <w:rPr>
                <w:rFonts w:ascii="Times New Roman" w:hAnsi="Times New Roman"/>
                <w:sz w:val="14"/>
                <w:szCs w:val="14"/>
                <w:vertAlign w:val="subscript"/>
                <w:lang w:val="en-AU"/>
              </w:rPr>
              <w:t>sigma</w:t>
            </w:r>
            <w:r w:rsidRPr="001F4DD0">
              <w:rPr>
                <w:rFonts w:ascii="Times New Roman" w:hAnsi="Times New Roman"/>
                <w:sz w:val="14"/>
                <w:szCs w:val="14"/>
                <w:lang w:val="en-AU"/>
              </w:rPr>
              <w:t xml:space="preserve"> = 0.0348]</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3669CB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3755 [R</w:t>
            </w:r>
            <w:r w:rsidRPr="001F4DD0">
              <w:rPr>
                <w:rFonts w:ascii="Times New Roman" w:hAnsi="Times New Roman"/>
                <w:sz w:val="14"/>
                <w:szCs w:val="14"/>
                <w:vertAlign w:val="subscript"/>
                <w:lang w:val="en-AU"/>
              </w:rPr>
              <w:t>int</w:t>
            </w:r>
            <w:r w:rsidRPr="001F4DD0">
              <w:rPr>
                <w:rFonts w:ascii="Times New Roman" w:hAnsi="Times New Roman"/>
                <w:sz w:val="14"/>
                <w:szCs w:val="14"/>
                <w:lang w:val="en-AU"/>
              </w:rPr>
              <w:t xml:space="preserve"> = 0.0430, R</w:t>
            </w:r>
            <w:r w:rsidRPr="001F4DD0">
              <w:rPr>
                <w:rFonts w:ascii="Times New Roman" w:hAnsi="Times New Roman"/>
                <w:sz w:val="14"/>
                <w:szCs w:val="14"/>
                <w:vertAlign w:val="subscript"/>
                <w:lang w:val="en-AU"/>
              </w:rPr>
              <w:t>sigma</w:t>
            </w:r>
            <w:r w:rsidRPr="001F4DD0">
              <w:rPr>
                <w:rFonts w:ascii="Times New Roman" w:hAnsi="Times New Roman"/>
                <w:sz w:val="14"/>
                <w:szCs w:val="14"/>
                <w:lang w:val="en-AU"/>
              </w:rPr>
              <w:t xml:space="preserve"> = 0.0408]</w:t>
            </w:r>
          </w:p>
        </w:tc>
        <w:tc>
          <w:tcPr>
            <w:tcW w:w="1929" w:type="dxa"/>
            <w:tcBorders>
              <w:top w:val="single" w:sz="4" w:space="0" w:color="auto"/>
              <w:left w:val="single" w:sz="4" w:space="0" w:color="auto"/>
              <w:bottom w:val="single" w:sz="4" w:space="0" w:color="auto"/>
              <w:right w:val="single" w:sz="4" w:space="0" w:color="auto"/>
            </w:tcBorders>
            <w:vAlign w:val="center"/>
          </w:tcPr>
          <w:p w14:paraId="04040B62" w14:textId="3DEFFB4B"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5789 [R</w:t>
            </w:r>
            <w:r w:rsidRPr="001F4DD0">
              <w:rPr>
                <w:rFonts w:ascii="Times New Roman" w:hAnsi="Times New Roman"/>
                <w:color w:val="000000"/>
                <w:sz w:val="14"/>
                <w:szCs w:val="14"/>
                <w:vertAlign w:val="subscript"/>
              </w:rPr>
              <w:t>int</w:t>
            </w:r>
            <w:r w:rsidRPr="001F4DD0">
              <w:rPr>
                <w:rFonts w:ascii="Times New Roman" w:hAnsi="Times New Roman"/>
                <w:color w:val="000000"/>
                <w:sz w:val="14"/>
                <w:szCs w:val="14"/>
              </w:rPr>
              <w:t xml:space="preserve"> = 0.0255, R</w:t>
            </w:r>
            <w:r w:rsidRPr="001F4DD0">
              <w:rPr>
                <w:rFonts w:ascii="Times New Roman" w:hAnsi="Times New Roman"/>
                <w:color w:val="000000"/>
                <w:sz w:val="14"/>
                <w:szCs w:val="14"/>
                <w:vertAlign w:val="subscript"/>
              </w:rPr>
              <w:t>sigma</w:t>
            </w:r>
            <w:r w:rsidRPr="001F4DD0">
              <w:rPr>
                <w:rFonts w:ascii="Times New Roman" w:hAnsi="Times New Roman"/>
                <w:color w:val="000000"/>
                <w:sz w:val="14"/>
                <w:szCs w:val="14"/>
              </w:rPr>
              <w:t xml:space="preserve"> = 0.0454]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29626E4" w14:textId="7F3088FB"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3737 [R</w:t>
            </w:r>
            <w:r w:rsidRPr="001F4DD0">
              <w:rPr>
                <w:rFonts w:ascii="Times New Roman" w:hAnsi="Times New Roman"/>
                <w:sz w:val="14"/>
                <w:szCs w:val="14"/>
                <w:vertAlign w:val="subscript"/>
                <w:lang w:val="en-AU"/>
              </w:rPr>
              <w:t>int</w:t>
            </w:r>
            <w:r w:rsidRPr="001F4DD0">
              <w:rPr>
                <w:rFonts w:ascii="Times New Roman" w:hAnsi="Times New Roman"/>
                <w:sz w:val="14"/>
                <w:szCs w:val="14"/>
                <w:lang w:val="en-AU"/>
              </w:rPr>
              <w:t xml:space="preserve"> = 0.0703, R</w:t>
            </w:r>
            <w:r w:rsidRPr="001F4DD0">
              <w:rPr>
                <w:rFonts w:ascii="Times New Roman" w:hAnsi="Times New Roman"/>
                <w:sz w:val="14"/>
                <w:szCs w:val="14"/>
                <w:vertAlign w:val="subscript"/>
                <w:lang w:val="en-AU"/>
              </w:rPr>
              <w:t>sigma</w:t>
            </w:r>
            <w:r w:rsidRPr="001F4DD0">
              <w:rPr>
                <w:rFonts w:ascii="Times New Roman" w:hAnsi="Times New Roman"/>
                <w:sz w:val="14"/>
                <w:szCs w:val="14"/>
                <w:lang w:val="en-AU"/>
              </w:rPr>
              <w:t xml:space="preserve"> = 0.0437]</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55EC494"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27389 [R</w:t>
            </w:r>
            <w:r w:rsidRPr="001F4DD0">
              <w:rPr>
                <w:rFonts w:ascii="Times New Roman" w:hAnsi="Times New Roman"/>
                <w:sz w:val="14"/>
                <w:szCs w:val="14"/>
                <w:vertAlign w:val="subscript"/>
                <w:lang w:val="en-AU"/>
              </w:rPr>
              <w:t>int</w:t>
            </w:r>
            <w:r w:rsidRPr="001F4DD0">
              <w:rPr>
                <w:rFonts w:ascii="Times New Roman" w:hAnsi="Times New Roman"/>
                <w:sz w:val="14"/>
                <w:szCs w:val="14"/>
                <w:lang w:val="en-AU"/>
              </w:rPr>
              <w:t xml:space="preserve"> = 0.0369, R</w:t>
            </w:r>
            <w:r w:rsidRPr="001F4DD0">
              <w:rPr>
                <w:rFonts w:ascii="Times New Roman" w:hAnsi="Times New Roman"/>
                <w:sz w:val="14"/>
                <w:szCs w:val="14"/>
                <w:vertAlign w:val="subscript"/>
                <w:lang w:val="en-AU"/>
              </w:rPr>
              <w:t>sigma</w:t>
            </w:r>
            <w:r w:rsidRPr="001F4DD0">
              <w:rPr>
                <w:rFonts w:ascii="Times New Roman" w:hAnsi="Times New Roman"/>
                <w:sz w:val="14"/>
                <w:szCs w:val="14"/>
                <w:lang w:val="en-AU"/>
              </w:rPr>
              <w:t xml:space="preserve"> = 0.0575]</w:t>
            </w:r>
          </w:p>
        </w:tc>
        <w:tc>
          <w:tcPr>
            <w:tcW w:w="1929" w:type="dxa"/>
            <w:tcBorders>
              <w:top w:val="single" w:sz="4" w:space="0" w:color="auto"/>
              <w:left w:val="single" w:sz="4" w:space="0" w:color="auto"/>
              <w:bottom w:val="single" w:sz="4" w:space="0" w:color="auto"/>
              <w:right w:val="single" w:sz="4" w:space="0" w:color="auto"/>
            </w:tcBorders>
            <w:vAlign w:val="center"/>
          </w:tcPr>
          <w:p w14:paraId="2A30F315" w14:textId="639FCEFB"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7532 [R</w:t>
            </w:r>
            <w:r w:rsidRPr="001F4DD0">
              <w:rPr>
                <w:rFonts w:ascii="Times New Roman" w:hAnsi="Times New Roman"/>
                <w:color w:val="000000"/>
                <w:sz w:val="14"/>
                <w:szCs w:val="14"/>
                <w:vertAlign w:val="subscript"/>
              </w:rPr>
              <w:t>int</w:t>
            </w:r>
            <w:r w:rsidRPr="001F4DD0">
              <w:rPr>
                <w:rFonts w:ascii="Times New Roman" w:hAnsi="Times New Roman"/>
                <w:color w:val="000000"/>
                <w:sz w:val="14"/>
                <w:szCs w:val="14"/>
              </w:rPr>
              <w:t xml:space="preserve"> = 0.0983, R</w:t>
            </w:r>
            <w:r w:rsidRPr="001F4DD0">
              <w:rPr>
                <w:rFonts w:ascii="Times New Roman" w:hAnsi="Times New Roman"/>
                <w:color w:val="000000"/>
                <w:sz w:val="14"/>
                <w:szCs w:val="14"/>
                <w:vertAlign w:val="subscript"/>
              </w:rPr>
              <w:t>sigma</w:t>
            </w:r>
            <w:r w:rsidRPr="001F4DD0">
              <w:rPr>
                <w:rFonts w:ascii="Times New Roman" w:hAnsi="Times New Roman"/>
                <w:color w:val="000000"/>
                <w:sz w:val="14"/>
                <w:szCs w:val="14"/>
              </w:rPr>
              <w:t xml:space="preserve"> = 0.0543]</w:t>
            </w:r>
          </w:p>
        </w:tc>
      </w:tr>
      <w:tr w:rsidR="00D5192C" w:rsidRPr="001F4DD0" w14:paraId="55CA2C98" w14:textId="32EA3409"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07AF70D8"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Data/restraints/parameters</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088CA8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3350/0/266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ACFC3B7"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3755/6/286</w:t>
            </w:r>
          </w:p>
        </w:tc>
        <w:tc>
          <w:tcPr>
            <w:tcW w:w="1929" w:type="dxa"/>
            <w:tcBorders>
              <w:top w:val="single" w:sz="4" w:space="0" w:color="auto"/>
              <w:left w:val="single" w:sz="4" w:space="0" w:color="auto"/>
              <w:bottom w:val="single" w:sz="4" w:space="0" w:color="auto"/>
              <w:right w:val="single" w:sz="4" w:space="0" w:color="auto"/>
            </w:tcBorders>
            <w:vAlign w:val="center"/>
          </w:tcPr>
          <w:p w14:paraId="5ED7D5BA" w14:textId="3A8840FE"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5789/0/296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F940F63" w14:textId="2A356E5E"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3737/105/271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E1EFC8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27389/388/1225</w:t>
            </w:r>
          </w:p>
        </w:tc>
        <w:tc>
          <w:tcPr>
            <w:tcW w:w="1929" w:type="dxa"/>
            <w:tcBorders>
              <w:top w:val="single" w:sz="4" w:space="0" w:color="auto"/>
              <w:left w:val="single" w:sz="4" w:space="0" w:color="auto"/>
              <w:bottom w:val="single" w:sz="4" w:space="0" w:color="auto"/>
              <w:right w:val="single" w:sz="4" w:space="0" w:color="auto"/>
            </w:tcBorders>
            <w:vAlign w:val="center"/>
          </w:tcPr>
          <w:p w14:paraId="5DDB1B14" w14:textId="04D457D1"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7532/138/515</w:t>
            </w:r>
          </w:p>
        </w:tc>
      </w:tr>
      <w:tr w:rsidR="00D5192C" w:rsidRPr="001F4DD0" w14:paraId="2EF16E9A" w14:textId="39AAB7FD"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481D987D" w14:textId="5E42D9D1"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Reflns Obs. [I&gt;=2σ (I)]</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26FC20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2786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472B55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3112</w:t>
            </w:r>
          </w:p>
        </w:tc>
        <w:tc>
          <w:tcPr>
            <w:tcW w:w="1929" w:type="dxa"/>
            <w:tcBorders>
              <w:top w:val="single" w:sz="4" w:space="0" w:color="auto"/>
              <w:left w:val="single" w:sz="4" w:space="0" w:color="auto"/>
              <w:bottom w:val="single" w:sz="4" w:space="0" w:color="auto"/>
              <w:right w:val="single" w:sz="4" w:space="0" w:color="auto"/>
            </w:tcBorders>
            <w:vAlign w:val="center"/>
          </w:tcPr>
          <w:p w14:paraId="4137273F" w14:textId="76926DE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4162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FA2E886" w14:textId="192F28A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3051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7BF3F6F"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18928</w:t>
            </w:r>
          </w:p>
        </w:tc>
        <w:tc>
          <w:tcPr>
            <w:tcW w:w="1929" w:type="dxa"/>
            <w:tcBorders>
              <w:top w:val="single" w:sz="4" w:space="0" w:color="auto"/>
              <w:left w:val="single" w:sz="4" w:space="0" w:color="auto"/>
              <w:bottom w:val="single" w:sz="4" w:space="0" w:color="auto"/>
              <w:right w:val="single" w:sz="4" w:space="0" w:color="auto"/>
            </w:tcBorders>
            <w:vAlign w:val="center"/>
          </w:tcPr>
          <w:p w14:paraId="65614A10" w14:textId="66F19DE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6647</w:t>
            </w:r>
          </w:p>
        </w:tc>
      </w:tr>
      <w:tr w:rsidR="00D5192C" w:rsidRPr="001F4DD0" w14:paraId="43CECD42" w14:textId="606329E4"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7F2CC549"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Goodness-of-fit on F</w:t>
            </w:r>
            <w:r w:rsidRPr="001F4DD0">
              <w:rPr>
                <w:rFonts w:ascii="Times New Roman" w:hAnsi="Times New Roman"/>
                <w:sz w:val="14"/>
                <w:szCs w:val="14"/>
                <w:vertAlign w:val="superscript"/>
                <w:lang w:val="en-AU"/>
              </w:rPr>
              <w:t>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3997C5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1.029</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243714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1.034</w:t>
            </w:r>
          </w:p>
        </w:tc>
        <w:tc>
          <w:tcPr>
            <w:tcW w:w="1929" w:type="dxa"/>
            <w:tcBorders>
              <w:top w:val="single" w:sz="4" w:space="0" w:color="auto"/>
              <w:left w:val="single" w:sz="4" w:space="0" w:color="auto"/>
              <w:bottom w:val="single" w:sz="4" w:space="0" w:color="auto"/>
              <w:right w:val="single" w:sz="4" w:space="0" w:color="auto"/>
            </w:tcBorders>
            <w:vAlign w:val="center"/>
          </w:tcPr>
          <w:p w14:paraId="43E94E2D" w14:textId="5A1CDAFC"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1.036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05D13F2" w14:textId="7BE9658A"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1.043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DD3076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0.988</w:t>
            </w:r>
          </w:p>
        </w:tc>
        <w:tc>
          <w:tcPr>
            <w:tcW w:w="1929" w:type="dxa"/>
            <w:tcBorders>
              <w:top w:val="single" w:sz="4" w:space="0" w:color="auto"/>
              <w:left w:val="single" w:sz="4" w:space="0" w:color="auto"/>
              <w:bottom w:val="single" w:sz="4" w:space="0" w:color="auto"/>
              <w:right w:val="single" w:sz="4" w:space="0" w:color="auto"/>
            </w:tcBorders>
            <w:vAlign w:val="center"/>
          </w:tcPr>
          <w:p w14:paraId="574B071D" w14:textId="14BFC6F5"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1.037</w:t>
            </w:r>
          </w:p>
        </w:tc>
      </w:tr>
      <w:tr w:rsidR="00D5192C" w:rsidRPr="001F4DD0" w14:paraId="7AA814BF" w14:textId="745CC3F7"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6FA53F94"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Final R indexes [I&gt;=2σ (I)]</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1851278"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 xml:space="preserve"> = 0.0464, wR</w:t>
            </w:r>
            <w:r w:rsidRPr="001F4DD0">
              <w:rPr>
                <w:rFonts w:ascii="Times New Roman" w:hAnsi="Times New Roman"/>
                <w:sz w:val="14"/>
                <w:szCs w:val="14"/>
                <w:vertAlign w:val="subscript"/>
                <w:lang w:val="en-AU"/>
              </w:rPr>
              <w:t>2</w:t>
            </w:r>
            <w:r w:rsidRPr="001F4DD0">
              <w:rPr>
                <w:rFonts w:ascii="Times New Roman" w:hAnsi="Times New Roman"/>
                <w:sz w:val="14"/>
                <w:szCs w:val="14"/>
                <w:lang w:val="en-AU"/>
              </w:rPr>
              <w:t xml:space="preserve"> = 0.1265</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9224941"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 xml:space="preserve"> = 0.0489, wR</w:t>
            </w:r>
            <w:r w:rsidRPr="001F4DD0">
              <w:rPr>
                <w:rFonts w:ascii="Times New Roman" w:hAnsi="Times New Roman"/>
                <w:sz w:val="14"/>
                <w:szCs w:val="14"/>
                <w:vertAlign w:val="subscript"/>
                <w:lang w:val="en-AU"/>
              </w:rPr>
              <w:t>2</w:t>
            </w:r>
            <w:r w:rsidRPr="001F4DD0">
              <w:rPr>
                <w:rFonts w:ascii="Times New Roman" w:hAnsi="Times New Roman"/>
                <w:sz w:val="14"/>
                <w:szCs w:val="14"/>
                <w:lang w:val="en-AU"/>
              </w:rPr>
              <w:t xml:space="preserve"> = 0.1325</w:t>
            </w:r>
          </w:p>
        </w:tc>
        <w:tc>
          <w:tcPr>
            <w:tcW w:w="1929" w:type="dxa"/>
            <w:tcBorders>
              <w:top w:val="single" w:sz="4" w:space="0" w:color="auto"/>
              <w:left w:val="single" w:sz="4" w:space="0" w:color="auto"/>
              <w:bottom w:val="single" w:sz="4" w:space="0" w:color="auto"/>
              <w:right w:val="single" w:sz="4" w:space="0" w:color="auto"/>
            </w:tcBorders>
            <w:vAlign w:val="center"/>
          </w:tcPr>
          <w:p w14:paraId="1DA5EC2E" w14:textId="2009DEE6"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R</w:t>
            </w:r>
            <w:r w:rsidRPr="001F4DD0">
              <w:rPr>
                <w:rFonts w:ascii="Times New Roman" w:hAnsi="Times New Roman"/>
                <w:color w:val="000000"/>
                <w:sz w:val="14"/>
                <w:szCs w:val="14"/>
                <w:vertAlign w:val="subscript"/>
              </w:rPr>
              <w:t>1</w:t>
            </w:r>
            <w:r w:rsidRPr="001F4DD0">
              <w:rPr>
                <w:rFonts w:ascii="Times New Roman" w:hAnsi="Times New Roman"/>
                <w:color w:val="000000"/>
                <w:sz w:val="14"/>
                <w:szCs w:val="14"/>
              </w:rPr>
              <w:t xml:space="preserve"> = 0.0444, wR</w:t>
            </w:r>
            <w:r w:rsidRPr="001F4DD0">
              <w:rPr>
                <w:rFonts w:ascii="Times New Roman" w:hAnsi="Times New Roman"/>
                <w:color w:val="000000"/>
                <w:sz w:val="14"/>
                <w:szCs w:val="14"/>
                <w:vertAlign w:val="subscript"/>
              </w:rPr>
              <w:t>2</w:t>
            </w:r>
            <w:r w:rsidRPr="001F4DD0">
              <w:rPr>
                <w:rFonts w:ascii="Times New Roman" w:hAnsi="Times New Roman"/>
                <w:color w:val="000000"/>
                <w:sz w:val="14"/>
                <w:szCs w:val="14"/>
              </w:rPr>
              <w:t xml:space="preserve"> = 0.1011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3611D48" w14:textId="6868F5AD"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 xml:space="preserve"> = 0.0795, wR</w:t>
            </w:r>
            <w:r w:rsidRPr="001F4DD0">
              <w:rPr>
                <w:rFonts w:ascii="Times New Roman" w:hAnsi="Times New Roman"/>
                <w:sz w:val="14"/>
                <w:szCs w:val="14"/>
                <w:vertAlign w:val="subscript"/>
                <w:lang w:val="en-AU"/>
              </w:rPr>
              <w:t>2</w:t>
            </w:r>
            <w:r w:rsidRPr="001F4DD0">
              <w:rPr>
                <w:rFonts w:ascii="Times New Roman" w:hAnsi="Times New Roman"/>
                <w:sz w:val="14"/>
                <w:szCs w:val="14"/>
                <w:lang w:val="en-AU"/>
              </w:rPr>
              <w:t xml:space="preserve"> = 0.2415</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FACFE65"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 xml:space="preserve"> = 0.0700, wR</w:t>
            </w:r>
            <w:r w:rsidRPr="001F4DD0">
              <w:rPr>
                <w:rFonts w:ascii="Times New Roman" w:hAnsi="Times New Roman"/>
                <w:sz w:val="14"/>
                <w:szCs w:val="14"/>
                <w:vertAlign w:val="subscript"/>
                <w:lang w:val="en-AU"/>
              </w:rPr>
              <w:t>2</w:t>
            </w:r>
            <w:r w:rsidRPr="001F4DD0">
              <w:rPr>
                <w:rFonts w:ascii="Times New Roman" w:hAnsi="Times New Roman"/>
                <w:sz w:val="14"/>
                <w:szCs w:val="14"/>
                <w:lang w:val="en-AU"/>
              </w:rPr>
              <w:t xml:space="preserve"> = 0.2148</w:t>
            </w:r>
          </w:p>
        </w:tc>
        <w:tc>
          <w:tcPr>
            <w:tcW w:w="1929" w:type="dxa"/>
            <w:tcBorders>
              <w:top w:val="single" w:sz="4" w:space="0" w:color="auto"/>
              <w:left w:val="single" w:sz="4" w:space="0" w:color="auto"/>
              <w:bottom w:val="single" w:sz="4" w:space="0" w:color="auto"/>
              <w:right w:val="single" w:sz="4" w:space="0" w:color="auto"/>
            </w:tcBorders>
            <w:vAlign w:val="center"/>
          </w:tcPr>
          <w:p w14:paraId="25D6D22B" w14:textId="6AC8E14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R</w:t>
            </w:r>
            <w:r w:rsidRPr="001F4DD0">
              <w:rPr>
                <w:rFonts w:ascii="Times New Roman" w:hAnsi="Times New Roman"/>
                <w:color w:val="000000"/>
                <w:sz w:val="14"/>
                <w:szCs w:val="14"/>
                <w:vertAlign w:val="subscript"/>
              </w:rPr>
              <w:t>1</w:t>
            </w:r>
            <w:r w:rsidRPr="001F4DD0">
              <w:rPr>
                <w:rFonts w:ascii="Times New Roman" w:hAnsi="Times New Roman"/>
                <w:color w:val="000000"/>
                <w:sz w:val="14"/>
                <w:szCs w:val="14"/>
              </w:rPr>
              <w:t xml:space="preserve"> = 0.0550, wR</w:t>
            </w:r>
            <w:r w:rsidRPr="001F4DD0">
              <w:rPr>
                <w:rFonts w:ascii="Times New Roman" w:hAnsi="Times New Roman"/>
                <w:color w:val="000000"/>
                <w:sz w:val="14"/>
                <w:szCs w:val="14"/>
                <w:vertAlign w:val="subscript"/>
              </w:rPr>
              <w:t>2</w:t>
            </w:r>
            <w:r w:rsidRPr="001F4DD0">
              <w:rPr>
                <w:rFonts w:ascii="Times New Roman" w:hAnsi="Times New Roman"/>
                <w:color w:val="000000"/>
                <w:sz w:val="14"/>
                <w:szCs w:val="14"/>
              </w:rPr>
              <w:t xml:space="preserve"> = 0.1415</w:t>
            </w:r>
          </w:p>
        </w:tc>
      </w:tr>
      <w:tr w:rsidR="00D5192C" w:rsidRPr="001F4DD0" w14:paraId="6D9F144D" w14:textId="3D4983C7"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1D30DC19"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Final R indexes [all data]</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6787688"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 xml:space="preserve"> = 0.0545, wR</w:t>
            </w:r>
            <w:r w:rsidRPr="001F4DD0">
              <w:rPr>
                <w:rFonts w:ascii="Times New Roman" w:hAnsi="Times New Roman"/>
                <w:sz w:val="14"/>
                <w:szCs w:val="14"/>
                <w:vertAlign w:val="subscript"/>
                <w:lang w:val="en-AU"/>
              </w:rPr>
              <w:t>2</w:t>
            </w:r>
            <w:r w:rsidRPr="001F4DD0">
              <w:rPr>
                <w:rFonts w:ascii="Times New Roman" w:hAnsi="Times New Roman"/>
                <w:sz w:val="14"/>
                <w:szCs w:val="14"/>
                <w:lang w:val="en-AU"/>
              </w:rPr>
              <w:t xml:space="preserve"> = 0.1342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6683C3E"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 xml:space="preserve"> = 0.0581, wR</w:t>
            </w:r>
            <w:r w:rsidRPr="001F4DD0">
              <w:rPr>
                <w:rFonts w:ascii="Times New Roman" w:hAnsi="Times New Roman"/>
                <w:sz w:val="14"/>
                <w:szCs w:val="14"/>
                <w:vertAlign w:val="subscript"/>
                <w:lang w:val="en-AU"/>
              </w:rPr>
              <w:t>2</w:t>
            </w:r>
            <w:r w:rsidRPr="001F4DD0">
              <w:rPr>
                <w:rFonts w:ascii="Times New Roman" w:hAnsi="Times New Roman"/>
                <w:sz w:val="14"/>
                <w:szCs w:val="14"/>
                <w:lang w:val="en-AU"/>
              </w:rPr>
              <w:t xml:space="preserve"> = 0.1404</w:t>
            </w:r>
          </w:p>
        </w:tc>
        <w:tc>
          <w:tcPr>
            <w:tcW w:w="1929" w:type="dxa"/>
            <w:tcBorders>
              <w:top w:val="single" w:sz="4" w:space="0" w:color="auto"/>
              <w:left w:val="single" w:sz="4" w:space="0" w:color="auto"/>
              <w:bottom w:val="single" w:sz="4" w:space="0" w:color="auto"/>
              <w:right w:val="single" w:sz="4" w:space="0" w:color="auto"/>
            </w:tcBorders>
            <w:vAlign w:val="center"/>
          </w:tcPr>
          <w:p w14:paraId="35AEB6D1" w14:textId="35B8DFDE"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R</w:t>
            </w:r>
            <w:r w:rsidRPr="001F4DD0">
              <w:rPr>
                <w:rFonts w:ascii="Times New Roman" w:hAnsi="Times New Roman"/>
                <w:color w:val="000000"/>
                <w:sz w:val="14"/>
                <w:szCs w:val="14"/>
                <w:vertAlign w:val="subscript"/>
              </w:rPr>
              <w:t>1</w:t>
            </w:r>
            <w:r w:rsidRPr="001F4DD0">
              <w:rPr>
                <w:rFonts w:ascii="Times New Roman" w:hAnsi="Times New Roman"/>
                <w:color w:val="000000"/>
                <w:sz w:val="14"/>
                <w:szCs w:val="14"/>
              </w:rPr>
              <w:t xml:space="preserve"> = 0.0708, wR</w:t>
            </w:r>
            <w:r w:rsidRPr="001F4DD0">
              <w:rPr>
                <w:rFonts w:ascii="Times New Roman" w:hAnsi="Times New Roman"/>
                <w:color w:val="000000"/>
                <w:sz w:val="14"/>
                <w:szCs w:val="14"/>
                <w:vertAlign w:val="subscript"/>
              </w:rPr>
              <w:t>2</w:t>
            </w:r>
            <w:r w:rsidRPr="001F4DD0">
              <w:rPr>
                <w:rFonts w:ascii="Times New Roman" w:hAnsi="Times New Roman"/>
                <w:color w:val="000000"/>
                <w:sz w:val="14"/>
                <w:szCs w:val="14"/>
              </w:rPr>
              <w:t xml:space="preserve"> = 0.1114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7DBBB50" w14:textId="01625DA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 xml:space="preserve"> = 0.0915, wR</w:t>
            </w:r>
            <w:r w:rsidRPr="001F4DD0">
              <w:rPr>
                <w:rFonts w:ascii="Times New Roman" w:hAnsi="Times New Roman"/>
                <w:sz w:val="14"/>
                <w:szCs w:val="14"/>
                <w:vertAlign w:val="subscript"/>
                <w:lang w:val="en-AU"/>
              </w:rPr>
              <w:t>2</w:t>
            </w:r>
            <w:r w:rsidRPr="001F4DD0">
              <w:rPr>
                <w:rFonts w:ascii="Times New Roman" w:hAnsi="Times New Roman"/>
                <w:sz w:val="14"/>
                <w:szCs w:val="14"/>
                <w:lang w:val="en-AU"/>
              </w:rPr>
              <w:t xml:space="preserve"> = 0.2591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73ADCD04"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R</w:t>
            </w:r>
            <w:r w:rsidRPr="001F4DD0">
              <w:rPr>
                <w:rFonts w:ascii="Times New Roman" w:hAnsi="Times New Roman"/>
                <w:sz w:val="14"/>
                <w:szCs w:val="14"/>
                <w:vertAlign w:val="subscript"/>
                <w:lang w:val="en-AU"/>
              </w:rPr>
              <w:t>1</w:t>
            </w:r>
            <w:r w:rsidRPr="001F4DD0">
              <w:rPr>
                <w:rFonts w:ascii="Times New Roman" w:hAnsi="Times New Roman"/>
                <w:sz w:val="14"/>
                <w:szCs w:val="14"/>
                <w:lang w:val="en-AU"/>
              </w:rPr>
              <w:t xml:space="preserve"> = 0.0886, wR</w:t>
            </w:r>
            <w:r w:rsidRPr="001F4DD0">
              <w:rPr>
                <w:rFonts w:ascii="Times New Roman" w:hAnsi="Times New Roman"/>
                <w:sz w:val="14"/>
                <w:szCs w:val="14"/>
                <w:vertAlign w:val="subscript"/>
                <w:lang w:val="en-AU"/>
              </w:rPr>
              <w:t>2</w:t>
            </w:r>
            <w:r w:rsidRPr="001F4DD0">
              <w:rPr>
                <w:rFonts w:ascii="Times New Roman" w:hAnsi="Times New Roman"/>
                <w:sz w:val="14"/>
                <w:szCs w:val="14"/>
                <w:lang w:val="en-AU"/>
              </w:rPr>
              <w:t xml:space="preserve"> = 0.2307</w:t>
            </w:r>
          </w:p>
        </w:tc>
        <w:tc>
          <w:tcPr>
            <w:tcW w:w="1929" w:type="dxa"/>
            <w:tcBorders>
              <w:top w:val="single" w:sz="4" w:space="0" w:color="auto"/>
              <w:left w:val="single" w:sz="4" w:space="0" w:color="auto"/>
              <w:bottom w:val="single" w:sz="4" w:space="0" w:color="auto"/>
              <w:right w:val="single" w:sz="4" w:space="0" w:color="auto"/>
            </w:tcBorders>
            <w:vAlign w:val="center"/>
          </w:tcPr>
          <w:p w14:paraId="4851400F" w14:textId="765E7002"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R</w:t>
            </w:r>
            <w:r w:rsidRPr="001F4DD0">
              <w:rPr>
                <w:rFonts w:ascii="Times New Roman" w:hAnsi="Times New Roman"/>
                <w:color w:val="000000"/>
                <w:sz w:val="14"/>
                <w:szCs w:val="14"/>
                <w:vertAlign w:val="subscript"/>
              </w:rPr>
              <w:t>1</w:t>
            </w:r>
            <w:r w:rsidRPr="001F4DD0">
              <w:rPr>
                <w:rFonts w:ascii="Times New Roman" w:hAnsi="Times New Roman"/>
                <w:color w:val="000000"/>
                <w:sz w:val="14"/>
                <w:szCs w:val="14"/>
              </w:rPr>
              <w:t xml:space="preserve"> = 0.0614, wR</w:t>
            </w:r>
            <w:r w:rsidRPr="001F4DD0">
              <w:rPr>
                <w:rFonts w:ascii="Times New Roman" w:hAnsi="Times New Roman"/>
                <w:color w:val="000000"/>
                <w:sz w:val="14"/>
                <w:szCs w:val="14"/>
                <w:vertAlign w:val="subscript"/>
              </w:rPr>
              <w:t>2</w:t>
            </w:r>
            <w:r w:rsidRPr="001F4DD0">
              <w:rPr>
                <w:rFonts w:ascii="Times New Roman" w:hAnsi="Times New Roman"/>
                <w:color w:val="000000"/>
                <w:sz w:val="14"/>
                <w:szCs w:val="14"/>
              </w:rPr>
              <w:t xml:space="preserve"> = 0.1458</w:t>
            </w:r>
          </w:p>
        </w:tc>
      </w:tr>
      <w:tr w:rsidR="00D5192C" w:rsidRPr="001F4DD0" w14:paraId="139BF854" w14:textId="70136653" w:rsidTr="00D5192C">
        <w:trPr>
          <w:trHeight w:val="20"/>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0ADAC5F0"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Largest diff. peak/hole / e Å</w:t>
            </w:r>
            <w:r w:rsidRPr="001F4DD0">
              <w:rPr>
                <w:rFonts w:ascii="Times New Roman" w:hAnsi="Times New Roman"/>
                <w:sz w:val="14"/>
                <w:szCs w:val="14"/>
                <w:vertAlign w:val="superscript"/>
                <w:lang w:val="en-AU"/>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5E8345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0.22/-0.25</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82C071B"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0.28/-0.22</w:t>
            </w:r>
          </w:p>
        </w:tc>
        <w:tc>
          <w:tcPr>
            <w:tcW w:w="1929" w:type="dxa"/>
            <w:tcBorders>
              <w:top w:val="single" w:sz="4" w:space="0" w:color="auto"/>
              <w:left w:val="single" w:sz="4" w:space="0" w:color="auto"/>
              <w:bottom w:val="single" w:sz="4" w:space="0" w:color="auto"/>
              <w:right w:val="single" w:sz="4" w:space="0" w:color="auto"/>
            </w:tcBorders>
            <w:vAlign w:val="center"/>
          </w:tcPr>
          <w:p w14:paraId="71FDE58C" w14:textId="107117FA"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0.36/-0.50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C195E12" w14:textId="0AA834CA"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1.63/-1.31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43A820D"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0.79/-0.57</w:t>
            </w:r>
          </w:p>
        </w:tc>
        <w:tc>
          <w:tcPr>
            <w:tcW w:w="1929" w:type="dxa"/>
            <w:tcBorders>
              <w:top w:val="single" w:sz="4" w:space="0" w:color="auto"/>
              <w:left w:val="single" w:sz="4" w:space="0" w:color="auto"/>
              <w:bottom w:val="single" w:sz="4" w:space="0" w:color="auto"/>
              <w:right w:val="single" w:sz="4" w:space="0" w:color="auto"/>
            </w:tcBorders>
            <w:vAlign w:val="center"/>
          </w:tcPr>
          <w:p w14:paraId="3349670E" w14:textId="20F22A7C"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color w:val="000000"/>
                <w:sz w:val="14"/>
                <w:szCs w:val="14"/>
              </w:rPr>
              <w:t>0.58/-0.73</w:t>
            </w:r>
          </w:p>
        </w:tc>
      </w:tr>
      <w:tr w:rsidR="00D5192C" w:rsidRPr="00004BC7" w14:paraId="2ACE0EF6" w14:textId="220342F4" w:rsidTr="00004BC7">
        <w:trPr>
          <w:trHeight w:val="118"/>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14:paraId="61926C8E"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CCDC No.</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95B6CB6"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1818940</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36655E3"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1818941</w:t>
            </w:r>
          </w:p>
        </w:tc>
        <w:tc>
          <w:tcPr>
            <w:tcW w:w="1929" w:type="dxa"/>
            <w:tcBorders>
              <w:top w:val="single" w:sz="4" w:space="0" w:color="auto"/>
              <w:left w:val="single" w:sz="4" w:space="0" w:color="auto"/>
              <w:bottom w:val="single" w:sz="4" w:space="0" w:color="auto"/>
              <w:right w:val="single" w:sz="4" w:space="0" w:color="auto"/>
            </w:tcBorders>
            <w:vAlign w:val="center"/>
          </w:tcPr>
          <w:p w14:paraId="4E415D13" w14:textId="6A5F0F73" w:rsidR="00D5192C" w:rsidRPr="001F4DD0" w:rsidRDefault="00004BC7"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1840309</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7F9C227" w14:textId="345C2698"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1818942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39A2017" w14:textId="77777777" w:rsidR="00D5192C" w:rsidRPr="001F4DD0" w:rsidRDefault="00D5192C"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1818943</w:t>
            </w:r>
          </w:p>
        </w:tc>
        <w:tc>
          <w:tcPr>
            <w:tcW w:w="1929" w:type="dxa"/>
            <w:tcBorders>
              <w:top w:val="single" w:sz="4" w:space="0" w:color="auto"/>
              <w:left w:val="single" w:sz="4" w:space="0" w:color="auto"/>
              <w:bottom w:val="single" w:sz="4" w:space="0" w:color="auto"/>
              <w:right w:val="single" w:sz="4" w:space="0" w:color="auto"/>
            </w:tcBorders>
            <w:vAlign w:val="center"/>
          </w:tcPr>
          <w:p w14:paraId="722C4D53" w14:textId="2A8DD82C" w:rsidR="00D5192C" w:rsidRPr="00004BC7" w:rsidRDefault="00004BC7" w:rsidP="00D5192C">
            <w:pPr>
              <w:pStyle w:val="TCTableBody"/>
              <w:jc w:val="center"/>
              <w:rPr>
                <w:rFonts w:ascii="Times New Roman" w:hAnsi="Times New Roman"/>
                <w:sz w:val="14"/>
                <w:szCs w:val="14"/>
                <w:lang w:val="en-AU"/>
              </w:rPr>
            </w:pPr>
            <w:r w:rsidRPr="001F4DD0">
              <w:rPr>
                <w:rFonts w:ascii="Times New Roman" w:hAnsi="Times New Roman"/>
                <w:sz w:val="14"/>
                <w:szCs w:val="14"/>
                <w:lang w:val="en-AU"/>
              </w:rPr>
              <w:t>1840308</w:t>
            </w:r>
          </w:p>
        </w:tc>
      </w:tr>
    </w:tbl>
    <w:p w14:paraId="3FA62505" w14:textId="49E75D97" w:rsidR="00D5192C" w:rsidRDefault="00D5192C">
      <w:pPr>
        <w:rPr>
          <w:rFonts w:cs="Times New Roman"/>
          <w:w w:val="105"/>
          <w:sz w:val="18"/>
          <w:szCs w:val="18"/>
        </w:rPr>
      </w:pPr>
    </w:p>
    <w:p w14:paraId="2ECD8085" w14:textId="77777777" w:rsidR="00D5192C" w:rsidRPr="00241ACD" w:rsidRDefault="00D5192C" w:rsidP="0026286A">
      <w:pPr>
        <w:pStyle w:val="RSCR02References"/>
        <w:numPr>
          <w:ilvl w:val="0"/>
          <w:numId w:val="0"/>
        </w:numPr>
        <w:ind w:left="284"/>
      </w:pPr>
    </w:p>
    <w:sectPr w:rsidR="00D5192C" w:rsidRPr="00241ACD" w:rsidSect="00D5192C">
      <w:pgSz w:w="16840" w:h="11907" w:orient="landscape" w:code="9"/>
      <w:pgMar w:top="851" w:right="1009" w:bottom="851" w:left="1758" w:header="851" w:footer="104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E2757" w14:textId="77777777" w:rsidR="004A78B7" w:rsidRDefault="004A78B7" w:rsidP="00E547DB">
      <w:pPr>
        <w:spacing w:after="0" w:line="240" w:lineRule="auto"/>
      </w:pPr>
      <w:r>
        <w:separator/>
      </w:r>
    </w:p>
    <w:p w14:paraId="4D682CCA" w14:textId="77777777" w:rsidR="004A78B7" w:rsidRDefault="004A78B7"/>
    <w:p w14:paraId="308B28B6" w14:textId="77777777" w:rsidR="004A78B7" w:rsidRDefault="004A78B7"/>
    <w:p w14:paraId="65A59419" w14:textId="77777777" w:rsidR="004A78B7" w:rsidRDefault="004A78B7"/>
    <w:p w14:paraId="1C2F75F3" w14:textId="77777777" w:rsidR="004A78B7" w:rsidRDefault="004A78B7"/>
    <w:p w14:paraId="63CCB036" w14:textId="77777777" w:rsidR="004A78B7" w:rsidRDefault="004A78B7"/>
  </w:endnote>
  <w:endnote w:type="continuationSeparator" w:id="0">
    <w:p w14:paraId="57C70FEF" w14:textId="77777777" w:rsidR="004A78B7" w:rsidRDefault="004A78B7" w:rsidP="00E547DB">
      <w:pPr>
        <w:spacing w:after="0" w:line="240" w:lineRule="auto"/>
      </w:pPr>
      <w:r>
        <w:continuationSeparator/>
      </w:r>
    </w:p>
    <w:p w14:paraId="0ABB1C9E" w14:textId="77777777" w:rsidR="004A78B7" w:rsidRDefault="004A78B7"/>
    <w:p w14:paraId="4745963D" w14:textId="77777777" w:rsidR="004A78B7" w:rsidRDefault="004A78B7"/>
    <w:p w14:paraId="53A18EE1" w14:textId="77777777" w:rsidR="004A78B7" w:rsidRDefault="004A78B7"/>
    <w:p w14:paraId="77F33D14" w14:textId="77777777" w:rsidR="004A78B7" w:rsidRDefault="004A78B7"/>
    <w:p w14:paraId="497B2552" w14:textId="77777777" w:rsidR="004A78B7" w:rsidRDefault="004A7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8479F1A-843B-4392-8DE2-AF9E2D2B3747}"/>
    <w:embedBold r:id="rId2" w:fontKey="{FD31FBA7-960E-43F3-8D26-25BABB7FB8A0}"/>
    <w:embedItalic r:id="rId3" w:fontKey="{8F9E5A4F-4F1A-4088-B5EF-3B876A8860EF}"/>
    <w:embedBoldItalic r:id="rId4" w:fontKey="{57B0D4B6-F4A7-423C-8F11-168030AECF9A}"/>
  </w:font>
  <w:font w:name="Tahoma">
    <w:panose1 w:val="020B0604030504040204"/>
    <w:charset w:val="00"/>
    <w:family w:val="swiss"/>
    <w:pitch w:val="variable"/>
    <w:sig w:usb0="E1002EFF" w:usb1="C000605B" w:usb2="00000029" w:usb3="00000000" w:csb0="000101FF" w:csb1="00000000"/>
    <w:embedRegular r:id="rId5" w:fontKey="{17E99716-E6D8-4935-8A01-18830D6EADC9}"/>
  </w:font>
  <w:font w:name="Times">
    <w:altName w:val="Times New Roman"/>
    <w:panose1 w:val="02020603050405020304"/>
    <w:charset w:val="00"/>
    <w:family w:val="roman"/>
    <w:pitch w:val="variable"/>
    <w:sig w:usb0="E0002AFF" w:usb1="C0007841" w:usb2="00000009" w:usb3="00000000" w:csb0="000001FF" w:csb1="00000000"/>
    <w:embedRegular r:id="rId6" w:fontKey="{FB79CBCD-E471-4483-9818-DE8FE7C5FF59}"/>
    <w:embedBold r:id="rId7" w:fontKey="{2DBE4591-D4AC-4B34-8C30-716DCBC86D93}"/>
  </w:font>
  <w:font w:name="Cambria Math">
    <w:panose1 w:val="02040503050406030204"/>
    <w:charset w:val="00"/>
    <w:family w:val="roman"/>
    <w:pitch w:val="variable"/>
    <w:sig w:usb0="E00002FF" w:usb1="420024FF" w:usb2="00000000" w:usb3="00000000" w:csb0="0000019F" w:csb1="00000000"/>
    <w:embedRegular r:id="rId8" w:fontKey="{8C2924C6-5C2A-424F-A5FB-2C506A78A65F}"/>
  </w:font>
  <w:font w:name="High Tower Text">
    <w:panose1 w:val="02040502050506030303"/>
    <w:charset w:val="00"/>
    <w:family w:val="roman"/>
    <w:pitch w:val="variable"/>
    <w:sig w:usb0="00000003" w:usb1="00000000" w:usb2="00000000" w:usb3="00000000" w:csb0="00000001" w:csb1="00000000"/>
    <w:embedRegular r:id="rId9" w:fontKey="{F4C20C8C-9839-4262-908E-2576B537C689}"/>
  </w:font>
  <w:font w:name="Cambria">
    <w:panose1 w:val="02040503050406030204"/>
    <w:charset w:val="00"/>
    <w:family w:val="roman"/>
    <w:pitch w:val="variable"/>
    <w:sig w:usb0="E00002FF" w:usb1="400004FF" w:usb2="00000000" w:usb3="00000000" w:csb0="0000019F" w:csb1="00000000"/>
    <w:embedRegular r:id="rId10" w:fontKey="{7B3D7CEA-BB12-4FC4-BFB8-E994E7BD7A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86DAE" w14:textId="13E3C3C4" w:rsidR="00752372" w:rsidRPr="006602F1" w:rsidRDefault="0075237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1F4DD0">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E11D6" w14:textId="5618B826" w:rsidR="00752372" w:rsidRPr="006602F1" w:rsidRDefault="0075237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F4DD0">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DBD86" w14:textId="1F163F24" w:rsidR="00752372" w:rsidRPr="006602F1" w:rsidRDefault="0075237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BE9683B" wp14:editId="345077C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45B9EB7" w14:textId="77777777" w:rsidR="00752372" w:rsidRPr="00F20A7C" w:rsidRDefault="0075237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E9683B"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45B9EB7" w14:textId="77777777" w:rsidR="00752372" w:rsidRPr="00F20A7C" w:rsidRDefault="0075237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F4DD0">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FD91F" w14:textId="77777777" w:rsidR="004A78B7" w:rsidRDefault="004A78B7" w:rsidP="00E547DB">
      <w:pPr>
        <w:spacing w:after="0" w:line="240" w:lineRule="auto"/>
      </w:pPr>
      <w:r>
        <w:separator/>
      </w:r>
    </w:p>
    <w:p w14:paraId="4FC970DF" w14:textId="77777777" w:rsidR="004A78B7" w:rsidRDefault="004A78B7"/>
    <w:p w14:paraId="7DFC0974" w14:textId="77777777" w:rsidR="004A78B7" w:rsidRDefault="004A78B7"/>
    <w:p w14:paraId="49039D4D" w14:textId="77777777" w:rsidR="004A78B7" w:rsidRDefault="004A78B7"/>
    <w:p w14:paraId="2AB67E0C" w14:textId="77777777" w:rsidR="004A78B7" w:rsidRDefault="004A78B7"/>
    <w:p w14:paraId="360E5B7E" w14:textId="77777777" w:rsidR="004A78B7" w:rsidRDefault="004A78B7"/>
  </w:footnote>
  <w:footnote w:type="continuationSeparator" w:id="0">
    <w:p w14:paraId="16BFEA4D" w14:textId="77777777" w:rsidR="004A78B7" w:rsidRDefault="004A78B7" w:rsidP="00E547DB">
      <w:pPr>
        <w:spacing w:after="0" w:line="240" w:lineRule="auto"/>
      </w:pPr>
      <w:r>
        <w:continuationSeparator/>
      </w:r>
    </w:p>
    <w:p w14:paraId="5B8C5361" w14:textId="77777777" w:rsidR="004A78B7" w:rsidRDefault="004A78B7"/>
    <w:p w14:paraId="31678E0D" w14:textId="77777777" w:rsidR="004A78B7" w:rsidRDefault="004A78B7"/>
    <w:p w14:paraId="6CC14C15" w14:textId="77777777" w:rsidR="004A78B7" w:rsidRDefault="004A78B7"/>
    <w:p w14:paraId="4E90A6C8" w14:textId="77777777" w:rsidR="004A78B7" w:rsidRDefault="004A78B7"/>
    <w:p w14:paraId="1E5B28E4" w14:textId="77777777" w:rsidR="004A78B7" w:rsidRDefault="004A78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043DA" w14:textId="77777777" w:rsidR="00752372" w:rsidRPr="00E70DCE" w:rsidRDefault="0075237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8C70A40" wp14:editId="26E0E682">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56DA24D"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C70A4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56DA24D"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CF7D7FB" wp14:editId="6B2567F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4007F61"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F7D7FB"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4007F61"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8011A" w14:textId="77777777" w:rsidR="00752372" w:rsidRPr="009316A6" w:rsidRDefault="0075237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5132A68" wp14:editId="1B4E9500">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98D8B69"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132A68"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298D8B69"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0B6E3D6" wp14:editId="734F637A">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61DDF9E"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B6E3D6"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061DDF9E"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CC37" w14:textId="77777777" w:rsidR="00752372" w:rsidRDefault="0075237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47A83E40" wp14:editId="1C68EBB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71038D4"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A83E4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171038D4" w14:textId="77777777" w:rsidR="00752372" w:rsidRPr="00F20A7C" w:rsidRDefault="007523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002712B0" wp14:editId="7604A98C">
          <wp:extent cx="972312" cy="649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28581BFE" w14:textId="77777777" w:rsidR="00752372" w:rsidRPr="00180ABE" w:rsidRDefault="0075237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4BC7"/>
    <w:rsid w:val="00004ED0"/>
    <w:rsid w:val="00005B8A"/>
    <w:rsid w:val="00015222"/>
    <w:rsid w:val="00022D8A"/>
    <w:rsid w:val="0003744F"/>
    <w:rsid w:val="00057BB2"/>
    <w:rsid w:val="000622D1"/>
    <w:rsid w:val="00071E41"/>
    <w:rsid w:val="00073639"/>
    <w:rsid w:val="000803E3"/>
    <w:rsid w:val="000A2670"/>
    <w:rsid w:val="000C0A9D"/>
    <w:rsid w:val="000C4CFE"/>
    <w:rsid w:val="000D2325"/>
    <w:rsid w:val="000D2FAC"/>
    <w:rsid w:val="000D5891"/>
    <w:rsid w:val="000D6963"/>
    <w:rsid w:val="000E7A32"/>
    <w:rsid w:val="000F0959"/>
    <w:rsid w:val="000F3A41"/>
    <w:rsid w:val="00120227"/>
    <w:rsid w:val="00125744"/>
    <w:rsid w:val="00126027"/>
    <w:rsid w:val="001464C8"/>
    <w:rsid w:val="00146722"/>
    <w:rsid w:val="001508E9"/>
    <w:rsid w:val="001633D9"/>
    <w:rsid w:val="001651A7"/>
    <w:rsid w:val="00180ABE"/>
    <w:rsid w:val="001923AB"/>
    <w:rsid w:val="001A63E9"/>
    <w:rsid w:val="001C1EB8"/>
    <w:rsid w:val="001C3BD5"/>
    <w:rsid w:val="001F4DD0"/>
    <w:rsid w:val="00206A82"/>
    <w:rsid w:val="00214BEC"/>
    <w:rsid w:val="0022761D"/>
    <w:rsid w:val="00234B9A"/>
    <w:rsid w:val="00237C8A"/>
    <w:rsid w:val="0024022C"/>
    <w:rsid w:val="00241ACD"/>
    <w:rsid w:val="00253551"/>
    <w:rsid w:val="0026286A"/>
    <w:rsid w:val="00270DD5"/>
    <w:rsid w:val="00271235"/>
    <w:rsid w:val="00272D6F"/>
    <w:rsid w:val="00273594"/>
    <w:rsid w:val="002A1271"/>
    <w:rsid w:val="002A5421"/>
    <w:rsid w:val="002C0803"/>
    <w:rsid w:val="002C251C"/>
    <w:rsid w:val="002C3D7C"/>
    <w:rsid w:val="002E5B1D"/>
    <w:rsid w:val="002F52C3"/>
    <w:rsid w:val="003361F2"/>
    <w:rsid w:val="00352029"/>
    <w:rsid w:val="00352AA4"/>
    <w:rsid w:val="00354579"/>
    <w:rsid w:val="00356F00"/>
    <w:rsid w:val="00377481"/>
    <w:rsid w:val="00385965"/>
    <w:rsid w:val="003A7E95"/>
    <w:rsid w:val="003B739C"/>
    <w:rsid w:val="003C6313"/>
    <w:rsid w:val="003D4ECA"/>
    <w:rsid w:val="003D6715"/>
    <w:rsid w:val="003E55B2"/>
    <w:rsid w:val="003F1547"/>
    <w:rsid w:val="0043180D"/>
    <w:rsid w:val="004414A5"/>
    <w:rsid w:val="004437A3"/>
    <w:rsid w:val="0044700B"/>
    <w:rsid w:val="00467171"/>
    <w:rsid w:val="00467C80"/>
    <w:rsid w:val="00474052"/>
    <w:rsid w:val="00487605"/>
    <w:rsid w:val="004877C8"/>
    <w:rsid w:val="004901D3"/>
    <w:rsid w:val="004A78B7"/>
    <w:rsid w:val="004B5EA4"/>
    <w:rsid w:val="004C1580"/>
    <w:rsid w:val="004C531E"/>
    <w:rsid w:val="004C6C90"/>
    <w:rsid w:val="004D5999"/>
    <w:rsid w:val="004E00D3"/>
    <w:rsid w:val="004F3418"/>
    <w:rsid w:val="005037CD"/>
    <w:rsid w:val="00504795"/>
    <w:rsid w:val="00514CBA"/>
    <w:rsid w:val="0052630A"/>
    <w:rsid w:val="005313F5"/>
    <w:rsid w:val="0053177A"/>
    <w:rsid w:val="00533EA1"/>
    <w:rsid w:val="005771C3"/>
    <w:rsid w:val="00577B54"/>
    <w:rsid w:val="00581EF2"/>
    <w:rsid w:val="00590F6D"/>
    <w:rsid w:val="005A5A6D"/>
    <w:rsid w:val="005A5ED7"/>
    <w:rsid w:val="005C1A41"/>
    <w:rsid w:val="005C4565"/>
    <w:rsid w:val="005D0E23"/>
    <w:rsid w:val="005E05CD"/>
    <w:rsid w:val="0061572F"/>
    <w:rsid w:val="00621D14"/>
    <w:rsid w:val="0062609D"/>
    <w:rsid w:val="00631441"/>
    <w:rsid w:val="00641030"/>
    <w:rsid w:val="00645D52"/>
    <w:rsid w:val="0065133B"/>
    <w:rsid w:val="00653B12"/>
    <w:rsid w:val="006556AC"/>
    <w:rsid w:val="006602F1"/>
    <w:rsid w:val="00670ED4"/>
    <w:rsid w:val="00672928"/>
    <w:rsid w:val="00674A86"/>
    <w:rsid w:val="00680D91"/>
    <w:rsid w:val="00690F5F"/>
    <w:rsid w:val="00696448"/>
    <w:rsid w:val="006A69C8"/>
    <w:rsid w:val="006B7FE3"/>
    <w:rsid w:val="006C6D01"/>
    <w:rsid w:val="006D14BD"/>
    <w:rsid w:val="006D20BE"/>
    <w:rsid w:val="006D4748"/>
    <w:rsid w:val="006D6163"/>
    <w:rsid w:val="006E433F"/>
    <w:rsid w:val="006E58B1"/>
    <w:rsid w:val="006F01C4"/>
    <w:rsid w:val="006F32BE"/>
    <w:rsid w:val="006F487B"/>
    <w:rsid w:val="006F740B"/>
    <w:rsid w:val="00700344"/>
    <w:rsid w:val="007012B2"/>
    <w:rsid w:val="007268FF"/>
    <w:rsid w:val="00742752"/>
    <w:rsid w:val="00744A41"/>
    <w:rsid w:val="00752372"/>
    <w:rsid w:val="00777101"/>
    <w:rsid w:val="00780A41"/>
    <w:rsid w:val="00794787"/>
    <w:rsid w:val="007A23C4"/>
    <w:rsid w:val="007A37D8"/>
    <w:rsid w:val="007C3D03"/>
    <w:rsid w:val="007D1EFA"/>
    <w:rsid w:val="007D5FE4"/>
    <w:rsid w:val="00806F63"/>
    <w:rsid w:val="008125A0"/>
    <w:rsid w:val="00816776"/>
    <w:rsid w:val="00855A29"/>
    <w:rsid w:val="008560DE"/>
    <w:rsid w:val="00857024"/>
    <w:rsid w:val="0088525A"/>
    <w:rsid w:val="008A0B86"/>
    <w:rsid w:val="008A0D60"/>
    <w:rsid w:val="008A22B0"/>
    <w:rsid w:val="008C1387"/>
    <w:rsid w:val="008C5A8F"/>
    <w:rsid w:val="008C682F"/>
    <w:rsid w:val="008D274D"/>
    <w:rsid w:val="008E509B"/>
    <w:rsid w:val="008F4811"/>
    <w:rsid w:val="008F525A"/>
    <w:rsid w:val="009026D4"/>
    <w:rsid w:val="009109BA"/>
    <w:rsid w:val="0092763E"/>
    <w:rsid w:val="009316A6"/>
    <w:rsid w:val="00936114"/>
    <w:rsid w:val="009400E9"/>
    <w:rsid w:val="00946830"/>
    <w:rsid w:val="00962779"/>
    <w:rsid w:val="009654EC"/>
    <w:rsid w:val="00976856"/>
    <w:rsid w:val="009918D9"/>
    <w:rsid w:val="009A392D"/>
    <w:rsid w:val="009B3C26"/>
    <w:rsid w:val="009D17C3"/>
    <w:rsid w:val="009D47C2"/>
    <w:rsid w:val="009E51F8"/>
    <w:rsid w:val="009F0839"/>
    <w:rsid w:val="009F2649"/>
    <w:rsid w:val="009F6E6D"/>
    <w:rsid w:val="00A02848"/>
    <w:rsid w:val="00A05364"/>
    <w:rsid w:val="00A06328"/>
    <w:rsid w:val="00A074D7"/>
    <w:rsid w:val="00A17D1F"/>
    <w:rsid w:val="00A17D23"/>
    <w:rsid w:val="00A208E1"/>
    <w:rsid w:val="00A23284"/>
    <w:rsid w:val="00A412A1"/>
    <w:rsid w:val="00A521AB"/>
    <w:rsid w:val="00A56CD0"/>
    <w:rsid w:val="00A6114C"/>
    <w:rsid w:val="00A61D3E"/>
    <w:rsid w:val="00A7643E"/>
    <w:rsid w:val="00A9649E"/>
    <w:rsid w:val="00AA1341"/>
    <w:rsid w:val="00AB16D0"/>
    <w:rsid w:val="00AB2C1B"/>
    <w:rsid w:val="00AB3FBF"/>
    <w:rsid w:val="00AC3BF2"/>
    <w:rsid w:val="00AD5483"/>
    <w:rsid w:val="00AF0249"/>
    <w:rsid w:val="00AF150F"/>
    <w:rsid w:val="00AF4737"/>
    <w:rsid w:val="00B003D4"/>
    <w:rsid w:val="00B0470A"/>
    <w:rsid w:val="00B129EF"/>
    <w:rsid w:val="00B169A6"/>
    <w:rsid w:val="00B2364D"/>
    <w:rsid w:val="00B53582"/>
    <w:rsid w:val="00B6239D"/>
    <w:rsid w:val="00B67630"/>
    <w:rsid w:val="00B70B18"/>
    <w:rsid w:val="00B722DE"/>
    <w:rsid w:val="00B80DDB"/>
    <w:rsid w:val="00B81EE1"/>
    <w:rsid w:val="00B9392D"/>
    <w:rsid w:val="00BA761E"/>
    <w:rsid w:val="00BB3FBE"/>
    <w:rsid w:val="00BC3894"/>
    <w:rsid w:val="00BC603D"/>
    <w:rsid w:val="00C03CE1"/>
    <w:rsid w:val="00C26E49"/>
    <w:rsid w:val="00C3016F"/>
    <w:rsid w:val="00C31922"/>
    <w:rsid w:val="00C32EDF"/>
    <w:rsid w:val="00C405FD"/>
    <w:rsid w:val="00C42573"/>
    <w:rsid w:val="00C5024A"/>
    <w:rsid w:val="00C54512"/>
    <w:rsid w:val="00C57107"/>
    <w:rsid w:val="00C62C2D"/>
    <w:rsid w:val="00C71D44"/>
    <w:rsid w:val="00C9227C"/>
    <w:rsid w:val="00C9557D"/>
    <w:rsid w:val="00CA2740"/>
    <w:rsid w:val="00CA7B51"/>
    <w:rsid w:val="00CC12E6"/>
    <w:rsid w:val="00CC266D"/>
    <w:rsid w:val="00CC2E25"/>
    <w:rsid w:val="00CC7C64"/>
    <w:rsid w:val="00CD0B47"/>
    <w:rsid w:val="00CE4C2B"/>
    <w:rsid w:val="00CF5F1A"/>
    <w:rsid w:val="00D010E8"/>
    <w:rsid w:val="00D02C04"/>
    <w:rsid w:val="00D138E8"/>
    <w:rsid w:val="00D14182"/>
    <w:rsid w:val="00D17467"/>
    <w:rsid w:val="00D20259"/>
    <w:rsid w:val="00D208BA"/>
    <w:rsid w:val="00D21668"/>
    <w:rsid w:val="00D216BC"/>
    <w:rsid w:val="00D42F8F"/>
    <w:rsid w:val="00D45ADF"/>
    <w:rsid w:val="00D5192C"/>
    <w:rsid w:val="00D7601B"/>
    <w:rsid w:val="00D84031"/>
    <w:rsid w:val="00DA07F1"/>
    <w:rsid w:val="00DB0B3C"/>
    <w:rsid w:val="00DC10A7"/>
    <w:rsid w:val="00DC19DC"/>
    <w:rsid w:val="00DC5EC3"/>
    <w:rsid w:val="00DD06F4"/>
    <w:rsid w:val="00DD4C92"/>
    <w:rsid w:val="00DD500F"/>
    <w:rsid w:val="00DF53E4"/>
    <w:rsid w:val="00E2136E"/>
    <w:rsid w:val="00E24F21"/>
    <w:rsid w:val="00E25AF8"/>
    <w:rsid w:val="00E304FA"/>
    <w:rsid w:val="00E31A6A"/>
    <w:rsid w:val="00E46BDF"/>
    <w:rsid w:val="00E547DB"/>
    <w:rsid w:val="00E555BF"/>
    <w:rsid w:val="00E56B9D"/>
    <w:rsid w:val="00E61949"/>
    <w:rsid w:val="00E64400"/>
    <w:rsid w:val="00E66884"/>
    <w:rsid w:val="00E70DCE"/>
    <w:rsid w:val="00E730C8"/>
    <w:rsid w:val="00E866E7"/>
    <w:rsid w:val="00E90EEF"/>
    <w:rsid w:val="00E95B42"/>
    <w:rsid w:val="00EA446A"/>
    <w:rsid w:val="00EA7DC1"/>
    <w:rsid w:val="00EB5BA2"/>
    <w:rsid w:val="00EB5C28"/>
    <w:rsid w:val="00ED30E5"/>
    <w:rsid w:val="00EE3AFB"/>
    <w:rsid w:val="00EF0D19"/>
    <w:rsid w:val="00EF1577"/>
    <w:rsid w:val="00EF6BD4"/>
    <w:rsid w:val="00F05C18"/>
    <w:rsid w:val="00F157DD"/>
    <w:rsid w:val="00F15F90"/>
    <w:rsid w:val="00F16CCE"/>
    <w:rsid w:val="00F21465"/>
    <w:rsid w:val="00F44A39"/>
    <w:rsid w:val="00F6065C"/>
    <w:rsid w:val="00F61EB1"/>
    <w:rsid w:val="00F62C8B"/>
    <w:rsid w:val="00F802D4"/>
    <w:rsid w:val="00F91982"/>
    <w:rsid w:val="00FA2DA2"/>
    <w:rsid w:val="00FA311A"/>
    <w:rsid w:val="00FB08F8"/>
    <w:rsid w:val="00FB16A8"/>
    <w:rsid w:val="00FC08E9"/>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904D8"/>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customStyle="1" w:styleId="listitem-data">
    <w:name w:val="list__item-data"/>
    <w:basedOn w:val="DefaultParagraphFont"/>
    <w:rsid w:val="004C1580"/>
  </w:style>
  <w:style w:type="paragraph" w:customStyle="1" w:styleId="TAMainText">
    <w:name w:val="TA_Main_Text"/>
    <w:basedOn w:val="Normal"/>
    <w:rsid w:val="00D5192C"/>
    <w:pPr>
      <w:spacing w:after="0" w:line="480" w:lineRule="auto"/>
      <w:ind w:firstLine="202"/>
      <w:jc w:val="both"/>
    </w:pPr>
    <w:rPr>
      <w:rFonts w:ascii="Times" w:eastAsia="Times New Roman" w:hAnsi="Times" w:cs="Times New Roman"/>
      <w:sz w:val="24"/>
      <w:szCs w:val="20"/>
      <w:lang w:val="en-US"/>
    </w:rPr>
  </w:style>
  <w:style w:type="paragraph" w:customStyle="1" w:styleId="TCTableBody">
    <w:name w:val="TC_Table_Body"/>
    <w:basedOn w:val="Normal"/>
    <w:rsid w:val="00D5192C"/>
    <w:pPr>
      <w:spacing w:line="240" w:lineRule="auto"/>
      <w:jc w:val="both"/>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2461069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60823784">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46382906">
      <w:bodyDiv w:val="1"/>
      <w:marLeft w:val="0"/>
      <w:marRight w:val="0"/>
      <w:marTop w:val="0"/>
      <w:marBottom w:val="0"/>
      <w:divBdr>
        <w:top w:val="none" w:sz="0" w:space="0" w:color="auto"/>
        <w:left w:val="none" w:sz="0" w:space="0" w:color="auto"/>
        <w:bottom w:val="none" w:sz="0" w:space="0" w:color="auto"/>
        <w:right w:val="none" w:sz="0" w:space="0" w:color="auto"/>
      </w:divBdr>
    </w:div>
    <w:div w:id="1329091701">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image" Target="media/image10.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13CEA-8AA6-4D5C-B96E-BB9027F2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7987</Words>
  <Characters>45531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790OEM</cp:lastModifiedBy>
  <cp:revision>9</cp:revision>
  <cp:lastPrinted>2014-10-09T15:34:00Z</cp:lastPrinted>
  <dcterms:created xsi:type="dcterms:W3CDTF">2018-05-03T12:10:00Z</dcterms:created>
  <dcterms:modified xsi:type="dcterms:W3CDTF">2018-07-05T07:44:00Z</dcterms:modified>
</cp:coreProperties>
</file>