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02AC" w:rsidRPr="00F82E89" w:rsidRDefault="00F002AC" w:rsidP="00F002AC">
      <w:pPr>
        <w:pStyle w:val="Title"/>
        <w:spacing w:line="480" w:lineRule="auto"/>
        <w:jc w:val="center"/>
      </w:pPr>
      <w:r w:rsidRPr="00F82E89">
        <w:t xml:space="preserve">Depositional conditioning of </w:t>
      </w:r>
      <w:r w:rsidR="00386DAE">
        <w:t>three dimensional</w:t>
      </w:r>
      <w:r w:rsidR="0037403E">
        <w:t xml:space="preserve"> </w:t>
      </w:r>
      <w:r w:rsidRPr="00F82E89">
        <w:t>training images</w:t>
      </w:r>
      <w:r w:rsidR="00E50C6B" w:rsidRPr="00F82E89">
        <w:t>:</w:t>
      </w:r>
      <w:r w:rsidRPr="00F82E89">
        <w:t xml:space="preserve"> </w:t>
      </w:r>
      <w:r w:rsidR="00E50C6B" w:rsidRPr="00F82E89">
        <w:t>improving the reproduction</w:t>
      </w:r>
      <w:r w:rsidRPr="00F82E89">
        <w:t xml:space="preserve"> and </w:t>
      </w:r>
      <w:r w:rsidR="00E50C6B" w:rsidRPr="00F82E89">
        <w:t>representation of architectural elements in sand-dominated fluvial</w:t>
      </w:r>
      <w:r w:rsidRPr="00F82E89">
        <w:t xml:space="preserve"> reservoir models</w:t>
      </w:r>
      <w:r w:rsidR="00E50C6B" w:rsidRPr="00F82E89">
        <w:t>.</w:t>
      </w:r>
    </w:p>
    <w:p w:rsidR="00F002AC" w:rsidRPr="00F82E89" w:rsidRDefault="00F002AC" w:rsidP="00F002AC">
      <w:pPr>
        <w:pStyle w:val="NoSpacing"/>
        <w:spacing w:line="480" w:lineRule="auto"/>
        <w:jc w:val="center"/>
        <w:rPr>
          <w:b/>
          <w:vertAlign w:val="superscript"/>
        </w:rPr>
      </w:pPr>
      <w:r w:rsidRPr="00F82E89">
        <w:rPr>
          <w:b/>
        </w:rPr>
        <w:t>Mitten, A.J.</w:t>
      </w:r>
      <w:r w:rsidRPr="00F82E89">
        <w:rPr>
          <w:b/>
          <w:vertAlign w:val="superscript"/>
        </w:rPr>
        <w:t>a&amp;c*</w:t>
      </w:r>
      <w:r w:rsidRPr="00F82E89">
        <w:rPr>
          <w:b/>
        </w:rPr>
        <w:t>; Mullins, J.</w:t>
      </w:r>
      <w:r w:rsidRPr="00F82E89">
        <w:rPr>
          <w:b/>
          <w:vertAlign w:val="superscript"/>
        </w:rPr>
        <w:t>b</w:t>
      </w:r>
      <w:r w:rsidRPr="00F82E89">
        <w:rPr>
          <w:b/>
        </w:rPr>
        <w:t>; Pringle, J.K.</w:t>
      </w:r>
      <w:r w:rsidRPr="00F82E89">
        <w:rPr>
          <w:b/>
          <w:vertAlign w:val="superscript"/>
        </w:rPr>
        <w:t>a</w:t>
      </w:r>
      <w:r w:rsidRPr="00F82E89">
        <w:rPr>
          <w:b/>
        </w:rPr>
        <w:t>; Howell, J.</w:t>
      </w:r>
      <w:r w:rsidRPr="00F82E89">
        <w:rPr>
          <w:b/>
          <w:vertAlign w:val="superscript"/>
        </w:rPr>
        <w:t>b</w:t>
      </w:r>
      <w:r w:rsidRPr="00F82E89">
        <w:rPr>
          <w:b/>
        </w:rPr>
        <w:t xml:space="preserve"> and Clarke, S.M.</w:t>
      </w:r>
      <w:r w:rsidRPr="00F82E89">
        <w:rPr>
          <w:b/>
          <w:vertAlign w:val="superscript"/>
        </w:rPr>
        <w:t>c</w:t>
      </w:r>
    </w:p>
    <w:p w:rsidR="00F002AC" w:rsidRPr="00F82E89" w:rsidRDefault="00F002AC" w:rsidP="00F002AC">
      <w:pPr>
        <w:pStyle w:val="NoSpacing"/>
        <w:spacing w:line="480" w:lineRule="auto"/>
        <w:jc w:val="center"/>
        <w:rPr>
          <w:vertAlign w:val="superscript"/>
        </w:rPr>
      </w:pPr>
    </w:p>
    <w:p w:rsidR="00F002AC" w:rsidRPr="00F82E89" w:rsidRDefault="00F002AC" w:rsidP="00F002AC">
      <w:pPr>
        <w:pStyle w:val="NoSpacing"/>
        <w:spacing w:line="480" w:lineRule="auto"/>
        <w:jc w:val="center"/>
        <w:rPr>
          <w:i/>
        </w:rPr>
      </w:pPr>
      <w:r w:rsidRPr="00F82E89">
        <w:rPr>
          <w:i/>
        </w:rPr>
        <w:t>(a) School of Geography, Geology and the Environment, Keele University, Keele, Staffordshire, United Kingdom, ST5 5BG, UK.</w:t>
      </w:r>
    </w:p>
    <w:p w:rsidR="00F002AC" w:rsidRPr="00F82E89" w:rsidRDefault="00F002AC" w:rsidP="00F002AC">
      <w:pPr>
        <w:pStyle w:val="NoSpacing"/>
        <w:spacing w:line="480" w:lineRule="auto"/>
        <w:jc w:val="center"/>
        <w:rPr>
          <w:i/>
        </w:rPr>
      </w:pPr>
      <w:r w:rsidRPr="00F82E89">
        <w:rPr>
          <w:i/>
        </w:rPr>
        <w:t>(b) Department of Geology and Petroleum Geology, King's College, University of Aberdeen, Aberdeen, United Kingdom, AB24 3UE, UK.</w:t>
      </w:r>
    </w:p>
    <w:p w:rsidR="00F002AC" w:rsidRPr="00F82E89" w:rsidRDefault="00F002AC" w:rsidP="00F002AC">
      <w:pPr>
        <w:pStyle w:val="NoSpacing"/>
        <w:spacing w:line="480" w:lineRule="auto"/>
        <w:jc w:val="center"/>
        <w:rPr>
          <w:i/>
        </w:rPr>
      </w:pPr>
      <w:r w:rsidRPr="00F82E89">
        <w:rPr>
          <w:i/>
        </w:rPr>
        <w:t>(c) Basin Dynamics Research Group, School of Geography, Geology and the Environment, Keele University, Keele, Staffordshire, United Kingdom, ST5 5BG, UK.</w:t>
      </w:r>
    </w:p>
    <w:p w:rsidR="00F002AC" w:rsidRPr="00F82E89" w:rsidRDefault="00F002AC" w:rsidP="00F002AC">
      <w:pPr>
        <w:pStyle w:val="NoSpacing"/>
        <w:spacing w:line="480" w:lineRule="auto"/>
        <w:jc w:val="center"/>
      </w:pPr>
    </w:p>
    <w:p w:rsidR="00F002AC" w:rsidRPr="00F82E89" w:rsidRDefault="00F002AC" w:rsidP="00F002AC">
      <w:pPr>
        <w:pStyle w:val="NoSpacing"/>
        <w:spacing w:line="480" w:lineRule="auto"/>
        <w:rPr>
          <w:rStyle w:val="Hyperlink"/>
          <w:color w:val="auto"/>
        </w:rPr>
      </w:pPr>
      <w:r w:rsidRPr="00F82E89">
        <w:t xml:space="preserve">*Corresponding author: Andy Mitten - </w:t>
      </w:r>
      <w:hyperlink r:id="rId8" w:history="1">
        <w:r w:rsidRPr="00F82E89">
          <w:rPr>
            <w:rStyle w:val="Hyperlink"/>
            <w:color w:val="auto"/>
          </w:rPr>
          <w:t>a.j.mitten@keele.ac.uk</w:t>
        </w:r>
      </w:hyperlink>
    </w:p>
    <w:p w:rsidR="001656AE" w:rsidRPr="00F82E89" w:rsidRDefault="001656AE" w:rsidP="00F002AC">
      <w:pPr>
        <w:pStyle w:val="NoSpacing"/>
        <w:spacing w:line="480" w:lineRule="auto"/>
      </w:pPr>
      <w:r w:rsidRPr="00F82E89">
        <w:rPr>
          <w:rStyle w:val="Hyperlink"/>
          <w:color w:val="auto"/>
          <w:u w:val="none"/>
        </w:rPr>
        <w:t>Declaration of interest: none</w:t>
      </w:r>
    </w:p>
    <w:p w:rsidR="006B617F" w:rsidRPr="00F82E89" w:rsidRDefault="006B617F" w:rsidP="00F002AC">
      <w:pPr>
        <w:pStyle w:val="Title"/>
        <w:spacing w:line="480" w:lineRule="auto"/>
        <w:jc w:val="center"/>
      </w:pPr>
      <w:r w:rsidRPr="00F82E89">
        <w:br w:type="page"/>
      </w:r>
    </w:p>
    <w:p w:rsidR="001C1777" w:rsidRPr="00F82E89" w:rsidRDefault="001C1777" w:rsidP="00EE28F9">
      <w:pPr>
        <w:pStyle w:val="Heading1"/>
      </w:pPr>
      <w:r w:rsidRPr="00F82E89">
        <w:lastRenderedPageBreak/>
        <w:t>Abstract</w:t>
      </w:r>
    </w:p>
    <w:p w:rsidR="004801B3" w:rsidRDefault="00427D5F" w:rsidP="003915C6">
      <w:r w:rsidRPr="00F82E89">
        <w:rPr>
          <w:shd w:val="clear" w:color="auto" w:fill="FFFFFF"/>
        </w:rPr>
        <w:t xml:space="preserve">Fluvial deposits </w:t>
      </w:r>
      <w:r w:rsidR="00E50C6B" w:rsidRPr="00F82E89">
        <w:rPr>
          <w:shd w:val="clear" w:color="auto" w:fill="FFFFFF"/>
        </w:rPr>
        <w:t>create significant</w:t>
      </w:r>
      <w:r w:rsidRPr="00F82E89">
        <w:rPr>
          <w:shd w:val="clear" w:color="auto" w:fill="FFFFFF"/>
        </w:rPr>
        <w:t xml:space="preserve"> hydroca</w:t>
      </w:r>
      <w:r w:rsidR="00E86ABD">
        <w:rPr>
          <w:shd w:val="clear" w:color="auto" w:fill="FFFFFF"/>
        </w:rPr>
        <w:t>rbon reservoirs, although their</w:t>
      </w:r>
      <w:r w:rsidRPr="00F82E89">
        <w:rPr>
          <w:shd w:val="clear" w:color="auto" w:fill="FFFFFF"/>
        </w:rPr>
        <w:t xml:space="preserve"> characterisation can be difficult due to the</w:t>
      </w:r>
      <w:r w:rsidR="00E86ABD">
        <w:rPr>
          <w:shd w:val="clear" w:color="auto" w:fill="FFFFFF"/>
        </w:rPr>
        <w:t>ir</w:t>
      </w:r>
      <w:r w:rsidR="00385F38">
        <w:rPr>
          <w:shd w:val="clear" w:color="auto" w:fill="FFFFFF"/>
        </w:rPr>
        <w:t xml:space="preserve"> </w:t>
      </w:r>
      <w:r w:rsidR="00E86ABD">
        <w:rPr>
          <w:shd w:val="clear" w:color="auto" w:fill="FFFFFF"/>
        </w:rPr>
        <w:t xml:space="preserve">differing </w:t>
      </w:r>
      <w:r w:rsidRPr="00F82E89">
        <w:rPr>
          <w:shd w:val="clear" w:color="auto" w:fill="FFFFFF"/>
        </w:rPr>
        <w:t>scales of heterogeneit</w:t>
      </w:r>
      <w:r w:rsidR="00E86ABD">
        <w:rPr>
          <w:shd w:val="clear" w:color="auto" w:fill="FFFFFF"/>
        </w:rPr>
        <w:t>y</w:t>
      </w:r>
      <w:r w:rsidRPr="00F82E89">
        <w:t>. Whilst numerical modelling methods have advanced to statistically honour fluvial input datasets, geologically realistic features are often lost</w:t>
      </w:r>
      <w:r w:rsidR="00E50C6B" w:rsidRPr="00F82E89">
        <w:t>,</w:t>
      </w:r>
      <w:r w:rsidRPr="00F82E89">
        <w:t xml:space="preserve"> imp</w:t>
      </w:r>
      <w:r w:rsidR="00E50C6B" w:rsidRPr="00F82E89">
        <w:t>acting</w:t>
      </w:r>
      <w:r w:rsidRPr="00F82E89">
        <w:t xml:space="preserve"> hydrocarbon recovery</w:t>
      </w:r>
      <w:r w:rsidR="004E6168">
        <w:t xml:space="preserve"> predictions</w:t>
      </w:r>
      <w:r w:rsidRPr="00F82E89">
        <w:t xml:space="preserve">. </w:t>
      </w:r>
      <w:r w:rsidR="00E86ABD">
        <w:t>Two dimensional</w:t>
      </w:r>
      <w:r w:rsidR="003915C6">
        <w:t xml:space="preserve"> </w:t>
      </w:r>
      <w:r w:rsidR="00DD10E3">
        <w:t>t</w:t>
      </w:r>
      <w:r w:rsidR="0062735C">
        <w:t xml:space="preserve">raining images </w:t>
      </w:r>
      <w:r w:rsidR="006D3F88">
        <w:t xml:space="preserve">are often used </w:t>
      </w:r>
      <w:r w:rsidR="00E86ABD">
        <w:t>to dictate what heterogeneity</w:t>
      </w:r>
      <w:r w:rsidR="003915C6">
        <w:t xml:space="preserve"> </w:t>
      </w:r>
      <w:r w:rsidR="00E86ABD">
        <w:t xml:space="preserve">is inputted into </w:t>
      </w:r>
      <w:r w:rsidR="00E651B3">
        <w:t xml:space="preserve">multi-point statistics based </w:t>
      </w:r>
      <w:r w:rsidR="00296662">
        <w:t>reservoir</w:t>
      </w:r>
      <w:r w:rsidR="003915C6">
        <w:t>.</w:t>
      </w:r>
      <w:r w:rsidR="006D3F88">
        <w:t xml:space="preserve"> </w:t>
      </w:r>
      <w:r w:rsidR="002F3EB7">
        <w:t>In this study</w:t>
      </w:r>
      <w:r w:rsidR="00E86ABD">
        <w:t>,</w:t>
      </w:r>
      <w:r w:rsidR="002F3EB7">
        <w:t xml:space="preserve"> </w:t>
      </w:r>
      <w:r w:rsidR="006D3F88">
        <w:t>a</w:t>
      </w:r>
      <w:r w:rsidR="006D3F88" w:rsidRPr="00F82E89">
        <w:t xml:space="preserve"> </w:t>
      </w:r>
      <w:r w:rsidR="00E86ABD">
        <w:t xml:space="preserve">three dimensional </w:t>
      </w:r>
      <w:r w:rsidR="006D3F88" w:rsidRPr="00F82E89">
        <w:t>training image is built</w:t>
      </w:r>
      <w:r w:rsidR="00E651B3">
        <w:t>,</w:t>
      </w:r>
      <w:r w:rsidR="006D3F88" w:rsidRPr="00F82E89">
        <w:t xml:space="preserve"> based upon depositi</w:t>
      </w:r>
      <w:r w:rsidR="003915C6">
        <w:t>onal conditions derived from</w:t>
      </w:r>
      <w:r w:rsidR="006D3F88" w:rsidRPr="00F82E89">
        <w:t xml:space="preserve"> outcrop and modern </w:t>
      </w:r>
      <w:r w:rsidR="003915C6">
        <w:t xml:space="preserve">satellite imagery data </w:t>
      </w:r>
      <w:r w:rsidR="006D3F88">
        <w:t>of a fluvial system</w:t>
      </w:r>
      <w:r w:rsidR="003915C6">
        <w:t xml:space="preserve">. </w:t>
      </w:r>
      <w:r w:rsidR="003915C6" w:rsidRPr="00F82E89">
        <w:rPr>
          <w:rFonts w:eastAsia="SimSun"/>
          <w:szCs w:val="24"/>
          <w:lang w:val="en-US" w:eastAsia="zh-CN" w:bidi="hi-IN"/>
        </w:rPr>
        <w:t>The aims of this study are to</w:t>
      </w:r>
      <w:r w:rsidR="00E651B3">
        <w:rPr>
          <w:rFonts w:eastAsia="SimSun"/>
          <w:szCs w:val="24"/>
          <w:lang w:val="en-US" w:eastAsia="zh-CN" w:bidi="hi-IN"/>
        </w:rPr>
        <w:t>:</w:t>
      </w:r>
      <w:r w:rsidR="003915C6" w:rsidRPr="00F82E89">
        <w:rPr>
          <w:rFonts w:eastAsia="SimSun"/>
          <w:szCs w:val="24"/>
          <w:lang w:val="en-US" w:eastAsia="zh-CN" w:bidi="hi-IN"/>
        </w:rPr>
        <w:t xml:space="preserve"> identify the heterogeneity </w:t>
      </w:r>
      <w:r w:rsidR="003915C6">
        <w:rPr>
          <w:rFonts w:eastAsia="SimSun"/>
          <w:szCs w:val="24"/>
          <w:lang w:val="en-US" w:eastAsia="zh-CN" w:bidi="hi-IN"/>
        </w:rPr>
        <w:t>w</w:t>
      </w:r>
      <w:r w:rsidR="003915C6" w:rsidRPr="00F82E89">
        <w:rPr>
          <w:rFonts w:eastAsia="SimSun"/>
          <w:szCs w:val="24"/>
          <w:lang w:val="en-US" w:eastAsia="zh-CN" w:bidi="hi-IN"/>
        </w:rPr>
        <w:t xml:space="preserve">ithin the </w:t>
      </w:r>
      <w:r w:rsidR="003915C6">
        <w:rPr>
          <w:rFonts w:eastAsia="SimSun"/>
          <w:szCs w:val="24"/>
          <w:lang w:val="en-US" w:eastAsia="zh-CN" w:bidi="hi-IN"/>
        </w:rPr>
        <w:t>modern and outcrop data</w:t>
      </w:r>
      <w:r w:rsidR="003915C6" w:rsidRPr="00F82E89">
        <w:rPr>
          <w:rFonts w:eastAsia="SimSun"/>
          <w:szCs w:val="24"/>
          <w:lang w:val="en-US" w:eastAsia="zh-CN" w:bidi="hi-IN"/>
        </w:rPr>
        <w:t xml:space="preserve"> </w:t>
      </w:r>
      <w:r w:rsidR="003915C6">
        <w:t xml:space="preserve">and to replicate it in </w:t>
      </w:r>
      <w:r w:rsidR="00E651B3">
        <w:t xml:space="preserve">a </w:t>
      </w:r>
      <w:r w:rsidR="003915C6">
        <w:t xml:space="preserve">three dimensional training image, to </w:t>
      </w:r>
      <w:r w:rsidR="00E651B3">
        <w:t>model such heterogeneity using</w:t>
      </w:r>
      <w:r w:rsidR="003915C6">
        <w:t xml:space="preserve"> object-based, sequential indicator simulation and multi-point statistics and to qualitatively and quantitatively (through static net-connectivity testing) analyse the reproducibility and geological realism of the generated reservoir models.</w:t>
      </w:r>
      <w:r w:rsidR="003915C6" w:rsidRPr="00F82E89">
        <w:t xml:space="preserve"> </w:t>
      </w:r>
    </w:p>
    <w:p w:rsidR="00427D5F" w:rsidRPr="00F82E89" w:rsidRDefault="00A020E8" w:rsidP="00427D5F">
      <w:r>
        <w:t>D</w:t>
      </w:r>
      <w:r w:rsidR="003915C6">
        <w:t xml:space="preserve">igital photogrammetric data from Tuscher Canyon, Utah, of the Lower Castlegate Sandstone and satellite imagery from the Jamuna River, northern India, </w:t>
      </w:r>
      <w:r>
        <w:t xml:space="preserve">are used </w:t>
      </w:r>
      <w:r w:rsidR="003915C6">
        <w:t xml:space="preserve">to depositionally condition a three dimensional training image. </w:t>
      </w:r>
      <w:r w:rsidR="00385F38">
        <w:t>This training image was then used to generate the multi-point statistics models, which were then tested against more traditional object-based and sequential indicator simulation reservoir models.</w:t>
      </w:r>
      <w:r w:rsidR="004579DB">
        <w:t xml:space="preserve"> </w:t>
      </w:r>
      <w:r w:rsidR="003915C6">
        <w:t>Results indicate</w:t>
      </w:r>
      <w:r w:rsidR="009A5FE0">
        <w:t>d that</w:t>
      </w:r>
      <w:r w:rsidR="003F61D0">
        <w:t xml:space="preserve"> object-based models</w:t>
      </w:r>
      <w:r w:rsidR="009A5FE0">
        <w:t xml:space="preserve"> realistically reproduced heterogeneous</w:t>
      </w:r>
      <w:r w:rsidR="004801B3">
        <w:t xml:space="preserve"> architectural elements, </w:t>
      </w:r>
      <w:r w:rsidR="009A5FE0">
        <w:t xml:space="preserve">however, </w:t>
      </w:r>
      <w:r w:rsidR="004801B3">
        <w:t xml:space="preserve">the connectivity of net-reservoir </w:t>
      </w:r>
      <w:r>
        <w:t>elements</w:t>
      </w:r>
      <w:r w:rsidR="004801B3">
        <w:t xml:space="preserve"> were unrealistically shaped and over-connected. </w:t>
      </w:r>
      <w:r w:rsidR="00C054BA">
        <w:t>T</w:t>
      </w:r>
      <w:r w:rsidR="009A5FE0">
        <w:t xml:space="preserve">he </w:t>
      </w:r>
      <w:r w:rsidR="003F61D0">
        <w:t>s</w:t>
      </w:r>
      <w:r w:rsidR="004801B3">
        <w:t>equential indicator simulat</w:t>
      </w:r>
      <w:r w:rsidR="00C054BA">
        <w:t>ed models produced unrealistic</w:t>
      </w:r>
      <w:r w:rsidR="004801B3">
        <w:t xml:space="preserve"> </w:t>
      </w:r>
      <w:r w:rsidR="003F61D0">
        <w:t xml:space="preserve">heterogeneous architectural elements </w:t>
      </w:r>
      <w:r w:rsidR="004801B3">
        <w:t xml:space="preserve">and overestimated the </w:t>
      </w:r>
      <w:r w:rsidR="003F61D0">
        <w:t xml:space="preserve">connectivity </w:t>
      </w:r>
      <w:r w:rsidR="004801B3">
        <w:t>of net</w:t>
      </w:r>
      <w:r w:rsidR="003F61D0">
        <w:t>-reservoir elements</w:t>
      </w:r>
      <w:r w:rsidR="004801B3">
        <w:t xml:space="preserve">. </w:t>
      </w:r>
      <w:r w:rsidR="00C054BA">
        <w:t>The</w:t>
      </w:r>
      <w:r w:rsidR="003F61D0">
        <w:t xml:space="preserve"> m</w:t>
      </w:r>
      <w:r w:rsidR="004801B3">
        <w:t>ulti-point statistic</w:t>
      </w:r>
      <w:r w:rsidR="00C054BA">
        <w:t xml:space="preserve">al models realistically produced </w:t>
      </w:r>
      <w:r w:rsidR="003F61D0">
        <w:t>heterogeneous architectural elements geometries</w:t>
      </w:r>
      <w:r w:rsidR="00C054BA">
        <w:t xml:space="preserve"> and</w:t>
      </w:r>
      <w:r w:rsidR="003F61D0">
        <w:t xml:space="preserve"> the connectivity of</w:t>
      </w:r>
      <w:r w:rsidR="004801B3">
        <w:t xml:space="preserve"> net-reservoir </w:t>
      </w:r>
      <w:r w:rsidR="003F61D0">
        <w:t>elements</w:t>
      </w:r>
      <w:r w:rsidR="004801B3">
        <w:t xml:space="preserve">. </w:t>
      </w:r>
      <w:r w:rsidR="00427D5F" w:rsidRPr="00F82E89">
        <w:t>Study implications suggest that,</w:t>
      </w:r>
      <w:r w:rsidR="00997123" w:rsidRPr="00F82E89">
        <w:t xml:space="preserve"> b</w:t>
      </w:r>
      <w:r w:rsidR="004801B3">
        <w:t>ased upon limited data</w:t>
      </w:r>
      <w:r w:rsidR="00385F38">
        <w:t>,</w:t>
      </w:r>
      <w:r w:rsidR="004801B3">
        <w:t xml:space="preserve"> </w:t>
      </w:r>
      <w:r w:rsidR="00997123" w:rsidRPr="00F82E89">
        <w:t xml:space="preserve">depositional </w:t>
      </w:r>
      <w:r w:rsidR="00427D5F" w:rsidRPr="00F82E89">
        <w:t xml:space="preserve">conditioning </w:t>
      </w:r>
      <w:r w:rsidR="00385F38">
        <w:t>can generate</w:t>
      </w:r>
      <w:r w:rsidR="00DD10E3">
        <w:t xml:space="preserve"> </w:t>
      </w:r>
      <w:r w:rsidR="00C054BA">
        <w:t>three dimensional</w:t>
      </w:r>
      <w:r w:rsidR="00427D5F" w:rsidRPr="00F82E89">
        <w:t xml:space="preserve"> training images</w:t>
      </w:r>
      <w:r w:rsidR="004801B3">
        <w:t xml:space="preserve"> </w:t>
      </w:r>
      <w:r w:rsidR="00385F38">
        <w:t>to</w:t>
      </w:r>
      <w:r w:rsidR="004801B3">
        <w:t xml:space="preserve"> produce </w:t>
      </w:r>
      <w:r w:rsidR="00427D5F" w:rsidRPr="00F82E89">
        <w:t xml:space="preserve">reservoir models </w:t>
      </w:r>
      <w:r w:rsidR="004801B3">
        <w:t>that are</w:t>
      </w:r>
      <w:r w:rsidR="00427D5F" w:rsidRPr="00F82E89">
        <w:t xml:space="preserve"> </w:t>
      </w:r>
      <w:r w:rsidR="00385F38">
        <w:t>both</w:t>
      </w:r>
      <w:r w:rsidR="00427D5F" w:rsidRPr="00F82E89">
        <w:t xml:space="preserve"> geologically realistic and reproducible.</w:t>
      </w:r>
    </w:p>
    <w:p w:rsidR="006B617F" w:rsidRPr="00F82E89" w:rsidRDefault="006B617F" w:rsidP="006B617F">
      <w:r w:rsidRPr="00F82E89">
        <w:rPr>
          <w:b/>
        </w:rPr>
        <w:lastRenderedPageBreak/>
        <w:t xml:space="preserve">Keywords: </w:t>
      </w:r>
      <w:r w:rsidRPr="00F82E89">
        <w:t xml:space="preserve">Training images, depositional conditioning, architectural elements, heterogeneity, multi-point statistic, </w:t>
      </w:r>
      <w:bookmarkStart w:id="0" w:name="_GoBack"/>
      <w:r w:rsidRPr="00F82E89">
        <w:t>connectivity</w:t>
      </w:r>
      <w:bookmarkEnd w:id="0"/>
      <w:r w:rsidRPr="00F82E89">
        <w:t>.</w:t>
      </w:r>
    </w:p>
    <w:p w:rsidR="005E32D9" w:rsidRPr="00F82E89" w:rsidRDefault="00033B02" w:rsidP="00CD1601">
      <w:pPr>
        <w:pStyle w:val="Heading1"/>
        <w:numPr>
          <w:ilvl w:val="0"/>
          <w:numId w:val="1"/>
        </w:numPr>
      </w:pPr>
      <w:r w:rsidRPr="00F82E89">
        <w:t>Introduction</w:t>
      </w:r>
    </w:p>
    <w:p w:rsidR="00D0039E" w:rsidRDefault="00033B02" w:rsidP="00033B02">
      <w:pPr>
        <w:rPr>
          <w:rFonts w:eastAsia="SimSun"/>
          <w:szCs w:val="24"/>
          <w:lang w:val="en-US" w:eastAsia="zh-CN" w:bidi="hi-IN"/>
        </w:rPr>
      </w:pPr>
      <w:r w:rsidRPr="00F82E89">
        <w:rPr>
          <w:shd w:val="clear" w:color="auto" w:fill="FFFFFF"/>
        </w:rPr>
        <w:t>F</w:t>
      </w:r>
      <w:r w:rsidR="00C00B2B">
        <w:rPr>
          <w:shd w:val="clear" w:color="auto" w:fill="FFFFFF"/>
        </w:rPr>
        <w:t>luvial strata provide important and effective</w:t>
      </w:r>
      <w:r w:rsidRPr="00F82E89">
        <w:rPr>
          <w:shd w:val="clear" w:color="auto" w:fill="FFFFFF"/>
        </w:rPr>
        <w:t xml:space="preserve"> hydrocarbon </w:t>
      </w:r>
      <w:r w:rsidR="00C00B2B">
        <w:rPr>
          <w:shd w:val="clear" w:color="auto" w:fill="FFFFFF"/>
        </w:rPr>
        <w:t>reservoirs</w:t>
      </w:r>
      <w:r w:rsidR="00B528FF" w:rsidRPr="00F82E89">
        <w:rPr>
          <w:shd w:val="clear" w:color="auto" w:fill="FFFFFF"/>
        </w:rPr>
        <w:t xml:space="preserve"> (Tyler and Finley</w:t>
      </w:r>
      <w:r w:rsidR="00517096">
        <w:rPr>
          <w:shd w:val="clear" w:color="auto" w:fill="FFFFFF"/>
        </w:rPr>
        <w:t>,</w:t>
      </w:r>
      <w:r w:rsidR="00B528FF" w:rsidRPr="00F82E89">
        <w:rPr>
          <w:shd w:val="clear" w:color="auto" w:fill="FFFFFF"/>
        </w:rPr>
        <w:t xml:space="preserve"> 1991)</w:t>
      </w:r>
      <w:r w:rsidRPr="00F82E89">
        <w:rPr>
          <w:shd w:val="clear" w:color="auto" w:fill="FFFFFF"/>
        </w:rPr>
        <w:t xml:space="preserve">, although their characterisation </w:t>
      </w:r>
      <w:r w:rsidR="00B528FF" w:rsidRPr="00F82E89">
        <w:rPr>
          <w:shd w:val="clear" w:color="auto" w:fill="FFFFFF"/>
        </w:rPr>
        <w:t>is</w:t>
      </w:r>
      <w:r w:rsidRPr="00F82E89">
        <w:rPr>
          <w:shd w:val="clear" w:color="auto" w:fill="FFFFFF"/>
        </w:rPr>
        <w:t xml:space="preserve"> difficult due to the scale of heterogeneities associated with them (</w:t>
      </w:r>
      <w:r w:rsidR="00031FF8">
        <w:rPr>
          <w:shd w:val="clear" w:color="auto" w:fill="FFFFFF"/>
        </w:rPr>
        <w:t xml:space="preserve">Figure 1; </w:t>
      </w:r>
      <w:r w:rsidR="00B528FF" w:rsidRPr="00F82E89">
        <w:rPr>
          <w:shd w:val="clear" w:color="auto" w:fill="FFFFFF"/>
        </w:rPr>
        <w:t>Tyler and Finley</w:t>
      </w:r>
      <w:r w:rsidR="00517096">
        <w:rPr>
          <w:shd w:val="clear" w:color="auto" w:fill="FFFFFF"/>
        </w:rPr>
        <w:t>,</w:t>
      </w:r>
      <w:r w:rsidR="00B528FF" w:rsidRPr="00F82E89">
        <w:rPr>
          <w:shd w:val="clear" w:color="auto" w:fill="FFFFFF"/>
        </w:rPr>
        <w:t xml:space="preserve"> 1994</w:t>
      </w:r>
      <w:r w:rsidRPr="00F82E89">
        <w:rPr>
          <w:shd w:val="clear" w:color="auto" w:fill="FFFFFF"/>
        </w:rPr>
        <w:t>; Pran</w:t>
      </w:r>
      <w:r w:rsidR="00517096">
        <w:rPr>
          <w:shd w:val="clear" w:color="auto" w:fill="FFFFFF"/>
        </w:rPr>
        <w:t xml:space="preserve">ter </w:t>
      </w:r>
      <w:r w:rsidR="00517096" w:rsidRPr="00517096">
        <w:rPr>
          <w:i/>
          <w:shd w:val="clear" w:color="auto" w:fill="FFFFFF"/>
        </w:rPr>
        <w:t>et al.,</w:t>
      </w:r>
      <w:r w:rsidR="00517096">
        <w:rPr>
          <w:shd w:val="clear" w:color="auto" w:fill="FFFFFF"/>
        </w:rPr>
        <w:t xml:space="preserve"> 2007; Henares </w:t>
      </w:r>
      <w:r w:rsidR="00517096" w:rsidRPr="00517096">
        <w:rPr>
          <w:i/>
          <w:shd w:val="clear" w:color="auto" w:fill="FFFFFF"/>
        </w:rPr>
        <w:t>et al.,</w:t>
      </w:r>
      <w:r w:rsidRPr="00F82E89">
        <w:rPr>
          <w:shd w:val="clear" w:color="auto" w:fill="FFFFFF"/>
        </w:rPr>
        <w:t xml:space="preserve"> 2016; Yue </w:t>
      </w:r>
      <w:r w:rsidR="00517096" w:rsidRPr="00517096">
        <w:rPr>
          <w:i/>
          <w:shd w:val="clear" w:color="auto" w:fill="FFFFFF"/>
        </w:rPr>
        <w:t>et al.,</w:t>
      </w:r>
      <w:r w:rsidRPr="00F82E89">
        <w:rPr>
          <w:shd w:val="clear" w:color="auto" w:fill="FFFFFF"/>
        </w:rPr>
        <w:t xml:space="preserve"> 2019). </w:t>
      </w:r>
      <w:r w:rsidRPr="00F82E89">
        <w:t xml:space="preserve">Meso-scale (architectural element scale) heterogeneity </w:t>
      </w:r>
      <w:r w:rsidR="00B528FF" w:rsidRPr="00F82E89">
        <w:t>becomes more important</w:t>
      </w:r>
      <w:r w:rsidRPr="00F82E89">
        <w:t xml:space="preserve"> over longer </w:t>
      </w:r>
      <w:r w:rsidR="00B528FF" w:rsidRPr="00F82E89">
        <w:t xml:space="preserve">reservoir </w:t>
      </w:r>
      <w:r w:rsidRPr="00F82E89">
        <w:t xml:space="preserve">production periods due to </w:t>
      </w:r>
      <w:r w:rsidR="00F52011">
        <w:t xml:space="preserve">the </w:t>
      </w:r>
      <w:r w:rsidRPr="00F82E89">
        <w:t>increased sensitivity of fluid migration</w:t>
      </w:r>
      <w:r w:rsidR="00C00B2B">
        <w:t xml:space="preserve"> to</w:t>
      </w:r>
      <w:r w:rsidRPr="00F82E89">
        <w:t xml:space="preserve"> </w:t>
      </w:r>
      <w:r w:rsidR="00C85F30">
        <w:t xml:space="preserve">smaller-scale </w:t>
      </w:r>
      <w:r w:rsidR="00C00B2B">
        <w:t xml:space="preserve">heterogeneity </w:t>
      </w:r>
      <w:r w:rsidR="00C85F30">
        <w:t xml:space="preserve">over </w:t>
      </w:r>
      <w:r w:rsidR="00C00B2B">
        <w:t>time</w:t>
      </w:r>
      <w:r w:rsidRPr="00F82E89">
        <w:t xml:space="preserve"> (Tyler </w:t>
      </w:r>
      <w:r w:rsidR="00517096" w:rsidRPr="00517096">
        <w:rPr>
          <w:i/>
        </w:rPr>
        <w:t>et al.,</w:t>
      </w:r>
      <w:r w:rsidRPr="00F82E89">
        <w:t xml:space="preserve"> 1994)</w:t>
      </w:r>
      <w:r w:rsidRPr="00F82E89">
        <w:rPr>
          <w:rFonts w:eastAsia="SimSun"/>
          <w:szCs w:val="24"/>
          <w:lang w:val="en-US" w:eastAsia="zh-CN" w:bidi="hi-IN"/>
        </w:rPr>
        <w:t xml:space="preserve">. While research has addressed the giga- to mega-scopic sedimentary </w:t>
      </w:r>
      <w:r w:rsidR="00B528FF" w:rsidRPr="00F82E89">
        <w:rPr>
          <w:rFonts w:eastAsia="SimSun"/>
          <w:szCs w:val="24"/>
          <w:lang w:val="en-US" w:eastAsia="zh-CN" w:bidi="hi-IN"/>
        </w:rPr>
        <w:t>heterogeneity in</w:t>
      </w:r>
      <w:r w:rsidRPr="00F82E89">
        <w:rPr>
          <w:rFonts w:eastAsia="SimSun"/>
          <w:szCs w:val="24"/>
          <w:lang w:val="en-US" w:eastAsia="zh-CN" w:bidi="hi-IN"/>
        </w:rPr>
        <w:t xml:space="preserve"> fluvial systems</w:t>
      </w:r>
      <w:r w:rsidR="004354CF">
        <w:rPr>
          <w:rFonts w:eastAsia="SimSun"/>
          <w:szCs w:val="24"/>
          <w:lang w:val="en-US" w:eastAsia="zh-CN" w:bidi="hi-IN"/>
        </w:rPr>
        <w:t xml:space="preserve"> (Figure 1)</w:t>
      </w:r>
      <w:r w:rsidRPr="00F82E89">
        <w:rPr>
          <w:rFonts w:eastAsia="SimSun"/>
          <w:szCs w:val="24"/>
          <w:lang w:val="en-US" w:eastAsia="zh-CN" w:bidi="hi-IN"/>
        </w:rPr>
        <w:t xml:space="preserve">, such as sandbody stacking (e.g. Laure and Hovadik, 2006, Hovadik and Laure, 2007, Villamizar </w:t>
      </w:r>
      <w:r w:rsidR="00517096" w:rsidRPr="00517096">
        <w:rPr>
          <w:rFonts w:eastAsia="SimSun"/>
          <w:i/>
          <w:szCs w:val="24"/>
          <w:lang w:val="en-US" w:eastAsia="zh-CN" w:bidi="hi-IN"/>
        </w:rPr>
        <w:t>et al.,</w:t>
      </w:r>
      <w:r w:rsidRPr="00F82E89">
        <w:rPr>
          <w:rFonts w:eastAsia="SimSun"/>
          <w:szCs w:val="24"/>
          <w:lang w:val="en-US" w:eastAsia="zh-CN" w:bidi="hi-IN"/>
        </w:rPr>
        <w:t xml:space="preserve"> 2015</w:t>
      </w:r>
      <w:r w:rsidR="004354CF">
        <w:rPr>
          <w:rFonts w:eastAsia="SimSun"/>
          <w:szCs w:val="24"/>
          <w:lang w:val="en-US" w:eastAsia="zh-CN" w:bidi="hi-IN"/>
        </w:rPr>
        <w:t xml:space="preserve">; Cabello </w:t>
      </w:r>
      <w:r w:rsidR="00517096" w:rsidRPr="00517096">
        <w:rPr>
          <w:rFonts w:eastAsia="SimSun"/>
          <w:i/>
          <w:szCs w:val="24"/>
          <w:lang w:val="en-US" w:eastAsia="zh-CN" w:bidi="hi-IN"/>
        </w:rPr>
        <w:t>et al.,</w:t>
      </w:r>
      <w:r w:rsidR="004354CF">
        <w:rPr>
          <w:rFonts w:eastAsia="SimSun"/>
          <w:szCs w:val="24"/>
          <w:lang w:val="en-US" w:eastAsia="zh-CN" w:bidi="hi-IN"/>
        </w:rPr>
        <w:t xml:space="preserve"> 2018</w:t>
      </w:r>
      <w:r w:rsidR="00446DF4">
        <w:rPr>
          <w:rFonts w:eastAsia="SimSun"/>
          <w:szCs w:val="24"/>
          <w:lang w:val="en-US" w:eastAsia="zh-CN" w:bidi="hi-IN"/>
        </w:rPr>
        <w:t>a</w:t>
      </w:r>
      <w:r w:rsidRPr="00F82E89">
        <w:rPr>
          <w:rFonts w:eastAsia="SimSun"/>
          <w:szCs w:val="24"/>
          <w:lang w:val="en-US" w:eastAsia="zh-CN" w:bidi="hi-IN"/>
        </w:rPr>
        <w:t xml:space="preserve">) and its reproduction in reservoir models (Seifert and Jensen, 2000), </w:t>
      </w:r>
      <w:r w:rsidR="00B528FF" w:rsidRPr="00F82E89">
        <w:rPr>
          <w:rFonts w:eastAsia="SimSun"/>
          <w:szCs w:val="24"/>
          <w:lang w:val="en-US" w:eastAsia="zh-CN" w:bidi="hi-IN"/>
        </w:rPr>
        <w:t xml:space="preserve">relatively </w:t>
      </w:r>
      <w:r w:rsidRPr="00F82E89">
        <w:rPr>
          <w:rFonts w:eastAsia="SimSun"/>
          <w:szCs w:val="24"/>
          <w:lang w:val="en-US" w:eastAsia="zh-CN" w:bidi="hi-IN"/>
        </w:rPr>
        <w:t xml:space="preserve">less attention has been given </w:t>
      </w:r>
      <w:r w:rsidR="00062DD9" w:rsidRPr="00F82E89">
        <w:rPr>
          <w:rFonts w:eastAsia="SimSun"/>
          <w:szCs w:val="24"/>
          <w:lang w:val="en-US" w:eastAsia="zh-CN" w:bidi="hi-IN"/>
        </w:rPr>
        <w:t xml:space="preserve">to </w:t>
      </w:r>
      <w:r w:rsidRPr="00F82E89">
        <w:rPr>
          <w:rFonts w:eastAsia="SimSun"/>
          <w:szCs w:val="24"/>
          <w:lang w:val="en-US" w:eastAsia="zh-CN" w:bidi="hi-IN"/>
        </w:rPr>
        <w:t xml:space="preserve">the architectural element scale </w:t>
      </w:r>
      <w:r w:rsidR="004354CF">
        <w:rPr>
          <w:rFonts w:eastAsia="SimSun"/>
          <w:szCs w:val="24"/>
          <w:lang w:val="en-US" w:eastAsia="zh-CN" w:bidi="hi-IN"/>
        </w:rPr>
        <w:t xml:space="preserve">(Figure 1; </w:t>
      </w:r>
      <w:r w:rsidRPr="00F82E89">
        <w:rPr>
          <w:rFonts w:eastAsia="SimSun"/>
          <w:szCs w:val="24"/>
          <w:lang w:val="en-US" w:eastAsia="zh-CN" w:bidi="hi-IN"/>
        </w:rPr>
        <w:t>Gibling</w:t>
      </w:r>
      <w:r w:rsidR="00517096">
        <w:rPr>
          <w:rFonts w:eastAsia="SimSun"/>
          <w:szCs w:val="24"/>
          <w:lang w:val="en-US" w:eastAsia="zh-CN" w:bidi="hi-IN"/>
        </w:rPr>
        <w:t>,</w:t>
      </w:r>
      <w:r w:rsidRPr="00F82E89">
        <w:rPr>
          <w:rFonts w:eastAsia="SimSun"/>
          <w:szCs w:val="24"/>
          <w:lang w:val="en-US" w:eastAsia="zh-CN" w:bidi="hi-IN"/>
        </w:rPr>
        <w:t xml:space="preserve"> 2006; Enge </w:t>
      </w:r>
      <w:r w:rsidR="00517096" w:rsidRPr="00517096">
        <w:rPr>
          <w:rFonts w:eastAsia="SimSun"/>
          <w:i/>
          <w:szCs w:val="24"/>
          <w:lang w:val="en-US" w:eastAsia="zh-CN" w:bidi="hi-IN"/>
        </w:rPr>
        <w:t>et al.,</w:t>
      </w:r>
      <w:r w:rsidR="00F33C8C" w:rsidRPr="00F82E89">
        <w:rPr>
          <w:rFonts w:eastAsia="SimSun"/>
          <w:szCs w:val="24"/>
          <w:lang w:val="en-US" w:eastAsia="zh-CN" w:bidi="hi-IN"/>
        </w:rPr>
        <w:t xml:space="preserve"> 2007</w:t>
      </w:r>
      <w:r w:rsidRPr="00F82E89">
        <w:rPr>
          <w:rFonts w:eastAsia="SimSun"/>
          <w:szCs w:val="24"/>
          <w:lang w:val="en-US" w:eastAsia="zh-CN" w:bidi="hi-IN"/>
        </w:rPr>
        <w:t xml:space="preserve">; Rittersbacher </w:t>
      </w:r>
      <w:r w:rsidR="00517096" w:rsidRPr="00517096">
        <w:rPr>
          <w:rFonts w:eastAsia="SimSun"/>
          <w:i/>
          <w:szCs w:val="24"/>
          <w:lang w:val="en-US" w:eastAsia="zh-CN" w:bidi="hi-IN"/>
        </w:rPr>
        <w:t>et al.,</w:t>
      </w:r>
      <w:r w:rsidRPr="00F82E89">
        <w:rPr>
          <w:rFonts w:eastAsia="SimSun"/>
          <w:szCs w:val="24"/>
          <w:lang w:val="en-US" w:eastAsia="zh-CN" w:bidi="hi-IN"/>
        </w:rPr>
        <w:t xml:space="preserve"> 2014; Colombera </w:t>
      </w:r>
      <w:r w:rsidR="00517096" w:rsidRPr="00517096">
        <w:rPr>
          <w:rFonts w:eastAsia="SimSun"/>
          <w:i/>
          <w:szCs w:val="24"/>
          <w:lang w:val="en-US" w:eastAsia="zh-CN" w:bidi="hi-IN"/>
        </w:rPr>
        <w:t>et al.,</w:t>
      </w:r>
      <w:r w:rsidRPr="00F82E89">
        <w:rPr>
          <w:rFonts w:eastAsia="SimSun"/>
          <w:szCs w:val="24"/>
          <w:lang w:val="en-US" w:eastAsia="zh-CN" w:bidi="hi-IN"/>
        </w:rPr>
        <w:t xml:space="preserve"> 2016; Koneshloo </w:t>
      </w:r>
      <w:r w:rsidR="00517096" w:rsidRPr="00517096">
        <w:rPr>
          <w:rFonts w:eastAsia="SimSun"/>
          <w:i/>
          <w:szCs w:val="24"/>
          <w:lang w:val="en-US" w:eastAsia="zh-CN" w:bidi="hi-IN"/>
        </w:rPr>
        <w:t>et al.,</w:t>
      </w:r>
      <w:r w:rsidRPr="00F82E89">
        <w:rPr>
          <w:rFonts w:eastAsia="SimSun"/>
          <w:szCs w:val="24"/>
          <w:lang w:val="en-US" w:eastAsia="zh-CN" w:bidi="hi-IN"/>
        </w:rPr>
        <w:t xml:space="preserve"> 2018). </w:t>
      </w:r>
      <w:r w:rsidR="00C85F30">
        <w:rPr>
          <w:rFonts w:eastAsia="SimSun"/>
          <w:szCs w:val="24"/>
          <w:lang w:val="en-US" w:eastAsia="zh-CN" w:bidi="hi-IN"/>
        </w:rPr>
        <w:t>T</w:t>
      </w:r>
      <w:r w:rsidR="00BC5CB4" w:rsidRPr="00F82E89">
        <w:rPr>
          <w:rFonts w:eastAsia="SimSun"/>
          <w:szCs w:val="24"/>
          <w:lang w:val="en-US" w:eastAsia="zh-CN" w:bidi="hi-IN"/>
        </w:rPr>
        <w:t xml:space="preserve">he need to constrain heterogeneity across multiple </w:t>
      </w:r>
      <w:r w:rsidR="00D545FD" w:rsidRPr="00F82E89">
        <w:rPr>
          <w:rFonts w:eastAsia="SimSun"/>
          <w:szCs w:val="24"/>
          <w:lang w:val="en-US" w:eastAsia="zh-CN" w:bidi="hi-IN"/>
        </w:rPr>
        <w:t xml:space="preserve">scales </w:t>
      </w:r>
      <w:r w:rsidR="00B528FF" w:rsidRPr="00F82E89">
        <w:rPr>
          <w:rFonts w:eastAsia="SimSun"/>
          <w:szCs w:val="24"/>
          <w:lang w:val="en-US" w:eastAsia="zh-CN" w:bidi="hi-IN"/>
        </w:rPr>
        <w:t xml:space="preserve">has </w:t>
      </w:r>
      <w:r w:rsidRPr="00F82E89">
        <w:rPr>
          <w:rFonts w:eastAsia="SimSun"/>
          <w:szCs w:val="24"/>
          <w:lang w:val="en-US" w:eastAsia="zh-CN" w:bidi="hi-IN"/>
        </w:rPr>
        <w:t xml:space="preserve">led to the introduction of </w:t>
      </w:r>
      <w:r w:rsidR="00BC5CB4" w:rsidRPr="00F82E89">
        <w:rPr>
          <w:rFonts w:eastAsia="SimSun"/>
          <w:szCs w:val="24"/>
          <w:lang w:val="en-US" w:eastAsia="zh-CN" w:bidi="hi-IN"/>
        </w:rPr>
        <w:t>multi-scale modelling</w:t>
      </w:r>
      <w:r w:rsidRPr="00F82E89">
        <w:rPr>
          <w:rFonts w:eastAsia="SimSun"/>
          <w:szCs w:val="24"/>
          <w:lang w:val="en-US" w:eastAsia="zh-CN" w:bidi="hi-IN"/>
        </w:rPr>
        <w:t xml:space="preserve"> (Nordhal and Ringrose</w:t>
      </w:r>
      <w:r w:rsidR="00517096">
        <w:rPr>
          <w:rFonts w:eastAsia="SimSun"/>
          <w:szCs w:val="24"/>
          <w:lang w:val="en-US" w:eastAsia="zh-CN" w:bidi="hi-IN"/>
        </w:rPr>
        <w:t>,</w:t>
      </w:r>
      <w:r w:rsidRPr="00F82E89">
        <w:rPr>
          <w:rFonts w:eastAsia="SimSun"/>
          <w:szCs w:val="24"/>
          <w:lang w:val="en-US" w:eastAsia="zh-CN" w:bidi="hi-IN"/>
        </w:rPr>
        <w:t xml:space="preserve"> 2008; Ringrose </w:t>
      </w:r>
      <w:r w:rsidR="00517096" w:rsidRPr="00517096">
        <w:rPr>
          <w:rFonts w:eastAsia="SimSun"/>
          <w:i/>
          <w:szCs w:val="24"/>
          <w:lang w:val="en-US" w:eastAsia="zh-CN" w:bidi="hi-IN"/>
        </w:rPr>
        <w:t>et al.,</w:t>
      </w:r>
      <w:r w:rsidRPr="00F82E89">
        <w:rPr>
          <w:rFonts w:eastAsia="SimSun"/>
          <w:szCs w:val="24"/>
          <w:lang w:val="en-US" w:eastAsia="zh-CN" w:bidi="hi-IN"/>
        </w:rPr>
        <w:t xml:space="preserve"> 2008; Howell </w:t>
      </w:r>
      <w:r w:rsidR="00517096" w:rsidRPr="00517096">
        <w:rPr>
          <w:rFonts w:eastAsia="SimSun"/>
          <w:i/>
          <w:szCs w:val="24"/>
          <w:lang w:val="en-US" w:eastAsia="zh-CN" w:bidi="hi-IN"/>
        </w:rPr>
        <w:t>et al.,</w:t>
      </w:r>
      <w:r w:rsidRPr="00F82E89">
        <w:rPr>
          <w:rFonts w:eastAsia="SimSun"/>
          <w:szCs w:val="24"/>
          <w:lang w:val="en-US" w:eastAsia="zh-CN" w:bidi="hi-IN"/>
        </w:rPr>
        <w:t xml:space="preserve"> 2014). </w:t>
      </w:r>
    </w:p>
    <w:p w:rsidR="007B7417" w:rsidRDefault="007B7417" w:rsidP="0057642C">
      <w:pPr>
        <w:rPr>
          <w:rFonts w:eastAsia="SimSun"/>
          <w:szCs w:val="24"/>
          <w:lang w:val="en-US" w:eastAsia="zh-CN" w:bidi="hi-IN"/>
        </w:rPr>
      </w:pPr>
      <w:r>
        <w:rPr>
          <w:rFonts w:eastAsia="SimSun"/>
          <w:noProof/>
          <w:szCs w:val="24"/>
          <w:lang w:eastAsia="en-GB"/>
        </w:rPr>
        <w:drawing>
          <wp:inline distT="0" distB="0" distL="0" distR="0">
            <wp:extent cx="4331208" cy="44287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1_mitten_2019_revis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31208" cy="4428744"/>
                    </a:xfrm>
                    <a:prstGeom prst="rect">
                      <a:avLst/>
                    </a:prstGeom>
                  </pic:spPr>
                </pic:pic>
              </a:graphicData>
            </a:graphic>
          </wp:inline>
        </w:drawing>
      </w:r>
    </w:p>
    <w:p w:rsidR="007B7417" w:rsidRPr="0094751B" w:rsidRDefault="007B7417" w:rsidP="007B7417">
      <w:pPr>
        <w:rPr>
          <w:rFonts w:eastAsia="SimSun"/>
          <w:szCs w:val="24"/>
          <w:lang w:val="en-US" w:eastAsia="zh-CN" w:bidi="hi-IN"/>
        </w:rPr>
      </w:pPr>
      <w:r w:rsidRPr="00043B40">
        <w:rPr>
          <w:b/>
          <w:shd w:val="clear" w:color="auto" w:fill="FFFFFF"/>
        </w:rPr>
        <w:t>Figure 1</w:t>
      </w:r>
      <w:r>
        <w:rPr>
          <w:shd w:val="clear" w:color="auto" w:fill="FFFFFF"/>
        </w:rPr>
        <w:t xml:space="preserve"> – The scales of typical fluvial reservoir heterogeneity (modified from Tyler and Finley, 1991; Morad </w:t>
      </w:r>
      <w:r w:rsidRPr="00517096">
        <w:rPr>
          <w:i/>
          <w:shd w:val="clear" w:color="auto" w:fill="FFFFFF"/>
        </w:rPr>
        <w:t>et al.,</w:t>
      </w:r>
      <w:r>
        <w:rPr>
          <w:shd w:val="clear" w:color="auto" w:fill="FFFFFF"/>
        </w:rPr>
        <w:t xml:space="preserve"> 2010). Note the 1 m - 10 m meso-scale of this study: zonation of permeability is within genetic units (Morad </w:t>
      </w:r>
      <w:r w:rsidRPr="00517096">
        <w:rPr>
          <w:i/>
          <w:shd w:val="clear" w:color="auto" w:fill="FFFFFF"/>
        </w:rPr>
        <w:t>et al.,</w:t>
      </w:r>
      <w:r>
        <w:rPr>
          <w:shd w:val="clear" w:color="auto" w:fill="FFFFFF"/>
        </w:rPr>
        <w:t xml:space="preserve"> 2010; Mitten </w:t>
      </w:r>
      <w:r w:rsidRPr="00517096">
        <w:rPr>
          <w:i/>
          <w:shd w:val="clear" w:color="auto" w:fill="FFFFFF"/>
        </w:rPr>
        <w:t>et al.,</w:t>
      </w:r>
      <w:r>
        <w:rPr>
          <w:i/>
          <w:shd w:val="clear" w:color="auto" w:fill="FFFFFF"/>
        </w:rPr>
        <w:t xml:space="preserve"> </w:t>
      </w:r>
      <w:r>
        <w:rPr>
          <w:shd w:val="clear" w:color="auto" w:fill="FFFFFF"/>
        </w:rPr>
        <w:t>2018). In giga- to meso-scale, the yellow indicates sandstone and the grey mud and siltstone, the red lines indicate faulting. In the micro-scale image the black and grey represent quartz grains and the light blue indicates pore space.</w:t>
      </w:r>
    </w:p>
    <w:p w:rsidR="00BC5CB4" w:rsidRPr="00F82E89" w:rsidRDefault="00A859E5" w:rsidP="0057642C">
      <w:pPr>
        <w:rPr>
          <w:rFonts w:eastAsia="SimSun"/>
          <w:szCs w:val="24"/>
          <w:lang w:val="en-US" w:eastAsia="zh-CN" w:bidi="hi-IN"/>
        </w:rPr>
      </w:pPr>
      <w:r w:rsidRPr="00F82E89">
        <w:rPr>
          <w:rFonts w:eastAsia="SimSun"/>
          <w:szCs w:val="24"/>
          <w:lang w:val="en-US" w:eastAsia="zh-CN" w:bidi="hi-IN"/>
        </w:rPr>
        <w:t>There are three major conventional geostatistical techniques</w:t>
      </w:r>
      <w:r w:rsidR="00447B3F" w:rsidRPr="00F82E89">
        <w:rPr>
          <w:rFonts w:eastAsia="SimSun"/>
          <w:szCs w:val="24"/>
          <w:lang w:val="en-US" w:eastAsia="zh-CN" w:bidi="hi-IN"/>
        </w:rPr>
        <w:t xml:space="preserve"> currently used in reservoir modelling</w:t>
      </w:r>
      <w:r w:rsidR="004354CF">
        <w:rPr>
          <w:rFonts w:eastAsia="SimSun"/>
          <w:szCs w:val="24"/>
          <w:lang w:val="en-US" w:eastAsia="zh-CN" w:bidi="hi-IN"/>
        </w:rPr>
        <w:t xml:space="preserve"> of fluvial deposits</w:t>
      </w:r>
      <w:r w:rsidRPr="00F82E89">
        <w:rPr>
          <w:rFonts w:eastAsia="SimSun"/>
          <w:szCs w:val="24"/>
          <w:lang w:val="en-US" w:eastAsia="zh-CN" w:bidi="hi-IN"/>
        </w:rPr>
        <w:t>: object-b</w:t>
      </w:r>
      <w:r w:rsidR="00E71384" w:rsidRPr="00F82E89">
        <w:rPr>
          <w:rFonts w:eastAsia="SimSun"/>
          <w:szCs w:val="24"/>
          <w:lang w:val="en-US" w:eastAsia="zh-CN" w:bidi="hi-IN"/>
        </w:rPr>
        <w:t xml:space="preserve">ased </w:t>
      </w:r>
      <w:r w:rsidR="0049145F" w:rsidRPr="00F82E89">
        <w:rPr>
          <w:rFonts w:eastAsia="SimSun"/>
          <w:szCs w:val="24"/>
          <w:lang w:val="en-US" w:eastAsia="zh-CN" w:bidi="hi-IN"/>
        </w:rPr>
        <w:t>modelling</w:t>
      </w:r>
      <w:r w:rsidR="00E71384" w:rsidRPr="00F82E89">
        <w:rPr>
          <w:rFonts w:eastAsia="SimSun"/>
          <w:szCs w:val="24"/>
          <w:lang w:val="en-US" w:eastAsia="zh-CN" w:bidi="hi-IN"/>
        </w:rPr>
        <w:t xml:space="preserve"> (OBM), sequential-</w:t>
      </w:r>
      <w:r w:rsidRPr="00F82E89">
        <w:rPr>
          <w:rFonts w:eastAsia="SimSun"/>
          <w:szCs w:val="24"/>
          <w:lang w:val="en-US" w:eastAsia="zh-CN" w:bidi="hi-IN"/>
        </w:rPr>
        <w:t>indicator simulation (SIS) and multi-point statistics</w:t>
      </w:r>
      <w:r w:rsidR="00116C90" w:rsidRPr="00F82E89">
        <w:rPr>
          <w:rFonts w:eastAsia="SimSun"/>
          <w:szCs w:val="24"/>
          <w:lang w:val="en-US" w:eastAsia="zh-CN" w:bidi="hi-IN"/>
        </w:rPr>
        <w:t xml:space="preserve"> (MPS)</w:t>
      </w:r>
      <w:r w:rsidRPr="00F82E89">
        <w:rPr>
          <w:rFonts w:eastAsia="SimSun"/>
          <w:szCs w:val="24"/>
          <w:lang w:val="en-US" w:eastAsia="zh-CN" w:bidi="hi-IN"/>
        </w:rPr>
        <w:t>.</w:t>
      </w:r>
      <w:r w:rsidR="00116C90" w:rsidRPr="00F82E89">
        <w:rPr>
          <w:rFonts w:eastAsia="SimSun"/>
          <w:szCs w:val="24"/>
          <w:lang w:val="en-US" w:eastAsia="zh-CN" w:bidi="hi-IN"/>
        </w:rPr>
        <w:t xml:space="preserve"> OBMs </w:t>
      </w:r>
      <w:r w:rsidR="00A34803">
        <w:rPr>
          <w:rFonts w:eastAsia="SimSun"/>
          <w:szCs w:val="24"/>
          <w:lang w:val="en-US" w:eastAsia="zh-CN" w:bidi="hi-IN"/>
        </w:rPr>
        <w:t xml:space="preserve">use </w:t>
      </w:r>
      <w:r w:rsidR="00116C90" w:rsidRPr="00F82E89">
        <w:rPr>
          <w:rFonts w:eastAsia="SimSun"/>
          <w:szCs w:val="24"/>
          <w:lang w:val="en-US" w:eastAsia="zh-CN" w:bidi="hi-IN"/>
        </w:rPr>
        <w:t>pre-defined geometric shapes to occupy multiple-cells</w:t>
      </w:r>
      <w:r w:rsidR="0057642C" w:rsidRPr="00F82E89">
        <w:t xml:space="preserve"> (Holden </w:t>
      </w:r>
      <w:r w:rsidR="00517096" w:rsidRPr="00517096">
        <w:rPr>
          <w:i/>
        </w:rPr>
        <w:t>et al.,</w:t>
      </w:r>
      <w:r w:rsidR="0057642C" w:rsidRPr="00F82E89">
        <w:t xml:space="preserve"> 1998; Stephen </w:t>
      </w:r>
      <w:r w:rsidR="00517096" w:rsidRPr="00517096">
        <w:rPr>
          <w:i/>
        </w:rPr>
        <w:t>et al.</w:t>
      </w:r>
      <w:r w:rsidR="0057642C" w:rsidRPr="00F82E89">
        <w:t xml:space="preserve">, 2001; Manzocchi </w:t>
      </w:r>
      <w:r w:rsidR="00517096" w:rsidRPr="00517096">
        <w:rPr>
          <w:i/>
        </w:rPr>
        <w:t>et al.,</w:t>
      </w:r>
      <w:r w:rsidR="0057642C" w:rsidRPr="00F82E89">
        <w:t xml:space="preserve"> 2007</w:t>
      </w:r>
      <w:r w:rsidR="004A7C7E" w:rsidRPr="00F82E89">
        <w:t xml:space="preserve">), </w:t>
      </w:r>
      <w:r w:rsidR="00116C90" w:rsidRPr="00F82E89">
        <w:rPr>
          <w:rFonts w:eastAsia="SimSun"/>
          <w:szCs w:val="24"/>
          <w:lang w:val="en-US" w:eastAsia="zh-CN" w:bidi="hi-IN"/>
        </w:rPr>
        <w:t>rather than using two-point or multi-point statistics</w:t>
      </w:r>
      <w:r w:rsidR="00A34803">
        <w:rPr>
          <w:rFonts w:eastAsia="SimSun"/>
          <w:szCs w:val="24"/>
          <w:lang w:val="en-US" w:eastAsia="zh-CN" w:bidi="hi-IN"/>
        </w:rPr>
        <w:t>, to build facies models</w:t>
      </w:r>
      <w:r w:rsidR="00116C90" w:rsidRPr="00F82E89">
        <w:rPr>
          <w:rFonts w:eastAsia="SimSun"/>
          <w:szCs w:val="24"/>
          <w:lang w:val="en-US" w:eastAsia="zh-CN" w:bidi="hi-IN"/>
        </w:rPr>
        <w:t>. SIS</w:t>
      </w:r>
      <w:r w:rsidR="00031FF8">
        <w:rPr>
          <w:rFonts w:eastAsia="SimSun"/>
          <w:szCs w:val="24"/>
          <w:lang w:val="en-US" w:eastAsia="zh-CN" w:bidi="hi-IN"/>
        </w:rPr>
        <w:t xml:space="preserve"> is</w:t>
      </w:r>
      <w:r w:rsidR="0057642C" w:rsidRPr="00F82E89">
        <w:rPr>
          <w:rFonts w:eastAsia="SimSun"/>
          <w:szCs w:val="24"/>
          <w:lang w:val="en-US" w:eastAsia="zh-CN" w:bidi="hi-IN"/>
        </w:rPr>
        <w:t xml:space="preserve"> one of the most commonly used pixel-based methods</w:t>
      </w:r>
      <w:r w:rsidR="009A4469">
        <w:rPr>
          <w:rFonts w:eastAsia="SimSun"/>
          <w:szCs w:val="24"/>
          <w:lang w:val="en-US" w:eastAsia="zh-CN" w:bidi="hi-IN"/>
        </w:rPr>
        <w:t>, i</w:t>
      </w:r>
      <w:r w:rsidR="00031FF8">
        <w:rPr>
          <w:rFonts w:eastAsia="SimSun"/>
          <w:szCs w:val="24"/>
          <w:lang w:val="en-US" w:eastAsia="zh-CN" w:bidi="hi-IN"/>
        </w:rPr>
        <w:t>t</w:t>
      </w:r>
      <w:r w:rsidR="00116C90" w:rsidRPr="00F82E89">
        <w:rPr>
          <w:rFonts w:eastAsia="SimSun"/>
          <w:szCs w:val="24"/>
          <w:lang w:val="en-US" w:eastAsia="zh-CN" w:bidi="hi-IN"/>
        </w:rPr>
        <w:t xml:space="preserve"> </w:t>
      </w:r>
      <w:r w:rsidR="00031FF8">
        <w:rPr>
          <w:rFonts w:eastAsia="SimSun"/>
          <w:szCs w:val="24"/>
          <w:lang w:val="en-US" w:eastAsia="zh-CN" w:bidi="hi-IN"/>
        </w:rPr>
        <w:t xml:space="preserve">uses </w:t>
      </w:r>
      <w:r w:rsidR="00116C90" w:rsidRPr="00F82E89">
        <w:rPr>
          <w:rFonts w:eastAsia="SimSun"/>
          <w:szCs w:val="24"/>
          <w:lang w:val="en-US" w:eastAsia="zh-CN" w:bidi="hi-IN"/>
        </w:rPr>
        <w:t>a two-point approach and populates a model volume using variograms</w:t>
      </w:r>
      <w:r w:rsidR="004354CF">
        <w:rPr>
          <w:rFonts w:eastAsia="SimSun"/>
          <w:szCs w:val="24"/>
          <w:lang w:val="en-US" w:eastAsia="zh-CN" w:bidi="hi-IN"/>
        </w:rPr>
        <w:t xml:space="preserve"> derived </w:t>
      </w:r>
      <w:r w:rsidR="0057642C" w:rsidRPr="00F82E89">
        <w:rPr>
          <w:rFonts w:eastAsia="SimSun"/>
          <w:szCs w:val="24"/>
          <w:lang w:val="en-US" w:eastAsia="zh-CN" w:bidi="hi-IN"/>
        </w:rPr>
        <w:t xml:space="preserve">from one- or two-dimensional data </w:t>
      </w:r>
      <w:r w:rsidR="0057642C" w:rsidRPr="00F82E89">
        <w:t>(Deutsch and Journel</w:t>
      </w:r>
      <w:r w:rsidR="00517096">
        <w:t>,</w:t>
      </w:r>
      <w:r w:rsidR="0057642C" w:rsidRPr="00F82E89">
        <w:t xml:space="preserve"> 1992; Seifert and Jensen</w:t>
      </w:r>
      <w:r w:rsidR="00517096">
        <w:t>,</w:t>
      </w:r>
      <w:r w:rsidR="0057642C" w:rsidRPr="00F82E89">
        <w:t xml:space="preserve"> 1999, 2000 and references therein; Martinius </w:t>
      </w:r>
      <w:r w:rsidR="00517096" w:rsidRPr="00517096">
        <w:rPr>
          <w:i/>
        </w:rPr>
        <w:t>et al.,</w:t>
      </w:r>
      <w:r w:rsidR="0057642C" w:rsidRPr="00F82E89">
        <w:t xml:space="preserve"> 2017)</w:t>
      </w:r>
      <w:r w:rsidR="0057642C" w:rsidRPr="00F82E89">
        <w:rPr>
          <w:rFonts w:eastAsia="SimSun"/>
          <w:szCs w:val="24"/>
          <w:lang w:val="en-US" w:eastAsia="zh-CN" w:bidi="hi-IN"/>
        </w:rPr>
        <w:t xml:space="preserve">. </w:t>
      </w:r>
      <w:r w:rsidR="0057642C" w:rsidRPr="00F82E89">
        <w:t xml:space="preserve">The </w:t>
      </w:r>
      <w:r w:rsidR="00447B3F" w:rsidRPr="00F82E89">
        <w:t xml:space="preserve">SIS </w:t>
      </w:r>
      <w:r w:rsidR="0057642C" w:rsidRPr="00F82E89">
        <w:t>method is designed to apply stationarity to a model</w:t>
      </w:r>
      <w:r w:rsidR="00031FF8">
        <w:t>,</w:t>
      </w:r>
      <w:r w:rsidR="0057642C" w:rsidRPr="00F82E89">
        <w:t xml:space="preserve"> s</w:t>
      </w:r>
      <w:r w:rsidR="00031FF8">
        <w:t>o</w:t>
      </w:r>
      <w:r w:rsidR="0057642C" w:rsidRPr="00F82E89">
        <w:t xml:space="preserve"> that any realisation should honour the input parameters. </w:t>
      </w:r>
      <w:r w:rsidR="0057642C" w:rsidRPr="00F82E89">
        <w:rPr>
          <w:rFonts w:eastAsia="SimSun"/>
          <w:szCs w:val="24"/>
          <w:lang w:val="en-US" w:eastAsia="zh-CN" w:bidi="hi-IN"/>
        </w:rPr>
        <w:t xml:space="preserve">MPS </w:t>
      </w:r>
      <w:r w:rsidR="0057642C" w:rsidRPr="00F82E89">
        <w:t>use a training image</w:t>
      </w:r>
      <w:r w:rsidR="00170B8A">
        <w:t xml:space="preserve">, </w:t>
      </w:r>
      <w:r w:rsidR="007B37E1">
        <w:t xml:space="preserve">a conceptual representation of the geometry and patterns of studied physical properties (Falivene </w:t>
      </w:r>
      <w:r w:rsidR="00517096" w:rsidRPr="00517096">
        <w:rPr>
          <w:i/>
        </w:rPr>
        <w:t>et al.,</w:t>
      </w:r>
      <w:r w:rsidR="007B37E1">
        <w:t xml:space="preserve"> 2006; Maharaja</w:t>
      </w:r>
      <w:r w:rsidR="00517096">
        <w:t>,</w:t>
      </w:r>
      <w:r w:rsidR="007B37E1">
        <w:t xml:space="preserve"> 2008; Pickel </w:t>
      </w:r>
      <w:r w:rsidR="00517096" w:rsidRPr="00517096">
        <w:rPr>
          <w:i/>
        </w:rPr>
        <w:t>et al.,</w:t>
      </w:r>
      <w:r w:rsidR="007B37E1">
        <w:t xml:space="preserve"> 2015),</w:t>
      </w:r>
      <w:r w:rsidR="0057642C" w:rsidRPr="00F82E89">
        <w:t xml:space="preserve"> to dictate the stationary distribution</w:t>
      </w:r>
      <w:r w:rsidR="00031FF8">
        <w:t>s</w:t>
      </w:r>
      <w:r w:rsidR="0057642C" w:rsidRPr="00F82E89">
        <w:t xml:space="preserve"> of sedimentary heterogeneity expected within a reservoir (Strebelle and Journel</w:t>
      </w:r>
      <w:r w:rsidR="00517096">
        <w:t>,</w:t>
      </w:r>
      <w:r w:rsidR="0057642C" w:rsidRPr="00F82E89">
        <w:t xml:space="preserve"> 2001; Strebelle</w:t>
      </w:r>
      <w:r w:rsidR="00517096">
        <w:t>,</w:t>
      </w:r>
      <w:r w:rsidR="0057642C" w:rsidRPr="00F82E89">
        <w:t xml:space="preserve"> 2002; Caers and Zhang</w:t>
      </w:r>
      <w:r w:rsidR="00517096">
        <w:t>,</w:t>
      </w:r>
      <w:r w:rsidR="0057642C" w:rsidRPr="00F82E89">
        <w:t xml:space="preserve"> 2004; Strebelle and Levy</w:t>
      </w:r>
      <w:r w:rsidR="00517096">
        <w:t>,</w:t>
      </w:r>
      <w:r w:rsidR="0057642C" w:rsidRPr="00F82E89">
        <w:t xml:space="preserve"> 2008; Daly and Caers</w:t>
      </w:r>
      <w:r w:rsidR="00517096">
        <w:t>,</w:t>
      </w:r>
      <w:r w:rsidR="0057642C" w:rsidRPr="00F82E89">
        <w:t xml:space="preserve"> 2010). </w:t>
      </w:r>
      <w:r w:rsidR="00447B3F" w:rsidRPr="00F82E89">
        <w:t>MPS</w:t>
      </w:r>
      <w:r w:rsidR="00231EA6" w:rsidRPr="00F82E89">
        <w:t xml:space="preserve"> models</w:t>
      </w:r>
      <w:r w:rsidR="0057642C" w:rsidRPr="00F82E89">
        <w:t xml:space="preserve"> </w:t>
      </w:r>
      <w:r w:rsidR="0057642C" w:rsidRPr="00F82E89">
        <w:rPr>
          <w:rFonts w:eastAsia="SimSun"/>
          <w:szCs w:val="24"/>
          <w:lang w:val="en-US" w:eastAsia="zh-CN" w:bidi="hi-IN"/>
        </w:rPr>
        <w:t xml:space="preserve">have the potential to provide more geologically realistic simulations of reservoir heterogeneity by incorporating analogous data into </w:t>
      </w:r>
      <w:r w:rsidR="00031FF8">
        <w:rPr>
          <w:rFonts w:eastAsia="SimSun"/>
          <w:szCs w:val="24"/>
          <w:lang w:val="en-US" w:eastAsia="zh-CN" w:bidi="hi-IN"/>
        </w:rPr>
        <w:t xml:space="preserve">their </w:t>
      </w:r>
      <w:r w:rsidR="00E71384" w:rsidRPr="00F82E89">
        <w:rPr>
          <w:rFonts w:eastAsia="SimSun"/>
          <w:szCs w:val="24"/>
          <w:lang w:val="en-US" w:eastAsia="zh-CN" w:bidi="hi-IN"/>
        </w:rPr>
        <w:t>workflows</w:t>
      </w:r>
      <w:r w:rsidR="0057642C" w:rsidRPr="00F82E89">
        <w:rPr>
          <w:rFonts w:eastAsia="SimSun"/>
          <w:szCs w:val="24"/>
          <w:lang w:val="en-US" w:eastAsia="zh-CN" w:bidi="hi-IN"/>
        </w:rPr>
        <w:t xml:space="preserve"> (Caers and Zhang, 200</w:t>
      </w:r>
      <w:r w:rsidR="009D496E" w:rsidRPr="00F82E89">
        <w:rPr>
          <w:rFonts w:eastAsia="SimSun"/>
          <w:szCs w:val="24"/>
          <w:lang w:val="en-US" w:eastAsia="zh-CN" w:bidi="hi-IN"/>
        </w:rPr>
        <w:t>4</w:t>
      </w:r>
      <w:r w:rsidR="0057642C" w:rsidRPr="00F82E89">
        <w:rPr>
          <w:rFonts w:eastAsia="SimSun"/>
          <w:szCs w:val="24"/>
          <w:lang w:val="en-US" w:eastAsia="zh-CN" w:bidi="hi-IN"/>
        </w:rPr>
        <w:t xml:space="preserve">, Strebelle and Levy, 2008; Le Coz </w:t>
      </w:r>
      <w:r w:rsidR="00517096" w:rsidRPr="00517096">
        <w:rPr>
          <w:rFonts w:eastAsia="SimSun"/>
          <w:i/>
          <w:szCs w:val="24"/>
          <w:lang w:val="en-US" w:eastAsia="zh-CN" w:bidi="hi-IN"/>
        </w:rPr>
        <w:t>et al.,</w:t>
      </w:r>
      <w:r w:rsidR="0057642C" w:rsidRPr="00F82E89">
        <w:rPr>
          <w:rFonts w:eastAsia="SimSun"/>
          <w:szCs w:val="24"/>
          <w:lang w:val="en-US" w:eastAsia="zh-CN" w:bidi="hi-IN"/>
        </w:rPr>
        <w:t xml:space="preserve"> 2011; Hu </w:t>
      </w:r>
      <w:r w:rsidR="00517096" w:rsidRPr="00517096">
        <w:rPr>
          <w:rFonts w:eastAsia="SimSun"/>
          <w:i/>
          <w:szCs w:val="24"/>
          <w:lang w:val="en-US" w:eastAsia="zh-CN" w:bidi="hi-IN"/>
        </w:rPr>
        <w:t>et al.,</w:t>
      </w:r>
      <w:r w:rsidR="0057642C" w:rsidRPr="00F82E89">
        <w:rPr>
          <w:rFonts w:eastAsia="SimSun"/>
          <w:szCs w:val="24"/>
          <w:lang w:val="en-US" w:eastAsia="zh-CN" w:bidi="hi-IN"/>
        </w:rPr>
        <w:t xml:space="preserve"> 2014; Zhou </w:t>
      </w:r>
      <w:r w:rsidR="00517096" w:rsidRPr="00517096">
        <w:rPr>
          <w:rFonts w:eastAsia="SimSun"/>
          <w:i/>
          <w:szCs w:val="24"/>
          <w:lang w:val="en-US" w:eastAsia="zh-CN" w:bidi="hi-IN"/>
        </w:rPr>
        <w:t>et al.,</w:t>
      </w:r>
      <w:r w:rsidR="0057642C" w:rsidRPr="00F82E89">
        <w:rPr>
          <w:rFonts w:eastAsia="SimSun"/>
          <w:szCs w:val="24"/>
          <w:lang w:val="en-US" w:eastAsia="zh-CN" w:bidi="hi-IN"/>
        </w:rPr>
        <w:t xml:space="preserve"> 2018).</w:t>
      </w:r>
    </w:p>
    <w:p w:rsidR="00BC5CB4" w:rsidRPr="00F82E89" w:rsidRDefault="00231EA6" w:rsidP="00033B02">
      <w:pPr>
        <w:rPr>
          <w:rFonts w:eastAsia="SimSun"/>
          <w:szCs w:val="24"/>
          <w:lang w:val="en-US" w:eastAsia="zh-CN" w:bidi="hi-IN"/>
        </w:rPr>
      </w:pPr>
      <w:r w:rsidRPr="00F82E89">
        <w:rPr>
          <w:rFonts w:eastAsia="SimSun"/>
          <w:szCs w:val="24"/>
          <w:lang w:val="en-US" w:eastAsia="zh-CN" w:bidi="hi-IN"/>
        </w:rPr>
        <w:t xml:space="preserve">Each </w:t>
      </w:r>
      <w:r w:rsidR="0049145F" w:rsidRPr="00F82E89">
        <w:rPr>
          <w:rFonts w:eastAsia="SimSun"/>
          <w:szCs w:val="24"/>
          <w:lang w:val="en-US" w:eastAsia="zh-CN" w:bidi="hi-IN"/>
        </w:rPr>
        <w:t>modelling</w:t>
      </w:r>
      <w:r w:rsidRPr="00F82E89">
        <w:rPr>
          <w:rFonts w:eastAsia="SimSun"/>
          <w:szCs w:val="24"/>
          <w:lang w:val="en-US" w:eastAsia="zh-CN" w:bidi="hi-IN"/>
        </w:rPr>
        <w:t xml:space="preserve"> approach has </w:t>
      </w:r>
      <w:r w:rsidR="009F072C">
        <w:rPr>
          <w:rFonts w:eastAsia="SimSun"/>
          <w:szCs w:val="24"/>
          <w:lang w:val="en-US" w:eastAsia="zh-CN" w:bidi="hi-IN"/>
        </w:rPr>
        <w:t>its</w:t>
      </w:r>
      <w:r w:rsidR="009F072C" w:rsidRPr="00F82E89">
        <w:rPr>
          <w:rFonts w:eastAsia="SimSun"/>
          <w:szCs w:val="24"/>
          <w:lang w:val="en-US" w:eastAsia="zh-CN" w:bidi="hi-IN"/>
        </w:rPr>
        <w:t xml:space="preserve"> </w:t>
      </w:r>
      <w:r w:rsidRPr="00F82E89">
        <w:rPr>
          <w:rFonts w:eastAsia="SimSun"/>
          <w:szCs w:val="24"/>
          <w:lang w:val="en-US" w:eastAsia="zh-CN" w:bidi="hi-IN"/>
        </w:rPr>
        <w:t>limitations with regards to the replication of facies</w:t>
      </w:r>
      <w:r w:rsidR="00A34803">
        <w:rPr>
          <w:rFonts w:eastAsia="SimSun"/>
          <w:szCs w:val="24"/>
          <w:lang w:val="en-US" w:eastAsia="zh-CN" w:bidi="hi-IN"/>
        </w:rPr>
        <w:t xml:space="preserve"> and</w:t>
      </w:r>
      <w:r w:rsidRPr="00F82E89">
        <w:rPr>
          <w:rFonts w:eastAsia="SimSun"/>
          <w:szCs w:val="24"/>
          <w:lang w:val="en-US" w:eastAsia="zh-CN" w:bidi="hi-IN"/>
        </w:rPr>
        <w:t xml:space="preserve"> </w:t>
      </w:r>
      <w:r w:rsidR="00A34803">
        <w:rPr>
          <w:rFonts w:eastAsia="SimSun"/>
          <w:szCs w:val="24"/>
          <w:lang w:val="en-US" w:eastAsia="zh-CN" w:bidi="hi-IN"/>
        </w:rPr>
        <w:t xml:space="preserve">the </w:t>
      </w:r>
      <w:r w:rsidR="00A34803" w:rsidRPr="00F82E89">
        <w:rPr>
          <w:rFonts w:eastAsia="SimSun"/>
          <w:szCs w:val="24"/>
          <w:lang w:val="en-US" w:eastAsia="zh-CN" w:bidi="hi-IN"/>
        </w:rPr>
        <w:t>reproducibility</w:t>
      </w:r>
      <w:r w:rsidRPr="00F82E89">
        <w:rPr>
          <w:rFonts w:eastAsia="SimSun"/>
          <w:szCs w:val="24"/>
          <w:lang w:val="en-US" w:eastAsia="zh-CN" w:bidi="hi-IN"/>
        </w:rPr>
        <w:t xml:space="preserve"> </w:t>
      </w:r>
      <w:r w:rsidR="009F072C">
        <w:rPr>
          <w:rFonts w:eastAsia="SimSun"/>
          <w:szCs w:val="24"/>
          <w:lang w:val="en-US" w:eastAsia="zh-CN" w:bidi="hi-IN"/>
        </w:rPr>
        <w:t xml:space="preserve">of the </w:t>
      </w:r>
      <w:r w:rsidR="00A34803">
        <w:rPr>
          <w:rFonts w:eastAsia="SimSun"/>
          <w:szCs w:val="24"/>
          <w:lang w:val="en-US" w:eastAsia="zh-CN" w:bidi="hi-IN"/>
        </w:rPr>
        <w:t>input data</w:t>
      </w:r>
      <w:r w:rsidRPr="00F82E89">
        <w:rPr>
          <w:rFonts w:eastAsia="SimSun"/>
          <w:szCs w:val="24"/>
          <w:lang w:val="en-US" w:eastAsia="zh-CN" w:bidi="hi-IN"/>
        </w:rPr>
        <w:t>. OBMs are limited by the pre-defined shapes they can produce</w:t>
      </w:r>
      <w:r w:rsidR="007D7916">
        <w:rPr>
          <w:rFonts w:eastAsia="SimSun"/>
          <w:szCs w:val="24"/>
          <w:lang w:val="en-US" w:eastAsia="zh-CN" w:bidi="hi-IN"/>
        </w:rPr>
        <w:t xml:space="preserve"> (</w:t>
      </w:r>
      <w:r w:rsidR="007D7916" w:rsidRPr="00F82E89">
        <w:t xml:space="preserve">Holden </w:t>
      </w:r>
      <w:r w:rsidR="00517096" w:rsidRPr="00517096">
        <w:rPr>
          <w:i/>
        </w:rPr>
        <w:t>et al.,</w:t>
      </w:r>
      <w:r w:rsidR="007D7916" w:rsidRPr="00F82E89">
        <w:t xml:space="preserve"> 1998; Stephen </w:t>
      </w:r>
      <w:r w:rsidR="00517096" w:rsidRPr="00517096">
        <w:rPr>
          <w:i/>
        </w:rPr>
        <w:t>et al.,</w:t>
      </w:r>
      <w:r w:rsidR="007D7916" w:rsidRPr="00F82E89">
        <w:t xml:space="preserve"> 2001; Manzocchi </w:t>
      </w:r>
      <w:r w:rsidR="00517096" w:rsidRPr="00517096">
        <w:rPr>
          <w:i/>
        </w:rPr>
        <w:t>et al.,</w:t>
      </w:r>
      <w:r w:rsidR="007D7916" w:rsidRPr="00F82E89">
        <w:t xml:space="preserve"> 2007</w:t>
      </w:r>
      <w:r w:rsidR="007D7916">
        <w:t>)</w:t>
      </w:r>
      <w:r w:rsidRPr="00F82E89">
        <w:rPr>
          <w:rFonts w:eastAsia="SimSun"/>
          <w:szCs w:val="24"/>
          <w:lang w:val="en-US" w:eastAsia="zh-CN" w:bidi="hi-IN"/>
        </w:rPr>
        <w:t xml:space="preserve">. SIS commonly </w:t>
      </w:r>
      <w:r w:rsidR="008C3954" w:rsidRPr="00F82E89">
        <w:rPr>
          <w:rFonts w:eastAsia="SimSun"/>
          <w:szCs w:val="24"/>
          <w:lang w:val="en-US" w:eastAsia="zh-CN" w:bidi="hi-IN"/>
        </w:rPr>
        <w:t>produces</w:t>
      </w:r>
      <w:r w:rsidRPr="00F82E89">
        <w:rPr>
          <w:rFonts w:eastAsia="SimSun"/>
          <w:szCs w:val="24"/>
          <w:lang w:val="en-US" w:eastAsia="zh-CN" w:bidi="hi-IN"/>
        </w:rPr>
        <w:t xml:space="preserve"> model elements wi</w:t>
      </w:r>
      <w:r w:rsidR="008C3954" w:rsidRPr="00F82E89">
        <w:rPr>
          <w:rFonts w:eastAsia="SimSun"/>
          <w:szCs w:val="24"/>
          <w:lang w:val="en-US" w:eastAsia="zh-CN" w:bidi="hi-IN"/>
        </w:rPr>
        <w:t>th margins,</w:t>
      </w:r>
      <w:r w:rsidRPr="00F82E89">
        <w:rPr>
          <w:rFonts w:eastAsia="SimSun"/>
          <w:szCs w:val="24"/>
          <w:lang w:val="en-US" w:eastAsia="zh-CN" w:bidi="hi-IN"/>
        </w:rPr>
        <w:t xml:space="preserve"> geometries </w:t>
      </w:r>
      <w:r w:rsidR="008C3954" w:rsidRPr="00F82E89">
        <w:rPr>
          <w:rFonts w:eastAsia="SimSun"/>
          <w:szCs w:val="24"/>
          <w:lang w:val="en-US" w:eastAsia="zh-CN" w:bidi="hi-IN"/>
        </w:rPr>
        <w:t xml:space="preserve">and distributions </w:t>
      </w:r>
      <w:r w:rsidR="009F072C">
        <w:rPr>
          <w:rFonts w:eastAsia="SimSun"/>
          <w:szCs w:val="24"/>
          <w:lang w:val="en-US" w:eastAsia="zh-CN" w:bidi="hi-IN"/>
        </w:rPr>
        <w:t xml:space="preserve">that are </w:t>
      </w:r>
      <w:r w:rsidR="00090D12" w:rsidRPr="00F82E89">
        <w:rPr>
          <w:rFonts w:eastAsia="SimSun"/>
          <w:szCs w:val="24"/>
          <w:lang w:val="en-US" w:eastAsia="zh-CN" w:bidi="hi-IN"/>
        </w:rPr>
        <w:t xml:space="preserve">not realistic </w:t>
      </w:r>
      <w:r w:rsidR="009F072C">
        <w:rPr>
          <w:rFonts w:eastAsia="SimSun"/>
          <w:szCs w:val="24"/>
          <w:lang w:val="en-US" w:eastAsia="zh-CN" w:bidi="hi-IN"/>
        </w:rPr>
        <w:t xml:space="preserve">compared </w:t>
      </w:r>
      <w:r w:rsidR="00090D12" w:rsidRPr="00F82E89">
        <w:rPr>
          <w:rFonts w:eastAsia="SimSun"/>
          <w:szCs w:val="24"/>
          <w:lang w:val="en-US" w:eastAsia="zh-CN" w:bidi="hi-IN"/>
        </w:rPr>
        <w:t>to</w:t>
      </w:r>
      <w:r w:rsidRPr="00F82E89">
        <w:rPr>
          <w:rFonts w:eastAsia="SimSun"/>
          <w:szCs w:val="24"/>
          <w:lang w:val="en-US" w:eastAsia="zh-CN" w:bidi="hi-IN"/>
        </w:rPr>
        <w:t xml:space="preserve"> the geology simulated</w:t>
      </w:r>
      <w:r w:rsidR="008C3954" w:rsidRPr="00F82E89">
        <w:rPr>
          <w:rFonts w:eastAsia="SimSun"/>
          <w:szCs w:val="24"/>
          <w:lang w:val="en-US" w:eastAsia="zh-CN" w:bidi="hi-IN"/>
        </w:rPr>
        <w:t xml:space="preserve"> (</w:t>
      </w:r>
      <w:r w:rsidR="008C3954" w:rsidRPr="00F82E89">
        <w:t>Seifert and Jensen</w:t>
      </w:r>
      <w:r w:rsidR="00517096">
        <w:t>,</w:t>
      </w:r>
      <w:r w:rsidR="008C3954" w:rsidRPr="00F82E89">
        <w:t xml:space="preserve"> 1999; Deutsch</w:t>
      </w:r>
      <w:r w:rsidR="00517096">
        <w:t>,</w:t>
      </w:r>
      <w:r w:rsidR="008C3954" w:rsidRPr="00F82E89">
        <w:t xml:space="preserve"> 2006; Ringrose and Bentley</w:t>
      </w:r>
      <w:r w:rsidR="00517096">
        <w:t>,</w:t>
      </w:r>
      <w:r w:rsidR="008C3954" w:rsidRPr="00F82E89">
        <w:t xml:space="preserve"> 2015)</w:t>
      </w:r>
      <w:r w:rsidRPr="00F82E89">
        <w:rPr>
          <w:rFonts w:eastAsia="SimSun"/>
          <w:szCs w:val="24"/>
          <w:lang w:val="en-US" w:eastAsia="zh-CN" w:bidi="hi-IN"/>
        </w:rPr>
        <w:t xml:space="preserve">. Finally, </w:t>
      </w:r>
      <w:r w:rsidRPr="00F82E89">
        <w:t>MPS has been hampered</w:t>
      </w:r>
      <w:r w:rsidR="00447B3F" w:rsidRPr="00F82E89">
        <w:t>, to-date,</w:t>
      </w:r>
      <w:r w:rsidRPr="00F82E89">
        <w:t xml:space="preserve"> by the lack of appropriate </w:t>
      </w:r>
      <w:r w:rsidR="009F072C" w:rsidRPr="00F82E89">
        <w:t>libraries</w:t>
      </w:r>
      <w:r w:rsidR="009F072C">
        <w:t xml:space="preserve"> of</w:t>
      </w:r>
      <w:r w:rsidR="009F072C" w:rsidRPr="00F82E89">
        <w:t xml:space="preserve"> </w:t>
      </w:r>
      <w:r w:rsidRPr="00F82E89">
        <w:t>training image</w:t>
      </w:r>
      <w:r w:rsidR="009F072C">
        <w:t>s</w:t>
      </w:r>
      <w:r w:rsidRPr="00F82E89">
        <w:t xml:space="preserve">, the difficulty in </w:t>
      </w:r>
      <w:r w:rsidR="009F072C" w:rsidRPr="00F82E89">
        <w:t>con</w:t>
      </w:r>
      <w:r w:rsidR="009F072C">
        <w:t>structing</w:t>
      </w:r>
      <w:r w:rsidR="009F072C" w:rsidRPr="00F82E89">
        <w:t xml:space="preserve"> </w:t>
      </w:r>
      <w:r w:rsidR="00C85F30">
        <w:t xml:space="preserve">three dimensional </w:t>
      </w:r>
      <w:r w:rsidRPr="00F82E89">
        <w:t>training image</w:t>
      </w:r>
      <w:r w:rsidR="009F072C">
        <w:t>s</w:t>
      </w:r>
      <w:r w:rsidRPr="00F82E89">
        <w:t xml:space="preserve">, </w:t>
      </w:r>
      <w:r w:rsidR="009F072C">
        <w:t>their</w:t>
      </w:r>
      <w:r w:rsidRPr="00F82E89">
        <w:t xml:space="preserve"> re-usability</w:t>
      </w:r>
      <w:r w:rsidR="009F072C">
        <w:t>,</w:t>
      </w:r>
      <w:r w:rsidR="00D545FD" w:rsidRPr="00F82E89">
        <w:t xml:space="preserve"> </w:t>
      </w:r>
      <w:r w:rsidRPr="00F82E89">
        <w:t>and the lack of standardized methods for their development, particularly in three dimensions (</w:t>
      </w:r>
      <w:r w:rsidR="00447B3F" w:rsidRPr="00F82E89">
        <w:t xml:space="preserve">see </w:t>
      </w:r>
      <w:r w:rsidRPr="00F82E89">
        <w:t xml:space="preserve">Comunian </w:t>
      </w:r>
      <w:r w:rsidR="00517096" w:rsidRPr="00517096">
        <w:rPr>
          <w:i/>
        </w:rPr>
        <w:t>et al.,</w:t>
      </w:r>
      <w:r w:rsidRPr="00F82E89">
        <w:t xml:space="preserve"> 201</w:t>
      </w:r>
      <w:r w:rsidR="006C50E2" w:rsidRPr="00F82E89">
        <w:t>2</w:t>
      </w:r>
      <w:r w:rsidRPr="00F82E89">
        <w:t>; Ringrose and Bentley</w:t>
      </w:r>
      <w:r w:rsidR="00517096">
        <w:t>,</w:t>
      </w:r>
      <w:r w:rsidRPr="00F82E89">
        <w:t xml:space="preserve"> 2015).</w:t>
      </w:r>
    </w:p>
    <w:p w:rsidR="0057642C" w:rsidRPr="00F82E89" w:rsidRDefault="00EB08B8" w:rsidP="00CD1601">
      <w:pPr>
        <w:pStyle w:val="Heading2"/>
        <w:numPr>
          <w:ilvl w:val="1"/>
          <w:numId w:val="1"/>
        </w:numPr>
        <w:rPr>
          <w:rFonts w:eastAsia="SimSun"/>
          <w:lang w:val="en-US" w:eastAsia="zh-CN" w:bidi="hi-IN"/>
        </w:rPr>
      </w:pPr>
      <w:r>
        <w:rPr>
          <w:rFonts w:eastAsia="SimSun"/>
          <w:lang w:val="en-US" w:eastAsia="zh-CN" w:bidi="hi-IN"/>
        </w:rPr>
        <w:t>Study a</w:t>
      </w:r>
      <w:r w:rsidR="0057642C" w:rsidRPr="00F82E89">
        <w:rPr>
          <w:rFonts w:eastAsia="SimSun"/>
          <w:lang w:val="en-US" w:eastAsia="zh-CN" w:bidi="hi-IN"/>
        </w:rPr>
        <w:t>ims</w:t>
      </w:r>
    </w:p>
    <w:p w:rsidR="00BC5CB4" w:rsidRDefault="00BC5CB4" w:rsidP="00C267EE">
      <w:pPr>
        <w:rPr>
          <w:rFonts w:eastAsia="SimSun"/>
          <w:szCs w:val="24"/>
          <w:lang w:val="en-US" w:eastAsia="zh-CN" w:bidi="hi-IN"/>
        </w:rPr>
      </w:pPr>
      <w:r w:rsidRPr="00F82E89">
        <w:rPr>
          <w:rFonts w:eastAsia="SimSun"/>
          <w:szCs w:val="24"/>
          <w:lang w:val="en-US" w:eastAsia="zh-CN" w:bidi="hi-IN"/>
        </w:rPr>
        <w:t xml:space="preserve">This study </w:t>
      </w:r>
      <w:r w:rsidR="00C267EE" w:rsidRPr="00F82E89">
        <w:rPr>
          <w:rFonts w:eastAsia="SimSun"/>
          <w:szCs w:val="24"/>
          <w:lang w:val="en-US" w:eastAsia="zh-CN" w:bidi="hi-IN"/>
        </w:rPr>
        <w:t xml:space="preserve">focuses on the reproduction of architectural element scale heterogeneity </w:t>
      </w:r>
      <w:r w:rsidR="004354CF">
        <w:rPr>
          <w:rFonts w:eastAsia="SimSun"/>
          <w:szCs w:val="24"/>
          <w:lang w:val="en-US" w:eastAsia="zh-CN" w:bidi="hi-IN"/>
        </w:rPr>
        <w:t xml:space="preserve">(Figure 1) </w:t>
      </w:r>
      <w:r w:rsidR="00C267EE" w:rsidRPr="00F82E89">
        <w:rPr>
          <w:rFonts w:eastAsia="SimSun"/>
          <w:szCs w:val="24"/>
          <w:lang w:val="en-US" w:eastAsia="zh-CN" w:bidi="hi-IN"/>
        </w:rPr>
        <w:t xml:space="preserve">within a sand-dominated braided channel </w:t>
      </w:r>
      <w:r w:rsidR="00447B3F" w:rsidRPr="00F82E89">
        <w:rPr>
          <w:rFonts w:eastAsia="SimSun"/>
          <w:szCs w:val="24"/>
          <w:lang w:val="en-US" w:eastAsia="zh-CN" w:bidi="hi-IN"/>
        </w:rPr>
        <w:t>system</w:t>
      </w:r>
      <w:r w:rsidR="00C267EE" w:rsidRPr="00F82E89">
        <w:rPr>
          <w:rFonts w:eastAsia="SimSun"/>
          <w:szCs w:val="24"/>
          <w:lang w:val="en-US" w:eastAsia="zh-CN" w:bidi="hi-IN"/>
        </w:rPr>
        <w:t>. Th</w:t>
      </w:r>
      <w:r w:rsidR="00447B3F" w:rsidRPr="00F82E89">
        <w:rPr>
          <w:rFonts w:eastAsia="SimSun"/>
          <w:szCs w:val="24"/>
          <w:lang w:val="en-US" w:eastAsia="zh-CN" w:bidi="hi-IN"/>
        </w:rPr>
        <w:t>is</w:t>
      </w:r>
      <w:r w:rsidR="00C267EE" w:rsidRPr="00F82E89">
        <w:rPr>
          <w:rFonts w:eastAsia="SimSun"/>
          <w:szCs w:val="24"/>
          <w:lang w:val="en-US" w:eastAsia="zh-CN" w:bidi="hi-IN"/>
        </w:rPr>
        <w:t xml:space="preserve"> work utili</w:t>
      </w:r>
      <w:r w:rsidR="00447B3F" w:rsidRPr="00F82E89">
        <w:rPr>
          <w:rFonts w:eastAsia="SimSun"/>
          <w:szCs w:val="24"/>
          <w:lang w:val="en-US" w:eastAsia="zh-CN" w:bidi="hi-IN"/>
        </w:rPr>
        <w:t>z</w:t>
      </w:r>
      <w:r w:rsidR="00C267EE" w:rsidRPr="00F82E89">
        <w:rPr>
          <w:rFonts w:eastAsia="SimSun"/>
          <w:szCs w:val="24"/>
          <w:lang w:val="en-US" w:eastAsia="zh-CN" w:bidi="hi-IN"/>
        </w:rPr>
        <w:t xml:space="preserve">es </w:t>
      </w:r>
      <w:r w:rsidR="00447B3F" w:rsidRPr="00F82E89">
        <w:rPr>
          <w:rFonts w:eastAsia="SimSun"/>
          <w:szCs w:val="24"/>
          <w:lang w:val="en-US" w:eastAsia="zh-CN" w:bidi="hi-IN"/>
        </w:rPr>
        <w:t xml:space="preserve">sedimentary </w:t>
      </w:r>
      <w:r w:rsidR="00C267EE" w:rsidRPr="00F82E89">
        <w:rPr>
          <w:rFonts w:eastAsia="SimSun"/>
          <w:szCs w:val="24"/>
          <w:lang w:val="en-US" w:eastAsia="zh-CN" w:bidi="hi-IN"/>
        </w:rPr>
        <w:t>log</w:t>
      </w:r>
      <w:r w:rsidR="00DF0BC2">
        <w:rPr>
          <w:rFonts w:eastAsia="SimSun"/>
          <w:szCs w:val="24"/>
          <w:lang w:val="en-US" w:eastAsia="zh-CN" w:bidi="hi-IN"/>
        </w:rPr>
        <w:t>s</w:t>
      </w:r>
      <w:r w:rsidR="00C267EE" w:rsidRPr="00F82E89">
        <w:rPr>
          <w:rFonts w:eastAsia="SimSun"/>
          <w:szCs w:val="24"/>
          <w:lang w:val="en-US" w:eastAsia="zh-CN" w:bidi="hi-IN"/>
        </w:rPr>
        <w:t xml:space="preserve"> and </w:t>
      </w:r>
      <w:r w:rsidR="007D7916">
        <w:rPr>
          <w:rFonts w:eastAsia="SimSun"/>
          <w:szCs w:val="24"/>
          <w:lang w:val="en-US" w:eastAsia="zh-CN" w:bidi="hi-IN"/>
        </w:rPr>
        <w:t xml:space="preserve">digital </w:t>
      </w:r>
      <w:r w:rsidR="00C267EE" w:rsidRPr="00F82E89">
        <w:rPr>
          <w:rFonts w:eastAsia="SimSun"/>
          <w:szCs w:val="24"/>
          <w:lang w:val="en-US" w:eastAsia="zh-CN" w:bidi="hi-IN"/>
        </w:rPr>
        <w:t xml:space="preserve">photogrammetric outcrop data from Tuscher Canyon, Utah and aerial imagery data from the Jamuna River, northern India, to develop a training image conditioned to basic depositional </w:t>
      </w:r>
      <w:r w:rsidR="00C85F30">
        <w:rPr>
          <w:rFonts w:eastAsia="SimSun"/>
          <w:szCs w:val="24"/>
          <w:lang w:val="en-US" w:eastAsia="zh-CN" w:bidi="hi-IN"/>
        </w:rPr>
        <w:t>characteristics</w:t>
      </w:r>
      <w:r w:rsidR="00C267EE" w:rsidRPr="00F82E89">
        <w:rPr>
          <w:rFonts w:eastAsia="SimSun"/>
          <w:szCs w:val="24"/>
          <w:lang w:val="en-US" w:eastAsia="zh-CN" w:bidi="hi-IN"/>
        </w:rPr>
        <w:t xml:space="preserve"> known as depositional conditions.</w:t>
      </w:r>
    </w:p>
    <w:p w:rsidR="00B434CD" w:rsidRDefault="00C267EE" w:rsidP="00D50D65">
      <w:r w:rsidRPr="00F82E89">
        <w:rPr>
          <w:rFonts w:eastAsia="SimSun"/>
          <w:szCs w:val="24"/>
          <w:lang w:val="en-US" w:eastAsia="zh-CN" w:bidi="hi-IN"/>
        </w:rPr>
        <w:t>The aims of this study are to</w:t>
      </w:r>
      <w:r w:rsidR="00A34803">
        <w:rPr>
          <w:rFonts w:eastAsia="SimSun"/>
          <w:szCs w:val="24"/>
          <w:lang w:val="en-US" w:eastAsia="zh-CN" w:bidi="hi-IN"/>
        </w:rPr>
        <w:t>:</w:t>
      </w:r>
      <w:r w:rsidR="00C85F30">
        <w:rPr>
          <w:rFonts w:eastAsia="SimSun"/>
          <w:szCs w:val="24"/>
          <w:lang w:val="en-US" w:eastAsia="zh-CN" w:bidi="hi-IN"/>
        </w:rPr>
        <w:t xml:space="preserve"> (1) identify</w:t>
      </w:r>
      <w:r w:rsidRPr="00F82E89">
        <w:rPr>
          <w:rFonts w:eastAsia="SimSun"/>
          <w:szCs w:val="24"/>
          <w:lang w:val="en-US" w:eastAsia="zh-CN" w:bidi="hi-IN"/>
        </w:rPr>
        <w:t xml:space="preserve"> heterogeneity b</w:t>
      </w:r>
      <w:r w:rsidR="00447B3F" w:rsidRPr="00F82E89">
        <w:rPr>
          <w:rFonts w:eastAsia="SimSun"/>
          <w:szCs w:val="24"/>
          <w:lang w:val="en-US" w:eastAsia="zh-CN" w:bidi="hi-IN"/>
        </w:rPr>
        <w:t>e</w:t>
      </w:r>
      <w:r w:rsidRPr="00F82E89">
        <w:rPr>
          <w:rFonts w:eastAsia="SimSun"/>
          <w:szCs w:val="24"/>
          <w:lang w:val="en-US" w:eastAsia="zh-CN" w:bidi="hi-IN"/>
        </w:rPr>
        <w:t>aring archite</w:t>
      </w:r>
      <w:r w:rsidR="00E71384" w:rsidRPr="00F82E89">
        <w:rPr>
          <w:rFonts w:eastAsia="SimSun"/>
          <w:szCs w:val="24"/>
          <w:lang w:val="en-US" w:eastAsia="zh-CN" w:bidi="hi-IN"/>
        </w:rPr>
        <w:t xml:space="preserve">ctural elements within the </w:t>
      </w:r>
      <w:r w:rsidR="00C85F30">
        <w:rPr>
          <w:rFonts w:eastAsia="SimSun"/>
          <w:szCs w:val="24"/>
          <w:lang w:val="en-US" w:eastAsia="zh-CN" w:bidi="hi-IN"/>
        </w:rPr>
        <w:t>datasets</w:t>
      </w:r>
      <w:r w:rsidRPr="00F82E89">
        <w:rPr>
          <w:rFonts w:eastAsia="SimSun"/>
          <w:szCs w:val="24"/>
          <w:lang w:val="en-US" w:eastAsia="zh-CN" w:bidi="hi-IN"/>
        </w:rPr>
        <w:t xml:space="preserve"> (</w:t>
      </w:r>
      <w:r w:rsidRPr="00F82E89">
        <w:t>Miall</w:t>
      </w:r>
      <w:r w:rsidR="00517096">
        <w:t>,</w:t>
      </w:r>
      <w:r w:rsidRPr="00F82E89">
        <w:t xml:space="preserve"> 1993; 1994; Yoshida</w:t>
      </w:r>
      <w:r w:rsidR="00517096">
        <w:t>,</w:t>
      </w:r>
      <w:r w:rsidRPr="00F82E89">
        <w:t xml:space="preserve"> 2000; </w:t>
      </w:r>
      <w:r w:rsidRPr="00F82E89">
        <w:rPr>
          <w:shd w:val="clear" w:color="auto" w:fill="FFFFFF"/>
        </w:rPr>
        <w:t>Miall and Arush</w:t>
      </w:r>
      <w:r w:rsidR="00517096">
        <w:rPr>
          <w:shd w:val="clear" w:color="auto" w:fill="FFFFFF"/>
        </w:rPr>
        <w:t>,</w:t>
      </w:r>
      <w:r w:rsidRPr="00F82E89">
        <w:rPr>
          <w:shd w:val="clear" w:color="auto" w:fill="FFFFFF"/>
        </w:rPr>
        <w:t xml:space="preserve"> 2001; </w:t>
      </w:r>
      <w:r w:rsidRPr="00F82E89">
        <w:t xml:space="preserve">Trower </w:t>
      </w:r>
      <w:r w:rsidR="00517096" w:rsidRPr="00517096">
        <w:rPr>
          <w:i/>
        </w:rPr>
        <w:t>et al.,</w:t>
      </w:r>
      <w:r w:rsidRPr="00F82E89">
        <w:t xml:space="preserve"> 2018), (2) </w:t>
      </w:r>
      <w:r w:rsidR="00A34803">
        <w:t xml:space="preserve">to construct a </w:t>
      </w:r>
      <w:r w:rsidR="00C85F30">
        <w:t xml:space="preserve">depositional conditioned </w:t>
      </w:r>
      <w:r w:rsidR="00A34803">
        <w:t xml:space="preserve">three dimensional training image </w:t>
      </w:r>
      <w:r w:rsidR="00C85F30">
        <w:t>based on the modern and ancient data</w:t>
      </w:r>
      <w:r w:rsidR="00A34803">
        <w:t>, (3) to</w:t>
      </w:r>
      <w:r w:rsidR="00D50D65">
        <w:t xml:space="preserve"> replicate the architectural elements from the datasets in reservoir models </w:t>
      </w:r>
      <w:r w:rsidR="00C85F30">
        <w:t xml:space="preserve">using object-based models, sequential indicator simulations and multipoint statistics, </w:t>
      </w:r>
      <w:r w:rsidR="00D50D65">
        <w:t>and (4) to qualitatively and quantitatively analyse the reproducibility and geological realism of the generated reservoir models.</w:t>
      </w:r>
      <w:r w:rsidR="00AC02FE" w:rsidRPr="00F82E89">
        <w:t xml:space="preserve"> </w:t>
      </w:r>
    </w:p>
    <w:p w:rsidR="00D50D65" w:rsidRDefault="0084044B" w:rsidP="00386DAE">
      <w:r>
        <w:t>Th</w:t>
      </w:r>
      <w:r w:rsidR="009A4469">
        <w:t xml:space="preserve">e </w:t>
      </w:r>
      <w:r w:rsidR="00EF6140">
        <w:t>paper will</w:t>
      </w:r>
      <w:r w:rsidR="00A261BE">
        <w:t xml:space="preserve"> first</w:t>
      </w:r>
      <w:r w:rsidR="00D50D65">
        <w:t>,</w:t>
      </w:r>
      <w:r>
        <w:t xml:space="preserve"> describe the geological setting</w:t>
      </w:r>
      <w:r w:rsidR="00B434CD">
        <w:t>s</w:t>
      </w:r>
      <w:r>
        <w:t xml:space="preserve"> of the study areas</w:t>
      </w:r>
      <w:r w:rsidR="00D50D65">
        <w:t xml:space="preserve">, </w:t>
      </w:r>
      <w:r w:rsidR="00745F04">
        <w:t xml:space="preserve">the methods </w:t>
      </w:r>
      <w:r w:rsidR="00D50D65">
        <w:t>of sediment</w:t>
      </w:r>
      <w:r w:rsidR="004F459A">
        <w:t xml:space="preserve">ological analysis used, and </w:t>
      </w:r>
      <w:r w:rsidR="00D50D65">
        <w:t>result</w:t>
      </w:r>
      <w:r w:rsidR="004F459A">
        <w:t xml:space="preserve">ing interpretations of </w:t>
      </w:r>
      <w:r w:rsidR="00770056">
        <w:t>net-reservoir and heter</w:t>
      </w:r>
      <w:r w:rsidR="004F459A">
        <w:t>ogeneous non-net reservoir architectural elements</w:t>
      </w:r>
      <w:r w:rsidR="00770056">
        <w:t xml:space="preserve">. Secondly, the paper will describe the creation of a depositionally conditioned </w:t>
      </w:r>
      <w:r w:rsidR="004F459A">
        <w:t xml:space="preserve">three dimensional </w:t>
      </w:r>
      <w:r w:rsidR="00770056">
        <w:t>training image</w:t>
      </w:r>
      <w:r w:rsidR="004F459A">
        <w:t>,</w:t>
      </w:r>
      <w:r w:rsidR="00770056">
        <w:t xml:space="preserve"> based upon the results of the sedimentary analysis. The final portion of the paper will present the construction of three sets of reservoir models, before qualitatively and quantitatively analysing the resulting models</w:t>
      </w:r>
      <w:r w:rsidR="004F459A">
        <w:t>, through static net-connectivity tests, and discuss</w:t>
      </w:r>
      <w:r w:rsidR="00770056">
        <w:t xml:space="preserve"> how geologically realistic and reproducible the</w:t>
      </w:r>
      <w:r w:rsidR="004F459A">
        <w:t xml:space="preserve"> resulting models </w:t>
      </w:r>
      <w:r w:rsidR="00770056">
        <w:t>are.</w:t>
      </w:r>
    </w:p>
    <w:p w:rsidR="00BC5CB4" w:rsidRPr="00F82E89" w:rsidRDefault="005E08CD" w:rsidP="00CD1601">
      <w:pPr>
        <w:pStyle w:val="Heading1"/>
        <w:numPr>
          <w:ilvl w:val="0"/>
          <w:numId w:val="1"/>
        </w:numPr>
      </w:pPr>
      <w:r w:rsidRPr="00F82E89">
        <w:t>Study locations</w:t>
      </w:r>
    </w:p>
    <w:p w:rsidR="005E08CD" w:rsidRPr="00F82E89" w:rsidRDefault="005E08CD" w:rsidP="005E08CD">
      <w:r w:rsidRPr="00F82E89">
        <w:t>Two study locations were chosen on the basis of similar fluvial depositional characteristics: the Cretaceous</w:t>
      </w:r>
      <w:r w:rsidR="00FC1E9D" w:rsidRPr="00F82E89">
        <w:t xml:space="preserve"> Lower</w:t>
      </w:r>
      <w:r w:rsidRPr="00F82E89">
        <w:rPr>
          <w:rStyle w:val="CommentReference"/>
        </w:rPr>
        <w:t xml:space="preserve"> </w:t>
      </w:r>
      <w:r w:rsidRPr="00F82E89">
        <w:t xml:space="preserve">Castlegate Sandstone of Tuscher Canyon, Utah (Figure </w:t>
      </w:r>
      <w:r w:rsidR="006413A6">
        <w:t>2</w:t>
      </w:r>
      <w:r w:rsidRPr="00F82E89">
        <w:t>), and the modern-day Jamuna River of northern India (</w:t>
      </w:r>
      <w:r w:rsidR="00AF0552" w:rsidRPr="00F82E89">
        <w:t xml:space="preserve">Figure </w:t>
      </w:r>
      <w:r w:rsidR="006413A6">
        <w:t>3</w:t>
      </w:r>
      <w:r w:rsidRPr="00F82E89">
        <w:t>). Both of these systems represent low-sinuosity fluvial environments with a high proportion of sand (Miall</w:t>
      </w:r>
      <w:r w:rsidR="00517096">
        <w:t xml:space="preserve">, </w:t>
      </w:r>
      <w:r w:rsidRPr="00F82E89">
        <w:t xml:space="preserve">1993; 1994; Ashworth </w:t>
      </w:r>
      <w:r w:rsidR="00517096" w:rsidRPr="00517096">
        <w:rPr>
          <w:i/>
        </w:rPr>
        <w:t>et al.,</w:t>
      </w:r>
      <w:r w:rsidRPr="00F82E89">
        <w:t xml:space="preserve"> 2000; McLaurin and Steel</w:t>
      </w:r>
      <w:r w:rsidR="00517096">
        <w:t>,</w:t>
      </w:r>
      <w:r w:rsidRPr="00F82E89">
        <w:t xml:space="preserve"> 2007), deposited in asymmetrical foreland basins, </w:t>
      </w:r>
      <w:r w:rsidR="00883C75">
        <w:t>and</w:t>
      </w:r>
      <w:r w:rsidR="00704FE0">
        <w:t xml:space="preserve"> </w:t>
      </w:r>
      <w:r w:rsidRPr="00F82E89">
        <w:t xml:space="preserve">at approximately the same </w:t>
      </w:r>
      <w:r w:rsidR="00F90A8E">
        <w:t>moderate</w:t>
      </w:r>
      <w:r w:rsidR="00704FE0">
        <w:t xml:space="preserve"> global</w:t>
      </w:r>
      <w:r w:rsidR="00F90A8E">
        <w:t xml:space="preserve"> </w:t>
      </w:r>
      <w:r w:rsidRPr="00F82E89">
        <w:t>latitude (Kauffman</w:t>
      </w:r>
      <w:r w:rsidR="00517096">
        <w:t>,</w:t>
      </w:r>
      <w:r w:rsidRPr="00F82E89">
        <w:t xml:space="preserve"> 1977; Chan and Pfaff</w:t>
      </w:r>
      <w:r w:rsidR="00517096">
        <w:t>,</w:t>
      </w:r>
      <w:r w:rsidRPr="00F82E89">
        <w:t xml:space="preserve"> 1991; Hampson </w:t>
      </w:r>
      <w:r w:rsidR="00517096" w:rsidRPr="00517096">
        <w:rPr>
          <w:i/>
        </w:rPr>
        <w:t>et al.,</w:t>
      </w:r>
      <w:r w:rsidRPr="00F82E89">
        <w:t xml:space="preserve"> 2005). Both systems show variable discharge rates</w:t>
      </w:r>
      <w:r w:rsidR="004E1111">
        <w:t xml:space="preserve"> (Robinson and Slingerland</w:t>
      </w:r>
      <w:r w:rsidR="00517096">
        <w:t>,</w:t>
      </w:r>
      <w:r w:rsidR="004E1111">
        <w:t xml:space="preserve"> 1998; Adams and Bhattachyra</w:t>
      </w:r>
      <w:r w:rsidR="00517096">
        <w:t>,</w:t>
      </w:r>
      <w:r w:rsidR="004E1111">
        <w:t xml:space="preserve"> 2005; Ashworth </w:t>
      </w:r>
      <w:r w:rsidR="00517096" w:rsidRPr="00517096">
        <w:rPr>
          <w:i/>
        </w:rPr>
        <w:t>et al.,</w:t>
      </w:r>
      <w:r w:rsidR="004E1111">
        <w:t xml:space="preserve"> 2000)</w:t>
      </w:r>
      <w:r w:rsidR="00704FE0">
        <w:t>,</w:t>
      </w:r>
      <w:r w:rsidR="004E1111">
        <w:t xml:space="preserve"> exhibiting</w:t>
      </w:r>
      <w:r w:rsidRPr="00F82E89">
        <w:t xml:space="preserve"> frequent reactivation and avulsion (Ashworth </w:t>
      </w:r>
      <w:r w:rsidR="00517096" w:rsidRPr="00517096">
        <w:rPr>
          <w:i/>
        </w:rPr>
        <w:t>et al.,</w:t>
      </w:r>
      <w:r w:rsidRPr="00F82E89">
        <w:t xml:space="preserve"> 2000; </w:t>
      </w:r>
      <w:r w:rsidR="002E77BE" w:rsidRPr="00F82E89">
        <w:t>Hajek</w:t>
      </w:r>
      <w:r w:rsidRPr="00F82E89">
        <w:t xml:space="preserve"> and Heller</w:t>
      </w:r>
      <w:r w:rsidR="00517096">
        <w:t>,</w:t>
      </w:r>
      <w:r w:rsidRPr="00F82E89">
        <w:t xml:space="preserve"> 2012), and both systems are proximal of their respective backwater reaches (Samuels</w:t>
      </w:r>
      <w:r w:rsidR="00517096">
        <w:t>,</w:t>
      </w:r>
      <w:r w:rsidRPr="00F82E89">
        <w:t xml:space="preserve"> 1989; Ashworth </w:t>
      </w:r>
      <w:r w:rsidR="00517096" w:rsidRPr="00517096">
        <w:rPr>
          <w:i/>
        </w:rPr>
        <w:t>et al.,</w:t>
      </w:r>
      <w:r w:rsidRPr="00F82E89">
        <w:t xml:space="preserve"> 2000; Best </w:t>
      </w:r>
      <w:r w:rsidR="00517096" w:rsidRPr="00517096">
        <w:rPr>
          <w:i/>
        </w:rPr>
        <w:t>et al.,</w:t>
      </w:r>
      <w:r w:rsidRPr="00F82E89">
        <w:t xml:space="preserve"> 2003; Marra </w:t>
      </w:r>
      <w:r w:rsidR="00517096" w:rsidRPr="00517096">
        <w:rPr>
          <w:i/>
        </w:rPr>
        <w:t>et al.,</w:t>
      </w:r>
      <w:r w:rsidRPr="00F82E89">
        <w:t xml:space="preserve"> 2014; Trower </w:t>
      </w:r>
      <w:r w:rsidR="00517096" w:rsidRPr="00517096">
        <w:rPr>
          <w:i/>
        </w:rPr>
        <w:t>et al.,</w:t>
      </w:r>
      <w:r w:rsidRPr="00F82E89">
        <w:t xml:space="preserve"> 2018).</w:t>
      </w:r>
    </w:p>
    <w:p w:rsidR="00D0039E" w:rsidRPr="00F82E89" w:rsidRDefault="005E08CD" w:rsidP="00D0039E">
      <w:r w:rsidRPr="00F82E89">
        <w:t>Both systems are extremely well studied</w:t>
      </w:r>
      <w:r w:rsidR="00704FE0">
        <w:t>,</w:t>
      </w:r>
      <w:r w:rsidRPr="00F82E89">
        <w:t xml:space="preserve"> with a wealth of data evidencing their genetic similarities (see, e.g. Sa</w:t>
      </w:r>
      <w:r w:rsidR="009D496E" w:rsidRPr="00F82E89">
        <w:t>muels</w:t>
      </w:r>
      <w:r w:rsidR="00517096">
        <w:t>,</w:t>
      </w:r>
      <w:r w:rsidR="009D496E" w:rsidRPr="00F82E89">
        <w:t xml:space="preserve"> 1989; </w:t>
      </w:r>
      <w:r w:rsidRPr="00F82E89">
        <w:t>Miall</w:t>
      </w:r>
      <w:r w:rsidR="00517096">
        <w:t xml:space="preserve">, </w:t>
      </w:r>
      <w:r w:rsidRPr="00F82E89">
        <w:t>1993; 1994; Yoshida</w:t>
      </w:r>
      <w:r w:rsidR="00517096">
        <w:t>,</w:t>
      </w:r>
      <w:r w:rsidRPr="00F82E89">
        <w:t xml:space="preserve"> 2000; Ashworth </w:t>
      </w:r>
      <w:r w:rsidR="00517096" w:rsidRPr="00517096">
        <w:rPr>
          <w:i/>
        </w:rPr>
        <w:t>et al.,</w:t>
      </w:r>
      <w:r w:rsidRPr="00F82E89">
        <w:t xml:space="preserve"> 2000; Richardson and T</w:t>
      </w:r>
      <w:r w:rsidR="009D496E" w:rsidRPr="00F82E89">
        <w:t>horne</w:t>
      </w:r>
      <w:r w:rsidR="00517096">
        <w:t>,</w:t>
      </w:r>
      <w:r w:rsidR="009D496E" w:rsidRPr="00F82E89">
        <w:t xml:space="preserve"> 2001;</w:t>
      </w:r>
      <w:r w:rsidRPr="00F82E89">
        <w:t xml:space="preserve"> Best </w:t>
      </w:r>
      <w:r w:rsidR="00517096" w:rsidRPr="00517096">
        <w:rPr>
          <w:i/>
        </w:rPr>
        <w:t>et al.,</w:t>
      </w:r>
      <w:r w:rsidRPr="00F82E89">
        <w:t xml:space="preserve"> 2003; McLaurin and Steel</w:t>
      </w:r>
      <w:r w:rsidR="00517096">
        <w:t>,</w:t>
      </w:r>
      <w:r w:rsidRPr="00F82E89">
        <w:t xml:space="preserve"> 2007)</w:t>
      </w:r>
      <w:r w:rsidR="00704FE0">
        <w:t>,</w:t>
      </w:r>
      <w:r w:rsidRPr="00F82E89">
        <w:t xml:space="preserve"> but sedimentary preservation issues and differing timescales of observation mean that direct comparisons between depositional models should be treated with caution (Miall</w:t>
      </w:r>
      <w:r w:rsidR="00517096">
        <w:t>,</w:t>
      </w:r>
      <w:r w:rsidRPr="00F82E89">
        <w:t xml:space="preserve"> 2016).  </w:t>
      </w:r>
    </w:p>
    <w:p w:rsidR="005E08CD" w:rsidRPr="00F82E89" w:rsidRDefault="005E08CD" w:rsidP="00CD1601">
      <w:pPr>
        <w:pStyle w:val="Heading2"/>
        <w:numPr>
          <w:ilvl w:val="1"/>
          <w:numId w:val="1"/>
        </w:numPr>
      </w:pPr>
      <w:r w:rsidRPr="00F82E89">
        <w:t>The Lower Castlegate Sandstone at Tuscher Canyon, Utah, US</w:t>
      </w:r>
      <w:r w:rsidR="007D7916">
        <w:t>A</w:t>
      </w:r>
    </w:p>
    <w:p w:rsidR="00D0039E" w:rsidRDefault="005E08CD" w:rsidP="00D0039E">
      <w:pPr>
        <w:rPr>
          <w:shd w:val="clear" w:color="auto" w:fill="FFFFFF"/>
        </w:rPr>
      </w:pPr>
      <w:r w:rsidRPr="00F82E89">
        <w:rPr>
          <w:shd w:val="clear" w:color="auto" w:fill="FFFFFF"/>
        </w:rPr>
        <w:t>The Upper Cretaceous Lower Castlegate Sandstone (</w:t>
      </w:r>
      <w:r w:rsidR="00AF0552" w:rsidRPr="00F82E89">
        <w:rPr>
          <w:shd w:val="clear" w:color="auto" w:fill="FFFFFF"/>
        </w:rPr>
        <w:t xml:space="preserve">Figure </w:t>
      </w:r>
      <w:r w:rsidR="006413A6">
        <w:rPr>
          <w:shd w:val="clear" w:color="auto" w:fill="FFFFFF"/>
        </w:rPr>
        <w:t>2</w:t>
      </w:r>
      <w:r w:rsidR="00AF0552" w:rsidRPr="00F82E89">
        <w:rPr>
          <w:shd w:val="clear" w:color="auto" w:fill="FFFFFF"/>
        </w:rPr>
        <w:t>a, b</w:t>
      </w:r>
      <w:r w:rsidRPr="00F82E89">
        <w:rPr>
          <w:shd w:val="clear" w:color="auto" w:fill="FFFFFF"/>
        </w:rPr>
        <w:t xml:space="preserve">) is part of the Mesaverde Group (Fouch </w:t>
      </w:r>
      <w:r w:rsidR="00517096" w:rsidRPr="00517096">
        <w:rPr>
          <w:i/>
          <w:shd w:val="clear" w:color="auto" w:fill="FFFFFF"/>
        </w:rPr>
        <w:t>et al.,</w:t>
      </w:r>
      <w:r w:rsidRPr="00F82E89">
        <w:rPr>
          <w:shd w:val="clear" w:color="auto" w:fill="FFFFFF"/>
        </w:rPr>
        <w:t xml:space="preserve"> 1983; Olsen </w:t>
      </w:r>
      <w:r w:rsidR="00517096" w:rsidRPr="00517096">
        <w:rPr>
          <w:i/>
          <w:shd w:val="clear" w:color="auto" w:fill="FFFFFF"/>
        </w:rPr>
        <w:t>et al.,</w:t>
      </w:r>
      <w:r w:rsidRPr="00F82E89">
        <w:rPr>
          <w:shd w:val="clear" w:color="auto" w:fill="FFFFFF"/>
        </w:rPr>
        <w:t xml:space="preserve"> 1995; Miall and Arush</w:t>
      </w:r>
      <w:r w:rsidR="00517096">
        <w:rPr>
          <w:shd w:val="clear" w:color="auto" w:fill="FFFFFF"/>
        </w:rPr>
        <w:t>,</w:t>
      </w:r>
      <w:r w:rsidRPr="00F82E89">
        <w:rPr>
          <w:shd w:val="clear" w:color="auto" w:fill="FFFFFF"/>
        </w:rPr>
        <w:t xml:space="preserve"> 2001</w:t>
      </w:r>
      <w:r w:rsidR="00084323" w:rsidRPr="00F82E89">
        <w:rPr>
          <w:shd w:val="clear" w:color="auto" w:fill="FFFFFF"/>
        </w:rPr>
        <w:t>; McLaurin and Steel</w:t>
      </w:r>
      <w:r w:rsidR="00517096">
        <w:rPr>
          <w:shd w:val="clear" w:color="auto" w:fill="FFFFFF"/>
        </w:rPr>
        <w:t>,</w:t>
      </w:r>
      <w:r w:rsidR="00084323" w:rsidRPr="00F82E89">
        <w:rPr>
          <w:shd w:val="clear" w:color="auto" w:fill="FFFFFF"/>
        </w:rPr>
        <w:t xml:space="preserve"> 2007</w:t>
      </w:r>
      <w:r w:rsidRPr="00F82E89">
        <w:rPr>
          <w:shd w:val="clear" w:color="auto" w:fill="FFFFFF"/>
        </w:rPr>
        <w:t xml:space="preserve">). The Group represents deposition </w:t>
      </w:r>
      <w:r w:rsidR="00883C75">
        <w:rPr>
          <w:shd w:val="clear" w:color="auto" w:fill="FFFFFF"/>
        </w:rPr>
        <w:t>of</w:t>
      </w:r>
      <w:r w:rsidR="00883C75" w:rsidRPr="00F82E89">
        <w:rPr>
          <w:shd w:val="clear" w:color="auto" w:fill="FFFFFF"/>
        </w:rPr>
        <w:t xml:space="preserve"> </w:t>
      </w:r>
      <w:r w:rsidRPr="00F82E89">
        <w:rPr>
          <w:shd w:val="clear" w:color="auto" w:fill="FFFFFF"/>
        </w:rPr>
        <w:t>a clastic wedge that prograded from the Sevier Orogenic Belt eastwards into the Western Interior Seaway of central North America (</w:t>
      </w:r>
      <w:r w:rsidR="00AF0552" w:rsidRPr="00F82E89">
        <w:rPr>
          <w:shd w:val="clear" w:color="auto" w:fill="FFFFFF"/>
        </w:rPr>
        <w:t xml:space="preserve">Figure </w:t>
      </w:r>
      <w:r w:rsidR="006413A6">
        <w:rPr>
          <w:shd w:val="clear" w:color="auto" w:fill="FFFFFF"/>
        </w:rPr>
        <w:t>2</w:t>
      </w:r>
      <w:r w:rsidR="00AF0552" w:rsidRPr="00F82E89">
        <w:rPr>
          <w:shd w:val="clear" w:color="auto" w:fill="FFFFFF"/>
        </w:rPr>
        <w:t>c</w:t>
      </w:r>
      <w:r w:rsidRPr="00F82E89">
        <w:rPr>
          <w:shd w:val="clear" w:color="auto" w:fill="FFFFFF"/>
        </w:rPr>
        <w:t>) throughout the Cretaceous Period. The Castlegate Sandstone has been sub-divided into three informal lithostratigraphical units (Chan and Pfaff</w:t>
      </w:r>
      <w:r w:rsidR="00517096">
        <w:rPr>
          <w:shd w:val="clear" w:color="auto" w:fill="FFFFFF"/>
        </w:rPr>
        <w:t>,</w:t>
      </w:r>
      <w:r w:rsidRPr="00F82E89">
        <w:rPr>
          <w:shd w:val="clear" w:color="auto" w:fill="FFFFFF"/>
        </w:rPr>
        <w:t xml:space="preserve"> 1991; Olsen </w:t>
      </w:r>
      <w:r w:rsidR="00517096" w:rsidRPr="00517096">
        <w:rPr>
          <w:i/>
          <w:shd w:val="clear" w:color="auto" w:fill="FFFFFF"/>
        </w:rPr>
        <w:t>et al.,</w:t>
      </w:r>
      <w:r w:rsidRPr="00F82E89">
        <w:rPr>
          <w:i/>
          <w:shd w:val="clear" w:color="auto" w:fill="FFFFFF"/>
        </w:rPr>
        <w:t xml:space="preserve"> </w:t>
      </w:r>
      <w:r w:rsidRPr="00F82E89">
        <w:rPr>
          <w:shd w:val="clear" w:color="auto" w:fill="FFFFFF"/>
        </w:rPr>
        <w:t>1995; Mc</w:t>
      </w:r>
      <w:r w:rsidR="00FB22AA">
        <w:rPr>
          <w:shd w:val="clear" w:color="auto" w:fill="FFFFFF"/>
        </w:rPr>
        <w:t>Laurin and Steel</w:t>
      </w:r>
      <w:r w:rsidR="00517096">
        <w:rPr>
          <w:shd w:val="clear" w:color="auto" w:fill="FFFFFF"/>
        </w:rPr>
        <w:t>,</w:t>
      </w:r>
      <w:r w:rsidR="00FB22AA">
        <w:rPr>
          <w:shd w:val="clear" w:color="auto" w:fill="FFFFFF"/>
        </w:rPr>
        <w:t xml:space="preserve"> 2007): the L</w:t>
      </w:r>
      <w:r w:rsidRPr="00F82E89">
        <w:rPr>
          <w:shd w:val="clear" w:color="auto" w:fill="FFFFFF"/>
        </w:rPr>
        <w:t>ower Castlegate Sandstone</w:t>
      </w:r>
      <w:r w:rsidR="00B12B26">
        <w:rPr>
          <w:shd w:val="clear" w:color="auto" w:fill="FFFFFF"/>
        </w:rPr>
        <w:t>,</w:t>
      </w:r>
      <w:r w:rsidRPr="00F82E89">
        <w:rPr>
          <w:shd w:val="clear" w:color="auto" w:fill="FFFFFF"/>
        </w:rPr>
        <w:t xml:space="preserve"> </w:t>
      </w:r>
      <w:r w:rsidR="00226B87">
        <w:rPr>
          <w:shd w:val="clear" w:color="auto" w:fill="FFFFFF"/>
        </w:rPr>
        <w:t>a</w:t>
      </w:r>
      <w:r w:rsidRPr="00F82E89">
        <w:rPr>
          <w:shd w:val="clear" w:color="auto" w:fill="FFFFFF"/>
        </w:rPr>
        <w:t xml:space="preserve"> high net-to-gross fluvial sheet-sand deposited by a low sinuosity, bedload dominated fluvial system (Olsen </w:t>
      </w:r>
      <w:r w:rsidR="00517096" w:rsidRPr="00517096">
        <w:rPr>
          <w:i/>
          <w:shd w:val="clear" w:color="auto" w:fill="FFFFFF"/>
        </w:rPr>
        <w:t>et al.,</w:t>
      </w:r>
      <w:r w:rsidRPr="00F82E89">
        <w:rPr>
          <w:shd w:val="clear" w:color="auto" w:fill="FFFFFF"/>
        </w:rPr>
        <w:t xml:space="preserve"> 1995; McLaurin and Steel</w:t>
      </w:r>
      <w:r w:rsidR="00517096">
        <w:rPr>
          <w:shd w:val="clear" w:color="auto" w:fill="FFFFFF"/>
        </w:rPr>
        <w:t>,</w:t>
      </w:r>
      <w:r w:rsidRPr="00F82E89">
        <w:rPr>
          <w:shd w:val="clear" w:color="auto" w:fill="FFFFFF"/>
        </w:rPr>
        <w:t xml:space="preserve"> 2007); the middle Castlegate Sandstone </w:t>
      </w:r>
      <w:r w:rsidR="00883C75">
        <w:rPr>
          <w:shd w:val="clear" w:color="auto" w:fill="FFFFFF"/>
        </w:rPr>
        <w:t xml:space="preserve">that </w:t>
      </w:r>
      <w:r w:rsidRPr="00F82E89">
        <w:rPr>
          <w:shd w:val="clear" w:color="auto" w:fill="FFFFFF"/>
        </w:rPr>
        <w:t>comprises sediments deposited in more isolated channels with a higher preservation of overbank material (McLaurin and Steel</w:t>
      </w:r>
      <w:r w:rsidR="00BD4D38">
        <w:rPr>
          <w:shd w:val="clear" w:color="auto" w:fill="FFFFFF"/>
        </w:rPr>
        <w:t>,</w:t>
      </w:r>
      <w:r w:rsidRPr="00F82E89">
        <w:rPr>
          <w:shd w:val="clear" w:color="auto" w:fill="FFFFFF"/>
        </w:rPr>
        <w:t xml:space="preserve"> 2007); and the Bluecastle Tongue, which is genetically similar to the </w:t>
      </w:r>
      <w:r w:rsidR="00B12B26">
        <w:rPr>
          <w:shd w:val="clear" w:color="auto" w:fill="FFFFFF"/>
        </w:rPr>
        <w:t>L</w:t>
      </w:r>
      <w:r w:rsidRPr="00F82E89">
        <w:rPr>
          <w:shd w:val="clear" w:color="auto" w:fill="FFFFFF"/>
        </w:rPr>
        <w:t xml:space="preserve">ower Castlegate Sandstone (Olsen </w:t>
      </w:r>
      <w:r w:rsidR="00517096" w:rsidRPr="00517096">
        <w:rPr>
          <w:i/>
          <w:shd w:val="clear" w:color="auto" w:fill="FFFFFF"/>
        </w:rPr>
        <w:t>et al.,</w:t>
      </w:r>
      <w:r w:rsidRPr="00F82E89">
        <w:rPr>
          <w:i/>
          <w:shd w:val="clear" w:color="auto" w:fill="FFFFFF"/>
        </w:rPr>
        <w:t xml:space="preserve"> </w:t>
      </w:r>
      <w:r w:rsidRPr="00F82E89">
        <w:rPr>
          <w:shd w:val="clear" w:color="auto" w:fill="FFFFFF"/>
        </w:rPr>
        <w:t xml:space="preserve">1995). </w:t>
      </w:r>
      <w:r w:rsidR="00D0039E" w:rsidRPr="00F82E89">
        <w:rPr>
          <w:shd w:val="clear" w:color="auto" w:fill="FFFFFF"/>
        </w:rPr>
        <w:t>The more distal deposits at Tuscher Canyon, near Green River (</w:t>
      </w:r>
      <w:r w:rsidR="00AF0552" w:rsidRPr="00F82E89">
        <w:rPr>
          <w:shd w:val="clear" w:color="auto" w:fill="FFFFFF"/>
        </w:rPr>
        <w:t xml:space="preserve">Figure </w:t>
      </w:r>
      <w:r w:rsidR="006413A6">
        <w:rPr>
          <w:shd w:val="clear" w:color="auto" w:fill="FFFFFF"/>
        </w:rPr>
        <w:t>2</w:t>
      </w:r>
      <w:r w:rsidR="00AF0552" w:rsidRPr="00F82E89">
        <w:rPr>
          <w:shd w:val="clear" w:color="auto" w:fill="FFFFFF"/>
        </w:rPr>
        <w:t>b</w:t>
      </w:r>
      <w:r w:rsidR="00D0039E" w:rsidRPr="00F82E89">
        <w:rPr>
          <w:shd w:val="clear" w:color="auto" w:fill="FFFFFF"/>
        </w:rPr>
        <w:t xml:space="preserve">), show a thinner succession of high net-to-gross Lower Castlegate Sandstone and an absence of the Middle Castlegate. This </w:t>
      </w:r>
      <w:r w:rsidR="00710588">
        <w:rPr>
          <w:shd w:val="clear" w:color="auto" w:fill="FFFFFF"/>
        </w:rPr>
        <w:t xml:space="preserve">succession </w:t>
      </w:r>
      <w:r w:rsidR="00D0039E" w:rsidRPr="00F82E89">
        <w:rPr>
          <w:shd w:val="clear" w:color="auto" w:fill="FFFFFF"/>
        </w:rPr>
        <w:t xml:space="preserve">resulted from transgression at ~78 Ma - 77 Ma (Fouch </w:t>
      </w:r>
      <w:r w:rsidR="00517096" w:rsidRPr="00517096">
        <w:rPr>
          <w:i/>
          <w:shd w:val="clear" w:color="auto" w:fill="FFFFFF"/>
        </w:rPr>
        <w:t>et al.,</w:t>
      </w:r>
      <w:r w:rsidR="00084323" w:rsidRPr="00F82E89">
        <w:rPr>
          <w:shd w:val="clear" w:color="auto" w:fill="FFFFFF"/>
        </w:rPr>
        <w:t xml:space="preserve"> 1983</w:t>
      </w:r>
      <w:r w:rsidR="00D0039E" w:rsidRPr="00F82E89">
        <w:rPr>
          <w:shd w:val="clear" w:color="auto" w:fill="FFFFFF"/>
        </w:rPr>
        <w:t xml:space="preserve">) that interrupted progradation of the wedge and deposited the siltstones of the Buck Tongue over the Lower Castlegate. </w:t>
      </w:r>
    </w:p>
    <w:p w:rsidR="007B7417" w:rsidRDefault="007B7417" w:rsidP="00D0039E">
      <w:pPr>
        <w:rPr>
          <w:shd w:val="clear" w:color="auto" w:fill="FFFFFF"/>
        </w:rPr>
      </w:pPr>
      <w:r>
        <w:rPr>
          <w:noProof/>
          <w:shd w:val="clear" w:color="auto" w:fill="FFFFFF"/>
          <w:lang w:eastAsia="en-GB"/>
        </w:rPr>
        <w:drawing>
          <wp:inline distT="0" distB="0" distL="0" distR="0">
            <wp:extent cx="5731510" cy="51568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2_mitten_2019_revis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5156835"/>
                    </a:xfrm>
                    <a:prstGeom prst="rect">
                      <a:avLst/>
                    </a:prstGeom>
                  </pic:spPr>
                </pic:pic>
              </a:graphicData>
            </a:graphic>
          </wp:inline>
        </w:drawing>
      </w:r>
    </w:p>
    <w:p w:rsidR="007B7417" w:rsidRPr="00F82E89" w:rsidRDefault="007B7417" w:rsidP="007B7417">
      <w:pPr>
        <w:rPr>
          <w:shd w:val="clear" w:color="auto" w:fill="FFFFFF"/>
        </w:rPr>
      </w:pPr>
      <w:r w:rsidRPr="00F82E89">
        <w:rPr>
          <w:b/>
          <w:shd w:val="clear" w:color="auto" w:fill="FFFFFF"/>
        </w:rPr>
        <w:t xml:space="preserve">Figure </w:t>
      </w:r>
      <w:r>
        <w:rPr>
          <w:b/>
          <w:shd w:val="clear" w:color="auto" w:fill="FFFFFF"/>
        </w:rPr>
        <w:t>2</w:t>
      </w:r>
      <w:r w:rsidRPr="00F82E89">
        <w:rPr>
          <w:shd w:val="clear" w:color="auto" w:fill="FFFFFF"/>
        </w:rPr>
        <w:t xml:space="preserve"> – A) </w:t>
      </w:r>
      <w:r>
        <w:rPr>
          <w:shd w:val="clear" w:color="auto" w:fill="FFFFFF"/>
        </w:rPr>
        <w:t>Simplified g</w:t>
      </w:r>
      <w:r w:rsidRPr="00F82E89">
        <w:rPr>
          <w:shd w:val="clear" w:color="auto" w:fill="FFFFFF"/>
        </w:rPr>
        <w:t>eological map of east-central Utah, USA (modified from Watkind</w:t>
      </w:r>
      <w:r>
        <w:rPr>
          <w:shd w:val="clear" w:color="auto" w:fill="FFFFFF"/>
        </w:rPr>
        <w:t>,</w:t>
      </w:r>
      <w:r w:rsidRPr="00F82E89">
        <w:rPr>
          <w:shd w:val="clear" w:color="auto" w:fill="FFFFFF"/>
        </w:rPr>
        <w:t xml:space="preserve"> 1995) showing the Mesaverde Group, of which the Castlegate is part, and the </w:t>
      </w:r>
      <w:r>
        <w:rPr>
          <w:shd w:val="clear" w:color="auto" w:fill="FFFFFF"/>
        </w:rPr>
        <w:t xml:space="preserve">location of the </w:t>
      </w:r>
      <w:r w:rsidRPr="00F82E89">
        <w:rPr>
          <w:shd w:val="clear" w:color="auto" w:fill="FFFFFF"/>
        </w:rPr>
        <w:t xml:space="preserve">study area </w:t>
      </w:r>
      <w:r>
        <w:rPr>
          <w:shd w:val="clear" w:color="auto" w:fill="FFFFFF"/>
        </w:rPr>
        <w:t>(red box)</w:t>
      </w:r>
      <w:r w:rsidRPr="00F82E89">
        <w:rPr>
          <w:shd w:val="clear" w:color="auto" w:fill="FFFFFF"/>
        </w:rPr>
        <w:t>. B) Geological map of the study location at Tuscher Canyon, Utah (modified from Watkind</w:t>
      </w:r>
      <w:r>
        <w:rPr>
          <w:shd w:val="clear" w:color="auto" w:fill="FFFFFF"/>
        </w:rPr>
        <w:t>,</w:t>
      </w:r>
      <w:r w:rsidRPr="00F82E89">
        <w:rPr>
          <w:shd w:val="clear" w:color="auto" w:fill="FFFFFF"/>
        </w:rPr>
        <w:t xml:space="preserve"> 1995). </w:t>
      </w:r>
      <w:r>
        <w:rPr>
          <w:shd w:val="clear" w:color="auto" w:fill="FFFFFF"/>
        </w:rPr>
        <w:t>The</w:t>
      </w:r>
      <w:r w:rsidRPr="00F82E89">
        <w:rPr>
          <w:shd w:val="clear" w:color="auto" w:fill="FFFFFF"/>
        </w:rPr>
        <w:t xml:space="preserve"> green box </w:t>
      </w:r>
      <w:r>
        <w:rPr>
          <w:shd w:val="clear" w:color="auto" w:fill="FFFFFF"/>
        </w:rPr>
        <w:t xml:space="preserve">represents the location of the study map in </w:t>
      </w:r>
      <w:r w:rsidRPr="00F82E89">
        <w:rPr>
          <w:shd w:val="clear" w:color="auto" w:fill="FFFFFF"/>
        </w:rPr>
        <w:t>Figure 4</w:t>
      </w:r>
      <w:r>
        <w:rPr>
          <w:shd w:val="clear" w:color="auto" w:fill="FFFFFF"/>
        </w:rPr>
        <w:t>A</w:t>
      </w:r>
      <w:r w:rsidRPr="00F82E89">
        <w:rPr>
          <w:shd w:val="clear" w:color="auto" w:fill="FFFFFF"/>
        </w:rPr>
        <w:t xml:space="preserve">. C) </w:t>
      </w:r>
      <w:r>
        <w:rPr>
          <w:shd w:val="clear" w:color="auto" w:fill="FFFFFF"/>
        </w:rPr>
        <w:t xml:space="preserve">(left) The palaeogeography of the </w:t>
      </w:r>
      <w:r w:rsidRPr="00F82E89">
        <w:rPr>
          <w:shd w:val="clear" w:color="auto" w:fill="FFFFFF"/>
        </w:rPr>
        <w:t xml:space="preserve">Western Interior Seaway </w:t>
      </w:r>
      <w:r>
        <w:rPr>
          <w:shd w:val="clear" w:color="auto" w:fill="FFFFFF"/>
        </w:rPr>
        <w:t>and N</w:t>
      </w:r>
      <w:r w:rsidRPr="00F82E89">
        <w:rPr>
          <w:shd w:val="clear" w:color="auto" w:fill="FFFFFF"/>
        </w:rPr>
        <w:t xml:space="preserve">orth America, with Utah </w:t>
      </w:r>
      <w:r>
        <w:rPr>
          <w:shd w:val="clear" w:color="auto" w:fill="FFFFFF"/>
        </w:rPr>
        <w:t>highlighted in a yellow box, and (right) gross</w:t>
      </w:r>
      <w:r w:rsidRPr="00F82E89">
        <w:rPr>
          <w:shd w:val="clear" w:color="auto" w:fill="FFFFFF"/>
        </w:rPr>
        <w:t xml:space="preserve"> depositional environment</w:t>
      </w:r>
      <w:r>
        <w:rPr>
          <w:shd w:val="clear" w:color="auto" w:fill="FFFFFF"/>
        </w:rPr>
        <w:t>s</w:t>
      </w:r>
      <w:r w:rsidRPr="00F82E89">
        <w:rPr>
          <w:shd w:val="clear" w:color="auto" w:fill="FFFFFF"/>
        </w:rPr>
        <w:t xml:space="preserve"> of the Early to Middle Campanian (modified from Van de Graff</w:t>
      </w:r>
      <w:r>
        <w:rPr>
          <w:shd w:val="clear" w:color="auto" w:fill="FFFFFF"/>
        </w:rPr>
        <w:t>,</w:t>
      </w:r>
      <w:r w:rsidRPr="00F82E89">
        <w:rPr>
          <w:shd w:val="clear" w:color="auto" w:fill="FFFFFF"/>
        </w:rPr>
        <w:t xml:space="preserve"> 1972; Chan and Pfaff</w:t>
      </w:r>
      <w:r>
        <w:rPr>
          <w:shd w:val="clear" w:color="auto" w:fill="FFFFFF"/>
        </w:rPr>
        <w:t>,</w:t>
      </w:r>
      <w:r w:rsidRPr="00F82E89">
        <w:rPr>
          <w:shd w:val="clear" w:color="auto" w:fill="FFFFFF"/>
        </w:rPr>
        <w:t xml:space="preserve"> 1991). D) Mesaverde Group depositional environment and associated lithostratigraphical units, with the Lower Castlegate Formation highlighted (red box), (modified from Burns </w:t>
      </w:r>
      <w:r w:rsidRPr="00517096">
        <w:rPr>
          <w:i/>
          <w:shd w:val="clear" w:color="auto" w:fill="FFFFFF"/>
        </w:rPr>
        <w:t>et al.,</w:t>
      </w:r>
      <w:r w:rsidRPr="00F82E89">
        <w:rPr>
          <w:shd w:val="clear" w:color="auto" w:fill="FFFFFF"/>
        </w:rPr>
        <w:t xml:space="preserve"> 2017).</w:t>
      </w:r>
    </w:p>
    <w:p w:rsidR="00D0039E" w:rsidRPr="00F82E89" w:rsidRDefault="00D0039E" w:rsidP="00D0039E">
      <w:pPr>
        <w:rPr>
          <w:shd w:val="clear" w:color="auto" w:fill="FFFFFF"/>
        </w:rPr>
      </w:pPr>
      <w:r w:rsidRPr="00F82E89">
        <w:rPr>
          <w:shd w:val="clear" w:color="auto" w:fill="FFFFFF"/>
        </w:rPr>
        <w:t>Six architectural elements make up the Lower Castlegate succession at Tuscher Canyon</w:t>
      </w:r>
      <w:r w:rsidR="00B12B26">
        <w:rPr>
          <w:shd w:val="clear" w:color="auto" w:fill="FFFFFF"/>
        </w:rPr>
        <w:t xml:space="preserve"> (Miall</w:t>
      </w:r>
      <w:r w:rsidR="00BD4D38">
        <w:rPr>
          <w:shd w:val="clear" w:color="auto" w:fill="FFFFFF"/>
        </w:rPr>
        <w:t>,</w:t>
      </w:r>
      <w:r w:rsidR="00B12B26">
        <w:rPr>
          <w:shd w:val="clear" w:color="auto" w:fill="FFFFFF"/>
        </w:rPr>
        <w:t xml:space="preserve"> 1993)</w:t>
      </w:r>
      <w:r w:rsidRPr="00F82E89">
        <w:rPr>
          <w:shd w:val="clear" w:color="auto" w:fill="FFFFFF"/>
        </w:rPr>
        <w:t>. These are predominately sandy barforms and downstream accreting elements that show minimal lateral accretion (Miall</w:t>
      </w:r>
      <w:r w:rsidR="00BD4D38">
        <w:rPr>
          <w:shd w:val="clear" w:color="auto" w:fill="FFFFFF"/>
        </w:rPr>
        <w:t>,</w:t>
      </w:r>
      <w:r w:rsidRPr="00F82E89">
        <w:rPr>
          <w:shd w:val="clear" w:color="auto" w:fill="FFFFFF"/>
        </w:rPr>
        <w:t xml:space="preserve"> 1993, 1994). The Lower Castlegate deposit</w:t>
      </w:r>
      <w:r w:rsidR="00226B87">
        <w:rPr>
          <w:shd w:val="clear" w:color="auto" w:fill="FFFFFF"/>
        </w:rPr>
        <w:t xml:space="preserve">s </w:t>
      </w:r>
      <w:r w:rsidR="00FB22AA">
        <w:rPr>
          <w:shd w:val="clear" w:color="auto" w:fill="FFFFFF"/>
        </w:rPr>
        <w:t>show a</w:t>
      </w:r>
      <w:r w:rsidRPr="00F82E89">
        <w:rPr>
          <w:shd w:val="clear" w:color="auto" w:fill="FFFFFF"/>
        </w:rPr>
        <w:t xml:space="preserve"> regional eastward palaeocurrent direction (Miall and Arush</w:t>
      </w:r>
      <w:r w:rsidR="00BD4D38">
        <w:rPr>
          <w:shd w:val="clear" w:color="auto" w:fill="FFFFFF"/>
        </w:rPr>
        <w:t>,</w:t>
      </w:r>
      <w:r w:rsidRPr="00F82E89">
        <w:rPr>
          <w:shd w:val="clear" w:color="auto" w:fill="FFFFFF"/>
        </w:rPr>
        <w:t xml:space="preserve"> 2001).</w:t>
      </w:r>
    </w:p>
    <w:p w:rsidR="005E08CD" w:rsidRPr="00F82E89" w:rsidRDefault="005E08CD" w:rsidP="00CD1601">
      <w:pPr>
        <w:pStyle w:val="Heading2"/>
        <w:numPr>
          <w:ilvl w:val="1"/>
          <w:numId w:val="1"/>
        </w:numPr>
      </w:pPr>
      <w:r w:rsidRPr="00F82E89">
        <w:t>The Jamuna River, northern India</w:t>
      </w:r>
    </w:p>
    <w:p w:rsidR="005E08CD" w:rsidRDefault="005E08CD" w:rsidP="005E08CD">
      <w:r w:rsidRPr="00F82E89">
        <w:t xml:space="preserve">The modern-day bar complex within the Jamuna River is situated </w:t>
      </w:r>
      <w:r w:rsidR="003B1029">
        <w:t>between</w:t>
      </w:r>
      <w:r w:rsidR="003B1029" w:rsidRPr="00F82E89">
        <w:t xml:space="preserve"> </w:t>
      </w:r>
      <w:r w:rsidRPr="00F82E89">
        <w:t>the border of Bangladesh and Bhutan, in northern India (</w:t>
      </w:r>
      <w:r w:rsidR="00AF0552" w:rsidRPr="00F82E89">
        <w:t xml:space="preserve">Figure </w:t>
      </w:r>
      <w:r w:rsidR="006413A6">
        <w:t>3</w:t>
      </w:r>
      <w:r w:rsidRPr="00F82E89">
        <w:t>). The Jamuna River has been studied extensively as an analogue for dynamic, sandy bedload dominated low-sinuosity river systems (see, for example, Coleman</w:t>
      </w:r>
      <w:r w:rsidR="00BD4D38">
        <w:t>,</w:t>
      </w:r>
      <w:r w:rsidRPr="00F82E89">
        <w:t xml:space="preserve"> 1969; Bristow</w:t>
      </w:r>
      <w:r w:rsidR="00BD4D38">
        <w:t>,</w:t>
      </w:r>
      <w:r w:rsidRPr="00F82E89">
        <w:t xml:space="preserve"> 1993; Bristow </w:t>
      </w:r>
      <w:r w:rsidR="00517096" w:rsidRPr="00517096">
        <w:rPr>
          <w:i/>
        </w:rPr>
        <w:t>et al.,</w:t>
      </w:r>
      <w:r w:rsidRPr="00F82E89">
        <w:t xml:space="preserve"> 1999; Ashworth </w:t>
      </w:r>
      <w:r w:rsidR="00517096" w:rsidRPr="00517096">
        <w:rPr>
          <w:i/>
        </w:rPr>
        <w:t>et al.,</w:t>
      </w:r>
      <w:r w:rsidRPr="00F82E89">
        <w:t xml:space="preserve"> 2000; Best </w:t>
      </w:r>
      <w:r w:rsidR="00517096" w:rsidRPr="00517096">
        <w:rPr>
          <w:i/>
        </w:rPr>
        <w:t>et al.,</w:t>
      </w:r>
      <w:r w:rsidRPr="00F82E89">
        <w:t xml:space="preserve"> 2003). It transports material from the Himalaya down into the Bay of Bengal and feeds the Brahmaputra-Ganges river-deltaic system (Best </w:t>
      </w:r>
      <w:r w:rsidR="00517096" w:rsidRPr="00517096">
        <w:rPr>
          <w:i/>
        </w:rPr>
        <w:t>et al.,</w:t>
      </w:r>
      <w:r w:rsidRPr="00F82E89">
        <w:t xml:space="preserve"> 2007). The bar complex in the study area is dominantly downstream accreting and has subordinate channel flows, re-working the top of the barform and impeding soil formation and vegetation growth (Bristow</w:t>
      </w:r>
      <w:r w:rsidR="00BD4D38">
        <w:t>,</w:t>
      </w:r>
      <w:r w:rsidRPr="00F82E89">
        <w:t xml:space="preserve"> 1993; Ashworth </w:t>
      </w:r>
      <w:r w:rsidR="00517096" w:rsidRPr="00517096">
        <w:rPr>
          <w:i/>
        </w:rPr>
        <w:t>et al.,</w:t>
      </w:r>
      <w:r w:rsidRPr="00F82E89">
        <w:t xml:space="preserve"> 2000; Best </w:t>
      </w:r>
      <w:r w:rsidR="00517096" w:rsidRPr="00517096">
        <w:rPr>
          <w:i/>
        </w:rPr>
        <w:t>et al.,</w:t>
      </w:r>
      <w:r w:rsidRPr="00F82E89">
        <w:t xml:space="preserve"> 2003). </w:t>
      </w:r>
    </w:p>
    <w:p w:rsidR="007B7417" w:rsidRDefault="007B7417" w:rsidP="005E08CD">
      <w:r>
        <w:rPr>
          <w:noProof/>
          <w:lang w:eastAsia="en-GB"/>
        </w:rPr>
        <w:drawing>
          <wp:inline distT="0" distB="0" distL="0" distR="0">
            <wp:extent cx="3258312" cy="58795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3_mitten_2019_revis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8312" cy="5879592"/>
                    </a:xfrm>
                    <a:prstGeom prst="rect">
                      <a:avLst/>
                    </a:prstGeom>
                  </pic:spPr>
                </pic:pic>
              </a:graphicData>
            </a:graphic>
          </wp:inline>
        </w:drawing>
      </w:r>
    </w:p>
    <w:p w:rsidR="007B7417" w:rsidRPr="00F82E89" w:rsidRDefault="007B7417" w:rsidP="007B7417">
      <w:r w:rsidRPr="00F82E89">
        <w:rPr>
          <w:b/>
        </w:rPr>
        <w:t>Figure 3</w:t>
      </w:r>
      <w:r w:rsidRPr="00F82E89">
        <w:t xml:space="preserve"> – A) Study site location map of the Jamuna River, northern India and B) close-up of the study area (box), modified from Mitten </w:t>
      </w:r>
      <w:r w:rsidRPr="00517096">
        <w:rPr>
          <w:i/>
        </w:rPr>
        <w:t>et al.,</w:t>
      </w:r>
      <w:r w:rsidRPr="00F82E89">
        <w:t xml:space="preserve"> (2018).</w:t>
      </w:r>
    </w:p>
    <w:p w:rsidR="005E08CD" w:rsidRPr="00F82E89" w:rsidRDefault="005E08CD" w:rsidP="00CD1601">
      <w:pPr>
        <w:pStyle w:val="Heading1"/>
        <w:numPr>
          <w:ilvl w:val="0"/>
          <w:numId w:val="1"/>
        </w:numPr>
      </w:pPr>
      <w:r w:rsidRPr="00F82E89">
        <w:t>Data acquisition and processing</w:t>
      </w:r>
    </w:p>
    <w:p w:rsidR="005E08CD" w:rsidRDefault="00FC1E9D" w:rsidP="005E08CD">
      <w:r w:rsidRPr="00F82E89">
        <w:t xml:space="preserve">The 20 m </w:t>
      </w:r>
      <w:r w:rsidR="005E08CD" w:rsidRPr="00F82E89">
        <w:t>thick, approximately 5 km</w:t>
      </w:r>
      <w:r w:rsidR="005E08CD" w:rsidRPr="00F82E89">
        <w:rPr>
          <w:vertAlign w:val="superscript"/>
        </w:rPr>
        <w:t>2</w:t>
      </w:r>
      <w:r w:rsidRPr="00F82E89">
        <w:t xml:space="preserve"> fluvial outcrop of the L</w:t>
      </w:r>
      <w:r w:rsidR="005E08CD" w:rsidRPr="00F82E89">
        <w:t>ower Castlegate Sandstone in Tuscher Canyon, Utah (</w:t>
      </w:r>
      <w:r w:rsidR="00AF0552" w:rsidRPr="00F82E89">
        <w:t xml:space="preserve">Figure </w:t>
      </w:r>
      <w:r w:rsidR="006413A6">
        <w:t>4</w:t>
      </w:r>
      <w:r w:rsidR="00A27636">
        <w:t>A</w:t>
      </w:r>
      <w:r w:rsidR="005E08CD" w:rsidRPr="00F82E89">
        <w:t xml:space="preserve">), was digitally captured using terrestrial structure-from-motion digital photogrammetry (see Buckley </w:t>
      </w:r>
      <w:r w:rsidR="00517096" w:rsidRPr="00517096">
        <w:rPr>
          <w:i/>
        </w:rPr>
        <w:t>et al.,</w:t>
      </w:r>
      <w:r w:rsidR="005E08CD" w:rsidRPr="00F82E89">
        <w:t xml:space="preserve"> 2006; Pringle </w:t>
      </w:r>
      <w:r w:rsidR="00517096" w:rsidRPr="00517096">
        <w:rPr>
          <w:i/>
        </w:rPr>
        <w:t>et al.,</w:t>
      </w:r>
      <w:r w:rsidR="005E08CD" w:rsidRPr="00F82E89">
        <w:t xml:space="preserve"> 2006; Bemis </w:t>
      </w:r>
      <w:r w:rsidR="00517096" w:rsidRPr="00517096">
        <w:rPr>
          <w:i/>
        </w:rPr>
        <w:t>et al.,</w:t>
      </w:r>
      <w:r w:rsidR="005E08CD" w:rsidRPr="00F82E89">
        <w:t xml:space="preserve"> 2014; Ellen </w:t>
      </w:r>
      <w:r w:rsidR="00517096" w:rsidRPr="00517096">
        <w:rPr>
          <w:i/>
        </w:rPr>
        <w:t>et al.,</w:t>
      </w:r>
      <w:r w:rsidR="005E08CD" w:rsidRPr="00F82E89">
        <w:t xml:space="preserve"> 2019). The photogrammetric model was constructed in Agisoft Photoscan Pro (v. 1.4.3; Agisoft LLC</w:t>
      </w:r>
      <w:r w:rsidRPr="00F82E89">
        <w:t xml:space="preserve">), using </w:t>
      </w:r>
      <w:r w:rsidR="005E08CD" w:rsidRPr="00F82E89">
        <w:t xml:space="preserve">photographs with a ~85% overlap in each image. The resulting virtual outcrop analysis shows an outcrop-to-area ratio of 0.73 (see Enge </w:t>
      </w:r>
      <w:r w:rsidR="00517096" w:rsidRPr="00517096">
        <w:rPr>
          <w:i/>
        </w:rPr>
        <w:t>et al.,</w:t>
      </w:r>
      <w:r w:rsidR="005E08CD" w:rsidRPr="00F82E89">
        <w:t xml:space="preserve"> 2007 for background), indicating exceptional exposure</w:t>
      </w:r>
      <w:r w:rsidR="007D7916">
        <w:t xml:space="preserve"> (Figure 4B)</w:t>
      </w:r>
      <w:r w:rsidR="005E08CD" w:rsidRPr="00F82E89">
        <w:t>. The dataset was subsequently interpreted using Miall’s (1985; 1996) bounding surface numerical hierarchy scheme</w:t>
      </w:r>
      <w:r w:rsidR="007D7916">
        <w:t xml:space="preserve"> (Figure 4E)</w:t>
      </w:r>
      <w:r w:rsidR="005E08CD" w:rsidRPr="00F82E89">
        <w:t xml:space="preserve">. </w:t>
      </w:r>
      <w:r w:rsidR="00A27636">
        <w:t xml:space="preserve">This </w:t>
      </w:r>
      <w:r w:rsidR="003B1029">
        <w:t xml:space="preserve">scheme is used to </w:t>
      </w:r>
      <w:r w:rsidR="00A27636">
        <w:t>interpret the terminations of bounding surfaces, relative to one another, and the facies the surface</w:t>
      </w:r>
      <w:r w:rsidR="00F602DD">
        <w:t>s</w:t>
      </w:r>
      <w:r w:rsidR="00A27636">
        <w:t xml:space="preserve"> bound. </w:t>
      </w:r>
      <w:r w:rsidR="00F602DD">
        <w:t xml:space="preserve">It </w:t>
      </w:r>
      <w:r w:rsidR="00AE534C">
        <w:t>is</w:t>
      </w:r>
      <w:r w:rsidR="00A27636">
        <w:t xml:space="preserve"> used to build a </w:t>
      </w:r>
      <w:r w:rsidR="00F602DD">
        <w:t xml:space="preserve">hierarchical </w:t>
      </w:r>
      <w:r w:rsidR="00AE534C">
        <w:t xml:space="preserve">bounding surface </w:t>
      </w:r>
      <w:r w:rsidR="00A27636">
        <w:t xml:space="preserve">framework </w:t>
      </w:r>
      <w:r w:rsidR="00AE534C">
        <w:t xml:space="preserve">of </w:t>
      </w:r>
      <w:r w:rsidR="00A27636">
        <w:t>th</w:t>
      </w:r>
      <w:r w:rsidR="00A90BE1">
        <w:t xml:space="preserve">at increases from </w:t>
      </w:r>
      <w:r w:rsidR="003B1029">
        <w:t>laminae</w:t>
      </w:r>
      <w:r w:rsidR="00AE534C">
        <w:t xml:space="preserve">- </w:t>
      </w:r>
      <w:r w:rsidR="003B1029">
        <w:t>to</w:t>
      </w:r>
      <w:r w:rsidR="00AE534C">
        <w:t xml:space="preserve"> </w:t>
      </w:r>
      <w:r w:rsidR="00A90BE1">
        <w:t>set</w:t>
      </w:r>
      <w:r w:rsidR="00AE534C">
        <w:t>-scale bounding surfaces though</w:t>
      </w:r>
      <w:r w:rsidR="00A90BE1">
        <w:t xml:space="preserve"> channel</w:t>
      </w:r>
      <w:r w:rsidR="003B1029">
        <w:t>-set</w:t>
      </w:r>
      <w:r w:rsidR="00A90BE1">
        <w:t xml:space="preserve"> bases, </w:t>
      </w:r>
      <w:r w:rsidR="00AE534C">
        <w:t>this</w:t>
      </w:r>
      <w:r w:rsidR="00A90BE1">
        <w:t xml:space="preserve"> aids in the interpretation of fluvial architectures.</w:t>
      </w:r>
      <w:r w:rsidR="00A27636">
        <w:t xml:space="preserve"> </w:t>
      </w:r>
    </w:p>
    <w:p w:rsidR="007B7417" w:rsidRDefault="007B7417" w:rsidP="005E08CD">
      <w:r>
        <w:rPr>
          <w:noProof/>
          <w:lang w:eastAsia="en-GB"/>
        </w:rPr>
        <w:drawing>
          <wp:inline distT="0" distB="0" distL="0" distR="0">
            <wp:extent cx="5081016" cy="66233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_4_mitten_2019_revis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81016" cy="6623304"/>
                    </a:xfrm>
                    <a:prstGeom prst="rect">
                      <a:avLst/>
                    </a:prstGeom>
                  </pic:spPr>
                </pic:pic>
              </a:graphicData>
            </a:graphic>
          </wp:inline>
        </w:drawing>
      </w:r>
    </w:p>
    <w:p w:rsidR="007B7417" w:rsidRDefault="007B7417" w:rsidP="005E08CD">
      <w:r w:rsidRPr="00F82E89">
        <w:rPr>
          <w:b/>
        </w:rPr>
        <w:t xml:space="preserve">Figure </w:t>
      </w:r>
      <w:r>
        <w:rPr>
          <w:b/>
        </w:rPr>
        <w:t>4</w:t>
      </w:r>
      <w:r w:rsidRPr="00F82E89">
        <w:rPr>
          <w:b/>
        </w:rPr>
        <w:t xml:space="preserve"> –</w:t>
      </w:r>
      <w:r w:rsidRPr="00F82E89">
        <w:t xml:space="preserve"> A) Satellite image of the Tuscher Canyon section</w:t>
      </w:r>
      <w:r>
        <w:t xml:space="preserve"> (Figure 2B)</w:t>
      </w:r>
      <w:r w:rsidRPr="00F82E89">
        <w:t xml:space="preserve">, Utah, USA, showing </w:t>
      </w:r>
      <w:r>
        <w:t xml:space="preserve">the positions where </w:t>
      </w:r>
      <w:r w:rsidRPr="00F82E89">
        <w:t xml:space="preserve">sedimentary log and photogrammetric data were collected (see key) </w:t>
      </w:r>
      <w:r>
        <w:t>along with</w:t>
      </w:r>
      <w:r w:rsidRPr="00F82E89">
        <w:t xml:space="preserve"> subsequent figure locations (</w:t>
      </w:r>
      <w:r>
        <w:t>numbered</w:t>
      </w:r>
      <w:r w:rsidRPr="00F82E89">
        <w:t xml:space="preserve">). </w:t>
      </w:r>
      <w:r>
        <w:t xml:space="preserve">B) </w:t>
      </w:r>
      <w:r w:rsidRPr="00F82E89">
        <w:t>Digital point cloud data from the outcrop dataset. Note: the bottom right shows the study location map of A.</w:t>
      </w:r>
      <w:r>
        <w:t xml:space="preserve"> </w:t>
      </w:r>
      <w:r w:rsidRPr="00F82E89">
        <w:t>C</w:t>
      </w:r>
      <w:r>
        <w:t>)</w:t>
      </w:r>
      <w:r w:rsidRPr="00F82E89">
        <w:t xml:space="preserve"> and D</w:t>
      </w:r>
      <w:r>
        <w:t>)</w:t>
      </w:r>
      <w:r w:rsidRPr="00F82E89">
        <w:t xml:space="preserve"> show sedimentary dip and azimuth measurements (coloured surfaces) on the digital surface within the VRGS software (see text). </w:t>
      </w:r>
      <w:r>
        <w:t>E</w:t>
      </w:r>
      <w:r w:rsidRPr="00F82E89">
        <w:t xml:space="preserve">) Bounding surface analysis on the digitally-textured mesh surface. </w:t>
      </w:r>
    </w:p>
    <w:p w:rsidR="005E08CD" w:rsidRPr="00F82E89" w:rsidRDefault="005E08CD" w:rsidP="005E08CD">
      <w:r w:rsidRPr="00F82E89">
        <w:t xml:space="preserve">Twenty-nine palaeocurrent readings were collected in the field (from crossbedding fabrics), and a further 447 were collected from the photogrammetric data using the Virtual Reality Geological Studio </w:t>
      </w:r>
      <w:r w:rsidR="001900F8">
        <w:t xml:space="preserve">(VRGS) </w:t>
      </w:r>
      <w:r w:rsidRPr="00F82E89">
        <w:t xml:space="preserve">software (v. 2.39, Hodgetts </w:t>
      </w:r>
      <w:r w:rsidR="00517096" w:rsidRPr="00517096">
        <w:rPr>
          <w:i/>
        </w:rPr>
        <w:t>et al.,</w:t>
      </w:r>
      <w:r w:rsidR="00432A81" w:rsidRPr="00F82E89">
        <w:t xml:space="preserve"> </w:t>
      </w:r>
      <w:r w:rsidRPr="00F82E89">
        <w:t>201</w:t>
      </w:r>
      <w:r w:rsidR="00432A81" w:rsidRPr="00F82E89">
        <w:t>5</w:t>
      </w:r>
      <w:r w:rsidR="007D7916">
        <w:t>; Figure 4C and D</w:t>
      </w:r>
      <w:r w:rsidR="00FC1E9D" w:rsidRPr="00F82E89">
        <w:t>), from which detailed three-</w:t>
      </w:r>
      <w:r w:rsidRPr="00F82E89">
        <w:t xml:space="preserve">dimensional sedimentary architectures could be determined (Figure </w:t>
      </w:r>
      <w:r w:rsidR="006413A6">
        <w:t>4</w:t>
      </w:r>
      <w:r w:rsidRPr="00F82E89">
        <w:t>)</w:t>
      </w:r>
      <w:r w:rsidR="00FC1E9D" w:rsidRPr="00F82E89">
        <w:t>.</w:t>
      </w:r>
      <w:r w:rsidRPr="00F82E89">
        <w:t xml:space="preserve"> Field-based sedimentary logging was also undertaken to supplement the sedimentary architecture data with facies-scale sedimentological observations.</w:t>
      </w:r>
    </w:p>
    <w:p w:rsidR="005E08CD" w:rsidRPr="00F82E89" w:rsidRDefault="005E08CD" w:rsidP="005E08CD">
      <w:r w:rsidRPr="00F82E89">
        <w:t>The satellite image of the Jamuna River was captured on 24/04/14 and was subsequently interpreted using the same bounding surface nomenclature as the Tuscher Canyon outcrops (Miall</w:t>
      </w:r>
      <w:r w:rsidR="00BD4D38">
        <w:t>,</w:t>
      </w:r>
      <w:r w:rsidRPr="00F82E89">
        <w:t xml:space="preserve"> 1985, 1996). The image was imported into ImageJ (v.1.51</w:t>
      </w:r>
      <w:r w:rsidR="00263E36">
        <w:t>; Rasband</w:t>
      </w:r>
      <w:r w:rsidR="00BD4D38">
        <w:t>,</w:t>
      </w:r>
      <w:r w:rsidR="00263E36">
        <w:t xml:space="preserve"> 2009</w:t>
      </w:r>
      <w:r w:rsidRPr="00F82E89">
        <w:t>) software as a 32-bit image where accurate measurements of sedimentary architecture could be made (Potere</w:t>
      </w:r>
      <w:r w:rsidR="00BD4D38">
        <w:t>,</w:t>
      </w:r>
      <w:r w:rsidRPr="00F82E89">
        <w:t xml:space="preserve"> 2008; Yu and Gong</w:t>
      </w:r>
      <w:r w:rsidR="00BD4D38">
        <w:t>,</w:t>
      </w:r>
      <w:r w:rsidRPr="00F82E89">
        <w:t xml:space="preserve"> 2012; Colombera </w:t>
      </w:r>
      <w:r w:rsidR="00517096" w:rsidRPr="00517096">
        <w:rPr>
          <w:i/>
        </w:rPr>
        <w:t>et al.,</w:t>
      </w:r>
      <w:r w:rsidRPr="00F82E89">
        <w:t xml:space="preserve"> 2012, 2013, 2016; </w:t>
      </w:r>
      <w:r w:rsidR="00F211F1" w:rsidRPr="00F82E89">
        <w:t>Zhou and Wang</w:t>
      </w:r>
      <w:r w:rsidR="00BD4D38">
        <w:t>,</w:t>
      </w:r>
      <w:r w:rsidR="00F211F1" w:rsidRPr="00F82E89">
        <w:t xml:space="preserve"> 2015; </w:t>
      </w:r>
      <w:r w:rsidRPr="00F82E89">
        <w:t xml:space="preserve">Gorelick </w:t>
      </w:r>
      <w:r w:rsidR="00517096" w:rsidRPr="00517096">
        <w:rPr>
          <w:i/>
        </w:rPr>
        <w:t>et al.,</w:t>
      </w:r>
      <w:r w:rsidRPr="00F82E89">
        <w:t xml:space="preserve"> 2017). Thirty-eight channel and barform widths</w:t>
      </w:r>
      <w:r w:rsidR="001900F8">
        <w:t>,</w:t>
      </w:r>
      <w:r w:rsidRPr="00F82E89">
        <w:t xml:space="preserve"> and twenty-seven barform lengths were measured from the 8 km</w:t>
      </w:r>
      <w:r w:rsidRPr="00F82E89">
        <w:rPr>
          <w:vertAlign w:val="superscript"/>
        </w:rPr>
        <w:t>2</w:t>
      </w:r>
      <w:r w:rsidRPr="00F82E89">
        <w:t xml:space="preserve"> downstream accreting bar complex. Width:length element ratios were calculated. Finally, the image was put into the equal surface area measurement tool within ImageJ</w:t>
      </w:r>
      <w:r w:rsidR="00762827">
        <w:t xml:space="preserve"> (Rasband</w:t>
      </w:r>
      <w:r w:rsidR="00BD4D38">
        <w:t>,</w:t>
      </w:r>
      <w:r w:rsidR="00762827">
        <w:t xml:space="preserve"> 2009; Grove and Jerram</w:t>
      </w:r>
      <w:r w:rsidR="00BD4D38">
        <w:t>,</w:t>
      </w:r>
      <w:r w:rsidR="00762827">
        <w:t xml:space="preserve"> 2011)</w:t>
      </w:r>
      <w:r w:rsidRPr="00F82E89">
        <w:t xml:space="preserve"> to analyse sedimentary architecture proportions. </w:t>
      </w:r>
    </w:p>
    <w:p w:rsidR="00926580" w:rsidRPr="00F82E89" w:rsidRDefault="00926580" w:rsidP="00CD1601">
      <w:pPr>
        <w:pStyle w:val="Heading1"/>
        <w:numPr>
          <w:ilvl w:val="0"/>
          <w:numId w:val="1"/>
        </w:numPr>
      </w:pPr>
      <w:r w:rsidRPr="00F82E89">
        <w:t>Sedimentary architecture</w:t>
      </w:r>
    </w:p>
    <w:p w:rsidR="00926580" w:rsidRPr="00F82E89" w:rsidRDefault="00926580" w:rsidP="00926580">
      <w:r w:rsidRPr="00F82E89">
        <w:t xml:space="preserve">The quantitative and qualitative data collected from the two systems are </w:t>
      </w:r>
      <w:r w:rsidR="00805D68">
        <w:t xml:space="preserve">now </w:t>
      </w:r>
      <w:r w:rsidRPr="00F82E89">
        <w:t xml:space="preserve">described. The sedimentology of these systems is not discussed in depth here as they have been </w:t>
      </w:r>
      <w:r w:rsidR="008B01B2">
        <w:t>described</w:t>
      </w:r>
      <w:r w:rsidRPr="00F82E89">
        <w:t xml:space="preserve"> previously. A detailed account of the facies and architectural composition of the Castlegate can be found in Van de Graff (1972), Chan and Pfaff (1991), Miall (1993, 1994), Adams and Bhattachyra (2005) and McLaurin and Steel (2007); for details of the Jamuna River see the works of Coleman (1969), Bristow (1993), Bristow </w:t>
      </w:r>
      <w:r w:rsidR="00517096" w:rsidRPr="00517096">
        <w:rPr>
          <w:i/>
        </w:rPr>
        <w:t>et al.,</w:t>
      </w:r>
      <w:r w:rsidRPr="00F82E89">
        <w:t xml:space="preserve"> (1999), Ashworth </w:t>
      </w:r>
      <w:r w:rsidR="00517096" w:rsidRPr="00517096">
        <w:rPr>
          <w:i/>
        </w:rPr>
        <w:t>et al.,</w:t>
      </w:r>
      <w:r w:rsidRPr="00F82E89">
        <w:t xml:space="preserve"> (2000) and Best </w:t>
      </w:r>
      <w:r w:rsidR="00517096" w:rsidRPr="00517096">
        <w:rPr>
          <w:i/>
        </w:rPr>
        <w:t>et al.,</w:t>
      </w:r>
      <w:r w:rsidRPr="00F82E89">
        <w:t xml:space="preserve"> (2003).</w:t>
      </w:r>
    </w:p>
    <w:p w:rsidR="005E08CD" w:rsidRPr="00F82E89" w:rsidRDefault="00555528" w:rsidP="00CD1601">
      <w:pPr>
        <w:pStyle w:val="Heading2"/>
        <w:numPr>
          <w:ilvl w:val="1"/>
          <w:numId w:val="1"/>
        </w:numPr>
      </w:pPr>
      <w:r w:rsidRPr="00F82E89">
        <w:t>Lower Castlegate Sandstone, Utah</w:t>
      </w:r>
    </w:p>
    <w:p w:rsidR="00AA5779" w:rsidRDefault="00555528" w:rsidP="00555528">
      <w:r w:rsidRPr="00F82E89">
        <w:t>The Castlegate Sandstone succession at Tuscher Canyon consists of eight facies (Table 1</w:t>
      </w:r>
      <w:r w:rsidR="001D6D2B" w:rsidRPr="00F82E89">
        <w:t xml:space="preserve">; Figure </w:t>
      </w:r>
      <w:r w:rsidR="006413A6">
        <w:t>5</w:t>
      </w:r>
      <w:r w:rsidRPr="00F82E89">
        <w:t xml:space="preserve">): one structureless conglomerate facies (Cc), six sandstone facies (St, Sp, Sh, Shv, Sm and Smv) and one </w:t>
      </w:r>
      <w:r w:rsidR="00FC1E9D" w:rsidRPr="00F82E89">
        <w:t>fine-</w:t>
      </w:r>
      <w:r w:rsidRPr="00F82E89">
        <w:t>grained siltstone facies (Fl). Four major architectural elements have been identified, based on the distribution of these facies and their bounding surface f</w:t>
      </w:r>
      <w:r w:rsidR="00FC1E9D" w:rsidRPr="00F82E89">
        <w:t>ramework. These are: simple cut-and-</w:t>
      </w:r>
      <w:r w:rsidRPr="00F82E89">
        <w:t>fill channel elements</w:t>
      </w:r>
      <w:r w:rsidR="007D7916">
        <w:t xml:space="preserve"> (CH)</w:t>
      </w:r>
      <w:r w:rsidRPr="00F82E89">
        <w:t>, thalweg bedform complexes</w:t>
      </w:r>
      <w:r w:rsidR="007D7916">
        <w:t xml:space="preserve"> (TB)</w:t>
      </w:r>
      <w:r w:rsidRPr="00F82E89">
        <w:t xml:space="preserve">, downstream accreting barforms </w:t>
      </w:r>
      <w:r w:rsidR="007D7916">
        <w:t xml:space="preserve">(DA) </w:t>
      </w:r>
      <w:r w:rsidRPr="00F82E89">
        <w:t>and laterally accreting barforms</w:t>
      </w:r>
      <w:r w:rsidR="007D7916">
        <w:t xml:space="preserve"> (LA)</w:t>
      </w:r>
      <w:r w:rsidRPr="00F82E89">
        <w:t xml:space="preserve"> (Miall</w:t>
      </w:r>
      <w:r w:rsidR="00BD4D38">
        <w:t>,</w:t>
      </w:r>
      <w:r w:rsidRPr="00F82E89">
        <w:t xml:space="preserve"> 1993; 1994; Yoshida </w:t>
      </w:r>
      <w:r w:rsidR="00517096" w:rsidRPr="00517096">
        <w:rPr>
          <w:i/>
        </w:rPr>
        <w:t>et al.,</w:t>
      </w:r>
      <w:r w:rsidRPr="00F82E89">
        <w:t xml:space="preserve"> 2000; </w:t>
      </w:r>
      <w:r w:rsidR="001D6D2B" w:rsidRPr="00F82E89">
        <w:t xml:space="preserve">Figures </w:t>
      </w:r>
      <w:r w:rsidR="006413A6">
        <w:t>5</w:t>
      </w:r>
      <w:r w:rsidR="001D6D2B" w:rsidRPr="00F82E89">
        <w:t xml:space="preserve">, </w:t>
      </w:r>
      <w:r w:rsidR="006413A6">
        <w:t>6</w:t>
      </w:r>
      <w:r w:rsidR="001D6D2B" w:rsidRPr="00F82E89">
        <w:t xml:space="preserve"> and </w:t>
      </w:r>
      <w:r w:rsidR="006413A6">
        <w:t>7</w:t>
      </w:r>
      <w:r w:rsidRPr="00F82E89">
        <w:t xml:space="preserve">; Table 2).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96"/>
        <w:gridCol w:w="4169"/>
        <w:gridCol w:w="4261"/>
      </w:tblGrid>
      <w:tr w:rsidR="007B7417" w:rsidRPr="00F82E89" w:rsidTr="00ED0AF5">
        <w:tc>
          <w:tcPr>
            <w:tcW w:w="596" w:type="dxa"/>
          </w:tcPr>
          <w:p w:rsidR="007B7417" w:rsidRPr="00F82E89" w:rsidRDefault="007B7417" w:rsidP="00ED0AF5">
            <w:pPr>
              <w:spacing w:line="240" w:lineRule="auto"/>
              <w:rPr>
                <w:b/>
                <w:sz w:val="18"/>
                <w:shd w:val="clear" w:color="auto" w:fill="FFFFFF"/>
              </w:rPr>
            </w:pPr>
            <w:r w:rsidRPr="00F82E89">
              <w:rPr>
                <w:b/>
                <w:sz w:val="18"/>
                <w:shd w:val="clear" w:color="auto" w:fill="FFFFFF"/>
              </w:rPr>
              <w:t>Code</w:t>
            </w:r>
          </w:p>
        </w:tc>
        <w:tc>
          <w:tcPr>
            <w:tcW w:w="4169" w:type="dxa"/>
          </w:tcPr>
          <w:p w:rsidR="007B7417" w:rsidRPr="00F82E89" w:rsidRDefault="007B7417" w:rsidP="00ED0AF5">
            <w:pPr>
              <w:spacing w:line="240" w:lineRule="auto"/>
              <w:rPr>
                <w:b/>
                <w:sz w:val="18"/>
                <w:shd w:val="clear" w:color="auto" w:fill="FFFFFF"/>
              </w:rPr>
            </w:pPr>
            <w:r w:rsidRPr="00F82E89">
              <w:rPr>
                <w:b/>
                <w:sz w:val="18"/>
                <w:shd w:val="clear" w:color="auto" w:fill="FFFFFF"/>
              </w:rPr>
              <w:t>Facies description</w:t>
            </w:r>
          </w:p>
        </w:tc>
        <w:tc>
          <w:tcPr>
            <w:tcW w:w="4261" w:type="dxa"/>
          </w:tcPr>
          <w:p w:rsidR="007B7417" w:rsidRPr="00F82E89" w:rsidRDefault="007B7417" w:rsidP="00ED0AF5">
            <w:pPr>
              <w:spacing w:line="240" w:lineRule="auto"/>
              <w:rPr>
                <w:b/>
                <w:sz w:val="18"/>
                <w:shd w:val="clear" w:color="auto" w:fill="FFFFFF"/>
              </w:rPr>
            </w:pPr>
            <w:r w:rsidRPr="00F82E89">
              <w:rPr>
                <w:b/>
                <w:sz w:val="18"/>
                <w:shd w:val="clear" w:color="auto" w:fill="FFFFFF"/>
              </w:rPr>
              <w:t>Facies interpretation</w:t>
            </w:r>
          </w:p>
        </w:tc>
      </w:tr>
      <w:tr w:rsidR="007B7417" w:rsidRPr="00F82E89" w:rsidTr="00ED0AF5">
        <w:tc>
          <w:tcPr>
            <w:tcW w:w="596" w:type="dxa"/>
          </w:tcPr>
          <w:p w:rsidR="007B7417" w:rsidRPr="00F82E89" w:rsidRDefault="007B7417" w:rsidP="00ED0AF5">
            <w:pPr>
              <w:spacing w:line="240" w:lineRule="auto"/>
              <w:rPr>
                <w:sz w:val="18"/>
                <w:shd w:val="clear" w:color="auto" w:fill="FFFFFF"/>
              </w:rPr>
            </w:pPr>
            <w:r w:rsidRPr="00F82E89">
              <w:rPr>
                <w:sz w:val="18"/>
                <w:shd w:val="clear" w:color="auto" w:fill="FFFFFF"/>
              </w:rPr>
              <w:t>Cc</w:t>
            </w:r>
          </w:p>
        </w:tc>
        <w:tc>
          <w:tcPr>
            <w:tcW w:w="4169" w:type="dxa"/>
          </w:tcPr>
          <w:p w:rsidR="007B7417" w:rsidRPr="00F82E89" w:rsidRDefault="007B7417" w:rsidP="00ED0AF5">
            <w:pPr>
              <w:spacing w:line="240" w:lineRule="auto"/>
              <w:rPr>
                <w:rFonts w:cs="Times New Roman"/>
                <w:sz w:val="18"/>
                <w:shd w:val="clear" w:color="auto" w:fill="FFFFFF"/>
              </w:rPr>
            </w:pPr>
            <w:r w:rsidRPr="00F82E89">
              <w:rPr>
                <w:rFonts w:cs="Times New Roman"/>
                <w:b/>
                <w:sz w:val="18"/>
                <w:shd w:val="clear" w:color="auto" w:fill="FFFFFF"/>
              </w:rPr>
              <w:t xml:space="preserve">Structureless conglomerate: </w:t>
            </w:r>
            <w:r w:rsidRPr="00F82E89">
              <w:rPr>
                <w:rFonts w:eastAsia="Times New Roman" w:cs="Times New Roman"/>
                <w:sz w:val="18"/>
                <w:lang w:eastAsia="en-GB"/>
              </w:rPr>
              <w:t>Pebble-sized clasts, clast supported. Matrix is composed of fine- to very coarse-grained sandstone that is extremely poorly sorted. Clasts are comprised of quartz. Shows normally grading and is structureless with rip-up clasts of mudstone and siltstone.</w:t>
            </w:r>
          </w:p>
        </w:tc>
        <w:tc>
          <w:tcPr>
            <w:tcW w:w="4261" w:type="dxa"/>
          </w:tcPr>
          <w:p w:rsidR="007B7417" w:rsidRPr="00F82E89" w:rsidRDefault="007B7417" w:rsidP="00ED0AF5">
            <w:pPr>
              <w:spacing w:line="240" w:lineRule="auto"/>
              <w:rPr>
                <w:rFonts w:cs="Times New Roman"/>
                <w:sz w:val="18"/>
                <w:shd w:val="clear" w:color="auto" w:fill="FFFFFF"/>
              </w:rPr>
            </w:pPr>
            <w:r w:rsidRPr="00F82E89">
              <w:rPr>
                <w:rFonts w:cs="Times New Roman"/>
                <w:sz w:val="18"/>
                <w:shd w:val="clear" w:color="auto" w:fill="FFFFFF"/>
              </w:rPr>
              <w:t>Channel lag deposits, coarse grained bedload deposits in a high energy fluvial flow (Miall 1988). Rip-up clasts are associated with the erosion and subsequent transportation and deposition of previously deposited material (Bridge</w:t>
            </w:r>
            <w:r>
              <w:rPr>
                <w:rFonts w:cs="Times New Roman"/>
                <w:sz w:val="18"/>
                <w:shd w:val="clear" w:color="auto" w:fill="FFFFFF"/>
              </w:rPr>
              <w:t>,</w:t>
            </w:r>
            <w:r w:rsidRPr="00F82E89">
              <w:rPr>
                <w:rFonts w:cs="Times New Roman"/>
                <w:sz w:val="18"/>
                <w:shd w:val="clear" w:color="auto" w:fill="FFFFFF"/>
              </w:rPr>
              <w:t xml:space="preserve"> 2003). </w:t>
            </w:r>
          </w:p>
        </w:tc>
      </w:tr>
      <w:tr w:rsidR="007B7417" w:rsidRPr="00F82E89" w:rsidTr="00ED0AF5">
        <w:tc>
          <w:tcPr>
            <w:tcW w:w="596" w:type="dxa"/>
          </w:tcPr>
          <w:p w:rsidR="007B7417" w:rsidRPr="00F82E89" w:rsidRDefault="007B7417" w:rsidP="00ED0AF5">
            <w:pPr>
              <w:spacing w:line="240" w:lineRule="auto"/>
              <w:rPr>
                <w:sz w:val="18"/>
                <w:shd w:val="clear" w:color="auto" w:fill="FFFFFF"/>
              </w:rPr>
            </w:pPr>
            <w:r w:rsidRPr="00F82E89">
              <w:rPr>
                <w:sz w:val="18"/>
                <w:shd w:val="clear" w:color="auto" w:fill="FFFFFF"/>
              </w:rPr>
              <w:t>St</w:t>
            </w:r>
          </w:p>
        </w:tc>
        <w:tc>
          <w:tcPr>
            <w:tcW w:w="4169" w:type="dxa"/>
          </w:tcPr>
          <w:p w:rsidR="007B7417" w:rsidRPr="00F82E89" w:rsidRDefault="007B7417" w:rsidP="00ED0AF5">
            <w:pPr>
              <w:spacing w:line="240" w:lineRule="auto"/>
              <w:rPr>
                <w:rFonts w:cs="Times New Roman"/>
                <w:b/>
                <w:sz w:val="18"/>
                <w:shd w:val="clear" w:color="auto" w:fill="FFFFFF"/>
              </w:rPr>
            </w:pPr>
            <w:r w:rsidRPr="00F82E89">
              <w:rPr>
                <w:rFonts w:cs="Times New Roman"/>
                <w:b/>
                <w:sz w:val="18"/>
                <w:shd w:val="clear" w:color="auto" w:fill="FFFFFF"/>
              </w:rPr>
              <w:t xml:space="preserve">Trough cross-bedded sandstone: </w:t>
            </w:r>
            <w:r w:rsidRPr="00F82E89">
              <w:rPr>
                <w:rFonts w:eastAsia="Times New Roman" w:cs="Times New Roman"/>
                <w:sz w:val="18"/>
                <w:lang w:eastAsia="en-GB"/>
              </w:rPr>
              <w:t>Fine to very coarse-grained, grey-brown arenite, sub- to well-rounded, moderate sorting and sphericity. Pervasive trough crossbedding with rip-up clasts of silt and mudstones. Pebble-sized clasts at the base of the facies and foresets surfaces. Soft sediment deformation is common.</w:t>
            </w:r>
          </w:p>
        </w:tc>
        <w:tc>
          <w:tcPr>
            <w:tcW w:w="4261" w:type="dxa"/>
          </w:tcPr>
          <w:p w:rsidR="007B7417" w:rsidRPr="00F82E89" w:rsidRDefault="007B7417" w:rsidP="00ED0AF5">
            <w:pPr>
              <w:spacing w:line="240" w:lineRule="auto"/>
              <w:rPr>
                <w:rFonts w:cs="Times New Roman"/>
                <w:sz w:val="18"/>
                <w:shd w:val="clear" w:color="auto" w:fill="FFFFFF"/>
              </w:rPr>
            </w:pPr>
            <w:r w:rsidRPr="00F82E89">
              <w:rPr>
                <w:rFonts w:cs="Times New Roman"/>
                <w:sz w:val="18"/>
                <w:shd w:val="clear" w:color="auto" w:fill="FFFFFF"/>
              </w:rPr>
              <w:t xml:space="preserve">Coarse-grained bedform migration of sinuous crested sub-aqueous dunes (Collinson </w:t>
            </w:r>
            <w:r w:rsidRPr="00517096">
              <w:rPr>
                <w:rFonts w:cs="Times New Roman"/>
                <w:i/>
                <w:sz w:val="18"/>
                <w:shd w:val="clear" w:color="auto" w:fill="FFFFFF"/>
              </w:rPr>
              <w:t>et al.,</w:t>
            </w:r>
            <w:r w:rsidRPr="00F82E89">
              <w:rPr>
                <w:rFonts w:cs="Times New Roman"/>
                <w:sz w:val="18"/>
                <w:shd w:val="clear" w:color="auto" w:fill="FFFFFF"/>
              </w:rPr>
              <w:t xml:space="preserve"> 2006). Pebble lining of foresets indicates mixed bedload sediment calibre and avalanche deposits of foresets (Allen</w:t>
            </w:r>
            <w:r>
              <w:rPr>
                <w:rFonts w:cs="Times New Roman"/>
                <w:sz w:val="18"/>
                <w:shd w:val="clear" w:color="auto" w:fill="FFFFFF"/>
              </w:rPr>
              <w:t>,</w:t>
            </w:r>
            <w:r w:rsidRPr="00F82E89">
              <w:rPr>
                <w:rFonts w:cs="Times New Roman"/>
                <w:sz w:val="18"/>
                <w:shd w:val="clear" w:color="auto" w:fill="FFFFFF"/>
              </w:rPr>
              <w:t xml:space="preserve"> 1983).</w:t>
            </w:r>
          </w:p>
        </w:tc>
      </w:tr>
      <w:tr w:rsidR="007B7417" w:rsidRPr="00F82E89" w:rsidTr="00ED0AF5">
        <w:tc>
          <w:tcPr>
            <w:tcW w:w="596" w:type="dxa"/>
          </w:tcPr>
          <w:p w:rsidR="007B7417" w:rsidRPr="00F82E89" w:rsidRDefault="007B7417" w:rsidP="00ED0AF5">
            <w:pPr>
              <w:spacing w:line="240" w:lineRule="auto"/>
              <w:rPr>
                <w:sz w:val="18"/>
                <w:shd w:val="clear" w:color="auto" w:fill="FFFFFF"/>
              </w:rPr>
            </w:pPr>
            <w:r w:rsidRPr="00F82E89">
              <w:rPr>
                <w:sz w:val="18"/>
                <w:shd w:val="clear" w:color="auto" w:fill="FFFFFF"/>
              </w:rPr>
              <w:t>Sp</w:t>
            </w:r>
          </w:p>
        </w:tc>
        <w:tc>
          <w:tcPr>
            <w:tcW w:w="4169" w:type="dxa"/>
          </w:tcPr>
          <w:p w:rsidR="007B7417" w:rsidRPr="00F82E89" w:rsidRDefault="007B7417" w:rsidP="00ED0AF5">
            <w:pPr>
              <w:spacing w:line="240" w:lineRule="auto"/>
              <w:rPr>
                <w:rFonts w:cs="Times New Roman"/>
                <w:sz w:val="18"/>
                <w:shd w:val="clear" w:color="auto" w:fill="FFFFFF"/>
              </w:rPr>
            </w:pPr>
            <w:r w:rsidRPr="00F82E89">
              <w:rPr>
                <w:rFonts w:cs="Times New Roman"/>
                <w:b/>
                <w:sz w:val="18"/>
                <w:shd w:val="clear" w:color="auto" w:fill="FFFFFF"/>
              </w:rPr>
              <w:t xml:space="preserve">Planar cross-bedded sandstone: </w:t>
            </w:r>
            <w:r w:rsidRPr="00F82E89">
              <w:rPr>
                <w:rFonts w:eastAsia="Times New Roman" w:cs="Times New Roman"/>
                <w:sz w:val="18"/>
                <w:lang w:eastAsia="en-GB"/>
              </w:rPr>
              <w:t>Fine- to coarse-grained, grey-brown arenite, sub- to well-rounded, moderate sorting and sphericity. Planar crossbedding characterises the facies, foresets lined with darker clasts, sometimes granular to pebble sized clast material, asymmetrical and symmetrical ripples.</w:t>
            </w:r>
          </w:p>
        </w:tc>
        <w:tc>
          <w:tcPr>
            <w:tcW w:w="4261" w:type="dxa"/>
          </w:tcPr>
          <w:p w:rsidR="007B7417" w:rsidRPr="00F82E89" w:rsidRDefault="007B7417" w:rsidP="00ED0AF5">
            <w:pPr>
              <w:spacing w:line="240" w:lineRule="auto"/>
              <w:rPr>
                <w:rFonts w:cs="Times New Roman"/>
                <w:sz w:val="18"/>
                <w:shd w:val="clear" w:color="auto" w:fill="FFFFFF"/>
              </w:rPr>
            </w:pPr>
            <w:r w:rsidRPr="00F82E89">
              <w:rPr>
                <w:rFonts w:cs="Times New Roman"/>
                <w:sz w:val="18"/>
                <w:shd w:val="clear" w:color="auto" w:fill="FFFFFF"/>
              </w:rPr>
              <w:t>Bedload transport of straight crested subaqueous dunes with the formation of ripples (Miall</w:t>
            </w:r>
            <w:r>
              <w:rPr>
                <w:rFonts w:cs="Times New Roman"/>
                <w:sz w:val="18"/>
                <w:shd w:val="clear" w:color="auto" w:fill="FFFFFF"/>
              </w:rPr>
              <w:t>,</w:t>
            </w:r>
            <w:r w:rsidRPr="00F82E89">
              <w:rPr>
                <w:rFonts w:cs="Times New Roman"/>
                <w:sz w:val="18"/>
                <w:shd w:val="clear" w:color="auto" w:fill="FFFFFF"/>
              </w:rPr>
              <w:t xml:space="preserve"> 1996). </w:t>
            </w:r>
          </w:p>
        </w:tc>
      </w:tr>
      <w:tr w:rsidR="007B7417" w:rsidRPr="00F82E89" w:rsidTr="00ED0AF5">
        <w:tc>
          <w:tcPr>
            <w:tcW w:w="596" w:type="dxa"/>
          </w:tcPr>
          <w:p w:rsidR="007B7417" w:rsidRPr="00F82E89" w:rsidRDefault="007B7417" w:rsidP="00ED0AF5">
            <w:pPr>
              <w:spacing w:line="240" w:lineRule="auto"/>
              <w:rPr>
                <w:sz w:val="18"/>
                <w:shd w:val="clear" w:color="auto" w:fill="FFFFFF"/>
              </w:rPr>
            </w:pPr>
            <w:r w:rsidRPr="00F82E89">
              <w:rPr>
                <w:sz w:val="18"/>
                <w:shd w:val="clear" w:color="auto" w:fill="FFFFFF"/>
              </w:rPr>
              <w:t>Sm</w:t>
            </w:r>
          </w:p>
        </w:tc>
        <w:tc>
          <w:tcPr>
            <w:tcW w:w="4169" w:type="dxa"/>
          </w:tcPr>
          <w:p w:rsidR="007B7417" w:rsidRPr="00F82E89" w:rsidRDefault="007B7417" w:rsidP="00ED0AF5">
            <w:pPr>
              <w:spacing w:line="240" w:lineRule="auto"/>
              <w:rPr>
                <w:rFonts w:cs="Times New Roman"/>
                <w:sz w:val="18"/>
                <w:shd w:val="clear" w:color="auto" w:fill="FFFFFF"/>
              </w:rPr>
            </w:pPr>
            <w:r w:rsidRPr="00F82E89">
              <w:rPr>
                <w:rFonts w:cs="Times New Roman"/>
                <w:b/>
                <w:sz w:val="18"/>
                <w:shd w:val="clear" w:color="auto" w:fill="FFFFFF"/>
              </w:rPr>
              <w:t xml:space="preserve">Structureless sandstone: </w:t>
            </w:r>
            <w:r w:rsidRPr="00F82E89">
              <w:rPr>
                <w:rFonts w:eastAsia="Times New Roman" w:cs="Times New Roman"/>
                <w:sz w:val="18"/>
                <w:lang w:eastAsia="en-GB"/>
              </w:rPr>
              <w:t>Medium-grained, black-grey arenite, sub-rounded, very poor to poor sorting and moderate sphericity. Structureless sandstone showing normal grading with large wood fragments and clast material throughout the facies.</w:t>
            </w:r>
          </w:p>
        </w:tc>
        <w:tc>
          <w:tcPr>
            <w:tcW w:w="4261" w:type="dxa"/>
          </w:tcPr>
          <w:p w:rsidR="007B7417" w:rsidRPr="00F82E89" w:rsidRDefault="007B7417" w:rsidP="00ED0AF5">
            <w:pPr>
              <w:spacing w:line="240" w:lineRule="auto"/>
              <w:rPr>
                <w:rFonts w:cs="Times New Roman"/>
                <w:sz w:val="18"/>
                <w:shd w:val="clear" w:color="auto" w:fill="FFFFFF"/>
              </w:rPr>
            </w:pPr>
            <w:r w:rsidRPr="00F82E89">
              <w:rPr>
                <w:rFonts w:cs="Times New Roman"/>
                <w:sz w:val="18"/>
                <w:shd w:val="clear" w:color="auto" w:fill="FFFFFF"/>
              </w:rPr>
              <w:t>High abundance of sediment with a mixed calibre forming a pseudo-plastic high energy flow supressing bedform development (Miall</w:t>
            </w:r>
            <w:r>
              <w:rPr>
                <w:rFonts w:cs="Times New Roman"/>
                <w:sz w:val="18"/>
                <w:shd w:val="clear" w:color="auto" w:fill="FFFFFF"/>
              </w:rPr>
              <w:t>,</w:t>
            </w:r>
            <w:r w:rsidRPr="00F82E89">
              <w:rPr>
                <w:rFonts w:cs="Times New Roman"/>
                <w:sz w:val="18"/>
                <w:shd w:val="clear" w:color="auto" w:fill="FFFFFF"/>
              </w:rPr>
              <w:t xml:space="preserve"> 1996; Leeder</w:t>
            </w:r>
            <w:r>
              <w:rPr>
                <w:rFonts w:cs="Times New Roman"/>
                <w:sz w:val="18"/>
                <w:shd w:val="clear" w:color="auto" w:fill="FFFFFF"/>
              </w:rPr>
              <w:t>,</w:t>
            </w:r>
            <w:r w:rsidRPr="00F82E89">
              <w:rPr>
                <w:rFonts w:cs="Times New Roman"/>
                <w:sz w:val="18"/>
                <w:shd w:val="clear" w:color="auto" w:fill="FFFFFF"/>
              </w:rPr>
              <w:t xml:space="preserve"> 1999). </w:t>
            </w:r>
          </w:p>
        </w:tc>
      </w:tr>
      <w:tr w:rsidR="007B7417" w:rsidRPr="00F82E89" w:rsidTr="00ED0AF5">
        <w:tc>
          <w:tcPr>
            <w:tcW w:w="596" w:type="dxa"/>
          </w:tcPr>
          <w:p w:rsidR="007B7417" w:rsidRPr="00F82E89" w:rsidRDefault="007B7417" w:rsidP="00ED0AF5">
            <w:pPr>
              <w:spacing w:line="240" w:lineRule="auto"/>
              <w:rPr>
                <w:sz w:val="18"/>
                <w:shd w:val="clear" w:color="auto" w:fill="FFFFFF"/>
              </w:rPr>
            </w:pPr>
            <w:r w:rsidRPr="00F82E89">
              <w:rPr>
                <w:sz w:val="18"/>
                <w:shd w:val="clear" w:color="auto" w:fill="FFFFFF"/>
              </w:rPr>
              <w:t>Smv</w:t>
            </w:r>
          </w:p>
        </w:tc>
        <w:tc>
          <w:tcPr>
            <w:tcW w:w="4169" w:type="dxa"/>
          </w:tcPr>
          <w:p w:rsidR="007B7417" w:rsidRPr="00F82E89" w:rsidRDefault="007B7417" w:rsidP="00ED0AF5">
            <w:pPr>
              <w:spacing w:line="240" w:lineRule="auto"/>
              <w:rPr>
                <w:rFonts w:cs="Times New Roman"/>
                <w:sz w:val="18"/>
                <w:shd w:val="clear" w:color="auto" w:fill="FFFFFF"/>
              </w:rPr>
            </w:pPr>
            <w:r w:rsidRPr="00F82E89">
              <w:rPr>
                <w:rFonts w:cs="Times New Roman"/>
                <w:b/>
                <w:sz w:val="18"/>
                <w:shd w:val="clear" w:color="auto" w:fill="FFFFFF"/>
              </w:rPr>
              <w:t xml:space="preserve">Fine-grained massive sandstone: </w:t>
            </w:r>
            <w:r w:rsidRPr="00F82E89">
              <w:rPr>
                <w:rFonts w:eastAsia="Times New Roman" w:cs="Times New Roman"/>
                <w:sz w:val="18"/>
                <w:lang w:eastAsia="en-GB"/>
              </w:rPr>
              <w:t>Very fine- to fine-grained, black-grey arenite, sub-rounded, very poor to poor sorting and moderate sphericity. Structureless sandstone showing normal grading with small wood fragments and micaceous rich.</w:t>
            </w:r>
          </w:p>
        </w:tc>
        <w:tc>
          <w:tcPr>
            <w:tcW w:w="4261" w:type="dxa"/>
          </w:tcPr>
          <w:p w:rsidR="007B7417" w:rsidRPr="00F82E89" w:rsidRDefault="007B7417" w:rsidP="00ED0AF5">
            <w:pPr>
              <w:spacing w:line="240" w:lineRule="auto"/>
              <w:rPr>
                <w:rFonts w:cs="Times New Roman"/>
                <w:sz w:val="18"/>
                <w:shd w:val="clear" w:color="auto" w:fill="FFFFFF"/>
              </w:rPr>
            </w:pPr>
            <w:r w:rsidRPr="00F82E89">
              <w:rPr>
                <w:rFonts w:cs="Times New Roman"/>
                <w:sz w:val="18"/>
                <w:shd w:val="clear" w:color="auto" w:fill="FFFFFF"/>
              </w:rPr>
              <w:t>Low-energy, high-sediment laminar deposition, transporting woody debris from upstream in the later stages of fluvial channel fill.</w:t>
            </w:r>
          </w:p>
        </w:tc>
      </w:tr>
      <w:tr w:rsidR="007B7417" w:rsidRPr="00F82E89" w:rsidTr="00ED0AF5">
        <w:tc>
          <w:tcPr>
            <w:tcW w:w="596" w:type="dxa"/>
          </w:tcPr>
          <w:p w:rsidR="007B7417" w:rsidRPr="00F82E89" w:rsidRDefault="007B7417" w:rsidP="00ED0AF5">
            <w:pPr>
              <w:spacing w:line="240" w:lineRule="auto"/>
              <w:rPr>
                <w:sz w:val="18"/>
                <w:shd w:val="clear" w:color="auto" w:fill="FFFFFF"/>
              </w:rPr>
            </w:pPr>
            <w:r w:rsidRPr="00F82E89">
              <w:rPr>
                <w:sz w:val="18"/>
                <w:shd w:val="clear" w:color="auto" w:fill="FFFFFF"/>
              </w:rPr>
              <w:t>Sh</w:t>
            </w:r>
          </w:p>
        </w:tc>
        <w:tc>
          <w:tcPr>
            <w:tcW w:w="4169" w:type="dxa"/>
          </w:tcPr>
          <w:p w:rsidR="007B7417" w:rsidRPr="00F82E89" w:rsidRDefault="007B7417" w:rsidP="00ED0AF5">
            <w:pPr>
              <w:spacing w:line="240" w:lineRule="auto"/>
              <w:rPr>
                <w:rFonts w:cs="Times New Roman"/>
                <w:sz w:val="18"/>
                <w:shd w:val="clear" w:color="auto" w:fill="FFFFFF"/>
              </w:rPr>
            </w:pPr>
            <w:r w:rsidRPr="00F82E89">
              <w:rPr>
                <w:rFonts w:cs="Times New Roman"/>
                <w:b/>
                <w:sz w:val="18"/>
                <w:shd w:val="clear" w:color="auto" w:fill="FFFFFF"/>
              </w:rPr>
              <w:t xml:space="preserve">Horizontally bedded sandstone: </w:t>
            </w:r>
            <w:r w:rsidRPr="00F82E89">
              <w:rPr>
                <w:rFonts w:eastAsia="Times New Roman" w:cs="Times New Roman"/>
                <w:sz w:val="18"/>
                <w:lang w:eastAsia="en-GB"/>
              </w:rPr>
              <w:t>Medium-grained, grey-brown arenite, sub- to well-rounded, poorly sorted, moderately spherical. Planar horizontal lamination with normal grading, large wood fragments and clasts throughout facies.</w:t>
            </w:r>
          </w:p>
        </w:tc>
        <w:tc>
          <w:tcPr>
            <w:tcW w:w="4261" w:type="dxa"/>
          </w:tcPr>
          <w:p w:rsidR="007B7417" w:rsidRPr="00F82E89" w:rsidRDefault="007B7417" w:rsidP="00ED0AF5">
            <w:pPr>
              <w:spacing w:line="240" w:lineRule="auto"/>
              <w:rPr>
                <w:rFonts w:cs="Times New Roman"/>
                <w:sz w:val="18"/>
                <w:shd w:val="clear" w:color="auto" w:fill="FFFFFF"/>
              </w:rPr>
            </w:pPr>
            <w:r w:rsidRPr="00F82E89">
              <w:rPr>
                <w:rFonts w:cs="Times New Roman"/>
                <w:sz w:val="18"/>
                <w:shd w:val="clear" w:color="auto" w:fill="FFFFFF"/>
              </w:rPr>
              <w:t>Upper flow regime plane bed deposits transporting eroded vegetated material (Miall</w:t>
            </w:r>
            <w:r>
              <w:rPr>
                <w:rFonts w:cs="Times New Roman"/>
                <w:sz w:val="18"/>
                <w:shd w:val="clear" w:color="auto" w:fill="FFFFFF"/>
              </w:rPr>
              <w:t>,</w:t>
            </w:r>
            <w:r w:rsidRPr="00F82E89">
              <w:rPr>
                <w:rFonts w:cs="Times New Roman"/>
                <w:sz w:val="18"/>
                <w:shd w:val="clear" w:color="auto" w:fill="FFFFFF"/>
              </w:rPr>
              <w:t xml:space="preserve"> 1996; Collinson </w:t>
            </w:r>
            <w:r w:rsidRPr="00517096">
              <w:rPr>
                <w:rFonts w:cs="Times New Roman"/>
                <w:i/>
                <w:sz w:val="18"/>
                <w:shd w:val="clear" w:color="auto" w:fill="FFFFFF"/>
              </w:rPr>
              <w:t>et al.,</w:t>
            </w:r>
            <w:r w:rsidRPr="00F82E89">
              <w:rPr>
                <w:rFonts w:cs="Times New Roman"/>
                <w:sz w:val="18"/>
                <w:shd w:val="clear" w:color="auto" w:fill="FFFFFF"/>
              </w:rPr>
              <w:t xml:space="preserve"> </w:t>
            </w:r>
            <w:r>
              <w:rPr>
                <w:rFonts w:cs="Times New Roman"/>
                <w:sz w:val="18"/>
                <w:shd w:val="clear" w:color="auto" w:fill="FFFFFF"/>
              </w:rPr>
              <w:t>200</w:t>
            </w:r>
            <w:r w:rsidRPr="00F82E89">
              <w:rPr>
                <w:rFonts w:cs="Times New Roman"/>
                <w:sz w:val="18"/>
                <w:shd w:val="clear" w:color="auto" w:fill="FFFFFF"/>
              </w:rPr>
              <w:t>6).</w:t>
            </w:r>
          </w:p>
        </w:tc>
      </w:tr>
      <w:tr w:rsidR="007B7417" w:rsidRPr="00F82E89" w:rsidTr="00ED0AF5">
        <w:tc>
          <w:tcPr>
            <w:tcW w:w="596" w:type="dxa"/>
          </w:tcPr>
          <w:p w:rsidR="007B7417" w:rsidRPr="00F82E89" w:rsidRDefault="007B7417" w:rsidP="00ED0AF5">
            <w:pPr>
              <w:spacing w:line="240" w:lineRule="auto"/>
              <w:rPr>
                <w:sz w:val="18"/>
                <w:shd w:val="clear" w:color="auto" w:fill="FFFFFF"/>
              </w:rPr>
            </w:pPr>
            <w:r w:rsidRPr="00F82E89">
              <w:rPr>
                <w:sz w:val="18"/>
                <w:shd w:val="clear" w:color="auto" w:fill="FFFFFF"/>
              </w:rPr>
              <w:t>Shv</w:t>
            </w:r>
          </w:p>
        </w:tc>
        <w:tc>
          <w:tcPr>
            <w:tcW w:w="4169" w:type="dxa"/>
          </w:tcPr>
          <w:p w:rsidR="007B7417" w:rsidRPr="00F82E89" w:rsidRDefault="007B7417" w:rsidP="00ED0AF5">
            <w:pPr>
              <w:spacing w:line="240" w:lineRule="auto"/>
              <w:rPr>
                <w:rFonts w:cs="Times New Roman"/>
                <w:sz w:val="18"/>
                <w:shd w:val="clear" w:color="auto" w:fill="FFFFFF"/>
              </w:rPr>
            </w:pPr>
            <w:r w:rsidRPr="00F82E89">
              <w:rPr>
                <w:rFonts w:cs="Times New Roman"/>
                <w:b/>
                <w:sz w:val="18"/>
                <w:shd w:val="clear" w:color="auto" w:fill="FFFFFF"/>
              </w:rPr>
              <w:t xml:space="preserve">Fine-grained horizontally laminated sandstone: </w:t>
            </w:r>
            <w:r w:rsidRPr="00F82E89">
              <w:rPr>
                <w:rFonts w:eastAsia="Times New Roman" w:cs="Times New Roman"/>
                <w:sz w:val="18"/>
                <w:lang w:eastAsia="en-GB"/>
              </w:rPr>
              <w:t>Fine-grained, grey-brown arenite, sub- to well-rounded, poorly sorted, moderately spherical. Planar horizontal lamination with minor asymmetrical ripple lamination on the upper surfaces of the facies. Planar horizontal lamination, asymmetrical ripple laminae.</w:t>
            </w:r>
          </w:p>
        </w:tc>
        <w:tc>
          <w:tcPr>
            <w:tcW w:w="4261" w:type="dxa"/>
          </w:tcPr>
          <w:p w:rsidR="007B7417" w:rsidRPr="00F82E89" w:rsidRDefault="007B7417" w:rsidP="00ED0AF5">
            <w:pPr>
              <w:spacing w:line="240" w:lineRule="auto"/>
              <w:rPr>
                <w:rFonts w:cs="Times New Roman"/>
                <w:sz w:val="18"/>
                <w:shd w:val="clear" w:color="auto" w:fill="FFFFFF"/>
              </w:rPr>
            </w:pPr>
            <w:r w:rsidRPr="00F82E89">
              <w:rPr>
                <w:rFonts w:cs="Times New Roman"/>
                <w:sz w:val="18"/>
                <w:shd w:val="clear" w:color="auto" w:fill="FFFFFF"/>
              </w:rPr>
              <w:t>Low energy lower flow regime deposits indicating settling deposits of sandstone calibre with some minor ripple scale bedform development (Miall</w:t>
            </w:r>
            <w:r>
              <w:rPr>
                <w:rFonts w:cs="Times New Roman"/>
                <w:sz w:val="18"/>
                <w:shd w:val="clear" w:color="auto" w:fill="FFFFFF"/>
              </w:rPr>
              <w:t>,</w:t>
            </w:r>
            <w:r w:rsidRPr="00F82E89">
              <w:rPr>
                <w:rFonts w:cs="Times New Roman"/>
                <w:sz w:val="18"/>
                <w:shd w:val="clear" w:color="auto" w:fill="FFFFFF"/>
              </w:rPr>
              <w:t xml:space="preserve"> 1985).</w:t>
            </w:r>
          </w:p>
        </w:tc>
      </w:tr>
      <w:tr w:rsidR="007B7417" w:rsidRPr="00F82E89" w:rsidTr="00ED0AF5">
        <w:tc>
          <w:tcPr>
            <w:tcW w:w="596" w:type="dxa"/>
          </w:tcPr>
          <w:p w:rsidR="007B7417" w:rsidRPr="00F82E89" w:rsidRDefault="007B7417" w:rsidP="00ED0AF5">
            <w:pPr>
              <w:spacing w:line="240" w:lineRule="auto"/>
              <w:rPr>
                <w:sz w:val="18"/>
                <w:shd w:val="clear" w:color="auto" w:fill="FFFFFF"/>
              </w:rPr>
            </w:pPr>
            <w:r w:rsidRPr="0072498A">
              <w:rPr>
                <w:sz w:val="18"/>
              </w:rPr>
              <w:t xml:space="preserve"> Sr</w:t>
            </w:r>
          </w:p>
        </w:tc>
        <w:tc>
          <w:tcPr>
            <w:tcW w:w="4169" w:type="dxa"/>
          </w:tcPr>
          <w:p w:rsidR="007B7417" w:rsidRPr="00170B8A" w:rsidRDefault="007B7417" w:rsidP="00ED0AF5">
            <w:pPr>
              <w:pStyle w:val="NoSpacing"/>
              <w:rPr>
                <w:sz w:val="18"/>
              </w:rPr>
            </w:pPr>
            <w:r w:rsidRPr="00170B8A">
              <w:rPr>
                <w:b/>
                <w:sz w:val="18"/>
              </w:rPr>
              <w:t>Ripple laminated sandstone:</w:t>
            </w:r>
            <w:r>
              <w:rPr>
                <w:sz w:val="18"/>
              </w:rPr>
              <w:t xml:space="preserve"> </w:t>
            </w:r>
            <w:r w:rsidRPr="0072498A">
              <w:rPr>
                <w:sz w:val="18"/>
              </w:rPr>
              <w:t>Very fine- to fine-grained, grey-brown sandstone, sub-rounded, moderate sorting and sphericity. Asymmetrical ripple lamination, some finer black material on ripple laminae.</w:t>
            </w:r>
          </w:p>
        </w:tc>
        <w:tc>
          <w:tcPr>
            <w:tcW w:w="4261" w:type="dxa"/>
          </w:tcPr>
          <w:p w:rsidR="007B7417" w:rsidRPr="00F82E89" w:rsidRDefault="007B7417" w:rsidP="00ED0AF5">
            <w:pPr>
              <w:spacing w:line="240" w:lineRule="auto"/>
              <w:rPr>
                <w:rFonts w:cs="Times New Roman"/>
                <w:sz w:val="18"/>
                <w:shd w:val="clear" w:color="auto" w:fill="FFFFFF"/>
              </w:rPr>
            </w:pPr>
            <w:r w:rsidRPr="0072498A">
              <w:rPr>
                <w:sz w:val="18"/>
              </w:rPr>
              <w:t xml:space="preserve">Lower-flow regime small-scale sub-aqueous bedform migration </w:t>
            </w:r>
            <w:r>
              <w:rPr>
                <w:sz w:val="18"/>
              </w:rPr>
              <w:t xml:space="preserve"> (Collinson </w:t>
            </w:r>
            <w:r w:rsidRPr="00517096">
              <w:rPr>
                <w:i/>
                <w:sz w:val="18"/>
              </w:rPr>
              <w:t>et al.,</w:t>
            </w:r>
            <w:r>
              <w:rPr>
                <w:sz w:val="18"/>
              </w:rPr>
              <w:t xml:space="preserve"> 2006)</w:t>
            </w:r>
          </w:p>
        </w:tc>
      </w:tr>
      <w:tr w:rsidR="007B7417" w:rsidRPr="00F82E89" w:rsidTr="00ED0AF5">
        <w:tc>
          <w:tcPr>
            <w:tcW w:w="596" w:type="dxa"/>
          </w:tcPr>
          <w:p w:rsidR="007B7417" w:rsidRPr="00F82E89" w:rsidRDefault="007B7417" w:rsidP="00ED0AF5">
            <w:pPr>
              <w:spacing w:line="240" w:lineRule="auto"/>
              <w:rPr>
                <w:sz w:val="18"/>
                <w:shd w:val="clear" w:color="auto" w:fill="FFFFFF"/>
              </w:rPr>
            </w:pPr>
            <w:r w:rsidRPr="00F82E89">
              <w:rPr>
                <w:sz w:val="18"/>
                <w:shd w:val="clear" w:color="auto" w:fill="FFFFFF"/>
              </w:rPr>
              <w:t>Fl</w:t>
            </w:r>
          </w:p>
        </w:tc>
        <w:tc>
          <w:tcPr>
            <w:tcW w:w="4169" w:type="dxa"/>
          </w:tcPr>
          <w:p w:rsidR="007B7417" w:rsidRPr="00F82E89" w:rsidRDefault="007B7417" w:rsidP="00ED0AF5">
            <w:pPr>
              <w:spacing w:line="240" w:lineRule="auto"/>
              <w:rPr>
                <w:rFonts w:cs="Times New Roman"/>
                <w:sz w:val="18"/>
                <w:shd w:val="clear" w:color="auto" w:fill="FFFFFF"/>
              </w:rPr>
            </w:pPr>
            <w:r w:rsidRPr="00F82E89">
              <w:rPr>
                <w:rFonts w:cs="Times New Roman"/>
                <w:b/>
                <w:sz w:val="18"/>
                <w:shd w:val="clear" w:color="auto" w:fill="FFFFFF"/>
              </w:rPr>
              <w:t xml:space="preserve">Fine laminated siltstone: </w:t>
            </w:r>
            <w:r w:rsidRPr="00F82E89">
              <w:rPr>
                <w:rFonts w:eastAsia="Times New Roman" w:cs="Times New Roman"/>
                <w:sz w:val="18"/>
                <w:lang w:eastAsia="en-GB"/>
              </w:rPr>
              <w:t>Grey, well-sorted siltstone, very fine-grained sandstone interbeds. Planar horizontal lamination with soft sediment deformation and pedogenic nodules.</w:t>
            </w:r>
          </w:p>
        </w:tc>
        <w:tc>
          <w:tcPr>
            <w:tcW w:w="4261" w:type="dxa"/>
          </w:tcPr>
          <w:p w:rsidR="007B7417" w:rsidRDefault="007B7417" w:rsidP="00ED0AF5">
            <w:pPr>
              <w:spacing w:line="240" w:lineRule="auto"/>
              <w:rPr>
                <w:rFonts w:cs="Times New Roman"/>
                <w:sz w:val="18"/>
                <w:shd w:val="clear" w:color="auto" w:fill="FFFFFF"/>
              </w:rPr>
            </w:pPr>
            <w:r w:rsidRPr="00F82E89">
              <w:rPr>
                <w:rFonts w:cs="Times New Roman"/>
                <w:sz w:val="18"/>
                <w:shd w:val="clear" w:color="auto" w:fill="FFFFFF"/>
              </w:rPr>
              <w:t>Overbank sedimentation away from the main locus of fluvial transport, fine material deposited from settling out of material in flood phase deposition (Miall</w:t>
            </w:r>
            <w:r>
              <w:rPr>
                <w:rFonts w:cs="Times New Roman"/>
                <w:sz w:val="18"/>
                <w:shd w:val="clear" w:color="auto" w:fill="FFFFFF"/>
              </w:rPr>
              <w:t>,</w:t>
            </w:r>
            <w:r w:rsidRPr="00F82E89">
              <w:rPr>
                <w:rFonts w:cs="Times New Roman"/>
                <w:sz w:val="18"/>
                <w:shd w:val="clear" w:color="auto" w:fill="FFFFFF"/>
              </w:rPr>
              <w:t xml:space="preserve"> 1996). Pedogenic nodules develop during periods of stabilisation and vegetation (Bridge</w:t>
            </w:r>
            <w:r>
              <w:rPr>
                <w:rFonts w:cs="Times New Roman"/>
                <w:sz w:val="18"/>
                <w:shd w:val="clear" w:color="auto" w:fill="FFFFFF"/>
              </w:rPr>
              <w:t>,</w:t>
            </w:r>
            <w:r w:rsidRPr="00F82E89">
              <w:rPr>
                <w:rFonts w:cs="Times New Roman"/>
                <w:sz w:val="18"/>
                <w:shd w:val="clear" w:color="auto" w:fill="FFFFFF"/>
              </w:rPr>
              <w:t xml:space="preserve"> 2003).</w:t>
            </w:r>
          </w:p>
          <w:p w:rsidR="007B7417" w:rsidRPr="00F82E89" w:rsidRDefault="007B7417" w:rsidP="00ED0AF5">
            <w:pPr>
              <w:spacing w:line="240" w:lineRule="auto"/>
              <w:rPr>
                <w:rFonts w:cs="Times New Roman"/>
                <w:sz w:val="18"/>
                <w:shd w:val="clear" w:color="auto" w:fill="FFFFFF"/>
              </w:rPr>
            </w:pPr>
          </w:p>
        </w:tc>
      </w:tr>
    </w:tbl>
    <w:p w:rsidR="009D6925" w:rsidRDefault="009D6925" w:rsidP="009D6925">
      <w:pPr>
        <w:rPr>
          <w:shd w:val="clear" w:color="auto" w:fill="FFFFFF"/>
        </w:rPr>
      </w:pPr>
      <w:r w:rsidRPr="00F82E89">
        <w:rPr>
          <w:b/>
          <w:shd w:val="clear" w:color="auto" w:fill="FFFFFF"/>
        </w:rPr>
        <w:t>Table 1</w:t>
      </w:r>
      <w:r w:rsidRPr="00F82E89">
        <w:rPr>
          <w:shd w:val="clear" w:color="auto" w:fill="FFFFFF"/>
        </w:rPr>
        <w:t xml:space="preserve"> – Facies scheme used in this study, showing the description and interpretation of facies defined from the Tuscher Canyon outcrop site, Utah, USA. This also lists facies codes discussed within the text.</w:t>
      </w:r>
    </w:p>
    <w:p w:rsidR="007B7417" w:rsidRDefault="007B7417" w:rsidP="00555528">
      <w:r>
        <w:rPr>
          <w:noProof/>
          <w:lang w:eastAsia="en-GB"/>
        </w:rPr>
        <w:drawing>
          <wp:inline distT="0" distB="0" distL="0" distR="0">
            <wp:extent cx="5586984" cy="7818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_5_mitten_2019_revis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86984" cy="7818120"/>
                    </a:xfrm>
                    <a:prstGeom prst="rect">
                      <a:avLst/>
                    </a:prstGeom>
                  </pic:spPr>
                </pic:pic>
              </a:graphicData>
            </a:graphic>
          </wp:inline>
        </w:drawing>
      </w:r>
    </w:p>
    <w:p w:rsidR="007B7417" w:rsidRDefault="007B7417" w:rsidP="007B7417">
      <w:r w:rsidRPr="00F82E89">
        <w:rPr>
          <w:b/>
        </w:rPr>
        <w:t xml:space="preserve">Figure </w:t>
      </w:r>
      <w:r>
        <w:rPr>
          <w:b/>
        </w:rPr>
        <w:t>5</w:t>
      </w:r>
      <w:r w:rsidRPr="00F82E89">
        <w:t xml:space="preserve"> –</w:t>
      </w:r>
      <w:r>
        <w:t xml:space="preserve"> T</w:t>
      </w:r>
      <w:r w:rsidRPr="00F82E89">
        <w:t>he genetic units of the most common sedimentary facies found within the Castlegate Sandstone. The numbers indicate bounding surfaces hierarchy (Miall</w:t>
      </w:r>
      <w:r>
        <w:t>,</w:t>
      </w:r>
      <w:r w:rsidRPr="00F82E89">
        <w:t xml:space="preserve"> 1985). A) Representative section of the bounding surface framework within the Lower Castlegate at Tuscher Canyon, and bounding surface hierarchy interpreted from that framework. B) Sandstone (St) facies showing pebble-lined foreset and set surfaces stacking below and above a third-order erosional scour surface. C) Third-order erosional surfaces bounding conformable packages of St and Sm facies. D) Sm facies within third-order scours (see Table 1 for facies code</w:t>
      </w:r>
      <w:r>
        <w:t>s</w:t>
      </w:r>
      <w:r w:rsidRPr="00F82E89">
        <w:t>).</w:t>
      </w:r>
    </w:p>
    <w:p w:rsidR="00A62542" w:rsidRDefault="00555528" w:rsidP="00555528">
      <w:r w:rsidRPr="00F82E89">
        <w:t>The four elements have been classified as net or non-net r</w:t>
      </w:r>
      <w:r w:rsidR="00A62542" w:rsidRPr="00F82E89">
        <w:t>eservoir</w:t>
      </w:r>
      <w:r w:rsidRPr="00F82E89">
        <w:t xml:space="preserve"> based upon the heterogeneity </w:t>
      </w:r>
      <w:r w:rsidR="007D7916">
        <w:t>of their</w:t>
      </w:r>
      <w:r w:rsidRPr="00F82E89">
        <w:t xml:space="preserve"> internal structure (Eschard </w:t>
      </w:r>
      <w:r w:rsidR="00517096" w:rsidRPr="00517096">
        <w:rPr>
          <w:i/>
        </w:rPr>
        <w:t>et al.,</w:t>
      </w:r>
      <w:r w:rsidRPr="00F82E89">
        <w:t xml:space="preserve"> 1998;</w:t>
      </w:r>
      <w:r w:rsidR="000D433F" w:rsidRPr="00F82E89">
        <w:t xml:space="preserve"> Puig </w:t>
      </w:r>
      <w:r w:rsidR="00517096" w:rsidRPr="00517096">
        <w:rPr>
          <w:i/>
        </w:rPr>
        <w:t>et al.,</w:t>
      </w:r>
      <w:r w:rsidR="000D433F" w:rsidRPr="00F82E89">
        <w:t xml:space="preserve"> 2019;</w:t>
      </w:r>
      <w:r w:rsidRPr="00F82E89">
        <w:t xml:space="preserve"> Table 2). </w:t>
      </w:r>
      <w:r w:rsidR="00B55E0E">
        <w:t xml:space="preserve">This study considers </w:t>
      </w:r>
      <w:r w:rsidR="00AA5779">
        <w:t>net and</w:t>
      </w:r>
      <w:r w:rsidR="00B55E0E">
        <w:t xml:space="preserve"> non-net reservoir unit</w:t>
      </w:r>
      <w:r w:rsidR="00AA5779">
        <w:t>s</w:t>
      </w:r>
      <w:r w:rsidR="00B55E0E">
        <w:t xml:space="preserve"> at an architectural element scale, constraining meso-scale heterogeneity </w:t>
      </w:r>
      <w:r w:rsidR="00121607">
        <w:t xml:space="preserve">(Figure 1) </w:t>
      </w:r>
      <w:r w:rsidR="00B55E0E">
        <w:t xml:space="preserve">within the studied units. </w:t>
      </w:r>
      <w:r w:rsidR="0064269F">
        <w:t>F</w:t>
      </w:r>
      <w:r w:rsidR="00B55E0E">
        <w:t xml:space="preserve">acies </w:t>
      </w:r>
      <w:r w:rsidR="0064269F">
        <w:t xml:space="preserve">commonly reported to have low petrophysical properties vital for fluid flow, </w:t>
      </w:r>
      <w:r w:rsidR="00AE534C">
        <w:t>structureless conglomerate (</w:t>
      </w:r>
      <w:r w:rsidR="00B55E0E">
        <w:t>Cc</w:t>
      </w:r>
      <w:r w:rsidR="00AE534C">
        <w:t>)</w:t>
      </w:r>
      <w:r w:rsidR="00B55E0E">
        <w:t xml:space="preserve"> (Jones and Hartley 1993; North and Taylor 1996; Eschard </w:t>
      </w:r>
      <w:r w:rsidR="00517096" w:rsidRPr="00517096">
        <w:rPr>
          <w:i/>
        </w:rPr>
        <w:t>et al.,</w:t>
      </w:r>
      <w:r w:rsidR="00B55E0E">
        <w:t xml:space="preserve"> 1998; Puig </w:t>
      </w:r>
      <w:r w:rsidR="00517096" w:rsidRPr="00517096">
        <w:rPr>
          <w:i/>
        </w:rPr>
        <w:t>et al.,</w:t>
      </w:r>
      <w:r w:rsidR="00B55E0E">
        <w:t xml:space="preserve"> 2019) and </w:t>
      </w:r>
      <w:r w:rsidR="00AE534C">
        <w:t>Fine laminated siltstone (</w:t>
      </w:r>
      <w:r w:rsidR="00B55E0E">
        <w:t>Fl</w:t>
      </w:r>
      <w:r w:rsidR="00AE534C">
        <w:t>)</w:t>
      </w:r>
      <w:r w:rsidR="00B55E0E">
        <w:t xml:space="preserve"> (</w:t>
      </w:r>
      <w:r w:rsidR="00121607" w:rsidRPr="00F82E89">
        <w:t xml:space="preserve">Pranter </w:t>
      </w:r>
      <w:r w:rsidR="00517096" w:rsidRPr="00517096">
        <w:rPr>
          <w:i/>
        </w:rPr>
        <w:t>et al.,</w:t>
      </w:r>
      <w:r w:rsidR="00121607" w:rsidRPr="00F82E89">
        <w:t xml:space="preserve"> 2007; Yan </w:t>
      </w:r>
      <w:r w:rsidR="00517096" w:rsidRPr="00517096">
        <w:rPr>
          <w:i/>
        </w:rPr>
        <w:t>et al.,</w:t>
      </w:r>
      <w:r w:rsidR="00121607" w:rsidRPr="00F82E89">
        <w:t xml:space="preserve"> 2018</w:t>
      </w:r>
      <w:r w:rsidR="00121607">
        <w:t xml:space="preserve">; </w:t>
      </w:r>
      <w:r w:rsidR="00B55E0E">
        <w:t xml:space="preserve">Puig </w:t>
      </w:r>
      <w:r w:rsidR="00517096" w:rsidRPr="00517096">
        <w:rPr>
          <w:i/>
        </w:rPr>
        <w:t>et al.,</w:t>
      </w:r>
      <w:r w:rsidR="00B55E0E">
        <w:t xml:space="preserve"> 2019), are</w:t>
      </w:r>
      <w:r w:rsidR="0064269F">
        <w:t xml:space="preserve"> </w:t>
      </w:r>
      <w:r w:rsidR="00805D68">
        <w:t>defined</w:t>
      </w:r>
      <w:r w:rsidR="00AA5779">
        <w:t xml:space="preserve"> </w:t>
      </w:r>
      <w:r w:rsidR="00AA5779" w:rsidRPr="00F82E89">
        <w:t xml:space="preserve">as non-net reservoir </w:t>
      </w:r>
      <w:r w:rsidR="00AA5779">
        <w:t>facies</w:t>
      </w:r>
      <w:r w:rsidR="0064269F">
        <w:t xml:space="preserve"> in this study</w:t>
      </w:r>
      <w:r w:rsidR="00AA5779">
        <w:t xml:space="preserve">. </w:t>
      </w:r>
      <w:r w:rsidR="006164BC">
        <w:t>Consequently, for modelling p</w:t>
      </w:r>
      <w:r w:rsidR="00AE534C">
        <w:t>u</w:t>
      </w:r>
      <w:r w:rsidR="006164BC">
        <w:t>rposes</w:t>
      </w:r>
      <w:r w:rsidR="00AA5779">
        <w:t>, elements containing these facies are considered non-net</w:t>
      </w:r>
      <w:r w:rsidR="006164BC">
        <w:t xml:space="preserve"> reservoir</w:t>
      </w:r>
      <w:r w:rsidR="00AA5779">
        <w:t>.</w:t>
      </w:r>
    </w:p>
    <w:p w:rsidR="007B7417" w:rsidRDefault="007B7417">
      <w:pPr>
        <w:spacing w:line="276" w:lineRule="auto"/>
        <w:sectPr w:rsidR="007B7417" w:rsidSect="004E163C">
          <w:footerReference w:type="default" r:id="rId14"/>
          <w:pgSz w:w="11906" w:h="16838"/>
          <w:pgMar w:top="1440" w:right="1440" w:bottom="1440" w:left="1440" w:header="708" w:footer="708" w:gutter="0"/>
          <w:lnNumType w:countBy="1" w:restart="continuous"/>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167"/>
        <w:gridCol w:w="1200"/>
        <w:gridCol w:w="674"/>
        <w:gridCol w:w="2216"/>
        <w:gridCol w:w="4206"/>
        <w:gridCol w:w="1207"/>
        <w:gridCol w:w="1551"/>
        <w:gridCol w:w="1737"/>
      </w:tblGrid>
      <w:tr w:rsidR="007B7417" w:rsidRPr="00F82E89" w:rsidTr="009D6925">
        <w:tc>
          <w:tcPr>
            <w:tcW w:w="1167" w:type="dxa"/>
          </w:tcPr>
          <w:p w:rsidR="007B7417" w:rsidRPr="00F82E89" w:rsidRDefault="007B7417" w:rsidP="009D6925">
            <w:pPr>
              <w:spacing w:line="240" w:lineRule="auto"/>
              <w:rPr>
                <w:rFonts w:cs="Times New Roman"/>
                <w:sz w:val="18"/>
                <w:szCs w:val="18"/>
              </w:rPr>
            </w:pPr>
            <w:r w:rsidRPr="00F82E89">
              <w:rPr>
                <w:rFonts w:cs="Times New Roman"/>
                <w:sz w:val="18"/>
                <w:szCs w:val="18"/>
              </w:rPr>
              <w:t>Architectural Element</w:t>
            </w:r>
          </w:p>
        </w:tc>
        <w:tc>
          <w:tcPr>
            <w:tcW w:w="1251" w:type="dxa"/>
          </w:tcPr>
          <w:p w:rsidR="007B7417" w:rsidRPr="00F82E89" w:rsidRDefault="007B7417" w:rsidP="009D6925">
            <w:pPr>
              <w:spacing w:line="240" w:lineRule="auto"/>
              <w:rPr>
                <w:rFonts w:cs="Times New Roman"/>
                <w:sz w:val="18"/>
                <w:szCs w:val="18"/>
              </w:rPr>
            </w:pPr>
            <w:r w:rsidRPr="00F82E89">
              <w:rPr>
                <w:rFonts w:cs="Times New Roman"/>
                <w:sz w:val="18"/>
                <w:szCs w:val="18"/>
              </w:rPr>
              <w:t>Bounding surfaces</w:t>
            </w:r>
          </w:p>
        </w:tc>
        <w:tc>
          <w:tcPr>
            <w:tcW w:w="676" w:type="dxa"/>
          </w:tcPr>
          <w:p w:rsidR="007B7417" w:rsidRPr="00F82E89" w:rsidRDefault="007B7417" w:rsidP="009D6925">
            <w:pPr>
              <w:spacing w:line="240" w:lineRule="auto"/>
              <w:rPr>
                <w:rFonts w:cs="Times New Roman"/>
                <w:sz w:val="18"/>
                <w:szCs w:val="18"/>
              </w:rPr>
            </w:pPr>
            <w:r w:rsidRPr="00F82E89">
              <w:rPr>
                <w:rFonts w:cs="Times New Roman"/>
                <w:sz w:val="18"/>
                <w:szCs w:val="18"/>
              </w:rPr>
              <w:t>Facies</w:t>
            </w:r>
          </w:p>
        </w:tc>
        <w:tc>
          <w:tcPr>
            <w:tcW w:w="2358" w:type="dxa"/>
          </w:tcPr>
          <w:p w:rsidR="007B7417" w:rsidRPr="00F82E89" w:rsidRDefault="007B7417" w:rsidP="009D6925">
            <w:pPr>
              <w:spacing w:line="240" w:lineRule="auto"/>
              <w:rPr>
                <w:rFonts w:cs="Times New Roman"/>
                <w:sz w:val="18"/>
                <w:szCs w:val="18"/>
              </w:rPr>
            </w:pPr>
            <w:r w:rsidRPr="00F82E89">
              <w:rPr>
                <w:rFonts w:cs="Times New Roman"/>
                <w:sz w:val="18"/>
                <w:szCs w:val="18"/>
              </w:rPr>
              <w:t>Reservoir characterisation</w:t>
            </w:r>
          </w:p>
        </w:tc>
        <w:tc>
          <w:tcPr>
            <w:tcW w:w="4206" w:type="dxa"/>
          </w:tcPr>
          <w:p w:rsidR="007B7417" w:rsidRPr="00F82E89" w:rsidRDefault="007B7417" w:rsidP="009D6925">
            <w:pPr>
              <w:spacing w:line="240" w:lineRule="auto"/>
              <w:rPr>
                <w:rFonts w:cs="Times New Roman"/>
                <w:sz w:val="18"/>
                <w:szCs w:val="18"/>
              </w:rPr>
            </w:pPr>
            <w:r w:rsidRPr="00F82E89">
              <w:rPr>
                <w:rFonts w:cs="Times New Roman"/>
                <w:sz w:val="18"/>
                <w:szCs w:val="18"/>
              </w:rPr>
              <w:t>Internal architecture of element</w:t>
            </w:r>
          </w:p>
        </w:tc>
        <w:tc>
          <w:tcPr>
            <w:tcW w:w="1207" w:type="dxa"/>
          </w:tcPr>
          <w:p w:rsidR="007B7417" w:rsidRPr="00F82E89" w:rsidRDefault="007B7417" w:rsidP="009D6925">
            <w:pPr>
              <w:spacing w:line="240" w:lineRule="auto"/>
              <w:rPr>
                <w:rFonts w:cs="Times New Roman"/>
                <w:sz w:val="18"/>
                <w:szCs w:val="18"/>
              </w:rPr>
            </w:pPr>
            <w:r w:rsidRPr="00F82E89">
              <w:rPr>
                <w:rFonts w:cs="Times New Roman"/>
                <w:sz w:val="18"/>
                <w:szCs w:val="18"/>
              </w:rPr>
              <w:t>Net-Gross</w:t>
            </w:r>
          </w:p>
        </w:tc>
        <w:tc>
          <w:tcPr>
            <w:tcW w:w="1551" w:type="dxa"/>
          </w:tcPr>
          <w:p w:rsidR="007B7417" w:rsidRPr="00F82E89" w:rsidRDefault="007B7417" w:rsidP="009D6925">
            <w:pPr>
              <w:spacing w:line="240" w:lineRule="auto"/>
              <w:rPr>
                <w:rFonts w:cs="Times New Roman"/>
                <w:sz w:val="18"/>
                <w:szCs w:val="18"/>
              </w:rPr>
            </w:pPr>
            <w:r w:rsidRPr="00F82E89">
              <w:rPr>
                <w:rFonts w:cs="Times New Roman"/>
                <w:sz w:val="18"/>
                <w:szCs w:val="18"/>
              </w:rPr>
              <w:t>Palaeocurrent</w:t>
            </w:r>
          </w:p>
        </w:tc>
        <w:tc>
          <w:tcPr>
            <w:tcW w:w="1745" w:type="dxa"/>
          </w:tcPr>
          <w:p w:rsidR="007B7417" w:rsidRPr="00F82E89" w:rsidRDefault="007B7417" w:rsidP="009D6925">
            <w:pPr>
              <w:spacing w:line="240" w:lineRule="auto"/>
              <w:rPr>
                <w:rFonts w:cs="Times New Roman"/>
                <w:sz w:val="18"/>
                <w:szCs w:val="18"/>
              </w:rPr>
            </w:pPr>
            <w:r w:rsidRPr="00F82E89">
              <w:rPr>
                <w:rFonts w:cs="Times New Roman"/>
                <w:sz w:val="18"/>
                <w:szCs w:val="18"/>
              </w:rPr>
              <w:t>Width:Depth ratio</w:t>
            </w:r>
          </w:p>
        </w:tc>
      </w:tr>
      <w:tr w:rsidR="007B7417" w:rsidRPr="00F82E89" w:rsidTr="009D6925">
        <w:tc>
          <w:tcPr>
            <w:tcW w:w="1167" w:type="dxa"/>
          </w:tcPr>
          <w:p w:rsidR="007B7417" w:rsidRPr="00F82E89" w:rsidRDefault="007B7417" w:rsidP="009D6925">
            <w:pPr>
              <w:spacing w:line="240" w:lineRule="auto"/>
              <w:rPr>
                <w:rFonts w:cs="Times New Roman"/>
                <w:sz w:val="18"/>
                <w:szCs w:val="18"/>
              </w:rPr>
            </w:pPr>
            <w:r w:rsidRPr="00F82E89">
              <w:rPr>
                <w:rFonts w:cs="Times New Roman"/>
                <w:sz w:val="18"/>
                <w:szCs w:val="18"/>
              </w:rPr>
              <w:t>Channel</w:t>
            </w:r>
          </w:p>
          <w:p w:rsidR="007B7417" w:rsidRPr="00F82E89" w:rsidRDefault="007B7417" w:rsidP="009D6925">
            <w:pPr>
              <w:spacing w:line="240" w:lineRule="auto"/>
              <w:rPr>
                <w:rFonts w:cs="Times New Roman"/>
                <w:sz w:val="18"/>
                <w:szCs w:val="18"/>
              </w:rPr>
            </w:pPr>
            <w:r w:rsidRPr="00F82E89">
              <w:rPr>
                <w:rFonts w:cs="Times New Roman"/>
                <w:sz w:val="18"/>
                <w:szCs w:val="18"/>
              </w:rPr>
              <w:t>(CH)</w:t>
            </w:r>
          </w:p>
        </w:tc>
        <w:tc>
          <w:tcPr>
            <w:tcW w:w="1251" w:type="dxa"/>
          </w:tcPr>
          <w:p w:rsidR="007B7417" w:rsidRPr="00F82E89" w:rsidRDefault="007B7417" w:rsidP="009D6925">
            <w:pPr>
              <w:spacing w:line="240" w:lineRule="auto"/>
              <w:rPr>
                <w:rFonts w:cs="Times New Roman"/>
                <w:sz w:val="18"/>
                <w:szCs w:val="18"/>
              </w:rPr>
            </w:pPr>
            <w:r w:rsidRPr="00F82E89">
              <w:rPr>
                <w:rFonts w:cs="Times New Roman"/>
                <w:sz w:val="18"/>
                <w:szCs w:val="18"/>
              </w:rPr>
              <w:t>Basal surface:</w:t>
            </w:r>
          </w:p>
          <w:p w:rsidR="007B7417" w:rsidRPr="00F82E89" w:rsidRDefault="007B7417" w:rsidP="009D6925">
            <w:pPr>
              <w:spacing w:line="240" w:lineRule="auto"/>
              <w:rPr>
                <w:rFonts w:cs="Times New Roman"/>
                <w:sz w:val="18"/>
                <w:szCs w:val="18"/>
              </w:rPr>
            </w:pPr>
            <w:r w:rsidRPr="00F82E89">
              <w:rPr>
                <w:rFonts w:cs="Times New Roman"/>
                <w:sz w:val="18"/>
                <w:szCs w:val="18"/>
              </w:rPr>
              <w:t>5</w:t>
            </w:r>
            <w:r w:rsidRPr="00F82E89">
              <w:rPr>
                <w:rFonts w:cs="Times New Roman"/>
                <w:sz w:val="18"/>
                <w:szCs w:val="18"/>
                <w:vertAlign w:val="superscript"/>
              </w:rPr>
              <w:t>th</w:t>
            </w:r>
            <w:r w:rsidRPr="00F82E89">
              <w:rPr>
                <w:rFonts w:cs="Times New Roman"/>
                <w:sz w:val="18"/>
                <w:szCs w:val="18"/>
              </w:rPr>
              <w:t xml:space="preserve"> order</w:t>
            </w:r>
          </w:p>
          <w:p w:rsidR="007B7417" w:rsidRPr="00F82E89" w:rsidRDefault="007B7417" w:rsidP="009D6925">
            <w:pPr>
              <w:spacing w:line="240" w:lineRule="auto"/>
              <w:rPr>
                <w:rFonts w:cs="Times New Roman"/>
                <w:sz w:val="18"/>
                <w:szCs w:val="18"/>
              </w:rPr>
            </w:pPr>
            <w:r w:rsidRPr="00F82E89">
              <w:rPr>
                <w:rFonts w:cs="Times New Roman"/>
                <w:sz w:val="18"/>
                <w:szCs w:val="18"/>
              </w:rPr>
              <w:t>Top surface:</w:t>
            </w:r>
          </w:p>
          <w:p w:rsidR="007B7417" w:rsidRPr="00F82E89" w:rsidRDefault="007B7417" w:rsidP="009D6925">
            <w:pPr>
              <w:spacing w:line="240" w:lineRule="auto"/>
              <w:rPr>
                <w:rFonts w:cs="Times New Roman"/>
                <w:sz w:val="18"/>
                <w:szCs w:val="18"/>
              </w:rPr>
            </w:pPr>
            <w:r w:rsidRPr="00F82E89">
              <w:rPr>
                <w:rFonts w:cs="Times New Roman"/>
                <w:sz w:val="18"/>
                <w:szCs w:val="18"/>
              </w:rPr>
              <w:t>4</w:t>
            </w:r>
            <w:r w:rsidRPr="00F82E89">
              <w:rPr>
                <w:rFonts w:cs="Times New Roman"/>
                <w:sz w:val="18"/>
                <w:szCs w:val="18"/>
                <w:vertAlign w:val="superscript"/>
              </w:rPr>
              <w:t>th</w:t>
            </w:r>
            <w:r w:rsidRPr="00F82E89">
              <w:rPr>
                <w:rFonts w:cs="Times New Roman"/>
                <w:sz w:val="18"/>
                <w:szCs w:val="18"/>
              </w:rPr>
              <w:t xml:space="preserve"> order</w:t>
            </w:r>
          </w:p>
          <w:p w:rsidR="007B7417" w:rsidRPr="00F82E89" w:rsidRDefault="007B7417" w:rsidP="009D6925">
            <w:pPr>
              <w:spacing w:line="240" w:lineRule="auto"/>
              <w:rPr>
                <w:rFonts w:cs="Times New Roman"/>
                <w:sz w:val="18"/>
                <w:szCs w:val="18"/>
              </w:rPr>
            </w:pPr>
            <w:r w:rsidRPr="00F82E89">
              <w:rPr>
                <w:rFonts w:cs="Times New Roman"/>
                <w:sz w:val="18"/>
                <w:szCs w:val="18"/>
              </w:rPr>
              <w:t>Internal surfaces:</w:t>
            </w:r>
          </w:p>
          <w:p w:rsidR="007B7417" w:rsidRPr="00F82E89" w:rsidRDefault="007B7417" w:rsidP="009D6925">
            <w:pPr>
              <w:spacing w:line="240" w:lineRule="auto"/>
              <w:rPr>
                <w:rFonts w:cs="Times New Roman"/>
                <w:sz w:val="18"/>
                <w:szCs w:val="18"/>
              </w:rPr>
            </w:pPr>
            <w:r w:rsidRPr="00F82E89">
              <w:rPr>
                <w:rFonts w:cs="Times New Roman"/>
                <w:sz w:val="18"/>
                <w:szCs w:val="18"/>
              </w:rPr>
              <w:t>3</w:t>
            </w:r>
            <w:r w:rsidRPr="00F82E89">
              <w:rPr>
                <w:rFonts w:cs="Times New Roman"/>
                <w:sz w:val="18"/>
                <w:szCs w:val="18"/>
                <w:vertAlign w:val="superscript"/>
              </w:rPr>
              <w:t>rd</w:t>
            </w:r>
            <w:r w:rsidRPr="00F82E89">
              <w:rPr>
                <w:rFonts w:cs="Times New Roman"/>
                <w:sz w:val="18"/>
                <w:szCs w:val="18"/>
              </w:rPr>
              <w:t xml:space="preserve">  order</w:t>
            </w:r>
          </w:p>
        </w:tc>
        <w:tc>
          <w:tcPr>
            <w:tcW w:w="676" w:type="dxa"/>
          </w:tcPr>
          <w:p w:rsidR="007B7417" w:rsidRPr="00F82E89" w:rsidRDefault="007B7417" w:rsidP="009D6925">
            <w:pPr>
              <w:spacing w:line="240" w:lineRule="auto"/>
              <w:rPr>
                <w:rFonts w:cs="Times New Roman"/>
                <w:sz w:val="18"/>
                <w:szCs w:val="18"/>
              </w:rPr>
            </w:pPr>
            <w:r w:rsidRPr="00F82E89">
              <w:rPr>
                <w:rFonts w:cs="Times New Roman"/>
                <w:sz w:val="18"/>
                <w:szCs w:val="18"/>
              </w:rPr>
              <w:t>Sh, St, Sp, Smv</w:t>
            </w:r>
          </w:p>
        </w:tc>
        <w:tc>
          <w:tcPr>
            <w:tcW w:w="2358" w:type="dxa"/>
          </w:tcPr>
          <w:p w:rsidR="007B7417" w:rsidRPr="00F82E89" w:rsidRDefault="007B7417" w:rsidP="009D6925">
            <w:pPr>
              <w:spacing w:line="240" w:lineRule="auto"/>
              <w:rPr>
                <w:rFonts w:cs="Times New Roman"/>
                <w:sz w:val="18"/>
                <w:szCs w:val="18"/>
              </w:rPr>
            </w:pPr>
            <w:r w:rsidRPr="00F82E89">
              <w:rPr>
                <w:rFonts w:cs="Times New Roman"/>
                <w:sz w:val="18"/>
                <w:szCs w:val="18"/>
              </w:rPr>
              <w:t>Channel lag deposits provide vertical element scale permeability, only to be considered a horizontal flow conduit (North and Taylor</w:t>
            </w:r>
            <w:r>
              <w:rPr>
                <w:rFonts w:cs="Times New Roman"/>
                <w:sz w:val="18"/>
                <w:szCs w:val="18"/>
              </w:rPr>
              <w:t>,</w:t>
            </w:r>
            <w:r w:rsidRPr="00F82E89">
              <w:rPr>
                <w:rFonts w:cs="Times New Roman"/>
                <w:sz w:val="18"/>
                <w:szCs w:val="18"/>
              </w:rPr>
              <w:t xml:space="preserve"> 1996; Eschard </w:t>
            </w:r>
            <w:r w:rsidRPr="00517096">
              <w:rPr>
                <w:rFonts w:cs="Times New Roman"/>
                <w:i/>
                <w:sz w:val="18"/>
                <w:szCs w:val="18"/>
              </w:rPr>
              <w:t>et al.,</w:t>
            </w:r>
            <w:r w:rsidRPr="00F82E89">
              <w:rPr>
                <w:rFonts w:cs="Times New Roman"/>
                <w:sz w:val="18"/>
                <w:szCs w:val="18"/>
              </w:rPr>
              <w:t xml:space="preserve"> 1998; Puig </w:t>
            </w:r>
            <w:r w:rsidRPr="00517096">
              <w:rPr>
                <w:rFonts w:cs="Times New Roman"/>
                <w:i/>
                <w:sz w:val="18"/>
                <w:szCs w:val="18"/>
              </w:rPr>
              <w:t>et al.,</w:t>
            </w:r>
            <w:r w:rsidRPr="00F82E89">
              <w:rPr>
                <w:rFonts w:cs="Times New Roman"/>
                <w:sz w:val="18"/>
                <w:szCs w:val="18"/>
              </w:rPr>
              <w:t xml:space="preserve"> 2019).</w:t>
            </w:r>
          </w:p>
          <w:p w:rsidR="007B7417" w:rsidRPr="00F82E89" w:rsidRDefault="007B7417" w:rsidP="009D6925">
            <w:pPr>
              <w:spacing w:line="240" w:lineRule="auto"/>
              <w:rPr>
                <w:rFonts w:cs="Times New Roman"/>
                <w:b/>
                <w:sz w:val="18"/>
                <w:szCs w:val="18"/>
              </w:rPr>
            </w:pPr>
            <w:r w:rsidRPr="00F82E89">
              <w:rPr>
                <w:rFonts w:cs="Times New Roman"/>
                <w:sz w:val="18"/>
                <w:szCs w:val="18"/>
              </w:rPr>
              <w:t xml:space="preserve">This study: </w:t>
            </w:r>
            <w:r w:rsidRPr="00F82E89">
              <w:rPr>
                <w:rFonts w:cs="Times New Roman"/>
                <w:b/>
                <w:sz w:val="18"/>
                <w:szCs w:val="18"/>
              </w:rPr>
              <w:t>Non-net</w:t>
            </w:r>
          </w:p>
        </w:tc>
        <w:tc>
          <w:tcPr>
            <w:tcW w:w="4206" w:type="dxa"/>
          </w:tcPr>
          <w:p w:rsidR="007B7417" w:rsidRPr="00F82E89" w:rsidRDefault="007B7417" w:rsidP="009D6925">
            <w:pPr>
              <w:spacing w:line="240" w:lineRule="auto"/>
              <w:rPr>
                <w:rFonts w:cs="Times New Roman"/>
                <w:sz w:val="18"/>
                <w:szCs w:val="18"/>
              </w:rPr>
            </w:pPr>
            <w:r>
              <w:rPr>
                <w:rFonts w:cs="Times New Roman"/>
                <w:noProof/>
                <w:sz w:val="18"/>
                <w:szCs w:val="18"/>
                <w:lang w:eastAsia="en-GB"/>
              </w:rPr>
              <w:drawing>
                <wp:inline distT="0" distB="0" distL="0" distR="0" wp14:anchorId="0A8DB6A0" wp14:editId="79A3D749">
                  <wp:extent cx="2529840" cy="1271016"/>
                  <wp:effectExtent l="0" t="0" r="381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ch_schematic_CH.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9840" cy="1271016"/>
                          </a:xfrm>
                          <a:prstGeom prst="rect">
                            <a:avLst/>
                          </a:prstGeom>
                        </pic:spPr>
                      </pic:pic>
                    </a:graphicData>
                  </a:graphic>
                </wp:inline>
              </w:drawing>
            </w:r>
          </w:p>
        </w:tc>
        <w:tc>
          <w:tcPr>
            <w:tcW w:w="1207" w:type="dxa"/>
          </w:tcPr>
          <w:p w:rsidR="007B7417" w:rsidRPr="00F82E89" w:rsidRDefault="007B7417" w:rsidP="009D6925">
            <w:pPr>
              <w:spacing w:line="240" w:lineRule="auto"/>
              <w:rPr>
                <w:rFonts w:cs="Times New Roman"/>
                <w:sz w:val="18"/>
                <w:szCs w:val="18"/>
              </w:rPr>
            </w:pPr>
            <w:r w:rsidRPr="00F82E89">
              <w:rPr>
                <w:rFonts w:cs="Times New Roman"/>
                <w:noProof/>
                <w:sz w:val="18"/>
                <w:szCs w:val="18"/>
                <w:lang w:eastAsia="en-GB"/>
              </w:rPr>
              <w:drawing>
                <wp:inline distT="0" distB="0" distL="0" distR="0" wp14:anchorId="1D871072" wp14:editId="618EA1E1">
                  <wp:extent cx="627888" cy="1091184"/>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_N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7888" cy="1091184"/>
                          </a:xfrm>
                          <a:prstGeom prst="rect">
                            <a:avLst/>
                          </a:prstGeom>
                        </pic:spPr>
                      </pic:pic>
                    </a:graphicData>
                  </a:graphic>
                </wp:inline>
              </w:drawing>
            </w:r>
          </w:p>
        </w:tc>
        <w:tc>
          <w:tcPr>
            <w:tcW w:w="1551" w:type="dxa"/>
          </w:tcPr>
          <w:p w:rsidR="007B7417" w:rsidRPr="00F82E89" w:rsidRDefault="007B7417" w:rsidP="009D6925">
            <w:pPr>
              <w:spacing w:line="240" w:lineRule="auto"/>
              <w:rPr>
                <w:rFonts w:cs="Times New Roman"/>
                <w:sz w:val="18"/>
                <w:szCs w:val="18"/>
              </w:rPr>
            </w:pPr>
            <w:r w:rsidRPr="00F82E89">
              <w:rPr>
                <w:rFonts w:cs="Times New Roman"/>
                <w:noProof/>
                <w:sz w:val="18"/>
                <w:szCs w:val="18"/>
                <w:lang w:eastAsia="en-GB"/>
              </w:rPr>
              <w:drawing>
                <wp:inline distT="0" distB="0" distL="0" distR="0" wp14:anchorId="37E524FB" wp14:editId="6CC88EC4">
                  <wp:extent cx="847344" cy="1027176"/>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_P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7344" cy="1027176"/>
                          </a:xfrm>
                          <a:prstGeom prst="rect">
                            <a:avLst/>
                          </a:prstGeom>
                        </pic:spPr>
                      </pic:pic>
                    </a:graphicData>
                  </a:graphic>
                </wp:inline>
              </w:drawing>
            </w:r>
          </w:p>
        </w:tc>
        <w:tc>
          <w:tcPr>
            <w:tcW w:w="1745" w:type="dxa"/>
          </w:tcPr>
          <w:p w:rsidR="007B7417" w:rsidRPr="00F82E89" w:rsidRDefault="007B7417" w:rsidP="009D6925">
            <w:pPr>
              <w:spacing w:line="240" w:lineRule="auto"/>
              <w:rPr>
                <w:rFonts w:cs="Times New Roman"/>
                <w:sz w:val="18"/>
                <w:szCs w:val="18"/>
              </w:rPr>
            </w:pPr>
            <w:r w:rsidRPr="00F82E89">
              <w:rPr>
                <w:rFonts w:cs="Times New Roman"/>
                <w:noProof/>
                <w:sz w:val="18"/>
                <w:szCs w:val="18"/>
                <w:lang w:eastAsia="en-GB"/>
              </w:rPr>
              <w:drawing>
                <wp:inline distT="0" distB="0" distL="0" distR="0" wp14:anchorId="6519F062" wp14:editId="2F27D11F">
                  <wp:extent cx="932688" cy="1024128"/>
                  <wp:effectExtent l="0" t="0" r="127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_W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32688" cy="1024128"/>
                          </a:xfrm>
                          <a:prstGeom prst="rect">
                            <a:avLst/>
                          </a:prstGeom>
                        </pic:spPr>
                      </pic:pic>
                    </a:graphicData>
                  </a:graphic>
                </wp:inline>
              </w:drawing>
            </w:r>
          </w:p>
        </w:tc>
      </w:tr>
      <w:tr w:rsidR="007B7417" w:rsidRPr="00F82E89" w:rsidTr="009D6925">
        <w:trPr>
          <w:trHeight w:val="1523"/>
        </w:trPr>
        <w:tc>
          <w:tcPr>
            <w:tcW w:w="1167" w:type="dxa"/>
          </w:tcPr>
          <w:p w:rsidR="007B7417" w:rsidRPr="00F82E89" w:rsidRDefault="007B7417" w:rsidP="009D6925">
            <w:pPr>
              <w:spacing w:line="240" w:lineRule="auto"/>
              <w:rPr>
                <w:rFonts w:cs="Times New Roman"/>
                <w:sz w:val="18"/>
                <w:szCs w:val="18"/>
              </w:rPr>
            </w:pPr>
            <w:r w:rsidRPr="00F82E89">
              <w:rPr>
                <w:rFonts w:cs="Times New Roman"/>
                <w:sz w:val="18"/>
                <w:szCs w:val="18"/>
              </w:rPr>
              <w:t>Downstream accretion</w:t>
            </w:r>
          </w:p>
          <w:p w:rsidR="007B7417" w:rsidRPr="00F82E89" w:rsidRDefault="007B7417" w:rsidP="009D6925">
            <w:pPr>
              <w:spacing w:line="240" w:lineRule="auto"/>
              <w:rPr>
                <w:rFonts w:cs="Times New Roman"/>
                <w:sz w:val="18"/>
                <w:szCs w:val="18"/>
              </w:rPr>
            </w:pPr>
            <w:r w:rsidRPr="00F82E89">
              <w:rPr>
                <w:rFonts w:cs="Times New Roman"/>
                <w:sz w:val="18"/>
                <w:szCs w:val="18"/>
              </w:rPr>
              <w:t>(DA)</w:t>
            </w:r>
          </w:p>
        </w:tc>
        <w:tc>
          <w:tcPr>
            <w:tcW w:w="1251" w:type="dxa"/>
          </w:tcPr>
          <w:p w:rsidR="007B7417" w:rsidRPr="00F82E89" w:rsidRDefault="007B7417" w:rsidP="009D6925">
            <w:pPr>
              <w:spacing w:line="240" w:lineRule="auto"/>
              <w:rPr>
                <w:rFonts w:cs="Times New Roman"/>
                <w:sz w:val="18"/>
                <w:szCs w:val="18"/>
              </w:rPr>
            </w:pPr>
            <w:r w:rsidRPr="00F82E89">
              <w:rPr>
                <w:rFonts w:cs="Times New Roman"/>
                <w:sz w:val="18"/>
                <w:szCs w:val="18"/>
              </w:rPr>
              <w:t>Basal surface:</w:t>
            </w:r>
          </w:p>
          <w:p w:rsidR="007B7417" w:rsidRPr="00F82E89" w:rsidRDefault="007B7417" w:rsidP="009D6925">
            <w:pPr>
              <w:spacing w:line="240" w:lineRule="auto"/>
              <w:rPr>
                <w:rFonts w:cs="Times New Roman"/>
                <w:sz w:val="18"/>
                <w:szCs w:val="18"/>
              </w:rPr>
            </w:pPr>
            <w:r w:rsidRPr="00F82E89">
              <w:rPr>
                <w:rFonts w:cs="Times New Roman"/>
                <w:sz w:val="18"/>
                <w:szCs w:val="18"/>
              </w:rPr>
              <w:t>5</w:t>
            </w:r>
            <w:r w:rsidRPr="00F82E89">
              <w:rPr>
                <w:rFonts w:cs="Times New Roman"/>
                <w:sz w:val="18"/>
                <w:szCs w:val="18"/>
                <w:vertAlign w:val="superscript"/>
              </w:rPr>
              <w:t>th</w:t>
            </w:r>
            <w:r w:rsidRPr="00F82E89">
              <w:rPr>
                <w:rFonts w:cs="Times New Roman"/>
                <w:sz w:val="18"/>
                <w:szCs w:val="18"/>
              </w:rPr>
              <w:t xml:space="preserve"> order</w:t>
            </w:r>
          </w:p>
          <w:p w:rsidR="007B7417" w:rsidRPr="00F82E89" w:rsidRDefault="007B7417" w:rsidP="009D6925">
            <w:pPr>
              <w:spacing w:line="240" w:lineRule="auto"/>
              <w:rPr>
                <w:rFonts w:cs="Times New Roman"/>
                <w:sz w:val="18"/>
                <w:szCs w:val="18"/>
              </w:rPr>
            </w:pPr>
            <w:r w:rsidRPr="00F82E89">
              <w:rPr>
                <w:rFonts w:cs="Times New Roman"/>
                <w:sz w:val="18"/>
                <w:szCs w:val="18"/>
              </w:rPr>
              <w:t>Top surface:</w:t>
            </w:r>
          </w:p>
          <w:p w:rsidR="007B7417" w:rsidRPr="00F82E89" w:rsidRDefault="007B7417" w:rsidP="009D6925">
            <w:pPr>
              <w:spacing w:line="240" w:lineRule="auto"/>
              <w:rPr>
                <w:rFonts w:cs="Times New Roman"/>
                <w:sz w:val="18"/>
                <w:szCs w:val="18"/>
              </w:rPr>
            </w:pPr>
            <w:r w:rsidRPr="00F82E89">
              <w:rPr>
                <w:rFonts w:cs="Times New Roman"/>
                <w:sz w:val="18"/>
                <w:szCs w:val="18"/>
              </w:rPr>
              <w:t>4</w:t>
            </w:r>
            <w:r w:rsidRPr="00F82E89">
              <w:rPr>
                <w:rFonts w:cs="Times New Roman"/>
                <w:sz w:val="18"/>
                <w:szCs w:val="18"/>
                <w:vertAlign w:val="superscript"/>
              </w:rPr>
              <w:t>th</w:t>
            </w:r>
            <w:r w:rsidRPr="00F82E89">
              <w:rPr>
                <w:rFonts w:cs="Times New Roman"/>
                <w:sz w:val="18"/>
                <w:szCs w:val="18"/>
              </w:rPr>
              <w:t xml:space="preserve"> order</w:t>
            </w:r>
          </w:p>
          <w:p w:rsidR="007B7417" w:rsidRPr="00F82E89" w:rsidRDefault="007B7417" w:rsidP="009D6925">
            <w:pPr>
              <w:spacing w:line="240" w:lineRule="auto"/>
              <w:rPr>
                <w:rFonts w:cs="Times New Roman"/>
                <w:sz w:val="18"/>
                <w:szCs w:val="18"/>
              </w:rPr>
            </w:pPr>
            <w:r w:rsidRPr="00F82E89">
              <w:rPr>
                <w:rFonts w:cs="Times New Roman"/>
                <w:sz w:val="18"/>
                <w:szCs w:val="18"/>
              </w:rPr>
              <w:t>Internal surfaces:</w:t>
            </w:r>
          </w:p>
          <w:p w:rsidR="007B7417" w:rsidRPr="00F82E89" w:rsidRDefault="007B7417" w:rsidP="009D6925">
            <w:pPr>
              <w:spacing w:line="240" w:lineRule="auto"/>
              <w:rPr>
                <w:rFonts w:cs="Times New Roman"/>
                <w:sz w:val="18"/>
                <w:szCs w:val="18"/>
              </w:rPr>
            </w:pPr>
            <w:r w:rsidRPr="00F82E89">
              <w:rPr>
                <w:rFonts w:cs="Times New Roman"/>
                <w:sz w:val="18"/>
                <w:szCs w:val="18"/>
              </w:rPr>
              <w:t>1</w:t>
            </w:r>
            <w:r w:rsidRPr="00F82E89">
              <w:rPr>
                <w:rFonts w:cs="Times New Roman"/>
                <w:sz w:val="18"/>
                <w:szCs w:val="18"/>
                <w:vertAlign w:val="superscript"/>
              </w:rPr>
              <w:t>st</w:t>
            </w:r>
            <w:r w:rsidRPr="00F82E89">
              <w:rPr>
                <w:rFonts w:cs="Times New Roman"/>
                <w:sz w:val="18"/>
                <w:szCs w:val="18"/>
              </w:rPr>
              <w:t>, 2</w:t>
            </w:r>
            <w:r w:rsidRPr="00F82E89">
              <w:rPr>
                <w:rFonts w:cs="Times New Roman"/>
                <w:sz w:val="18"/>
                <w:szCs w:val="18"/>
                <w:vertAlign w:val="superscript"/>
              </w:rPr>
              <w:t>nd</w:t>
            </w:r>
            <w:r w:rsidRPr="00F82E89">
              <w:rPr>
                <w:rFonts w:cs="Times New Roman"/>
                <w:sz w:val="18"/>
                <w:szCs w:val="18"/>
              </w:rPr>
              <w:t xml:space="preserve"> and 3</w:t>
            </w:r>
            <w:r w:rsidRPr="00F82E89">
              <w:rPr>
                <w:rFonts w:cs="Times New Roman"/>
                <w:sz w:val="18"/>
                <w:szCs w:val="18"/>
                <w:vertAlign w:val="superscript"/>
              </w:rPr>
              <w:t>rd</w:t>
            </w:r>
            <w:r w:rsidRPr="00F82E89">
              <w:rPr>
                <w:rFonts w:cs="Times New Roman"/>
                <w:sz w:val="18"/>
                <w:szCs w:val="18"/>
              </w:rPr>
              <w:t xml:space="preserve"> order</w:t>
            </w:r>
          </w:p>
        </w:tc>
        <w:tc>
          <w:tcPr>
            <w:tcW w:w="676" w:type="dxa"/>
          </w:tcPr>
          <w:p w:rsidR="007B7417" w:rsidRPr="00F82E89" w:rsidRDefault="007B7417" w:rsidP="009D6925">
            <w:pPr>
              <w:spacing w:line="240" w:lineRule="auto"/>
              <w:rPr>
                <w:rFonts w:cs="Times New Roman"/>
                <w:sz w:val="18"/>
                <w:szCs w:val="18"/>
              </w:rPr>
            </w:pPr>
            <w:r w:rsidRPr="00F82E89">
              <w:rPr>
                <w:rFonts w:cs="Times New Roman"/>
                <w:sz w:val="18"/>
                <w:szCs w:val="18"/>
              </w:rPr>
              <w:t>Sm, Sh, St, Sr</w:t>
            </w:r>
          </w:p>
        </w:tc>
        <w:tc>
          <w:tcPr>
            <w:tcW w:w="2358" w:type="dxa"/>
          </w:tcPr>
          <w:p w:rsidR="007B7417" w:rsidRPr="00F82E89" w:rsidRDefault="007B7417" w:rsidP="009D6925">
            <w:pPr>
              <w:spacing w:line="240" w:lineRule="auto"/>
              <w:rPr>
                <w:rFonts w:cs="Times New Roman"/>
                <w:sz w:val="18"/>
                <w:szCs w:val="18"/>
              </w:rPr>
            </w:pPr>
            <w:r w:rsidRPr="00F82E89">
              <w:rPr>
                <w:rFonts w:cs="Times New Roman"/>
                <w:sz w:val="18"/>
                <w:szCs w:val="18"/>
              </w:rPr>
              <w:t>Extremely homogeneous, some minor pebble lags but the majority of the element is uniform climbing bedforms comprising the downstream accretion element (Hornung and Ainger</w:t>
            </w:r>
            <w:r>
              <w:rPr>
                <w:rFonts w:cs="Times New Roman"/>
                <w:sz w:val="18"/>
                <w:szCs w:val="18"/>
              </w:rPr>
              <w:t>,</w:t>
            </w:r>
            <w:r w:rsidRPr="00F82E89">
              <w:rPr>
                <w:rFonts w:cs="Times New Roman"/>
                <w:sz w:val="18"/>
                <w:szCs w:val="18"/>
              </w:rPr>
              <w:t xml:space="preserve"> 1999; Best </w:t>
            </w:r>
            <w:r w:rsidRPr="00517096">
              <w:rPr>
                <w:rFonts w:cs="Times New Roman"/>
                <w:i/>
                <w:sz w:val="18"/>
                <w:szCs w:val="18"/>
              </w:rPr>
              <w:t>et al.,</w:t>
            </w:r>
            <w:r>
              <w:rPr>
                <w:rFonts w:cs="Times New Roman"/>
                <w:sz w:val="18"/>
                <w:szCs w:val="18"/>
              </w:rPr>
              <w:t xml:space="preserve"> 2003; Miall</w:t>
            </w:r>
            <w:r w:rsidRPr="00F82E89">
              <w:rPr>
                <w:rFonts w:cs="Times New Roman"/>
                <w:sz w:val="18"/>
                <w:szCs w:val="18"/>
              </w:rPr>
              <w:t xml:space="preserve"> and Jones</w:t>
            </w:r>
            <w:r>
              <w:rPr>
                <w:rFonts w:cs="Times New Roman"/>
                <w:sz w:val="18"/>
                <w:szCs w:val="18"/>
              </w:rPr>
              <w:t>,</w:t>
            </w:r>
            <w:r w:rsidRPr="00F82E89">
              <w:rPr>
                <w:rFonts w:cs="Times New Roman"/>
                <w:sz w:val="18"/>
                <w:szCs w:val="18"/>
              </w:rPr>
              <w:t xml:space="preserve"> 2003; Ghinassi and Ielpi</w:t>
            </w:r>
            <w:r>
              <w:rPr>
                <w:rFonts w:cs="Times New Roman"/>
                <w:sz w:val="18"/>
                <w:szCs w:val="18"/>
              </w:rPr>
              <w:t>,</w:t>
            </w:r>
            <w:r w:rsidRPr="00F82E89">
              <w:rPr>
                <w:rFonts w:cs="Times New Roman"/>
                <w:sz w:val="18"/>
                <w:szCs w:val="18"/>
              </w:rPr>
              <w:t xml:space="preserve"> 2018).</w:t>
            </w:r>
          </w:p>
          <w:p w:rsidR="007B7417" w:rsidRPr="00F82E89" w:rsidRDefault="007B7417" w:rsidP="009D6925">
            <w:pPr>
              <w:spacing w:line="240" w:lineRule="auto"/>
              <w:rPr>
                <w:rFonts w:cs="Times New Roman"/>
                <w:sz w:val="18"/>
                <w:szCs w:val="18"/>
              </w:rPr>
            </w:pPr>
            <w:r w:rsidRPr="00F82E89">
              <w:rPr>
                <w:rFonts w:cs="Times New Roman"/>
                <w:sz w:val="18"/>
                <w:szCs w:val="18"/>
              </w:rPr>
              <w:t xml:space="preserve">This study: </w:t>
            </w:r>
            <w:r w:rsidRPr="00F82E89">
              <w:rPr>
                <w:rFonts w:cs="Times New Roman"/>
                <w:b/>
                <w:sz w:val="18"/>
                <w:szCs w:val="18"/>
              </w:rPr>
              <w:t>Net</w:t>
            </w:r>
          </w:p>
        </w:tc>
        <w:tc>
          <w:tcPr>
            <w:tcW w:w="4206" w:type="dxa"/>
          </w:tcPr>
          <w:p w:rsidR="007B7417" w:rsidRPr="00F82E89" w:rsidRDefault="007B7417" w:rsidP="009D6925">
            <w:pPr>
              <w:spacing w:line="240" w:lineRule="auto"/>
              <w:rPr>
                <w:rFonts w:cs="Times New Roman"/>
                <w:sz w:val="18"/>
                <w:szCs w:val="18"/>
              </w:rPr>
            </w:pPr>
            <w:r>
              <w:rPr>
                <w:rFonts w:cs="Times New Roman"/>
                <w:noProof/>
                <w:sz w:val="18"/>
                <w:szCs w:val="18"/>
                <w:lang w:eastAsia="en-GB"/>
              </w:rPr>
              <w:drawing>
                <wp:inline distT="0" distB="0" distL="0" distR="0" wp14:anchorId="258E4CDC" wp14:editId="5F27490B">
                  <wp:extent cx="2529840" cy="1271016"/>
                  <wp:effectExtent l="0" t="0" r="381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ch_schematic_D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9840" cy="1271016"/>
                          </a:xfrm>
                          <a:prstGeom prst="rect">
                            <a:avLst/>
                          </a:prstGeom>
                        </pic:spPr>
                      </pic:pic>
                    </a:graphicData>
                  </a:graphic>
                </wp:inline>
              </w:drawing>
            </w:r>
          </w:p>
        </w:tc>
        <w:tc>
          <w:tcPr>
            <w:tcW w:w="1207" w:type="dxa"/>
          </w:tcPr>
          <w:p w:rsidR="007B7417" w:rsidRPr="00F82E89" w:rsidRDefault="007B7417" w:rsidP="009D6925">
            <w:pPr>
              <w:spacing w:line="240" w:lineRule="auto"/>
              <w:rPr>
                <w:rFonts w:cs="Times New Roman"/>
                <w:sz w:val="18"/>
                <w:szCs w:val="18"/>
              </w:rPr>
            </w:pPr>
            <w:r w:rsidRPr="00F82E89">
              <w:rPr>
                <w:rFonts w:cs="Times New Roman"/>
                <w:noProof/>
                <w:sz w:val="18"/>
                <w:szCs w:val="18"/>
                <w:lang w:eastAsia="en-GB"/>
              </w:rPr>
              <w:drawing>
                <wp:inline distT="0" distB="0" distL="0" distR="0" wp14:anchorId="012A22E3" wp14:editId="4889038E">
                  <wp:extent cx="627888" cy="1094232"/>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_N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7888" cy="1094232"/>
                          </a:xfrm>
                          <a:prstGeom prst="rect">
                            <a:avLst/>
                          </a:prstGeom>
                        </pic:spPr>
                      </pic:pic>
                    </a:graphicData>
                  </a:graphic>
                </wp:inline>
              </w:drawing>
            </w:r>
          </w:p>
        </w:tc>
        <w:tc>
          <w:tcPr>
            <w:tcW w:w="1551" w:type="dxa"/>
          </w:tcPr>
          <w:p w:rsidR="007B7417" w:rsidRPr="00F82E89" w:rsidRDefault="007B7417" w:rsidP="009D6925">
            <w:pPr>
              <w:spacing w:line="240" w:lineRule="auto"/>
              <w:rPr>
                <w:rFonts w:cs="Times New Roman"/>
                <w:sz w:val="18"/>
                <w:szCs w:val="18"/>
              </w:rPr>
            </w:pPr>
            <w:r w:rsidRPr="00F82E89">
              <w:rPr>
                <w:rFonts w:cs="Times New Roman"/>
                <w:noProof/>
                <w:sz w:val="18"/>
                <w:szCs w:val="18"/>
                <w:lang w:eastAsia="en-GB"/>
              </w:rPr>
              <w:drawing>
                <wp:inline distT="0" distB="0" distL="0" distR="0" wp14:anchorId="4B5A350E" wp14:editId="5EB2308D">
                  <wp:extent cx="847344" cy="10332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A_PC.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47344" cy="1033272"/>
                          </a:xfrm>
                          <a:prstGeom prst="rect">
                            <a:avLst/>
                          </a:prstGeom>
                        </pic:spPr>
                      </pic:pic>
                    </a:graphicData>
                  </a:graphic>
                </wp:inline>
              </w:drawing>
            </w:r>
          </w:p>
        </w:tc>
        <w:tc>
          <w:tcPr>
            <w:tcW w:w="1745" w:type="dxa"/>
          </w:tcPr>
          <w:p w:rsidR="007B7417" w:rsidRPr="00F82E89" w:rsidRDefault="007B7417" w:rsidP="009D6925">
            <w:pPr>
              <w:spacing w:line="240" w:lineRule="auto"/>
              <w:rPr>
                <w:rFonts w:cs="Times New Roman"/>
                <w:sz w:val="18"/>
                <w:szCs w:val="18"/>
              </w:rPr>
            </w:pPr>
            <w:r w:rsidRPr="00F82E89">
              <w:rPr>
                <w:rFonts w:cs="Times New Roman"/>
                <w:noProof/>
                <w:sz w:val="18"/>
                <w:szCs w:val="18"/>
                <w:lang w:eastAsia="en-GB"/>
              </w:rPr>
              <w:drawing>
                <wp:inline distT="0" distB="0" distL="0" distR="0" wp14:anchorId="74FD8296" wp14:editId="3C87ADE0">
                  <wp:extent cx="932688" cy="1027176"/>
                  <wp:effectExtent l="0" t="0" r="127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_W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32688" cy="1027176"/>
                          </a:xfrm>
                          <a:prstGeom prst="rect">
                            <a:avLst/>
                          </a:prstGeom>
                        </pic:spPr>
                      </pic:pic>
                    </a:graphicData>
                  </a:graphic>
                </wp:inline>
              </w:drawing>
            </w:r>
          </w:p>
        </w:tc>
      </w:tr>
      <w:tr w:rsidR="007B7417" w:rsidRPr="00F82E89" w:rsidTr="009D6925">
        <w:trPr>
          <w:trHeight w:val="2133"/>
        </w:trPr>
        <w:tc>
          <w:tcPr>
            <w:tcW w:w="1167" w:type="dxa"/>
          </w:tcPr>
          <w:p w:rsidR="007B7417" w:rsidRPr="00F82E89" w:rsidRDefault="007B7417" w:rsidP="009D6925">
            <w:pPr>
              <w:spacing w:line="240" w:lineRule="auto"/>
              <w:rPr>
                <w:rFonts w:cs="Times New Roman"/>
                <w:sz w:val="18"/>
                <w:szCs w:val="18"/>
              </w:rPr>
            </w:pPr>
            <w:r w:rsidRPr="00F82E89">
              <w:rPr>
                <w:rFonts w:cs="Times New Roman"/>
                <w:sz w:val="18"/>
                <w:szCs w:val="18"/>
              </w:rPr>
              <w:t>Lateral accretion</w:t>
            </w:r>
          </w:p>
          <w:p w:rsidR="007B7417" w:rsidRPr="00F82E89" w:rsidRDefault="007B7417" w:rsidP="009D6925">
            <w:pPr>
              <w:spacing w:line="240" w:lineRule="auto"/>
              <w:rPr>
                <w:rFonts w:cs="Times New Roman"/>
                <w:sz w:val="18"/>
                <w:szCs w:val="18"/>
              </w:rPr>
            </w:pPr>
            <w:r w:rsidRPr="00F82E89">
              <w:rPr>
                <w:rFonts w:cs="Times New Roman"/>
                <w:sz w:val="18"/>
                <w:szCs w:val="18"/>
              </w:rPr>
              <w:t>(LA)</w:t>
            </w:r>
          </w:p>
        </w:tc>
        <w:tc>
          <w:tcPr>
            <w:tcW w:w="1251" w:type="dxa"/>
          </w:tcPr>
          <w:p w:rsidR="007B7417" w:rsidRPr="00F82E89" w:rsidRDefault="007B7417" w:rsidP="009D6925">
            <w:pPr>
              <w:spacing w:line="240" w:lineRule="auto"/>
              <w:rPr>
                <w:rFonts w:cs="Times New Roman"/>
                <w:sz w:val="18"/>
                <w:szCs w:val="18"/>
              </w:rPr>
            </w:pPr>
            <w:r w:rsidRPr="00F82E89">
              <w:rPr>
                <w:rFonts w:cs="Times New Roman"/>
                <w:sz w:val="18"/>
                <w:szCs w:val="18"/>
              </w:rPr>
              <w:t>Basal surface:</w:t>
            </w:r>
          </w:p>
          <w:p w:rsidR="007B7417" w:rsidRPr="00F82E89" w:rsidRDefault="007B7417" w:rsidP="009D6925">
            <w:pPr>
              <w:spacing w:line="240" w:lineRule="auto"/>
              <w:rPr>
                <w:rFonts w:cs="Times New Roman"/>
                <w:sz w:val="18"/>
                <w:szCs w:val="18"/>
              </w:rPr>
            </w:pPr>
            <w:r w:rsidRPr="00F82E89">
              <w:rPr>
                <w:rFonts w:cs="Times New Roman"/>
                <w:sz w:val="18"/>
                <w:szCs w:val="18"/>
              </w:rPr>
              <w:t>5</w:t>
            </w:r>
            <w:r w:rsidRPr="00F82E89">
              <w:rPr>
                <w:rFonts w:cs="Times New Roman"/>
                <w:sz w:val="18"/>
                <w:szCs w:val="18"/>
                <w:vertAlign w:val="superscript"/>
              </w:rPr>
              <w:t>th</w:t>
            </w:r>
            <w:r w:rsidRPr="00F82E89">
              <w:rPr>
                <w:rFonts w:cs="Times New Roman"/>
                <w:sz w:val="18"/>
                <w:szCs w:val="18"/>
              </w:rPr>
              <w:t xml:space="preserve"> order</w:t>
            </w:r>
          </w:p>
          <w:p w:rsidR="007B7417" w:rsidRPr="00F82E89" w:rsidRDefault="007B7417" w:rsidP="009D6925">
            <w:pPr>
              <w:spacing w:line="240" w:lineRule="auto"/>
              <w:rPr>
                <w:rFonts w:cs="Times New Roman"/>
                <w:sz w:val="18"/>
                <w:szCs w:val="18"/>
              </w:rPr>
            </w:pPr>
            <w:r w:rsidRPr="00F82E89">
              <w:rPr>
                <w:rFonts w:cs="Times New Roman"/>
                <w:sz w:val="18"/>
                <w:szCs w:val="18"/>
              </w:rPr>
              <w:t>Top surface:</w:t>
            </w:r>
          </w:p>
          <w:p w:rsidR="007B7417" w:rsidRPr="00F82E89" w:rsidRDefault="007B7417" w:rsidP="009D6925">
            <w:pPr>
              <w:spacing w:line="240" w:lineRule="auto"/>
              <w:rPr>
                <w:rFonts w:cs="Times New Roman"/>
                <w:sz w:val="18"/>
                <w:szCs w:val="18"/>
              </w:rPr>
            </w:pPr>
            <w:r w:rsidRPr="00F82E89">
              <w:rPr>
                <w:rFonts w:cs="Times New Roman"/>
                <w:sz w:val="18"/>
                <w:szCs w:val="18"/>
              </w:rPr>
              <w:t>4</w:t>
            </w:r>
            <w:r w:rsidRPr="00F82E89">
              <w:rPr>
                <w:rFonts w:cs="Times New Roman"/>
                <w:sz w:val="18"/>
                <w:szCs w:val="18"/>
                <w:vertAlign w:val="superscript"/>
              </w:rPr>
              <w:t>th</w:t>
            </w:r>
            <w:r w:rsidRPr="00F82E89">
              <w:rPr>
                <w:rFonts w:cs="Times New Roman"/>
                <w:sz w:val="18"/>
                <w:szCs w:val="18"/>
              </w:rPr>
              <w:t xml:space="preserve"> order</w:t>
            </w:r>
          </w:p>
          <w:p w:rsidR="007B7417" w:rsidRPr="00F82E89" w:rsidRDefault="007B7417" w:rsidP="009D6925">
            <w:pPr>
              <w:spacing w:line="240" w:lineRule="auto"/>
              <w:rPr>
                <w:rFonts w:cs="Times New Roman"/>
                <w:sz w:val="18"/>
                <w:szCs w:val="18"/>
              </w:rPr>
            </w:pPr>
            <w:r w:rsidRPr="00F82E89">
              <w:rPr>
                <w:rFonts w:cs="Times New Roman"/>
                <w:sz w:val="18"/>
                <w:szCs w:val="18"/>
              </w:rPr>
              <w:t>Internal surfaces:</w:t>
            </w:r>
          </w:p>
          <w:p w:rsidR="007B7417" w:rsidRPr="00F82E89" w:rsidRDefault="007B7417" w:rsidP="009D6925">
            <w:pPr>
              <w:spacing w:line="240" w:lineRule="auto"/>
              <w:rPr>
                <w:rFonts w:cs="Times New Roman"/>
                <w:sz w:val="18"/>
                <w:szCs w:val="18"/>
              </w:rPr>
            </w:pPr>
            <w:r w:rsidRPr="00F82E89">
              <w:rPr>
                <w:rFonts w:cs="Times New Roman"/>
                <w:sz w:val="18"/>
                <w:szCs w:val="18"/>
              </w:rPr>
              <w:t>1</w:t>
            </w:r>
            <w:r w:rsidRPr="00F82E89">
              <w:rPr>
                <w:rFonts w:cs="Times New Roman"/>
                <w:sz w:val="18"/>
                <w:szCs w:val="18"/>
                <w:vertAlign w:val="superscript"/>
              </w:rPr>
              <w:t>st</w:t>
            </w:r>
            <w:r w:rsidRPr="00F82E89">
              <w:rPr>
                <w:rFonts w:cs="Times New Roman"/>
                <w:sz w:val="18"/>
                <w:szCs w:val="18"/>
              </w:rPr>
              <w:t>, 2</w:t>
            </w:r>
            <w:r w:rsidRPr="00F82E89">
              <w:rPr>
                <w:rFonts w:cs="Times New Roman"/>
                <w:sz w:val="18"/>
                <w:szCs w:val="18"/>
                <w:vertAlign w:val="superscript"/>
              </w:rPr>
              <w:t>nd</w:t>
            </w:r>
            <w:r w:rsidRPr="00F82E89">
              <w:rPr>
                <w:rFonts w:cs="Times New Roman"/>
                <w:sz w:val="18"/>
                <w:szCs w:val="18"/>
              </w:rPr>
              <w:t xml:space="preserve"> and 3</w:t>
            </w:r>
            <w:r w:rsidRPr="00F82E89">
              <w:rPr>
                <w:rFonts w:cs="Times New Roman"/>
                <w:sz w:val="18"/>
                <w:szCs w:val="18"/>
                <w:vertAlign w:val="superscript"/>
              </w:rPr>
              <w:t>rd</w:t>
            </w:r>
            <w:r w:rsidRPr="00F82E89">
              <w:rPr>
                <w:rFonts w:cs="Times New Roman"/>
                <w:sz w:val="18"/>
                <w:szCs w:val="18"/>
              </w:rPr>
              <w:t xml:space="preserve"> order</w:t>
            </w:r>
          </w:p>
          <w:p w:rsidR="007B7417" w:rsidRPr="00F82E89" w:rsidRDefault="007B7417" w:rsidP="009D6925">
            <w:pPr>
              <w:spacing w:line="240" w:lineRule="auto"/>
              <w:rPr>
                <w:rFonts w:cs="Times New Roman"/>
                <w:sz w:val="18"/>
                <w:szCs w:val="18"/>
              </w:rPr>
            </w:pPr>
          </w:p>
        </w:tc>
        <w:tc>
          <w:tcPr>
            <w:tcW w:w="676" w:type="dxa"/>
          </w:tcPr>
          <w:p w:rsidR="007B7417" w:rsidRPr="00F82E89" w:rsidRDefault="007B7417" w:rsidP="009D6925">
            <w:pPr>
              <w:spacing w:line="240" w:lineRule="auto"/>
              <w:rPr>
                <w:rFonts w:cs="Times New Roman"/>
                <w:sz w:val="18"/>
                <w:szCs w:val="18"/>
              </w:rPr>
            </w:pPr>
            <w:r w:rsidRPr="00F82E89">
              <w:rPr>
                <w:rFonts w:cs="Times New Roman"/>
                <w:sz w:val="18"/>
                <w:szCs w:val="18"/>
              </w:rPr>
              <w:t>Sm, Sh, St, Sp, Shv, Sr,</w:t>
            </w:r>
          </w:p>
        </w:tc>
        <w:tc>
          <w:tcPr>
            <w:tcW w:w="2358" w:type="dxa"/>
          </w:tcPr>
          <w:p w:rsidR="007B7417" w:rsidRPr="00F82E89" w:rsidRDefault="007B7417" w:rsidP="009D6925">
            <w:pPr>
              <w:spacing w:line="240" w:lineRule="auto"/>
              <w:rPr>
                <w:rFonts w:cs="Times New Roman"/>
                <w:sz w:val="18"/>
              </w:rPr>
            </w:pPr>
            <w:r w:rsidRPr="00F82E89">
              <w:rPr>
                <w:rFonts w:cs="Times New Roman"/>
                <w:sz w:val="18"/>
              </w:rPr>
              <w:t xml:space="preserve">Inclined heterolithic strata of the element provide significant baffles to flow (Pranter </w:t>
            </w:r>
            <w:r w:rsidRPr="00517096">
              <w:rPr>
                <w:rFonts w:cs="Times New Roman"/>
                <w:i/>
                <w:sz w:val="18"/>
              </w:rPr>
              <w:t>et al.,</w:t>
            </w:r>
            <w:r w:rsidRPr="00F82E89">
              <w:rPr>
                <w:rFonts w:cs="Times New Roman"/>
                <w:sz w:val="18"/>
              </w:rPr>
              <w:t xml:space="preserve"> 2007; Ghinassi </w:t>
            </w:r>
            <w:r w:rsidRPr="00517096">
              <w:rPr>
                <w:rFonts w:cs="Times New Roman"/>
                <w:i/>
                <w:sz w:val="18"/>
              </w:rPr>
              <w:t>et al.,</w:t>
            </w:r>
            <w:r w:rsidRPr="00F82E89">
              <w:rPr>
                <w:rFonts w:cs="Times New Roman"/>
                <w:sz w:val="18"/>
              </w:rPr>
              <w:t xml:space="preserve"> 2014; Ielpi and Ghinassi 2014; Colombera </w:t>
            </w:r>
            <w:r w:rsidRPr="00517096">
              <w:rPr>
                <w:rFonts w:cs="Times New Roman"/>
                <w:i/>
                <w:sz w:val="18"/>
              </w:rPr>
              <w:t>et al.,</w:t>
            </w:r>
            <w:r w:rsidRPr="00F82E89">
              <w:rPr>
                <w:rFonts w:cs="Times New Roman"/>
                <w:sz w:val="18"/>
              </w:rPr>
              <w:t xml:space="preserve"> 2017; Cabello </w:t>
            </w:r>
            <w:r w:rsidRPr="00517096">
              <w:rPr>
                <w:rFonts w:cs="Times New Roman"/>
                <w:i/>
                <w:sz w:val="18"/>
              </w:rPr>
              <w:t>et al.,</w:t>
            </w:r>
            <w:r w:rsidRPr="00F82E89">
              <w:rPr>
                <w:rFonts w:cs="Times New Roman"/>
                <w:sz w:val="18"/>
              </w:rPr>
              <w:t xml:space="preserve"> 2018</w:t>
            </w:r>
            <w:r>
              <w:rPr>
                <w:rFonts w:cs="Times New Roman"/>
                <w:sz w:val="18"/>
              </w:rPr>
              <w:t>b</w:t>
            </w:r>
            <w:r w:rsidRPr="00F82E89">
              <w:rPr>
                <w:rFonts w:cs="Times New Roman"/>
                <w:sz w:val="18"/>
              </w:rPr>
              <w:t>).</w:t>
            </w:r>
          </w:p>
          <w:p w:rsidR="007B7417" w:rsidRPr="00F82E89" w:rsidRDefault="007B7417" w:rsidP="009D6925">
            <w:pPr>
              <w:spacing w:line="240" w:lineRule="auto"/>
              <w:rPr>
                <w:rFonts w:cs="Times New Roman"/>
                <w:b/>
                <w:sz w:val="18"/>
                <w:szCs w:val="18"/>
              </w:rPr>
            </w:pPr>
            <w:r w:rsidRPr="00F82E89">
              <w:rPr>
                <w:rFonts w:cs="Times New Roman"/>
                <w:sz w:val="18"/>
              </w:rPr>
              <w:t xml:space="preserve">This study: </w:t>
            </w:r>
            <w:r w:rsidRPr="00F82E89">
              <w:rPr>
                <w:rFonts w:cs="Times New Roman"/>
                <w:b/>
                <w:sz w:val="18"/>
              </w:rPr>
              <w:t>Non-net</w:t>
            </w:r>
          </w:p>
        </w:tc>
        <w:tc>
          <w:tcPr>
            <w:tcW w:w="4206" w:type="dxa"/>
          </w:tcPr>
          <w:p w:rsidR="007B7417" w:rsidRPr="00F82E89" w:rsidRDefault="007B7417" w:rsidP="009D6925">
            <w:pPr>
              <w:spacing w:line="240" w:lineRule="auto"/>
              <w:rPr>
                <w:rFonts w:cs="Times New Roman"/>
                <w:sz w:val="18"/>
                <w:szCs w:val="18"/>
              </w:rPr>
            </w:pPr>
            <w:r>
              <w:rPr>
                <w:rFonts w:cs="Times New Roman"/>
                <w:noProof/>
                <w:sz w:val="18"/>
                <w:szCs w:val="18"/>
                <w:lang w:eastAsia="en-GB"/>
              </w:rPr>
              <w:drawing>
                <wp:inline distT="0" distB="0" distL="0" distR="0" wp14:anchorId="3C264E1B" wp14:editId="248F3295">
                  <wp:extent cx="2529840" cy="1271016"/>
                  <wp:effectExtent l="0" t="0" r="381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ch_schematic_L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9840" cy="1271016"/>
                          </a:xfrm>
                          <a:prstGeom prst="rect">
                            <a:avLst/>
                          </a:prstGeom>
                        </pic:spPr>
                      </pic:pic>
                    </a:graphicData>
                  </a:graphic>
                </wp:inline>
              </w:drawing>
            </w:r>
          </w:p>
        </w:tc>
        <w:tc>
          <w:tcPr>
            <w:tcW w:w="1207" w:type="dxa"/>
          </w:tcPr>
          <w:p w:rsidR="007B7417" w:rsidRPr="00F82E89" w:rsidRDefault="007B7417" w:rsidP="009D6925">
            <w:pPr>
              <w:spacing w:line="240" w:lineRule="auto"/>
              <w:rPr>
                <w:rFonts w:cs="Times New Roman"/>
                <w:sz w:val="18"/>
                <w:szCs w:val="18"/>
              </w:rPr>
            </w:pPr>
            <w:r w:rsidRPr="00F82E89">
              <w:rPr>
                <w:rFonts w:cs="Times New Roman"/>
                <w:noProof/>
                <w:sz w:val="18"/>
                <w:szCs w:val="18"/>
                <w:lang w:eastAsia="en-GB"/>
              </w:rPr>
              <w:drawing>
                <wp:inline distT="0" distB="0" distL="0" distR="0" wp14:anchorId="249450A1" wp14:editId="68E5E370">
                  <wp:extent cx="624840" cy="1042416"/>
                  <wp:effectExtent l="0" t="0" r="381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A_NG.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4840" cy="1042416"/>
                          </a:xfrm>
                          <a:prstGeom prst="rect">
                            <a:avLst/>
                          </a:prstGeom>
                        </pic:spPr>
                      </pic:pic>
                    </a:graphicData>
                  </a:graphic>
                </wp:inline>
              </w:drawing>
            </w:r>
          </w:p>
        </w:tc>
        <w:tc>
          <w:tcPr>
            <w:tcW w:w="1551" w:type="dxa"/>
          </w:tcPr>
          <w:p w:rsidR="007B7417" w:rsidRPr="00F82E89" w:rsidRDefault="007B7417" w:rsidP="009D6925">
            <w:pPr>
              <w:spacing w:line="240" w:lineRule="auto"/>
              <w:rPr>
                <w:rFonts w:cs="Times New Roman"/>
                <w:sz w:val="18"/>
                <w:szCs w:val="18"/>
              </w:rPr>
            </w:pPr>
            <w:r w:rsidRPr="00F82E89">
              <w:rPr>
                <w:rFonts w:cs="Times New Roman"/>
                <w:noProof/>
                <w:sz w:val="18"/>
                <w:szCs w:val="18"/>
                <w:lang w:eastAsia="en-GB"/>
              </w:rPr>
              <w:drawing>
                <wp:inline distT="0" distB="0" distL="0" distR="0" wp14:anchorId="56532D4E" wp14:editId="4FFDFF92">
                  <wp:extent cx="847344" cy="981456"/>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A_PC.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47344" cy="981456"/>
                          </a:xfrm>
                          <a:prstGeom prst="rect">
                            <a:avLst/>
                          </a:prstGeom>
                        </pic:spPr>
                      </pic:pic>
                    </a:graphicData>
                  </a:graphic>
                </wp:inline>
              </w:drawing>
            </w:r>
          </w:p>
        </w:tc>
        <w:tc>
          <w:tcPr>
            <w:tcW w:w="1745" w:type="dxa"/>
          </w:tcPr>
          <w:p w:rsidR="007B7417" w:rsidRPr="00F82E89" w:rsidRDefault="007B7417" w:rsidP="009D6925">
            <w:pPr>
              <w:spacing w:line="240" w:lineRule="auto"/>
              <w:rPr>
                <w:rFonts w:cs="Times New Roman"/>
                <w:sz w:val="18"/>
                <w:szCs w:val="18"/>
              </w:rPr>
            </w:pPr>
            <w:r w:rsidRPr="00F82E89">
              <w:rPr>
                <w:rFonts w:cs="Times New Roman"/>
                <w:noProof/>
                <w:sz w:val="18"/>
                <w:szCs w:val="18"/>
                <w:lang w:eastAsia="en-GB"/>
              </w:rPr>
              <w:drawing>
                <wp:inline distT="0" distB="0" distL="0" distR="0" wp14:anchorId="5E427601" wp14:editId="36B5E8C5">
                  <wp:extent cx="932688" cy="975360"/>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_W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32688" cy="975360"/>
                          </a:xfrm>
                          <a:prstGeom prst="rect">
                            <a:avLst/>
                          </a:prstGeom>
                        </pic:spPr>
                      </pic:pic>
                    </a:graphicData>
                  </a:graphic>
                </wp:inline>
              </w:drawing>
            </w:r>
          </w:p>
        </w:tc>
      </w:tr>
      <w:tr w:rsidR="007B7417" w:rsidRPr="00F82E89" w:rsidTr="009D6925">
        <w:trPr>
          <w:trHeight w:val="914"/>
        </w:trPr>
        <w:tc>
          <w:tcPr>
            <w:tcW w:w="1167" w:type="dxa"/>
          </w:tcPr>
          <w:p w:rsidR="007B7417" w:rsidRPr="00F82E89" w:rsidRDefault="007B7417" w:rsidP="009D6925">
            <w:pPr>
              <w:spacing w:line="240" w:lineRule="auto"/>
              <w:rPr>
                <w:rFonts w:cs="Times New Roman"/>
                <w:sz w:val="18"/>
                <w:szCs w:val="18"/>
              </w:rPr>
            </w:pPr>
            <w:r w:rsidRPr="00F82E89">
              <w:rPr>
                <w:rFonts w:cs="Times New Roman"/>
                <w:sz w:val="18"/>
                <w:szCs w:val="18"/>
              </w:rPr>
              <w:t>Thalweg bedform complex</w:t>
            </w:r>
          </w:p>
          <w:p w:rsidR="007B7417" w:rsidRPr="00F82E89" w:rsidRDefault="007B7417" w:rsidP="009D6925">
            <w:pPr>
              <w:spacing w:line="240" w:lineRule="auto"/>
              <w:rPr>
                <w:rFonts w:cs="Times New Roman"/>
                <w:sz w:val="18"/>
                <w:szCs w:val="18"/>
              </w:rPr>
            </w:pPr>
            <w:r w:rsidRPr="00F82E89">
              <w:rPr>
                <w:rFonts w:cs="Times New Roman"/>
                <w:sz w:val="18"/>
                <w:szCs w:val="18"/>
              </w:rPr>
              <w:t>(TB)</w:t>
            </w:r>
          </w:p>
        </w:tc>
        <w:tc>
          <w:tcPr>
            <w:tcW w:w="1251" w:type="dxa"/>
          </w:tcPr>
          <w:p w:rsidR="007B7417" w:rsidRPr="00F82E89" w:rsidRDefault="007B7417" w:rsidP="009D6925">
            <w:pPr>
              <w:spacing w:line="240" w:lineRule="auto"/>
              <w:rPr>
                <w:rFonts w:cs="Times New Roman"/>
                <w:sz w:val="18"/>
                <w:szCs w:val="18"/>
              </w:rPr>
            </w:pPr>
            <w:r w:rsidRPr="00F82E89">
              <w:rPr>
                <w:rFonts w:cs="Times New Roman"/>
                <w:sz w:val="18"/>
                <w:szCs w:val="18"/>
              </w:rPr>
              <w:t>Basal surface:</w:t>
            </w:r>
          </w:p>
          <w:p w:rsidR="007B7417" w:rsidRPr="00F82E89" w:rsidRDefault="007B7417" w:rsidP="009D6925">
            <w:pPr>
              <w:spacing w:line="240" w:lineRule="auto"/>
              <w:rPr>
                <w:rFonts w:cs="Times New Roman"/>
                <w:sz w:val="18"/>
                <w:szCs w:val="18"/>
              </w:rPr>
            </w:pPr>
            <w:r w:rsidRPr="00F82E89">
              <w:rPr>
                <w:rFonts w:cs="Times New Roman"/>
                <w:sz w:val="18"/>
                <w:szCs w:val="18"/>
              </w:rPr>
              <w:t>5</w:t>
            </w:r>
            <w:r w:rsidRPr="00F82E89">
              <w:rPr>
                <w:rFonts w:cs="Times New Roman"/>
                <w:sz w:val="18"/>
                <w:szCs w:val="18"/>
                <w:vertAlign w:val="superscript"/>
              </w:rPr>
              <w:t>th</w:t>
            </w:r>
            <w:r w:rsidRPr="00F82E89">
              <w:rPr>
                <w:rFonts w:cs="Times New Roman"/>
                <w:sz w:val="18"/>
                <w:szCs w:val="18"/>
              </w:rPr>
              <w:t xml:space="preserve"> order</w:t>
            </w:r>
          </w:p>
          <w:p w:rsidR="007B7417" w:rsidRPr="00F82E89" w:rsidRDefault="007B7417" w:rsidP="009D6925">
            <w:pPr>
              <w:spacing w:line="240" w:lineRule="auto"/>
              <w:rPr>
                <w:rFonts w:cs="Times New Roman"/>
                <w:sz w:val="18"/>
                <w:szCs w:val="18"/>
              </w:rPr>
            </w:pPr>
            <w:r w:rsidRPr="00F82E89">
              <w:rPr>
                <w:rFonts w:cs="Times New Roman"/>
                <w:sz w:val="18"/>
                <w:szCs w:val="18"/>
              </w:rPr>
              <w:t>Top surface:</w:t>
            </w:r>
          </w:p>
          <w:p w:rsidR="007B7417" w:rsidRPr="00F82E89" w:rsidRDefault="007B7417" w:rsidP="009D6925">
            <w:pPr>
              <w:spacing w:line="240" w:lineRule="auto"/>
              <w:rPr>
                <w:rFonts w:cs="Times New Roman"/>
                <w:sz w:val="18"/>
                <w:szCs w:val="18"/>
              </w:rPr>
            </w:pPr>
            <w:r w:rsidRPr="00F82E89">
              <w:rPr>
                <w:rFonts w:cs="Times New Roman"/>
                <w:sz w:val="18"/>
                <w:szCs w:val="18"/>
              </w:rPr>
              <w:t>4</w:t>
            </w:r>
            <w:r w:rsidRPr="00F82E89">
              <w:rPr>
                <w:rFonts w:cs="Times New Roman"/>
                <w:sz w:val="18"/>
                <w:szCs w:val="18"/>
                <w:vertAlign w:val="superscript"/>
              </w:rPr>
              <w:t>th</w:t>
            </w:r>
            <w:r w:rsidRPr="00F82E89">
              <w:rPr>
                <w:rFonts w:cs="Times New Roman"/>
                <w:sz w:val="18"/>
                <w:szCs w:val="18"/>
              </w:rPr>
              <w:t xml:space="preserve"> order</w:t>
            </w:r>
          </w:p>
          <w:p w:rsidR="007B7417" w:rsidRPr="00F82E89" w:rsidRDefault="007B7417" w:rsidP="009D6925">
            <w:pPr>
              <w:spacing w:line="240" w:lineRule="auto"/>
              <w:rPr>
                <w:rFonts w:cs="Times New Roman"/>
                <w:sz w:val="18"/>
                <w:szCs w:val="18"/>
              </w:rPr>
            </w:pPr>
            <w:r w:rsidRPr="00F82E89">
              <w:rPr>
                <w:rFonts w:cs="Times New Roman"/>
                <w:sz w:val="18"/>
                <w:szCs w:val="18"/>
              </w:rPr>
              <w:t>Internal surfaces:</w:t>
            </w:r>
          </w:p>
          <w:p w:rsidR="007B7417" w:rsidRPr="00F82E89" w:rsidRDefault="007B7417" w:rsidP="009D6925">
            <w:pPr>
              <w:spacing w:line="240" w:lineRule="auto"/>
              <w:rPr>
                <w:rFonts w:cs="Times New Roman"/>
                <w:sz w:val="18"/>
                <w:szCs w:val="18"/>
              </w:rPr>
            </w:pPr>
            <w:r w:rsidRPr="00F82E89">
              <w:rPr>
                <w:rFonts w:cs="Times New Roman"/>
                <w:sz w:val="18"/>
                <w:szCs w:val="18"/>
              </w:rPr>
              <w:t>1</w:t>
            </w:r>
            <w:r w:rsidRPr="00F82E89">
              <w:rPr>
                <w:rFonts w:cs="Times New Roman"/>
                <w:sz w:val="18"/>
                <w:szCs w:val="18"/>
                <w:vertAlign w:val="superscript"/>
              </w:rPr>
              <w:t>st</w:t>
            </w:r>
            <w:r w:rsidRPr="00F82E89">
              <w:rPr>
                <w:rFonts w:cs="Times New Roman"/>
                <w:sz w:val="18"/>
                <w:szCs w:val="18"/>
              </w:rPr>
              <w:t>, 2</w:t>
            </w:r>
            <w:r w:rsidRPr="00F82E89">
              <w:rPr>
                <w:rFonts w:cs="Times New Roman"/>
                <w:sz w:val="18"/>
                <w:szCs w:val="18"/>
                <w:vertAlign w:val="superscript"/>
              </w:rPr>
              <w:t>nd</w:t>
            </w:r>
            <w:r w:rsidRPr="00F82E89">
              <w:rPr>
                <w:rFonts w:cs="Times New Roman"/>
                <w:sz w:val="18"/>
                <w:szCs w:val="18"/>
              </w:rPr>
              <w:t xml:space="preserve"> and 3</w:t>
            </w:r>
            <w:r w:rsidRPr="00F82E89">
              <w:rPr>
                <w:rFonts w:cs="Times New Roman"/>
                <w:sz w:val="18"/>
                <w:szCs w:val="18"/>
                <w:vertAlign w:val="superscript"/>
              </w:rPr>
              <w:t>rd</w:t>
            </w:r>
            <w:r w:rsidRPr="00F82E89">
              <w:rPr>
                <w:rFonts w:cs="Times New Roman"/>
                <w:sz w:val="18"/>
                <w:szCs w:val="18"/>
              </w:rPr>
              <w:t xml:space="preserve"> order</w:t>
            </w:r>
          </w:p>
        </w:tc>
        <w:tc>
          <w:tcPr>
            <w:tcW w:w="676" w:type="dxa"/>
          </w:tcPr>
          <w:p w:rsidR="007B7417" w:rsidRPr="00F82E89" w:rsidRDefault="007B7417" w:rsidP="009D6925">
            <w:pPr>
              <w:spacing w:line="240" w:lineRule="auto"/>
              <w:rPr>
                <w:rFonts w:cs="Times New Roman"/>
                <w:sz w:val="18"/>
                <w:szCs w:val="18"/>
              </w:rPr>
            </w:pPr>
            <w:r w:rsidRPr="00F82E89">
              <w:rPr>
                <w:rFonts w:cs="Times New Roman"/>
                <w:sz w:val="18"/>
                <w:szCs w:val="18"/>
              </w:rPr>
              <w:t>Sm, St, Sp, Sr</w:t>
            </w:r>
          </w:p>
        </w:tc>
        <w:tc>
          <w:tcPr>
            <w:tcW w:w="2358" w:type="dxa"/>
          </w:tcPr>
          <w:p w:rsidR="007B7417" w:rsidRPr="00F82E89" w:rsidRDefault="007B7417" w:rsidP="009D6925">
            <w:pPr>
              <w:spacing w:line="240" w:lineRule="auto"/>
              <w:rPr>
                <w:rFonts w:cs="Times New Roman"/>
                <w:sz w:val="18"/>
                <w:szCs w:val="18"/>
              </w:rPr>
            </w:pPr>
            <w:r w:rsidRPr="00F82E89">
              <w:rPr>
                <w:rFonts w:cs="Times New Roman"/>
                <w:sz w:val="18"/>
                <w:szCs w:val="18"/>
              </w:rPr>
              <w:t>May be considered a baffle to flow relative to other elements, due to its immature make-up, basal lag deposits and the pebble lining of foresets.</w:t>
            </w:r>
          </w:p>
          <w:p w:rsidR="007B7417" w:rsidRPr="00F82E89" w:rsidRDefault="007B7417" w:rsidP="009D6925">
            <w:pPr>
              <w:spacing w:line="240" w:lineRule="auto"/>
              <w:rPr>
                <w:rFonts w:cs="Times New Roman"/>
                <w:sz w:val="18"/>
                <w:szCs w:val="18"/>
              </w:rPr>
            </w:pPr>
            <w:r w:rsidRPr="00F82E89">
              <w:rPr>
                <w:rFonts w:cs="Times New Roman"/>
                <w:sz w:val="18"/>
                <w:szCs w:val="18"/>
              </w:rPr>
              <w:t xml:space="preserve">This study: </w:t>
            </w:r>
            <w:r w:rsidRPr="00F82E89">
              <w:rPr>
                <w:rFonts w:cs="Times New Roman"/>
                <w:b/>
                <w:sz w:val="18"/>
                <w:szCs w:val="18"/>
              </w:rPr>
              <w:t>Non-net</w:t>
            </w:r>
          </w:p>
        </w:tc>
        <w:tc>
          <w:tcPr>
            <w:tcW w:w="4206" w:type="dxa"/>
          </w:tcPr>
          <w:p w:rsidR="007B7417" w:rsidRPr="00F82E89" w:rsidRDefault="007B7417" w:rsidP="009D6925">
            <w:pPr>
              <w:spacing w:line="240" w:lineRule="auto"/>
              <w:rPr>
                <w:rFonts w:cs="Times New Roman"/>
                <w:sz w:val="18"/>
                <w:szCs w:val="18"/>
              </w:rPr>
            </w:pPr>
            <w:r>
              <w:rPr>
                <w:rFonts w:cs="Times New Roman"/>
                <w:noProof/>
                <w:sz w:val="18"/>
                <w:szCs w:val="18"/>
                <w:lang w:eastAsia="en-GB"/>
              </w:rPr>
              <w:drawing>
                <wp:inline distT="0" distB="0" distL="0" distR="0" wp14:anchorId="7BAF9053" wp14:editId="1940BA4A">
                  <wp:extent cx="2529840" cy="1271016"/>
                  <wp:effectExtent l="0" t="0" r="381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ch_schematic_TB.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9840" cy="1271016"/>
                          </a:xfrm>
                          <a:prstGeom prst="rect">
                            <a:avLst/>
                          </a:prstGeom>
                        </pic:spPr>
                      </pic:pic>
                    </a:graphicData>
                  </a:graphic>
                </wp:inline>
              </w:drawing>
            </w:r>
          </w:p>
        </w:tc>
        <w:tc>
          <w:tcPr>
            <w:tcW w:w="1207" w:type="dxa"/>
          </w:tcPr>
          <w:p w:rsidR="007B7417" w:rsidRPr="00F82E89" w:rsidRDefault="007B7417" w:rsidP="009D6925">
            <w:pPr>
              <w:spacing w:line="240" w:lineRule="auto"/>
              <w:rPr>
                <w:rFonts w:cs="Times New Roman"/>
                <w:sz w:val="18"/>
                <w:szCs w:val="18"/>
              </w:rPr>
            </w:pPr>
            <w:r w:rsidRPr="00F82E89">
              <w:rPr>
                <w:rFonts w:cs="Times New Roman"/>
                <w:noProof/>
                <w:sz w:val="18"/>
                <w:szCs w:val="18"/>
                <w:lang w:eastAsia="en-GB"/>
              </w:rPr>
              <w:drawing>
                <wp:inline distT="0" distB="0" distL="0" distR="0" wp14:anchorId="63375F5B" wp14:editId="5E5201EB">
                  <wp:extent cx="627888" cy="1091184"/>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B_NG.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7888" cy="1091184"/>
                          </a:xfrm>
                          <a:prstGeom prst="rect">
                            <a:avLst/>
                          </a:prstGeom>
                        </pic:spPr>
                      </pic:pic>
                    </a:graphicData>
                  </a:graphic>
                </wp:inline>
              </w:drawing>
            </w:r>
          </w:p>
        </w:tc>
        <w:tc>
          <w:tcPr>
            <w:tcW w:w="1551" w:type="dxa"/>
          </w:tcPr>
          <w:p w:rsidR="007B7417" w:rsidRPr="00F82E89" w:rsidRDefault="007B7417" w:rsidP="009D6925">
            <w:pPr>
              <w:spacing w:line="240" w:lineRule="auto"/>
              <w:rPr>
                <w:rFonts w:cs="Times New Roman"/>
                <w:sz w:val="18"/>
                <w:szCs w:val="18"/>
              </w:rPr>
            </w:pPr>
            <w:r w:rsidRPr="00F82E89">
              <w:rPr>
                <w:rFonts w:cs="Times New Roman"/>
                <w:noProof/>
                <w:sz w:val="18"/>
                <w:szCs w:val="18"/>
                <w:lang w:eastAsia="en-GB"/>
              </w:rPr>
              <w:drawing>
                <wp:inline distT="0" distB="0" distL="0" distR="0" wp14:anchorId="0B2088BD" wp14:editId="7A2A7181">
                  <wp:extent cx="847344" cy="103022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B_PC.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47344" cy="1030224"/>
                          </a:xfrm>
                          <a:prstGeom prst="rect">
                            <a:avLst/>
                          </a:prstGeom>
                        </pic:spPr>
                      </pic:pic>
                    </a:graphicData>
                  </a:graphic>
                </wp:inline>
              </w:drawing>
            </w:r>
          </w:p>
        </w:tc>
        <w:tc>
          <w:tcPr>
            <w:tcW w:w="1745" w:type="dxa"/>
          </w:tcPr>
          <w:p w:rsidR="007B7417" w:rsidRPr="00F82E89" w:rsidRDefault="007B7417" w:rsidP="009D6925">
            <w:pPr>
              <w:spacing w:line="240" w:lineRule="auto"/>
              <w:rPr>
                <w:rFonts w:cs="Times New Roman"/>
                <w:sz w:val="18"/>
                <w:szCs w:val="18"/>
              </w:rPr>
            </w:pPr>
            <w:r w:rsidRPr="00F82E89">
              <w:rPr>
                <w:rFonts w:cs="Times New Roman"/>
                <w:noProof/>
                <w:sz w:val="18"/>
                <w:szCs w:val="18"/>
                <w:lang w:eastAsia="en-GB"/>
              </w:rPr>
              <w:drawing>
                <wp:inline distT="0" distB="0" distL="0" distR="0" wp14:anchorId="49516091" wp14:editId="51F27A82">
                  <wp:extent cx="935736" cy="1024128"/>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B_WD.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35736" cy="1024128"/>
                          </a:xfrm>
                          <a:prstGeom prst="rect">
                            <a:avLst/>
                          </a:prstGeom>
                        </pic:spPr>
                      </pic:pic>
                    </a:graphicData>
                  </a:graphic>
                </wp:inline>
              </w:drawing>
            </w:r>
          </w:p>
        </w:tc>
      </w:tr>
    </w:tbl>
    <w:p w:rsidR="009D6925" w:rsidRDefault="009D6925" w:rsidP="009D6925">
      <w:pPr>
        <w:rPr>
          <w:shd w:val="clear" w:color="auto" w:fill="FFFFFF"/>
        </w:rPr>
      </w:pPr>
      <w:r w:rsidRPr="00F82E89">
        <w:rPr>
          <w:b/>
          <w:shd w:val="clear" w:color="auto" w:fill="FFFFFF"/>
        </w:rPr>
        <w:t>Table 2</w:t>
      </w:r>
      <w:r w:rsidRPr="00F82E89">
        <w:rPr>
          <w:shd w:val="clear" w:color="auto" w:fill="FFFFFF"/>
        </w:rPr>
        <w:t xml:space="preserve"> – Architectural element summary of the Lower Castlegate at Tuscher Canyon. The table describes each element individually by: their top, bottom and internal bounding surface framework according to Miall (1996), the idealised facies succession (in the order the facies are shown), the reservoir characteristics of the element and whether they are considered net or gross when modelled in this study, and finally an internal two-dimensional schematic architectural framework. </w:t>
      </w:r>
      <w:r>
        <w:rPr>
          <w:shd w:val="clear" w:color="auto" w:fill="FFFFFF"/>
        </w:rPr>
        <w:t xml:space="preserve">Note, the scale of these schematics is 100 m horizontally by 10 m vertically, and no foreset laminae have been illustrated. </w:t>
      </w:r>
      <w:r w:rsidRPr="00F82E89">
        <w:rPr>
          <w:shd w:val="clear" w:color="auto" w:fill="FFFFFF"/>
        </w:rPr>
        <w:t>Finally a summary of the quantified statistical characteristics of each element: net-gross, palaeocurrent data and average width:thickness ratios are given.</w:t>
      </w:r>
    </w:p>
    <w:p w:rsidR="009D6925" w:rsidRDefault="009D6925" w:rsidP="009D6925">
      <w:pPr>
        <w:rPr>
          <w:shd w:val="clear" w:color="auto" w:fill="FFFFFF"/>
        </w:rPr>
      </w:pPr>
    </w:p>
    <w:p w:rsidR="009D6925" w:rsidRDefault="009D6925">
      <w:pPr>
        <w:spacing w:line="276" w:lineRule="auto"/>
      </w:pPr>
      <w:r>
        <w:rPr>
          <w:noProof/>
          <w:lang w:eastAsia="en-GB"/>
        </w:rPr>
        <w:drawing>
          <wp:inline distT="0" distB="0" distL="0" distR="0">
            <wp:extent cx="8290560" cy="235610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_6_mitten_2019_revised.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290560" cy="2356104"/>
                    </a:xfrm>
                    <a:prstGeom prst="rect">
                      <a:avLst/>
                    </a:prstGeom>
                  </pic:spPr>
                </pic:pic>
              </a:graphicData>
            </a:graphic>
          </wp:inline>
        </w:drawing>
      </w:r>
    </w:p>
    <w:p w:rsidR="009D6925" w:rsidRDefault="009D6925" w:rsidP="009D6925">
      <w:pPr>
        <w:rPr>
          <w:shd w:val="clear" w:color="auto" w:fill="FFFFFF"/>
        </w:rPr>
      </w:pPr>
      <w:r w:rsidRPr="00F82E89">
        <w:rPr>
          <w:b/>
        </w:rPr>
        <w:t xml:space="preserve">Figure </w:t>
      </w:r>
      <w:r>
        <w:rPr>
          <w:b/>
        </w:rPr>
        <w:t>6</w:t>
      </w:r>
      <w:r w:rsidRPr="00F82E89">
        <w:t xml:space="preserve"> – Interpretation of the Lower Castlegate Tuscher Canyon outcrop, Utah, USA (see Figure 4A for location). Schematic shows the distribution of architectural elements and dominance of the downstream accretion element. Pseudo-well logs have also been incorporated to show positions of wells used to condition reservoir models. Measured palaeocurrent data (respective positions marked) of individual sedimentary architectural elements are also shown. Note the 2.5x vertical exaggeration.</w:t>
      </w:r>
    </w:p>
    <w:p w:rsidR="007B7417" w:rsidRDefault="007B7417">
      <w:pPr>
        <w:spacing w:line="276" w:lineRule="auto"/>
      </w:pPr>
      <w:r>
        <w:br w:type="page"/>
      </w:r>
    </w:p>
    <w:p w:rsidR="007B7417" w:rsidRDefault="007B7417" w:rsidP="004E163C">
      <w:pPr>
        <w:spacing w:before="240" w:after="120"/>
        <w:sectPr w:rsidR="007B7417" w:rsidSect="007B7417">
          <w:pgSz w:w="16838" w:h="11906" w:orient="landscape"/>
          <w:pgMar w:top="1440" w:right="1440" w:bottom="1440" w:left="1440" w:header="708" w:footer="708" w:gutter="0"/>
          <w:lnNumType w:countBy="1" w:restart="continuous"/>
          <w:cols w:space="708"/>
          <w:docGrid w:linePitch="360"/>
        </w:sectPr>
      </w:pPr>
    </w:p>
    <w:p w:rsidR="00555528" w:rsidRPr="00F82E89" w:rsidRDefault="00555528" w:rsidP="004E163C">
      <w:pPr>
        <w:spacing w:before="240" w:after="120"/>
      </w:pPr>
      <w:r w:rsidRPr="00F82E89">
        <w:t>The channel element has been characterised as non-net because of its pebble lag and poorly sorted basal strata above its erosional base (</w:t>
      </w:r>
      <w:r w:rsidR="00FC1E9D" w:rsidRPr="00F82E89">
        <w:t>North and Taylor</w:t>
      </w:r>
      <w:r w:rsidR="00BD4D38">
        <w:t>,</w:t>
      </w:r>
      <w:r w:rsidR="00FC1E9D" w:rsidRPr="00F82E89">
        <w:t xml:space="preserve"> 1996; </w:t>
      </w:r>
      <w:r w:rsidRPr="00F82E89">
        <w:t xml:space="preserve">Eschard </w:t>
      </w:r>
      <w:r w:rsidR="00517096" w:rsidRPr="00517096">
        <w:rPr>
          <w:i/>
        </w:rPr>
        <w:t>et al.,</w:t>
      </w:r>
      <w:r w:rsidRPr="00F82E89">
        <w:t xml:space="preserve"> 1998</w:t>
      </w:r>
      <w:r w:rsidR="00A62542" w:rsidRPr="00F82E89">
        <w:t xml:space="preserve">; Puig </w:t>
      </w:r>
      <w:r w:rsidR="00517096" w:rsidRPr="00517096">
        <w:rPr>
          <w:i/>
        </w:rPr>
        <w:t>et al.,</w:t>
      </w:r>
      <w:r w:rsidR="00A62542" w:rsidRPr="00F82E89">
        <w:t xml:space="preserve"> 2019</w:t>
      </w:r>
      <w:r w:rsidRPr="00F82E89">
        <w:t xml:space="preserve">). The thalweg bedform complex has been </w:t>
      </w:r>
      <w:r w:rsidR="00805D68">
        <w:t>characterised as</w:t>
      </w:r>
      <w:r w:rsidR="00805D68" w:rsidRPr="00F82E89">
        <w:t xml:space="preserve"> </w:t>
      </w:r>
      <w:r w:rsidRPr="00F82E89">
        <w:t>non-net as i</w:t>
      </w:r>
      <w:r w:rsidR="00A62542" w:rsidRPr="00F82E89">
        <w:t xml:space="preserve">t is extremely poorly sorted </w:t>
      </w:r>
      <w:r w:rsidR="006164BC">
        <w:t>and contains</w:t>
      </w:r>
      <w:r w:rsidR="006164BC" w:rsidRPr="00F82E89">
        <w:t xml:space="preserve"> </w:t>
      </w:r>
      <w:r w:rsidRPr="00F82E89">
        <w:t>pebble-</w:t>
      </w:r>
      <w:r w:rsidR="00A62542" w:rsidRPr="00F82E89">
        <w:t>grade</w:t>
      </w:r>
      <w:r w:rsidRPr="00F82E89">
        <w:t xml:space="preserve"> material within its </w:t>
      </w:r>
      <w:r w:rsidR="00A62542" w:rsidRPr="00F82E89">
        <w:t xml:space="preserve">sandy </w:t>
      </w:r>
      <w:r w:rsidRPr="00F82E89">
        <w:t xml:space="preserve">matrix. Finally, the inclined heterolithic strata within lateral accretion elements </w:t>
      </w:r>
      <w:r w:rsidR="00A62542" w:rsidRPr="00F82E89">
        <w:t>are considered non-net</w:t>
      </w:r>
      <w:r w:rsidRPr="00F82E89">
        <w:t xml:space="preserve"> (Pranter </w:t>
      </w:r>
      <w:r w:rsidR="00517096" w:rsidRPr="00517096">
        <w:rPr>
          <w:i/>
        </w:rPr>
        <w:t>et al.,</w:t>
      </w:r>
      <w:r w:rsidR="00084323" w:rsidRPr="00F82E89">
        <w:t xml:space="preserve"> </w:t>
      </w:r>
      <w:r w:rsidRPr="00F82E89">
        <w:t xml:space="preserve">2007; Yan </w:t>
      </w:r>
      <w:r w:rsidR="00517096" w:rsidRPr="00517096">
        <w:rPr>
          <w:i/>
        </w:rPr>
        <w:t>et al.,</w:t>
      </w:r>
      <w:r w:rsidRPr="00F82E89">
        <w:t xml:space="preserve"> 2018). The only element</w:t>
      </w:r>
      <w:r w:rsidR="006164BC">
        <w:t>s</w:t>
      </w:r>
      <w:r w:rsidRPr="00F82E89">
        <w:t xml:space="preserve"> within the succession defined as net reservoir </w:t>
      </w:r>
      <w:r w:rsidR="006164BC">
        <w:t>are</w:t>
      </w:r>
      <w:r w:rsidR="006164BC" w:rsidRPr="00F82E89">
        <w:t xml:space="preserve"> </w:t>
      </w:r>
      <w:r w:rsidRPr="00F82E89">
        <w:t>the extremely homogeneous downstream accretion element</w:t>
      </w:r>
      <w:r w:rsidR="006164BC">
        <w:t>s</w:t>
      </w:r>
      <w:r w:rsidR="001D6D2B" w:rsidRPr="00F82E89">
        <w:t xml:space="preserve"> (</w:t>
      </w:r>
      <w:r w:rsidR="00805D68">
        <w:t xml:space="preserve">see </w:t>
      </w:r>
      <w:r w:rsidR="001D6D2B" w:rsidRPr="00F82E89">
        <w:t>Table 2)</w:t>
      </w:r>
      <w:r w:rsidRPr="00F82E89">
        <w:t>.</w:t>
      </w:r>
    </w:p>
    <w:p w:rsidR="004E163C" w:rsidRDefault="00AE534C" w:rsidP="005E08CD">
      <w:pPr>
        <w:rPr>
          <w:shd w:val="clear" w:color="auto" w:fill="FFFFFF"/>
        </w:rPr>
      </w:pPr>
      <w:r>
        <w:rPr>
          <w:shd w:val="clear" w:color="auto" w:fill="FFFFFF"/>
        </w:rPr>
        <w:t xml:space="preserve">The </w:t>
      </w:r>
      <w:r w:rsidRPr="00F82E89">
        <w:rPr>
          <w:shd w:val="clear" w:color="auto" w:fill="FFFFFF"/>
        </w:rPr>
        <w:t>Lower</w:t>
      </w:r>
      <w:r w:rsidR="006164BC" w:rsidRPr="00F82E89">
        <w:rPr>
          <w:shd w:val="clear" w:color="auto" w:fill="FFFFFF"/>
        </w:rPr>
        <w:t xml:space="preserve"> Castlegate Sandstone </w:t>
      </w:r>
      <w:r w:rsidR="000D433F" w:rsidRPr="00F82E89">
        <w:rPr>
          <w:shd w:val="clear" w:color="auto" w:fill="FFFFFF"/>
        </w:rPr>
        <w:t>is mostly comprised of downstream accreting elements</w:t>
      </w:r>
      <w:r w:rsidR="00826B13">
        <w:rPr>
          <w:shd w:val="clear" w:color="auto" w:fill="FFFFFF"/>
        </w:rPr>
        <w:t xml:space="preserve"> (Figure 7)</w:t>
      </w:r>
      <w:r w:rsidR="000D433F" w:rsidRPr="00F82E89">
        <w:rPr>
          <w:shd w:val="clear" w:color="auto" w:fill="FFFFFF"/>
        </w:rPr>
        <w:t xml:space="preserve">, with bar-top channels avulsing and modifying the tops of the elements, preventing full preservation of </w:t>
      </w:r>
      <w:r w:rsidR="00840E37" w:rsidRPr="00F82E89">
        <w:rPr>
          <w:shd w:val="clear" w:color="auto" w:fill="FFFFFF"/>
        </w:rPr>
        <w:t xml:space="preserve">architectural </w:t>
      </w:r>
      <w:r w:rsidR="000D433F" w:rsidRPr="00F82E89">
        <w:rPr>
          <w:shd w:val="clear" w:color="auto" w:fill="FFFFFF"/>
        </w:rPr>
        <w:t>element</w:t>
      </w:r>
      <w:r w:rsidR="00840E37" w:rsidRPr="00F82E89">
        <w:rPr>
          <w:shd w:val="clear" w:color="auto" w:fill="FFFFFF"/>
        </w:rPr>
        <w:t>s</w:t>
      </w:r>
      <w:r w:rsidR="000D433F" w:rsidRPr="00F82E89">
        <w:rPr>
          <w:shd w:val="clear" w:color="auto" w:fill="FFFFFF"/>
        </w:rPr>
        <w:t xml:space="preserve"> success</w:t>
      </w:r>
      <w:r w:rsidR="00840E37" w:rsidRPr="00F82E89">
        <w:rPr>
          <w:shd w:val="clear" w:color="auto" w:fill="FFFFFF"/>
        </w:rPr>
        <w:t>ion</w:t>
      </w:r>
      <w:r w:rsidR="000D433F" w:rsidRPr="00F82E89">
        <w:rPr>
          <w:shd w:val="clear" w:color="auto" w:fill="FFFFFF"/>
        </w:rPr>
        <w:t xml:space="preserve">. Lateral accretion elements only occur where the downstream accretion element is in contact with the channel element. These lateral accretion elements represent small sinuosities in the bar top channels that further cannibalise the bar tops. The net defined strata (downstream accretion element) are connected, as most of the channel elements do not migrate across the complete lateral extent of the element, allowing vertical communication between </w:t>
      </w:r>
      <w:r w:rsidR="006159AB" w:rsidRPr="00F82E89">
        <w:rPr>
          <w:shd w:val="clear" w:color="auto" w:fill="FFFFFF"/>
        </w:rPr>
        <w:t>downstream accreting elements.</w:t>
      </w:r>
    </w:p>
    <w:p w:rsidR="009D6925" w:rsidRDefault="009D6925" w:rsidP="009D6925">
      <w:pPr>
        <w:pStyle w:val="Heading2"/>
      </w:pPr>
      <w:r>
        <w:rPr>
          <w:noProof/>
          <w:lang w:eastAsia="en-GB"/>
        </w:rPr>
        <w:drawing>
          <wp:inline distT="0" distB="0" distL="0" distR="0">
            <wp:extent cx="5731510" cy="24161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_7_mitten_2019_revised.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2416175"/>
                    </a:xfrm>
                    <a:prstGeom prst="rect">
                      <a:avLst/>
                    </a:prstGeom>
                  </pic:spPr>
                </pic:pic>
              </a:graphicData>
            </a:graphic>
          </wp:inline>
        </w:drawing>
      </w:r>
    </w:p>
    <w:p w:rsidR="009D6925" w:rsidRPr="00F82E89" w:rsidRDefault="009D6925" w:rsidP="009D6925">
      <w:r w:rsidRPr="00F82E89">
        <w:rPr>
          <w:b/>
        </w:rPr>
        <w:t xml:space="preserve">Figure </w:t>
      </w:r>
      <w:r>
        <w:rPr>
          <w:b/>
        </w:rPr>
        <w:t>7</w:t>
      </w:r>
      <w:r w:rsidRPr="00F82E89">
        <w:t xml:space="preserve"> – Schematic representation of sedimentary architecture at the Lower Castlegate exposure in Tuscher Canyon, Utah, USA. The schematic has been orientated to show the regional eastward palaeocurrent direction measured from the outcrop exposure. Sedimentary logs and bounding surface hierarchy numbers (Mial</w:t>
      </w:r>
      <w:r>
        <w:t>l,</w:t>
      </w:r>
      <w:r w:rsidRPr="00F82E89">
        <w:t xml:space="preserve"> 1985) show the individual architectural elements idealised succession, with bounding surface annotations indicating the depositional framework. </w:t>
      </w:r>
    </w:p>
    <w:p w:rsidR="000D433F" w:rsidRPr="00F82E89" w:rsidRDefault="000D433F" w:rsidP="00CD1601">
      <w:pPr>
        <w:pStyle w:val="Heading2"/>
        <w:numPr>
          <w:ilvl w:val="1"/>
          <w:numId w:val="1"/>
        </w:numPr>
      </w:pPr>
      <w:r w:rsidRPr="00F82E89">
        <w:t>Jamuna River, northern India</w:t>
      </w:r>
    </w:p>
    <w:p w:rsidR="000D433F" w:rsidRPr="00F82E89" w:rsidRDefault="000D433F" w:rsidP="000D433F">
      <w:r w:rsidRPr="00F82E89">
        <w:t>The studied section of the analysed Jamuna River</w:t>
      </w:r>
      <w:r w:rsidR="006159AB" w:rsidRPr="00F82E89">
        <w:t>, nor</w:t>
      </w:r>
      <w:r w:rsidRPr="00F82E89">
        <w:t xml:space="preserve">thern India, shows a large downstream accreting barform complex; with sub-ordinate channel forms migrating along the bar top (Figure </w:t>
      </w:r>
      <w:r w:rsidR="006413A6">
        <w:t>8</w:t>
      </w:r>
      <w:r w:rsidRPr="00F82E89">
        <w:t>). The downstream accreting bar complex is ~4</w:t>
      </w:r>
      <w:r w:rsidR="00667250" w:rsidRPr="00F82E89">
        <w:t>,</w:t>
      </w:r>
      <w:r w:rsidRPr="00F82E89">
        <w:t>300 m in length and ~3</w:t>
      </w:r>
      <w:r w:rsidR="00667250" w:rsidRPr="00F82E89">
        <w:t>,</w:t>
      </w:r>
      <w:r w:rsidRPr="00F82E89">
        <w:t xml:space="preserve">330 m wide. </w:t>
      </w:r>
    </w:p>
    <w:p w:rsidR="000D433F" w:rsidRDefault="000D433F" w:rsidP="000D433F">
      <w:r w:rsidRPr="00F82E89">
        <w:t>Within the studied barform</w:t>
      </w:r>
      <w:r w:rsidR="006159AB" w:rsidRPr="00F82E89">
        <w:t>,</w:t>
      </w:r>
      <w:r w:rsidRPr="00F82E89">
        <w:t xml:space="preserve"> channel elements are bar-top modification channels, eroding into the larger downstream-accreting element complex. The proportion of these subordinate channels is 35.6% of the totally imaged area. The channels have two distinct groupings of their widths which were ~</w:t>
      </w:r>
      <w:r w:rsidR="00672360">
        <w:t>29</w:t>
      </w:r>
      <w:r w:rsidRPr="00F82E89">
        <w:t>0 m and ~1</w:t>
      </w:r>
      <w:r w:rsidR="00672360">
        <w:t>1</w:t>
      </w:r>
      <w:r w:rsidRPr="00F82E89">
        <w:t>0 m (</w:t>
      </w:r>
      <w:r w:rsidR="00672360">
        <w:t>mean values</w:t>
      </w:r>
      <w:r w:rsidRPr="00F82E89">
        <w:t xml:space="preserve">), dependent on the degree of bifurcation. </w:t>
      </w:r>
    </w:p>
    <w:p w:rsidR="009D6925" w:rsidRDefault="009D6925" w:rsidP="000D433F">
      <w:r>
        <w:rPr>
          <w:noProof/>
          <w:lang w:eastAsia="en-GB"/>
        </w:rPr>
        <w:drawing>
          <wp:inline distT="0" distB="0" distL="0" distR="0">
            <wp:extent cx="5586984" cy="686409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_8_mitten_2019_revised.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86984" cy="6864096"/>
                    </a:xfrm>
                    <a:prstGeom prst="rect">
                      <a:avLst/>
                    </a:prstGeom>
                  </pic:spPr>
                </pic:pic>
              </a:graphicData>
            </a:graphic>
          </wp:inline>
        </w:drawing>
      </w:r>
    </w:p>
    <w:p w:rsidR="009D6925" w:rsidRDefault="009D6925" w:rsidP="009D6925">
      <w:r w:rsidRPr="00F82E89">
        <w:rPr>
          <w:b/>
        </w:rPr>
        <w:t xml:space="preserve">Figure </w:t>
      </w:r>
      <w:r>
        <w:rPr>
          <w:b/>
        </w:rPr>
        <w:t>8</w:t>
      </w:r>
      <w:r w:rsidRPr="00F82E89">
        <w:t xml:space="preserve"> – A) The Jamuna downstream accreting barform in northern India (see Figure 3 for location), annotated with width and length measurements of active and abandoned fluvial sedimentary architectures. B) Interpretive line drawing (see key and text) – note colours are the same as for the Tuscher Canyon outcrop (Figure </w:t>
      </w:r>
      <w:r>
        <w:t>7</w:t>
      </w:r>
      <w:r w:rsidRPr="00F82E89">
        <w:t>). C) Box plots of the width, D) length and E) width:length ratio of sedimentary architectural elements within the interpreted Jamuna River barform complex (CH = Channel element, TB = Thalweg bedform complex, DA = Downstream accretion element, LA = Lateral accretion element). Note the maximum measurements of the downstream accretion element exceeds the scope of the graph.</w:t>
      </w:r>
    </w:p>
    <w:p w:rsidR="000D433F" w:rsidRPr="00F82E89" w:rsidRDefault="000D433F" w:rsidP="000D433F">
      <w:r w:rsidRPr="00F82E89">
        <w:t>The downstream accretion elements dominate the majority of the surface area at 57%. They are confined within major channel margin erosion surface</w:t>
      </w:r>
      <w:r w:rsidR="006159AB" w:rsidRPr="00F82E89">
        <w:t>s</w:t>
      </w:r>
      <w:r w:rsidRPr="00F82E89">
        <w:t xml:space="preserve"> (fourth and fifth-order bounding surfaces; Figure </w:t>
      </w:r>
      <w:r w:rsidR="006413A6">
        <w:t>8</w:t>
      </w:r>
      <w:r w:rsidRPr="00F82E89">
        <w:t xml:space="preserve">) and are eroded by subordinate channel forms (Figure </w:t>
      </w:r>
      <w:r w:rsidR="006413A6">
        <w:t>8</w:t>
      </w:r>
      <w:r w:rsidRPr="00F82E89">
        <w:t xml:space="preserve">). The barforms show a wide range of sizes, but have a consistent width:length ratio of 1:1.3. </w:t>
      </w:r>
      <w:r w:rsidR="006159AB" w:rsidRPr="00F82E89">
        <w:t>Thalweg</w:t>
      </w:r>
      <w:r w:rsidRPr="00F82E89">
        <w:t xml:space="preserve"> barform com</w:t>
      </w:r>
      <w:r w:rsidR="00D0039E" w:rsidRPr="00F82E89">
        <w:t xml:space="preserve">plexes are poorly imaged by </w:t>
      </w:r>
      <w:r w:rsidRPr="00F82E89">
        <w:t xml:space="preserve">satellite due them being </w:t>
      </w:r>
      <w:r w:rsidR="006159AB" w:rsidRPr="00F82E89">
        <w:t>rarely emergent</w:t>
      </w:r>
      <w:r w:rsidRPr="00F82E89">
        <w:t xml:space="preserve"> bedform complexes. These elements are confined within channel forms and appear massive in character, with a width:length ratio of 1.3:3.1 with a maximum length of 400 m (Figure </w:t>
      </w:r>
      <w:r w:rsidR="006413A6">
        <w:t>8</w:t>
      </w:r>
      <w:r w:rsidRPr="00F82E89">
        <w:t xml:space="preserve">).  </w:t>
      </w:r>
    </w:p>
    <w:p w:rsidR="000D433F" w:rsidRPr="00F82E89" w:rsidRDefault="000D433F" w:rsidP="000D433F">
      <w:r w:rsidRPr="00F82E89">
        <w:t xml:space="preserve">Lateral accretion elements represent a low proportion of the bedforms in the image, these are not large point bars but lateral accretion deposits associated with the sinuosity of bar-top modification channels. The architectures are confined within a channel margin (fifth-order) bounding surface and are usually located on the margins of a channel. Typically, the element has a width:length ratio of 1:2 and has a lower surface area proportion compared to what is preserved within the Tuscher Canyon section. This may be due to higher than usual preservation potential, due to the </w:t>
      </w:r>
      <w:r w:rsidR="006159AB" w:rsidRPr="00F82E89">
        <w:t>lateral migration during deposition</w:t>
      </w:r>
      <w:r w:rsidRPr="00F82E89">
        <w:t xml:space="preserve"> of the element, or the imaged bar-top channels are not as sinuous as those preserving lateral accretion within the Castlegate.</w:t>
      </w:r>
    </w:p>
    <w:p w:rsidR="000D433F" w:rsidRPr="00F82E89" w:rsidRDefault="00DB51FB" w:rsidP="00CD1601">
      <w:pPr>
        <w:pStyle w:val="Heading1"/>
        <w:numPr>
          <w:ilvl w:val="0"/>
          <w:numId w:val="1"/>
        </w:numPr>
      </w:pPr>
      <w:r>
        <w:t>Depositional conditioning and t</w:t>
      </w:r>
      <w:r w:rsidR="000D433F" w:rsidRPr="00F82E89">
        <w:t>raining image construction</w:t>
      </w:r>
    </w:p>
    <w:p w:rsidR="0084030D" w:rsidRDefault="00BC3E8D" w:rsidP="002C2F34">
      <w:r>
        <w:t>In</w:t>
      </w:r>
      <w:r w:rsidR="00A15C6E" w:rsidRPr="002C2F34">
        <w:t xml:space="preserve"> studies </w:t>
      </w:r>
      <w:r>
        <w:t>modelling</w:t>
      </w:r>
      <w:r w:rsidR="006100D7">
        <w:t xml:space="preserve"> fluvial strata, either</w:t>
      </w:r>
      <w:r w:rsidR="00A15C6E" w:rsidRPr="002C2F34">
        <w:t xml:space="preserve"> outcrop or modern plan</w:t>
      </w:r>
      <w:r w:rsidR="006100D7">
        <w:t>-</w:t>
      </w:r>
      <w:r w:rsidR="00A15C6E" w:rsidRPr="002C2F34">
        <w:t xml:space="preserve">view data </w:t>
      </w:r>
      <w:r w:rsidR="00966F1E">
        <w:t>are</w:t>
      </w:r>
      <w:r w:rsidR="00A15C6E" w:rsidRPr="002C2F34">
        <w:t xml:space="preserve"> used</w:t>
      </w:r>
      <w:r w:rsidR="00E44E79">
        <w:t xml:space="preserve"> </w:t>
      </w:r>
      <w:r>
        <w:t>to create</w:t>
      </w:r>
      <w:r w:rsidR="00E44E79">
        <w:t xml:space="preserve"> training images</w:t>
      </w:r>
      <w:r w:rsidR="00A15C6E" w:rsidRPr="002C2F34">
        <w:t>. This renders</w:t>
      </w:r>
      <w:r>
        <w:t xml:space="preserve"> the input data </w:t>
      </w:r>
      <w:r w:rsidR="00A15C6E" w:rsidRPr="002C2F34">
        <w:t xml:space="preserve">reliable </w:t>
      </w:r>
      <w:r w:rsidR="00966F1E">
        <w:t>in</w:t>
      </w:r>
      <w:r w:rsidR="00A955B5" w:rsidRPr="00A955B5">
        <w:t xml:space="preserve"> two dimensions </w:t>
      </w:r>
      <w:r>
        <w:t>onl</w:t>
      </w:r>
      <w:r w:rsidR="00A955B5" w:rsidRPr="00A955B5">
        <w:t xml:space="preserve">y and </w:t>
      </w:r>
      <w:r w:rsidR="006100D7">
        <w:t xml:space="preserve">it </w:t>
      </w:r>
      <w:r w:rsidR="00966F1E">
        <w:t>has been shown to be</w:t>
      </w:r>
      <w:r w:rsidR="00A955B5" w:rsidRPr="00A955B5">
        <w:t xml:space="preserve"> a major limitation of training images </w:t>
      </w:r>
      <w:r w:rsidR="00663536">
        <w:t xml:space="preserve">that are </w:t>
      </w:r>
      <w:r w:rsidR="00A955B5" w:rsidRPr="00A955B5">
        <w:t>applied to MPS</w:t>
      </w:r>
      <w:r w:rsidR="00966F1E">
        <w:t xml:space="preserve"> models</w:t>
      </w:r>
      <w:r w:rsidR="00A955B5" w:rsidRPr="00A955B5">
        <w:t xml:space="preserve"> (</w:t>
      </w:r>
      <w:r w:rsidR="00A5173C">
        <w:t>Strebelle</w:t>
      </w:r>
      <w:r w:rsidR="00BD4D38">
        <w:t>,</w:t>
      </w:r>
      <w:r w:rsidR="00A5173C">
        <w:t xml:space="preserve"> 2002; Comunian </w:t>
      </w:r>
      <w:r w:rsidR="00517096" w:rsidRPr="00517096">
        <w:rPr>
          <w:i/>
        </w:rPr>
        <w:t>et al.,</w:t>
      </w:r>
      <w:r w:rsidR="00A5173C">
        <w:t xml:space="preserve"> 2012</w:t>
      </w:r>
      <w:r w:rsidR="00A955B5" w:rsidRPr="00A955B5">
        <w:t>). This work uses quantitative and qualitative data</w:t>
      </w:r>
      <w:r w:rsidR="00966F1E">
        <w:t>,</w:t>
      </w:r>
      <w:r w:rsidR="00A15C6E" w:rsidRPr="002C2F34">
        <w:t xml:space="preserve"> derived from both modern and ancient datasets</w:t>
      </w:r>
      <w:r w:rsidR="00966F1E">
        <w:t>,</w:t>
      </w:r>
      <w:r w:rsidR="00A955B5" w:rsidRPr="00A955B5">
        <w:t xml:space="preserve"> to condition a three dimensional training image. The current study refers to this as depositional conditioning. </w:t>
      </w:r>
      <w:r w:rsidR="006100D7">
        <w:t xml:space="preserve">Concepts of depositional conditioning have </w:t>
      </w:r>
      <w:r w:rsidR="00A955B5" w:rsidRPr="00A955B5">
        <w:t xml:space="preserve">been </w:t>
      </w:r>
      <w:r w:rsidR="00B50461">
        <w:t xml:space="preserve">suggested by </w:t>
      </w:r>
      <w:r w:rsidR="006100D7">
        <w:t xml:space="preserve">previous workers using </w:t>
      </w:r>
      <w:r w:rsidR="00A955B5" w:rsidRPr="00A955B5">
        <w:t xml:space="preserve"> outcrop (</w:t>
      </w:r>
      <w:r w:rsidR="00E524FE">
        <w:t xml:space="preserve">Buckley </w:t>
      </w:r>
      <w:r w:rsidR="00517096" w:rsidRPr="00517096">
        <w:rPr>
          <w:i/>
        </w:rPr>
        <w:t>et al.,</w:t>
      </w:r>
      <w:r w:rsidR="00E524FE">
        <w:t xml:space="preserve"> 2006; </w:t>
      </w:r>
      <w:r w:rsidR="002054A8" w:rsidRPr="00A15C6E">
        <w:t xml:space="preserve">Falivene </w:t>
      </w:r>
      <w:r w:rsidR="00517096" w:rsidRPr="00517096">
        <w:rPr>
          <w:i/>
        </w:rPr>
        <w:t>et al.,</w:t>
      </w:r>
      <w:r w:rsidR="002054A8" w:rsidRPr="00A15C6E">
        <w:t xml:space="preserve"> 2006;</w:t>
      </w:r>
      <w:r w:rsidR="002054A8">
        <w:t xml:space="preserve"> </w:t>
      </w:r>
      <w:r w:rsidR="00E524FE">
        <w:t xml:space="preserve">Cabello </w:t>
      </w:r>
      <w:r w:rsidR="00517096" w:rsidRPr="00517096">
        <w:rPr>
          <w:i/>
        </w:rPr>
        <w:t>et al.,</w:t>
      </w:r>
      <w:r w:rsidR="00E524FE">
        <w:t xml:space="preserve"> 2018</w:t>
      </w:r>
      <w:r w:rsidR="00446DF4">
        <w:t>b</w:t>
      </w:r>
      <w:r w:rsidR="00E524FE">
        <w:t xml:space="preserve">; Puig </w:t>
      </w:r>
      <w:r w:rsidR="00517096" w:rsidRPr="00517096">
        <w:rPr>
          <w:i/>
        </w:rPr>
        <w:t>et al.,</w:t>
      </w:r>
      <w:r w:rsidR="00E524FE">
        <w:t xml:space="preserve"> 2019</w:t>
      </w:r>
      <w:r w:rsidR="00A955B5" w:rsidRPr="00A955B5">
        <w:t xml:space="preserve">) or modern plan view data (Gershenzon </w:t>
      </w:r>
      <w:r w:rsidR="00517096" w:rsidRPr="00517096">
        <w:rPr>
          <w:i/>
        </w:rPr>
        <w:t>et al.,</w:t>
      </w:r>
      <w:r w:rsidR="00A955B5" w:rsidRPr="00A955B5">
        <w:t xml:space="preserve"> 2015</w:t>
      </w:r>
      <w:r w:rsidR="002054A8">
        <w:t xml:space="preserve">; Zhou </w:t>
      </w:r>
      <w:r w:rsidR="00517096" w:rsidRPr="00517096">
        <w:rPr>
          <w:i/>
        </w:rPr>
        <w:t>et al.,</w:t>
      </w:r>
      <w:r w:rsidR="002054A8" w:rsidRPr="00E524FE">
        <w:t xml:space="preserve"> 2018</w:t>
      </w:r>
      <w:r w:rsidR="00A955B5" w:rsidRPr="00A955B5">
        <w:t xml:space="preserve">). </w:t>
      </w:r>
      <w:r w:rsidR="006100D7" w:rsidRPr="00C140EB">
        <w:t xml:space="preserve">The technique </w:t>
      </w:r>
      <w:r>
        <w:t xml:space="preserve">for the development </w:t>
      </w:r>
      <w:r w:rsidR="006100D7" w:rsidRPr="00C140EB">
        <w:t xml:space="preserve">of </w:t>
      </w:r>
      <w:r>
        <w:t>three dimensional</w:t>
      </w:r>
      <w:r w:rsidR="006100D7">
        <w:t xml:space="preserve"> </w:t>
      </w:r>
      <w:r w:rsidR="006100D7" w:rsidRPr="00C140EB">
        <w:t>depositionally condition</w:t>
      </w:r>
      <w:r w:rsidR="006100D7">
        <w:t>ed</w:t>
      </w:r>
      <w:r w:rsidR="006100D7" w:rsidRPr="00C140EB">
        <w:t xml:space="preserve"> training images presented here provides a more geologically realistic basis for reservoir model generation</w:t>
      </w:r>
      <w:r w:rsidR="006100D7">
        <w:t xml:space="preserve"> than working in two dimensions only</w:t>
      </w:r>
      <w:r w:rsidR="006100D7" w:rsidRPr="00C140EB">
        <w:t>.</w:t>
      </w:r>
      <w:r w:rsidR="006100D7">
        <w:t xml:space="preserve"> </w:t>
      </w:r>
    </w:p>
    <w:p w:rsidR="00AA5779" w:rsidRDefault="00A955B5" w:rsidP="002C2F34">
      <w:r w:rsidRPr="00A955B5">
        <w:t>Depositional conditions fall under four categories; (1) the spatial distribution of types of architectural elements relative to others, (2) the dimensions of the elements; 3) the geometric shape of the elements and finally, (4) the relative proportion of element</w:t>
      </w:r>
      <w:r w:rsidR="002054A8">
        <w:t>s</w:t>
      </w:r>
      <w:r w:rsidRPr="00A955B5">
        <w:t xml:space="preserve"> within a total reservoir volume. These standard sedimentary inputs can be used to develop a simple set of conditional rules</w:t>
      </w:r>
      <w:r w:rsidR="00BC3E8D">
        <w:t xml:space="preserve"> for the training image</w:t>
      </w:r>
      <w:r w:rsidR="00263706">
        <w:t>,</w:t>
      </w:r>
      <w:r w:rsidRPr="00A955B5">
        <w:t xml:space="preserve"> derived from empirical patterns of </w:t>
      </w:r>
      <w:r w:rsidR="00BC3E8D" w:rsidRPr="00A955B5">
        <w:t>deposition</w:t>
      </w:r>
      <w:r w:rsidR="00BC3E8D">
        <w:t xml:space="preserve">. </w:t>
      </w:r>
      <w:r w:rsidR="00263706" w:rsidRPr="00263706">
        <w:t xml:space="preserve">The sedimentary characteristics used to develop depositional conditions can be derived </w:t>
      </w:r>
      <w:r w:rsidR="00263706">
        <w:t>for</w:t>
      </w:r>
      <w:r w:rsidR="00263706" w:rsidRPr="00263706">
        <w:t xml:space="preserve"> any representative elementary volume of sediment (Nordhal and Ringrose</w:t>
      </w:r>
      <w:r w:rsidR="00BD4D38">
        <w:t>,</w:t>
      </w:r>
      <w:r w:rsidR="00263706" w:rsidRPr="00263706">
        <w:t xml:space="preserve"> 2008) at or above facies scale, making the approach extremely versatile. </w:t>
      </w:r>
      <w:r w:rsidR="00263706">
        <w:t>Consequently, the</w:t>
      </w:r>
      <w:r w:rsidR="00263706" w:rsidRPr="00263706">
        <w:t xml:space="preserve"> level of heterogeneity applied to a training image may depend upon the specific reservoir complexity, the abundance of data and interpretation, or reservoir type.</w:t>
      </w:r>
    </w:p>
    <w:p w:rsidR="00AA5779" w:rsidRDefault="002054A8" w:rsidP="002C2F34">
      <w:r>
        <w:t>Recent</w:t>
      </w:r>
      <w:r w:rsidR="00A955B5" w:rsidRPr="00A955B5">
        <w:t xml:space="preserve"> studies </w:t>
      </w:r>
      <w:r w:rsidR="00263706">
        <w:t>combine</w:t>
      </w:r>
      <w:r w:rsidR="00A955B5" w:rsidRPr="00A955B5">
        <w:t xml:space="preserve"> multiple datasets to develop</w:t>
      </w:r>
      <w:r w:rsidR="00B50461">
        <w:t xml:space="preserve"> </w:t>
      </w:r>
      <w:r w:rsidR="00A955B5" w:rsidRPr="00A955B5">
        <w:t>librar</w:t>
      </w:r>
      <w:r w:rsidR="00C14C60">
        <w:t>y-</w:t>
      </w:r>
      <w:r w:rsidR="00A955B5" w:rsidRPr="00A955B5">
        <w:t xml:space="preserve">based approaches (e.g. the FAKTS database; Colombera </w:t>
      </w:r>
      <w:r w:rsidR="00517096" w:rsidRPr="00517096">
        <w:rPr>
          <w:i/>
        </w:rPr>
        <w:t>et al.,</w:t>
      </w:r>
      <w:r w:rsidR="00A955B5" w:rsidRPr="00A955B5">
        <w:t xml:space="preserve"> 2012, 2013, 2016a) </w:t>
      </w:r>
      <w:r w:rsidR="00263706">
        <w:t>from which</w:t>
      </w:r>
      <w:r w:rsidR="00C14C60">
        <w:t xml:space="preserve"> quantitative</w:t>
      </w:r>
      <w:r w:rsidR="00A955B5" w:rsidRPr="00A955B5">
        <w:t xml:space="preserve"> conditioning data </w:t>
      </w:r>
      <w:r w:rsidR="00C14C60">
        <w:t xml:space="preserve">can be extracted </w:t>
      </w:r>
      <w:r w:rsidR="00A955B5" w:rsidRPr="00A955B5">
        <w:t xml:space="preserve">for </w:t>
      </w:r>
      <w:r w:rsidR="00C14C60">
        <w:t xml:space="preserve">the construction of sequential indicator simulation and object-based models. Such object based-models could be used for the development of three dimensional training images. </w:t>
      </w:r>
      <w:r w:rsidR="00B50461">
        <w:t xml:space="preserve">These </w:t>
      </w:r>
      <w:r w:rsidR="00663536">
        <w:t>techniques</w:t>
      </w:r>
      <w:r w:rsidR="00A15C6E" w:rsidRPr="002C2F34">
        <w:t xml:space="preserve"> draw upon large amounts of data</w:t>
      </w:r>
      <w:r w:rsidR="00B50461">
        <w:t xml:space="preserve"> to</w:t>
      </w:r>
      <w:r w:rsidR="00A15C6E" w:rsidRPr="002C2F34">
        <w:t xml:space="preserve"> increas</w:t>
      </w:r>
      <w:r w:rsidR="00B50461">
        <w:t>e</w:t>
      </w:r>
      <w:r w:rsidR="00A15C6E" w:rsidRPr="002C2F34">
        <w:t xml:space="preserve"> their </w:t>
      </w:r>
      <w:r w:rsidR="00C14C60">
        <w:t>statistical validity</w:t>
      </w:r>
      <w:r w:rsidR="00A15C6E" w:rsidRPr="002C2F34">
        <w:t>. However, in the absence of such databases</w:t>
      </w:r>
      <w:r>
        <w:t>,</w:t>
      </w:r>
      <w:r w:rsidR="00A15C6E" w:rsidRPr="002C2F34">
        <w:t xml:space="preserve"> depositional conditions must be </w:t>
      </w:r>
      <w:r w:rsidR="005C53FB">
        <w:t>generated</w:t>
      </w:r>
      <w:r w:rsidR="00A15C6E" w:rsidRPr="002C2F34">
        <w:t xml:space="preserve"> from more limited datasets. In this paper, depositional conditions are derived from both an outcrop analogue dataset and a modern-day satellite image, to create a training image that realistically constrains meso-scale heterogeneity, in three dimensions.</w:t>
      </w:r>
      <w:r w:rsidR="0084030D">
        <w:t xml:space="preserve"> The use of standardised sedimentary inputs into training images p</w:t>
      </w:r>
      <w:r w:rsidR="0084030D" w:rsidRPr="00A955B5">
        <w:t>rovid</w:t>
      </w:r>
      <w:r w:rsidR="0084030D">
        <w:t xml:space="preserve">es a step to </w:t>
      </w:r>
      <w:r w:rsidR="0084030D" w:rsidRPr="00A955B5">
        <w:t xml:space="preserve">a reproducible set of input parameters for training images, a </w:t>
      </w:r>
      <w:r w:rsidR="0084030D">
        <w:t xml:space="preserve">common </w:t>
      </w:r>
      <w:r w:rsidR="0084030D" w:rsidRPr="00A955B5">
        <w:t xml:space="preserve">problem </w:t>
      </w:r>
      <w:r w:rsidR="0084030D">
        <w:t>creation</w:t>
      </w:r>
      <w:r w:rsidR="0084030D" w:rsidRPr="00A955B5">
        <w:t xml:space="preserve"> of training images</w:t>
      </w:r>
      <w:r w:rsidR="00D909E0">
        <w:t xml:space="preserve"> (Tahmasebi</w:t>
      </w:r>
      <w:r w:rsidR="00BD4D38">
        <w:t>,</w:t>
      </w:r>
      <w:r w:rsidR="00D909E0">
        <w:t xml:space="preserve"> 2018)</w:t>
      </w:r>
      <w:r w:rsidR="0084030D" w:rsidRPr="00A955B5">
        <w:t>.</w:t>
      </w:r>
    </w:p>
    <w:p w:rsidR="004E2583" w:rsidRDefault="004E2583" w:rsidP="004E2583">
      <w:r w:rsidRPr="00F82E89">
        <w:t>The training image</w:t>
      </w:r>
      <w:r w:rsidR="00C14C60">
        <w:t xml:space="preserve">, presented here, </w:t>
      </w:r>
      <w:r w:rsidR="00663536">
        <w:t>is</w:t>
      </w:r>
      <w:r w:rsidR="00663536" w:rsidRPr="00F82E89">
        <w:t xml:space="preserve"> </w:t>
      </w:r>
      <w:r w:rsidR="00CE2C7C" w:rsidRPr="00F82E89">
        <w:t>produced in a simple three-</w:t>
      </w:r>
      <w:r w:rsidRPr="00F82E89">
        <w:t>dimensional grid generated in Schlumberger</w:t>
      </w:r>
      <w:r w:rsidRPr="00F82E89">
        <w:rPr>
          <w:rFonts w:cs="Times New Roman"/>
        </w:rPr>
        <w:t>™</w:t>
      </w:r>
      <w:r w:rsidRPr="00F82E89">
        <w:t xml:space="preserve"> Petrel v.2016 software, using the top and base of the Tuscher Outcrop as deterministic surfaces (Enge </w:t>
      </w:r>
      <w:r w:rsidR="00517096" w:rsidRPr="00517096">
        <w:rPr>
          <w:i/>
        </w:rPr>
        <w:t>et al.,</w:t>
      </w:r>
      <w:r w:rsidRPr="00F82E89">
        <w:t xml:space="preserve"> 2007</w:t>
      </w:r>
      <w:r w:rsidR="00CE2C7C" w:rsidRPr="00F82E89">
        <w:t xml:space="preserve">). The simple grid </w:t>
      </w:r>
      <w:r w:rsidR="00663536">
        <w:t>is</w:t>
      </w:r>
      <w:r w:rsidR="00663536" w:rsidRPr="00F82E89">
        <w:t xml:space="preserve"> </w:t>
      </w:r>
      <w:r w:rsidR="00663536">
        <w:t>a single zone,</w:t>
      </w:r>
      <w:r w:rsidR="00663536" w:rsidRPr="00F82E89">
        <w:t xml:space="preserve"> </w:t>
      </w:r>
      <w:r w:rsidRPr="00F82E89">
        <w:t>1</w:t>
      </w:r>
      <w:r w:rsidR="00667250" w:rsidRPr="00F82E89">
        <w:t>,</w:t>
      </w:r>
      <w:r w:rsidRPr="00F82E89">
        <w:t xml:space="preserve">000 </w:t>
      </w:r>
      <w:r w:rsidR="00667250" w:rsidRPr="00F82E89">
        <w:t xml:space="preserve">m </w:t>
      </w:r>
      <w:r w:rsidRPr="00F82E89">
        <w:t>x 1</w:t>
      </w:r>
      <w:r w:rsidR="00667250" w:rsidRPr="00F82E89">
        <w:t>,</w:t>
      </w:r>
      <w:r w:rsidRPr="00F82E89">
        <w:t xml:space="preserve">000 </w:t>
      </w:r>
      <w:r w:rsidR="00667250" w:rsidRPr="00F82E89">
        <w:t xml:space="preserve">m </w:t>
      </w:r>
      <w:r w:rsidRPr="00F82E89">
        <w:t>x 20</w:t>
      </w:r>
      <w:r w:rsidR="00667250" w:rsidRPr="00F82E89">
        <w:t xml:space="preserve"> </w:t>
      </w:r>
      <w:r w:rsidRPr="00F82E89">
        <w:t>m</w:t>
      </w:r>
      <w:r w:rsidR="00663536">
        <w:t xml:space="preserve">, with </w:t>
      </w:r>
      <w:r w:rsidR="00C14C60">
        <w:t xml:space="preserve">a </w:t>
      </w:r>
      <w:r w:rsidR="00C14C60" w:rsidRPr="00F82E89">
        <w:t>cell</w:t>
      </w:r>
      <w:r w:rsidR="00663536" w:rsidRPr="00F82E89">
        <w:t xml:space="preserve"> resolution </w:t>
      </w:r>
      <w:r w:rsidR="00663536">
        <w:t>of</w:t>
      </w:r>
      <w:r w:rsidRPr="00F82E89">
        <w:t xml:space="preserve"> 10 </w:t>
      </w:r>
      <w:r w:rsidR="00667250" w:rsidRPr="00F82E89">
        <w:t xml:space="preserve">m </w:t>
      </w:r>
      <w:r w:rsidRPr="00F82E89">
        <w:t>x</w:t>
      </w:r>
      <w:r w:rsidR="00667250" w:rsidRPr="00F82E89">
        <w:t xml:space="preserve"> </w:t>
      </w:r>
      <w:r w:rsidRPr="00F82E89">
        <w:t xml:space="preserve">10 </w:t>
      </w:r>
      <w:r w:rsidR="00667250" w:rsidRPr="00F82E89">
        <w:t xml:space="preserve">m </w:t>
      </w:r>
      <w:r w:rsidRPr="00F82E89">
        <w:t>x</w:t>
      </w:r>
      <w:r w:rsidR="00667250" w:rsidRPr="00F82E89">
        <w:t xml:space="preserve"> </w:t>
      </w:r>
      <w:r w:rsidRPr="00F82E89">
        <w:t>0.</w:t>
      </w:r>
      <w:r w:rsidR="00CE2C7C" w:rsidRPr="00F82E89">
        <w:t xml:space="preserve">5 m. The </w:t>
      </w:r>
      <w:r w:rsidR="001C528E">
        <w:t>training image</w:t>
      </w:r>
      <w:r w:rsidR="001C528E" w:rsidRPr="00F82E89">
        <w:t xml:space="preserve"> </w:t>
      </w:r>
      <w:r w:rsidRPr="00F82E89">
        <w:t>was manually</w:t>
      </w:r>
      <w:r w:rsidR="00CE2C7C" w:rsidRPr="00F82E89">
        <w:t xml:space="preserve"> filled </w:t>
      </w:r>
      <w:r w:rsidR="001C528E">
        <w:t xml:space="preserve">by </w:t>
      </w:r>
      <w:r w:rsidR="00011883">
        <w:t xml:space="preserve">digitally </w:t>
      </w:r>
      <w:r w:rsidR="001C528E">
        <w:t>painting the simple grid with the proportions, geometries, dimensions and juxtaposition of elements highlighted in the</w:t>
      </w:r>
      <w:r w:rsidR="00CE2C7C" w:rsidRPr="00F82E89">
        <w:t xml:space="preserve"> quantitative three-</w:t>
      </w:r>
      <w:r w:rsidRPr="00F82E89">
        <w:t xml:space="preserve">dimensional geological concept model </w:t>
      </w:r>
      <w:r w:rsidR="001C528E">
        <w:t xml:space="preserve">(Figure 7) </w:t>
      </w:r>
      <w:r w:rsidRPr="00F82E89">
        <w:t xml:space="preserve">that used </w:t>
      </w:r>
      <w:r w:rsidR="00CE2C7C" w:rsidRPr="00F82E89">
        <w:t>the depositional conditions</w:t>
      </w:r>
      <w:r w:rsidRPr="00F82E89">
        <w:t xml:space="preserve"> </w:t>
      </w:r>
      <w:r w:rsidR="00CE2C7C" w:rsidRPr="00F82E89">
        <w:t xml:space="preserve">(Table 3) </w:t>
      </w:r>
      <w:r w:rsidRPr="00F82E89">
        <w:t xml:space="preserve">extracted from the outcrop and modern study. </w:t>
      </w:r>
      <w:r w:rsidR="00DB51FB" w:rsidRPr="00F82E89">
        <w:t xml:space="preserve">The Castlegate outcrop at Tuscher Canyon provides </w:t>
      </w:r>
      <w:r w:rsidR="002B5CBE">
        <w:t>constraints</w:t>
      </w:r>
      <w:r w:rsidR="00DB51FB">
        <w:t xml:space="preserve"> for</w:t>
      </w:r>
      <w:r w:rsidR="00DB51FB" w:rsidRPr="00F82E89">
        <w:t xml:space="preserve"> the cross-sectional plane (parallel to flow; Figure </w:t>
      </w:r>
      <w:r w:rsidR="00DB51FB">
        <w:t>9</w:t>
      </w:r>
      <w:r w:rsidR="00DB51FB" w:rsidRPr="00F82E89">
        <w:t xml:space="preserve">) as this is the orientation of the studied section. The plan view (Figure </w:t>
      </w:r>
      <w:r w:rsidR="00DB51FB">
        <w:t>9</w:t>
      </w:r>
      <w:r w:rsidR="00DB51FB" w:rsidRPr="00F82E89">
        <w:t xml:space="preserve">) is </w:t>
      </w:r>
      <w:r w:rsidR="00DB51FB">
        <w:t>constrained</w:t>
      </w:r>
      <w:r w:rsidR="00DB51FB" w:rsidRPr="00F82E89">
        <w:t xml:space="preserve"> by the modern day Jamuna River data (Howell </w:t>
      </w:r>
      <w:r w:rsidR="00517096" w:rsidRPr="00517096">
        <w:rPr>
          <w:i/>
        </w:rPr>
        <w:t>et al.,</w:t>
      </w:r>
      <w:r w:rsidR="00DB51FB" w:rsidRPr="00F82E89">
        <w:t xml:space="preserve"> 2014).</w:t>
      </w:r>
      <w:r w:rsidR="00DB51FB">
        <w:t xml:space="preserve"> </w:t>
      </w:r>
      <w:r w:rsidRPr="00F82E89">
        <w:t>The target fractions (elementary proportions)</w:t>
      </w:r>
      <w:r w:rsidR="005C53FB">
        <w:t>,</w:t>
      </w:r>
      <w:r w:rsidRPr="00F82E89">
        <w:t xml:space="preserve"> elem</w:t>
      </w:r>
      <w:r w:rsidR="00667250" w:rsidRPr="00F82E89">
        <w:t>ent dimensions and geometries w</w:t>
      </w:r>
      <w:r w:rsidRPr="00F82E89">
        <w:t xml:space="preserve">ere monitored </w:t>
      </w:r>
      <w:r w:rsidR="001C528E">
        <w:t xml:space="preserve">during the painting of the three dimensional volume </w:t>
      </w:r>
      <w:r w:rsidRPr="00F82E89">
        <w:t xml:space="preserve">to ensure input data </w:t>
      </w:r>
      <w:r w:rsidR="00663536">
        <w:t>were</w:t>
      </w:r>
      <w:r w:rsidR="00663536" w:rsidRPr="00F82E89">
        <w:t xml:space="preserve"> </w:t>
      </w:r>
      <w:r w:rsidRPr="00F82E89">
        <w:t xml:space="preserve">matched. </w:t>
      </w:r>
      <w:r w:rsidR="001C528E">
        <w:t xml:space="preserve">Corrections were made iteratively to the training image until the manually filled simple grid honoured the input parameters (or depositional conditions) developed from the </w:t>
      </w:r>
      <w:r w:rsidR="005C53FB">
        <w:t>input datasets</w:t>
      </w:r>
      <w:r w:rsidR="001C528E">
        <w: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817"/>
        <w:gridCol w:w="2580"/>
        <w:gridCol w:w="851"/>
        <w:gridCol w:w="992"/>
        <w:gridCol w:w="1134"/>
        <w:gridCol w:w="2410"/>
      </w:tblGrid>
      <w:tr w:rsidR="009D6925" w:rsidRPr="00171068" w:rsidTr="00ED0AF5">
        <w:tc>
          <w:tcPr>
            <w:tcW w:w="817" w:type="dxa"/>
          </w:tcPr>
          <w:p w:rsidR="009D6925" w:rsidRPr="00171068" w:rsidRDefault="009D6925" w:rsidP="00ED0AF5">
            <w:pPr>
              <w:pStyle w:val="NoSpacing"/>
              <w:rPr>
                <w:sz w:val="18"/>
              </w:rPr>
            </w:pPr>
            <w:r w:rsidRPr="00171068">
              <w:rPr>
                <w:sz w:val="18"/>
              </w:rPr>
              <w:t>Archi-tectural element</w:t>
            </w:r>
          </w:p>
        </w:tc>
        <w:tc>
          <w:tcPr>
            <w:tcW w:w="2580" w:type="dxa"/>
          </w:tcPr>
          <w:p w:rsidR="009D6925" w:rsidRPr="00171068" w:rsidRDefault="009D6925" w:rsidP="00ED0AF5">
            <w:pPr>
              <w:pStyle w:val="NoSpacing"/>
              <w:rPr>
                <w:sz w:val="18"/>
              </w:rPr>
            </w:pPr>
            <w:r w:rsidRPr="00171068">
              <w:rPr>
                <w:sz w:val="18"/>
              </w:rPr>
              <w:t>(1) Distributions</w:t>
            </w:r>
          </w:p>
        </w:tc>
        <w:tc>
          <w:tcPr>
            <w:tcW w:w="1843" w:type="dxa"/>
            <w:gridSpan w:val="2"/>
          </w:tcPr>
          <w:p w:rsidR="009D6925" w:rsidRPr="00171068" w:rsidRDefault="009D6925" w:rsidP="00ED0AF5">
            <w:pPr>
              <w:pStyle w:val="NoSpacing"/>
              <w:rPr>
                <w:sz w:val="18"/>
              </w:rPr>
            </w:pPr>
            <w:r w:rsidRPr="00171068">
              <w:rPr>
                <w:sz w:val="18"/>
              </w:rPr>
              <w:t>(2) Dimensions</w:t>
            </w:r>
          </w:p>
        </w:tc>
        <w:tc>
          <w:tcPr>
            <w:tcW w:w="1134" w:type="dxa"/>
          </w:tcPr>
          <w:p w:rsidR="009D6925" w:rsidRPr="00171068" w:rsidRDefault="009D6925" w:rsidP="00ED0AF5">
            <w:pPr>
              <w:pStyle w:val="NoSpacing"/>
              <w:rPr>
                <w:sz w:val="18"/>
              </w:rPr>
            </w:pPr>
            <w:r w:rsidRPr="00171068">
              <w:rPr>
                <w:sz w:val="18"/>
              </w:rPr>
              <w:t>(3) Proportion</w:t>
            </w:r>
          </w:p>
        </w:tc>
        <w:tc>
          <w:tcPr>
            <w:tcW w:w="2410" w:type="dxa"/>
          </w:tcPr>
          <w:p w:rsidR="009D6925" w:rsidRPr="00171068" w:rsidRDefault="009D6925" w:rsidP="00ED0AF5">
            <w:pPr>
              <w:pStyle w:val="NoSpacing"/>
              <w:rPr>
                <w:sz w:val="18"/>
              </w:rPr>
            </w:pPr>
            <w:r w:rsidRPr="00171068">
              <w:rPr>
                <w:sz w:val="18"/>
              </w:rPr>
              <w:t>(4) Geometry</w:t>
            </w:r>
          </w:p>
        </w:tc>
      </w:tr>
      <w:tr w:rsidR="009D6925" w:rsidRPr="00171068" w:rsidTr="00ED0AF5">
        <w:trPr>
          <w:trHeight w:val="770"/>
        </w:trPr>
        <w:tc>
          <w:tcPr>
            <w:tcW w:w="817" w:type="dxa"/>
            <w:vMerge w:val="restart"/>
          </w:tcPr>
          <w:p w:rsidR="009D6925" w:rsidRPr="00171068" w:rsidRDefault="009D6925" w:rsidP="00ED0AF5">
            <w:pPr>
              <w:pStyle w:val="NoSpacing"/>
              <w:rPr>
                <w:sz w:val="18"/>
              </w:rPr>
            </w:pPr>
            <w:r w:rsidRPr="00171068">
              <w:rPr>
                <w:sz w:val="18"/>
              </w:rPr>
              <w:t>Channel Fill (CH)</w:t>
            </w:r>
          </w:p>
        </w:tc>
        <w:tc>
          <w:tcPr>
            <w:tcW w:w="2580" w:type="dxa"/>
            <w:vMerge w:val="restart"/>
          </w:tcPr>
          <w:p w:rsidR="009D6925" w:rsidRPr="00171068" w:rsidRDefault="009D6925" w:rsidP="00ED0AF5">
            <w:pPr>
              <w:pStyle w:val="NoSpacing"/>
              <w:rPr>
                <w:sz w:val="18"/>
              </w:rPr>
            </w:pPr>
            <w:r w:rsidRPr="00171068">
              <w:rPr>
                <w:sz w:val="18"/>
              </w:rPr>
              <w:t>Subordinate CH elements cross cut DA.</w:t>
            </w:r>
          </w:p>
          <w:p w:rsidR="009D6925" w:rsidRPr="00171068" w:rsidRDefault="009D6925" w:rsidP="00ED0AF5">
            <w:pPr>
              <w:pStyle w:val="NoSpacing"/>
              <w:rPr>
                <w:sz w:val="18"/>
              </w:rPr>
            </w:pPr>
          </w:p>
        </w:tc>
        <w:tc>
          <w:tcPr>
            <w:tcW w:w="851" w:type="dxa"/>
          </w:tcPr>
          <w:p w:rsidR="009D6925" w:rsidRPr="00171068" w:rsidRDefault="009D6925" w:rsidP="00ED0AF5">
            <w:pPr>
              <w:pStyle w:val="NoSpacing"/>
              <w:rPr>
                <w:sz w:val="18"/>
              </w:rPr>
            </w:pPr>
            <w:r w:rsidRPr="00171068">
              <w:rPr>
                <w:sz w:val="18"/>
              </w:rPr>
              <w:t>length</w:t>
            </w:r>
          </w:p>
        </w:tc>
        <w:tc>
          <w:tcPr>
            <w:tcW w:w="992" w:type="dxa"/>
          </w:tcPr>
          <w:p w:rsidR="009D6925" w:rsidRPr="00171068" w:rsidRDefault="009D6925" w:rsidP="00ED0AF5">
            <w:pPr>
              <w:pStyle w:val="NoSpacing"/>
              <w:rPr>
                <w:sz w:val="18"/>
              </w:rPr>
            </w:pPr>
            <w:r w:rsidRPr="00171068">
              <w:rPr>
                <w:sz w:val="18"/>
              </w:rPr>
              <w:t>N/A</w:t>
            </w:r>
          </w:p>
        </w:tc>
        <w:tc>
          <w:tcPr>
            <w:tcW w:w="1134" w:type="dxa"/>
            <w:vMerge w:val="restart"/>
          </w:tcPr>
          <w:p w:rsidR="009D6925" w:rsidRPr="00171068" w:rsidRDefault="009D6925" w:rsidP="00ED0AF5">
            <w:pPr>
              <w:pStyle w:val="NoSpacing"/>
              <w:rPr>
                <w:sz w:val="18"/>
              </w:rPr>
            </w:pPr>
            <w:r w:rsidRPr="00171068">
              <w:rPr>
                <w:sz w:val="18"/>
              </w:rPr>
              <w:t>26 %</w:t>
            </w:r>
          </w:p>
        </w:tc>
        <w:tc>
          <w:tcPr>
            <w:tcW w:w="2410" w:type="dxa"/>
            <w:vMerge w:val="restart"/>
          </w:tcPr>
          <w:p w:rsidR="009D6925" w:rsidRPr="00171068" w:rsidRDefault="009D6925" w:rsidP="00ED0AF5">
            <w:pPr>
              <w:pStyle w:val="NoSpacing"/>
              <w:rPr>
                <w:sz w:val="18"/>
              </w:rPr>
            </w:pPr>
            <w:r w:rsidRPr="00171068">
              <w:rPr>
                <w:sz w:val="18"/>
              </w:rPr>
              <w:t>Plan: Ribbon</w:t>
            </w:r>
          </w:p>
          <w:p w:rsidR="009D6925" w:rsidRPr="00171068" w:rsidRDefault="009D6925" w:rsidP="00ED0AF5">
            <w:pPr>
              <w:pStyle w:val="NoSpacing"/>
              <w:rPr>
                <w:sz w:val="18"/>
              </w:rPr>
            </w:pPr>
            <w:r w:rsidRPr="00171068">
              <w:rPr>
                <w:sz w:val="18"/>
              </w:rPr>
              <w:t>Cross-section: Lensoidal</w:t>
            </w:r>
          </w:p>
        </w:tc>
      </w:tr>
      <w:tr w:rsidR="009D6925" w:rsidRPr="00171068" w:rsidTr="00ED0AF5">
        <w:trPr>
          <w:trHeight w:val="768"/>
        </w:trPr>
        <w:tc>
          <w:tcPr>
            <w:tcW w:w="817" w:type="dxa"/>
            <w:vMerge/>
          </w:tcPr>
          <w:p w:rsidR="009D6925" w:rsidRPr="00171068" w:rsidRDefault="009D6925" w:rsidP="00ED0AF5">
            <w:pPr>
              <w:pStyle w:val="NoSpacing"/>
              <w:rPr>
                <w:sz w:val="18"/>
              </w:rPr>
            </w:pPr>
          </w:p>
        </w:tc>
        <w:tc>
          <w:tcPr>
            <w:tcW w:w="2580" w:type="dxa"/>
            <w:vMerge/>
          </w:tcPr>
          <w:p w:rsidR="009D6925" w:rsidRPr="00171068" w:rsidRDefault="009D6925" w:rsidP="00ED0AF5">
            <w:pPr>
              <w:pStyle w:val="NoSpacing"/>
              <w:rPr>
                <w:sz w:val="18"/>
              </w:rPr>
            </w:pPr>
          </w:p>
        </w:tc>
        <w:tc>
          <w:tcPr>
            <w:tcW w:w="851" w:type="dxa"/>
          </w:tcPr>
          <w:p w:rsidR="009D6925" w:rsidRPr="00171068" w:rsidRDefault="009D6925" w:rsidP="00ED0AF5">
            <w:pPr>
              <w:pStyle w:val="NoSpacing"/>
              <w:rPr>
                <w:sz w:val="18"/>
              </w:rPr>
            </w:pPr>
            <w:r w:rsidRPr="00171068">
              <w:rPr>
                <w:sz w:val="18"/>
              </w:rPr>
              <w:t>width</w:t>
            </w:r>
          </w:p>
        </w:tc>
        <w:tc>
          <w:tcPr>
            <w:tcW w:w="992" w:type="dxa"/>
          </w:tcPr>
          <w:p w:rsidR="009D6925" w:rsidRPr="00171068" w:rsidRDefault="009D6925" w:rsidP="00ED0AF5">
            <w:pPr>
              <w:pStyle w:val="NoSpacing"/>
              <w:rPr>
                <w:sz w:val="18"/>
              </w:rPr>
            </w:pPr>
            <w:r w:rsidRPr="00171068">
              <w:rPr>
                <w:sz w:val="18"/>
              </w:rPr>
              <w:t>Min:</w:t>
            </w:r>
          </w:p>
          <w:p w:rsidR="009D6925" w:rsidRPr="00171068" w:rsidRDefault="009D6925" w:rsidP="00ED0AF5">
            <w:pPr>
              <w:pStyle w:val="NoSpacing"/>
              <w:rPr>
                <w:sz w:val="18"/>
              </w:rPr>
            </w:pPr>
            <w:r w:rsidRPr="00171068">
              <w:rPr>
                <w:sz w:val="18"/>
              </w:rPr>
              <w:t>90 m Max:</w:t>
            </w:r>
          </w:p>
          <w:p w:rsidR="009D6925" w:rsidRPr="00171068" w:rsidRDefault="009D6925" w:rsidP="00ED0AF5">
            <w:pPr>
              <w:pStyle w:val="NoSpacing"/>
              <w:rPr>
                <w:sz w:val="18"/>
              </w:rPr>
            </w:pPr>
            <w:r w:rsidRPr="00171068">
              <w:rPr>
                <w:sz w:val="18"/>
              </w:rPr>
              <w:t>400 m</w:t>
            </w:r>
          </w:p>
        </w:tc>
        <w:tc>
          <w:tcPr>
            <w:tcW w:w="1134" w:type="dxa"/>
            <w:vMerge/>
          </w:tcPr>
          <w:p w:rsidR="009D6925" w:rsidRPr="00171068" w:rsidRDefault="009D6925" w:rsidP="00ED0AF5">
            <w:pPr>
              <w:pStyle w:val="NoSpacing"/>
              <w:rPr>
                <w:sz w:val="18"/>
              </w:rPr>
            </w:pPr>
          </w:p>
        </w:tc>
        <w:tc>
          <w:tcPr>
            <w:tcW w:w="2410" w:type="dxa"/>
            <w:vMerge/>
          </w:tcPr>
          <w:p w:rsidR="009D6925" w:rsidRPr="00171068" w:rsidRDefault="009D6925" w:rsidP="00ED0AF5">
            <w:pPr>
              <w:pStyle w:val="NoSpacing"/>
              <w:rPr>
                <w:sz w:val="18"/>
              </w:rPr>
            </w:pPr>
          </w:p>
        </w:tc>
      </w:tr>
      <w:tr w:rsidR="009D6925" w:rsidRPr="00171068" w:rsidTr="00ED0AF5">
        <w:trPr>
          <w:trHeight w:val="768"/>
        </w:trPr>
        <w:tc>
          <w:tcPr>
            <w:tcW w:w="817" w:type="dxa"/>
            <w:vMerge/>
            <w:tcBorders>
              <w:bottom w:val="nil"/>
            </w:tcBorders>
          </w:tcPr>
          <w:p w:rsidR="009D6925" w:rsidRPr="00171068" w:rsidRDefault="009D6925" w:rsidP="00ED0AF5">
            <w:pPr>
              <w:pStyle w:val="NoSpacing"/>
              <w:rPr>
                <w:sz w:val="18"/>
              </w:rPr>
            </w:pPr>
          </w:p>
        </w:tc>
        <w:tc>
          <w:tcPr>
            <w:tcW w:w="2580" w:type="dxa"/>
            <w:vMerge/>
            <w:tcBorders>
              <w:bottom w:val="nil"/>
            </w:tcBorders>
          </w:tcPr>
          <w:p w:rsidR="009D6925" w:rsidRPr="00171068" w:rsidRDefault="009D6925" w:rsidP="00ED0AF5">
            <w:pPr>
              <w:pStyle w:val="NoSpacing"/>
              <w:rPr>
                <w:sz w:val="18"/>
              </w:rPr>
            </w:pPr>
          </w:p>
        </w:tc>
        <w:tc>
          <w:tcPr>
            <w:tcW w:w="851" w:type="dxa"/>
          </w:tcPr>
          <w:p w:rsidR="009D6925" w:rsidRPr="00171068" w:rsidRDefault="009D6925" w:rsidP="00ED0AF5">
            <w:pPr>
              <w:pStyle w:val="NoSpacing"/>
              <w:rPr>
                <w:sz w:val="18"/>
              </w:rPr>
            </w:pPr>
            <w:r w:rsidRPr="00171068">
              <w:rPr>
                <w:sz w:val="18"/>
              </w:rPr>
              <w:t>depth</w:t>
            </w:r>
          </w:p>
        </w:tc>
        <w:tc>
          <w:tcPr>
            <w:tcW w:w="992" w:type="dxa"/>
          </w:tcPr>
          <w:p w:rsidR="009D6925" w:rsidRPr="00171068" w:rsidRDefault="009D6925" w:rsidP="00ED0AF5">
            <w:pPr>
              <w:pStyle w:val="NoSpacing"/>
              <w:rPr>
                <w:sz w:val="18"/>
              </w:rPr>
            </w:pPr>
            <w:r w:rsidRPr="00171068">
              <w:rPr>
                <w:sz w:val="18"/>
              </w:rPr>
              <w:t>Min:</w:t>
            </w:r>
          </w:p>
          <w:p w:rsidR="009D6925" w:rsidRPr="00171068" w:rsidRDefault="009D6925" w:rsidP="00ED0AF5">
            <w:pPr>
              <w:pStyle w:val="NoSpacing"/>
              <w:rPr>
                <w:sz w:val="18"/>
              </w:rPr>
            </w:pPr>
            <w:r w:rsidRPr="00171068">
              <w:rPr>
                <w:sz w:val="18"/>
              </w:rPr>
              <w:t>1 m</w:t>
            </w:r>
          </w:p>
          <w:p w:rsidR="009D6925" w:rsidRPr="00171068" w:rsidRDefault="009D6925" w:rsidP="00ED0AF5">
            <w:pPr>
              <w:pStyle w:val="NoSpacing"/>
              <w:rPr>
                <w:sz w:val="18"/>
              </w:rPr>
            </w:pPr>
            <w:r w:rsidRPr="00171068">
              <w:rPr>
                <w:sz w:val="18"/>
              </w:rPr>
              <w:t xml:space="preserve">Max: </w:t>
            </w:r>
          </w:p>
          <w:p w:rsidR="009D6925" w:rsidRPr="00171068" w:rsidRDefault="009D6925" w:rsidP="00ED0AF5">
            <w:pPr>
              <w:pStyle w:val="NoSpacing"/>
              <w:rPr>
                <w:sz w:val="18"/>
              </w:rPr>
            </w:pPr>
            <w:r w:rsidRPr="00171068">
              <w:rPr>
                <w:sz w:val="18"/>
              </w:rPr>
              <w:t>8 m</w:t>
            </w:r>
          </w:p>
        </w:tc>
        <w:tc>
          <w:tcPr>
            <w:tcW w:w="1134" w:type="dxa"/>
            <w:vMerge/>
            <w:tcBorders>
              <w:bottom w:val="nil"/>
            </w:tcBorders>
          </w:tcPr>
          <w:p w:rsidR="009D6925" w:rsidRPr="00171068" w:rsidRDefault="009D6925" w:rsidP="00ED0AF5">
            <w:pPr>
              <w:pStyle w:val="NoSpacing"/>
              <w:rPr>
                <w:sz w:val="18"/>
              </w:rPr>
            </w:pPr>
          </w:p>
        </w:tc>
        <w:tc>
          <w:tcPr>
            <w:tcW w:w="2410" w:type="dxa"/>
            <w:vMerge/>
            <w:tcBorders>
              <w:bottom w:val="nil"/>
            </w:tcBorders>
          </w:tcPr>
          <w:p w:rsidR="009D6925" w:rsidRPr="00171068" w:rsidRDefault="009D6925" w:rsidP="00ED0AF5">
            <w:pPr>
              <w:pStyle w:val="NoSpacing"/>
              <w:rPr>
                <w:sz w:val="18"/>
              </w:rPr>
            </w:pPr>
          </w:p>
        </w:tc>
      </w:tr>
      <w:tr w:rsidR="009D6925" w:rsidRPr="00171068" w:rsidTr="00ED0AF5">
        <w:trPr>
          <w:trHeight w:val="768"/>
        </w:trPr>
        <w:tc>
          <w:tcPr>
            <w:tcW w:w="817" w:type="dxa"/>
            <w:tcBorders>
              <w:top w:val="nil"/>
              <w:bottom w:val="nil"/>
            </w:tcBorders>
          </w:tcPr>
          <w:p w:rsidR="009D6925" w:rsidRPr="00171068" w:rsidRDefault="009D6925" w:rsidP="00ED0AF5">
            <w:pPr>
              <w:pStyle w:val="NoSpacing"/>
              <w:rPr>
                <w:sz w:val="18"/>
              </w:rPr>
            </w:pPr>
          </w:p>
        </w:tc>
        <w:tc>
          <w:tcPr>
            <w:tcW w:w="2580" w:type="dxa"/>
            <w:tcBorders>
              <w:top w:val="nil"/>
              <w:bottom w:val="nil"/>
            </w:tcBorders>
          </w:tcPr>
          <w:p w:rsidR="009D6925" w:rsidRPr="00171068" w:rsidRDefault="009D6925" w:rsidP="00ED0AF5">
            <w:pPr>
              <w:pStyle w:val="NoSpacing"/>
              <w:rPr>
                <w:sz w:val="18"/>
              </w:rPr>
            </w:pPr>
          </w:p>
        </w:tc>
        <w:tc>
          <w:tcPr>
            <w:tcW w:w="851" w:type="dxa"/>
          </w:tcPr>
          <w:p w:rsidR="009D6925" w:rsidRPr="00171068" w:rsidRDefault="009D6925" w:rsidP="00ED0AF5">
            <w:pPr>
              <w:pStyle w:val="NoSpacing"/>
              <w:rPr>
                <w:sz w:val="18"/>
              </w:rPr>
            </w:pPr>
            <w:r w:rsidRPr="00171068">
              <w:rPr>
                <w:sz w:val="18"/>
              </w:rPr>
              <w:t>Sinuosity amplitude</w:t>
            </w:r>
          </w:p>
        </w:tc>
        <w:tc>
          <w:tcPr>
            <w:tcW w:w="992" w:type="dxa"/>
          </w:tcPr>
          <w:p w:rsidR="009D6925" w:rsidRPr="00171068" w:rsidRDefault="009D6925" w:rsidP="00ED0AF5">
            <w:pPr>
              <w:pStyle w:val="NoSpacing"/>
              <w:rPr>
                <w:sz w:val="18"/>
              </w:rPr>
            </w:pPr>
            <w:r w:rsidRPr="00171068">
              <w:rPr>
                <w:sz w:val="18"/>
              </w:rPr>
              <w:t>Min:</w:t>
            </w:r>
          </w:p>
          <w:p w:rsidR="009D6925" w:rsidRPr="00171068" w:rsidRDefault="009D6925" w:rsidP="00ED0AF5">
            <w:pPr>
              <w:pStyle w:val="NoSpacing"/>
              <w:rPr>
                <w:sz w:val="18"/>
              </w:rPr>
            </w:pPr>
            <w:r w:rsidRPr="00171068">
              <w:rPr>
                <w:sz w:val="18"/>
              </w:rPr>
              <w:t>50 m</w:t>
            </w:r>
          </w:p>
          <w:p w:rsidR="009D6925" w:rsidRPr="00171068" w:rsidRDefault="009D6925" w:rsidP="00ED0AF5">
            <w:pPr>
              <w:pStyle w:val="NoSpacing"/>
              <w:rPr>
                <w:sz w:val="18"/>
              </w:rPr>
            </w:pPr>
            <w:r w:rsidRPr="00171068">
              <w:rPr>
                <w:sz w:val="18"/>
              </w:rPr>
              <w:t>Max:</w:t>
            </w:r>
          </w:p>
          <w:p w:rsidR="009D6925" w:rsidRPr="00171068" w:rsidRDefault="009D6925" w:rsidP="00ED0AF5">
            <w:pPr>
              <w:pStyle w:val="NoSpacing"/>
              <w:rPr>
                <w:sz w:val="18"/>
              </w:rPr>
            </w:pPr>
            <w:r w:rsidRPr="00171068">
              <w:rPr>
                <w:sz w:val="18"/>
              </w:rPr>
              <w:t>575 m</w:t>
            </w:r>
          </w:p>
        </w:tc>
        <w:tc>
          <w:tcPr>
            <w:tcW w:w="1134" w:type="dxa"/>
            <w:tcBorders>
              <w:top w:val="nil"/>
              <w:bottom w:val="nil"/>
            </w:tcBorders>
          </w:tcPr>
          <w:p w:rsidR="009D6925" w:rsidRPr="00171068" w:rsidRDefault="009D6925" w:rsidP="00ED0AF5">
            <w:pPr>
              <w:pStyle w:val="NoSpacing"/>
              <w:rPr>
                <w:sz w:val="18"/>
              </w:rPr>
            </w:pPr>
          </w:p>
        </w:tc>
        <w:tc>
          <w:tcPr>
            <w:tcW w:w="2410" w:type="dxa"/>
            <w:tcBorders>
              <w:top w:val="nil"/>
              <w:bottom w:val="nil"/>
            </w:tcBorders>
          </w:tcPr>
          <w:p w:rsidR="009D6925" w:rsidRPr="00171068" w:rsidRDefault="009D6925" w:rsidP="00ED0AF5">
            <w:pPr>
              <w:pStyle w:val="NoSpacing"/>
              <w:rPr>
                <w:sz w:val="18"/>
              </w:rPr>
            </w:pPr>
          </w:p>
        </w:tc>
      </w:tr>
      <w:tr w:rsidR="009D6925" w:rsidRPr="00171068" w:rsidTr="00ED0AF5">
        <w:trPr>
          <w:trHeight w:val="768"/>
        </w:trPr>
        <w:tc>
          <w:tcPr>
            <w:tcW w:w="817" w:type="dxa"/>
            <w:tcBorders>
              <w:top w:val="nil"/>
            </w:tcBorders>
          </w:tcPr>
          <w:p w:rsidR="009D6925" w:rsidRPr="00171068" w:rsidRDefault="009D6925" w:rsidP="00ED0AF5">
            <w:pPr>
              <w:pStyle w:val="NoSpacing"/>
              <w:rPr>
                <w:sz w:val="18"/>
              </w:rPr>
            </w:pPr>
          </w:p>
        </w:tc>
        <w:tc>
          <w:tcPr>
            <w:tcW w:w="2580" w:type="dxa"/>
            <w:tcBorders>
              <w:top w:val="nil"/>
            </w:tcBorders>
          </w:tcPr>
          <w:p w:rsidR="009D6925" w:rsidRPr="00171068" w:rsidRDefault="009D6925" w:rsidP="00ED0AF5">
            <w:pPr>
              <w:pStyle w:val="NoSpacing"/>
              <w:rPr>
                <w:sz w:val="18"/>
              </w:rPr>
            </w:pPr>
          </w:p>
        </w:tc>
        <w:tc>
          <w:tcPr>
            <w:tcW w:w="851" w:type="dxa"/>
          </w:tcPr>
          <w:p w:rsidR="009D6925" w:rsidRPr="00171068" w:rsidRDefault="009D6925" w:rsidP="00ED0AF5">
            <w:pPr>
              <w:pStyle w:val="NoSpacing"/>
              <w:rPr>
                <w:sz w:val="18"/>
              </w:rPr>
            </w:pPr>
            <w:r w:rsidRPr="00171068">
              <w:rPr>
                <w:sz w:val="18"/>
              </w:rPr>
              <w:t>Sinuosity wavelength</w:t>
            </w:r>
          </w:p>
        </w:tc>
        <w:tc>
          <w:tcPr>
            <w:tcW w:w="992" w:type="dxa"/>
          </w:tcPr>
          <w:p w:rsidR="009D6925" w:rsidRPr="00171068" w:rsidRDefault="009D6925" w:rsidP="00ED0AF5">
            <w:pPr>
              <w:pStyle w:val="NoSpacing"/>
              <w:rPr>
                <w:sz w:val="18"/>
              </w:rPr>
            </w:pPr>
            <w:r w:rsidRPr="00171068">
              <w:rPr>
                <w:sz w:val="18"/>
              </w:rPr>
              <w:t xml:space="preserve">Min: </w:t>
            </w:r>
          </w:p>
          <w:p w:rsidR="009D6925" w:rsidRPr="00171068" w:rsidRDefault="009D6925" w:rsidP="00ED0AF5">
            <w:pPr>
              <w:pStyle w:val="NoSpacing"/>
              <w:rPr>
                <w:sz w:val="18"/>
              </w:rPr>
            </w:pPr>
            <w:r w:rsidRPr="00171068">
              <w:rPr>
                <w:sz w:val="18"/>
              </w:rPr>
              <w:t>370 m</w:t>
            </w:r>
          </w:p>
          <w:p w:rsidR="009D6925" w:rsidRPr="00171068" w:rsidRDefault="009D6925" w:rsidP="00ED0AF5">
            <w:pPr>
              <w:pStyle w:val="NoSpacing"/>
              <w:rPr>
                <w:sz w:val="18"/>
              </w:rPr>
            </w:pPr>
            <w:r w:rsidRPr="00171068">
              <w:rPr>
                <w:sz w:val="18"/>
              </w:rPr>
              <w:t>Max:</w:t>
            </w:r>
          </w:p>
          <w:p w:rsidR="009D6925" w:rsidRPr="00171068" w:rsidRDefault="009D6925" w:rsidP="00ED0AF5">
            <w:pPr>
              <w:pStyle w:val="NoSpacing"/>
              <w:rPr>
                <w:sz w:val="18"/>
              </w:rPr>
            </w:pPr>
            <w:r w:rsidRPr="00171068">
              <w:rPr>
                <w:sz w:val="18"/>
              </w:rPr>
              <w:t xml:space="preserve">3400 m </w:t>
            </w:r>
          </w:p>
        </w:tc>
        <w:tc>
          <w:tcPr>
            <w:tcW w:w="1134" w:type="dxa"/>
            <w:tcBorders>
              <w:top w:val="nil"/>
            </w:tcBorders>
          </w:tcPr>
          <w:p w:rsidR="009D6925" w:rsidRPr="00171068" w:rsidRDefault="009D6925" w:rsidP="00ED0AF5">
            <w:pPr>
              <w:pStyle w:val="NoSpacing"/>
              <w:rPr>
                <w:sz w:val="18"/>
              </w:rPr>
            </w:pPr>
          </w:p>
        </w:tc>
        <w:tc>
          <w:tcPr>
            <w:tcW w:w="2410" w:type="dxa"/>
            <w:tcBorders>
              <w:top w:val="nil"/>
            </w:tcBorders>
          </w:tcPr>
          <w:p w:rsidR="009D6925" w:rsidRPr="00171068" w:rsidRDefault="009D6925" w:rsidP="00ED0AF5">
            <w:pPr>
              <w:pStyle w:val="NoSpacing"/>
              <w:rPr>
                <w:sz w:val="18"/>
              </w:rPr>
            </w:pPr>
          </w:p>
        </w:tc>
      </w:tr>
      <w:tr w:rsidR="009D6925" w:rsidRPr="00171068" w:rsidTr="00ED0AF5">
        <w:trPr>
          <w:trHeight w:val="189"/>
        </w:trPr>
        <w:tc>
          <w:tcPr>
            <w:tcW w:w="817" w:type="dxa"/>
            <w:vMerge w:val="restart"/>
          </w:tcPr>
          <w:p w:rsidR="009D6925" w:rsidRPr="00171068" w:rsidRDefault="009D6925" w:rsidP="00ED0AF5">
            <w:pPr>
              <w:pStyle w:val="NoSpacing"/>
              <w:rPr>
                <w:sz w:val="18"/>
              </w:rPr>
            </w:pPr>
            <w:r w:rsidRPr="00171068">
              <w:rPr>
                <w:sz w:val="18"/>
              </w:rPr>
              <w:t>Thalweg barformcomplex (TB)</w:t>
            </w:r>
          </w:p>
        </w:tc>
        <w:tc>
          <w:tcPr>
            <w:tcW w:w="2580" w:type="dxa"/>
            <w:vMerge w:val="restart"/>
          </w:tcPr>
          <w:p w:rsidR="009D6925" w:rsidRPr="00171068" w:rsidRDefault="009D6925" w:rsidP="00ED0AF5">
            <w:pPr>
              <w:pStyle w:val="NoSpacing"/>
              <w:rPr>
                <w:sz w:val="18"/>
              </w:rPr>
            </w:pPr>
            <w:r w:rsidRPr="00171068">
              <w:rPr>
                <w:sz w:val="18"/>
              </w:rPr>
              <w:t>TB must be confined within CH.</w:t>
            </w:r>
          </w:p>
        </w:tc>
        <w:tc>
          <w:tcPr>
            <w:tcW w:w="851" w:type="dxa"/>
          </w:tcPr>
          <w:p w:rsidR="009D6925" w:rsidRPr="00171068" w:rsidRDefault="009D6925" w:rsidP="00ED0AF5">
            <w:pPr>
              <w:pStyle w:val="NoSpacing"/>
              <w:rPr>
                <w:sz w:val="18"/>
              </w:rPr>
            </w:pPr>
            <w:r w:rsidRPr="00171068">
              <w:rPr>
                <w:sz w:val="18"/>
              </w:rPr>
              <w:t>length</w:t>
            </w:r>
          </w:p>
        </w:tc>
        <w:tc>
          <w:tcPr>
            <w:tcW w:w="992" w:type="dxa"/>
          </w:tcPr>
          <w:p w:rsidR="009D6925" w:rsidRPr="00171068" w:rsidRDefault="009D6925" w:rsidP="00ED0AF5">
            <w:pPr>
              <w:pStyle w:val="NoSpacing"/>
              <w:rPr>
                <w:sz w:val="18"/>
              </w:rPr>
            </w:pPr>
            <w:r w:rsidRPr="00171068">
              <w:rPr>
                <w:sz w:val="18"/>
              </w:rPr>
              <w:t xml:space="preserve">Min: </w:t>
            </w:r>
          </w:p>
          <w:p w:rsidR="009D6925" w:rsidRPr="00171068" w:rsidRDefault="009D6925" w:rsidP="00ED0AF5">
            <w:pPr>
              <w:pStyle w:val="NoSpacing"/>
              <w:rPr>
                <w:sz w:val="18"/>
              </w:rPr>
            </w:pPr>
            <w:r w:rsidRPr="00171068">
              <w:rPr>
                <w:sz w:val="18"/>
              </w:rPr>
              <w:t>50 m</w:t>
            </w:r>
          </w:p>
          <w:p w:rsidR="009D6925" w:rsidRPr="00171068" w:rsidRDefault="009D6925" w:rsidP="00ED0AF5">
            <w:pPr>
              <w:pStyle w:val="NoSpacing"/>
              <w:rPr>
                <w:sz w:val="18"/>
              </w:rPr>
            </w:pPr>
            <w:r w:rsidRPr="00171068">
              <w:rPr>
                <w:sz w:val="18"/>
              </w:rPr>
              <w:t xml:space="preserve">Max: </w:t>
            </w:r>
          </w:p>
          <w:p w:rsidR="009D6925" w:rsidRPr="00171068" w:rsidRDefault="009D6925" w:rsidP="00ED0AF5">
            <w:pPr>
              <w:pStyle w:val="NoSpacing"/>
              <w:rPr>
                <w:sz w:val="18"/>
              </w:rPr>
            </w:pPr>
            <w:r w:rsidRPr="00171068">
              <w:rPr>
                <w:sz w:val="18"/>
              </w:rPr>
              <w:t>400 m</w:t>
            </w:r>
          </w:p>
        </w:tc>
        <w:tc>
          <w:tcPr>
            <w:tcW w:w="1134" w:type="dxa"/>
            <w:vMerge w:val="restart"/>
          </w:tcPr>
          <w:p w:rsidR="009D6925" w:rsidRPr="00171068" w:rsidRDefault="009D6925" w:rsidP="00ED0AF5">
            <w:pPr>
              <w:pStyle w:val="NoSpacing"/>
              <w:rPr>
                <w:sz w:val="18"/>
              </w:rPr>
            </w:pPr>
            <w:r w:rsidRPr="00171068">
              <w:rPr>
                <w:sz w:val="18"/>
              </w:rPr>
              <w:t>8* %</w:t>
            </w:r>
          </w:p>
        </w:tc>
        <w:tc>
          <w:tcPr>
            <w:tcW w:w="2410" w:type="dxa"/>
            <w:vMerge w:val="restart"/>
          </w:tcPr>
          <w:p w:rsidR="009D6925" w:rsidRPr="00171068" w:rsidRDefault="009D6925" w:rsidP="00ED0AF5">
            <w:pPr>
              <w:pStyle w:val="NoSpacing"/>
              <w:rPr>
                <w:sz w:val="18"/>
              </w:rPr>
            </w:pPr>
            <w:r w:rsidRPr="00171068">
              <w:rPr>
                <w:sz w:val="18"/>
              </w:rPr>
              <w:t>Plan: Irregular asymmetric lens</w:t>
            </w:r>
          </w:p>
          <w:p w:rsidR="009D6925" w:rsidRPr="00171068" w:rsidRDefault="009D6925" w:rsidP="00ED0AF5">
            <w:pPr>
              <w:pStyle w:val="NoSpacing"/>
              <w:rPr>
                <w:sz w:val="18"/>
              </w:rPr>
            </w:pPr>
            <w:r w:rsidRPr="00171068">
              <w:rPr>
                <w:sz w:val="18"/>
              </w:rPr>
              <w:t>Cross-section: Lensoidal</w:t>
            </w:r>
          </w:p>
        </w:tc>
      </w:tr>
      <w:tr w:rsidR="009D6925" w:rsidRPr="00171068" w:rsidTr="00ED0AF5">
        <w:trPr>
          <w:trHeight w:val="188"/>
        </w:trPr>
        <w:tc>
          <w:tcPr>
            <w:tcW w:w="817" w:type="dxa"/>
            <w:vMerge/>
          </w:tcPr>
          <w:p w:rsidR="009D6925" w:rsidRPr="00171068" w:rsidRDefault="009D6925" w:rsidP="00ED0AF5">
            <w:pPr>
              <w:pStyle w:val="NoSpacing"/>
              <w:rPr>
                <w:sz w:val="18"/>
              </w:rPr>
            </w:pPr>
          </w:p>
        </w:tc>
        <w:tc>
          <w:tcPr>
            <w:tcW w:w="2580" w:type="dxa"/>
            <w:vMerge/>
          </w:tcPr>
          <w:p w:rsidR="009D6925" w:rsidRPr="00171068" w:rsidRDefault="009D6925" w:rsidP="00ED0AF5">
            <w:pPr>
              <w:pStyle w:val="NoSpacing"/>
              <w:rPr>
                <w:sz w:val="18"/>
              </w:rPr>
            </w:pPr>
          </w:p>
        </w:tc>
        <w:tc>
          <w:tcPr>
            <w:tcW w:w="851" w:type="dxa"/>
          </w:tcPr>
          <w:p w:rsidR="009D6925" w:rsidRPr="00171068" w:rsidRDefault="009D6925" w:rsidP="00ED0AF5">
            <w:pPr>
              <w:pStyle w:val="NoSpacing"/>
              <w:rPr>
                <w:sz w:val="18"/>
              </w:rPr>
            </w:pPr>
            <w:r w:rsidRPr="00171068">
              <w:rPr>
                <w:sz w:val="18"/>
              </w:rPr>
              <w:t>width</w:t>
            </w:r>
          </w:p>
        </w:tc>
        <w:tc>
          <w:tcPr>
            <w:tcW w:w="992" w:type="dxa"/>
          </w:tcPr>
          <w:p w:rsidR="009D6925" w:rsidRPr="00171068" w:rsidRDefault="009D6925" w:rsidP="00ED0AF5">
            <w:pPr>
              <w:pStyle w:val="NoSpacing"/>
              <w:rPr>
                <w:sz w:val="18"/>
              </w:rPr>
            </w:pPr>
            <w:r w:rsidRPr="00171068">
              <w:rPr>
                <w:sz w:val="18"/>
              </w:rPr>
              <w:t>Min:</w:t>
            </w:r>
          </w:p>
          <w:p w:rsidR="009D6925" w:rsidRPr="00171068" w:rsidRDefault="009D6925" w:rsidP="00ED0AF5">
            <w:pPr>
              <w:pStyle w:val="NoSpacing"/>
              <w:rPr>
                <w:sz w:val="18"/>
              </w:rPr>
            </w:pPr>
            <w:r w:rsidRPr="00171068">
              <w:rPr>
                <w:sz w:val="18"/>
              </w:rPr>
              <w:t>50 m</w:t>
            </w:r>
          </w:p>
          <w:p w:rsidR="009D6925" w:rsidRPr="00171068" w:rsidRDefault="009D6925" w:rsidP="00ED0AF5">
            <w:pPr>
              <w:pStyle w:val="NoSpacing"/>
              <w:rPr>
                <w:sz w:val="18"/>
              </w:rPr>
            </w:pPr>
            <w:r w:rsidRPr="00171068">
              <w:rPr>
                <w:sz w:val="18"/>
              </w:rPr>
              <w:t xml:space="preserve">Max: </w:t>
            </w:r>
          </w:p>
          <w:p w:rsidR="009D6925" w:rsidRPr="00171068" w:rsidRDefault="009D6925" w:rsidP="00ED0AF5">
            <w:pPr>
              <w:pStyle w:val="NoSpacing"/>
              <w:rPr>
                <w:sz w:val="18"/>
              </w:rPr>
            </w:pPr>
            <w:r w:rsidRPr="00171068">
              <w:rPr>
                <w:sz w:val="18"/>
              </w:rPr>
              <w:t>300 m</w:t>
            </w:r>
          </w:p>
        </w:tc>
        <w:tc>
          <w:tcPr>
            <w:tcW w:w="1134" w:type="dxa"/>
            <w:vMerge/>
          </w:tcPr>
          <w:p w:rsidR="009D6925" w:rsidRPr="00171068" w:rsidRDefault="009D6925" w:rsidP="00ED0AF5">
            <w:pPr>
              <w:pStyle w:val="NoSpacing"/>
              <w:rPr>
                <w:sz w:val="18"/>
              </w:rPr>
            </w:pPr>
          </w:p>
        </w:tc>
        <w:tc>
          <w:tcPr>
            <w:tcW w:w="2410" w:type="dxa"/>
            <w:vMerge/>
          </w:tcPr>
          <w:p w:rsidR="009D6925" w:rsidRPr="00171068" w:rsidRDefault="009D6925" w:rsidP="00ED0AF5">
            <w:pPr>
              <w:pStyle w:val="NoSpacing"/>
              <w:rPr>
                <w:sz w:val="18"/>
              </w:rPr>
            </w:pPr>
          </w:p>
        </w:tc>
      </w:tr>
      <w:tr w:rsidR="009D6925" w:rsidRPr="00171068" w:rsidTr="00ED0AF5">
        <w:trPr>
          <w:trHeight w:val="188"/>
        </w:trPr>
        <w:tc>
          <w:tcPr>
            <w:tcW w:w="817" w:type="dxa"/>
            <w:vMerge/>
          </w:tcPr>
          <w:p w:rsidR="009D6925" w:rsidRPr="00171068" w:rsidRDefault="009D6925" w:rsidP="00ED0AF5">
            <w:pPr>
              <w:pStyle w:val="NoSpacing"/>
              <w:rPr>
                <w:sz w:val="18"/>
              </w:rPr>
            </w:pPr>
          </w:p>
        </w:tc>
        <w:tc>
          <w:tcPr>
            <w:tcW w:w="2580" w:type="dxa"/>
            <w:vMerge/>
          </w:tcPr>
          <w:p w:rsidR="009D6925" w:rsidRPr="00171068" w:rsidRDefault="009D6925" w:rsidP="00ED0AF5">
            <w:pPr>
              <w:pStyle w:val="NoSpacing"/>
              <w:rPr>
                <w:sz w:val="18"/>
              </w:rPr>
            </w:pPr>
          </w:p>
        </w:tc>
        <w:tc>
          <w:tcPr>
            <w:tcW w:w="851" w:type="dxa"/>
          </w:tcPr>
          <w:p w:rsidR="009D6925" w:rsidRPr="00171068" w:rsidRDefault="009D6925" w:rsidP="00ED0AF5">
            <w:pPr>
              <w:pStyle w:val="NoSpacing"/>
              <w:rPr>
                <w:sz w:val="18"/>
              </w:rPr>
            </w:pPr>
            <w:r w:rsidRPr="00171068">
              <w:rPr>
                <w:sz w:val="18"/>
              </w:rPr>
              <w:t>depth</w:t>
            </w:r>
          </w:p>
        </w:tc>
        <w:tc>
          <w:tcPr>
            <w:tcW w:w="992" w:type="dxa"/>
          </w:tcPr>
          <w:p w:rsidR="009D6925" w:rsidRPr="00171068" w:rsidRDefault="009D6925" w:rsidP="00ED0AF5">
            <w:pPr>
              <w:pStyle w:val="NoSpacing"/>
              <w:rPr>
                <w:sz w:val="18"/>
              </w:rPr>
            </w:pPr>
            <w:r w:rsidRPr="00171068">
              <w:rPr>
                <w:sz w:val="18"/>
              </w:rPr>
              <w:t>Min:</w:t>
            </w:r>
          </w:p>
          <w:p w:rsidR="009D6925" w:rsidRPr="00171068" w:rsidRDefault="009D6925" w:rsidP="00ED0AF5">
            <w:pPr>
              <w:pStyle w:val="NoSpacing"/>
              <w:rPr>
                <w:sz w:val="18"/>
              </w:rPr>
            </w:pPr>
            <w:r w:rsidRPr="00171068">
              <w:rPr>
                <w:sz w:val="18"/>
              </w:rPr>
              <w:t>1 m</w:t>
            </w:r>
          </w:p>
          <w:p w:rsidR="009D6925" w:rsidRPr="00171068" w:rsidRDefault="009D6925" w:rsidP="00ED0AF5">
            <w:pPr>
              <w:pStyle w:val="NoSpacing"/>
              <w:rPr>
                <w:sz w:val="18"/>
              </w:rPr>
            </w:pPr>
            <w:r w:rsidRPr="00171068">
              <w:rPr>
                <w:sz w:val="18"/>
              </w:rPr>
              <w:t>Max:</w:t>
            </w:r>
          </w:p>
          <w:p w:rsidR="009D6925" w:rsidRPr="00171068" w:rsidRDefault="009D6925" w:rsidP="00ED0AF5">
            <w:pPr>
              <w:pStyle w:val="NoSpacing"/>
              <w:rPr>
                <w:sz w:val="18"/>
              </w:rPr>
            </w:pPr>
            <w:r w:rsidRPr="00171068">
              <w:rPr>
                <w:sz w:val="18"/>
              </w:rPr>
              <w:t>3 m</w:t>
            </w:r>
          </w:p>
        </w:tc>
        <w:tc>
          <w:tcPr>
            <w:tcW w:w="1134" w:type="dxa"/>
            <w:vMerge/>
          </w:tcPr>
          <w:p w:rsidR="009D6925" w:rsidRPr="00171068" w:rsidRDefault="009D6925" w:rsidP="00ED0AF5">
            <w:pPr>
              <w:pStyle w:val="NoSpacing"/>
              <w:rPr>
                <w:sz w:val="18"/>
              </w:rPr>
            </w:pPr>
          </w:p>
        </w:tc>
        <w:tc>
          <w:tcPr>
            <w:tcW w:w="2410" w:type="dxa"/>
            <w:vMerge/>
          </w:tcPr>
          <w:p w:rsidR="009D6925" w:rsidRPr="00171068" w:rsidRDefault="009D6925" w:rsidP="00ED0AF5">
            <w:pPr>
              <w:pStyle w:val="NoSpacing"/>
              <w:rPr>
                <w:sz w:val="18"/>
              </w:rPr>
            </w:pPr>
          </w:p>
        </w:tc>
      </w:tr>
      <w:tr w:rsidR="009D6925" w:rsidRPr="00171068" w:rsidTr="00ED0AF5">
        <w:trPr>
          <w:trHeight w:val="252"/>
        </w:trPr>
        <w:tc>
          <w:tcPr>
            <w:tcW w:w="817" w:type="dxa"/>
            <w:vMerge w:val="restart"/>
          </w:tcPr>
          <w:p w:rsidR="009D6925" w:rsidRPr="00171068" w:rsidRDefault="009D6925" w:rsidP="00ED0AF5">
            <w:pPr>
              <w:pStyle w:val="NoSpacing"/>
              <w:rPr>
                <w:sz w:val="18"/>
              </w:rPr>
            </w:pPr>
            <w:r w:rsidRPr="00171068">
              <w:rPr>
                <w:sz w:val="18"/>
              </w:rPr>
              <w:t>Lateral Accretion (LA)</w:t>
            </w:r>
          </w:p>
        </w:tc>
        <w:tc>
          <w:tcPr>
            <w:tcW w:w="2580" w:type="dxa"/>
            <w:vMerge w:val="restart"/>
          </w:tcPr>
          <w:p w:rsidR="009D6925" w:rsidRPr="00171068" w:rsidRDefault="009D6925" w:rsidP="00ED0AF5">
            <w:pPr>
              <w:pStyle w:val="NoSpacing"/>
              <w:rPr>
                <w:sz w:val="18"/>
              </w:rPr>
            </w:pPr>
            <w:r w:rsidRPr="00171068">
              <w:rPr>
                <w:sz w:val="18"/>
              </w:rPr>
              <w:t>LA must be located at the CH/DA boundary.</w:t>
            </w:r>
          </w:p>
        </w:tc>
        <w:tc>
          <w:tcPr>
            <w:tcW w:w="851" w:type="dxa"/>
          </w:tcPr>
          <w:p w:rsidR="009D6925" w:rsidRPr="00171068" w:rsidRDefault="009D6925" w:rsidP="00ED0AF5">
            <w:pPr>
              <w:pStyle w:val="NoSpacing"/>
              <w:rPr>
                <w:sz w:val="18"/>
              </w:rPr>
            </w:pPr>
            <w:r w:rsidRPr="00171068">
              <w:rPr>
                <w:sz w:val="18"/>
              </w:rPr>
              <w:t>length</w:t>
            </w:r>
          </w:p>
        </w:tc>
        <w:tc>
          <w:tcPr>
            <w:tcW w:w="992" w:type="dxa"/>
          </w:tcPr>
          <w:p w:rsidR="009D6925" w:rsidRPr="00171068" w:rsidRDefault="009D6925" w:rsidP="00ED0AF5">
            <w:pPr>
              <w:pStyle w:val="NoSpacing"/>
              <w:rPr>
                <w:sz w:val="18"/>
              </w:rPr>
            </w:pPr>
            <w:r w:rsidRPr="00171068">
              <w:rPr>
                <w:sz w:val="18"/>
              </w:rPr>
              <w:t>Min:</w:t>
            </w:r>
          </w:p>
          <w:p w:rsidR="009D6925" w:rsidRPr="00171068" w:rsidRDefault="009D6925" w:rsidP="00ED0AF5">
            <w:pPr>
              <w:pStyle w:val="NoSpacing"/>
              <w:rPr>
                <w:sz w:val="18"/>
              </w:rPr>
            </w:pPr>
            <w:r w:rsidRPr="00171068">
              <w:rPr>
                <w:sz w:val="18"/>
              </w:rPr>
              <w:t>150 m</w:t>
            </w:r>
          </w:p>
          <w:p w:rsidR="009D6925" w:rsidRPr="00171068" w:rsidRDefault="009D6925" w:rsidP="00ED0AF5">
            <w:pPr>
              <w:pStyle w:val="NoSpacing"/>
              <w:rPr>
                <w:sz w:val="18"/>
              </w:rPr>
            </w:pPr>
            <w:r w:rsidRPr="00171068">
              <w:rPr>
                <w:sz w:val="18"/>
              </w:rPr>
              <w:t>Max:</w:t>
            </w:r>
          </w:p>
          <w:p w:rsidR="009D6925" w:rsidRPr="00171068" w:rsidRDefault="009D6925" w:rsidP="00ED0AF5">
            <w:pPr>
              <w:pStyle w:val="NoSpacing"/>
              <w:rPr>
                <w:sz w:val="18"/>
              </w:rPr>
            </w:pPr>
            <w:r w:rsidRPr="00171068">
              <w:rPr>
                <w:sz w:val="18"/>
              </w:rPr>
              <w:t>800 m</w:t>
            </w:r>
          </w:p>
        </w:tc>
        <w:tc>
          <w:tcPr>
            <w:tcW w:w="1134" w:type="dxa"/>
            <w:vMerge w:val="restart"/>
          </w:tcPr>
          <w:p w:rsidR="009D6925" w:rsidRPr="00171068" w:rsidRDefault="009D6925" w:rsidP="00ED0AF5">
            <w:pPr>
              <w:pStyle w:val="NoSpacing"/>
              <w:rPr>
                <w:sz w:val="18"/>
              </w:rPr>
            </w:pPr>
            <w:r w:rsidRPr="00171068">
              <w:rPr>
                <w:sz w:val="18"/>
              </w:rPr>
              <w:t>14* %</w:t>
            </w:r>
          </w:p>
        </w:tc>
        <w:tc>
          <w:tcPr>
            <w:tcW w:w="2410" w:type="dxa"/>
            <w:vMerge w:val="restart"/>
          </w:tcPr>
          <w:p w:rsidR="009D6925" w:rsidRPr="00171068" w:rsidRDefault="009D6925" w:rsidP="00ED0AF5">
            <w:pPr>
              <w:pStyle w:val="NoSpacing"/>
              <w:rPr>
                <w:sz w:val="18"/>
              </w:rPr>
            </w:pPr>
            <w:r w:rsidRPr="00171068">
              <w:rPr>
                <w:sz w:val="18"/>
              </w:rPr>
              <w:t>Plan: Lensoidal</w:t>
            </w:r>
          </w:p>
          <w:p w:rsidR="009D6925" w:rsidRPr="00171068" w:rsidRDefault="009D6925" w:rsidP="00ED0AF5">
            <w:pPr>
              <w:pStyle w:val="NoSpacing"/>
              <w:rPr>
                <w:sz w:val="18"/>
              </w:rPr>
            </w:pPr>
            <w:r w:rsidRPr="00171068">
              <w:rPr>
                <w:sz w:val="18"/>
              </w:rPr>
              <w:t>Cross-section: Tabular</w:t>
            </w:r>
          </w:p>
        </w:tc>
      </w:tr>
      <w:tr w:rsidR="009D6925" w:rsidRPr="00171068" w:rsidTr="00ED0AF5">
        <w:trPr>
          <w:trHeight w:val="252"/>
        </w:trPr>
        <w:tc>
          <w:tcPr>
            <w:tcW w:w="817" w:type="dxa"/>
            <w:vMerge/>
          </w:tcPr>
          <w:p w:rsidR="009D6925" w:rsidRPr="00171068" w:rsidRDefault="009D6925" w:rsidP="00ED0AF5">
            <w:pPr>
              <w:pStyle w:val="NoSpacing"/>
              <w:rPr>
                <w:sz w:val="18"/>
              </w:rPr>
            </w:pPr>
          </w:p>
        </w:tc>
        <w:tc>
          <w:tcPr>
            <w:tcW w:w="2580" w:type="dxa"/>
            <w:vMerge/>
          </w:tcPr>
          <w:p w:rsidR="009D6925" w:rsidRPr="00171068" w:rsidRDefault="009D6925" w:rsidP="00ED0AF5">
            <w:pPr>
              <w:pStyle w:val="NoSpacing"/>
              <w:rPr>
                <w:sz w:val="18"/>
              </w:rPr>
            </w:pPr>
          </w:p>
        </w:tc>
        <w:tc>
          <w:tcPr>
            <w:tcW w:w="851" w:type="dxa"/>
          </w:tcPr>
          <w:p w:rsidR="009D6925" w:rsidRPr="00171068" w:rsidRDefault="009D6925" w:rsidP="00ED0AF5">
            <w:pPr>
              <w:pStyle w:val="NoSpacing"/>
              <w:rPr>
                <w:sz w:val="18"/>
              </w:rPr>
            </w:pPr>
            <w:r w:rsidRPr="00171068">
              <w:rPr>
                <w:sz w:val="18"/>
              </w:rPr>
              <w:t>width</w:t>
            </w:r>
          </w:p>
        </w:tc>
        <w:tc>
          <w:tcPr>
            <w:tcW w:w="992" w:type="dxa"/>
          </w:tcPr>
          <w:p w:rsidR="009D6925" w:rsidRPr="00171068" w:rsidRDefault="009D6925" w:rsidP="00ED0AF5">
            <w:pPr>
              <w:pStyle w:val="NoSpacing"/>
              <w:rPr>
                <w:sz w:val="18"/>
              </w:rPr>
            </w:pPr>
            <w:r w:rsidRPr="00171068">
              <w:rPr>
                <w:sz w:val="18"/>
              </w:rPr>
              <w:t xml:space="preserve">Min: </w:t>
            </w:r>
          </w:p>
          <w:p w:rsidR="009D6925" w:rsidRPr="00171068" w:rsidRDefault="009D6925" w:rsidP="00ED0AF5">
            <w:pPr>
              <w:pStyle w:val="NoSpacing"/>
              <w:rPr>
                <w:sz w:val="18"/>
              </w:rPr>
            </w:pPr>
            <w:r w:rsidRPr="00171068">
              <w:rPr>
                <w:sz w:val="18"/>
              </w:rPr>
              <w:t>75 m</w:t>
            </w:r>
          </w:p>
          <w:p w:rsidR="009D6925" w:rsidRPr="00171068" w:rsidRDefault="009D6925" w:rsidP="00ED0AF5">
            <w:pPr>
              <w:pStyle w:val="NoSpacing"/>
              <w:rPr>
                <w:sz w:val="18"/>
              </w:rPr>
            </w:pPr>
            <w:r w:rsidRPr="00171068">
              <w:rPr>
                <w:sz w:val="18"/>
              </w:rPr>
              <w:t>Max:</w:t>
            </w:r>
          </w:p>
          <w:p w:rsidR="009D6925" w:rsidRPr="00171068" w:rsidRDefault="009D6925" w:rsidP="00ED0AF5">
            <w:pPr>
              <w:pStyle w:val="NoSpacing"/>
              <w:rPr>
                <w:sz w:val="18"/>
              </w:rPr>
            </w:pPr>
            <w:r w:rsidRPr="00171068">
              <w:rPr>
                <w:sz w:val="18"/>
              </w:rPr>
              <w:t>800 m</w:t>
            </w:r>
          </w:p>
        </w:tc>
        <w:tc>
          <w:tcPr>
            <w:tcW w:w="1134" w:type="dxa"/>
            <w:vMerge/>
          </w:tcPr>
          <w:p w:rsidR="009D6925" w:rsidRPr="00171068" w:rsidRDefault="009D6925" w:rsidP="00ED0AF5">
            <w:pPr>
              <w:pStyle w:val="NoSpacing"/>
              <w:rPr>
                <w:sz w:val="18"/>
              </w:rPr>
            </w:pPr>
          </w:p>
        </w:tc>
        <w:tc>
          <w:tcPr>
            <w:tcW w:w="2410" w:type="dxa"/>
            <w:vMerge/>
          </w:tcPr>
          <w:p w:rsidR="009D6925" w:rsidRPr="00171068" w:rsidRDefault="009D6925" w:rsidP="00ED0AF5">
            <w:pPr>
              <w:pStyle w:val="NoSpacing"/>
              <w:rPr>
                <w:sz w:val="18"/>
              </w:rPr>
            </w:pPr>
          </w:p>
        </w:tc>
      </w:tr>
      <w:tr w:rsidR="009D6925" w:rsidRPr="00171068" w:rsidTr="00ED0AF5">
        <w:trPr>
          <w:trHeight w:val="252"/>
        </w:trPr>
        <w:tc>
          <w:tcPr>
            <w:tcW w:w="817" w:type="dxa"/>
            <w:vMerge/>
          </w:tcPr>
          <w:p w:rsidR="009D6925" w:rsidRPr="00171068" w:rsidRDefault="009D6925" w:rsidP="00ED0AF5">
            <w:pPr>
              <w:pStyle w:val="NoSpacing"/>
              <w:rPr>
                <w:sz w:val="18"/>
              </w:rPr>
            </w:pPr>
          </w:p>
        </w:tc>
        <w:tc>
          <w:tcPr>
            <w:tcW w:w="2580" w:type="dxa"/>
            <w:vMerge/>
          </w:tcPr>
          <w:p w:rsidR="009D6925" w:rsidRPr="00171068" w:rsidRDefault="009D6925" w:rsidP="00ED0AF5">
            <w:pPr>
              <w:pStyle w:val="NoSpacing"/>
              <w:rPr>
                <w:sz w:val="18"/>
              </w:rPr>
            </w:pPr>
          </w:p>
        </w:tc>
        <w:tc>
          <w:tcPr>
            <w:tcW w:w="851" w:type="dxa"/>
          </w:tcPr>
          <w:p w:rsidR="009D6925" w:rsidRPr="00171068" w:rsidRDefault="009D6925" w:rsidP="00ED0AF5">
            <w:pPr>
              <w:pStyle w:val="NoSpacing"/>
              <w:rPr>
                <w:sz w:val="18"/>
              </w:rPr>
            </w:pPr>
            <w:r w:rsidRPr="00171068">
              <w:rPr>
                <w:sz w:val="18"/>
              </w:rPr>
              <w:t>depth</w:t>
            </w:r>
          </w:p>
        </w:tc>
        <w:tc>
          <w:tcPr>
            <w:tcW w:w="992" w:type="dxa"/>
          </w:tcPr>
          <w:p w:rsidR="009D6925" w:rsidRPr="00171068" w:rsidRDefault="009D6925" w:rsidP="00ED0AF5">
            <w:pPr>
              <w:pStyle w:val="NoSpacing"/>
              <w:rPr>
                <w:sz w:val="18"/>
              </w:rPr>
            </w:pPr>
            <w:r w:rsidRPr="00171068">
              <w:rPr>
                <w:sz w:val="18"/>
              </w:rPr>
              <w:t>Min:</w:t>
            </w:r>
          </w:p>
          <w:p w:rsidR="009D6925" w:rsidRPr="00171068" w:rsidRDefault="009D6925" w:rsidP="00ED0AF5">
            <w:pPr>
              <w:pStyle w:val="NoSpacing"/>
              <w:rPr>
                <w:sz w:val="18"/>
              </w:rPr>
            </w:pPr>
            <w:r w:rsidRPr="00171068">
              <w:rPr>
                <w:sz w:val="18"/>
              </w:rPr>
              <w:t>1 m</w:t>
            </w:r>
          </w:p>
          <w:p w:rsidR="009D6925" w:rsidRPr="00171068" w:rsidRDefault="009D6925" w:rsidP="00ED0AF5">
            <w:pPr>
              <w:pStyle w:val="NoSpacing"/>
              <w:rPr>
                <w:sz w:val="18"/>
              </w:rPr>
            </w:pPr>
            <w:r w:rsidRPr="00171068">
              <w:rPr>
                <w:sz w:val="18"/>
              </w:rPr>
              <w:t>Max:</w:t>
            </w:r>
          </w:p>
          <w:p w:rsidR="009D6925" w:rsidRPr="00171068" w:rsidRDefault="009D6925" w:rsidP="00ED0AF5">
            <w:pPr>
              <w:pStyle w:val="NoSpacing"/>
              <w:rPr>
                <w:sz w:val="18"/>
              </w:rPr>
            </w:pPr>
            <w:r w:rsidRPr="00171068">
              <w:rPr>
                <w:sz w:val="18"/>
              </w:rPr>
              <w:t>5 m</w:t>
            </w:r>
          </w:p>
        </w:tc>
        <w:tc>
          <w:tcPr>
            <w:tcW w:w="1134" w:type="dxa"/>
            <w:vMerge/>
          </w:tcPr>
          <w:p w:rsidR="009D6925" w:rsidRPr="00171068" w:rsidRDefault="009D6925" w:rsidP="00ED0AF5">
            <w:pPr>
              <w:pStyle w:val="NoSpacing"/>
              <w:rPr>
                <w:sz w:val="18"/>
              </w:rPr>
            </w:pPr>
          </w:p>
        </w:tc>
        <w:tc>
          <w:tcPr>
            <w:tcW w:w="2410" w:type="dxa"/>
            <w:vMerge/>
          </w:tcPr>
          <w:p w:rsidR="009D6925" w:rsidRPr="00171068" w:rsidRDefault="009D6925" w:rsidP="00ED0AF5">
            <w:pPr>
              <w:pStyle w:val="NoSpacing"/>
              <w:rPr>
                <w:sz w:val="18"/>
              </w:rPr>
            </w:pPr>
          </w:p>
        </w:tc>
      </w:tr>
      <w:tr w:rsidR="009D6925" w:rsidRPr="00171068" w:rsidTr="00ED0AF5">
        <w:trPr>
          <w:trHeight w:val="252"/>
        </w:trPr>
        <w:tc>
          <w:tcPr>
            <w:tcW w:w="817" w:type="dxa"/>
            <w:vMerge w:val="restart"/>
          </w:tcPr>
          <w:p w:rsidR="009D6925" w:rsidRPr="00171068" w:rsidRDefault="009D6925" w:rsidP="00ED0AF5">
            <w:pPr>
              <w:pStyle w:val="NoSpacing"/>
              <w:rPr>
                <w:sz w:val="18"/>
              </w:rPr>
            </w:pPr>
            <w:r w:rsidRPr="00171068">
              <w:rPr>
                <w:sz w:val="18"/>
              </w:rPr>
              <w:t>Downstream accretion (DA)</w:t>
            </w:r>
          </w:p>
        </w:tc>
        <w:tc>
          <w:tcPr>
            <w:tcW w:w="2580" w:type="dxa"/>
            <w:vMerge w:val="restart"/>
          </w:tcPr>
          <w:p w:rsidR="009D6925" w:rsidRPr="00171068" w:rsidRDefault="009D6925" w:rsidP="00ED0AF5">
            <w:pPr>
              <w:pStyle w:val="NoSpacing"/>
              <w:rPr>
                <w:sz w:val="18"/>
              </w:rPr>
            </w:pPr>
            <w:r w:rsidRPr="00171068">
              <w:rPr>
                <w:sz w:val="18"/>
              </w:rPr>
              <w:t>DA must be contained within CH on a large scale.</w:t>
            </w:r>
          </w:p>
        </w:tc>
        <w:tc>
          <w:tcPr>
            <w:tcW w:w="851" w:type="dxa"/>
          </w:tcPr>
          <w:p w:rsidR="009D6925" w:rsidRPr="00171068" w:rsidRDefault="009D6925" w:rsidP="00ED0AF5">
            <w:pPr>
              <w:pStyle w:val="NoSpacing"/>
              <w:rPr>
                <w:sz w:val="18"/>
              </w:rPr>
            </w:pPr>
            <w:r w:rsidRPr="00171068">
              <w:rPr>
                <w:sz w:val="18"/>
              </w:rPr>
              <w:t>length</w:t>
            </w:r>
          </w:p>
        </w:tc>
        <w:tc>
          <w:tcPr>
            <w:tcW w:w="992" w:type="dxa"/>
          </w:tcPr>
          <w:p w:rsidR="009D6925" w:rsidRPr="00171068" w:rsidRDefault="009D6925" w:rsidP="00ED0AF5">
            <w:pPr>
              <w:pStyle w:val="NoSpacing"/>
              <w:rPr>
                <w:sz w:val="18"/>
              </w:rPr>
            </w:pPr>
            <w:r w:rsidRPr="00171068">
              <w:rPr>
                <w:sz w:val="18"/>
              </w:rPr>
              <w:t>Min:</w:t>
            </w:r>
          </w:p>
          <w:p w:rsidR="009D6925" w:rsidRPr="00171068" w:rsidRDefault="009D6925" w:rsidP="00ED0AF5">
            <w:pPr>
              <w:pStyle w:val="NoSpacing"/>
              <w:rPr>
                <w:sz w:val="18"/>
              </w:rPr>
            </w:pPr>
            <w:r w:rsidRPr="00171068">
              <w:rPr>
                <w:sz w:val="18"/>
              </w:rPr>
              <w:t>400 m</w:t>
            </w:r>
          </w:p>
          <w:p w:rsidR="009D6925" w:rsidRPr="00171068" w:rsidRDefault="009D6925" w:rsidP="00ED0AF5">
            <w:pPr>
              <w:pStyle w:val="NoSpacing"/>
              <w:rPr>
                <w:sz w:val="18"/>
              </w:rPr>
            </w:pPr>
            <w:r w:rsidRPr="00171068">
              <w:rPr>
                <w:sz w:val="18"/>
              </w:rPr>
              <w:t>Max:</w:t>
            </w:r>
          </w:p>
          <w:p w:rsidR="009D6925" w:rsidRPr="00171068" w:rsidRDefault="009D6925" w:rsidP="00ED0AF5">
            <w:pPr>
              <w:pStyle w:val="NoSpacing"/>
              <w:rPr>
                <w:sz w:val="18"/>
              </w:rPr>
            </w:pPr>
            <w:r w:rsidRPr="00171068">
              <w:rPr>
                <w:sz w:val="18"/>
              </w:rPr>
              <w:t>2000 m</w:t>
            </w:r>
          </w:p>
        </w:tc>
        <w:tc>
          <w:tcPr>
            <w:tcW w:w="1134" w:type="dxa"/>
            <w:vMerge w:val="restart"/>
          </w:tcPr>
          <w:p w:rsidR="009D6925" w:rsidRPr="00171068" w:rsidRDefault="009D6925" w:rsidP="00ED0AF5">
            <w:pPr>
              <w:pStyle w:val="NoSpacing"/>
              <w:rPr>
                <w:sz w:val="18"/>
              </w:rPr>
            </w:pPr>
            <w:r w:rsidRPr="00171068">
              <w:rPr>
                <w:sz w:val="18"/>
              </w:rPr>
              <w:t>52%</w:t>
            </w:r>
          </w:p>
        </w:tc>
        <w:tc>
          <w:tcPr>
            <w:tcW w:w="2410" w:type="dxa"/>
            <w:vMerge w:val="restart"/>
          </w:tcPr>
          <w:p w:rsidR="009D6925" w:rsidRPr="00171068" w:rsidRDefault="009D6925" w:rsidP="00ED0AF5">
            <w:pPr>
              <w:pStyle w:val="NoSpacing"/>
              <w:rPr>
                <w:sz w:val="18"/>
              </w:rPr>
            </w:pPr>
            <w:r w:rsidRPr="00171068">
              <w:rPr>
                <w:sz w:val="18"/>
              </w:rPr>
              <w:t>Plan: Irregular kite</w:t>
            </w:r>
          </w:p>
          <w:p w:rsidR="009D6925" w:rsidRPr="00171068" w:rsidRDefault="009D6925" w:rsidP="00ED0AF5">
            <w:pPr>
              <w:pStyle w:val="NoSpacing"/>
              <w:rPr>
                <w:sz w:val="18"/>
              </w:rPr>
            </w:pPr>
            <w:r w:rsidRPr="00171068">
              <w:rPr>
                <w:sz w:val="18"/>
              </w:rPr>
              <w:t>Cross-section: Lensoidal</w:t>
            </w:r>
          </w:p>
        </w:tc>
      </w:tr>
      <w:tr w:rsidR="009D6925" w:rsidRPr="00171068" w:rsidTr="00ED0AF5">
        <w:trPr>
          <w:trHeight w:val="252"/>
        </w:trPr>
        <w:tc>
          <w:tcPr>
            <w:tcW w:w="817" w:type="dxa"/>
            <w:vMerge/>
          </w:tcPr>
          <w:p w:rsidR="009D6925" w:rsidRPr="00171068" w:rsidRDefault="009D6925" w:rsidP="00ED0AF5">
            <w:pPr>
              <w:pStyle w:val="NoSpacing"/>
              <w:rPr>
                <w:sz w:val="18"/>
              </w:rPr>
            </w:pPr>
          </w:p>
        </w:tc>
        <w:tc>
          <w:tcPr>
            <w:tcW w:w="2580" w:type="dxa"/>
            <w:vMerge/>
          </w:tcPr>
          <w:p w:rsidR="009D6925" w:rsidRPr="00171068" w:rsidRDefault="009D6925" w:rsidP="00ED0AF5">
            <w:pPr>
              <w:pStyle w:val="NoSpacing"/>
              <w:rPr>
                <w:sz w:val="18"/>
              </w:rPr>
            </w:pPr>
          </w:p>
        </w:tc>
        <w:tc>
          <w:tcPr>
            <w:tcW w:w="851" w:type="dxa"/>
          </w:tcPr>
          <w:p w:rsidR="009D6925" w:rsidRPr="00171068" w:rsidRDefault="009D6925" w:rsidP="00ED0AF5">
            <w:pPr>
              <w:pStyle w:val="NoSpacing"/>
              <w:rPr>
                <w:sz w:val="18"/>
              </w:rPr>
            </w:pPr>
            <w:r w:rsidRPr="00171068">
              <w:rPr>
                <w:sz w:val="18"/>
              </w:rPr>
              <w:t>width</w:t>
            </w:r>
          </w:p>
        </w:tc>
        <w:tc>
          <w:tcPr>
            <w:tcW w:w="992" w:type="dxa"/>
          </w:tcPr>
          <w:p w:rsidR="009D6925" w:rsidRPr="00171068" w:rsidRDefault="009D6925" w:rsidP="00ED0AF5">
            <w:pPr>
              <w:pStyle w:val="NoSpacing"/>
              <w:rPr>
                <w:sz w:val="18"/>
              </w:rPr>
            </w:pPr>
            <w:r w:rsidRPr="00171068">
              <w:rPr>
                <w:sz w:val="18"/>
              </w:rPr>
              <w:t>Min:</w:t>
            </w:r>
          </w:p>
          <w:p w:rsidR="009D6925" w:rsidRPr="00171068" w:rsidRDefault="009D6925" w:rsidP="00ED0AF5">
            <w:pPr>
              <w:pStyle w:val="NoSpacing"/>
              <w:rPr>
                <w:sz w:val="18"/>
              </w:rPr>
            </w:pPr>
            <w:r w:rsidRPr="00171068">
              <w:rPr>
                <w:sz w:val="18"/>
              </w:rPr>
              <w:t>200 m</w:t>
            </w:r>
          </w:p>
          <w:p w:rsidR="009D6925" w:rsidRPr="00171068" w:rsidRDefault="009D6925" w:rsidP="00ED0AF5">
            <w:pPr>
              <w:pStyle w:val="NoSpacing"/>
              <w:rPr>
                <w:sz w:val="18"/>
              </w:rPr>
            </w:pPr>
            <w:r w:rsidRPr="00171068">
              <w:rPr>
                <w:sz w:val="18"/>
              </w:rPr>
              <w:t>Max:</w:t>
            </w:r>
          </w:p>
          <w:p w:rsidR="009D6925" w:rsidRPr="00171068" w:rsidRDefault="009D6925" w:rsidP="00ED0AF5">
            <w:pPr>
              <w:pStyle w:val="NoSpacing"/>
              <w:rPr>
                <w:sz w:val="18"/>
              </w:rPr>
            </w:pPr>
            <w:r w:rsidRPr="00171068">
              <w:rPr>
                <w:sz w:val="18"/>
              </w:rPr>
              <w:t>2000 m</w:t>
            </w:r>
          </w:p>
        </w:tc>
        <w:tc>
          <w:tcPr>
            <w:tcW w:w="1134" w:type="dxa"/>
            <w:vMerge/>
          </w:tcPr>
          <w:p w:rsidR="009D6925" w:rsidRPr="00171068" w:rsidRDefault="009D6925" w:rsidP="00ED0AF5">
            <w:pPr>
              <w:pStyle w:val="NoSpacing"/>
              <w:rPr>
                <w:sz w:val="18"/>
              </w:rPr>
            </w:pPr>
          </w:p>
        </w:tc>
        <w:tc>
          <w:tcPr>
            <w:tcW w:w="2410" w:type="dxa"/>
            <w:vMerge/>
          </w:tcPr>
          <w:p w:rsidR="009D6925" w:rsidRPr="00171068" w:rsidRDefault="009D6925" w:rsidP="00ED0AF5">
            <w:pPr>
              <w:pStyle w:val="NoSpacing"/>
              <w:rPr>
                <w:sz w:val="18"/>
              </w:rPr>
            </w:pPr>
          </w:p>
        </w:tc>
      </w:tr>
      <w:tr w:rsidR="009D6925" w:rsidRPr="00171068" w:rsidTr="00ED0AF5">
        <w:trPr>
          <w:trHeight w:val="252"/>
        </w:trPr>
        <w:tc>
          <w:tcPr>
            <w:tcW w:w="817" w:type="dxa"/>
            <w:vMerge/>
          </w:tcPr>
          <w:p w:rsidR="009D6925" w:rsidRPr="00171068" w:rsidRDefault="009D6925" w:rsidP="00ED0AF5">
            <w:pPr>
              <w:pStyle w:val="NoSpacing"/>
              <w:rPr>
                <w:sz w:val="18"/>
              </w:rPr>
            </w:pPr>
          </w:p>
        </w:tc>
        <w:tc>
          <w:tcPr>
            <w:tcW w:w="2580" w:type="dxa"/>
            <w:vMerge/>
          </w:tcPr>
          <w:p w:rsidR="009D6925" w:rsidRPr="00171068" w:rsidRDefault="009D6925" w:rsidP="00ED0AF5">
            <w:pPr>
              <w:pStyle w:val="NoSpacing"/>
              <w:rPr>
                <w:sz w:val="18"/>
              </w:rPr>
            </w:pPr>
          </w:p>
        </w:tc>
        <w:tc>
          <w:tcPr>
            <w:tcW w:w="851" w:type="dxa"/>
          </w:tcPr>
          <w:p w:rsidR="009D6925" w:rsidRPr="00171068" w:rsidRDefault="009D6925" w:rsidP="00ED0AF5">
            <w:pPr>
              <w:pStyle w:val="NoSpacing"/>
              <w:rPr>
                <w:sz w:val="18"/>
              </w:rPr>
            </w:pPr>
            <w:r w:rsidRPr="00171068">
              <w:rPr>
                <w:sz w:val="18"/>
              </w:rPr>
              <w:t>depth</w:t>
            </w:r>
          </w:p>
        </w:tc>
        <w:tc>
          <w:tcPr>
            <w:tcW w:w="992" w:type="dxa"/>
          </w:tcPr>
          <w:p w:rsidR="009D6925" w:rsidRPr="00171068" w:rsidRDefault="009D6925" w:rsidP="00ED0AF5">
            <w:pPr>
              <w:pStyle w:val="NoSpacing"/>
              <w:rPr>
                <w:sz w:val="18"/>
              </w:rPr>
            </w:pPr>
            <w:r w:rsidRPr="00171068">
              <w:rPr>
                <w:sz w:val="18"/>
              </w:rPr>
              <w:t>Min:</w:t>
            </w:r>
          </w:p>
          <w:p w:rsidR="009D6925" w:rsidRPr="00171068" w:rsidRDefault="009D6925" w:rsidP="00ED0AF5">
            <w:pPr>
              <w:pStyle w:val="NoSpacing"/>
              <w:rPr>
                <w:sz w:val="18"/>
              </w:rPr>
            </w:pPr>
            <w:r w:rsidRPr="00171068">
              <w:rPr>
                <w:sz w:val="18"/>
              </w:rPr>
              <w:t>4 m</w:t>
            </w:r>
          </w:p>
          <w:p w:rsidR="009D6925" w:rsidRPr="00171068" w:rsidRDefault="009D6925" w:rsidP="00ED0AF5">
            <w:pPr>
              <w:pStyle w:val="NoSpacing"/>
              <w:rPr>
                <w:sz w:val="18"/>
              </w:rPr>
            </w:pPr>
            <w:r w:rsidRPr="00171068">
              <w:rPr>
                <w:sz w:val="18"/>
              </w:rPr>
              <w:t>Max:</w:t>
            </w:r>
          </w:p>
          <w:p w:rsidR="009D6925" w:rsidRPr="00171068" w:rsidRDefault="009D6925" w:rsidP="00ED0AF5">
            <w:pPr>
              <w:pStyle w:val="NoSpacing"/>
              <w:rPr>
                <w:sz w:val="18"/>
              </w:rPr>
            </w:pPr>
            <w:r w:rsidRPr="00171068">
              <w:rPr>
                <w:sz w:val="18"/>
              </w:rPr>
              <w:t>12 m</w:t>
            </w:r>
          </w:p>
        </w:tc>
        <w:tc>
          <w:tcPr>
            <w:tcW w:w="1134" w:type="dxa"/>
            <w:vMerge/>
          </w:tcPr>
          <w:p w:rsidR="009D6925" w:rsidRPr="00171068" w:rsidRDefault="009D6925" w:rsidP="00ED0AF5">
            <w:pPr>
              <w:pStyle w:val="NoSpacing"/>
              <w:rPr>
                <w:sz w:val="18"/>
              </w:rPr>
            </w:pPr>
          </w:p>
        </w:tc>
        <w:tc>
          <w:tcPr>
            <w:tcW w:w="2410" w:type="dxa"/>
            <w:vMerge/>
          </w:tcPr>
          <w:p w:rsidR="009D6925" w:rsidRPr="00171068" w:rsidRDefault="009D6925" w:rsidP="00ED0AF5">
            <w:pPr>
              <w:pStyle w:val="NoSpacing"/>
              <w:rPr>
                <w:sz w:val="18"/>
              </w:rPr>
            </w:pPr>
          </w:p>
        </w:tc>
      </w:tr>
    </w:tbl>
    <w:p w:rsidR="009D6925" w:rsidRDefault="009D6925" w:rsidP="009D6925">
      <w:r w:rsidRPr="00F82E89">
        <w:rPr>
          <w:b/>
        </w:rPr>
        <w:t>Table 3</w:t>
      </w:r>
      <w:r w:rsidRPr="00F82E89">
        <w:t xml:space="preserve"> – Depositional conditions of mega-bar complexes for the training image construction. This details the main sedimentary architectural elements and their respective conditional requirements: distribution, dimensions, </w:t>
      </w:r>
      <w:r>
        <w:t xml:space="preserve">geometry, </w:t>
      </w:r>
      <w:r w:rsidRPr="00F82E89">
        <w:t>and proportions. * indicates values weighted to the data from the Tuscher Canyon outcrop due to imaging issues in the satellite images, see text for details.</w:t>
      </w:r>
      <w:r>
        <w:t xml:space="preserve"> Note, channel sinuosity values are included, obtained from the Jamuna River satellite imagery data.</w:t>
      </w:r>
    </w:p>
    <w:p w:rsidR="00CC53BD" w:rsidRDefault="009D6925" w:rsidP="00CC53BD">
      <w:pPr>
        <w:jc w:val="center"/>
      </w:pPr>
      <w:r>
        <w:rPr>
          <w:noProof/>
          <w:lang w:eastAsia="en-GB"/>
        </w:rPr>
        <w:drawing>
          <wp:inline distT="0" distB="0" distL="0" distR="0">
            <wp:extent cx="5731510" cy="29470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_9_mitten_2019_revised.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2947035"/>
                    </a:xfrm>
                    <a:prstGeom prst="rect">
                      <a:avLst/>
                    </a:prstGeom>
                  </pic:spPr>
                </pic:pic>
              </a:graphicData>
            </a:graphic>
          </wp:inline>
        </w:drawing>
      </w:r>
    </w:p>
    <w:p w:rsidR="009D6925" w:rsidRPr="00F82E89" w:rsidRDefault="009D6925" w:rsidP="009D6925">
      <w:r w:rsidRPr="00F82E89">
        <w:rPr>
          <w:b/>
        </w:rPr>
        <w:t xml:space="preserve">Figure </w:t>
      </w:r>
      <w:r>
        <w:rPr>
          <w:b/>
        </w:rPr>
        <w:t>9</w:t>
      </w:r>
      <w:r w:rsidRPr="00F82E89">
        <w:t xml:space="preserve"> – Numerical depositionally-conditioned 3D training image used in this study</w:t>
      </w:r>
      <w:r>
        <w:t>,</w:t>
      </w:r>
      <w:r w:rsidRPr="00F82E89">
        <w:t xml:space="preserve"> created within Schlumberger</w:t>
      </w:r>
      <w:r w:rsidRPr="00F82E89">
        <w:rPr>
          <w:rFonts w:cs="Times New Roman"/>
        </w:rPr>
        <w:t>™</w:t>
      </w:r>
      <w:r w:rsidRPr="00F82E89">
        <w:t xml:space="preserve"> Petrel v.2016 software, using the input parameters given in Table</w:t>
      </w:r>
      <w:r>
        <w:t>s</w:t>
      </w:r>
      <w:r w:rsidRPr="00F82E89">
        <w:t xml:space="preserve"> 2 and 3. The training image is 1,000 m x 1,000 m x 20 m at a cell resolution of 10 m x 10 m x 0.5 m. The datasets providing the major conditions for the planes are marked. The image provides the basis for the MPS model generation (see text).</w:t>
      </w:r>
    </w:p>
    <w:p w:rsidR="00B87580" w:rsidRPr="00F82E89" w:rsidRDefault="00B87580" w:rsidP="00B87580">
      <w:r w:rsidRPr="00F82E89">
        <w:t xml:space="preserve">Channel elements are conditioned to be cross- and down-cutting into the underlying downstream accretion element. They have widths between </w:t>
      </w:r>
      <w:r w:rsidR="004132BE">
        <w:t>90</w:t>
      </w:r>
      <w:r w:rsidRPr="00F82E89">
        <w:t xml:space="preserve"> m </w:t>
      </w:r>
      <w:r w:rsidR="00667250" w:rsidRPr="00F82E89">
        <w:t>to</w:t>
      </w:r>
      <w:r w:rsidRPr="00F82E89">
        <w:t xml:space="preserve"> 400 m, they are 1 </w:t>
      </w:r>
      <w:r w:rsidR="00667250" w:rsidRPr="00F82E89">
        <w:t>m to</w:t>
      </w:r>
      <w:r w:rsidRPr="00F82E89">
        <w:t xml:space="preserve"> 8 m thick, and they have a lensoidal cross-sectional geometry but ribbon plan-view geometry</w:t>
      </w:r>
      <w:r w:rsidR="00CE2C7C" w:rsidRPr="00F82E89">
        <w:t xml:space="preserve"> (</w:t>
      </w:r>
      <w:r w:rsidR="00667250" w:rsidRPr="00F82E89">
        <w:t xml:space="preserve">Figure </w:t>
      </w:r>
      <w:r w:rsidR="006413A6">
        <w:t>9</w:t>
      </w:r>
      <w:r w:rsidR="00CE2C7C" w:rsidRPr="00F82E89">
        <w:t>)</w:t>
      </w:r>
      <w:r w:rsidRPr="00F82E89">
        <w:t>. The element occupies 26 % of the total model volume. Thalweg bedform complex elements must be confined within channel element</w:t>
      </w:r>
      <w:r w:rsidR="009F38E5" w:rsidRPr="00F82E89">
        <w:t>s</w:t>
      </w:r>
      <w:r w:rsidR="00667250" w:rsidRPr="00F82E89">
        <w:t>. They have lengths of 50 m to</w:t>
      </w:r>
      <w:r w:rsidRPr="00F82E89">
        <w:t xml:space="preserve"> 400 m, widths of 50 m </w:t>
      </w:r>
      <w:r w:rsidR="00667250" w:rsidRPr="00F82E89">
        <w:t>to 300 m and depths of 1 m to</w:t>
      </w:r>
      <w:r w:rsidRPr="00F82E89">
        <w:t xml:space="preserve"> 3 m. Thalweg bedform complex elements occup</w:t>
      </w:r>
      <w:r w:rsidR="004E2583" w:rsidRPr="00F82E89">
        <w:t>y</w:t>
      </w:r>
      <w:r w:rsidRPr="00F82E89">
        <w:t xml:space="preserve"> 8 % of the total model volume and </w:t>
      </w:r>
      <w:r w:rsidR="004E2583" w:rsidRPr="00F82E89">
        <w:t>have</w:t>
      </w:r>
      <w:r w:rsidRPr="00F82E89">
        <w:t xml:space="preserve"> lensoidal geometries</w:t>
      </w:r>
      <w:r w:rsidR="001D6D2B" w:rsidRPr="00F82E89">
        <w:t xml:space="preserve"> (Table 3)</w:t>
      </w:r>
      <w:r w:rsidRPr="00F82E89">
        <w:t xml:space="preserve">. Due to </w:t>
      </w:r>
      <w:r w:rsidR="009F38E5" w:rsidRPr="00F82E89">
        <w:t>thalweg bedfrom complex</w:t>
      </w:r>
      <w:r w:rsidR="00663536">
        <w:t>es</w:t>
      </w:r>
      <w:r w:rsidR="009F38E5" w:rsidRPr="00F82E89">
        <w:t xml:space="preserve"> </w:t>
      </w:r>
      <w:r w:rsidRPr="00F82E89">
        <w:t xml:space="preserve">being </w:t>
      </w:r>
      <w:r w:rsidR="009F38E5" w:rsidRPr="00F82E89">
        <w:t>poorly imaged</w:t>
      </w:r>
      <w:r w:rsidRPr="00F82E89">
        <w:t xml:space="preserve"> </w:t>
      </w:r>
      <w:r w:rsidR="009F38E5" w:rsidRPr="00F82E89">
        <w:t>by satellite</w:t>
      </w:r>
      <w:r w:rsidRPr="00F82E89">
        <w:t>, respective element proportions are weighted against those exposed at the Tuscher Canyon outcrop, where they are preserved and visible. Lateral accretion elements must be located at the margins of channel elements and downstream accretion elements. They ha</w:t>
      </w:r>
      <w:r w:rsidR="00667250" w:rsidRPr="00F82E89">
        <w:t>ve lengths of 150 m to 800 m</w:t>
      </w:r>
      <w:r w:rsidR="005016B0">
        <w:t xml:space="preserve">, </w:t>
      </w:r>
      <w:r w:rsidR="005016B0" w:rsidRPr="00F82E89">
        <w:t xml:space="preserve">widths </w:t>
      </w:r>
      <w:r w:rsidR="005016B0">
        <w:t xml:space="preserve">of </w:t>
      </w:r>
      <w:r w:rsidR="00667250" w:rsidRPr="00F82E89">
        <w:t>75 m to</w:t>
      </w:r>
      <w:r w:rsidRPr="00F82E89">
        <w:t xml:space="preserve"> 80</w:t>
      </w:r>
      <w:r w:rsidR="00667250" w:rsidRPr="00F82E89">
        <w:t>0 m</w:t>
      </w:r>
      <w:r w:rsidR="005016B0">
        <w:t xml:space="preserve"> and depths of</w:t>
      </w:r>
      <w:r w:rsidR="00667250" w:rsidRPr="00F82E89">
        <w:t xml:space="preserve"> 1 m to</w:t>
      </w:r>
      <w:r w:rsidRPr="00F82E89">
        <w:t xml:space="preserve"> 5 m, with lensoidal plan views and tabular cross-sectional geometries</w:t>
      </w:r>
      <w:r w:rsidR="001D6D2B" w:rsidRPr="00F82E89">
        <w:t xml:space="preserve"> (Table 3)</w:t>
      </w:r>
      <w:r w:rsidRPr="00F82E89">
        <w:t xml:space="preserve">. The element has its </w:t>
      </w:r>
      <w:r w:rsidR="009F38E5" w:rsidRPr="00F82E89">
        <w:t>volumetric</w:t>
      </w:r>
      <w:r w:rsidRPr="00F82E89">
        <w:t xml:space="preserve"> percentage weighted ag</w:t>
      </w:r>
      <w:r w:rsidR="009F38E5" w:rsidRPr="00F82E89">
        <w:t xml:space="preserve">ainst the preserved Tuscher Canyon outcrop </w:t>
      </w:r>
      <w:r w:rsidRPr="00F82E89">
        <w:t xml:space="preserve">to account for preservation. The </w:t>
      </w:r>
      <w:r w:rsidR="005016B0">
        <w:t>l</w:t>
      </w:r>
      <w:r w:rsidRPr="00F82E89">
        <w:t>ateral accretion architecture must cover 14% of the total modelled volume. Lateral accretion</w:t>
      </w:r>
      <w:r w:rsidR="005016B0">
        <w:t>, as well as</w:t>
      </w:r>
      <w:r w:rsidRPr="00F82E89">
        <w:t xml:space="preserve"> channel and thalweg bedform complex, should be considered as strata that contain baffles to fluid flow, thus considered as </w:t>
      </w:r>
      <w:r w:rsidR="009F38E5" w:rsidRPr="00F82E89">
        <w:t>non-net reservoir</w:t>
      </w:r>
      <w:r w:rsidRPr="00F82E89">
        <w:t>.</w:t>
      </w:r>
    </w:p>
    <w:p w:rsidR="000D433F" w:rsidRPr="00F82E89" w:rsidRDefault="00B87580" w:rsidP="000D433F">
      <w:r w:rsidRPr="00F82E89">
        <w:t xml:space="preserve">Downstream accretion elements are the only </w:t>
      </w:r>
      <w:r w:rsidR="00663536">
        <w:t>elements</w:t>
      </w:r>
      <w:r w:rsidR="00663536" w:rsidRPr="00F82E89">
        <w:t xml:space="preserve"> </w:t>
      </w:r>
      <w:r w:rsidRPr="00F82E89">
        <w:t xml:space="preserve">in this model considered net, due to them being relatively homogenous (Best </w:t>
      </w:r>
      <w:r w:rsidR="00517096" w:rsidRPr="00517096">
        <w:rPr>
          <w:i/>
        </w:rPr>
        <w:t>et al.,</w:t>
      </w:r>
      <w:r w:rsidRPr="00F82E89">
        <w:t xml:space="preserve"> 2003; Miall</w:t>
      </w:r>
      <w:r w:rsidR="000813E8">
        <w:t>,</w:t>
      </w:r>
      <w:r w:rsidRPr="00F82E89">
        <w:t xml:space="preserve"> 2003; Ghinassi and Ielpi</w:t>
      </w:r>
      <w:r w:rsidR="000813E8">
        <w:t>,</w:t>
      </w:r>
      <w:r w:rsidRPr="00F82E89">
        <w:t xml:space="preserve"> 2018</w:t>
      </w:r>
      <w:r w:rsidR="00667250" w:rsidRPr="00F82E89">
        <w:t>). They have length</w:t>
      </w:r>
      <w:r w:rsidR="005016B0">
        <w:t>s</w:t>
      </w:r>
      <w:r w:rsidR="00667250" w:rsidRPr="00F82E89">
        <w:t xml:space="preserve"> of 400 m to</w:t>
      </w:r>
      <w:r w:rsidRPr="00F82E89">
        <w:t xml:space="preserve"> 2000 m, widths of 200 m </w:t>
      </w:r>
      <w:r w:rsidR="00667250" w:rsidRPr="00F82E89">
        <w:t>to</w:t>
      </w:r>
      <w:r w:rsidRPr="00F82E89">
        <w:t xml:space="preserve"> 2000 m and depths of 4 m </w:t>
      </w:r>
      <w:r w:rsidR="00667250" w:rsidRPr="00F82E89">
        <w:t>to</w:t>
      </w:r>
      <w:r w:rsidR="009F38E5" w:rsidRPr="00F82E89">
        <w:t xml:space="preserve"> </w:t>
      </w:r>
      <w:r w:rsidRPr="00F82E89">
        <w:t>12 m. The downstream accretion element should populate 52 % of the total model volume</w:t>
      </w:r>
      <w:r w:rsidR="001D6D2B" w:rsidRPr="00F82E89">
        <w:t xml:space="preserve"> (Table 3)</w:t>
      </w:r>
      <w:r w:rsidRPr="00F82E89">
        <w:t>, and be distributed within CH elements as kite like shapes in plan view and lensoidal geometries in cross section.</w:t>
      </w:r>
    </w:p>
    <w:p w:rsidR="009F38E5" w:rsidRPr="00F82E89" w:rsidRDefault="009F38E5" w:rsidP="00CD1601">
      <w:pPr>
        <w:pStyle w:val="Heading1"/>
        <w:numPr>
          <w:ilvl w:val="0"/>
          <w:numId w:val="1"/>
        </w:numPr>
      </w:pPr>
      <w:r w:rsidRPr="00F82E89">
        <w:t>Reservoir modelling</w:t>
      </w:r>
    </w:p>
    <w:p w:rsidR="00CE2C7C" w:rsidRPr="00F82E89" w:rsidRDefault="002C30DB" w:rsidP="002D1B0A">
      <w:r w:rsidRPr="00F82E89">
        <w:t>The three dimensional</w:t>
      </w:r>
      <w:r w:rsidR="002D1B0A" w:rsidRPr="00F82E89">
        <w:t xml:space="preserve"> reservoir models used in this study were generated in Schlumberger</w:t>
      </w:r>
      <w:r w:rsidR="002D1B0A" w:rsidRPr="00F82E89">
        <w:rPr>
          <w:rFonts w:cs="Times New Roman"/>
        </w:rPr>
        <w:t>™</w:t>
      </w:r>
      <w:r w:rsidR="002D1B0A" w:rsidRPr="00F82E89">
        <w:t xml:space="preserve"> Petrel v.2016 softw</w:t>
      </w:r>
      <w:r w:rsidR="00A976CF" w:rsidRPr="00F82E89">
        <w:t>are.</w:t>
      </w:r>
      <w:r w:rsidR="002D1B0A" w:rsidRPr="00F82E89">
        <w:t xml:space="preserve"> The </w:t>
      </w:r>
      <w:r w:rsidR="00BB21F1">
        <w:t xml:space="preserve">top and base of the Lower Castlegate Sandstone </w:t>
      </w:r>
      <w:r w:rsidR="00BB21F1" w:rsidRPr="00F82E89">
        <w:t>from the Tuscher Canyon outcrop</w:t>
      </w:r>
      <w:r w:rsidR="00BB21F1">
        <w:t xml:space="preserve">, were picked as </w:t>
      </w:r>
      <w:r w:rsidR="002D1B0A" w:rsidRPr="00F82E89">
        <w:t>key digital stratigraphic surfaces and marker horizons</w:t>
      </w:r>
      <w:r w:rsidR="00997533">
        <w:t>.</w:t>
      </w:r>
      <w:r w:rsidR="002D1B0A" w:rsidRPr="00F82E89">
        <w:t xml:space="preserve"> </w:t>
      </w:r>
      <w:r w:rsidR="00997533">
        <w:t xml:space="preserve">These two horizons form the top and base of the modelling grid, which was modelled as a single zone. </w:t>
      </w:r>
      <w:r w:rsidR="002D1B0A" w:rsidRPr="00F82E89">
        <w:t>This forms a deterministic stratigraphic framework for the modelling grid</w:t>
      </w:r>
      <w:r w:rsidR="00A95A80">
        <w:t xml:space="preserve"> </w:t>
      </w:r>
      <w:r w:rsidR="00A95A80" w:rsidRPr="00F82E89">
        <w:t xml:space="preserve">(following common practice, see Enge </w:t>
      </w:r>
      <w:r w:rsidR="00517096" w:rsidRPr="00517096">
        <w:rPr>
          <w:i/>
        </w:rPr>
        <w:t>et al.,</w:t>
      </w:r>
      <w:r w:rsidR="00A95A80" w:rsidRPr="00F82E89">
        <w:t xml:space="preserve"> (2007) and references therein)</w:t>
      </w:r>
      <w:r w:rsidR="00A95A80">
        <w:t>,</w:t>
      </w:r>
      <w:r w:rsidR="00997533">
        <w:t xml:space="preserve"> </w:t>
      </w:r>
      <w:r w:rsidR="00860140">
        <w:t xml:space="preserve">that is proportionally </w:t>
      </w:r>
      <w:r w:rsidR="00997533">
        <w:t>layered</w:t>
      </w:r>
      <w:r w:rsidR="00E44E79">
        <w:t xml:space="preserve">, and </w:t>
      </w:r>
      <w:r w:rsidR="009B75B7">
        <w:t>is extended</w:t>
      </w:r>
      <w:r w:rsidR="002D1B0A" w:rsidRPr="00F82E89">
        <w:t xml:space="preserve"> beyond the </w:t>
      </w:r>
      <w:r w:rsidR="00BA6D70">
        <w:t xml:space="preserve">dimensions of the </w:t>
      </w:r>
      <w:r w:rsidR="00FD04E4">
        <w:t xml:space="preserve">Lower </w:t>
      </w:r>
      <w:r w:rsidR="00BA6D70">
        <w:t xml:space="preserve">Castlegate </w:t>
      </w:r>
      <w:r w:rsidR="002D1B0A" w:rsidRPr="00F82E89">
        <w:t xml:space="preserve">outcrop to fit with the </w:t>
      </w:r>
      <w:r w:rsidR="009B75B7">
        <w:t xml:space="preserve">spatial extent of the </w:t>
      </w:r>
      <w:r w:rsidR="002D1B0A" w:rsidRPr="00F82E89">
        <w:t xml:space="preserve">modern Jamuna River data (see Pringle </w:t>
      </w:r>
      <w:r w:rsidR="00517096" w:rsidRPr="00517096">
        <w:rPr>
          <w:i/>
        </w:rPr>
        <w:t>et al.,</w:t>
      </w:r>
      <w:r w:rsidR="002D1B0A" w:rsidRPr="00F82E89">
        <w:t xml:space="preserve"> 2010 for specific methodology). The </w:t>
      </w:r>
      <w:r w:rsidR="00FE51CD">
        <w:t>resultant</w:t>
      </w:r>
      <w:r w:rsidR="002D1B0A" w:rsidRPr="00F82E89">
        <w:t xml:space="preserve"> reservoir model grid </w:t>
      </w:r>
      <w:r w:rsidR="00FD04E4">
        <w:t xml:space="preserve">is </w:t>
      </w:r>
      <w:r w:rsidR="00FD04E4" w:rsidRPr="00F82E89">
        <w:t>4,000</w:t>
      </w:r>
      <w:r w:rsidR="002D1B0A" w:rsidRPr="00F82E89">
        <w:t xml:space="preserve"> m x 3,000 m x 40 m, </w:t>
      </w:r>
      <w:r w:rsidR="00BA6D70">
        <w:t>and contains</w:t>
      </w:r>
      <w:r w:rsidR="00BA6D70" w:rsidRPr="00F82E89">
        <w:t xml:space="preserve"> </w:t>
      </w:r>
      <w:r w:rsidR="002D1B0A" w:rsidRPr="00F82E89">
        <w:t xml:space="preserve">4.8 million cells, at a cell resolution of 10 m x 10 m </w:t>
      </w:r>
      <w:r w:rsidRPr="00F82E89">
        <w:t>x 0.5 m</w:t>
      </w:r>
      <w:r w:rsidR="002D1B0A" w:rsidRPr="00F82E89">
        <w:t>honour the input datasets (</w:t>
      </w:r>
      <w:r w:rsidR="002D1B0A" w:rsidRPr="00F82E89">
        <w:rPr>
          <w:i/>
        </w:rPr>
        <w:t>c.f.</w:t>
      </w:r>
      <w:r w:rsidR="002D1B0A" w:rsidRPr="00F82E89">
        <w:t xml:space="preserve"> Enge </w:t>
      </w:r>
      <w:r w:rsidR="00517096" w:rsidRPr="00517096">
        <w:rPr>
          <w:i/>
        </w:rPr>
        <w:t>et al.,</w:t>
      </w:r>
      <w:r w:rsidR="002D1B0A" w:rsidRPr="00F82E89">
        <w:t xml:space="preserve"> 2007). </w:t>
      </w:r>
    </w:p>
    <w:p w:rsidR="002D1B0A" w:rsidRPr="00F82E89" w:rsidRDefault="00BA6D70" w:rsidP="002D1B0A">
      <w:r w:rsidRPr="00F82E89">
        <w:t xml:space="preserve">The three modelling techniques used in the development of the reservoir models for this study are: multi-point statistics (MPS), sequential-indicator simulation (SIS) and object-based modelling (OBM). </w:t>
      </w:r>
      <w:r w:rsidR="00FD04E4">
        <w:t>In e</w:t>
      </w:r>
      <w:r w:rsidR="002D1B0A" w:rsidRPr="00F82E89">
        <w:t>ach model iteration, regardless of simulation algorithm, was conditioned to six pseudo-well logs taken from the photogrammetric model interpretation of Tuscher Canyon, Utah</w:t>
      </w:r>
      <w:r>
        <w:t xml:space="preserve">, </w:t>
      </w:r>
      <w:r w:rsidR="002D1B0A" w:rsidRPr="00F82E89">
        <w:t xml:space="preserve">the positions of which are indicated in </w:t>
      </w:r>
      <w:r w:rsidR="00667250" w:rsidRPr="00F82E89">
        <w:t xml:space="preserve">Figure </w:t>
      </w:r>
      <w:r w:rsidR="006413A6">
        <w:t>6</w:t>
      </w:r>
      <w:r>
        <w:t>. (</w:t>
      </w:r>
      <w:r w:rsidR="002D1B0A" w:rsidRPr="00F82E89">
        <w:t>Pri</w:t>
      </w:r>
      <w:r w:rsidR="00085F04" w:rsidRPr="00F82E89">
        <w:t>ngle</w:t>
      </w:r>
      <w:r w:rsidR="000813E8">
        <w:t xml:space="preserve"> </w:t>
      </w:r>
      <w:r w:rsidR="000813E8">
        <w:rPr>
          <w:i/>
        </w:rPr>
        <w:t>et al.,</w:t>
      </w:r>
      <w:r w:rsidR="00085F04" w:rsidRPr="00F82E89">
        <w:t xml:space="preserve"> 2010; Colombera </w:t>
      </w:r>
      <w:r w:rsidR="00517096" w:rsidRPr="00517096">
        <w:rPr>
          <w:i/>
        </w:rPr>
        <w:t>et al.,</w:t>
      </w:r>
      <w:r w:rsidR="00085F04" w:rsidRPr="00F82E89">
        <w:t xml:space="preserve"> 2016b</w:t>
      </w:r>
      <w:r w:rsidR="002D1B0A" w:rsidRPr="00F82E89">
        <w:t xml:space="preserve">; Cabello </w:t>
      </w:r>
      <w:r w:rsidR="00517096" w:rsidRPr="00517096">
        <w:rPr>
          <w:i/>
        </w:rPr>
        <w:t>et al.,</w:t>
      </w:r>
      <w:r w:rsidR="002D1B0A" w:rsidRPr="00F82E89">
        <w:t xml:space="preserve"> 2018</w:t>
      </w:r>
      <w:r w:rsidR="00446DF4">
        <w:t>b</w:t>
      </w:r>
      <w:r w:rsidR="002D1B0A" w:rsidRPr="00F82E89">
        <w:t xml:space="preserve">; Puig </w:t>
      </w:r>
      <w:r w:rsidR="00517096" w:rsidRPr="00517096">
        <w:rPr>
          <w:i/>
        </w:rPr>
        <w:t>et al.,</w:t>
      </w:r>
      <w:r w:rsidR="002D1B0A" w:rsidRPr="00F82E89">
        <w:t xml:space="preserve"> 2019). The pseudo well logs lock the position of elements within the reservoir model volume</w:t>
      </w:r>
      <w:r>
        <w:t xml:space="preserve"> and force</w:t>
      </w:r>
      <w:r w:rsidR="002D1B0A" w:rsidRPr="00F82E89">
        <w:t xml:space="preserve"> the </w:t>
      </w:r>
      <w:r>
        <w:t xml:space="preserve">modelling </w:t>
      </w:r>
      <w:r w:rsidR="002D1B0A" w:rsidRPr="00F82E89">
        <w:t>algorithm</w:t>
      </w:r>
      <w:r>
        <w:t>s</w:t>
      </w:r>
      <w:r w:rsidR="002D1B0A" w:rsidRPr="00F82E89">
        <w:t xml:space="preserve"> to populate around the real data. </w:t>
      </w:r>
      <w:r w:rsidR="006007D2" w:rsidRPr="00F82E89">
        <w:t>Ten iterations of each modelling process were generated</w:t>
      </w:r>
      <w:r w:rsidR="00222F43">
        <w:t xml:space="preserve"> (Goovaerts</w:t>
      </w:r>
      <w:r w:rsidR="000813E8">
        <w:t>,</w:t>
      </w:r>
      <w:r w:rsidR="00222F43">
        <w:t xml:space="preserve"> 1999; Falivene </w:t>
      </w:r>
      <w:r w:rsidR="00517096" w:rsidRPr="00517096">
        <w:rPr>
          <w:i/>
        </w:rPr>
        <w:t>et al.,</w:t>
      </w:r>
      <w:r w:rsidR="00222F43">
        <w:t xml:space="preserve"> 200</w:t>
      </w:r>
      <w:r w:rsidR="00FE7D46">
        <w:t>6</w:t>
      </w:r>
      <w:r w:rsidR="00222F43">
        <w:t>)</w:t>
      </w:r>
      <w:r w:rsidR="005F4269">
        <w:t>,</w:t>
      </w:r>
      <w:r w:rsidR="006007D2" w:rsidRPr="00F82E89">
        <w:t xml:space="preserve"> so that a qualitative visual and quantitative statistical analysis of </w:t>
      </w:r>
      <w:r>
        <w:t>each model</w:t>
      </w:r>
      <w:r w:rsidR="006007D2" w:rsidRPr="00F82E89">
        <w:t xml:space="preserve"> </w:t>
      </w:r>
      <w:r w:rsidR="005F4269">
        <w:t>could</w:t>
      </w:r>
      <w:r w:rsidR="005F4269" w:rsidRPr="00F82E89">
        <w:t xml:space="preserve"> </w:t>
      </w:r>
      <w:r w:rsidR="006007D2" w:rsidRPr="00F82E89">
        <w:t xml:space="preserve">be </w:t>
      </w:r>
      <w:r w:rsidR="005F4269">
        <w:t>undertaken</w:t>
      </w:r>
      <w:r w:rsidR="006007D2" w:rsidRPr="00F82E89">
        <w:t>.</w:t>
      </w:r>
    </w:p>
    <w:p w:rsidR="00CE2C7C" w:rsidRPr="00F82E89" w:rsidRDefault="006007D2" w:rsidP="002D1B0A">
      <w:r w:rsidRPr="00F82E89">
        <w:t>The MPS models were created using the depositionally conditio</w:t>
      </w:r>
      <w:r w:rsidR="00CE2C7C" w:rsidRPr="00F82E89">
        <w:t xml:space="preserve">ned </w:t>
      </w:r>
      <w:r w:rsidR="00FD04E4">
        <w:t xml:space="preserve">three dimensional </w:t>
      </w:r>
      <w:r w:rsidR="00085F04" w:rsidRPr="00F82E89">
        <w:t>training image</w:t>
      </w:r>
      <w:r w:rsidR="00CE2C7C" w:rsidRPr="00F82E89">
        <w:t xml:space="preserve"> (Figure </w:t>
      </w:r>
      <w:r w:rsidR="006413A6">
        <w:t>9</w:t>
      </w:r>
      <w:r w:rsidR="00A976CF" w:rsidRPr="00F82E89">
        <w:t>).</w:t>
      </w:r>
      <w:r w:rsidRPr="00F82E89">
        <w:t xml:space="preserve"> </w:t>
      </w:r>
      <w:r w:rsidR="00DC795C" w:rsidRPr="00F82E89">
        <w:t>Th</w:t>
      </w:r>
      <w:r w:rsidR="00FD04E4">
        <w:t xml:space="preserve">e training image </w:t>
      </w:r>
      <w:r w:rsidR="002D1B0A" w:rsidRPr="00F82E89">
        <w:t>was</w:t>
      </w:r>
      <w:r w:rsidR="00085F04" w:rsidRPr="00F82E89">
        <w:t xml:space="preserve"> then</w:t>
      </w:r>
      <w:r w:rsidR="002D1B0A" w:rsidRPr="00F82E89">
        <w:t xml:space="preserve"> incorporated into the model volume by aligning the centraloid cell of the </w:t>
      </w:r>
      <w:r w:rsidR="00085F04" w:rsidRPr="00F82E89">
        <w:t>training image</w:t>
      </w:r>
      <w:r w:rsidR="00DC795C" w:rsidRPr="00F82E89">
        <w:t xml:space="preserve"> </w:t>
      </w:r>
      <w:r w:rsidR="002D1B0A" w:rsidRPr="00F82E89">
        <w:t xml:space="preserve">to that of the MPS model. The </w:t>
      </w:r>
      <w:r w:rsidR="00085F04" w:rsidRPr="00F82E89">
        <w:t>training image</w:t>
      </w:r>
      <w:r w:rsidR="00DC795C" w:rsidRPr="00F82E89">
        <w:t xml:space="preserve"> </w:t>
      </w:r>
      <w:r w:rsidR="002D1B0A" w:rsidRPr="00F82E89">
        <w:t>was then subjected to a neural-network-type analysis, where each pixel away from the training image volume and centraloid cell was given a value (</w:t>
      </w:r>
      <w:r w:rsidR="00085F04" w:rsidRPr="00F82E89">
        <w:t xml:space="preserve">see </w:t>
      </w:r>
      <w:r w:rsidR="002D1B0A" w:rsidRPr="00F82E89">
        <w:t>Strebelle and Journel</w:t>
      </w:r>
      <w:r w:rsidR="000813E8">
        <w:t>,</w:t>
      </w:r>
      <w:r w:rsidR="002D1B0A" w:rsidRPr="00F82E89">
        <w:t xml:space="preserve"> 2001; Strebelle</w:t>
      </w:r>
      <w:r w:rsidR="000813E8">
        <w:t>,</w:t>
      </w:r>
      <w:r w:rsidR="002D1B0A" w:rsidRPr="00F82E89">
        <w:t xml:space="preserve"> 2002; Caers and Zhang</w:t>
      </w:r>
      <w:r w:rsidR="000813E8">
        <w:t>,</w:t>
      </w:r>
      <w:r w:rsidR="002D1B0A" w:rsidRPr="00F82E89">
        <w:t xml:space="preserve"> 2004; Strebelle and Levy</w:t>
      </w:r>
      <w:r w:rsidR="000813E8">
        <w:t>,</w:t>
      </w:r>
      <w:r w:rsidR="002D1B0A" w:rsidRPr="00F82E89">
        <w:t xml:space="preserve"> 2008; Daly and Caers</w:t>
      </w:r>
      <w:r w:rsidR="000813E8">
        <w:t>,</w:t>
      </w:r>
      <w:r w:rsidR="002D1B0A" w:rsidRPr="00F82E89">
        <w:t xml:space="preserve"> 2010</w:t>
      </w:r>
      <w:r w:rsidRPr="00F82E89">
        <w:t>)</w:t>
      </w:r>
      <w:r w:rsidR="005F4269">
        <w:t>,</w:t>
      </w:r>
      <w:r w:rsidRPr="00F82E89">
        <w:t xml:space="preserve"> based</w:t>
      </w:r>
      <w:r w:rsidR="002D1B0A" w:rsidRPr="00F82E89">
        <w:t xml:space="preserve"> upon the training image</w:t>
      </w:r>
      <w:r w:rsidR="009B75B7">
        <w:t xml:space="preserve"> and the patterns and geometries it contains</w:t>
      </w:r>
      <w:r w:rsidR="002D1B0A" w:rsidRPr="00F82E89">
        <w:t>. The network continues to populate the modelled reserv</w:t>
      </w:r>
      <w:r w:rsidR="00A976CF" w:rsidRPr="00F82E89">
        <w:t xml:space="preserve">oir volume until the </w:t>
      </w:r>
      <w:r w:rsidR="002D1B0A" w:rsidRPr="00F82E89">
        <w:t>framework is populated by the MPS algorithm (Strebelle and Chevron</w:t>
      </w:r>
      <w:r w:rsidR="000813E8">
        <w:t>,</w:t>
      </w:r>
      <w:r w:rsidR="002D1B0A" w:rsidRPr="00F82E89">
        <w:t xml:space="preserve"> 2012). </w:t>
      </w:r>
    </w:p>
    <w:p w:rsidR="002D1B0A" w:rsidRDefault="002D1B0A" w:rsidP="002D1B0A">
      <w:r w:rsidRPr="00F82E89">
        <w:t xml:space="preserve">To generate the SIS models, variograms </w:t>
      </w:r>
      <w:r w:rsidR="00CF4DEC">
        <w:t>for each of the</w:t>
      </w:r>
      <w:r w:rsidRPr="00F82E89">
        <w:t xml:space="preserve"> </w:t>
      </w:r>
      <w:r w:rsidR="006007D2" w:rsidRPr="00F82E89">
        <w:t xml:space="preserve">architectural </w:t>
      </w:r>
      <w:r w:rsidRPr="00F82E89">
        <w:t>elements were generated</w:t>
      </w:r>
      <w:r w:rsidR="00B605D6">
        <w:t>.</w:t>
      </w:r>
      <w:r w:rsidR="00FD04E4">
        <w:t xml:space="preserve"> </w:t>
      </w:r>
      <w:r w:rsidR="00CF4DEC">
        <w:t>V</w:t>
      </w:r>
      <w:r w:rsidR="00CF4DEC" w:rsidRPr="00F82E89">
        <w:t>ariograms</w:t>
      </w:r>
      <w:r w:rsidR="00CF4DEC">
        <w:t xml:space="preserve"> of the major </w:t>
      </w:r>
      <w:r w:rsidR="00CF4DEC" w:rsidRPr="00F82E89">
        <w:t>(east-west)</w:t>
      </w:r>
      <w:r w:rsidR="00CF4DEC">
        <w:t xml:space="preserve"> and minor </w:t>
      </w:r>
      <w:r w:rsidR="00CF4DEC" w:rsidRPr="00F82E89">
        <w:t xml:space="preserve">(north-south) </w:t>
      </w:r>
      <w:r w:rsidR="00CF4DEC">
        <w:t xml:space="preserve">directions were generated from measured </w:t>
      </w:r>
      <w:r w:rsidR="00FD04E4">
        <w:t>sections</w:t>
      </w:r>
      <w:r w:rsidR="00CF4DEC">
        <w:t xml:space="preserve"> through the Jamuna River data, and a variogram for the vertical dimension was generated from measured section through the Tusher Canyon data (Figure 10) </w:t>
      </w:r>
      <w:r w:rsidRPr="00F82E89">
        <w:t>(</w:t>
      </w:r>
      <w:r w:rsidR="00B605D6">
        <w:t>following standard practice of</w:t>
      </w:r>
      <w:r w:rsidRPr="00F82E89">
        <w:t>, Deutsch and Journel</w:t>
      </w:r>
      <w:r w:rsidR="000813E8">
        <w:t>,</w:t>
      </w:r>
      <w:r w:rsidRPr="00F82E89">
        <w:t xml:space="preserve"> 1992; </w:t>
      </w:r>
      <w:r w:rsidR="00B605D6">
        <w:t>Kupfersberger and Deutsch</w:t>
      </w:r>
      <w:r w:rsidR="000813E8">
        <w:t>,</w:t>
      </w:r>
      <w:r w:rsidR="00B605D6">
        <w:t xml:space="preserve"> 1999; </w:t>
      </w:r>
      <w:r w:rsidRPr="00F82E89">
        <w:t>Seifert and Jensen</w:t>
      </w:r>
      <w:r w:rsidR="000813E8">
        <w:t>,</w:t>
      </w:r>
      <w:r w:rsidRPr="00F82E89">
        <w:t xml:space="preserve"> 1999, 2000; Martinius </w:t>
      </w:r>
      <w:r w:rsidR="00517096" w:rsidRPr="00517096">
        <w:rPr>
          <w:i/>
        </w:rPr>
        <w:t>et al.,</w:t>
      </w:r>
      <w:r w:rsidRPr="00F82E89">
        <w:t xml:space="preserve"> 2017</w:t>
      </w:r>
      <w:r w:rsidR="00A57A0C">
        <w:t xml:space="preserve">; Mullins </w:t>
      </w:r>
      <w:r w:rsidR="00517096" w:rsidRPr="00517096">
        <w:rPr>
          <w:i/>
        </w:rPr>
        <w:t>et al.,</w:t>
      </w:r>
      <w:r w:rsidR="00A57A0C">
        <w:t xml:space="preserve"> 2019</w:t>
      </w:r>
      <w:r w:rsidRPr="00F82E89">
        <w:t>)</w:t>
      </w:r>
      <w:r w:rsidR="005F4269">
        <w:t>,</w:t>
      </w:r>
      <w:r w:rsidR="00B605D6">
        <w:t xml:space="preserve"> </w:t>
      </w:r>
      <w:r w:rsidR="00CF4DEC">
        <w:t xml:space="preserve">The variograms </w:t>
      </w:r>
      <w:r w:rsidR="00286170">
        <w:t>are used</w:t>
      </w:r>
      <w:r w:rsidR="005F4269">
        <w:t>,</w:t>
      </w:r>
      <w:r w:rsidR="00286170">
        <w:t xml:space="preserve"> in conjunct</w:t>
      </w:r>
      <w:r w:rsidR="005F4269">
        <w:t>ion</w:t>
      </w:r>
      <w:r w:rsidR="00286170">
        <w:t xml:space="preserve"> with</w:t>
      </w:r>
      <w:r w:rsidRPr="00F82E89">
        <w:t xml:space="preserve"> the </w:t>
      </w:r>
      <w:r w:rsidR="00A976CF" w:rsidRPr="00F82E89">
        <w:t xml:space="preserve">element </w:t>
      </w:r>
      <w:r w:rsidRPr="00F82E89">
        <w:t xml:space="preserve">proportion statistics derived from the input datasets (Table 2) to populate the SIS reservoir model. </w:t>
      </w:r>
    </w:p>
    <w:p w:rsidR="009D6925" w:rsidRDefault="009D6925" w:rsidP="002D1B0A">
      <w:r>
        <w:rPr>
          <w:noProof/>
          <w:lang w:eastAsia="en-GB"/>
        </w:rPr>
        <w:drawing>
          <wp:inline distT="0" distB="0" distL="0" distR="0">
            <wp:extent cx="5731510" cy="43916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_10_mitten_2019_revised.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4391660"/>
                    </a:xfrm>
                    <a:prstGeom prst="rect">
                      <a:avLst/>
                    </a:prstGeom>
                  </pic:spPr>
                </pic:pic>
              </a:graphicData>
            </a:graphic>
          </wp:inline>
        </w:drawing>
      </w:r>
    </w:p>
    <w:p w:rsidR="009D6925" w:rsidRPr="00F82E89" w:rsidRDefault="009D6925" w:rsidP="009D6925">
      <w:r w:rsidRPr="00F82E89">
        <w:rPr>
          <w:b/>
        </w:rPr>
        <w:t xml:space="preserve">Figure </w:t>
      </w:r>
      <w:r>
        <w:rPr>
          <w:b/>
        </w:rPr>
        <w:t>10</w:t>
      </w:r>
      <w:r w:rsidRPr="00F82E89">
        <w:t xml:space="preserve"> –</w:t>
      </w:r>
      <w:r>
        <w:t xml:space="preserve"> I</w:t>
      </w:r>
      <w:r w:rsidRPr="00F82E89">
        <w:t xml:space="preserve">ndicator variograms </w:t>
      </w:r>
      <w:r>
        <w:t xml:space="preserve">(coloured lines) </w:t>
      </w:r>
      <w:r w:rsidRPr="00F82E89">
        <w:t>showing the variance of the four architectural elements (DA = Downstream accretion element; CH = Channel element; LA = Lateral accretion element; TB = Thalweg bedform complex) across both data sets, providing input conditions for the SIS model iterations</w:t>
      </w:r>
      <w:r>
        <w:t>.</w:t>
      </w:r>
      <w:r w:rsidRPr="00F82E89">
        <w:t xml:space="preserve"> </w:t>
      </w:r>
      <w:r>
        <w:t xml:space="preserve">Respective experimental variograms (black lines) are also shown, </w:t>
      </w:r>
      <w:r w:rsidRPr="00F82E89">
        <w:t>see text for details.</w:t>
      </w:r>
    </w:p>
    <w:p w:rsidR="00DC795C" w:rsidRPr="00F82E89" w:rsidRDefault="00D63B26" w:rsidP="002D1B0A">
      <w:r w:rsidRPr="00F82E89">
        <w:t>The OBM</w:t>
      </w:r>
      <w:r w:rsidR="00531C65" w:rsidRPr="00F82E89">
        <w:t>s were generated using the downstream accretion element as the background</w:t>
      </w:r>
      <w:r w:rsidR="00E44E79">
        <w:t xml:space="preserve"> facies</w:t>
      </w:r>
      <w:r w:rsidR="00531C65" w:rsidRPr="00F82E89">
        <w:t xml:space="preserve">, as this is the host barform of the channels. The channels were built using the geometric and dimensional statistics derived from the outcrop and modern data sets (Table </w:t>
      </w:r>
      <w:r w:rsidR="00CE2C7C" w:rsidRPr="00F82E89">
        <w:t xml:space="preserve">2 and </w:t>
      </w:r>
      <w:r w:rsidR="00531C65" w:rsidRPr="00F82E89">
        <w:t xml:space="preserve">3), </w:t>
      </w:r>
      <w:r w:rsidR="005F4269">
        <w:t xml:space="preserve">with the </w:t>
      </w:r>
      <w:r w:rsidR="00531C65" w:rsidRPr="00F82E89">
        <w:t>channel sinuosity derived from the Jamuna River modern plan-view data</w:t>
      </w:r>
      <w:r w:rsidR="00A95A80">
        <w:t xml:space="preserve"> (Table 3)</w:t>
      </w:r>
      <w:r w:rsidR="00531C65" w:rsidRPr="00F82E89">
        <w:t>. Lateral accretion elements were constructed as ellipsoid bodies that erode into the downstream accretion elements, so as to maintain channel proportions</w:t>
      </w:r>
      <w:r w:rsidR="00A95A80">
        <w:t xml:space="preserve">. </w:t>
      </w:r>
      <w:r w:rsidR="00531C65" w:rsidRPr="00F82E89">
        <w:t>Thalweg bedform complex elements were modelled as small ellipses to erode into channel elements</w:t>
      </w:r>
      <w:r w:rsidR="005F4269">
        <w:t>,</w:t>
      </w:r>
      <w:r w:rsidR="00A7247D">
        <w:t xml:space="preserve"> and were trended to occur in the base and middle of the channel-fill elements, as they occur in the studied examples</w:t>
      </w:r>
      <w:r w:rsidR="00531C65" w:rsidRPr="00F82E89">
        <w:t>. These predefined shapes and relationships were modelled as a hierarchy within one-run</w:t>
      </w:r>
      <w:r w:rsidR="00085F04" w:rsidRPr="00F82E89">
        <w:t xml:space="preserve"> (Holden</w:t>
      </w:r>
      <w:r w:rsidR="000813E8">
        <w:t>,</w:t>
      </w:r>
      <w:r w:rsidR="00085F04" w:rsidRPr="00F82E89">
        <w:t xml:space="preserve"> 1998; Seifert and Jensen</w:t>
      </w:r>
      <w:r w:rsidR="000813E8">
        <w:t>,</w:t>
      </w:r>
      <w:r w:rsidR="00085F04" w:rsidRPr="00F82E89">
        <w:t xml:space="preserve"> 2000; Vevle </w:t>
      </w:r>
      <w:r w:rsidR="00517096" w:rsidRPr="00517096">
        <w:rPr>
          <w:i/>
        </w:rPr>
        <w:t>et al.,</w:t>
      </w:r>
      <w:r w:rsidR="00085F04" w:rsidRPr="00F82E89">
        <w:t xml:space="preserve"> 2018)</w:t>
      </w:r>
      <w:r w:rsidR="00531C65" w:rsidRPr="00F82E89">
        <w:t>, iteratively correcting to enable the elementary proportions (or global target fraction) to be maintained.</w:t>
      </w:r>
    </w:p>
    <w:p w:rsidR="00531C65" w:rsidRPr="00F82E89" w:rsidRDefault="001B7AC8" w:rsidP="00CD1601">
      <w:pPr>
        <w:pStyle w:val="Heading2"/>
        <w:numPr>
          <w:ilvl w:val="1"/>
          <w:numId w:val="1"/>
        </w:numPr>
      </w:pPr>
      <w:r>
        <w:t>Methods of m</w:t>
      </w:r>
      <w:r w:rsidR="00531C65" w:rsidRPr="00F82E89">
        <w:t>odel analysis</w:t>
      </w:r>
    </w:p>
    <w:p w:rsidR="00531C65" w:rsidRPr="00F82E89" w:rsidRDefault="00531C65" w:rsidP="00531C65">
      <w:r w:rsidRPr="00F82E89">
        <w:t xml:space="preserve">Qualitative analysis </w:t>
      </w:r>
      <w:r w:rsidR="00C124CE" w:rsidRPr="00F82E89">
        <w:t xml:space="preserve">was conducted </w:t>
      </w:r>
      <w:r w:rsidRPr="00F82E89">
        <w:t>through visual comparison</w:t>
      </w:r>
      <w:r w:rsidR="00C124CE" w:rsidRPr="00F82E89">
        <w:t xml:space="preserve"> of each model</w:t>
      </w:r>
      <w:r w:rsidR="00C33905">
        <w:t xml:space="preserve"> iteration individually,</w:t>
      </w:r>
      <w:r w:rsidR="00C124CE" w:rsidRPr="00F82E89">
        <w:t xml:space="preserve"> </w:t>
      </w:r>
      <w:r w:rsidR="00C33905">
        <w:t xml:space="preserve">and each model algorithm, </w:t>
      </w:r>
      <w:r w:rsidR="00C124CE" w:rsidRPr="00F82E89">
        <w:t>to test if</w:t>
      </w:r>
      <w:r w:rsidRPr="00F82E89">
        <w:t xml:space="preserve"> the </w:t>
      </w:r>
      <w:r w:rsidR="00C33905">
        <w:t xml:space="preserve">input parameters of depositional </w:t>
      </w:r>
      <w:r w:rsidRPr="00F82E89">
        <w:t xml:space="preserve">conditions imposed by the depositional environment had been </w:t>
      </w:r>
      <w:r w:rsidR="00C124CE" w:rsidRPr="00F82E89">
        <w:t xml:space="preserve">met. Quantitative whole model analysis was </w:t>
      </w:r>
      <w:r w:rsidR="00776AC1">
        <w:t xml:space="preserve">also </w:t>
      </w:r>
      <w:r w:rsidR="00C124CE" w:rsidRPr="00F82E89">
        <w:t>conducted</w:t>
      </w:r>
      <w:r w:rsidR="00B34433">
        <w:t xml:space="preserve"> by</w:t>
      </w:r>
      <w:r w:rsidR="00C124CE" w:rsidRPr="00F82E89">
        <w:t xml:space="preserve"> comparing </w:t>
      </w:r>
      <w:r w:rsidR="007548EC" w:rsidRPr="00F82E89">
        <w:t xml:space="preserve">dimensional </w:t>
      </w:r>
      <w:r w:rsidR="00C124CE" w:rsidRPr="00F82E89">
        <w:t>characteristics of i</w:t>
      </w:r>
      <w:r w:rsidR="007548EC" w:rsidRPr="00F82E89">
        <w:t xml:space="preserve">ndividual architectural elements </w:t>
      </w:r>
      <w:r w:rsidR="00C124CE" w:rsidRPr="00F82E89">
        <w:t xml:space="preserve">for each model </w:t>
      </w:r>
      <w:r w:rsidR="00C33905">
        <w:t>iteration</w:t>
      </w:r>
      <w:r w:rsidR="00C124CE" w:rsidRPr="00F82E89">
        <w:t xml:space="preserve">. </w:t>
      </w:r>
      <w:r w:rsidR="000E07FE" w:rsidRPr="00F82E89">
        <w:t>The results</w:t>
      </w:r>
      <w:r w:rsidR="00085F04" w:rsidRPr="00F82E89">
        <w:t xml:space="preserve"> of these </w:t>
      </w:r>
      <w:r w:rsidR="00E76116">
        <w:t xml:space="preserve">analyses </w:t>
      </w:r>
      <w:r w:rsidR="00085F04" w:rsidRPr="00F82E89">
        <w:t>w</w:t>
      </w:r>
      <w:r w:rsidR="000E07FE" w:rsidRPr="00F82E89">
        <w:t>ere compared to the</w:t>
      </w:r>
      <w:r w:rsidR="007548EC" w:rsidRPr="00F82E89">
        <w:t xml:space="preserve"> mean input data</w:t>
      </w:r>
      <w:r w:rsidR="00A976CF" w:rsidRPr="00F82E89">
        <w:t xml:space="preserve"> (Table 2 and 3)</w:t>
      </w:r>
      <w:r w:rsidR="00776AC1">
        <w:t>, with a</w:t>
      </w:r>
      <w:r w:rsidR="00C124CE" w:rsidRPr="00F82E89">
        <w:t xml:space="preserve">rchitectural element proportions </w:t>
      </w:r>
      <w:r w:rsidR="00776AC1">
        <w:t>also</w:t>
      </w:r>
      <w:r w:rsidR="00776AC1" w:rsidRPr="00F82E89">
        <w:t xml:space="preserve"> </w:t>
      </w:r>
      <w:r w:rsidR="000E07FE" w:rsidRPr="00F82E89">
        <w:t>compared to their target fractions</w:t>
      </w:r>
      <w:r w:rsidR="00C124CE" w:rsidRPr="00F82E89">
        <w:t xml:space="preserve">. Individual element thicknesses </w:t>
      </w:r>
      <w:r w:rsidR="00A976CF" w:rsidRPr="00F82E89">
        <w:t>for</w:t>
      </w:r>
      <w:r w:rsidR="00C124CE" w:rsidRPr="00F82E89">
        <w:t xml:space="preserve"> </w:t>
      </w:r>
      <w:r w:rsidR="00C33905">
        <w:t xml:space="preserve">each model iteration across the three </w:t>
      </w:r>
      <w:r w:rsidR="00C124CE" w:rsidRPr="00F82E89">
        <w:t>algorithm</w:t>
      </w:r>
      <w:r w:rsidR="00C33905">
        <w:t>s</w:t>
      </w:r>
      <w:r w:rsidR="00C124CE" w:rsidRPr="00F82E89">
        <w:t xml:space="preserve"> were measured a</w:t>
      </w:r>
      <w:r w:rsidR="007548EC" w:rsidRPr="00F82E89">
        <w:t>nd compared to the dispersion in mean</w:t>
      </w:r>
      <w:r w:rsidR="00A976CF" w:rsidRPr="00F82E89">
        <w:t xml:space="preserve"> element thicknesses</w:t>
      </w:r>
      <w:r w:rsidR="00C124CE" w:rsidRPr="00F82E89">
        <w:t xml:space="preserve">. Maximum </w:t>
      </w:r>
      <w:r w:rsidR="007548EC" w:rsidRPr="00F82E89">
        <w:t xml:space="preserve">element </w:t>
      </w:r>
      <w:r w:rsidR="00C124CE" w:rsidRPr="00F82E89">
        <w:t xml:space="preserve">unit thicknesses </w:t>
      </w:r>
      <w:r w:rsidR="00085F04" w:rsidRPr="00F82E89">
        <w:t>were</w:t>
      </w:r>
      <w:r w:rsidR="00C124CE" w:rsidRPr="00F82E89">
        <w:t xml:space="preserve"> also compared to see how the model algorithms replicated the extreme cases of the element simulations, and whether they produced any anomal</w:t>
      </w:r>
      <w:r w:rsidR="00085F04" w:rsidRPr="00F82E89">
        <w:t>ously thick element units that we</w:t>
      </w:r>
      <w:r w:rsidR="00C124CE" w:rsidRPr="00F82E89">
        <w:t>re unrealistic.</w:t>
      </w:r>
    </w:p>
    <w:p w:rsidR="00DC795C" w:rsidRPr="00F82E89" w:rsidRDefault="00C124CE" w:rsidP="00DC795C">
      <w:r w:rsidRPr="00F82E89">
        <w:t xml:space="preserve">Finally, </w:t>
      </w:r>
      <w:r w:rsidR="007548EC" w:rsidRPr="00F82E89">
        <w:t xml:space="preserve">a </w:t>
      </w:r>
      <w:r w:rsidR="00DC795C" w:rsidRPr="00F82E89">
        <w:t xml:space="preserve">single vertical well, penetrating the entire vertical extent of the model, was placed through the centraloid cell of all model iterations to provide a quantitative measure of </w:t>
      </w:r>
      <w:r w:rsidR="0007202A">
        <w:t xml:space="preserve">static </w:t>
      </w:r>
      <w:r w:rsidR="00B5325C" w:rsidRPr="00F82E89">
        <w:t>net-</w:t>
      </w:r>
      <w:r w:rsidRPr="00F82E89">
        <w:t>connectivity</w:t>
      </w:r>
      <w:r w:rsidR="0007202A">
        <w:t xml:space="preserve"> (Falivene </w:t>
      </w:r>
      <w:r w:rsidR="00517096" w:rsidRPr="00517096">
        <w:rPr>
          <w:i/>
        </w:rPr>
        <w:t>et al.,</w:t>
      </w:r>
      <w:r w:rsidR="0007202A">
        <w:t xml:space="preserve"> 2006)</w:t>
      </w:r>
      <w:r w:rsidRPr="00F82E89">
        <w:t>.</w:t>
      </w:r>
      <w:r w:rsidR="00DC795C" w:rsidRPr="00F82E89">
        <w:t xml:space="preserve"> </w:t>
      </w:r>
      <w:r w:rsidR="00D3297A">
        <w:t>Static net-connectivity,</w:t>
      </w:r>
      <w:r w:rsidR="0007202A">
        <w:t xml:space="preserve"> </w:t>
      </w:r>
      <w:r w:rsidR="005165A4">
        <w:t xml:space="preserve">also </w:t>
      </w:r>
      <w:r w:rsidR="0007202A">
        <w:t>known as reservoir-to-well</w:t>
      </w:r>
      <w:r w:rsidR="00D3297A">
        <w:t xml:space="preserve">, </w:t>
      </w:r>
      <w:r w:rsidR="00776AC1">
        <w:t xml:space="preserve">is </w:t>
      </w:r>
      <w:r w:rsidR="00DC795C" w:rsidRPr="00F82E89">
        <w:t xml:space="preserve">defined here as the volume of net-rock intersected and drainable by a single well (Laure and Hodavik, 2006, Hodavik and Larue, 2007). </w:t>
      </w:r>
      <w:r w:rsidR="00D3297A">
        <w:t>Quantitative measure</w:t>
      </w:r>
      <w:r w:rsidR="005D35B9">
        <w:t>s</w:t>
      </w:r>
      <w:r w:rsidR="00D3297A">
        <w:t xml:space="preserve"> of net-connectivity were</w:t>
      </w:r>
      <w:r w:rsidR="007E41D6" w:rsidRPr="00F82E89">
        <w:t xml:space="preserve"> supplemented by looking at the maximum, mean and </w:t>
      </w:r>
      <w:r w:rsidR="007548EC" w:rsidRPr="00F82E89">
        <w:t>variability</w:t>
      </w:r>
      <w:r w:rsidR="007E41D6" w:rsidRPr="00F82E89">
        <w:t xml:space="preserve"> in the thicknesses of net connectivity. This enabled</w:t>
      </w:r>
      <w:r w:rsidR="00776AC1">
        <w:t>,</w:t>
      </w:r>
      <w:r w:rsidR="007E41D6" w:rsidRPr="00F82E89">
        <w:t xml:space="preserve"> not only the proportion of interconnected net reservoir to be evaluated</w:t>
      </w:r>
      <w:r w:rsidR="00085F04" w:rsidRPr="00F82E89">
        <w:t>,</w:t>
      </w:r>
      <w:r w:rsidR="007E41D6" w:rsidRPr="00F82E89">
        <w:t xml:space="preserve"> but also the nature of the connections.</w:t>
      </w:r>
    </w:p>
    <w:p w:rsidR="006540F3" w:rsidRDefault="00B614DE">
      <w:pPr>
        <w:pStyle w:val="Heading2"/>
        <w:numPr>
          <w:ilvl w:val="1"/>
          <w:numId w:val="1"/>
        </w:numPr>
      </w:pPr>
      <w:r w:rsidRPr="00F82E89">
        <w:t>Qualitative model analysis</w:t>
      </w:r>
    </w:p>
    <w:p w:rsidR="00573921" w:rsidRDefault="00D61693" w:rsidP="00C82240">
      <w:r w:rsidRPr="00F82E89">
        <w:t xml:space="preserve">The depositionally-conditioned MPS models reproduced the distribution, geometry, dimensions and proportions of the modelled sedimentary architectures. The lateral accretion elements were always placed adjacent to the </w:t>
      </w:r>
      <w:r w:rsidR="0084342F" w:rsidRPr="00F82E89">
        <w:t>channel fill</w:t>
      </w:r>
      <w:r w:rsidRPr="00F82E89">
        <w:t xml:space="preserve"> and downstream accretion elements</w:t>
      </w:r>
      <w:r w:rsidR="0084342F" w:rsidRPr="00F82E89">
        <w:t>. The channel elements replicate</w:t>
      </w:r>
      <w:r w:rsidR="003C33A7" w:rsidRPr="00F82E89">
        <w:t>d</w:t>
      </w:r>
      <w:r w:rsidR="0084342F" w:rsidRPr="00F82E89">
        <w:t xml:space="preserve"> the ribbon-like plan view geometries of the depositional conditioning. The downstream accretion elements</w:t>
      </w:r>
      <w:r w:rsidRPr="00F82E89">
        <w:t xml:space="preserve"> </w:t>
      </w:r>
      <w:r w:rsidR="00BF0697" w:rsidRPr="00F82E89">
        <w:t>always displayed sensible</w:t>
      </w:r>
      <w:r w:rsidRPr="00F82E89">
        <w:t xml:space="preserve"> trends of thickening and thinning both laterally and vertically throughout the modelled volume</w:t>
      </w:r>
      <w:r w:rsidR="0084342F" w:rsidRPr="00F82E89">
        <w:t xml:space="preserve"> and commonly </w:t>
      </w:r>
      <w:r w:rsidR="003C33A7" w:rsidRPr="00F82E89">
        <w:t>occurred</w:t>
      </w:r>
      <w:r w:rsidR="0084342F" w:rsidRPr="00F82E89">
        <w:t xml:space="preserve"> as small discret</w:t>
      </w:r>
      <w:r w:rsidR="004A1DE9" w:rsidRPr="00F82E89">
        <w:t>e bar-like packages in plan-</w:t>
      </w:r>
      <w:r w:rsidR="0084342F" w:rsidRPr="00F82E89">
        <w:t>view</w:t>
      </w:r>
      <w:r w:rsidR="004A1DE9" w:rsidRPr="00F82E89">
        <w:t xml:space="preserve"> (</w:t>
      </w:r>
      <w:r w:rsidR="003C33A7" w:rsidRPr="00F82E89">
        <w:t>Figure 1</w:t>
      </w:r>
      <w:r w:rsidR="006413A6">
        <w:t>1</w:t>
      </w:r>
      <w:r w:rsidR="004A1DE9" w:rsidRPr="00F82E89">
        <w:t>)</w:t>
      </w:r>
      <w:r w:rsidRPr="00F82E89">
        <w:t xml:space="preserve">. Avulsion events were observed with both the channel and lateral accretion element architectures across the reservoir volume on similar scales to those observed in both ancient (Smith </w:t>
      </w:r>
      <w:r w:rsidR="00517096" w:rsidRPr="00517096">
        <w:rPr>
          <w:i/>
        </w:rPr>
        <w:t>et al.,</w:t>
      </w:r>
      <w:r w:rsidRPr="00F82E89">
        <w:t xml:space="preserve"> 1989; McLaurin and Stee</w:t>
      </w:r>
      <w:r w:rsidR="000813E8">
        <w:t>,</w:t>
      </w:r>
      <w:r w:rsidRPr="00F82E89">
        <w:t xml:space="preserve">l 2007; </w:t>
      </w:r>
      <w:r w:rsidR="002E77BE" w:rsidRPr="00F82E89">
        <w:t>Hajek</w:t>
      </w:r>
      <w:r w:rsidRPr="00F82E89">
        <w:t xml:space="preserve"> and Heller</w:t>
      </w:r>
      <w:r w:rsidR="000813E8">
        <w:t>,</w:t>
      </w:r>
      <w:r w:rsidRPr="00F82E89">
        <w:t xml:space="preserve"> 2012; Li </w:t>
      </w:r>
      <w:r w:rsidR="00517096" w:rsidRPr="00517096">
        <w:rPr>
          <w:i/>
        </w:rPr>
        <w:t>et al.,</w:t>
      </w:r>
      <w:r w:rsidRPr="00F82E89">
        <w:t xml:space="preserve"> 2015</w:t>
      </w:r>
      <w:r w:rsidR="00B558A9" w:rsidRPr="00F82E89">
        <w:t xml:space="preserve">) and </w:t>
      </w:r>
      <w:r w:rsidRPr="00F82E89">
        <w:t xml:space="preserve">modern systems (Bristow </w:t>
      </w:r>
      <w:r w:rsidR="00517096" w:rsidRPr="00517096">
        <w:rPr>
          <w:i/>
        </w:rPr>
        <w:t>et al.,</w:t>
      </w:r>
      <w:r w:rsidRPr="00F82E89">
        <w:t xml:space="preserve"> 1999; Pickering </w:t>
      </w:r>
      <w:r w:rsidR="00517096" w:rsidRPr="00517096">
        <w:rPr>
          <w:i/>
        </w:rPr>
        <w:t>et al.,</w:t>
      </w:r>
      <w:r w:rsidRPr="00F82E89">
        <w:t xml:space="preserve"> 2014; Sarker </w:t>
      </w:r>
      <w:r w:rsidR="00517096" w:rsidRPr="00517096">
        <w:rPr>
          <w:i/>
        </w:rPr>
        <w:t>et al.,</w:t>
      </w:r>
      <w:r w:rsidRPr="00F82E89">
        <w:t xml:space="preserve"> 2014). </w:t>
      </w:r>
      <w:r w:rsidR="00B558A9" w:rsidRPr="00F82E89">
        <w:t>Thalweg bedform complex elements</w:t>
      </w:r>
      <w:r w:rsidR="003C33A7" w:rsidRPr="00F82E89">
        <w:t xml:space="preserve"> we</w:t>
      </w:r>
      <w:r w:rsidR="0084342F" w:rsidRPr="00F82E89">
        <w:t xml:space="preserve">re only observed within channel </w:t>
      </w:r>
      <w:r w:rsidR="00B558A9" w:rsidRPr="00F82E89">
        <w:t>fills</w:t>
      </w:r>
      <w:r w:rsidR="0084342F" w:rsidRPr="00F82E89">
        <w:t xml:space="preserve">. </w:t>
      </w:r>
      <w:r w:rsidR="004C3B0B">
        <w:t>However, t</w:t>
      </w:r>
      <w:r w:rsidR="0084342F" w:rsidRPr="00F82E89">
        <w:t xml:space="preserve">he </w:t>
      </w:r>
      <w:r w:rsidR="005D35B9">
        <w:t xml:space="preserve">square </w:t>
      </w:r>
      <w:r w:rsidR="0084342F" w:rsidRPr="00F82E89">
        <w:t>geometry of some of the smaller depositional elements (lateral accretion and thalweg bedform complex elements) appear</w:t>
      </w:r>
      <w:r w:rsidR="003C33A7" w:rsidRPr="00F82E89">
        <w:t>ed</w:t>
      </w:r>
      <w:r w:rsidR="0084342F" w:rsidRPr="00F82E89">
        <w:t xml:space="preserve"> to differ from the original input data, with square geometries in cross section. </w:t>
      </w:r>
    </w:p>
    <w:p w:rsidR="00202D81" w:rsidRDefault="009D6925" w:rsidP="00202D81">
      <w:pPr>
        <w:jc w:val="center"/>
      </w:pPr>
      <w:r>
        <w:rPr>
          <w:noProof/>
          <w:lang w:eastAsia="en-GB"/>
        </w:rPr>
        <w:drawing>
          <wp:inline distT="0" distB="0" distL="0" distR="0">
            <wp:extent cx="5731510" cy="50444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_11_mitten_2019_revised.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5044440"/>
                    </a:xfrm>
                    <a:prstGeom prst="rect">
                      <a:avLst/>
                    </a:prstGeom>
                  </pic:spPr>
                </pic:pic>
              </a:graphicData>
            </a:graphic>
          </wp:inline>
        </w:drawing>
      </w:r>
    </w:p>
    <w:p w:rsidR="009D6925" w:rsidRDefault="009D6925" w:rsidP="009D6925">
      <w:r w:rsidRPr="00F82E89">
        <w:rPr>
          <w:b/>
        </w:rPr>
        <w:t>Figure 1</w:t>
      </w:r>
      <w:r>
        <w:rPr>
          <w:b/>
        </w:rPr>
        <w:t>1</w:t>
      </w:r>
      <w:r w:rsidRPr="00F82E89">
        <w:rPr>
          <w:b/>
        </w:rPr>
        <w:t xml:space="preserve"> - </w:t>
      </w:r>
      <w:r w:rsidRPr="00F82E89">
        <w:t xml:space="preserve">Comparison of (A) Multi-point statistics (MPS)-, (B) sequential indicator simulation (SIS)-generated and (C) Object-based (OBM) reservoir models as whole models and in cross-sections. Models were generated using the same input parameters derived from the outcrop and modern studies (see text for details). A) MPS model generated from the training image shown in figure </w:t>
      </w:r>
      <w:r>
        <w:t>9</w:t>
      </w:r>
      <w:r w:rsidRPr="00F82E89">
        <w:t xml:space="preserve">. This evidences thin and laterally restricted baffles, individual plan-view downstream accretion elements that showed some recognisable geometries and thin and fragmented net connectivity in cross section. B) SIS model generated from the variograms (Figure </w:t>
      </w:r>
      <w:r>
        <w:t>10</w:t>
      </w:r>
      <w:r w:rsidRPr="00F82E89">
        <w:t xml:space="preserve">; see text). Model shows large and connected net reservoir and thick laterally extensive amalgamations of non-net baffle heterogeneity. C) OBM models generated from the quantitative statistics extracted to make the depositional conditioning rules. Model shows an over-connected net reservoir and thicker preserved channel elements. Note, </w:t>
      </w:r>
      <w:r>
        <w:t>all models have</w:t>
      </w:r>
      <w:r w:rsidRPr="00F82E89">
        <w:t xml:space="preserve"> a 20x vertical exaggeration.</w:t>
      </w:r>
    </w:p>
    <w:p w:rsidR="00E761F4" w:rsidRPr="00F82E89" w:rsidRDefault="0084342F" w:rsidP="00C82240">
      <w:r w:rsidRPr="00F82E89">
        <w:t>The SIS generated models honoured some realistic depositional rules. For example, lateral accretion elements were generally adjacent to channel fill elements. Ho</w:t>
      </w:r>
      <w:r w:rsidR="00B558A9" w:rsidRPr="00F82E89">
        <w:t xml:space="preserve">wever, lateral accretion </w:t>
      </w:r>
      <w:r w:rsidRPr="00F82E89">
        <w:t xml:space="preserve">elements were </w:t>
      </w:r>
      <w:r w:rsidR="004C3B0B">
        <w:t xml:space="preserve">typically </w:t>
      </w:r>
      <w:r w:rsidRPr="00F82E89">
        <w:t xml:space="preserve">represented as one large unit rather than </w:t>
      </w:r>
      <w:r w:rsidR="004C3B0B">
        <w:t xml:space="preserve">separate, </w:t>
      </w:r>
      <w:r w:rsidRPr="00F82E89">
        <w:t>small</w:t>
      </w:r>
      <w:r w:rsidR="00B558A9" w:rsidRPr="00F82E89">
        <w:t>er</w:t>
      </w:r>
      <w:r w:rsidRPr="00F82E89">
        <w:t xml:space="preserve"> discrete </w:t>
      </w:r>
      <w:r w:rsidR="00B558A9" w:rsidRPr="00F82E89">
        <w:t>elements</w:t>
      </w:r>
      <w:r w:rsidRPr="00F82E89">
        <w:t xml:space="preserve">, and the model </w:t>
      </w:r>
      <w:r w:rsidR="00473D60">
        <w:t xml:space="preserve">did not </w:t>
      </w:r>
      <w:r w:rsidRPr="00F82E89">
        <w:t>recreate the long ribbon</w:t>
      </w:r>
      <w:r w:rsidR="00473D60">
        <w:t>-</w:t>
      </w:r>
      <w:r w:rsidRPr="00F82E89">
        <w:t>like</w:t>
      </w:r>
      <w:r w:rsidR="00896C7A">
        <w:t>,</w:t>
      </w:r>
      <w:r w:rsidRPr="00F82E89">
        <w:t xml:space="preserve"> </w:t>
      </w:r>
      <w:r w:rsidR="00473D60">
        <w:t xml:space="preserve">cross-cutting </w:t>
      </w:r>
      <w:r w:rsidRPr="00F82E89">
        <w:t>planforms of the channel element. The thalweg bedform complex</w:t>
      </w:r>
      <w:r w:rsidR="004C3B0B">
        <w:t>es</w:t>
      </w:r>
      <w:r w:rsidRPr="00F82E89">
        <w:t xml:space="preserve"> were not confined to the channel elements and were again reproduced </w:t>
      </w:r>
      <w:r w:rsidR="002E21EC" w:rsidRPr="00F82E89">
        <w:t>a</w:t>
      </w:r>
      <w:r w:rsidR="00B558A9" w:rsidRPr="00F82E89">
        <w:t>t</w:t>
      </w:r>
      <w:r w:rsidR="002E21EC" w:rsidRPr="00F82E89">
        <w:t xml:space="preserve"> a </w:t>
      </w:r>
      <w:r w:rsidR="00B558A9" w:rsidRPr="00F82E89">
        <w:t>much larger scale</w:t>
      </w:r>
      <w:r w:rsidR="002E21EC" w:rsidRPr="00F82E89">
        <w:t xml:space="preserve"> </w:t>
      </w:r>
      <w:r w:rsidR="0098471C" w:rsidRPr="00F82E89">
        <w:t>than was</w:t>
      </w:r>
      <w:r w:rsidRPr="00F82E89">
        <w:t xml:space="preserve"> realistic (Figure 1</w:t>
      </w:r>
      <w:r w:rsidR="006413A6">
        <w:t>1</w:t>
      </w:r>
      <w:r w:rsidRPr="00F82E89">
        <w:t xml:space="preserve">). Very large </w:t>
      </w:r>
      <w:r w:rsidR="004C3B0B">
        <w:t>volumes</w:t>
      </w:r>
      <w:r w:rsidR="00473D60">
        <w:t xml:space="preserve"> of </w:t>
      </w:r>
      <w:r w:rsidRPr="00F82E89">
        <w:t xml:space="preserve">downstream accretion elements </w:t>
      </w:r>
      <w:r w:rsidR="00896C7A">
        <w:t>we</w:t>
      </w:r>
      <w:r w:rsidR="00473D60">
        <w:t>re connected</w:t>
      </w:r>
      <w:r w:rsidR="002E21EC" w:rsidRPr="00F82E89">
        <w:t xml:space="preserve"> </w:t>
      </w:r>
      <w:r w:rsidRPr="00F82E89">
        <w:t>(Figure 1</w:t>
      </w:r>
      <w:r w:rsidR="006413A6">
        <w:t>1</w:t>
      </w:r>
      <w:r w:rsidR="004A1DE9" w:rsidRPr="00F82E89">
        <w:t>)</w:t>
      </w:r>
      <w:r w:rsidRPr="00F82E89">
        <w:t>.</w:t>
      </w:r>
      <w:r w:rsidR="0063691D" w:rsidRPr="00F82E89">
        <w:t xml:space="preserve"> </w:t>
      </w:r>
    </w:p>
    <w:p w:rsidR="008C0DA7" w:rsidRPr="00F82E89" w:rsidRDefault="008C0DA7" w:rsidP="00C82240">
      <w:r w:rsidRPr="00F82E89">
        <w:t xml:space="preserve">The </w:t>
      </w:r>
      <w:r w:rsidR="00D63B26" w:rsidRPr="00F82E89">
        <w:t>OBM</w:t>
      </w:r>
      <w:r w:rsidRPr="00F82E89">
        <w:t>s produce</w:t>
      </w:r>
      <w:r w:rsidR="0098471C" w:rsidRPr="00F82E89">
        <w:t>d</w:t>
      </w:r>
      <w:r w:rsidRPr="00F82E89">
        <w:t xml:space="preserve"> channels that show</w:t>
      </w:r>
      <w:r w:rsidR="0098471C" w:rsidRPr="00F82E89">
        <w:t>ed</w:t>
      </w:r>
      <w:r w:rsidRPr="00F82E89">
        <w:t xml:space="preserve"> distinct concave-up geometries and amalgamations brought on by avulsion events.</w:t>
      </w:r>
      <w:r w:rsidR="0098471C" w:rsidRPr="00F82E89">
        <w:t xml:space="preserve"> The thalweg bedform complexes we</w:t>
      </w:r>
      <w:r w:rsidRPr="00F82E89">
        <w:t>re replicated to be only within the channel</w:t>
      </w:r>
      <w:r w:rsidR="00473D60">
        <w:t xml:space="preserve"> elements, and were mostly located in the middle to basal portions of the channel elements</w:t>
      </w:r>
      <w:r w:rsidR="004A1DE9" w:rsidRPr="00F82E89">
        <w:t xml:space="preserve"> (</w:t>
      </w:r>
      <w:r w:rsidR="0098471C" w:rsidRPr="00F82E89">
        <w:t>Figure 1</w:t>
      </w:r>
      <w:r w:rsidR="006413A6">
        <w:t>1</w:t>
      </w:r>
      <w:r w:rsidR="004A1DE9" w:rsidRPr="00F82E89">
        <w:t>)</w:t>
      </w:r>
      <w:r w:rsidRPr="00F82E89">
        <w:t>. The lateral accretion elements form</w:t>
      </w:r>
      <w:r w:rsidR="0098471C" w:rsidRPr="00F82E89">
        <w:t>ed</w:t>
      </w:r>
      <w:r w:rsidRPr="00F82E89">
        <w:t xml:space="preserve"> el</w:t>
      </w:r>
      <w:r w:rsidR="0098471C" w:rsidRPr="00F82E89">
        <w:t>lipse plan</w:t>
      </w:r>
      <w:r w:rsidR="005D35B9">
        <w:t>-</w:t>
      </w:r>
      <w:r w:rsidR="0098471C" w:rsidRPr="00F82E89">
        <w:t>view geometries and we</w:t>
      </w:r>
      <w:r w:rsidRPr="00F82E89">
        <w:t>re adjacent to channel elements in the majority of cases.</w:t>
      </w:r>
      <w:r w:rsidR="000F2770" w:rsidRPr="00F82E89">
        <w:t xml:space="preserve"> Downstream accretion elements have over-represented thickness and show</w:t>
      </w:r>
      <w:r w:rsidR="0098471C" w:rsidRPr="00F82E89">
        <w:t>ed</w:t>
      </w:r>
      <w:r w:rsidR="000F2770" w:rsidRPr="00F82E89">
        <w:t xml:space="preserve"> no </w:t>
      </w:r>
      <w:r w:rsidR="00B558A9" w:rsidRPr="00F82E89">
        <w:t>discernible</w:t>
      </w:r>
      <w:r w:rsidR="000F2770" w:rsidRPr="00F82E89">
        <w:t xml:space="preserve"> geometry as they have been modelled as background sedimentation. </w:t>
      </w:r>
    </w:p>
    <w:p w:rsidR="006540F3" w:rsidRDefault="000F2770">
      <w:pPr>
        <w:pStyle w:val="Heading2"/>
        <w:numPr>
          <w:ilvl w:val="1"/>
          <w:numId w:val="1"/>
        </w:numPr>
      </w:pPr>
      <w:r w:rsidRPr="00F82E89">
        <w:t xml:space="preserve">Quantitative model analysis </w:t>
      </w:r>
    </w:p>
    <w:p w:rsidR="000F2770" w:rsidRDefault="000F2770" w:rsidP="000F2770">
      <w:r w:rsidRPr="00F82E89">
        <w:t xml:space="preserve">The MPS models underestimated the </w:t>
      </w:r>
      <w:r w:rsidR="00AE5AE4" w:rsidRPr="00F82E89">
        <w:t>thalweg</w:t>
      </w:r>
      <w:r w:rsidRPr="00F82E89">
        <w:t xml:space="preserve"> bedform </w:t>
      </w:r>
      <w:r w:rsidR="00AE5AE4" w:rsidRPr="00F82E89">
        <w:t xml:space="preserve">complex </w:t>
      </w:r>
      <w:r w:rsidRPr="00F82E89">
        <w:t xml:space="preserve">proportions and downstream accretion elements by ~2% and overestimated channel elements by ~3%. The MPS algorithm underestimated the </w:t>
      </w:r>
      <w:r w:rsidR="00E70AB4" w:rsidRPr="00F82E89">
        <w:t xml:space="preserve">mean </w:t>
      </w:r>
      <w:r w:rsidRPr="00F82E89">
        <w:t xml:space="preserve">thickness of the elements relative to the </w:t>
      </w:r>
      <w:r w:rsidR="009A4E79">
        <w:t>input data</w:t>
      </w:r>
      <w:r w:rsidRPr="00F82E89">
        <w:t xml:space="preserve"> </w:t>
      </w:r>
      <w:r w:rsidR="004C3B0B">
        <w:t>and reproduced</w:t>
      </w:r>
      <w:r w:rsidR="009A4E79" w:rsidRPr="00F82E89">
        <w:t xml:space="preserve"> </w:t>
      </w:r>
      <w:r w:rsidRPr="00F82E89">
        <w:t xml:space="preserve">more of the minimum </w:t>
      </w:r>
      <w:r w:rsidR="009A4E79">
        <w:t>element</w:t>
      </w:r>
      <w:r w:rsidRPr="00F82E89">
        <w:t xml:space="preserve"> thicknesses</w:t>
      </w:r>
      <w:r w:rsidR="004A1DE9" w:rsidRPr="00F82E89">
        <w:t xml:space="preserve"> (Figure 1</w:t>
      </w:r>
      <w:r w:rsidR="006413A6">
        <w:t>2</w:t>
      </w:r>
      <w:r w:rsidR="00D133F5" w:rsidRPr="00F82E89">
        <w:t>; Table 4</w:t>
      </w:r>
      <w:r w:rsidR="004A1DE9" w:rsidRPr="00F82E89">
        <w:t>)</w:t>
      </w:r>
      <w:r w:rsidRPr="00F82E89">
        <w:t xml:space="preserve">. The </w:t>
      </w:r>
      <w:r w:rsidR="009A4E79">
        <w:t>deviation away from the</w:t>
      </w:r>
      <w:r w:rsidRPr="00F82E89">
        <w:t xml:space="preserve"> </w:t>
      </w:r>
      <w:r w:rsidR="00E70AB4" w:rsidRPr="00F82E89">
        <w:t xml:space="preserve">mean </w:t>
      </w:r>
      <w:r w:rsidR="000357DC">
        <w:t xml:space="preserve">element </w:t>
      </w:r>
      <w:r w:rsidRPr="00F82E89">
        <w:t xml:space="preserve">thicknesses </w:t>
      </w:r>
      <w:r w:rsidR="00896C7A">
        <w:t>we</w:t>
      </w:r>
      <w:r w:rsidR="009A4E79">
        <w:t>re</w:t>
      </w:r>
      <w:r w:rsidRPr="00F82E89">
        <w:t xml:space="preserve"> well replicated</w:t>
      </w:r>
      <w:r w:rsidR="000357DC">
        <w:t>,</w:t>
      </w:r>
      <w:r w:rsidRPr="00F82E89">
        <w:t xml:space="preserve"> </w:t>
      </w:r>
      <w:r w:rsidR="0098471C" w:rsidRPr="00F82E89">
        <w:t>except for</w:t>
      </w:r>
      <w:r w:rsidRPr="00F82E89">
        <w:t xml:space="preserve"> the lateral accretion element</w:t>
      </w:r>
      <w:r w:rsidR="00896C7A">
        <w:t>s</w:t>
      </w:r>
      <w:r w:rsidR="000357DC">
        <w:t>. The lateral accretion elements show</w:t>
      </w:r>
      <w:r w:rsidR="00896C7A">
        <w:t>ed</w:t>
      </w:r>
      <w:r w:rsidR="000357DC">
        <w:t xml:space="preserve"> a lower </w:t>
      </w:r>
      <w:r w:rsidR="000357DC" w:rsidRPr="009F3A4D">
        <w:t>mean thickness</w:t>
      </w:r>
      <w:r w:rsidR="000357DC">
        <w:t xml:space="preserve"> </w:t>
      </w:r>
      <w:r w:rsidR="00142EB6">
        <w:t xml:space="preserve">(0.60 m) </w:t>
      </w:r>
      <w:r w:rsidR="000357DC">
        <w:t xml:space="preserve">and a </w:t>
      </w:r>
      <w:r w:rsidR="000357DC" w:rsidRPr="009F3A4D">
        <w:t>lower variation</w:t>
      </w:r>
      <w:r w:rsidR="000357DC">
        <w:t xml:space="preserve"> </w:t>
      </w:r>
      <w:r w:rsidR="00142EB6">
        <w:t xml:space="preserve">(Covariance (Cv) = 0.39) </w:t>
      </w:r>
      <w:r w:rsidR="000357DC">
        <w:t>in thickness across their reproduction in the MPS models</w:t>
      </w:r>
      <w:r w:rsidR="00AE5AE4" w:rsidRPr="00F82E89">
        <w:t>.</w:t>
      </w:r>
      <w:r w:rsidRPr="00F82E89">
        <w:t xml:space="preserve"> The maximum thicknesses of the elem</w:t>
      </w:r>
      <w:r w:rsidR="002042F1" w:rsidRPr="00F82E89">
        <w:t>ents produced within the model we</w:t>
      </w:r>
      <w:r w:rsidRPr="00F82E89">
        <w:t>re realistic and approximately replicate</w:t>
      </w:r>
      <w:r w:rsidR="002042F1" w:rsidRPr="00F82E89">
        <w:t>d</w:t>
      </w:r>
      <w:r w:rsidRPr="00F82E89">
        <w:t xml:space="preserve"> those seen within the input data. </w:t>
      </w:r>
    </w:p>
    <w:tbl>
      <w:tblPr>
        <w:tblW w:w="7220" w:type="dxa"/>
        <w:tblLook w:val="04A0" w:firstRow="1" w:lastRow="0" w:firstColumn="1" w:lastColumn="0" w:noHBand="0" w:noVBand="1"/>
      </w:tblPr>
      <w:tblGrid>
        <w:gridCol w:w="1199"/>
        <w:gridCol w:w="2180"/>
        <w:gridCol w:w="641"/>
        <w:gridCol w:w="1060"/>
        <w:gridCol w:w="1180"/>
        <w:gridCol w:w="960"/>
      </w:tblGrid>
      <w:tr w:rsidR="009D6925" w:rsidRPr="00F82E89" w:rsidTr="00ED0AF5">
        <w:trPr>
          <w:trHeight w:val="664"/>
        </w:trPr>
        <w:tc>
          <w:tcPr>
            <w:tcW w:w="1199" w:type="dxa"/>
            <w:tcBorders>
              <w:top w:val="nil"/>
              <w:left w:val="nil"/>
              <w:right w:val="single" w:sz="4" w:space="0" w:color="auto"/>
            </w:tcBorders>
            <w:shd w:val="clear" w:color="auto" w:fill="auto"/>
            <w:hideMark/>
          </w:tcPr>
          <w:p w:rsidR="009D6925" w:rsidRPr="00F82E89" w:rsidRDefault="009D6925" w:rsidP="00ED0AF5">
            <w:pPr>
              <w:spacing w:after="0" w:line="240" w:lineRule="auto"/>
              <w:rPr>
                <w:rFonts w:eastAsia="Times New Roman" w:cstheme="minorHAnsi"/>
                <w:sz w:val="18"/>
                <w:szCs w:val="18"/>
                <w:lang w:eastAsia="en-GB"/>
              </w:rPr>
            </w:pPr>
          </w:p>
        </w:tc>
        <w:tc>
          <w:tcPr>
            <w:tcW w:w="2821" w:type="dxa"/>
            <w:gridSpan w:val="2"/>
            <w:tcBorders>
              <w:top w:val="nil"/>
              <w:left w:val="single" w:sz="4" w:space="0" w:color="auto"/>
              <w:bottom w:val="single" w:sz="4" w:space="0" w:color="auto"/>
              <w:right w:val="single" w:sz="4" w:space="0" w:color="auto"/>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Statistic</w:t>
            </w:r>
          </w:p>
        </w:tc>
        <w:tc>
          <w:tcPr>
            <w:tcW w:w="1060" w:type="dxa"/>
            <w:tcBorders>
              <w:top w:val="nil"/>
              <w:left w:val="single" w:sz="4" w:space="0" w:color="auto"/>
              <w:bottom w:val="single" w:sz="4" w:space="0" w:color="auto"/>
              <w:right w:val="nil"/>
            </w:tcBorders>
            <w:shd w:val="clear" w:color="auto" w:fill="auto"/>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Multi-point statistics</w:t>
            </w:r>
          </w:p>
        </w:tc>
        <w:tc>
          <w:tcPr>
            <w:tcW w:w="1180" w:type="dxa"/>
            <w:tcBorders>
              <w:top w:val="nil"/>
              <w:left w:val="nil"/>
              <w:bottom w:val="single" w:sz="4" w:space="0" w:color="auto"/>
              <w:right w:val="nil"/>
            </w:tcBorders>
            <w:shd w:val="clear" w:color="auto" w:fill="auto"/>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Sequential-indicator simulation</w:t>
            </w:r>
          </w:p>
        </w:tc>
        <w:tc>
          <w:tcPr>
            <w:tcW w:w="960" w:type="dxa"/>
            <w:tcBorders>
              <w:top w:val="nil"/>
              <w:left w:val="nil"/>
              <w:bottom w:val="single" w:sz="4" w:space="0" w:color="auto"/>
              <w:right w:val="nil"/>
            </w:tcBorders>
            <w:shd w:val="clear" w:color="auto" w:fill="auto"/>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Object-based models</w:t>
            </w:r>
          </w:p>
        </w:tc>
      </w:tr>
      <w:tr w:rsidR="009D6925" w:rsidRPr="00F82E89" w:rsidTr="00ED0AF5">
        <w:trPr>
          <w:trHeight w:val="149"/>
        </w:trPr>
        <w:tc>
          <w:tcPr>
            <w:tcW w:w="1199" w:type="dxa"/>
            <w:vMerge w:val="restart"/>
            <w:tcBorders>
              <w:top w:val="single" w:sz="4" w:space="0" w:color="auto"/>
              <w:left w:val="nil"/>
              <w:bottom w:val="nil"/>
              <w:right w:val="single" w:sz="4" w:space="0" w:color="auto"/>
            </w:tcBorders>
            <w:shd w:val="clear" w:color="auto" w:fill="auto"/>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Downstream accretion element</w:t>
            </w:r>
          </w:p>
        </w:tc>
        <w:tc>
          <w:tcPr>
            <w:tcW w:w="2180" w:type="dxa"/>
            <w:vMerge w:val="restart"/>
            <w:tcBorders>
              <w:top w:val="single" w:sz="4" w:space="0" w:color="auto"/>
              <w:left w:val="single" w:sz="4" w:space="0" w:color="auto"/>
              <w:bottom w:val="single" w:sz="4" w:space="0" w:color="auto"/>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Proportions</w:t>
            </w:r>
          </w:p>
        </w:tc>
        <w:tc>
          <w:tcPr>
            <w:tcW w:w="641" w:type="dxa"/>
            <w:tcBorders>
              <w:top w:val="single" w:sz="4" w:space="0" w:color="auto"/>
              <w:left w:val="nil"/>
              <w:bottom w:val="single" w:sz="4" w:space="0" w:color="auto"/>
              <w:right w:val="single" w:sz="4" w:space="0" w:color="auto"/>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Min.</w:t>
            </w:r>
          </w:p>
        </w:tc>
        <w:tc>
          <w:tcPr>
            <w:tcW w:w="1060" w:type="dxa"/>
            <w:tcBorders>
              <w:top w:val="single" w:sz="4" w:space="0" w:color="auto"/>
              <w:left w:val="single" w:sz="4" w:space="0" w:color="auto"/>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Pr>
                <w:rFonts w:eastAsia="Times New Roman" w:cstheme="minorHAnsi"/>
                <w:sz w:val="18"/>
                <w:szCs w:val="18"/>
                <w:lang w:eastAsia="en-GB"/>
              </w:rPr>
              <w:t>49.7</w:t>
            </w:r>
          </w:p>
        </w:tc>
        <w:tc>
          <w:tcPr>
            <w:tcW w:w="1180" w:type="dxa"/>
            <w:tcBorders>
              <w:top w:val="single" w:sz="4" w:space="0" w:color="auto"/>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49.26</w:t>
            </w:r>
          </w:p>
        </w:tc>
        <w:tc>
          <w:tcPr>
            <w:tcW w:w="960" w:type="dxa"/>
            <w:tcBorders>
              <w:top w:val="single" w:sz="4" w:space="0" w:color="auto"/>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4</w:t>
            </w:r>
            <w:r>
              <w:rPr>
                <w:rFonts w:eastAsia="Times New Roman" w:cstheme="minorHAnsi"/>
                <w:sz w:val="18"/>
                <w:szCs w:val="18"/>
                <w:lang w:eastAsia="en-GB"/>
              </w:rPr>
              <w:t>9.62</w:t>
            </w:r>
          </w:p>
        </w:tc>
      </w:tr>
      <w:tr w:rsidR="009D6925" w:rsidRPr="00F82E89" w:rsidTr="00ED0AF5">
        <w:trPr>
          <w:trHeight w:val="210"/>
        </w:trPr>
        <w:tc>
          <w:tcPr>
            <w:tcW w:w="1199" w:type="dxa"/>
            <w:vMerge/>
            <w:tcBorders>
              <w:top w:val="single" w:sz="4" w:space="0" w:color="auto"/>
              <w:left w:val="nil"/>
              <w:bottom w:val="nil"/>
              <w:right w:val="single" w:sz="4" w:space="0" w:color="auto"/>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2180" w:type="dxa"/>
            <w:vMerge/>
            <w:tcBorders>
              <w:top w:val="single" w:sz="4" w:space="0" w:color="auto"/>
              <w:left w:val="single" w:sz="4" w:space="0" w:color="auto"/>
              <w:bottom w:val="single" w:sz="4" w:space="0" w:color="auto"/>
              <w:right w:val="nil"/>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641" w:type="dxa"/>
            <w:tcBorders>
              <w:top w:val="single" w:sz="4" w:space="0" w:color="auto"/>
              <w:left w:val="nil"/>
              <w:bottom w:val="single" w:sz="4" w:space="0" w:color="auto"/>
              <w:right w:val="single" w:sz="4" w:space="0" w:color="auto"/>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Mean</w:t>
            </w:r>
          </w:p>
        </w:tc>
        <w:tc>
          <w:tcPr>
            <w:tcW w:w="1060" w:type="dxa"/>
            <w:tcBorders>
              <w:top w:val="nil"/>
              <w:left w:val="single" w:sz="4" w:space="0" w:color="auto"/>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50.48</w:t>
            </w:r>
          </w:p>
        </w:tc>
        <w:tc>
          <w:tcPr>
            <w:tcW w:w="1180" w:type="dxa"/>
            <w:tcBorders>
              <w:top w:val="nil"/>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50.84</w:t>
            </w:r>
          </w:p>
        </w:tc>
        <w:tc>
          <w:tcPr>
            <w:tcW w:w="960" w:type="dxa"/>
            <w:tcBorders>
              <w:top w:val="nil"/>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Pr>
                <w:rFonts w:eastAsia="Times New Roman" w:cstheme="minorHAnsi"/>
                <w:sz w:val="18"/>
                <w:szCs w:val="18"/>
                <w:lang w:eastAsia="en-GB"/>
              </w:rPr>
              <w:t>51.77</w:t>
            </w:r>
          </w:p>
        </w:tc>
      </w:tr>
      <w:tr w:rsidR="009D6925" w:rsidRPr="00F82E89" w:rsidTr="00ED0AF5">
        <w:trPr>
          <w:trHeight w:val="127"/>
        </w:trPr>
        <w:tc>
          <w:tcPr>
            <w:tcW w:w="1199" w:type="dxa"/>
            <w:vMerge/>
            <w:tcBorders>
              <w:top w:val="single" w:sz="4" w:space="0" w:color="auto"/>
              <w:left w:val="nil"/>
              <w:bottom w:val="nil"/>
              <w:right w:val="single" w:sz="4" w:space="0" w:color="auto"/>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2180" w:type="dxa"/>
            <w:vMerge/>
            <w:tcBorders>
              <w:top w:val="single" w:sz="4" w:space="0" w:color="auto"/>
              <w:left w:val="single" w:sz="4" w:space="0" w:color="auto"/>
              <w:bottom w:val="single" w:sz="4" w:space="0" w:color="auto"/>
              <w:right w:val="nil"/>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641" w:type="dxa"/>
            <w:tcBorders>
              <w:top w:val="single" w:sz="4" w:space="0" w:color="auto"/>
              <w:left w:val="nil"/>
              <w:bottom w:val="single" w:sz="4" w:space="0" w:color="auto"/>
              <w:right w:val="single" w:sz="4" w:space="0" w:color="auto"/>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Max.</w:t>
            </w:r>
          </w:p>
        </w:tc>
        <w:tc>
          <w:tcPr>
            <w:tcW w:w="1060" w:type="dxa"/>
            <w:tcBorders>
              <w:top w:val="nil"/>
              <w:left w:val="single" w:sz="4" w:space="0" w:color="auto"/>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51.79</w:t>
            </w:r>
          </w:p>
        </w:tc>
        <w:tc>
          <w:tcPr>
            <w:tcW w:w="1180" w:type="dxa"/>
            <w:tcBorders>
              <w:top w:val="nil"/>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53.44</w:t>
            </w:r>
          </w:p>
        </w:tc>
        <w:tc>
          <w:tcPr>
            <w:tcW w:w="960" w:type="dxa"/>
            <w:tcBorders>
              <w:top w:val="nil"/>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Pr>
                <w:rFonts w:eastAsia="Times New Roman" w:cstheme="minorHAnsi"/>
                <w:sz w:val="18"/>
                <w:szCs w:val="18"/>
                <w:lang w:eastAsia="en-GB"/>
              </w:rPr>
              <w:t>52.66</w:t>
            </w:r>
          </w:p>
        </w:tc>
      </w:tr>
      <w:tr w:rsidR="009D6925" w:rsidRPr="00F82E89" w:rsidTr="00ED0AF5">
        <w:trPr>
          <w:trHeight w:val="201"/>
        </w:trPr>
        <w:tc>
          <w:tcPr>
            <w:tcW w:w="1199" w:type="dxa"/>
            <w:vMerge/>
            <w:tcBorders>
              <w:top w:val="single" w:sz="4" w:space="0" w:color="auto"/>
              <w:left w:val="nil"/>
              <w:bottom w:val="nil"/>
              <w:right w:val="single" w:sz="4" w:space="0" w:color="auto"/>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2180" w:type="dxa"/>
            <w:vMerge/>
            <w:tcBorders>
              <w:top w:val="single" w:sz="4" w:space="0" w:color="auto"/>
              <w:left w:val="single" w:sz="4" w:space="0" w:color="auto"/>
              <w:bottom w:val="single" w:sz="4" w:space="0" w:color="auto"/>
              <w:right w:val="nil"/>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641" w:type="dxa"/>
            <w:tcBorders>
              <w:top w:val="single" w:sz="4" w:space="0" w:color="auto"/>
              <w:left w:val="nil"/>
              <w:bottom w:val="single" w:sz="4" w:space="0" w:color="auto"/>
              <w:right w:val="single" w:sz="4" w:space="0" w:color="auto"/>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Sd</w:t>
            </w:r>
          </w:p>
        </w:tc>
        <w:tc>
          <w:tcPr>
            <w:tcW w:w="1060" w:type="dxa"/>
            <w:tcBorders>
              <w:top w:val="nil"/>
              <w:left w:val="single" w:sz="4" w:space="0" w:color="auto"/>
              <w:bottom w:val="single" w:sz="4" w:space="0" w:color="auto"/>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0.77</w:t>
            </w:r>
          </w:p>
        </w:tc>
        <w:tc>
          <w:tcPr>
            <w:tcW w:w="1180" w:type="dxa"/>
            <w:tcBorders>
              <w:top w:val="nil"/>
              <w:left w:val="nil"/>
              <w:bottom w:val="single" w:sz="4" w:space="0" w:color="auto"/>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1.24</w:t>
            </w:r>
          </w:p>
        </w:tc>
        <w:tc>
          <w:tcPr>
            <w:tcW w:w="960" w:type="dxa"/>
            <w:tcBorders>
              <w:top w:val="nil"/>
              <w:left w:val="nil"/>
              <w:bottom w:val="single" w:sz="4" w:space="0" w:color="auto"/>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Pr>
                <w:rFonts w:eastAsia="Times New Roman" w:cstheme="minorHAnsi"/>
                <w:sz w:val="18"/>
                <w:szCs w:val="18"/>
                <w:lang w:eastAsia="en-GB"/>
              </w:rPr>
              <w:t>0.79</w:t>
            </w:r>
          </w:p>
        </w:tc>
      </w:tr>
      <w:tr w:rsidR="009D6925" w:rsidRPr="00F82E89" w:rsidTr="00ED0AF5">
        <w:trPr>
          <w:trHeight w:val="95"/>
        </w:trPr>
        <w:tc>
          <w:tcPr>
            <w:tcW w:w="1199" w:type="dxa"/>
            <w:vMerge/>
            <w:tcBorders>
              <w:top w:val="single" w:sz="4" w:space="0" w:color="auto"/>
              <w:left w:val="nil"/>
              <w:bottom w:val="nil"/>
              <w:right w:val="single" w:sz="4" w:space="0" w:color="auto"/>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2180" w:type="dxa"/>
            <w:vMerge w:val="restart"/>
            <w:tcBorders>
              <w:top w:val="single" w:sz="4" w:space="0" w:color="auto"/>
              <w:left w:val="single" w:sz="4" w:space="0" w:color="auto"/>
              <w:bottom w:val="single" w:sz="4" w:space="0" w:color="auto"/>
              <w:right w:val="nil"/>
            </w:tcBorders>
            <w:shd w:val="clear" w:color="auto" w:fill="auto"/>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Thickness</w:t>
            </w:r>
          </w:p>
        </w:tc>
        <w:tc>
          <w:tcPr>
            <w:tcW w:w="641" w:type="dxa"/>
            <w:tcBorders>
              <w:top w:val="single" w:sz="4" w:space="0" w:color="auto"/>
              <w:left w:val="nil"/>
              <w:bottom w:val="single" w:sz="4" w:space="0" w:color="auto"/>
              <w:right w:val="single" w:sz="4" w:space="0" w:color="auto"/>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Min.</w:t>
            </w:r>
          </w:p>
        </w:tc>
        <w:tc>
          <w:tcPr>
            <w:tcW w:w="1060" w:type="dxa"/>
            <w:tcBorders>
              <w:top w:val="single" w:sz="4" w:space="0" w:color="auto"/>
              <w:left w:val="single" w:sz="4" w:space="0" w:color="auto"/>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0.50</w:t>
            </w:r>
          </w:p>
        </w:tc>
        <w:tc>
          <w:tcPr>
            <w:tcW w:w="1180" w:type="dxa"/>
            <w:tcBorders>
              <w:top w:val="single" w:sz="4" w:space="0" w:color="auto"/>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0.50</w:t>
            </w:r>
          </w:p>
        </w:tc>
        <w:tc>
          <w:tcPr>
            <w:tcW w:w="960" w:type="dxa"/>
            <w:tcBorders>
              <w:top w:val="single" w:sz="4" w:space="0" w:color="auto"/>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0.50</w:t>
            </w:r>
          </w:p>
        </w:tc>
      </w:tr>
      <w:tr w:rsidR="009D6925" w:rsidRPr="00F82E89" w:rsidTr="00ED0AF5">
        <w:trPr>
          <w:trHeight w:val="165"/>
        </w:trPr>
        <w:tc>
          <w:tcPr>
            <w:tcW w:w="1199" w:type="dxa"/>
            <w:vMerge/>
            <w:tcBorders>
              <w:top w:val="single" w:sz="4" w:space="0" w:color="auto"/>
              <w:left w:val="nil"/>
              <w:bottom w:val="nil"/>
              <w:right w:val="single" w:sz="4" w:space="0" w:color="auto"/>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2180" w:type="dxa"/>
            <w:vMerge/>
            <w:tcBorders>
              <w:top w:val="single" w:sz="4" w:space="0" w:color="auto"/>
              <w:left w:val="single" w:sz="4" w:space="0" w:color="auto"/>
              <w:bottom w:val="single" w:sz="4" w:space="0" w:color="auto"/>
              <w:right w:val="nil"/>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641" w:type="dxa"/>
            <w:tcBorders>
              <w:top w:val="single" w:sz="4" w:space="0" w:color="auto"/>
              <w:left w:val="nil"/>
              <w:bottom w:val="single" w:sz="4" w:space="0" w:color="auto"/>
              <w:right w:val="single" w:sz="4" w:space="0" w:color="auto"/>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Mean</w:t>
            </w:r>
          </w:p>
        </w:tc>
        <w:tc>
          <w:tcPr>
            <w:tcW w:w="1060" w:type="dxa"/>
            <w:tcBorders>
              <w:top w:val="nil"/>
              <w:left w:val="single" w:sz="4" w:space="0" w:color="auto"/>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1.20</w:t>
            </w:r>
          </w:p>
        </w:tc>
        <w:tc>
          <w:tcPr>
            <w:tcW w:w="1180" w:type="dxa"/>
            <w:tcBorders>
              <w:top w:val="nil"/>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3.48</w:t>
            </w:r>
          </w:p>
        </w:tc>
        <w:tc>
          <w:tcPr>
            <w:tcW w:w="960" w:type="dxa"/>
            <w:tcBorders>
              <w:top w:val="nil"/>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Pr>
                <w:rFonts w:eastAsia="Times New Roman" w:cstheme="minorHAnsi"/>
                <w:sz w:val="18"/>
                <w:szCs w:val="18"/>
                <w:lang w:eastAsia="en-GB"/>
              </w:rPr>
              <w:t>4.18</w:t>
            </w:r>
          </w:p>
        </w:tc>
      </w:tr>
      <w:tr w:rsidR="009D6925" w:rsidRPr="00F82E89" w:rsidTr="00ED0AF5">
        <w:trPr>
          <w:trHeight w:val="84"/>
        </w:trPr>
        <w:tc>
          <w:tcPr>
            <w:tcW w:w="1199" w:type="dxa"/>
            <w:vMerge/>
            <w:tcBorders>
              <w:top w:val="single" w:sz="4" w:space="0" w:color="auto"/>
              <w:left w:val="nil"/>
              <w:bottom w:val="nil"/>
              <w:right w:val="single" w:sz="4" w:space="0" w:color="auto"/>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2180" w:type="dxa"/>
            <w:vMerge/>
            <w:tcBorders>
              <w:top w:val="single" w:sz="4" w:space="0" w:color="auto"/>
              <w:left w:val="single" w:sz="4" w:space="0" w:color="auto"/>
              <w:bottom w:val="single" w:sz="4" w:space="0" w:color="auto"/>
              <w:right w:val="nil"/>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641" w:type="dxa"/>
            <w:tcBorders>
              <w:top w:val="single" w:sz="4" w:space="0" w:color="auto"/>
              <w:left w:val="nil"/>
              <w:bottom w:val="single" w:sz="4" w:space="0" w:color="auto"/>
              <w:right w:val="single" w:sz="4" w:space="0" w:color="auto"/>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Max.</w:t>
            </w:r>
          </w:p>
        </w:tc>
        <w:tc>
          <w:tcPr>
            <w:tcW w:w="1060" w:type="dxa"/>
            <w:tcBorders>
              <w:top w:val="nil"/>
              <w:left w:val="single" w:sz="4" w:space="0" w:color="auto"/>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18.00</w:t>
            </w:r>
          </w:p>
        </w:tc>
        <w:tc>
          <w:tcPr>
            <w:tcW w:w="1180" w:type="dxa"/>
            <w:tcBorders>
              <w:top w:val="nil"/>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40.00</w:t>
            </w:r>
          </w:p>
        </w:tc>
        <w:tc>
          <w:tcPr>
            <w:tcW w:w="960" w:type="dxa"/>
            <w:tcBorders>
              <w:top w:val="nil"/>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40.00</w:t>
            </w:r>
          </w:p>
        </w:tc>
      </w:tr>
      <w:tr w:rsidR="009D6925" w:rsidRPr="00F82E89" w:rsidTr="00ED0AF5">
        <w:trPr>
          <w:trHeight w:val="157"/>
        </w:trPr>
        <w:tc>
          <w:tcPr>
            <w:tcW w:w="1199" w:type="dxa"/>
            <w:vMerge/>
            <w:tcBorders>
              <w:top w:val="single" w:sz="4" w:space="0" w:color="auto"/>
              <w:left w:val="nil"/>
              <w:right w:val="single" w:sz="4" w:space="0" w:color="auto"/>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2180" w:type="dxa"/>
            <w:vMerge/>
            <w:tcBorders>
              <w:top w:val="single" w:sz="4" w:space="0" w:color="auto"/>
              <w:left w:val="single" w:sz="4" w:space="0" w:color="auto"/>
              <w:bottom w:val="single" w:sz="4" w:space="0" w:color="auto"/>
              <w:right w:val="nil"/>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641" w:type="dxa"/>
            <w:tcBorders>
              <w:top w:val="single" w:sz="4" w:space="0" w:color="auto"/>
              <w:left w:val="nil"/>
              <w:bottom w:val="single" w:sz="4" w:space="0" w:color="auto"/>
              <w:right w:val="single" w:sz="4" w:space="0" w:color="auto"/>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 xml:space="preserve">Cv </w:t>
            </w:r>
          </w:p>
        </w:tc>
        <w:tc>
          <w:tcPr>
            <w:tcW w:w="1060" w:type="dxa"/>
            <w:tcBorders>
              <w:top w:val="nil"/>
              <w:left w:val="single" w:sz="4" w:space="0" w:color="auto"/>
              <w:bottom w:val="single" w:sz="4" w:space="0" w:color="auto"/>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0.78</w:t>
            </w:r>
          </w:p>
        </w:tc>
        <w:tc>
          <w:tcPr>
            <w:tcW w:w="1180" w:type="dxa"/>
            <w:tcBorders>
              <w:top w:val="nil"/>
              <w:left w:val="nil"/>
              <w:bottom w:val="single" w:sz="4" w:space="0" w:color="auto"/>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1.33</w:t>
            </w:r>
          </w:p>
        </w:tc>
        <w:tc>
          <w:tcPr>
            <w:tcW w:w="960" w:type="dxa"/>
            <w:tcBorders>
              <w:top w:val="nil"/>
              <w:left w:val="nil"/>
              <w:bottom w:val="single" w:sz="4" w:space="0" w:color="auto"/>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0.94</w:t>
            </w:r>
          </w:p>
        </w:tc>
      </w:tr>
      <w:tr w:rsidR="009D6925" w:rsidRPr="00F82E89" w:rsidTr="00ED0AF5">
        <w:trPr>
          <w:trHeight w:val="70"/>
        </w:trPr>
        <w:tc>
          <w:tcPr>
            <w:tcW w:w="1199" w:type="dxa"/>
            <w:vMerge w:val="restart"/>
            <w:tcBorders>
              <w:top w:val="single" w:sz="4" w:space="0" w:color="auto"/>
              <w:left w:val="nil"/>
              <w:bottom w:val="nil"/>
              <w:right w:val="single" w:sz="4" w:space="0" w:color="auto"/>
            </w:tcBorders>
            <w:shd w:val="clear" w:color="auto" w:fill="auto"/>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Channel element</w:t>
            </w:r>
          </w:p>
        </w:tc>
        <w:tc>
          <w:tcPr>
            <w:tcW w:w="2180" w:type="dxa"/>
            <w:vMerge w:val="restart"/>
            <w:tcBorders>
              <w:top w:val="single" w:sz="4" w:space="0" w:color="auto"/>
              <w:left w:val="single" w:sz="4" w:space="0" w:color="auto"/>
              <w:bottom w:val="single" w:sz="4" w:space="0" w:color="auto"/>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Proportions</w:t>
            </w:r>
          </w:p>
        </w:tc>
        <w:tc>
          <w:tcPr>
            <w:tcW w:w="641" w:type="dxa"/>
            <w:tcBorders>
              <w:top w:val="single" w:sz="4" w:space="0" w:color="auto"/>
              <w:left w:val="nil"/>
              <w:bottom w:val="single" w:sz="4" w:space="0" w:color="auto"/>
              <w:right w:val="single" w:sz="4" w:space="0" w:color="auto"/>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Min.</w:t>
            </w:r>
          </w:p>
        </w:tc>
        <w:tc>
          <w:tcPr>
            <w:tcW w:w="1060" w:type="dxa"/>
            <w:tcBorders>
              <w:top w:val="single" w:sz="4" w:space="0" w:color="auto"/>
              <w:left w:val="single" w:sz="4" w:space="0" w:color="auto"/>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29.01</w:t>
            </w:r>
          </w:p>
        </w:tc>
        <w:tc>
          <w:tcPr>
            <w:tcW w:w="1180" w:type="dxa"/>
            <w:tcBorders>
              <w:top w:val="single" w:sz="4" w:space="0" w:color="auto"/>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24.49</w:t>
            </w:r>
          </w:p>
        </w:tc>
        <w:tc>
          <w:tcPr>
            <w:tcW w:w="960" w:type="dxa"/>
            <w:tcBorders>
              <w:top w:val="single" w:sz="4" w:space="0" w:color="auto"/>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Pr>
                <w:rFonts w:eastAsia="Times New Roman" w:cstheme="minorHAnsi"/>
                <w:sz w:val="18"/>
                <w:szCs w:val="18"/>
                <w:lang w:eastAsia="en-GB"/>
              </w:rPr>
              <w:t>25.28</w:t>
            </w:r>
          </w:p>
        </w:tc>
      </w:tr>
      <w:tr w:rsidR="009D6925" w:rsidRPr="00F82E89" w:rsidTr="00ED0AF5">
        <w:trPr>
          <w:trHeight w:val="80"/>
        </w:trPr>
        <w:tc>
          <w:tcPr>
            <w:tcW w:w="1199" w:type="dxa"/>
            <w:vMerge/>
            <w:tcBorders>
              <w:top w:val="single" w:sz="4" w:space="0" w:color="auto"/>
              <w:left w:val="nil"/>
              <w:bottom w:val="nil"/>
              <w:right w:val="single" w:sz="4" w:space="0" w:color="auto"/>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2180" w:type="dxa"/>
            <w:vMerge/>
            <w:tcBorders>
              <w:top w:val="single" w:sz="4" w:space="0" w:color="auto"/>
              <w:left w:val="single" w:sz="4" w:space="0" w:color="auto"/>
              <w:bottom w:val="single" w:sz="4" w:space="0" w:color="auto"/>
              <w:right w:val="nil"/>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641" w:type="dxa"/>
            <w:tcBorders>
              <w:top w:val="single" w:sz="4" w:space="0" w:color="auto"/>
              <w:left w:val="nil"/>
              <w:bottom w:val="single" w:sz="4" w:space="0" w:color="auto"/>
              <w:right w:val="single" w:sz="4" w:space="0" w:color="auto"/>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Mean</w:t>
            </w:r>
          </w:p>
        </w:tc>
        <w:tc>
          <w:tcPr>
            <w:tcW w:w="1060" w:type="dxa"/>
            <w:tcBorders>
              <w:top w:val="nil"/>
              <w:left w:val="single" w:sz="4" w:space="0" w:color="auto"/>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29.56</w:t>
            </w:r>
          </w:p>
        </w:tc>
        <w:tc>
          <w:tcPr>
            <w:tcW w:w="1180" w:type="dxa"/>
            <w:tcBorders>
              <w:top w:val="nil"/>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26.08</w:t>
            </w:r>
          </w:p>
        </w:tc>
        <w:tc>
          <w:tcPr>
            <w:tcW w:w="960" w:type="dxa"/>
            <w:tcBorders>
              <w:top w:val="nil"/>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32.02</w:t>
            </w:r>
          </w:p>
        </w:tc>
      </w:tr>
      <w:tr w:rsidR="009D6925" w:rsidRPr="00F82E89" w:rsidTr="00ED0AF5">
        <w:trPr>
          <w:trHeight w:val="80"/>
        </w:trPr>
        <w:tc>
          <w:tcPr>
            <w:tcW w:w="1199" w:type="dxa"/>
            <w:vMerge/>
            <w:tcBorders>
              <w:top w:val="single" w:sz="4" w:space="0" w:color="auto"/>
              <w:left w:val="nil"/>
              <w:bottom w:val="nil"/>
              <w:right w:val="single" w:sz="4" w:space="0" w:color="auto"/>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2180" w:type="dxa"/>
            <w:vMerge/>
            <w:tcBorders>
              <w:top w:val="single" w:sz="4" w:space="0" w:color="auto"/>
              <w:left w:val="single" w:sz="4" w:space="0" w:color="auto"/>
              <w:bottom w:val="single" w:sz="4" w:space="0" w:color="auto"/>
              <w:right w:val="nil"/>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641" w:type="dxa"/>
            <w:tcBorders>
              <w:top w:val="single" w:sz="4" w:space="0" w:color="auto"/>
              <w:left w:val="nil"/>
              <w:bottom w:val="single" w:sz="4" w:space="0" w:color="auto"/>
              <w:right w:val="single" w:sz="4" w:space="0" w:color="auto"/>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Max.</w:t>
            </w:r>
          </w:p>
        </w:tc>
        <w:tc>
          <w:tcPr>
            <w:tcW w:w="1060" w:type="dxa"/>
            <w:tcBorders>
              <w:top w:val="nil"/>
              <w:left w:val="single" w:sz="4" w:space="0" w:color="auto"/>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30.17</w:t>
            </w:r>
          </w:p>
        </w:tc>
        <w:tc>
          <w:tcPr>
            <w:tcW w:w="1180" w:type="dxa"/>
            <w:tcBorders>
              <w:top w:val="nil"/>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27.68</w:t>
            </w:r>
          </w:p>
        </w:tc>
        <w:tc>
          <w:tcPr>
            <w:tcW w:w="960" w:type="dxa"/>
            <w:tcBorders>
              <w:top w:val="nil"/>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32.38</w:t>
            </w:r>
          </w:p>
        </w:tc>
      </w:tr>
      <w:tr w:rsidR="009D6925" w:rsidRPr="00F82E89" w:rsidTr="00ED0AF5">
        <w:trPr>
          <w:trHeight w:val="114"/>
        </w:trPr>
        <w:tc>
          <w:tcPr>
            <w:tcW w:w="1199" w:type="dxa"/>
            <w:vMerge/>
            <w:tcBorders>
              <w:top w:val="single" w:sz="4" w:space="0" w:color="auto"/>
              <w:left w:val="nil"/>
              <w:bottom w:val="nil"/>
              <w:right w:val="single" w:sz="4" w:space="0" w:color="auto"/>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2180" w:type="dxa"/>
            <w:vMerge/>
            <w:tcBorders>
              <w:top w:val="single" w:sz="4" w:space="0" w:color="auto"/>
              <w:left w:val="single" w:sz="4" w:space="0" w:color="auto"/>
              <w:bottom w:val="single" w:sz="4" w:space="0" w:color="auto"/>
              <w:right w:val="nil"/>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641" w:type="dxa"/>
            <w:tcBorders>
              <w:top w:val="single" w:sz="4" w:space="0" w:color="auto"/>
              <w:left w:val="nil"/>
              <w:bottom w:val="single" w:sz="4" w:space="0" w:color="auto"/>
              <w:right w:val="single" w:sz="4" w:space="0" w:color="auto"/>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Sd</w:t>
            </w:r>
          </w:p>
        </w:tc>
        <w:tc>
          <w:tcPr>
            <w:tcW w:w="1060" w:type="dxa"/>
            <w:tcBorders>
              <w:top w:val="nil"/>
              <w:left w:val="single" w:sz="4" w:space="0" w:color="auto"/>
              <w:bottom w:val="single" w:sz="4" w:space="0" w:color="auto"/>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0.33</w:t>
            </w:r>
          </w:p>
        </w:tc>
        <w:tc>
          <w:tcPr>
            <w:tcW w:w="1180" w:type="dxa"/>
            <w:tcBorders>
              <w:top w:val="nil"/>
              <w:left w:val="nil"/>
              <w:bottom w:val="single" w:sz="4" w:space="0" w:color="auto"/>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1.07</w:t>
            </w:r>
          </w:p>
        </w:tc>
        <w:tc>
          <w:tcPr>
            <w:tcW w:w="960" w:type="dxa"/>
            <w:tcBorders>
              <w:top w:val="nil"/>
              <w:left w:val="nil"/>
              <w:bottom w:val="single" w:sz="4" w:space="0" w:color="auto"/>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0.</w:t>
            </w:r>
            <w:r>
              <w:rPr>
                <w:rFonts w:eastAsia="Times New Roman" w:cstheme="minorHAnsi"/>
                <w:sz w:val="18"/>
                <w:szCs w:val="18"/>
                <w:lang w:eastAsia="en-GB"/>
              </w:rPr>
              <w:t>60</w:t>
            </w:r>
          </w:p>
        </w:tc>
      </w:tr>
      <w:tr w:rsidR="009D6925" w:rsidRPr="00F82E89" w:rsidTr="00ED0AF5">
        <w:trPr>
          <w:trHeight w:val="80"/>
        </w:trPr>
        <w:tc>
          <w:tcPr>
            <w:tcW w:w="1199" w:type="dxa"/>
            <w:vMerge/>
            <w:tcBorders>
              <w:top w:val="single" w:sz="4" w:space="0" w:color="auto"/>
              <w:left w:val="nil"/>
              <w:bottom w:val="nil"/>
              <w:right w:val="single" w:sz="4" w:space="0" w:color="auto"/>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2180" w:type="dxa"/>
            <w:vMerge w:val="restart"/>
            <w:tcBorders>
              <w:top w:val="single" w:sz="4" w:space="0" w:color="auto"/>
              <w:left w:val="single" w:sz="4" w:space="0" w:color="auto"/>
              <w:bottom w:val="single" w:sz="4" w:space="0" w:color="auto"/>
              <w:right w:val="nil"/>
            </w:tcBorders>
            <w:shd w:val="clear" w:color="auto" w:fill="auto"/>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Thickness</w:t>
            </w:r>
          </w:p>
        </w:tc>
        <w:tc>
          <w:tcPr>
            <w:tcW w:w="641" w:type="dxa"/>
            <w:tcBorders>
              <w:top w:val="single" w:sz="4" w:space="0" w:color="auto"/>
              <w:left w:val="nil"/>
              <w:bottom w:val="single" w:sz="4" w:space="0" w:color="auto"/>
              <w:right w:val="single" w:sz="4" w:space="0" w:color="auto"/>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Min.</w:t>
            </w:r>
          </w:p>
        </w:tc>
        <w:tc>
          <w:tcPr>
            <w:tcW w:w="1060" w:type="dxa"/>
            <w:tcBorders>
              <w:top w:val="single" w:sz="4" w:space="0" w:color="auto"/>
              <w:left w:val="single" w:sz="4" w:space="0" w:color="auto"/>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0.50</w:t>
            </w:r>
          </w:p>
        </w:tc>
        <w:tc>
          <w:tcPr>
            <w:tcW w:w="1180" w:type="dxa"/>
            <w:tcBorders>
              <w:top w:val="single" w:sz="4" w:space="0" w:color="auto"/>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0.50</w:t>
            </w:r>
          </w:p>
        </w:tc>
        <w:tc>
          <w:tcPr>
            <w:tcW w:w="960" w:type="dxa"/>
            <w:tcBorders>
              <w:top w:val="single" w:sz="4" w:space="0" w:color="auto"/>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0.50</w:t>
            </w:r>
          </w:p>
        </w:tc>
      </w:tr>
      <w:tr w:rsidR="009D6925" w:rsidRPr="00F82E89" w:rsidTr="00ED0AF5">
        <w:trPr>
          <w:trHeight w:val="91"/>
        </w:trPr>
        <w:tc>
          <w:tcPr>
            <w:tcW w:w="1199" w:type="dxa"/>
            <w:vMerge/>
            <w:tcBorders>
              <w:top w:val="single" w:sz="4" w:space="0" w:color="auto"/>
              <w:left w:val="nil"/>
              <w:bottom w:val="nil"/>
              <w:right w:val="single" w:sz="4" w:space="0" w:color="auto"/>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2180" w:type="dxa"/>
            <w:vMerge/>
            <w:tcBorders>
              <w:top w:val="single" w:sz="4" w:space="0" w:color="auto"/>
              <w:left w:val="single" w:sz="4" w:space="0" w:color="auto"/>
              <w:bottom w:val="single" w:sz="4" w:space="0" w:color="auto"/>
              <w:right w:val="nil"/>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641" w:type="dxa"/>
            <w:tcBorders>
              <w:top w:val="single" w:sz="4" w:space="0" w:color="auto"/>
              <w:left w:val="nil"/>
              <w:bottom w:val="single" w:sz="4" w:space="0" w:color="auto"/>
              <w:right w:val="single" w:sz="4" w:space="0" w:color="auto"/>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Mean</w:t>
            </w:r>
          </w:p>
        </w:tc>
        <w:tc>
          <w:tcPr>
            <w:tcW w:w="1060" w:type="dxa"/>
            <w:tcBorders>
              <w:top w:val="nil"/>
              <w:left w:val="single" w:sz="4" w:space="0" w:color="auto"/>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1.80</w:t>
            </w:r>
          </w:p>
        </w:tc>
        <w:tc>
          <w:tcPr>
            <w:tcW w:w="1180" w:type="dxa"/>
            <w:tcBorders>
              <w:top w:val="nil"/>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2.00</w:t>
            </w:r>
          </w:p>
        </w:tc>
        <w:tc>
          <w:tcPr>
            <w:tcW w:w="960" w:type="dxa"/>
            <w:tcBorders>
              <w:top w:val="nil"/>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Pr>
                <w:rFonts w:eastAsia="Times New Roman" w:cstheme="minorHAnsi"/>
                <w:sz w:val="18"/>
                <w:szCs w:val="18"/>
                <w:lang w:eastAsia="en-GB"/>
              </w:rPr>
              <w:t>2.33</w:t>
            </w:r>
          </w:p>
        </w:tc>
      </w:tr>
      <w:tr w:rsidR="009D6925" w:rsidRPr="00F82E89" w:rsidTr="00ED0AF5">
        <w:trPr>
          <w:trHeight w:val="166"/>
        </w:trPr>
        <w:tc>
          <w:tcPr>
            <w:tcW w:w="1199" w:type="dxa"/>
            <w:vMerge/>
            <w:tcBorders>
              <w:top w:val="single" w:sz="4" w:space="0" w:color="auto"/>
              <w:left w:val="nil"/>
              <w:right w:val="single" w:sz="4" w:space="0" w:color="auto"/>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2180" w:type="dxa"/>
            <w:vMerge/>
            <w:tcBorders>
              <w:top w:val="single" w:sz="4" w:space="0" w:color="auto"/>
              <w:left w:val="single" w:sz="4" w:space="0" w:color="auto"/>
              <w:bottom w:val="single" w:sz="4" w:space="0" w:color="auto"/>
              <w:right w:val="nil"/>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641" w:type="dxa"/>
            <w:tcBorders>
              <w:top w:val="single" w:sz="4" w:space="0" w:color="auto"/>
              <w:left w:val="nil"/>
              <w:bottom w:val="single" w:sz="4" w:space="0" w:color="auto"/>
              <w:right w:val="single" w:sz="4" w:space="0" w:color="auto"/>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Max.</w:t>
            </w:r>
          </w:p>
        </w:tc>
        <w:tc>
          <w:tcPr>
            <w:tcW w:w="1060" w:type="dxa"/>
            <w:tcBorders>
              <w:top w:val="nil"/>
              <w:left w:val="single" w:sz="4" w:space="0" w:color="auto"/>
              <w:bottom w:val="single" w:sz="4" w:space="0" w:color="auto"/>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9.00</w:t>
            </w:r>
          </w:p>
        </w:tc>
        <w:tc>
          <w:tcPr>
            <w:tcW w:w="1180" w:type="dxa"/>
            <w:tcBorders>
              <w:top w:val="nil"/>
              <w:left w:val="nil"/>
              <w:bottom w:val="single" w:sz="4" w:space="0" w:color="auto"/>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38.00</w:t>
            </w:r>
          </w:p>
        </w:tc>
        <w:tc>
          <w:tcPr>
            <w:tcW w:w="960" w:type="dxa"/>
            <w:tcBorders>
              <w:top w:val="nil"/>
              <w:left w:val="nil"/>
              <w:bottom w:val="single" w:sz="4" w:space="0" w:color="auto"/>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31.50</w:t>
            </w:r>
          </w:p>
        </w:tc>
      </w:tr>
      <w:tr w:rsidR="009D6925" w:rsidRPr="00F82E89" w:rsidTr="00ED0AF5">
        <w:trPr>
          <w:trHeight w:val="80"/>
        </w:trPr>
        <w:tc>
          <w:tcPr>
            <w:tcW w:w="1199" w:type="dxa"/>
            <w:vMerge/>
            <w:tcBorders>
              <w:top w:val="single" w:sz="4" w:space="0" w:color="auto"/>
              <w:left w:val="nil"/>
              <w:right w:val="single" w:sz="4" w:space="0" w:color="auto"/>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2180" w:type="dxa"/>
            <w:vMerge/>
            <w:tcBorders>
              <w:top w:val="single" w:sz="4" w:space="0" w:color="auto"/>
              <w:left w:val="single" w:sz="4" w:space="0" w:color="auto"/>
              <w:bottom w:val="single" w:sz="4" w:space="0" w:color="auto"/>
              <w:right w:val="nil"/>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641" w:type="dxa"/>
            <w:tcBorders>
              <w:top w:val="single" w:sz="4" w:space="0" w:color="auto"/>
              <w:left w:val="nil"/>
              <w:bottom w:val="single" w:sz="4" w:space="0" w:color="auto"/>
              <w:right w:val="single" w:sz="4" w:space="0" w:color="auto"/>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 xml:space="preserve">Cv </w:t>
            </w:r>
          </w:p>
        </w:tc>
        <w:tc>
          <w:tcPr>
            <w:tcW w:w="1060" w:type="dxa"/>
            <w:tcBorders>
              <w:top w:val="single" w:sz="4" w:space="0" w:color="auto"/>
              <w:left w:val="single" w:sz="4" w:space="0" w:color="auto"/>
              <w:bottom w:val="single" w:sz="4" w:space="0" w:color="auto"/>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0.60</w:t>
            </w:r>
          </w:p>
        </w:tc>
        <w:tc>
          <w:tcPr>
            <w:tcW w:w="1180" w:type="dxa"/>
            <w:tcBorders>
              <w:top w:val="single" w:sz="4" w:space="0" w:color="auto"/>
              <w:left w:val="nil"/>
              <w:bottom w:val="single" w:sz="4" w:space="0" w:color="auto"/>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1.35</w:t>
            </w:r>
          </w:p>
        </w:tc>
        <w:tc>
          <w:tcPr>
            <w:tcW w:w="960" w:type="dxa"/>
            <w:tcBorders>
              <w:top w:val="single" w:sz="4" w:space="0" w:color="auto"/>
              <w:left w:val="nil"/>
              <w:bottom w:val="single" w:sz="4" w:space="0" w:color="auto"/>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Pr>
                <w:rFonts w:eastAsia="Times New Roman" w:cstheme="minorHAnsi"/>
                <w:sz w:val="18"/>
                <w:szCs w:val="18"/>
                <w:lang w:eastAsia="en-GB"/>
              </w:rPr>
              <w:t>0.76</w:t>
            </w:r>
          </w:p>
        </w:tc>
      </w:tr>
      <w:tr w:rsidR="009D6925" w:rsidRPr="00F82E89" w:rsidTr="00ED0AF5">
        <w:trPr>
          <w:trHeight w:val="129"/>
        </w:trPr>
        <w:tc>
          <w:tcPr>
            <w:tcW w:w="1199" w:type="dxa"/>
            <w:vMerge w:val="restart"/>
            <w:tcBorders>
              <w:top w:val="single" w:sz="4" w:space="0" w:color="auto"/>
              <w:left w:val="nil"/>
              <w:bottom w:val="nil"/>
              <w:right w:val="single" w:sz="4" w:space="0" w:color="auto"/>
            </w:tcBorders>
            <w:shd w:val="clear" w:color="auto" w:fill="auto"/>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Lateral accretion element</w:t>
            </w:r>
          </w:p>
        </w:tc>
        <w:tc>
          <w:tcPr>
            <w:tcW w:w="2180" w:type="dxa"/>
            <w:vMerge w:val="restart"/>
            <w:tcBorders>
              <w:top w:val="single" w:sz="4" w:space="0" w:color="auto"/>
              <w:left w:val="single" w:sz="4" w:space="0" w:color="auto"/>
              <w:bottom w:val="single" w:sz="4" w:space="0" w:color="auto"/>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Proportions</w:t>
            </w:r>
          </w:p>
        </w:tc>
        <w:tc>
          <w:tcPr>
            <w:tcW w:w="641" w:type="dxa"/>
            <w:tcBorders>
              <w:top w:val="single" w:sz="4" w:space="0" w:color="auto"/>
              <w:left w:val="nil"/>
              <w:bottom w:val="single" w:sz="4" w:space="0" w:color="auto"/>
              <w:right w:val="single" w:sz="4" w:space="0" w:color="auto"/>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Min.</w:t>
            </w:r>
          </w:p>
        </w:tc>
        <w:tc>
          <w:tcPr>
            <w:tcW w:w="1060" w:type="dxa"/>
            <w:tcBorders>
              <w:top w:val="single" w:sz="4" w:space="0" w:color="auto"/>
              <w:left w:val="single" w:sz="4" w:space="0" w:color="auto"/>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13.81</w:t>
            </w:r>
          </w:p>
        </w:tc>
        <w:tc>
          <w:tcPr>
            <w:tcW w:w="1180" w:type="dxa"/>
            <w:tcBorders>
              <w:top w:val="single" w:sz="4" w:space="0" w:color="auto"/>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10.99</w:t>
            </w:r>
          </w:p>
        </w:tc>
        <w:tc>
          <w:tcPr>
            <w:tcW w:w="960" w:type="dxa"/>
            <w:tcBorders>
              <w:top w:val="single" w:sz="4" w:space="0" w:color="auto"/>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Pr>
                <w:rFonts w:eastAsia="Times New Roman" w:cstheme="minorHAnsi"/>
                <w:sz w:val="18"/>
                <w:szCs w:val="18"/>
                <w:lang w:eastAsia="en-GB"/>
              </w:rPr>
              <w:t>13.78</w:t>
            </w:r>
          </w:p>
        </w:tc>
      </w:tr>
      <w:tr w:rsidR="009D6925" w:rsidRPr="00F82E89" w:rsidTr="00ED0AF5">
        <w:trPr>
          <w:trHeight w:val="80"/>
        </w:trPr>
        <w:tc>
          <w:tcPr>
            <w:tcW w:w="1199" w:type="dxa"/>
            <w:vMerge/>
            <w:tcBorders>
              <w:top w:val="single" w:sz="4" w:space="0" w:color="auto"/>
              <w:left w:val="nil"/>
              <w:bottom w:val="nil"/>
              <w:right w:val="single" w:sz="4" w:space="0" w:color="auto"/>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2180" w:type="dxa"/>
            <w:vMerge/>
            <w:tcBorders>
              <w:top w:val="single" w:sz="4" w:space="0" w:color="auto"/>
              <w:left w:val="single" w:sz="4" w:space="0" w:color="auto"/>
              <w:bottom w:val="single" w:sz="4" w:space="0" w:color="auto"/>
              <w:right w:val="nil"/>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641" w:type="dxa"/>
            <w:tcBorders>
              <w:top w:val="single" w:sz="4" w:space="0" w:color="auto"/>
              <w:left w:val="nil"/>
              <w:bottom w:val="single" w:sz="4" w:space="0" w:color="auto"/>
              <w:right w:val="single" w:sz="4" w:space="0" w:color="auto"/>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Mean</w:t>
            </w:r>
          </w:p>
        </w:tc>
        <w:tc>
          <w:tcPr>
            <w:tcW w:w="1060" w:type="dxa"/>
            <w:tcBorders>
              <w:top w:val="nil"/>
              <w:left w:val="single" w:sz="4" w:space="0" w:color="auto"/>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14.29</w:t>
            </w:r>
          </w:p>
        </w:tc>
        <w:tc>
          <w:tcPr>
            <w:tcW w:w="1180" w:type="dxa"/>
            <w:tcBorders>
              <w:top w:val="nil"/>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13.57</w:t>
            </w:r>
          </w:p>
        </w:tc>
        <w:tc>
          <w:tcPr>
            <w:tcW w:w="960" w:type="dxa"/>
            <w:tcBorders>
              <w:top w:val="nil"/>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Pr>
                <w:rFonts w:eastAsia="Times New Roman" w:cstheme="minorHAnsi"/>
                <w:sz w:val="18"/>
                <w:szCs w:val="18"/>
                <w:lang w:eastAsia="en-GB"/>
              </w:rPr>
              <w:t>13.93</w:t>
            </w:r>
          </w:p>
        </w:tc>
      </w:tr>
      <w:tr w:rsidR="009D6925" w:rsidRPr="00F82E89" w:rsidTr="00ED0AF5">
        <w:trPr>
          <w:trHeight w:val="121"/>
        </w:trPr>
        <w:tc>
          <w:tcPr>
            <w:tcW w:w="1199" w:type="dxa"/>
            <w:vMerge/>
            <w:tcBorders>
              <w:top w:val="single" w:sz="4" w:space="0" w:color="auto"/>
              <w:left w:val="nil"/>
              <w:bottom w:val="nil"/>
              <w:right w:val="single" w:sz="4" w:space="0" w:color="auto"/>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2180" w:type="dxa"/>
            <w:vMerge/>
            <w:tcBorders>
              <w:top w:val="single" w:sz="4" w:space="0" w:color="auto"/>
              <w:left w:val="single" w:sz="4" w:space="0" w:color="auto"/>
              <w:bottom w:val="single" w:sz="4" w:space="0" w:color="auto"/>
              <w:right w:val="nil"/>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641" w:type="dxa"/>
            <w:tcBorders>
              <w:top w:val="single" w:sz="4" w:space="0" w:color="auto"/>
              <w:left w:val="nil"/>
              <w:bottom w:val="single" w:sz="4" w:space="0" w:color="auto"/>
              <w:right w:val="single" w:sz="4" w:space="0" w:color="auto"/>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Max.</w:t>
            </w:r>
          </w:p>
        </w:tc>
        <w:tc>
          <w:tcPr>
            <w:tcW w:w="1060" w:type="dxa"/>
            <w:tcBorders>
              <w:top w:val="nil"/>
              <w:left w:val="single" w:sz="4" w:space="0" w:color="auto"/>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14.72</w:t>
            </w:r>
          </w:p>
        </w:tc>
        <w:tc>
          <w:tcPr>
            <w:tcW w:w="1180" w:type="dxa"/>
            <w:tcBorders>
              <w:top w:val="nil"/>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16.87</w:t>
            </w:r>
          </w:p>
        </w:tc>
        <w:tc>
          <w:tcPr>
            <w:tcW w:w="960" w:type="dxa"/>
            <w:tcBorders>
              <w:top w:val="nil"/>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Pr>
                <w:rFonts w:eastAsia="Times New Roman" w:cstheme="minorHAnsi"/>
                <w:sz w:val="18"/>
                <w:szCs w:val="18"/>
                <w:lang w:eastAsia="en-GB"/>
              </w:rPr>
              <w:t>14.27</w:t>
            </w:r>
          </w:p>
        </w:tc>
      </w:tr>
      <w:tr w:rsidR="009D6925" w:rsidRPr="00F82E89" w:rsidTr="00ED0AF5">
        <w:trPr>
          <w:trHeight w:val="182"/>
        </w:trPr>
        <w:tc>
          <w:tcPr>
            <w:tcW w:w="1199" w:type="dxa"/>
            <w:vMerge/>
            <w:tcBorders>
              <w:top w:val="single" w:sz="4" w:space="0" w:color="auto"/>
              <w:left w:val="nil"/>
              <w:bottom w:val="nil"/>
              <w:right w:val="single" w:sz="4" w:space="0" w:color="auto"/>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2180" w:type="dxa"/>
            <w:vMerge/>
            <w:tcBorders>
              <w:top w:val="single" w:sz="4" w:space="0" w:color="auto"/>
              <w:left w:val="single" w:sz="4" w:space="0" w:color="auto"/>
              <w:bottom w:val="single" w:sz="4" w:space="0" w:color="auto"/>
              <w:right w:val="nil"/>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641" w:type="dxa"/>
            <w:tcBorders>
              <w:top w:val="single" w:sz="4" w:space="0" w:color="auto"/>
              <w:left w:val="nil"/>
              <w:bottom w:val="single" w:sz="4" w:space="0" w:color="auto"/>
              <w:right w:val="single" w:sz="4" w:space="0" w:color="auto"/>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Sd</w:t>
            </w:r>
          </w:p>
        </w:tc>
        <w:tc>
          <w:tcPr>
            <w:tcW w:w="1060" w:type="dxa"/>
            <w:tcBorders>
              <w:top w:val="nil"/>
              <w:left w:val="single" w:sz="4" w:space="0" w:color="auto"/>
              <w:bottom w:val="single" w:sz="4" w:space="0" w:color="auto"/>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0.31</w:t>
            </w:r>
          </w:p>
        </w:tc>
        <w:tc>
          <w:tcPr>
            <w:tcW w:w="1180" w:type="dxa"/>
            <w:tcBorders>
              <w:top w:val="nil"/>
              <w:left w:val="nil"/>
              <w:bottom w:val="single" w:sz="4" w:space="0" w:color="auto"/>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2.01</w:t>
            </w:r>
          </w:p>
        </w:tc>
        <w:tc>
          <w:tcPr>
            <w:tcW w:w="960" w:type="dxa"/>
            <w:tcBorders>
              <w:top w:val="nil"/>
              <w:left w:val="nil"/>
              <w:bottom w:val="single" w:sz="4" w:space="0" w:color="auto"/>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Pr>
                <w:rFonts w:eastAsia="Times New Roman" w:cstheme="minorHAnsi"/>
                <w:sz w:val="18"/>
                <w:szCs w:val="18"/>
                <w:lang w:eastAsia="en-GB"/>
              </w:rPr>
              <w:t>0.16</w:t>
            </w:r>
          </w:p>
        </w:tc>
      </w:tr>
      <w:tr w:rsidR="009D6925" w:rsidRPr="00F82E89" w:rsidTr="00ED0AF5">
        <w:trPr>
          <w:trHeight w:val="113"/>
        </w:trPr>
        <w:tc>
          <w:tcPr>
            <w:tcW w:w="1199" w:type="dxa"/>
            <w:vMerge/>
            <w:tcBorders>
              <w:top w:val="single" w:sz="4" w:space="0" w:color="auto"/>
              <w:left w:val="nil"/>
              <w:bottom w:val="nil"/>
              <w:right w:val="single" w:sz="4" w:space="0" w:color="auto"/>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2180" w:type="dxa"/>
            <w:vMerge w:val="restart"/>
            <w:tcBorders>
              <w:top w:val="single" w:sz="4" w:space="0" w:color="auto"/>
              <w:left w:val="single" w:sz="4" w:space="0" w:color="auto"/>
              <w:bottom w:val="single" w:sz="4" w:space="0" w:color="auto"/>
              <w:right w:val="nil"/>
            </w:tcBorders>
            <w:shd w:val="clear" w:color="auto" w:fill="auto"/>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Thickness</w:t>
            </w:r>
          </w:p>
        </w:tc>
        <w:tc>
          <w:tcPr>
            <w:tcW w:w="641" w:type="dxa"/>
            <w:tcBorders>
              <w:top w:val="single" w:sz="4" w:space="0" w:color="auto"/>
              <w:left w:val="nil"/>
              <w:bottom w:val="single" w:sz="4" w:space="0" w:color="auto"/>
              <w:right w:val="single" w:sz="4" w:space="0" w:color="auto"/>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Min.</w:t>
            </w:r>
          </w:p>
        </w:tc>
        <w:tc>
          <w:tcPr>
            <w:tcW w:w="1060" w:type="dxa"/>
            <w:tcBorders>
              <w:top w:val="single" w:sz="4" w:space="0" w:color="auto"/>
              <w:left w:val="single" w:sz="4" w:space="0" w:color="auto"/>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0.50</w:t>
            </w:r>
          </w:p>
        </w:tc>
        <w:tc>
          <w:tcPr>
            <w:tcW w:w="1180" w:type="dxa"/>
            <w:tcBorders>
              <w:top w:val="single" w:sz="4" w:space="0" w:color="auto"/>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0.50</w:t>
            </w:r>
          </w:p>
        </w:tc>
        <w:tc>
          <w:tcPr>
            <w:tcW w:w="960" w:type="dxa"/>
            <w:tcBorders>
              <w:top w:val="single" w:sz="4" w:space="0" w:color="auto"/>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0.50</w:t>
            </w:r>
          </w:p>
        </w:tc>
      </w:tr>
      <w:tr w:rsidR="009D6925" w:rsidRPr="00F82E89" w:rsidTr="00ED0AF5">
        <w:trPr>
          <w:trHeight w:val="80"/>
        </w:trPr>
        <w:tc>
          <w:tcPr>
            <w:tcW w:w="1199" w:type="dxa"/>
            <w:vMerge/>
            <w:tcBorders>
              <w:top w:val="single" w:sz="4" w:space="0" w:color="auto"/>
              <w:left w:val="nil"/>
              <w:bottom w:val="nil"/>
              <w:right w:val="single" w:sz="4" w:space="0" w:color="auto"/>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2180" w:type="dxa"/>
            <w:vMerge/>
            <w:tcBorders>
              <w:top w:val="single" w:sz="4" w:space="0" w:color="auto"/>
              <w:left w:val="single" w:sz="4" w:space="0" w:color="auto"/>
              <w:bottom w:val="single" w:sz="4" w:space="0" w:color="auto"/>
              <w:right w:val="nil"/>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641" w:type="dxa"/>
            <w:tcBorders>
              <w:top w:val="single" w:sz="4" w:space="0" w:color="auto"/>
              <w:left w:val="nil"/>
              <w:bottom w:val="single" w:sz="4" w:space="0" w:color="auto"/>
              <w:right w:val="single" w:sz="4" w:space="0" w:color="auto"/>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Mean</w:t>
            </w:r>
          </w:p>
        </w:tc>
        <w:tc>
          <w:tcPr>
            <w:tcW w:w="1060" w:type="dxa"/>
            <w:tcBorders>
              <w:top w:val="nil"/>
              <w:left w:val="single" w:sz="4" w:space="0" w:color="auto"/>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0.60</w:t>
            </w:r>
          </w:p>
        </w:tc>
        <w:tc>
          <w:tcPr>
            <w:tcW w:w="1180" w:type="dxa"/>
            <w:tcBorders>
              <w:top w:val="nil"/>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1.92</w:t>
            </w:r>
          </w:p>
        </w:tc>
        <w:tc>
          <w:tcPr>
            <w:tcW w:w="960" w:type="dxa"/>
            <w:tcBorders>
              <w:top w:val="nil"/>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Pr>
                <w:rFonts w:eastAsia="Times New Roman" w:cstheme="minorHAnsi"/>
                <w:sz w:val="18"/>
                <w:szCs w:val="18"/>
                <w:lang w:eastAsia="en-GB"/>
              </w:rPr>
              <w:t>1.96</w:t>
            </w:r>
          </w:p>
        </w:tc>
      </w:tr>
      <w:tr w:rsidR="009D6925" w:rsidRPr="00F82E89" w:rsidTr="00ED0AF5">
        <w:trPr>
          <w:trHeight w:val="91"/>
        </w:trPr>
        <w:tc>
          <w:tcPr>
            <w:tcW w:w="1199" w:type="dxa"/>
            <w:vMerge/>
            <w:tcBorders>
              <w:top w:val="single" w:sz="4" w:space="0" w:color="auto"/>
              <w:left w:val="nil"/>
              <w:bottom w:val="nil"/>
              <w:right w:val="single" w:sz="4" w:space="0" w:color="auto"/>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2180" w:type="dxa"/>
            <w:vMerge/>
            <w:tcBorders>
              <w:top w:val="single" w:sz="4" w:space="0" w:color="auto"/>
              <w:left w:val="single" w:sz="4" w:space="0" w:color="auto"/>
              <w:bottom w:val="single" w:sz="4" w:space="0" w:color="auto"/>
              <w:right w:val="nil"/>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641" w:type="dxa"/>
            <w:tcBorders>
              <w:top w:val="single" w:sz="4" w:space="0" w:color="auto"/>
              <w:left w:val="nil"/>
              <w:bottom w:val="single" w:sz="4" w:space="0" w:color="auto"/>
              <w:right w:val="single" w:sz="4" w:space="0" w:color="auto"/>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Max.</w:t>
            </w:r>
          </w:p>
        </w:tc>
        <w:tc>
          <w:tcPr>
            <w:tcW w:w="1060" w:type="dxa"/>
            <w:tcBorders>
              <w:top w:val="nil"/>
              <w:left w:val="single" w:sz="4" w:space="0" w:color="auto"/>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10.00</w:t>
            </w:r>
          </w:p>
        </w:tc>
        <w:tc>
          <w:tcPr>
            <w:tcW w:w="1180" w:type="dxa"/>
            <w:tcBorders>
              <w:top w:val="nil"/>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27.50</w:t>
            </w:r>
          </w:p>
        </w:tc>
        <w:tc>
          <w:tcPr>
            <w:tcW w:w="960" w:type="dxa"/>
            <w:tcBorders>
              <w:top w:val="nil"/>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Pr>
                <w:rFonts w:eastAsia="Times New Roman" w:cstheme="minorHAnsi"/>
                <w:sz w:val="18"/>
                <w:szCs w:val="18"/>
                <w:lang w:eastAsia="en-GB"/>
              </w:rPr>
              <w:t>13</w:t>
            </w:r>
          </w:p>
        </w:tc>
      </w:tr>
      <w:tr w:rsidR="009D6925" w:rsidRPr="00F82E89" w:rsidTr="00ED0AF5">
        <w:trPr>
          <w:trHeight w:val="80"/>
        </w:trPr>
        <w:tc>
          <w:tcPr>
            <w:tcW w:w="1199" w:type="dxa"/>
            <w:vMerge/>
            <w:tcBorders>
              <w:top w:val="single" w:sz="4" w:space="0" w:color="auto"/>
              <w:left w:val="nil"/>
              <w:right w:val="single" w:sz="4" w:space="0" w:color="auto"/>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2180" w:type="dxa"/>
            <w:vMerge/>
            <w:tcBorders>
              <w:top w:val="single" w:sz="4" w:space="0" w:color="auto"/>
              <w:left w:val="single" w:sz="4" w:space="0" w:color="auto"/>
              <w:bottom w:val="single" w:sz="4" w:space="0" w:color="auto"/>
              <w:right w:val="nil"/>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641" w:type="dxa"/>
            <w:tcBorders>
              <w:top w:val="single" w:sz="4" w:space="0" w:color="auto"/>
              <w:left w:val="nil"/>
              <w:bottom w:val="single" w:sz="4" w:space="0" w:color="auto"/>
              <w:right w:val="single" w:sz="4" w:space="0" w:color="auto"/>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 xml:space="preserve">Cv </w:t>
            </w:r>
          </w:p>
        </w:tc>
        <w:tc>
          <w:tcPr>
            <w:tcW w:w="1060" w:type="dxa"/>
            <w:tcBorders>
              <w:top w:val="nil"/>
              <w:left w:val="single" w:sz="4" w:space="0" w:color="auto"/>
              <w:bottom w:val="single" w:sz="4" w:space="0" w:color="auto"/>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0.39</w:t>
            </w:r>
          </w:p>
        </w:tc>
        <w:tc>
          <w:tcPr>
            <w:tcW w:w="1180" w:type="dxa"/>
            <w:tcBorders>
              <w:top w:val="nil"/>
              <w:left w:val="nil"/>
              <w:bottom w:val="single" w:sz="4" w:space="0" w:color="auto"/>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1.19</w:t>
            </w:r>
          </w:p>
        </w:tc>
        <w:tc>
          <w:tcPr>
            <w:tcW w:w="960" w:type="dxa"/>
            <w:tcBorders>
              <w:top w:val="nil"/>
              <w:left w:val="nil"/>
              <w:bottom w:val="single" w:sz="4" w:space="0" w:color="auto"/>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0.</w:t>
            </w:r>
            <w:r>
              <w:rPr>
                <w:rFonts w:eastAsia="Times New Roman" w:cstheme="minorHAnsi"/>
                <w:sz w:val="18"/>
                <w:szCs w:val="18"/>
                <w:lang w:eastAsia="en-GB"/>
              </w:rPr>
              <w:t>65</w:t>
            </w:r>
          </w:p>
        </w:tc>
      </w:tr>
      <w:tr w:rsidR="009D6925" w:rsidRPr="00F82E89" w:rsidTr="00ED0AF5">
        <w:trPr>
          <w:trHeight w:val="84"/>
        </w:trPr>
        <w:tc>
          <w:tcPr>
            <w:tcW w:w="1199" w:type="dxa"/>
            <w:vMerge w:val="restart"/>
            <w:tcBorders>
              <w:top w:val="single" w:sz="4" w:space="0" w:color="auto"/>
              <w:left w:val="nil"/>
              <w:bottom w:val="nil"/>
              <w:right w:val="single" w:sz="4" w:space="0" w:color="auto"/>
            </w:tcBorders>
            <w:shd w:val="clear" w:color="auto" w:fill="auto"/>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Thalweg bedform complex element</w:t>
            </w:r>
          </w:p>
        </w:tc>
        <w:tc>
          <w:tcPr>
            <w:tcW w:w="2180" w:type="dxa"/>
            <w:vMerge w:val="restart"/>
            <w:tcBorders>
              <w:top w:val="single" w:sz="4" w:space="0" w:color="auto"/>
              <w:left w:val="single" w:sz="4" w:space="0" w:color="auto"/>
              <w:bottom w:val="single" w:sz="4" w:space="0" w:color="auto"/>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Proportions</w:t>
            </w:r>
          </w:p>
        </w:tc>
        <w:tc>
          <w:tcPr>
            <w:tcW w:w="641" w:type="dxa"/>
            <w:tcBorders>
              <w:top w:val="single" w:sz="4" w:space="0" w:color="auto"/>
              <w:left w:val="nil"/>
              <w:bottom w:val="single" w:sz="4" w:space="0" w:color="auto"/>
              <w:right w:val="single" w:sz="4" w:space="0" w:color="auto"/>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Min.</w:t>
            </w:r>
          </w:p>
        </w:tc>
        <w:tc>
          <w:tcPr>
            <w:tcW w:w="1060" w:type="dxa"/>
            <w:tcBorders>
              <w:top w:val="single" w:sz="4" w:space="0" w:color="auto"/>
              <w:left w:val="single" w:sz="4" w:space="0" w:color="auto"/>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5.39</w:t>
            </w:r>
          </w:p>
        </w:tc>
        <w:tc>
          <w:tcPr>
            <w:tcW w:w="1180" w:type="dxa"/>
            <w:tcBorders>
              <w:top w:val="single" w:sz="4" w:space="0" w:color="auto"/>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7.52</w:t>
            </w:r>
          </w:p>
        </w:tc>
        <w:tc>
          <w:tcPr>
            <w:tcW w:w="960" w:type="dxa"/>
            <w:tcBorders>
              <w:top w:val="single" w:sz="4" w:space="0" w:color="auto"/>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Pr>
                <w:rFonts w:eastAsia="Times New Roman" w:cstheme="minorHAnsi"/>
                <w:sz w:val="18"/>
                <w:szCs w:val="18"/>
                <w:lang w:eastAsia="en-GB"/>
              </w:rPr>
              <w:t>8</w:t>
            </w:r>
            <w:r w:rsidRPr="00F82E89">
              <w:rPr>
                <w:rFonts w:eastAsia="Times New Roman" w:cstheme="minorHAnsi"/>
                <w:sz w:val="18"/>
                <w:szCs w:val="18"/>
                <w:lang w:eastAsia="en-GB"/>
              </w:rPr>
              <w:t>.00</w:t>
            </w:r>
          </w:p>
        </w:tc>
      </w:tr>
      <w:tr w:rsidR="009D6925" w:rsidRPr="00F82E89" w:rsidTr="00ED0AF5">
        <w:trPr>
          <w:trHeight w:val="157"/>
        </w:trPr>
        <w:tc>
          <w:tcPr>
            <w:tcW w:w="1199" w:type="dxa"/>
            <w:vMerge/>
            <w:tcBorders>
              <w:top w:val="single" w:sz="4" w:space="0" w:color="auto"/>
              <w:left w:val="nil"/>
              <w:bottom w:val="nil"/>
              <w:right w:val="single" w:sz="4" w:space="0" w:color="auto"/>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2180" w:type="dxa"/>
            <w:vMerge/>
            <w:tcBorders>
              <w:top w:val="single" w:sz="4" w:space="0" w:color="auto"/>
              <w:left w:val="single" w:sz="4" w:space="0" w:color="auto"/>
              <w:bottom w:val="single" w:sz="4" w:space="0" w:color="auto"/>
              <w:right w:val="nil"/>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641" w:type="dxa"/>
            <w:tcBorders>
              <w:top w:val="single" w:sz="4" w:space="0" w:color="auto"/>
              <w:left w:val="nil"/>
              <w:bottom w:val="single" w:sz="4" w:space="0" w:color="auto"/>
              <w:right w:val="single" w:sz="4" w:space="0" w:color="auto"/>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Mean</w:t>
            </w:r>
          </w:p>
        </w:tc>
        <w:tc>
          <w:tcPr>
            <w:tcW w:w="1060" w:type="dxa"/>
            <w:tcBorders>
              <w:top w:val="nil"/>
              <w:left w:val="single" w:sz="4" w:space="0" w:color="auto"/>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5.67</w:t>
            </w:r>
          </w:p>
        </w:tc>
        <w:tc>
          <w:tcPr>
            <w:tcW w:w="1180" w:type="dxa"/>
            <w:tcBorders>
              <w:top w:val="nil"/>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9.51</w:t>
            </w:r>
          </w:p>
        </w:tc>
        <w:tc>
          <w:tcPr>
            <w:tcW w:w="960" w:type="dxa"/>
            <w:tcBorders>
              <w:top w:val="nil"/>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Pr>
                <w:rFonts w:eastAsia="Times New Roman" w:cstheme="minorHAnsi"/>
                <w:sz w:val="18"/>
                <w:szCs w:val="18"/>
                <w:lang w:eastAsia="en-GB"/>
              </w:rPr>
              <w:t>8</w:t>
            </w:r>
            <w:r w:rsidRPr="00F82E89">
              <w:rPr>
                <w:rFonts w:eastAsia="Times New Roman" w:cstheme="minorHAnsi"/>
                <w:sz w:val="18"/>
                <w:szCs w:val="18"/>
                <w:lang w:eastAsia="en-GB"/>
              </w:rPr>
              <w:t>.00</w:t>
            </w:r>
          </w:p>
        </w:tc>
      </w:tr>
      <w:tr w:rsidR="009D6925" w:rsidRPr="00F82E89" w:rsidTr="00ED0AF5">
        <w:trPr>
          <w:trHeight w:val="217"/>
        </w:trPr>
        <w:tc>
          <w:tcPr>
            <w:tcW w:w="1199" w:type="dxa"/>
            <w:vMerge/>
            <w:tcBorders>
              <w:top w:val="single" w:sz="4" w:space="0" w:color="auto"/>
              <w:left w:val="nil"/>
              <w:bottom w:val="nil"/>
              <w:right w:val="single" w:sz="4" w:space="0" w:color="auto"/>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2180" w:type="dxa"/>
            <w:vMerge/>
            <w:tcBorders>
              <w:top w:val="single" w:sz="4" w:space="0" w:color="auto"/>
              <w:left w:val="single" w:sz="4" w:space="0" w:color="auto"/>
              <w:bottom w:val="single" w:sz="4" w:space="0" w:color="auto"/>
              <w:right w:val="nil"/>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641" w:type="dxa"/>
            <w:tcBorders>
              <w:top w:val="single" w:sz="4" w:space="0" w:color="auto"/>
              <w:left w:val="nil"/>
              <w:bottom w:val="single" w:sz="4" w:space="0" w:color="auto"/>
              <w:right w:val="single" w:sz="4" w:space="0" w:color="auto"/>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Max.</w:t>
            </w:r>
          </w:p>
        </w:tc>
        <w:tc>
          <w:tcPr>
            <w:tcW w:w="1060" w:type="dxa"/>
            <w:tcBorders>
              <w:top w:val="nil"/>
              <w:left w:val="single" w:sz="4" w:space="0" w:color="auto"/>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5.85</w:t>
            </w:r>
          </w:p>
        </w:tc>
        <w:tc>
          <w:tcPr>
            <w:tcW w:w="1180" w:type="dxa"/>
            <w:tcBorders>
              <w:top w:val="nil"/>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12.42</w:t>
            </w:r>
          </w:p>
        </w:tc>
        <w:tc>
          <w:tcPr>
            <w:tcW w:w="960" w:type="dxa"/>
            <w:tcBorders>
              <w:top w:val="nil"/>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Pr>
                <w:rFonts w:eastAsia="Times New Roman" w:cstheme="minorHAnsi"/>
                <w:sz w:val="18"/>
                <w:szCs w:val="18"/>
                <w:lang w:eastAsia="en-GB"/>
              </w:rPr>
              <w:t>8</w:t>
            </w:r>
            <w:r w:rsidRPr="00F82E89">
              <w:rPr>
                <w:rFonts w:eastAsia="Times New Roman" w:cstheme="minorHAnsi"/>
                <w:sz w:val="18"/>
                <w:szCs w:val="18"/>
                <w:lang w:eastAsia="en-GB"/>
              </w:rPr>
              <w:t>.00</w:t>
            </w:r>
          </w:p>
        </w:tc>
      </w:tr>
      <w:tr w:rsidR="009D6925" w:rsidRPr="00F82E89" w:rsidTr="00ED0AF5">
        <w:trPr>
          <w:trHeight w:val="136"/>
        </w:trPr>
        <w:tc>
          <w:tcPr>
            <w:tcW w:w="1199" w:type="dxa"/>
            <w:vMerge/>
            <w:tcBorders>
              <w:top w:val="single" w:sz="4" w:space="0" w:color="auto"/>
              <w:left w:val="nil"/>
              <w:bottom w:val="nil"/>
              <w:right w:val="single" w:sz="4" w:space="0" w:color="auto"/>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2180" w:type="dxa"/>
            <w:vMerge/>
            <w:tcBorders>
              <w:top w:val="single" w:sz="4" w:space="0" w:color="auto"/>
              <w:left w:val="single" w:sz="4" w:space="0" w:color="auto"/>
              <w:bottom w:val="single" w:sz="4" w:space="0" w:color="auto"/>
              <w:right w:val="nil"/>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641" w:type="dxa"/>
            <w:tcBorders>
              <w:top w:val="single" w:sz="4" w:space="0" w:color="auto"/>
              <w:left w:val="nil"/>
              <w:bottom w:val="single" w:sz="4" w:space="0" w:color="auto"/>
              <w:right w:val="single" w:sz="4" w:space="0" w:color="auto"/>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Sd</w:t>
            </w:r>
          </w:p>
        </w:tc>
        <w:tc>
          <w:tcPr>
            <w:tcW w:w="1060" w:type="dxa"/>
            <w:tcBorders>
              <w:top w:val="nil"/>
              <w:left w:val="single" w:sz="4" w:space="0" w:color="auto"/>
              <w:bottom w:val="single" w:sz="4" w:space="0" w:color="auto"/>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0.18</w:t>
            </w:r>
          </w:p>
        </w:tc>
        <w:tc>
          <w:tcPr>
            <w:tcW w:w="1180" w:type="dxa"/>
            <w:tcBorders>
              <w:top w:val="nil"/>
              <w:left w:val="nil"/>
              <w:bottom w:val="single" w:sz="4" w:space="0" w:color="auto"/>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1.25</w:t>
            </w:r>
          </w:p>
        </w:tc>
        <w:tc>
          <w:tcPr>
            <w:tcW w:w="960" w:type="dxa"/>
            <w:tcBorders>
              <w:top w:val="nil"/>
              <w:left w:val="nil"/>
              <w:bottom w:val="single" w:sz="4" w:space="0" w:color="auto"/>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0.00</w:t>
            </w:r>
          </w:p>
        </w:tc>
      </w:tr>
      <w:tr w:rsidR="009D6925" w:rsidRPr="00F82E89" w:rsidTr="00ED0AF5">
        <w:trPr>
          <w:trHeight w:val="209"/>
        </w:trPr>
        <w:tc>
          <w:tcPr>
            <w:tcW w:w="1199" w:type="dxa"/>
            <w:vMerge/>
            <w:tcBorders>
              <w:top w:val="single" w:sz="4" w:space="0" w:color="auto"/>
              <w:left w:val="nil"/>
              <w:bottom w:val="nil"/>
              <w:right w:val="single" w:sz="4" w:space="0" w:color="auto"/>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2180" w:type="dxa"/>
            <w:vMerge w:val="restart"/>
            <w:tcBorders>
              <w:top w:val="single" w:sz="4" w:space="0" w:color="auto"/>
              <w:left w:val="single" w:sz="4" w:space="0" w:color="auto"/>
              <w:bottom w:val="single" w:sz="4" w:space="0" w:color="auto"/>
              <w:right w:val="nil"/>
            </w:tcBorders>
            <w:shd w:val="clear" w:color="auto" w:fill="auto"/>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Thickness</w:t>
            </w:r>
          </w:p>
        </w:tc>
        <w:tc>
          <w:tcPr>
            <w:tcW w:w="641" w:type="dxa"/>
            <w:tcBorders>
              <w:top w:val="single" w:sz="4" w:space="0" w:color="auto"/>
              <w:left w:val="nil"/>
              <w:bottom w:val="single" w:sz="4" w:space="0" w:color="auto"/>
              <w:right w:val="single" w:sz="4" w:space="0" w:color="auto"/>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Min.</w:t>
            </w:r>
          </w:p>
        </w:tc>
        <w:tc>
          <w:tcPr>
            <w:tcW w:w="1060" w:type="dxa"/>
            <w:tcBorders>
              <w:top w:val="single" w:sz="4" w:space="0" w:color="auto"/>
              <w:left w:val="single" w:sz="4" w:space="0" w:color="auto"/>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0.50</w:t>
            </w:r>
          </w:p>
        </w:tc>
        <w:tc>
          <w:tcPr>
            <w:tcW w:w="1180" w:type="dxa"/>
            <w:tcBorders>
              <w:top w:val="single" w:sz="4" w:space="0" w:color="auto"/>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0.50</w:t>
            </w:r>
          </w:p>
        </w:tc>
        <w:tc>
          <w:tcPr>
            <w:tcW w:w="960" w:type="dxa"/>
            <w:tcBorders>
              <w:top w:val="single" w:sz="4" w:space="0" w:color="auto"/>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0.50</w:t>
            </w:r>
          </w:p>
        </w:tc>
      </w:tr>
      <w:tr w:rsidR="009D6925" w:rsidRPr="00F82E89" w:rsidTr="00ED0AF5">
        <w:trPr>
          <w:trHeight w:val="114"/>
        </w:trPr>
        <w:tc>
          <w:tcPr>
            <w:tcW w:w="1199" w:type="dxa"/>
            <w:vMerge/>
            <w:tcBorders>
              <w:top w:val="single" w:sz="4" w:space="0" w:color="auto"/>
              <w:left w:val="nil"/>
              <w:bottom w:val="nil"/>
              <w:right w:val="single" w:sz="4" w:space="0" w:color="auto"/>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2180" w:type="dxa"/>
            <w:vMerge/>
            <w:tcBorders>
              <w:top w:val="single" w:sz="4" w:space="0" w:color="auto"/>
              <w:left w:val="single" w:sz="4" w:space="0" w:color="auto"/>
              <w:bottom w:val="single" w:sz="4" w:space="0" w:color="auto"/>
              <w:right w:val="nil"/>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641" w:type="dxa"/>
            <w:tcBorders>
              <w:top w:val="single" w:sz="4" w:space="0" w:color="auto"/>
              <w:left w:val="nil"/>
              <w:bottom w:val="single" w:sz="4" w:space="0" w:color="auto"/>
              <w:right w:val="single" w:sz="4" w:space="0" w:color="auto"/>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Mean</w:t>
            </w:r>
          </w:p>
        </w:tc>
        <w:tc>
          <w:tcPr>
            <w:tcW w:w="1060" w:type="dxa"/>
            <w:tcBorders>
              <w:top w:val="nil"/>
              <w:left w:val="single" w:sz="4" w:space="0" w:color="auto"/>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0.50</w:t>
            </w:r>
          </w:p>
        </w:tc>
        <w:tc>
          <w:tcPr>
            <w:tcW w:w="1180" w:type="dxa"/>
            <w:tcBorders>
              <w:top w:val="nil"/>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1.76</w:t>
            </w:r>
          </w:p>
        </w:tc>
        <w:tc>
          <w:tcPr>
            <w:tcW w:w="960" w:type="dxa"/>
            <w:tcBorders>
              <w:top w:val="nil"/>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1.</w:t>
            </w:r>
            <w:r>
              <w:rPr>
                <w:rFonts w:eastAsia="Times New Roman" w:cstheme="minorHAnsi"/>
                <w:sz w:val="18"/>
                <w:szCs w:val="18"/>
                <w:lang w:eastAsia="en-GB"/>
              </w:rPr>
              <w:t>5</w:t>
            </w:r>
            <w:r w:rsidRPr="00F82E89">
              <w:rPr>
                <w:rFonts w:eastAsia="Times New Roman" w:cstheme="minorHAnsi"/>
                <w:sz w:val="18"/>
                <w:szCs w:val="18"/>
                <w:lang w:eastAsia="en-GB"/>
              </w:rPr>
              <w:t>0</w:t>
            </w:r>
          </w:p>
        </w:tc>
      </w:tr>
      <w:tr w:rsidR="009D6925" w:rsidRPr="00F82E89" w:rsidTr="00ED0AF5">
        <w:trPr>
          <w:trHeight w:val="173"/>
        </w:trPr>
        <w:tc>
          <w:tcPr>
            <w:tcW w:w="1199" w:type="dxa"/>
            <w:vMerge/>
            <w:tcBorders>
              <w:top w:val="single" w:sz="4" w:space="0" w:color="auto"/>
              <w:left w:val="nil"/>
              <w:bottom w:val="nil"/>
              <w:right w:val="single" w:sz="4" w:space="0" w:color="auto"/>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2180" w:type="dxa"/>
            <w:vMerge/>
            <w:tcBorders>
              <w:top w:val="single" w:sz="4" w:space="0" w:color="auto"/>
              <w:left w:val="single" w:sz="4" w:space="0" w:color="auto"/>
              <w:bottom w:val="single" w:sz="4" w:space="0" w:color="auto"/>
              <w:right w:val="nil"/>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641" w:type="dxa"/>
            <w:tcBorders>
              <w:top w:val="single" w:sz="4" w:space="0" w:color="auto"/>
              <w:left w:val="nil"/>
              <w:bottom w:val="single" w:sz="4" w:space="0" w:color="auto"/>
              <w:right w:val="single" w:sz="4" w:space="0" w:color="auto"/>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Max.</w:t>
            </w:r>
          </w:p>
        </w:tc>
        <w:tc>
          <w:tcPr>
            <w:tcW w:w="1060" w:type="dxa"/>
            <w:tcBorders>
              <w:top w:val="nil"/>
              <w:left w:val="single" w:sz="4" w:space="0" w:color="auto"/>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3.00</w:t>
            </w:r>
          </w:p>
        </w:tc>
        <w:tc>
          <w:tcPr>
            <w:tcW w:w="1180" w:type="dxa"/>
            <w:tcBorders>
              <w:top w:val="nil"/>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26.50</w:t>
            </w:r>
          </w:p>
        </w:tc>
        <w:tc>
          <w:tcPr>
            <w:tcW w:w="960" w:type="dxa"/>
            <w:tcBorders>
              <w:top w:val="nil"/>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Pr>
                <w:rFonts w:eastAsia="Times New Roman" w:cstheme="minorHAnsi"/>
                <w:sz w:val="18"/>
                <w:szCs w:val="18"/>
                <w:lang w:eastAsia="en-GB"/>
              </w:rPr>
              <w:t>10.00</w:t>
            </w:r>
          </w:p>
        </w:tc>
      </w:tr>
      <w:tr w:rsidR="009D6925" w:rsidRPr="00F82E89" w:rsidTr="00ED0AF5">
        <w:trPr>
          <w:trHeight w:val="105"/>
        </w:trPr>
        <w:tc>
          <w:tcPr>
            <w:tcW w:w="1199" w:type="dxa"/>
            <w:vMerge/>
            <w:tcBorders>
              <w:top w:val="single" w:sz="4" w:space="0" w:color="auto"/>
              <w:left w:val="nil"/>
              <w:bottom w:val="single" w:sz="4" w:space="0" w:color="auto"/>
              <w:right w:val="single" w:sz="4" w:space="0" w:color="auto"/>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2180" w:type="dxa"/>
            <w:vMerge/>
            <w:tcBorders>
              <w:top w:val="single" w:sz="4" w:space="0" w:color="auto"/>
              <w:left w:val="single" w:sz="4" w:space="0" w:color="auto"/>
              <w:bottom w:val="single" w:sz="4" w:space="0" w:color="auto"/>
              <w:right w:val="nil"/>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641" w:type="dxa"/>
            <w:tcBorders>
              <w:top w:val="single" w:sz="4" w:space="0" w:color="auto"/>
              <w:left w:val="nil"/>
              <w:bottom w:val="single" w:sz="4" w:space="0" w:color="auto"/>
              <w:right w:val="single" w:sz="4" w:space="0" w:color="auto"/>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 xml:space="preserve">Cv </w:t>
            </w:r>
          </w:p>
        </w:tc>
        <w:tc>
          <w:tcPr>
            <w:tcW w:w="1060" w:type="dxa"/>
            <w:tcBorders>
              <w:top w:val="nil"/>
              <w:left w:val="single" w:sz="4" w:space="0" w:color="auto"/>
              <w:bottom w:val="single" w:sz="4" w:space="0" w:color="auto"/>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0.29</w:t>
            </w:r>
          </w:p>
        </w:tc>
        <w:tc>
          <w:tcPr>
            <w:tcW w:w="1180" w:type="dxa"/>
            <w:tcBorders>
              <w:top w:val="nil"/>
              <w:left w:val="nil"/>
              <w:bottom w:val="single" w:sz="4" w:space="0" w:color="auto"/>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1.09</w:t>
            </w:r>
          </w:p>
        </w:tc>
        <w:tc>
          <w:tcPr>
            <w:tcW w:w="960" w:type="dxa"/>
            <w:tcBorders>
              <w:top w:val="nil"/>
              <w:left w:val="nil"/>
              <w:bottom w:val="single" w:sz="4" w:space="0" w:color="auto"/>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0.</w:t>
            </w:r>
            <w:r>
              <w:rPr>
                <w:rFonts w:eastAsia="Times New Roman" w:cstheme="minorHAnsi"/>
                <w:sz w:val="18"/>
                <w:szCs w:val="18"/>
                <w:lang w:eastAsia="en-GB"/>
              </w:rPr>
              <w:t>59</w:t>
            </w:r>
          </w:p>
        </w:tc>
      </w:tr>
      <w:tr w:rsidR="009D6925" w:rsidRPr="00F82E89" w:rsidTr="00ED0AF5">
        <w:trPr>
          <w:trHeight w:val="80"/>
        </w:trPr>
        <w:tc>
          <w:tcPr>
            <w:tcW w:w="1199" w:type="dxa"/>
            <w:vMerge w:val="restart"/>
            <w:tcBorders>
              <w:top w:val="single" w:sz="4" w:space="0" w:color="auto"/>
              <w:left w:val="nil"/>
              <w:bottom w:val="single" w:sz="4" w:space="0" w:color="auto"/>
              <w:right w:val="single" w:sz="4" w:space="0" w:color="auto"/>
            </w:tcBorders>
            <w:shd w:val="clear" w:color="auto" w:fill="auto"/>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Net connectivity</w:t>
            </w:r>
          </w:p>
        </w:tc>
        <w:tc>
          <w:tcPr>
            <w:tcW w:w="2180" w:type="dxa"/>
            <w:vMerge w:val="restart"/>
            <w:tcBorders>
              <w:top w:val="single" w:sz="4" w:space="0" w:color="auto"/>
              <w:left w:val="single" w:sz="4" w:space="0" w:color="auto"/>
              <w:bottom w:val="single" w:sz="4" w:space="0" w:color="auto"/>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Proportions</w:t>
            </w:r>
          </w:p>
        </w:tc>
        <w:tc>
          <w:tcPr>
            <w:tcW w:w="641" w:type="dxa"/>
            <w:tcBorders>
              <w:top w:val="single" w:sz="4" w:space="0" w:color="auto"/>
              <w:left w:val="nil"/>
              <w:bottom w:val="single" w:sz="4" w:space="0" w:color="auto"/>
              <w:right w:val="single" w:sz="4" w:space="0" w:color="auto"/>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Min.</w:t>
            </w:r>
          </w:p>
        </w:tc>
        <w:tc>
          <w:tcPr>
            <w:tcW w:w="1060" w:type="dxa"/>
            <w:tcBorders>
              <w:top w:val="single" w:sz="4" w:space="0" w:color="auto"/>
              <w:left w:val="single" w:sz="4" w:space="0" w:color="auto"/>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49.48</w:t>
            </w:r>
          </w:p>
        </w:tc>
        <w:tc>
          <w:tcPr>
            <w:tcW w:w="1180" w:type="dxa"/>
            <w:tcBorders>
              <w:top w:val="single" w:sz="4" w:space="0" w:color="auto"/>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48.84</w:t>
            </w:r>
          </w:p>
        </w:tc>
        <w:tc>
          <w:tcPr>
            <w:tcW w:w="960" w:type="dxa"/>
            <w:tcBorders>
              <w:top w:val="single" w:sz="4" w:space="0" w:color="auto"/>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Pr>
                <w:rFonts w:eastAsia="Times New Roman" w:cstheme="minorHAnsi"/>
                <w:sz w:val="18"/>
                <w:szCs w:val="18"/>
                <w:lang w:eastAsia="en-GB"/>
              </w:rPr>
              <w:t>49.44</w:t>
            </w:r>
          </w:p>
        </w:tc>
      </w:tr>
      <w:tr w:rsidR="009D6925" w:rsidRPr="00F82E89" w:rsidTr="00ED0AF5">
        <w:trPr>
          <w:trHeight w:val="83"/>
        </w:trPr>
        <w:tc>
          <w:tcPr>
            <w:tcW w:w="1199" w:type="dxa"/>
            <w:vMerge/>
            <w:tcBorders>
              <w:top w:val="single" w:sz="4" w:space="0" w:color="auto"/>
              <w:left w:val="nil"/>
              <w:bottom w:val="single" w:sz="4" w:space="0" w:color="auto"/>
              <w:right w:val="single" w:sz="4" w:space="0" w:color="auto"/>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2180" w:type="dxa"/>
            <w:vMerge/>
            <w:tcBorders>
              <w:top w:val="single" w:sz="4" w:space="0" w:color="auto"/>
              <w:left w:val="single" w:sz="4" w:space="0" w:color="auto"/>
              <w:bottom w:val="single" w:sz="4" w:space="0" w:color="auto"/>
              <w:right w:val="nil"/>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641" w:type="dxa"/>
            <w:tcBorders>
              <w:top w:val="single" w:sz="4" w:space="0" w:color="auto"/>
              <w:left w:val="nil"/>
              <w:bottom w:val="single" w:sz="4" w:space="0" w:color="auto"/>
              <w:right w:val="single" w:sz="4" w:space="0" w:color="auto"/>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Mean</w:t>
            </w:r>
          </w:p>
        </w:tc>
        <w:tc>
          <w:tcPr>
            <w:tcW w:w="1060" w:type="dxa"/>
            <w:tcBorders>
              <w:top w:val="nil"/>
              <w:left w:val="single" w:sz="4" w:space="0" w:color="auto"/>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50.25</w:t>
            </w:r>
          </w:p>
        </w:tc>
        <w:tc>
          <w:tcPr>
            <w:tcW w:w="1180" w:type="dxa"/>
            <w:tcBorders>
              <w:top w:val="nil"/>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50.44</w:t>
            </w:r>
          </w:p>
        </w:tc>
        <w:tc>
          <w:tcPr>
            <w:tcW w:w="960" w:type="dxa"/>
            <w:tcBorders>
              <w:top w:val="nil"/>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Pr>
                <w:rFonts w:eastAsia="Times New Roman" w:cstheme="minorHAnsi"/>
                <w:sz w:val="18"/>
                <w:szCs w:val="18"/>
                <w:lang w:eastAsia="en-GB"/>
              </w:rPr>
              <w:t>51.67</w:t>
            </w:r>
          </w:p>
        </w:tc>
      </w:tr>
      <w:tr w:rsidR="009D6925" w:rsidRPr="00F82E89" w:rsidTr="00ED0AF5">
        <w:trPr>
          <w:trHeight w:val="80"/>
        </w:trPr>
        <w:tc>
          <w:tcPr>
            <w:tcW w:w="1199" w:type="dxa"/>
            <w:vMerge/>
            <w:tcBorders>
              <w:top w:val="single" w:sz="4" w:space="0" w:color="auto"/>
              <w:left w:val="nil"/>
              <w:bottom w:val="single" w:sz="4" w:space="0" w:color="auto"/>
              <w:right w:val="single" w:sz="4" w:space="0" w:color="auto"/>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2180" w:type="dxa"/>
            <w:vMerge/>
            <w:tcBorders>
              <w:top w:val="single" w:sz="4" w:space="0" w:color="auto"/>
              <w:left w:val="single" w:sz="4" w:space="0" w:color="auto"/>
              <w:bottom w:val="single" w:sz="4" w:space="0" w:color="auto"/>
              <w:right w:val="nil"/>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641" w:type="dxa"/>
            <w:tcBorders>
              <w:top w:val="single" w:sz="4" w:space="0" w:color="auto"/>
              <w:left w:val="nil"/>
              <w:bottom w:val="single" w:sz="4" w:space="0" w:color="auto"/>
              <w:right w:val="single" w:sz="4" w:space="0" w:color="auto"/>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Max.</w:t>
            </w:r>
          </w:p>
        </w:tc>
        <w:tc>
          <w:tcPr>
            <w:tcW w:w="1060" w:type="dxa"/>
            <w:tcBorders>
              <w:top w:val="nil"/>
              <w:left w:val="single" w:sz="4" w:space="0" w:color="auto"/>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51.54</w:t>
            </w:r>
          </w:p>
        </w:tc>
        <w:tc>
          <w:tcPr>
            <w:tcW w:w="1180" w:type="dxa"/>
            <w:tcBorders>
              <w:top w:val="nil"/>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53.23</w:t>
            </w:r>
          </w:p>
        </w:tc>
        <w:tc>
          <w:tcPr>
            <w:tcW w:w="960" w:type="dxa"/>
            <w:tcBorders>
              <w:top w:val="nil"/>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Pr>
                <w:rFonts w:eastAsia="Times New Roman" w:cstheme="minorHAnsi"/>
                <w:sz w:val="18"/>
                <w:szCs w:val="18"/>
                <w:lang w:eastAsia="en-GB"/>
              </w:rPr>
              <w:t>52.51</w:t>
            </w:r>
          </w:p>
        </w:tc>
      </w:tr>
      <w:tr w:rsidR="009D6925" w:rsidRPr="00F82E89" w:rsidTr="00ED0AF5">
        <w:trPr>
          <w:trHeight w:val="80"/>
        </w:trPr>
        <w:tc>
          <w:tcPr>
            <w:tcW w:w="1199" w:type="dxa"/>
            <w:vMerge/>
            <w:tcBorders>
              <w:top w:val="single" w:sz="4" w:space="0" w:color="auto"/>
              <w:left w:val="nil"/>
              <w:bottom w:val="single" w:sz="4" w:space="0" w:color="auto"/>
              <w:right w:val="single" w:sz="4" w:space="0" w:color="auto"/>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2180" w:type="dxa"/>
            <w:vMerge/>
            <w:tcBorders>
              <w:top w:val="single" w:sz="4" w:space="0" w:color="auto"/>
              <w:left w:val="single" w:sz="4" w:space="0" w:color="auto"/>
              <w:bottom w:val="single" w:sz="4" w:space="0" w:color="auto"/>
              <w:right w:val="nil"/>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641" w:type="dxa"/>
            <w:tcBorders>
              <w:top w:val="single" w:sz="4" w:space="0" w:color="auto"/>
              <w:left w:val="nil"/>
              <w:bottom w:val="single" w:sz="4" w:space="0" w:color="auto"/>
              <w:right w:val="single" w:sz="4" w:space="0" w:color="auto"/>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Sd</w:t>
            </w:r>
          </w:p>
        </w:tc>
        <w:tc>
          <w:tcPr>
            <w:tcW w:w="1060" w:type="dxa"/>
            <w:tcBorders>
              <w:top w:val="nil"/>
              <w:left w:val="single" w:sz="4" w:space="0" w:color="auto"/>
              <w:bottom w:val="single" w:sz="4" w:space="0" w:color="auto"/>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0.76</w:t>
            </w:r>
          </w:p>
        </w:tc>
        <w:tc>
          <w:tcPr>
            <w:tcW w:w="1180" w:type="dxa"/>
            <w:tcBorders>
              <w:top w:val="nil"/>
              <w:left w:val="nil"/>
              <w:bottom w:val="single" w:sz="4" w:space="0" w:color="auto"/>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1.38</w:t>
            </w:r>
          </w:p>
        </w:tc>
        <w:tc>
          <w:tcPr>
            <w:tcW w:w="960" w:type="dxa"/>
            <w:tcBorders>
              <w:top w:val="nil"/>
              <w:left w:val="nil"/>
              <w:bottom w:val="single" w:sz="4" w:space="0" w:color="auto"/>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Pr>
                <w:rFonts w:eastAsia="Times New Roman" w:cstheme="minorHAnsi"/>
                <w:sz w:val="18"/>
                <w:szCs w:val="18"/>
                <w:lang w:eastAsia="en-GB"/>
              </w:rPr>
              <w:t>0.81</w:t>
            </w:r>
          </w:p>
        </w:tc>
      </w:tr>
      <w:tr w:rsidR="009D6925" w:rsidRPr="00F82E89" w:rsidTr="00ED0AF5">
        <w:trPr>
          <w:trHeight w:val="135"/>
        </w:trPr>
        <w:tc>
          <w:tcPr>
            <w:tcW w:w="1199" w:type="dxa"/>
            <w:vMerge/>
            <w:tcBorders>
              <w:top w:val="single" w:sz="4" w:space="0" w:color="auto"/>
              <w:left w:val="nil"/>
              <w:bottom w:val="single" w:sz="4" w:space="0" w:color="auto"/>
              <w:right w:val="single" w:sz="4" w:space="0" w:color="auto"/>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2180" w:type="dxa"/>
            <w:vMerge w:val="restart"/>
            <w:tcBorders>
              <w:top w:val="single" w:sz="4" w:space="0" w:color="auto"/>
              <w:left w:val="single" w:sz="4" w:space="0" w:color="auto"/>
              <w:bottom w:val="single" w:sz="4" w:space="0" w:color="auto"/>
              <w:right w:val="nil"/>
            </w:tcBorders>
            <w:shd w:val="clear" w:color="auto" w:fill="auto"/>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Thickness</w:t>
            </w:r>
          </w:p>
        </w:tc>
        <w:tc>
          <w:tcPr>
            <w:tcW w:w="641" w:type="dxa"/>
            <w:tcBorders>
              <w:top w:val="single" w:sz="4" w:space="0" w:color="auto"/>
              <w:left w:val="nil"/>
              <w:bottom w:val="single" w:sz="4" w:space="0" w:color="auto"/>
              <w:right w:val="single" w:sz="4" w:space="0" w:color="auto"/>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Min.</w:t>
            </w:r>
          </w:p>
        </w:tc>
        <w:tc>
          <w:tcPr>
            <w:tcW w:w="1060" w:type="dxa"/>
            <w:tcBorders>
              <w:top w:val="single" w:sz="4" w:space="0" w:color="auto"/>
              <w:left w:val="single" w:sz="4" w:space="0" w:color="auto"/>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0.50</w:t>
            </w:r>
          </w:p>
        </w:tc>
        <w:tc>
          <w:tcPr>
            <w:tcW w:w="1180" w:type="dxa"/>
            <w:tcBorders>
              <w:top w:val="single" w:sz="4" w:space="0" w:color="auto"/>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0.50</w:t>
            </w:r>
          </w:p>
        </w:tc>
        <w:tc>
          <w:tcPr>
            <w:tcW w:w="960" w:type="dxa"/>
            <w:tcBorders>
              <w:top w:val="single" w:sz="4" w:space="0" w:color="auto"/>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0.50</w:t>
            </w:r>
          </w:p>
        </w:tc>
      </w:tr>
      <w:tr w:rsidR="009D6925" w:rsidRPr="00F82E89" w:rsidTr="00ED0AF5">
        <w:trPr>
          <w:trHeight w:val="80"/>
        </w:trPr>
        <w:tc>
          <w:tcPr>
            <w:tcW w:w="1199" w:type="dxa"/>
            <w:vMerge/>
            <w:tcBorders>
              <w:top w:val="single" w:sz="4" w:space="0" w:color="auto"/>
              <w:left w:val="nil"/>
              <w:bottom w:val="single" w:sz="4" w:space="0" w:color="auto"/>
              <w:right w:val="single" w:sz="4" w:space="0" w:color="auto"/>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2180" w:type="dxa"/>
            <w:vMerge/>
            <w:tcBorders>
              <w:top w:val="single" w:sz="4" w:space="0" w:color="auto"/>
              <w:left w:val="single" w:sz="4" w:space="0" w:color="auto"/>
              <w:bottom w:val="single" w:sz="4" w:space="0" w:color="auto"/>
              <w:right w:val="nil"/>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641" w:type="dxa"/>
            <w:tcBorders>
              <w:top w:val="single" w:sz="4" w:space="0" w:color="auto"/>
              <w:left w:val="nil"/>
              <w:bottom w:val="single" w:sz="4" w:space="0" w:color="auto"/>
              <w:right w:val="single" w:sz="4" w:space="0" w:color="auto"/>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Mean</w:t>
            </w:r>
          </w:p>
        </w:tc>
        <w:tc>
          <w:tcPr>
            <w:tcW w:w="1060" w:type="dxa"/>
            <w:tcBorders>
              <w:top w:val="nil"/>
              <w:left w:val="single" w:sz="4" w:space="0" w:color="auto"/>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1.20</w:t>
            </w:r>
          </w:p>
        </w:tc>
        <w:tc>
          <w:tcPr>
            <w:tcW w:w="1180" w:type="dxa"/>
            <w:tcBorders>
              <w:top w:val="nil"/>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3.60</w:t>
            </w:r>
          </w:p>
        </w:tc>
        <w:tc>
          <w:tcPr>
            <w:tcW w:w="960" w:type="dxa"/>
            <w:tcBorders>
              <w:top w:val="nil"/>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Pr>
                <w:rFonts w:eastAsia="Times New Roman" w:cstheme="minorHAnsi"/>
                <w:sz w:val="18"/>
                <w:szCs w:val="18"/>
                <w:lang w:eastAsia="en-GB"/>
              </w:rPr>
              <w:t>4.21</w:t>
            </w:r>
          </w:p>
        </w:tc>
      </w:tr>
      <w:tr w:rsidR="009D6925" w:rsidRPr="00F82E89" w:rsidTr="00ED0AF5">
        <w:trPr>
          <w:trHeight w:val="127"/>
        </w:trPr>
        <w:tc>
          <w:tcPr>
            <w:tcW w:w="1199" w:type="dxa"/>
            <w:vMerge/>
            <w:tcBorders>
              <w:top w:val="single" w:sz="4" w:space="0" w:color="auto"/>
              <w:left w:val="nil"/>
              <w:bottom w:val="single" w:sz="4" w:space="0" w:color="auto"/>
              <w:right w:val="single" w:sz="4" w:space="0" w:color="auto"/>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2180" w:type="dxa"/>
            <w:vMerge/>
            <w:tcBorders>
              <w:top w:val="single" w:sz="4" w:space="0" w:color="auto"/>
              <w:left w:val="single" w:sz="4" w:space="0" w:color="auto"/>
              <w:bottom w:val="single" w:sz="4" w:space="0" w:color="auto"/>
              <w:right w:val="nil"/>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641" w:type="dxa"/>
            <w:tcBorders>
              <w:top w:val="single" w:sz="4" w:space="0" w:color="auto"/>
              <w:left w:val="nil"/>
              <w:bottom w:val="single" w:sz="4" w:space="0" w:color="auto"/>
              <w:right w:val="single" w:sz="4" w:space="0" w:color="auto"/>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Max.</w:t>
            </w:r>
          </w:p>
        </w:tc>
        <w:tc>
          <w:tcPr>
            <w:tcW w:w="1060" w:type="dxa"/>
            <w:tcBorders>
              <w:top w:val="nil"/>
              <w:left w:val="single" w:sz="4" w:space="0" w:color="auto"/>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18.00</w:t>
            </w:r>
          </w:p>
        </w:tc>
        <w:tc>
          <w:tcPr>
            <w:tcW w:w="1180" w:type="dxa"/>
            <w:tcBorders>
              <w:top w:val="nil"/>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40.00</w:t>
            </w:r>
          </w:p>
        </w:tc>
        <w:tc>
          <w:tcPr>
            <w:tcW w:w="960" w:type="dxa"/>
            <w:tcBorders>
              <w:top w:val="nil"/>
              <w:left w:val="nil"/>
              <w:bottom w:val="nil"/>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40.00</w:t>
            </w:r>
          </w:p>
        </w:tc>
      </w:tr>
      <w:tr w:rsidR="009D6925" w:rsidRPr="00F82E89" w:rsidTr="00ED0AF5">
        <w:trPr>
          <w:trHeight w:val="300"/>
        </w:trPr>
        <w:tc>
          <w:tcPr>
            <w:tcW w:w="1199" w:type="dxa"/>
            <w:vMerge/>
            <w:tcBorders>
              <w:top w:val="single" w:sz="4" w:space="0" w:color="auto"/>
              <w:left w:val="nil"/>
              <w:bottom w:val="single" w:sz="4" w:space="0" w:color="auto"/>
              <w:right w:val="single" w:sz="4" w:space="0" w:color="auto"/>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2180" w:type="dxa"/>
            <w:vMerge/>
            <w:tcBorders>
              <w:top w:val="single" w:sz="4" w:space="0" w:color="auto"/>
              <w:left w:val="single" w:sz="4" w:space="0" w:color="auto"/>
              <w:bottom w:val="single" w:sz="4" w:space="0" w:color="auto"/>
              <w:right w:val="nil"/>
            </w:tcBorders>
            <w:hideMark/>
          </w:tcPr>
          <w:p w:rsidR="009D6925" w:rsidRPr="00F82E89" w:rsidRDefault="009D6925" w:rsidP="00ED0AF5">
            <w:pPr>
              <w:spacing w:after="0" w:line="240" w:lineRule="auto"/>
              <w:rPr>
                <w:rFonts w:eastAsia="Times New Roman" w:cstheme="minorHAnsi"/>
                <w:sz w:val="18"/>
                <w:szCs w:val="18"/>
                <w:lang w:eastAsia="en-GB"/>
              </w:rPr>
            </w:pPr>
          </w:p>
        </w:tc>
        <w:tc>
          <w:tcPr>
            <w:tcW w:w="641" w:type="dxa"/>
            <w:tcBorders>
              <w:top w:val="single" w:sz="4" w:space="0" w:color="auto"/>
              <w:left w:val="nil"/>
              <w:bottom w:val="single" w:sz="4" w:space="0" w:color="auto"/>
              <w:right w:val="single" w:sz="4" w:space="0" w:color="auto"/>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Pr>
                <w:rFonts w:eastAsia="Times New Roman" w:cstheme="minorHAnsi"/>
                <w:sz w:val="18"/>
                <w:szCs w:val="18"/>
                <w:lang w:eastAsia="en-GB"/>
              </w:rPr>
              <w:t>Sd</w:t>
            </w:r>
          </w:p>
        </w:tc>
        <w:tc>
          <w:tcPr>
            <w:tcW w:w="1060" w:type="dxa"/>
            <w:tcBorders>
              <w:top w:val="nil"/>
              <w:left w:val="single" w:sz="4" w:space="0" w:color="auto"/>
              <w:bottom w:val="single" w:sz="4" w:space="0" w:color="auto"/>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sidRPr="00F82E89">
              <w:rPr>
                <w:rFonts w:eastAsia="Times New Roman" w:cstheme="minorHAnsi"/>
                <w:sz w:val="18"/>
                <w:szCs w:val="18"/>
                <w:lang w:eastAsia="en-GB"/>
              </w:rPr>
              <w:t>0.</w:t>
            </w:r>
            <w:r>
              <w:rPr>
                <w:rFonts w:eastAsia="Times New Roman" w:cstheme="minorHAnsi"/>
                <w:sz w:val="18"/>
                <w:szCs w:val="18"/>
                <w:lang w:eastAsia="en-GB"/>
              </w:rPr>
              <w:t>9</w:t>
            </w:r>
            <w:r w:rsidRPr="00F82E89">
              <w:rPr>
                <w:rFonts w:eastAsia="Times New Roman" w:cstheme="minorHAnsi"/>
                <w:sz w:val="18"/>
                <w:szCs w:val="18"/>
                <w:lang w:eastAsia="en-GB"/>
              </w:rPr>
              <w:t>2</w:t>
            </w:r>
          </w:p>
        </w:tc>
        <w:tc>
          <w:tcPr>
            <w:tcW w:w="1180" w:type="dxa"/>
            <w:tcBorders>
              <w:top w:val="nil"/>
              <w:left w:val="nil"/>
              <w:bottom w:val="single" w:sz="4" w:space="0" w:color="auto"/>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Pr>
                <w:rFonts w:eastAsia="Times New Roman" w:cstheme="minorHAnsi"/>
                <w:sz w:val="18"/>
                <w:szCs w:val="18"/>
                <w:lang w:eastAsia="en-GB"/>
              </w:rPr>
              <w:t>4</w:t>
            </w:r>
            <w:r w:rsidRPr="00F82E89">
              <w:rPr>
                <w:rFonts w:eastAsia="Times New Roman" w:cstheme="minorHAnsi"/>
                <w:sz w:val="18"/>
                <w:szCs w:val="18"/>
                <w:lang w:eastAsia="en-GB"/>
              </w:rPr>
              <w:t>.</w:t>
            </w:r>
            <w:r>
              <w:rPr>
                <w:rFonts w:eastAsia="Times New Roman" w:cstheme="minorHAnsi"/>
                <w:sz w:val="18"/>
                <w:szCs w:val="18"/>
                <w:lang w:eastAsia="en-GB"/>
              </w:rPr>
              <w:t>71</w:t>
            </w:r>
          </w:p>
        </w:tc>
        <w:tc>
          <w:tcPr>
            <w:tcW w:w="960" w:type="dxa"/>
            <w:tcBorders>
              <w:top w:val="nil"/>
              <w:left w:val="nil"/>
              <w:bottom w:val="single" w:sz="4" w:space="0" w:color="auto"/>
              <w:right w:val="nil"/>
            </w:tcBorders>
            <w:shd w:val="clear" w:color="auto" w:fill="auto"/>
            <w:noWrap/>
            <w:hideMark/>
          </w:tcPr>
          <w:p w:rsidR="009D6925" w:rsidRPr="00F82E89" w:rsidRDefault="009D6925" w:rsidP="00ED0AF5">
            <w:pPr>
              <w:spacing w:after="0" w:line="240" w:lineRule="auto"/>
              <w:rPr>
                <w:rFonts w:eastAsia="Times New Roman" w:cstheme="minorHAnsi"/>
                <w:sz w:val="18"/>
                <w:szCs w:val="18"/>
                <w:lang w:eastAsia="en-GB"/>
              </w:rPr>
            </w:pPr>
            <w:r>
              <w:rPr>
                <w:rFonts w:eastAsia="Times New Roman" w:cstheme="minorHAnsi"/>
                <w:sz w:val="18"/>
                <w:szCs w:val="18"/>
                <w:lang w:eastAsia="en-GB"/>
              </w:rPr>
              <w:t>3.89</w:t>
            </w:r>
          </w:p>
        </w:tc>
      </w:tr>
    </w:tbl>
    <w:p w:rsidR="009D6925" w:rsidRPr="00F82E89" w:rsidRDefault="009D6925" w:rsidP="009D6925">
      <w:pPr>
        <w:rPr>
          <w:shd w:val="clear" w:color="auto" w:fill="FFFFFF"/>
        </w:rPr>
      </w:pPr>
      <w:r w:rsidRPr="00F82E89">
        <w:rPr>
          <w:b/>
        </w:rPr>
        <w:t xml:space="preserve">Table 4 – </w:t>
      </w:r>
      <w:r w:rsidRPr="00F82E89">
        <w:t>Output data for the architectural elements and net connectivity for the multi-point statistics, sequential indicator and object-based model iterations.</w:t>
      </w:r>
      <w:r>
        <w:t xml:space="preserve"> Note, Min. = minimum, Mean = arithmetic mean, Max. = maximum, Sd = standard deviation, Cv = covariance.</w:t>
      </w:r>
    </w:p>
    <w:p w:rsidR="009D6925" w:rsidRPr="00F82E89" w:rsidRDefault="009D6925" w:rsidP="009D6925">
      <w:r>
        <w:rPr>
          <w:noProof/>
          <w:lang w:eastAsia="en-GB"/>
        </w:rPr>
        <w:drawing>
          <wp:inline distT="0" distB="0" distL="0" distR="0">
            <wp:extent cx="5731510" cy="52158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_12_mitten_2019_revised.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5215890"/>
                    </a:xfrm>
                    <a:prstGeom prst="rect">
                      <a:avLst/>
                    </a:prstGeom>
                  </pic:spPr>
                </pic:pic>
              </a:graphicData>
            </a:graphic>
          </wp:inline>
        </w:drawing>
      </w:r>
      <w:r>
        <w:t xml:space="preserve"> </w:t>
      </w:r>
      <w:r w:rsidRPr="00F82E89">
        <w:rPr>
          <w:b/>
        </w:rPr>
        <w:t>Figure 1</w:t>
      </w:r>
      <w:r>
        <w:rPr>
          <w:b/>
        </w:rPr>
        <w:t>2</w:t>
      </w:r>
      <w:r w:rsidRPr="00F82E89">
        <w:t xml:space="preserve"> – Summary model statistics derived from the three-dimensional summaries of the reservoir models generated using each iteration of the three algorithms. A) The relative proportions of each architectural element modelled within the reservoir model algorithms. The pink line highlights the model input data derived from the sedimentary analysis. B) Mean element thicknesses for each element plotted against the covariance (Cv) of each element, to highlight the thickness and dispersion in thickness across each element. C) Maximum element thickness plot for each model iteration in each algorithm to show how overestimations of vertical connectivity were affected by the choice of algorithm.</w:t>
      </w:r>
      <w:r>
        <w:t xml:space="preserve"> Note, the depositional conditioning input means are indicated on the graph showing where the input data and training image values plot.</w:t>
      </w:r>
    </w:p>
    <w:p w:rsidR="000F2770" w:rsidRPr="00F82E89" w:rsidRDefault="000F2770" w:rsidP="000F2770">
      <w:r w:rsidRPr="00F82E89">
        <w:t xml:space="preserve">The SIS models produced </w:t>
      </w:r>
      <w:r w:rsidR="00104005" w:rsidRPr="00F82E89">
        <w:t xml:space="preserve">the largest </w:t>
      </w:r>
      <w:r w:rsidR="000357DC">
        <w:t xml:space="preserve">amount of </w:t>
      </w:r>
      <w:r w:rsidR="001F6388">
        <w:t>variance</w:t>
      </w:r>
      <w:r w:rsidR="00104005" w:rsidRPr="00F82E89">
        <w:t xml:space="preserve"> </w:t>
      </w:r>
      <w:r w:rsidR="009A4E79">
        <w:t>across the</w:t>
      </w:r>
      <w:r w:rsidR="009A4E79" w:rsidRPr="00F82E89">
        <w:t xml:space="preserve"> </w:t>
      </w:r>
      <w:r w:rsidR="00104005" w:rsidRPr="00F82E89">
        <w:t xml:space="preserve">element </w:t>
      </w:r>
      <w:r w:rsidR="000357DC">
        <w:t>thicknesses</w:t>
      </w:r>
      <w:r w:rsidR="009A4E79">
        <w:t>. SIS generated iterations reproduced the</w:t>
      </w:r>
      <w:r w:rsidR="00104005" w:rsidRPr="00F82E89">
        <w:t xml:space="preserve"> mean </w:t>
      </w:r>
      <w:r w:rsidR="00AE5AE4" w:rsidRPr="00F82E89">
        <w:t xml:space="preserve">element </w:t>
      </w:r>
      <w:r w:rsidR="00104005" w:rsidRPr="00F82E89">
        <w:t xml:space="preserve">proportions </w:t>
      </w:r>
      <w:r w:rsidR="000357DC">
        <w:t xml:space="preserve">best </w:t>
      </w:r>
      <w:r w:rsidR="009A4E79">
        <w:t>of the three algorithms.</w:t>
      </w:r>
      <w:r w:rsidR="00104005" w:rsidRPr="00F82E89">
        <w:t xml:space="preserve"> The SIS algorithm statistically best reproduced the downstream accretion element with the mean element thickness </w:t>
      </w:r>
      <w:r w:rsidR="00D133F5" w:rsidRPr="00F82E89">
        <w:t>(3.48</w:t>
      </w:r>
      <w:r w:rsidR="00B95E69" w:rsidRPr="00F82E89">
        <w:t xml:space="preserve"> m) </w:t>
      </w:r>
      <w:r w:rsidR="00104005" w:rsidRPr="00F82E89">
        <w:t xml:space="preserve">and variability </w:t>
      </w:r>
      <w:r w:rsidR="00B95E69" w:rsidRPr="00F82E89">
        <w:t>(</w:t>
      </w:r>
      <w:r w:rsidR="00734725">
        <w:t xml:space="preserve">Covariance (Cv) </w:t>
      </w:r>
      <w:r w:rsidR="00E70AB4" w:rsidRPr="00F82E89">
        <w:t xml:space="preserve">= </w:t>
      </w:r>
      <w:r w:rsidR="00D133F5" w:rsidRPr="00F82E89">
        <w:t>1.33</w:t>
      </w:r>
      <w:r w:rsidR="00B95E69" w:rsidRPr="00F82E89">
        <w:t xml:space="preserve">) </w:t>
      </w:r>
      <w:r w:rsidR="00104005" w:rsidRPr="00F82E89">
        <w:t xml:space="preserve">of </w:t>
      </w:r>
      <w:r w:rsidR="00AE5AE4" w:rsidRPr="00F82E89">
        <w:t xml:space="preserve">mean </w:t>
      </w:r>
      <w:r w:rsidR="00104005" w:rsidRPr="00F82E89">
        <w:t>thickness</w:t>
      </w:r>
      <w:r w:rsidR="004A1DE9" w:rsidRPr="00F82E89">
        <w:t xml:space="preserve"> (Figure 1</w:t>
      </w:r>
      <w:r w:rsidR="006413A6">
        <w:t>2</w:t>
      </w:r>
      <w:r w:rsidR="00D133F5" w:rsidRPr="00F82E89">
        <w:t>; Table 4</w:t>
      </w:r>
      <w:r w:rsidR="004A1DE9" w:rsidRPr="00F82E89">
        <w:t>)</w:t>
      </w:r>
      <w:r w:rsidR="00104005" w:rsidRPr="00F82E89">
        <w:t xml:space="preserve">. </w:t>
      </w:r>
      <w:r w:rsidR="0000598B">
        <w:t xml:space="preserve">The mean and variability of the reproduced element thickness for the lateral accretion was also closely related to that of the input data. </w:t>
      </w:r>
      <w:r w:rsidR="00104005" w:rsidRPr="00F82E89">
        <w:t xml:space="preserve">However, it proved the least effective at replicating the </w:t>
      </w:r>
      <w:r w:rsidR="00E70AB4" w:rsidRPr="00F82E89">
        <w:t xml:space="preserve">mean </w:t>
      </w:r>
      <w:r w:rsidR="00104005" w:rsidRPr="00F82E89">
        <w:t xml:space="preserve">thicknesses of the </w:t>
      </w:r>
      <w:r w:rsidR="0000598B">
        <w:t>thalweg bedform complex and lateral accretion</w:t>
      </w:r>
      <w:r w:rsidR="0000598B" w:rsidRPr="00F82E89">
        <w:t xml:space="preserve"> </w:t>
      </w:r>
      <w:r w:rsidR="00104005" w:rsidRPr="00F82E89">
        <w:t>elements. The maximum th</w:t>
      </w:r>
      <w:r w:rsidR="002042F1" w:rsidRPr="00F82E89">
        <w:t>icknesses of all the elements w</w:t>
      </w:r>
      <w:r w:rsidR="00104005" w:rsidRPr="00F82E89">
        <w:t xml:space="preserve">ere </w:t>
      </w:r>
      <w:r w:rsidR="00AE5AE4" w:rsidRPr="00F82E89">
        <w:t xml:space="preserve">over </w:t>
      </w:r>
      <w:r w:rsidR="0000598B" w:rsidRPr="00F82E89">
        <w:t>repr</w:t>
      </w:r>
      <w:r w:rsidR="0000598B">
        <w:t>esented</w:t>
      </w:r>
      <w:r w:rsidR="00AE5AE4" w:rsidRPr="00F82E89">
        <w:t>, f</w:t>
      </w:r>
      <w:r w:rsidR="00104005" w:rsidRPr="00F82E89">
        <w:t>or example</w:t>
      </w:r>
      <w:r w:rsidR="00AE5AE4" w:rsidRPr="00F82E89">
        <w:t>,</w:t>
      </w:r>
      <w:r w:rsidR="00104005" w:rsidRPr="00F82E89">
        <w:t xml:space="preserve"> the maximum thickness</w:t>
      </w:r>
      <w:r w:rsidR="00D63670">
        <w:t>es</w:t>
      </w:r>
      <w:r w:rsidR="00104005" w:rsidRPr="00F82E89">
        <w:t xml:space="preserve"> of the downstream accretion elements </w:t>
      </w:r>
      <w:r w:rsidR="00896C7A">
        <w:t>wa</w:t>
      </w:r>
      <w:r w:rsidR="00104005" w:rsidRPr="00F82E89">
        <w:t>s 40 m (the entire modelled reservoir thickness), and ~20 m for the thalweg bedfrom complex.</w:t>
      </w:r>
    </w:p>
    <w:p w:rsidR="0067708A" w:rsidRPr="00F82E89" w:rsidRDefault="0067708A" w:rsidP="000F2770">
      <w:r w:rsidRPr="00F82E89">
        <w:t>OBM</w:t>
      </w:r>
      <w:r w:rsidR="00D63B26" w:rsidRPr="00F82E89">
        <w:t>s</w:t>
      </w:r>
      <w:r w:rsidRPr="00F82E89">
        <w:t xml:space="preserve"> </w:t>
      </w:r>
      <w:r w:rsidR="00E70AB4" w:rsidRPr="00F82E89">
        <w:t>accurately reproduced the elementary proportions</w:t>
      </w:r>
      <w:r w:rsidR="00187525">
        <w:t xml:space="preserve">, and </w:t>
      </w:r>
      <w:r w:rsidR="004D6384">
        <w:t xml:space="preserve">produced </w:t>
      </w:r>
      <w:r w:rsidR="00187525">
        <w:t>the lowest degree of vari</w:t>
      </w:r>
      <w:r w:rsidR="00B32B81">
        <w:t>a</w:t>
      </w:r>
      <w:r w:rsidR="00187525">
        <w:t>nce in the element proportions</w:t>
      </w:r>
      <w:r w:rsidR="00E70AB4" w:rsidRPr="00F82E89">
        <w:t xml:space="preserve"> </w:t>
      </w:r>
      <w:r w:rsidR="004D6384">
        <w:t xml:space="preserve">between </w:t>
      </w:r>
      <w:r w:rsidR="00187525">
        <w:t>each model iteration</w:t>
      </w:r>
      <w:r w:rsidR="004D6384">
        <w:t>.</w:t>
      </w:r>
      <w:r w:rsidR="00187525">
        <w:t xml:space="preserve"> </w:t>
      </w:r>
      <w:r w:rsidR="00D63B26" w:rsidRPr="00F82E89">
        <w:t xml:space="preserve"> </w:t>
      </w:r>
      <w:r w:rsidR="004D6384">
        <w:t>The OBM</w:t>
      </w:r>
      <w:r w:rsidR="00187525">
        <w:t xml:space="preserve">s overrepresented </w:t>
      </w:r>
      <w:r w:rsidR="00615CAA">
        <w:t>the mean thickness of downstream accretion elements and thalweg bedform complexes (4.1</w:t>
      </w:r>
      <w:r w:rsidR="00B32B81">
        <w:t xml:space="preserve"> </w:t>
      </w:r>
      <w:r w:rsidR="00615CAA">
        <w:t>m and 1.6</w:t>
      </w:r>
      <w:r w:rsidR="00B32B81">
        <w:t xml:space="preserve"> </w:t>
      </w:r>
      <w:r w:rsidR="00615CAA">
        <w:t>m respectively). The variance replicated in the thicknesses of channel element (Cv = 0.8) and downstream accretion element (Cv=1.0; Figure 12)</w:t>
      </w:r>
      <w:r w:rsidR="004D6384">
        <w:t xml:space="preserve"> </w:t>
      </w:r>
      <w:r w:rsidR="00B32B81">
        <w:t>wa</w:t>
      </w:r>
      <w:r w:rsidR="004D6384">
        <w:t>s well produced</w:t>
      </w:r>
      <w:r w:rsidR="00615CAA">
        <w:t>.</w:t>
      </w:r>
      <w:r w:rsidR="00E70AB4" w:rsidRPr="00F82E89">
        <w:t xml:space="preserve"> The maximum </w:t>
      </w:r>
      <w:r w:rsidR="00D63670" w:rsidRPr="00F82E89">
        <w:t>thickness</w:t>
      </w:r>
      <w:r w:rsidR="00D63670">
        <w:t>es</w:t>
      </w:r>
      <w:r w:rsidR="00D63670" w:rsidRPr="00F82E89">
        <w:t xml:space="preserve"> of </w:t>
      </w:r>
      <w:r w:rsidR="00D63670">
        <w:t xml:space="preserve">these </w:t>
      </w:r>
      <w:r w:rsidR="00D63670" w:rsidRPr="00F82E89">
        <w:t>elements were</w:t>
      </w:r>
      <w:r w:rsidR="004D6384">
        <w:t>, however,</w:t>
      </w:r>
      <w:r w:rsidR="00E70AB4" w:rsidRPr="00F82E89">
        <w:t xml:space="preserve"> over estimated </w:t>
      </w:r>
      <w:r w:rsidR="004D6384">
        <w:t xml:space="preserve">at </w:t>
      </w:r>
      <w:r w:rsidR="00E70AB4" w:rsidRPr="00F82E89">
        <w:t>40 m</w:t>
      </w:r>
      <w:r w:rsidR="00320C7D" w:rsidRPr="00F82E89">
        <w:t xml:space="preserve"> and </w:t>
      </w:r>
      <w:r w:rsidR="0071214A">
        <w:t>18</w:t>
      </w:r>
      <w:r w:rsidR="00320C7D" w:rsidRPr="00F82E89">
        <w:t xml:space="preserve"> m</w:t>
      </w:r>
      <w:r w:rsidR="004D6384">
        <w:t xml:space="preserve"> respectively</w:t>
      </w:r>
      <w:r w:rsidR="00320C7D" w:rsidRPr="00F82E89">
        <w:t xml:space="preserve">. The </w:t>
      </w:r>
      <w:r w:rsidR="004D6384">
        <w:t xml:space="preserve">mean and maximum thicknesses of the </w:t>
      </w:r>
      <w:r w:rsidR="00320C7D" w:rsidRPr="00F82E89">
        <w:t xml:space="preserve">lateral accretion </w:t>
      </w:r>
      <w:r w:rsidR="004D6384">
        <w:t>elements (</w:t>
      </w:r>
      <w:r w:rsidR="00DF5DA9" w:rsidRPr="00142EB6">
        <w:t xml:space="preserve">mean = </w:t>
      </w:r>
      <w:r w:rsidR="00A955B5" w:rsidRPr="00A955B5">
        <w:t xml:space="preserve">1.96 m, </w:t>
      </w:r>
      <w:r w:rsidR="00DF5DA9" w:rsidRPr="00142EB6">
        <w:t>max</w:t>
      </w:r>
      <w:r w:rsidR="00A955B5" w:rsidRPr="00A955B5">
        <w:t>imum</w:t>
      </w:r>
      <w:r w:rsidR="00DF5DA9" w:rsidRPr="00142EB6">
        <w:t xml:space="preserve"> =</w:t>
      </w:r>
      <w:r w:rsidR="00DF5DA9">
        <w:t xml:space="preserve"> </w:t>
      </w:r>
      <w:r w:rsidR="00142EB6">
        <w:t>13 m</w:t>
      </w:r>
      <w:r w:rsidR="00DF5DA9">
        <w:t xml:space="preserve">) </w:t>
      </w:r>
      <w:r w:rsidR="00320C7D" w:rsidRPr="00F82E89">
        <w:t xml:space="preserve">and thalweg bedform complex </w:t>
      </w:r>
      <w:r w:rsidR="00DF5DA9">
        <w:t>(</w:t>
      </w:r>
      <w:r w:rsidR="00DF5DA9" w:rsidRPr="00142EB6">
        <w:t xml:space="preserve">mean = </w:t>
      </w:r>
      <w:r w:rsidR="00A955B5" w:rsidRPr="00A955B5">
        <w:t xml:space="preserve">1.50 m </w:t>
      </w:r>
      <w:r w:rsidR="00DF5DA9" w:rsidRPr="00142EB6">
        <w:t>max</w:t>
      </w:r>
      <w:r w:rsidR="00A955B5" w:rsidRPr="00A955B5">
        <w:t>imum</w:t>
      </w:r>
      <w:r w:rsidR="00DF5DA9" w:rsidRPr="00142EB6">
        <w:t xml:space="preserve"> =</w:t>
      </w:r>
      <w:r w:rsidR="00DF5DA9">
        <w:t xml:space="preserve"> </w:t>
      </w:r>
      <w:r w:rsidR="00142EB6">
        <w:t>10 m</w:t>
      </w:r>
      <w:r w:rsidR="00DF5DA9">
        <w:t xml:space="preserve">) </w:t>
      </w:r>
      <w:r w:rsidR="00B32B81">
        <w:t>we</w:t>
      </w:r>
      <w:r w:rsidR="00320C7D" w:rsidRPr="00F82E89">
        <w:t>re similar to those of the MPS generated models</w:t>
      </w:r>
      <w:r w:rsidR="0071214A">
        <w:t xml:space="preserve"> and those found in the input datasets</w:t>
      </w:r>
      <w:r w:rsidR="00320C7D" w:rsidRPr="00F82E89">
        <w:t>.</w:t>
      </w:r>
    </w:p>
    <w:p w:rsidR="008642A4" w:rsidRDefault="00DF5DA9" w:rsidP="00DF5DA9">
      <w:r>
        <w:t xml:space="preserve">All three algorithms produced broadly similar results in the static </w:t>
      </w:r>
      <w:r w:rsidR="00142EB6">
        <w:t>connectivity</w:t>
      </w:r>
      <w:r>
        <w:t xml:space="preserve"> </w:t>
      </w:r>
      <w:r w:rsidR="00E44E79">
        <w:t xml:space="preserve">test </w:t>
      </w:r>
      <w:r>
        <w:t xml:space="preserve">of net reservoir </w:t>
      </w:r>
      <w:r w:rsidR="000F2770" w:rsidRPr="00F82E89">
        <w:t xml:space="preserve">The single production well was able to drain </w:t>
      </w:r>
      <w:r>
        <w:t>over</w:t>
      </w:r>
      <w:r w:rsidRPr="00F82E89">
        <w:t xml:space="preserve"> </w:t>
      </w:r>
      <w:r w:rsidR="000F2770" w:rsidRPr="00F82E89">
        <w:t>half of the modelled volume (Figure 1</w:t>
      </w:r>
      <w:r w:rsidR="006413A6">
        <w:t>3</w:t>
      </w:r>
      <w:r w:rsidR="000F2770" w:rsidRPr="00F82E89">
        <w:t>)</w:t>
      </w:r>
      <w:r w:rsidR="00D63670">
        <w:t>,</w:t>
      </w:r>
      <w:r w:rsidRPr="00F82E89">
        <w:t xml:space="preserve"> equivalent to a total drainable volume of ~229,000,000 m</w:t>
      </w:r>
      <w:r w:rsidRPr="00F82E89">
        <w:rPr>
          <w:vertAlign w:val="superscript"/>
        </w:rPr>
        <w:t>3</w:t>
      </w:r>
      <w:r>
        <w:t xml:space="preserve">. </w:t>
      </w:r>
      <w:r w:rsidR="000F2770" w:rsidRPr="00F82E89">
        <w:t xml:space="preserve"> </w:t>
      </w:r>
      <w:r w:rsidRPr="00F82E89">
        <w:t>However, OBMs</w:t>
      </w:r>
      <w:r>
        <w:t xml:space="preserve"> returned greater drainable volumes across the model iterations, with the smallest variance in the drainable volumes produced. The SIS algorithm produced the greatest range in connected net</w:t>
      </w:r>
      <w:r w:rsidR="00B32B81">
        <w:t xml:space="preserve"> (Figure 13)</w:t>
      </w:r>
      <w:r>
        <w:t>.</w:t>
      </w:r>
    </w:p>
    <w:p w:rsidR="009D6925" w:rsidRDefault="009D6925" w:rsidP="000F2770">
      <w:r>
        <w:rPr>
          <w:noProof/>
          <w:lang w:eastAsia="en-GB"/>
        </w:rPr>
        <w:drawing>
          <wp:inline distT="0" distB="0" distL="0" distR="0">
            <wp:extent cx="4155420" cy="367124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_13_mitten_2019_revised.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165764" cy="3680386"/>
                    </a:xfrm>
                    <a:prstGeom prst="rect">
                      <a:avLst/>
                    </a:prstGeom>
                  </pic:spPr>
                </pic:pic>
              </a:graphicData>
            </a:graphic>
          </wp:inline>
        </w:drawing>
      </w:r>
    </w:p>
    <w:p w:rsidR="009D6925" w:rsidRPr="00F82E89" w:rsidRDefault="009D6925" w:rsidP="009D6925">
      <w:r w:rsidRPr="00F82E89">
        <w:rPr>
          <w:b/>
        </w:rPr>
        <w:t>Figure 1</w:t>
      </w:r>
      <w:r>
        <w:rPr>
          <w:b/>
        </w:rPr>
        <w:t>3</w:t>
      </w:r>
      <w:r w:rsidRPr="00F82E89">
        <w:t xml:space="preserve"> – Drainable volumes and vertical connectivity statistics from all thirty model iterations across the three algorithms. A) Drainable percentage volume box-plots of the SIS-, MPS- and OBM-generated models, showing the variance in results across the ten iterations of SIS-generated reservoir volumes and a narrow variance in MPS-generated and OBM-generated iterations. B) Maximum, mean and standard deviation of the vertical thickness of net connectivity across all iterations of MPS-, SIS- and OBM-generations. OBM and SIS show a maximum thickness equal to that of the entire model, whereas MPS shows a maximum connectivity thickness of 18. The standard deviations of the SIS and OBM models also showed a high variance, whereas the MPS showed less of a variation away from the mean.</w:t>
      </w:r>
    </w:p>
    <w:p w:rsidR="000F2770" w:rsidRPr="00F82E89" w:rsidRDefault="00A83664" w:rsidP="000F2770">
      <w:r w:rsidRPr="00F82E89">
        <w:t>T</w:t>
      </w:r>
      <w:r w:rsidR="000F2770" w:rsidRPr="00F82E89">
        <w:t xml:space="preserve">he </w:t>
      </w:r>
      <w:r w:rsidR="008642A4" w:rsidRPr="00F82E89">
        <w:t xml:space="preserve">SIS model </w:t>
      </w:r>
      <w:r w:rsidR="004D0932">
        <w:t>produced</w:t>
      </w:r>
      <w:r w:rsidR="004D0932" w:rsidRPr="00F82E89">
        <w:t xml:space="preserve"> </w:t>
      </w:r>
      <w:r w:rsidRPr="00F82E89">
        <w:t>a</w:t>
      </w:r>
      <w:r w:rsidR="008642A4" w:rsidRPr="00F82E89">
        <w:t xml:space="preserve"> 48</w:t>
      </w:r>
      <w:r w:rsidR="000F2770" w:rsidRPr="00F82E89">
        <w:t>.</w:t>
      </w:r>
      <w:r w:rsidR="00717D22" w:rsidRPr="00F82E89">
        <w:t>84/50.44</w:t>
      </w:r>
      <w:r w:rsidR="000F2770" w:rsidRPr="00F82E89">
        <w:t>/53.</w:t>
      </w:r>
      <w:r w:rsidR="00717D22" w:rsidRPr="00F82E89">
        <w:t>23</w:t>
      </w:r>
      <w:r w:rsidR="000F2770" w:rsidRPr="00F82E89">
        <w:t xml:space="preserve"> </w:t>
      </w:r>
      <w:r w:rsidR="002042F1" w:rsidRPr="00F82E89">
        <w:t>(</w:t>
      </w:r>
      <w:r w:rsidR="000F2770" w:rsidRPr="00F82E89">
        <w:t>min/mean/max</w:t>
      </w:r>
      <w:r w:rsidR="002042F1" w:rsidRPr="00F82E89">
        <w:t>)</w:t>
      </w:r>
      <w:r w:rsidR="000F2770" w:rsidRPr="00F82E89">
        <w:t xml:space="preserve"> percentage </w:t>
      </w:r>
      <w:r w:rsidR="00FE4B42">
        <w:t xml:space="preserve">drainable </w:t>
      </w:r>
      <w:r w:rsidR="000F2770" w:rsidRPr="00F82E89">
        <w:t>volume with a s</w:t>
      </w:r>
      <w:r w:rsidR="00717D22" w:rsidRPr="00F82E89">
        <w:t>tandard deviation of 1.38</w:t>
      </w:r>
      <w:r w:rsidR="008642A4" w:rsidRPr="00F82E89">
        <w:t>. The MP</w:t>
      </w:r>
      <w:r w:rsidR="002042F1" w:rsidRPr="00F82E89">
        <w:t xml:space="preserve">S model iterations </w:t>
      </w:r>
      <w:r w:rsidR="00D63670">
        <w:t xml:space="preserve">produced </w:t>
      </w:r>
      <w:r w:rsidR="00D63670" w:rsidRPr="00F82E89">
        <w:t>a</w:t>
      </w:r>
      <w:r w:rsidR="000F2770" w:rsidRPr="00F82E89">
        <w:t xml:space="preserve"> 49.</w:t>
      </w:r>
      <w:r w:rsidR="00717D22" w:rsidRPr="00F82E89">
        <w:t>48/50.2</w:t>
      </w:r>
      <w:r w:rsidR="008642A4" w:rsidRPr="00F82E89">
        <w:t>5/51.</w:t>
      </w:r>
      <w:r w:rsidR="00717D22" w:rsidRPr="00F82E89">
        <w:t>5</w:t>
      </w:r>
      <w:r w:rsidR="008642A4" w:rsidRPr="00F82E89">
        <w:t>4</w:t>
      </w:r>
      <w:r w:rsidR="000F2770" w:rsidRPr="00F82E89">
        <w:t xml:space="preserve"> </w:t>
      </w:r>
      <w:r w:rsidR="002042F1" w:rsidRPr="00F82E89">
        <w:t>(</w:t>
      </w:r>
      <w:r w:rsidR="000F2770" w:rsidRPr="00F82E89">
        <w:t>min/mean/max</w:t>
      </w:r>
      <w:r w:rsidR="002042F1" w:rsidRPr="00F82E89">
        <w:t>)</w:t>
      </w:r>
      <w:r w:rsidR="000F2770" w:rsidRPr="00F82E89">
        <w:t xml:space="preserve"> percentage drainable volume with a standard deviation of 0.</w:t>
      </w:r>
      <w:r w:rsidR="00717D22" w:rsidRPr="00F82E89">
        <w:t>76</w:t>
      </w:r>
      <w:r w:rsidR="004A1DE9" w:rsidRPr="00F82E89">
        <w:t xml:space="preserve"> (</w:t>
      </w:r>
      <w:r w:rsidR="00D133F5" w:rsidRPr="00F82E89">
        <w:t>Table 4</w:t>
      </w:r>
      <w:r w:rsidR="004A1DE9" w:rsidRPr="00F82E89">
        <w:t>)</w:t>
      </w:r>
      <w:r w:rsidR="000F2770" w:rsidRPr="00F82E89">
        <w:t>.</w:t>
      </w:r>
      <w:r w:rsidR="000F2770" w:rsidRPr="00F82E89" w:rsidDel="002038EF">
        <w:t xml:space="preserve"> </w:t>
      </w:r>
      <w:r w:rsidR="002042F1" w:rsidRPr="00F82E89">
        <w:t xml:space="preserve">This </w:t>
      </w:r>
      <w:r w:rsidR="004D0932" w:rsidRPr="00F82E89">
        <w:t>suggest</w:t>
      </w:r>
      <w:r w:rsidR="004D0932">
        <w:t>s</w:t>
      </w:r>
      <w:r w:rsidR="004D0932" w:rsidRPr="00F82E89">
        <w:t xml:space="preserve"> </w:t>
      </w:r>
      <w:r w:rsidR="000F2770" w:rsidRPr="00F82E89">
        <w:t>that, although the two models were similar in terms of average in drainable volume, the range and standard deviation was mu</w:t>
      </w:r>
      <w:r w:rsidR="00C84603" w:rsidRPr="00F82E89">
        <w:t>ch greater for the SIS</w:t>
      </w:r>
      <w:r w:rsidR="000F2770" w:rsidRPr="00F82E89">
        <w:t xml:space="preserve"> models when compared to th</w:t>
      </w:r>
      <w:r w:rsidR="00C84603" w:rsidRPr="00F82E89">
        <w:t xml:space="preserve">ose </w:t>
      </w:r>
      <w:r w:rsidR="002042F1" w:rsidRPr="00F82E89">
        <w:t xml:space="preserve">models </w:t>
      </w:r>
      <w:r w:rsidR="00C84603" w:rsidRPr="00F82E89">
        <w:t>generated by</w:t>
      </w:r>
      <w:r w:rsidR="00D63670">
        <w:t xml:space="preserve"> MPS. </w:t>
      </w:r>
      <w:r w:rsidR="00D63670" w:rsidRPr="00F82E89">
        <w:t xml:space="preserve">The OBM iterations produced </w:t>
      </w:r>
      <w:r w:rsidR="00D63670" w:rsidRPr="002C3EAD">
        <w:t>49.44/51.67/52.51</w:t>
      </w:r>
      <w:r w:rsidR="00D63670">
        <w:t xml:space="preserve"> (min/mean/max) in the drainable volumes, which is </w:t>
      </w:r>
      <w:r w:rsidR="00D63670" w:rsidRPr="00F82E89">
        <w:t>a much tighter distribution</w:t>
      </w:r>
      <w:r w:rsidR="00D63670">
        <w:t xml:space="preserve"> than SIS and MPS generated iterations</w:t>
      </w:r>
      <w:r w:rsidR="00D63670" w:rsidRPr="00F82E89">
        <w:t xml:space="preserve">, with a range of </w:t>
      </w:r>
      <w:r w:rsidR="00D63670">
        <w:t xml:space="preserve">only </w:t>
      </w:r>
      <w:r w:rsidR="00D63670" w:rsidRPr="00F82E89">
        <w:t>1.21%</w:t>
      </w:r>
      <w:r w:rsidR="0071170C">
        <w:t xml:space="preserve">. </w:t>
      </w:r>
      <w:r w:rsidR="000F2770" w:rsidRPr="00F82E89">
        <w:t xml:space="preserve">Consequently, the MPS realisations were far more repeatable and representative in their reproduction of </w:t>
      </w:r>
      <w:r w:rsidR="00FE4B42">
        <w:t xml:space="preserve">realistic meso-scale </w:t>
      </w:r>
      <w:r w:rsidR="000F2770" w:rsidRPr="00F82E89">
        <w:t xml:space="preserve">heterogeneity within </w:t>
      </w:r>
      <w:r w:rsidR="00C84603" w:rsidRPr="00F82E89">
        <w:t xml:space="preserve">the </w:t>
      </w:r>
      <w:r w:rsidR="000F2770" w:rsidRPr="00F82E89">
        <w:t>reservoir volumes.</w:t>
      </w:r>
    </w:p>
    <w:p w:rsidR="008642A4" w:rsidRPr="00F82E89" w:rsidRDefault="002E2D3B" w:rsidP="000F2770">
      <w:r w:rsidRPr="00F82E89">
        <w:t xml:space="preserve">The vertical thickness of connected net was also measured to derive </w:t>
      </w:r>
      <w:r w:rsidR="002042F1" w:rsidRPr="00F82E89">
        <w:t>its</w:t>
      </w:r>
      <w:r w:rsidRPr="00F82E89">
        <w:t xml:space="preserve"> </w:t>
      </w:r>
      <w:r w:rsidR="00FE6AC0">
        <w:t>vertical connectivity</w:t>
      </w:r>
      <w:r w:rsidRPr="00F82E89">
        <w:t xml:space="preserve"> and the pathway thickness replicated within the models. The MPS generations produced a much </w:t>
      </w:r>
      <w:r w:rsidR="00717D22" w:rsidRPr="00F82E89">
        <w:t>smaller vertical connectivity (</w:t>
      </w:r>
      <w:r w:rsidRPr="00F82E89">
        <w:t>1.2 mean and ~18 maximum</w:t>
      </w:r>
      <w:r w:rsidR="004A1DE9" w:rsidRPr="00F82E89">
        <w:t xml:space="preserve">; </w:t>
      </w:r>
      <w:r w:rsidR="00D133F5" w:rsidRPr="00F82E89">
        <w:t>Table 4</w:t>
      </w:r>
      <w:r w:rsidRPr="00F82E89">
        <w:t xml:space="preserve">) than SIS or OBM. The SIS and OBM iterations generated vertical connectivity thicknesses </w:t>
      </w:r>
      <w:r w:rsidR="009B2A9C">
        <w:t xml:space="preserve">equal </w:t>
      </w:r>
      <w:r w:rsidRPr="00F82E89">
        <w:t>to the entire reservoir thickness</w:t>
      </w:r>
      <w:r w:rsidR="002042F1" w:rsidRPr="00F82E89">
        <w:t xml:space="preserve"> (~40 m)</w:t>
      </w:r>
      <w:r w:rsidRPr="00F82E89">
        <w:t xml:space="preserve">, with large variability </w:t>
      </w:r>
      <w:r w:rsidR="00FE4B42">
        <w:t>with</w:t>
      </w:r>
      <w:r w:rsidR="00FE4B42" w:rsidRPr="00F82E89">
        <w:t xml:space="preserve"> </w:t>
      </w:r>
      <w:r w:rsidRPr="00F82E89">
        <w:t xml:space="preserve">approximately </w:t>
      </w:r>
      <w:r w:rsidR="009B2A9C">
        <w:t>5</w:t>
      </w:r>
      <w:r w:rsidRPr="00F82E89">
        <w:t xml:space="preserve"> </w:t>
      </w:r>
      <w:r w:rsidR="00C84603" w:rsidRPr="00F82E89">
        <w:t>m</w:t>
      </w:r>
      <w:r w:rsidR="009B2A9C">
        <w:t xml:space="preserve"> and 4 m </w:t>
      </w:r>
      <w:r w:rsidR="00FE4B42">
        <w:t xml:space="preserve">standard deviation </w:t>
      </w:r>
      <w:r w:rsidR="009B2A9C">
        <w:t>respectively</w:t>
      </w:r>
      <w:r w:rsidRPr="00F82E89">
        <w:t>.</w:t>
      </w:r>
      <w:r w:rsidR="00C84603" w:rsidRPr="00F82E89">
        <w:t xml:space="preserve"> This </w:t>
      </w:r>
      <w:r w:rsidR="0071170C">
        <w:t>is</w:t>
      </w:r>
      <w:r w:rsidR="00C84603" w:rsidRPr="00F82E89">
        <w:t xml:space="preserve"> unrealistic when comparing to the maximum thickness</w:t>
      </w:r>
      <w:r w:rsidR="0071170C">
        <w:t>es</w:t>
      </w:r>
      <w:r w:rsidR="00C84603" w:rsidRPr="00F82E89">
        <w:t xml:space="preserve"> within the input data</w:t>
      </w:r>
      <w:r w:rsidR="0071170C">
        <w:t xml:space="preserve"> </w:t>
      </w:r>
      <w:r w:rsidR="004D0932">
        <w:t>(</w:t>
      </w:r>
      <w:r w:rsidR="00FE6AC0">
        <w:t>Figure 6</w:t>
      </w:r>
      <w:r w:rsidR="004D0932">
        <w:t>)</w:t>
      </w:r>
      <w:r w:rsidR="0071170C">
        <w:t>,</w:t>
      </w:r>
      <w:r w:rsidR="00FE6AC0">
        <w:t xml:space="preserve"> </w:t>
      </w:r>
      <w:r w:rsidR="004D0932">
        <w:t>which</w:t>
      </w:r>
      <w:r w:rsidR="0071170C">
        <w:t xml:space="preserve"> show</w:t>
      </w:r>
      <w:r w:rsidR="004D0932">
        <w:t xml:space="preserve"> </w:t>
      </w:r>
      <w:r w:rsidR="00FE6AC0">
        <w:t xml:space="preserve">vertical connections of net (downstream accretion elements) </w:t>
      </w:r>
      <w:r w:rsidR="00B32B81">
        <w:t>we</w:t>
      </w:r>
      <w:r w:rsidR="00FE6AC0">
        <w:t xml:space="preserve">re no bigger than </w:t>
      </w:r>
      <w:r w:rsidR="0071170C">
        <w:t xml:space="preserve"> approximately </w:t>
      </w:r>
      <w:r w:rsidR="00FE6AC0">
        <w:t>15 m</w:t>
      </w:r>
      <w:r w:rsidR="00C84603" w:rsidRPr="00F82E89">
        <w:t>.</w:t>
      </w:r>
    </w:p>
    <w:p w:rsidR="000F2770" w:rsidRPr="00F82E89" w:rsidRDefault="000F2770" w:rsidP="00CD1601">
      <w:pPr>
        <w:pStyle w:val="Heading1"/>
        <w:numPr>
          <w:ilvl w:val="0"/>
          <w:numId w:val="1"/>
        </w:numPr>
      </w:pPr>
      <w:r w:rsidRPr="00F82E89">
        <w:t>Discussion</w:t>
      </w:r>
    </w:p>
    <w:p w:rsidR="00E378C0" w:rsidRDefault="00E378C0" w:rsidP="00E378C0">
      <w:r w:rsidRPr="00F82E89">
        <w:t>The Lower Castlegate outcrop exhibits the preservation</w:t>
      </w:r>
      <w:r w:rsidR="00437A6A" w:rsidRPr="00F82E89">
        <w:t xml:space="preserve"> of a large low-sinuosity, sand-</w:t>
      </w:r>
      <w:r w:rsidRPr="00F82E89">
        <w:t>dominated, channel reach, which is predominantly composed of downstream accretion and channel elements (Miall</w:t>
      </w:r>
      <w:r w:rsidR="000813E8">
        <w:t>,</w:t>
      </w:r>
      <w:r w:rsidR="002031A4" w:rsidRPr="00F82E89">
        <w:t xml:space="preserve"> 1993; 1994</w:t>
      </w:r>
      <w:r w:rsidRPr="00F82E89">
        <w:t xml:space="preserve">). The </w:t>
      </w:r>
      <w:r w:rsidR="00FE6AC0">
        <w:t xml:space="preserve">meso-scale </w:t>
      </w:r>
      <w:r w:rsidRPr="00F82E89">
        <w:t xml:space="preserve">heterogeneity </w:t>
      </w:r>
      <w:r w:rsidR="00FE6AC0">
        <w:t xml:space="preserve">(Figure 1) </w:t>
      </w:r>
      <w:r w:rsidRPr="00F82E89">
        <w:t xml:space="preserve">within the system comes from parallel laminated mud- and siltstones and pebble-lag facies. </w:t>
      </w:r>
      <w:r w:rsidR="002A5C57">
        <w:t>The distribution of these facies led to the classification of</w:t>
      </w:r>
      <w:r w:rsidRPr="00F82E89">
        <w:t xml:space="preserve"> channel elements, and their associated thalweg bedfrom complexes (North and Taylor</w:t>
      </w:r>
      <w:r w:rsidR="000813E8">
        <w:t>,</w:t>
      </w:r>
      <w:r w:rsidRPr="00F82E89">
        <w:t xml:space="preserve"> 1996;</w:t>
      </w:r>
      <w:r w:rsidR="00C670B0" w:rsidRPr="00F82E89">
        <w:t xml:space="preserve"> Eschard </w:t>
      </w:r>
      <w:r w:rsidR="00517096" w:rsidRPr="00517096">
        <w:rPr>
          <w:i/>
        </w:rPr>
        <w:t>et al.,</w:t>
      </w:r>
      <w:r w:rsidR="00C670B0" w:rsidRPr="00F82E89">
        <w:t xml:space="preserve"> 1998; </w:t>
      </w:r>
      <w:r w:rsidRPr="00F82E89">
        <w:t xml:space="preserve">Henares </w:t>
      </w:r>
      <w:r w:rsidR="00517096" w:rsidRPr="00517096">
        <w:rPr>
          <w:i/>
        </w:rPr>
        <w:t>et al.,</w:t>
      </w:r>
      <w:r w:rsidRPr="00F82E89">
        <w:t xml:space="preserve"> 2016</w:t>
      </w:r>
      <w:r w:rsidR="00C670B0" w:rsidRPr="00F82E89">
        <w:t xml:space="preserve">; Puig </w:t>
      </w:r>
      <w:r w:rsidR="00517096" w:rsidRPr="00517096">
        <w:rPr>
          <w:i/>
        </w:rPr>
        <w:t>et al.,</w:t>
      </w:r>
      <w:r w:rsidR="00C670B0" w:rsidRPr="00F82E89">
        <w:t xml:space="preserve"> 2019</w:t>
      </w:r>
      <w:r w:rsidRPr="00F82E89">
        <w:t>), along with lateral accretion elements (</w:t>
      </w:r>
      <w:r w:rsidR="00C670B0" w:rsidRPr="00F82E89">
        <w:t xml:space="preserve">Pranter </w:t>
      </w:r>
      <w:r w:rsidR="00517096" w:rsidRPr="00517096">
        <w:rPr>
          <w:i/>
        </w:rPr>
        <w:t>et al.,</w:t>
      </w:r>
      <w:r w:rsidR="00C670B0" w:rsidRPr="00F82E89">
        <w:t xml:space="preserve"> 2007; Ghinassi </w:t>
      </w:r>
      <w:r w:rsidR="00517096" w:rsidRPr="00517096">
        <w:rPr>
          <w:i/>
        </w:rPr>
        <w:t>et al.,</w:t>
      </w:r>
      <w:r w:rsidR="00C670B0" w:rsidRPr="00F82E89">
        <w:t xml:space="preserve"> 2014; Ielpi and Ghinassi</w:t>
      </w:r>
      <w:r w:rsidR="000813E8">
        <w:t>,</w:t>
      </w:r>
      <w:r w:rsidR="00C670B0" w:rsidRPr="00F82E89">
        <w:t xml:space="preserve"> 2014; Colombera </w:t>
      </w:r>
      <w:r w:rsidR="00517096" w:rsidRPr="00517096">
        <w:rPr>
          <w:i/>
        </w:rPr>
        <w:t>et al.,</w:t>
      </w:r>
      <w:r w:rsidR="00C670B0" w:rsidRPr="00F82E89">
        <w:t xml:space="preserve"> 2017; Cabello </w:t>
      </w:r>
      <w:r w:rsidR="00517096" w:rsidRPr="00517096">
        <w:rPr>
          <w:i/>
        </w:rPr>
        <w:t>et al.,</w:t>
      </w:r>
      <w:r w:rsidR="00C670B0" w:rsidRPr="00F82E89">
        <w:t xml:space="preserve"> 2018</w:t>
      </w:r>
      <w:r w:rsidR="00446DF4">
        <w:t>b</w:t>
      </w:r>
      <w:r w:rsidRPr="00F82E89">
        <w:t>)</w:t>
      </w:r>
      <w:r w:rsidR="002A5C57">
        <w:t xml:space="preserve"> as </w:t>
      </w:r>
      <w:r w:rsidRPr="00F82E89">
        <w:t>non-net reservoir</w:t>
      </w:r>
      <w:r w:rsidR="001D1FFC" w:rsidRPr="00F82E89">
        <w:t>,</w:t>
      </w:r>
      <w:r w:rsidRPr="00F82E89">
        <w:t xml:space="preserve"> and the extremely homogeneous downstream accretion element </w:t>
      </w:r>
      <w:r w:rsidR="002A5C57">
        <w:t xml:space="preserve">as </w:t>
      </w:r>
      <w:r w:rsidRPr="00F82E89">
        <w:t xml:space="preserve">net </w:t>
      </w:r>
      <w:r w:rsidR="002A5C57">
        <w:t xml:space="preserve">reservoir </w:t>
      </w:r>
      <w:r w:rsidRPr="00F82E89">
        <w:t>(</w:t>
      </w:r>
      <w:r w:rsidR="004A1DE9" w:rsidRPr="00F82E89">
        <w:t xml:space="preserve">Table 2; </w:t>
      </w:r>
      <w:r w:rsidR="00C670B0" w:rsidRPr="00F82E89">
        <w:t>Hornung and Ainger</w:t>
      </w:r>
      <w:r w:rsidR="000813E8">
        <w:t>,</w:t>
      </w:r>
      <w:r w:rsidR="00C670B0" w:rsidRPr="00F82E89">
        <w:t xml:space="preserve"> 1999; Best </w:t>
      </w:r>
      <w:r w:rsidR="00517096" w:rsidRPr="00517096">
        <w:rPr>
          <w:i/>
        </w:rPr>
        <w:t>et al.,</w:t>
      </w:r>
      <w:r w:rsidR="00C670B0" w:rsidRPr="00F82E89">
        <w:t xml:space="preserve"> 2003; Miall</w:t>
      </w:r>
      <w:r w:rsidR="000813E8">
        <w:t>,</w:t>
      </w:r>
      <w:r w:rsidR="00C670B0" w:rsidRPr="00F82E89">
        <w:t xml:space="preserve"> 2003; Ghinassi and Ielpi</w:t>
      </w:r>
      <w:r w:rsidR="000813E8">
        <w:t>,</w:t>
      </w:r>
      <w:r w:rsidR="00C670B0" w:rsidRPr="00F82E89">
        <w:t xml:space="preserve"> 2018).</w:t>
      </w:r>
    </w:p>
    <w:p w:rsidR="006540F3" w:rsidRDefault="00FE6AC0">
      <w:pPr>
        <w:pStyle w:val="Heading2"/>
        <w:numPr>
          <w:ilvl w:val="1"/>
          <w:numId w:val="1"/>
        </w:numPr>
      </w:pPr>
      <w:r>
        <w:t xml:space="preserve">The </w:t>
      </w:r>
      <w:r w:rsidR="006540F3">
        <w:t xml:space="preserve">limitations </w:t>
      </w:r>
      <w:r>
        <w:t>of combining modern and ancient data</w:t>
      </w:r>
    </w:p>
    <w:p w:rsidR="00525A74" w:rsidRDefault="00525A74" w:rsidP="00E378C0">
      <w:r>
        <w:t xml:space="preserve">Despite </w:t>
      </w:r>
      <w:r w:rsidR="002A5C57">
        <w:t>showcasing the successful model generation using modern and ancient data together to produce a three dimensional training image, t</w:t>
      </w:r>
      <w:r w:rsidR="00C670B0" w:rsidRPr="00F82E89">
        <w:t xml:space="preserve">here are limitations in the use of modern and ancient datasets for depositional conditioning and training image development. The two systems correspond to two different timescales of observation, and it is difficult to determine whether the sedimentation rate across the two systems is equal. The Jamuna River represents a snap shot of </w:t>
      </w:r>
      <w:r w:rsidR="002A5C57">
        <w:t>a</w:t>
      </w:r>
      <w:r w:rsidR="00C670B0" w:rsidRPr="00F82E89">
        <w:t xml:space="preserve"> specific fluvial system</w:t>
      </w:r>
      <w:r w:rsidR="00B32B81">
        <w:t>, w</w:t>
      </w:r>
      <w:r w:rsidR="00C670B0" w:rsidRPr="00F82E89">
        <w:t xml:space="preserve">hereas the Castlegate at Tuscher Canyon provides a much broader view of time but preserved as snapshots of past depositional events. </w:t>
      </w:r>
    </w:p>
    <w:p w:rsidR="00C670B0" w:rsidRPr="00F82E89" w:rsidRDefault="00C670B0" w:rsidP="00E378C0">
      <w:r w:rsidRPr="00F82E89">
        <w:t>The scale</w:t>
      </w:r>
      <w:r w:rsidR="00525A74">
        <w:t>s</w:t>
      </w:r>
      <w:r w:rsidRPr="00F82E89">
        <w:t xml:space="preserve"> of </w:t>
      </w:r>
      <w:r w:rsidR="00525A74" w:rsidRPr="00F82E89">
        <w:t>analys</w:t>
      </w:r>
      <w:r w:rsidR="00525A74">
        <w:t>e</w:t>
      </w:r>
      <w:r w:rsidR="00525A74" w:rsidRPr="00F82E89">
        <w:t xml:space="preserve">s </w:t>
      </w:r>
      <w:r w:rsidRPr="00F82E89">
        <w:t>with the preserved volumes of the Castlegate and the actively depositing modern day Jamuna River may provide further l</w:t>
      </w:r>
      <w:r w:rsidR="001D1FFC" w:rsidRPr="00F82E89">
        <w:t>imitations to the study. The</w:t>
      </w:r>
      <w:r w:rsidRPr="00F82E89">
        <w:t>s</w:t>
      </w:r>
      <w:r w:rsidR="001D1FFC" w:rsidRPr="00F82E89">
        <w:t>e</w:t>
      </w:r>
      <w:r w:rsidRPr="00F82E89">
        <w:t xml:space="preserve"> must be considered as an unavoidable limitation in the analysis of sedimentary environments (Miall</w:t>
      </w:r>
      <w:r w:rsidR="000813E8">
        <w:t>,</w:t>
      </w:r>
      <w:r w:rsidRPr="00F82E89">
        <w:t xml:space="preserve"> 2006). </w:t>
      </w:r>
      <w:r w:rsidR="00525A74">
        <w:t>Furthermore, despite the fact that</w:t>
      </w:r>
      <w:r w:rsidRPr="00F82E89">
        <w:t xml:space="preserve"> both datasets are proximal of the backwater reach (Samuels</w:t>
      </w:r>
      <w:r w:rsidR="000813E8">
        <w:t>,</w:t>
      </w:r>
      <w:r w:rsidRPr="00F82E89">
        <w:t xml:space="preserve"> 1989; Ashworth </w:t>
      </w:r>
      <w:r w:rsidR="00517096" w:rsidRPr="00517096">
        <w:rPr>
          <w:i/>
        </w:rPr>
        <w:t>et al.,</w:t>
      </w:r>
      <w:r w:rsidRPr="00F82E89">
        <w:t xml:space="preserve"> 2000; Best </w:t>
      </w:r>
      <w:r w:rsidR="00517096" w:rsidRPr="00517096">
        <w:rPr>
          <w:i/>
        </w:rPr>
        <w:t>et al.,</w:t>
      </w:r>
      <w:r w:rsidRPr="00F82E89">
        <w:t xml:space="preserve"> 2003; Marra </w:t>
      </w:r>
      <w:r w:rsidR="00517096" w:rsidRPr="00517096">
        <w:rPr>
          <w:i/>
        </w:rPr>
        <w:t>et al.,</w:t>
      </w:r>
      <w:r w:rsidRPr="00F82E89">
        <w:t xml:space="preserve"> 2014; Trower </w:t>
      </w:r>
      <w:r w:rsidR="00517096" w:rsidRPr="00517096">
        <w:rPr>
          <w:i/>
        </w:rPr>
        <w:t>et al.,</w:t>
      </w:r>
      <w:r w:rsidRPr="00F82E89">
        <w:t xml:space="preserve"> 2018), </w:t>
      </w:r>
      <w:r w:rsidR="00525A74">
        <w:t xml:space="preserve">differences in </w:t>
      </w:r>
      <w:r w:rsidRPr="00F82E89">
        <w:t>the proximity of the data to their respective reaches is not considered</w:t>
      </w:r>
      <w:r w:rsidR="002A5C57">
        <w:t xml:space="preserve"> in this study</w:t>
      </w:r>
      <w:r w:rsidRPr="00F82E89">
        <w:t xml:space="preserve">. </w:t>
      </w:r>
      <w:r w:rsidR="002A5C57">
        <w:t>However, d</w:t>
      </w:r>
      <w:r w:rsidR="00362135">
        <w:t>ifferences in proximity to the backwater reach may add natural variability to training images</w:t>
      </w:r>
      <w:r w:rsidR="002A5C57">
        <w:t xml:space="preserve"> </w:t>
      </w:r>
      <w:r w:rsidR="00362135">
        <w:t>and</w:t>
      </w:r>
      <w:r w:rsidRPr="00F82E89">
        <w:t xml:space="preserve"> increase the</w:t>
      </w:r>
      <w:r w:rsidR="00362135">
        <w:t>ir</w:t>
      </w:r>
      <w:r w:rsidR="002A5C57">
        <w:t xml:space="preserve"> recyclability</w:t>
      </w:r>
      <w:r w:rsidRPr="00F82E89">
        <w:t>, a key iss</w:t>
      </w:r>
      <w:r w:rsidR="00573921" w:rsidRPr="00F82E89">
        <w:t xml:space="preserve">ue </w:t>
      </w:r>
      <w:r w:rsidR="002A5C57">
        <w:t xml:space="preserve">training image </w:t>
      </w:r>
      <w:r w:rsidR="00573921" w:rsidRPr="00F82E89">
        <w:t>production and use</w:t>
      </w:r>
      <w:r w:rsidR="00887135">
        <w:t xml:space="preserve"> (</w:t>
      </w:r>
      <w:r w:rsidR="00AA5684" w:rsidRPr="00F82E89">
        <w:t>Ringrose and Bentley 2015</w:t>
      </w:r>
      <w:r w:rsidR="00D909E0">
        <w:t>; Tahmasebi 2018</w:t>
      </w:r>
      <w:r w:rsidR="00887135">
        <w:t>)</w:t>
      </w:r>
      <w:r w:rsidR="00573921" w:rsidRPr="00F82E89">
        <w:t>.</w:t>
      </w:r>
    </w:p>
    <w:p w:rsidR="00C670B0" w:rsidRPr="00F82E89" w:rsidRDefault="00C670B0" w:rsidP="00CD1601">
      <w:pPr>
        <w:pStyle w:val="Heading2"/>
        <w:numPr>
          <w:ilvl w:val="1"/>
          <w:numId w:val="1"/>
        </w:numPr>
      </w:pPr>
      <w:r w:rsidRPr="00F82E89">
        <w:t xml:space="preserve">The depositional conditioning </w:t>
      </w:r>
      <w:r w:rsidR="006540F3">
        <w:t xml:space="preserve">of </w:t>
      </w:r>
      <w:r w:rsidRPr="00F82E89">
        <w:t>training images</w:t>
      </w:r>
    </w:p>
    <w:p w:rsidR="00573921" w:rsidRPr="00F82E89" w:rsidRDefault="00573921" w:rsidP="00573921">
      <w:r w:rsidRPr="00F82E89">
        <w:t xml:space="preserve">Current common practice in the construction of reservoir models </w:t>
      </w:r>
      <w:r w:rsidR="00362135">
        <w:t xml:space="preserve">is to </w:t>
      </w:r>
      <w:r w:rsidRPr="00F82E89">
        <w:t>rely on OBM or SIS</w:t>
      </w:r>
      <w:r w:rsidR="00B32B81">
        <w:t xml:space="preserve"> methods</w:t>
      </w:r>
      <w:r w:rsidR="00AA5684">
        <w:t xml:space="preserve"> </w:t>
      </w:r>
      <w:r w:rsidR="00362135">
        <w:t>because of the</w:t>
      </w:r>
      <w:r w:rsidRPr="00F82E89">
        <w:t xml:space="preserve"> inherent complexities </w:t>
      </w:r>
      <w:r w:rsidR="00362135">
        <w:t xml:space="preserve">associated with generating </w:t>
      </w:r>
      <w:r w:rsidR="00BB5AD5">
        <w:t xml:space="preserve">appropriate </w:t>
      </w:r>
      <w:r w:rsidR="00880DF1" w:rsidRPr="00F82E89">
        <w:t>training image</w:t>
      </w:r>
      <w:r w:rsidR="00362135">
        <w:t>s</w:t>
      </w:r>
      <w:r w:rsidRPr="00F82E89">
        <w:t xml:space="preserve"> for MPS. To-date, using MPS is limited by</w:t>
      </w:r>
      <w:r w:rsidR="00BB5AD5">
        <w:t xml:space="preserve"> </w:t>
      </w:r>
      <w:r w:rsidRPr="00F82E89">
        <w:t>the re-usability of training images</w:t>
      </w:r>
      <w:r w:rsidR="00362135">
        <w:t xml:space="preserve"> and</w:t>
      </w:r>
      <w:r w:rsidRPr="00F82E89">
        <w:t xml:space="preserve"> the lack of standardized methods for their development, particularly in three dimensions (Comunian </w:t>
      </w:r>
      <w:r w:rsidR="00517096" w:rsidRPr="00517096">
        <w:rPr>
          <w:i/>
        </w:rPr>
        <w:t>et al.,</w:t>
      </w:r>
      <w:r w:rsidRPr="00F82E89">
        <w:t xml:space="preserve"> 201</w:t>
      </w:r>
      <w:r w:rsidR="006C50E2" w:rsidRPr="00F82E89">
        <w:t>2</w:t>
      </w:r>
      <w:r w:rsidRPr="00F82E89">
        <w:t>; Ringrose and Bentley</w:t>
      </w:r>
      <w:r w:rsidR="000813E8">
        <w:t>,</w:t>
      </w:r>
      <w:r w:rsidRPr="00F82E89">
        <w:t xml:space="preserve"> 2015</w:t>
      </w:r>
      <w:r w:rsidR="00BB5AD5">
        <w:t>; Tahmasebi</w:t>
      </w:r>
      <w:r w:rsidR="000813E8">
        <w:t>,</w:t>
      </w:r>
      <w:r w:rsidR="00BB5AD5">
        <w:t xml:space="preserve"> 2018</w:t>
      </w:r>
      <w:r w:rsidRPr="00F82E89">
        <w:t>)</w:t>
      </w:r>
      <w:r w:rsidR="00B32B81">
        <w:t>,</w:t>
      </w:r>
      <w:r w:rsidRPr="00F82E89">
        <w:t xml:space="preserve"> </w:t>
      </w:r>
      <w:r w:rsidR="00362135">
        <w:t xml:space="preserve">the </w:t>
      </w:r>
      <w:r w:rsidRPr="00F82E89">
        <w:t xml:space="preserve">overprinting </w:t>
      </w:r>
      <w:r w:rsidR="00362135">
        <w:t xml:space="preserve">of </w:t>
      </w:r>
      <w:r w:rsidRPr="00F82E89">
        <w:t xml:space="preserve">local controls </w:t>
      </w:r>
      <w:r w:rsidR="00362135">
        <w:t>upon</w:t>
      </w:r>
      <w:r w:rsidR="00362135" w:rsidRPr="00F82E89">
        <w:t xml:space="preserve"> </w:t>
      </w:r>
      <w:r w:rsidRPr="00F82E89">
        <w:t>reservoir models</w:t>
      </w:r>
      <w:r w:rsidR="00362135">
        <w:t>,</w:t>
      </w:r>
      <w:r w:rsidRPr="00F82E89">
        <w:t xml:space="preserve"> </w:t>
      </w:r>
      <w:r w:rsidR="00362135">
        <w:t>and</w:t>
      </w:r>
      <w:r w:rsidRPr="00F82E89">
        <w:t xml:space="preserve"> the inability of MPS to reproduce non-stationary patterns within a training image (Strebelle and Zhang</w:t>
      </w:r>
      <w:r w:rsidR="000813E8">
        <w:t>,</w:t>
      </w:r>
      <w:r w:rsidRPr="00F82E89">
        <w:t xml:space="preserve"> 2004). </w:t>
      </w:r>
    </w:p>
    <w:p w:rsidR="002509AC" w:rsidRDefault="002509AC" w:rsidP="002509AC">
      <w:r w:rsidRPr="00F82E89">
        <w:rPr>
          <w:shd w:val="clear" w:color="auto" w:fill="FFFFFF"/>
        </w:rPr>
        <w:t xml:space="preserve">This study presents a </w:t>
      </w:r>
      <w:r w:rsidR="00166124">
        <w:rPr>
          <w:shd w:val="clear" w:color="auto" w:fill="FFFFFF"/>
        </w:rPr>
        <w:t>repeatable method for the generation of geologically realistic</w:t>
      </w:r>
      <w:r w:rsidRPr="00F82E89">
        <w:rPr>
          <w:shd w:val="clear" w:color="auto" w:fill="FFFFFF"/>
        </w:rPr>
        <w:t xml:space="preserve"> </w:t>
      </w:r>
      <w:r w:rsidR="00880DF1" w:rsidRPr="00F82E89">
        <w:rPr>
          <w:shd w:val="clear" w:color="auto" w:fill="FFFFFF"/>
        </w:rPr>
        <w:t>training images</w:t>
      </w:r>
      <w:r w:rsidRPr="00F82E89">
        <w:rPr>
          <w:shd w:val="clear" w:color="auto" w:fill="FFFFFF"/>
        </w:rPr>
        <w:t>, by conditioning the</w:t>
      </w:r>
      <w:r w:rsidR="00880DF1" w:rsidRPr="00F82E89">
        <w:rPr>
          <w:shd w:val="clear" w:color="auto" w:fill="FFFFFF"/>
        </w:rPr>
        <w:t>m</w:t>
      </w:r>
      <w:r w:rsidRPr="00F82E89">
        <w:rPr>
          <w:shd w:val="clear" w:color="auto" w:fill="FFFFFF"/>
        </w:rPr>
        <w:t xml:space="preserve"> to the depositional environment. </w:t>
      </w:r>
      <w:r w:rsidRPr="00F82E89">
        <w:t>Depositional conditioning uses four key characteristics of sedimentary architecture: (1) distributions, (2) dimensions, (3) geometries and (4) proportions (</w:t>
      </w:r>
      <w:r w:rsidR="00880DF1" w:rsidRPr="00F82E89">
        <w:t>Table 3; Figure 1</w:t>
      </w:r>
      <w:r w:rsidR="006413A6">
        <w:t>4</w:t>
      </w:r>
      <w:r w:rsidR="001D1FFC" w:rsidRPr="00F82E89">
        <w:t xml:space="preserve">). These four categories </w:t>
      </w:r>
      <w:r w:rsidRPr="00F82E89">
        <w:t xml:space="preserve">can be used to develop </w:t>
      </w:r>
      <w:r w:rsidR="00880DF1" w:rsidRPr="00F82E89">
        <w:t>training images</w:t>
      </w:r>
      <w:r w:rsidRPr="00F82E89">
        <w:t xml:space="preserve"> </w:t>
      </w:r>
      <w:r w:rsidR="00166124">
        <w:t>that are representative of a sedimentary environment rather than an in</w:t>
      </w:r>
      <w:r w:rsidR="009F3A4D">
        <w:t>dividual dataset</w:t>
      </w:r>
      <w:r w:rsidR="00166124">
        <w:t>.</w:t>
      </w:r>
    </w:p>
    <w:p w:rsidR="009D6925" w:rsidRDefault="009D6925" w:rsidP="00C670B0">
      <w:r>
        <w:rPr>
          <w:noProof/>
          <w:lang w:eastAsia="en-GB"/>
        </w:rPr>
        <w:drawing>
          <wp:inline distT="0" distB="0" distL="0" distR="0">
            <wp:extent cx="5731510" cy="41262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_14_mitten_2019_revised.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4126230"/>
                    </a:xfrm>
                    <a:prstGeom prst="rect">
                      <a:avLst/>
                    </a:prstGeom>
                  </pic:spPr>
                </pic:pic>
              </a:graphicData>
            </a:graphic>
          </wp:inline>
        </w:drawing>
      </w:r>
    </w:p>
    <w:p w:rsidR="009D6925" w:rsidRDefault="009D6925" w:rsidP="00C670B0">
      <w:r w:rsidRPr="00F82E89">
        <w:rPr>
          <w:b/>
        </w:rPr>
        <w:t>Figure 1</w:t>
      </w:r>
      <w:r>
        <w:rPr>
          <w:b/>
        </w:rPr>
        <w:t>4</w:t>
      </w:r>
      <w:r w:rsidRPr="00F82E89">
        <w:t xml:space="preserve"> – Generalised workflow of this study to generate the reservoir models. Note, SIS = Sequential Indicator Simulation, MPS = Multi-Point Statistics, OBM = Object-based Modelling. </w:t>
      </w:r>
    </w:p>
    <w:p w:rsidR="00573921" w:rsidRPr="00F82E89" w:rsidRDefault="002509AC" w:rsidP="00C670B0">
      <w:r w:rsidRPr="00F82E89">
        <w:t xml:space="preserve">The depositional conditioning workflow </w:t>
      </w:r>
      <w:r w:rsidR="00B32B81">
        <w:t xml:space="preserve">proposed </w:t>
      </w:r>
      <w:r w:rsidRPr="00F82E89">
        <w:t>(Figure 1</w:t>
      </w:r>
      <w:r w:rsidR="006413A6">
        <w:t>4</w:t>
      </w:r>
      <w:r w:rsidRPr="00F82E89">
        <w:t>)</w:t>
      </w:r>
      <w:r w:rsidR="00D4784E">
        <w:t xml:space="preserve">, </w:t>
      </w:r>
      <w:r w:rsidRPr="00F82E89">
        <w:t xml:space="preserve">provides a simpler </w:t>
      </w:r>
      <w:r w:rsidR="00B32B81">
        <w:t>but</w:t>
      </w:r>
      <w:r w:rsidR="00B32B81" w:rsidRPr="00F82E89">
        <w:t xml:space="preserve"> </w:t>
      </w:r>
      <w:r w:rsidR="00573921" w:rsidRPr="00F82E89">
        <w:t xml:space="preserve">standardized </w:t>
      </w:r>
      <w:r w:rsidRPr="00F82E89">
        <w:t>methodology</w:t>
      </w:r>
      <w:r w:rsidR="00573921" w:rsidRPr="00F82E89">
        <w:t>,</w:t>
      </w:r>
      <w:r w:rsidRPr="00F82E89">
        <w:t xml:space="preserve"> when compared </w:t>
      </w:r>
      <w:r w:rsidR="00880DF1" w:rsidRPr="00F82E89">
        <w:t xml:space="preserve">with </w:t>
      </w:r>
      <w:r w:rsidRPr="00F82E89">
        <w:t>traditional MPS and SIS simulated reservoir models (Deutsch and Journel</w:t>
      </w:r>
      <w:r w:rsidR="000813E8">
        <w:t>,</w:t>
      </w:r>
      <w:r w:rsidRPr="00F82E89">
        <w:t xml:space="preserve"> 1992; Seifert and Jensen</w:t>
      </w:r>
      <w:r w:rsidR="000813E8">
        <w:t>,</w:t>
      </w:r>
      <w:r w:rsidRPr="00F82E89">
        <w:t xml:space="preserve"> 1999, 2000; </w:t>
      </w:r>
      <w:r w:rsidRPr="00F82E89">
        <w:rPr>
          <w:rFonts w:eastAsia="SimSun"/>
          <w:szCs w:val="24"/>
          <w:lang w:val="en-US" w:eastAsia="zh-CN" w:bidi="hi-IN"/>
        </w:rPr>
        <w:t xml:space="preserve">Caers and Zhang, 2002, Strebelle and Levy, 2008; Le Coz </w:t>
      </w:r>
      <w:r w:rsidR="00517096" w:rsidRPr="00517096">
        <w:rPr>
          <w:rFonts w:eastAsia="SimSun"/>
          <w:i/>
          <w:szCs w:val="24"/>
          <w:lang w:val="en-US" w:eastAsia="zh-CN" w:bidi="hi-IN"/>
        </w:rPr>
        <w:t>et al.,</w:t>
      </w:r>
      <w:r w:rsidRPr="00F82E89">
        <w:rPr>
          <w:rFonts w:eastAsia="SimSun"/>
          <w:szCs w:val="24"/>
          <w:lang w:val="en-US" w:eastAsia="zh-CN" w:bidi="hi-IN"/>
        </w:rPr>
        <w:t xml:space="preserve"> 2011; Hu </w:t>
      </w:r>
      <w:r w:rsidR="00517096" w:rsidRPr="00517096">
        <w:rPr>
          <w:rFonts w:eastAsia="SimSun"/>
          <w:i/>
          <w:szCs w:val="24"/>
          <w:lang w:val="en-US" w:eastAsia="zh-CN" w:bidi="hi-IN"/>
        </w:rPr>
        <w:t>et al.,</w:t>
      </w:r>
      <w:r w:rsidRPr="00F82E89">
        <w:rPr>
          <w:rFonts w:eastAsia="SimSun"/>
          <w:szCs w:val="24"/>
          <w:lang w:val="en-US" w:eastAsia="zh-CN" w:bidi="hi-IN"/>
        </w:rPr>
        <w:t xml:space="preserve"> 2014)</w:t>
      </w:r>
      <w:r w:rsidRPr="00F82E89">
        <w:t xml:space="preserve">. Developing depositional conditioning is heavily dependent on the studied geology and thus helps sedimentology to </w:t>
      </w:r>
      <w:r w:rsidR="007E1744" w:rsidRPr="00F82E89">
        <w:t>translate into</w:t>
      </w:r>
      <w:r w:rsidRPr="00F82E89">
        <w:t xml:space="preserve"> reservoir modell</w:t>
      </w:r>
      <w:r w:rsidR="007E1744" w:rsidRPr="00F82E89">
        <w:t>ing</w:t>
      </w:r>
      <w:r w:rsidRPr="00F82E89">
        <w:t>, simplifying the relationship between the two disciplines.</w:t>
      </w:r>
      <w:r w:rsidR="00C670B0" w:rsidRPr="00F82E89">
        <w:t xml:space="preserve"> </w:t>
      </w:r>
      <w:r w:rsidR="00573921" w:rsidRPr="00F82E89">
        <w:t xml:space="preserve">Depositional conditioning </w:t>
      </w:r>
      <w:r w:rsidR="00B32B81">
        <w:t xml:space="preserve">also </w:t>
      </w:r>
      <w:r w:rsidR="00573921" w:rsidRPr="00F82E89">
        <w:t xml:space="preserve">allows the modeller to input their own level of stationarity into a </w:t>
      </w:r>
      <w:r w:rsidR="00880DF1" w:rsidRPr="00F82E89">
        <w:t>training image</w:t>
      </w:r>
      <w:r w:rsidR="00573921" w:rsidRPr="00F82E89">
        <w:t xml:space="preserve"> as well as heterogeneity</w:t>
      </w:r>
      <w:r w:rsidR="004A1DE9" w:rsidRPr="00F82E89">
        <w:t xml:space="preserve"> (</w:t>
      </w:r>
      <w:r w:rsidR="00880DF1" w:rsidRPr="00F82E89">
        <w:t xml:space="preserve">Figure </w:t>
      </w:r>
      <w:r w:rsidR="006413A6">
        <w:t>9</w:t>
      </w:r>
      <w:r w:rsidR="004A1DE9" w:rsidRPr="00F82E89">
        <w:t>)</w:t>
      </w:r>
      <w:r w:rsidR="00573921" w:rsidRPr="00F82E89">
        <w:t>. The biggest advantage,</w:t>
      </w:r>
      <w:r w:rsidR="00B32B81">
        <w:t xml:space="preserve"> shown</w:t>
      </w:r>
      <w:r w:rsidR="00573921" w:rsidRPr="00F82E89">
        <w:t xml:space="preserve"> in this study, is the visual impact they have upon subsurface models.</w:t>
      </w:r>
    </w:p>
    <w:p w:rsidR="00C670B0" w:rsidRPr="00F82E89" w:rsidRDefault="00C670B0" w:rsidP="00C670B0">
      <w:r w:rsidRPr="00F82E89">
        <w:t>The manual development of training image</w:t>
      </w:r>
      <w:r w:rsidR="00362135">
        <w:t>s</w:t>
      </w:r>
      <w:r w:rsidRPr="00F82E89">
        <w:t xml:space="preserve"> </w:t>
      </w:r>
      <w:r w:rsidR="00362135">
        <w:t>is</w:t>
      </w:r>
      <w:r w:rsidRPr="00F82E89">
        <w:t xml:space="preserve"> </w:t>
      </w:r>
      <w:r w:rsidR="00880DF1" w:rsidRPr="00F82E89">
        <w:t>laborious</w:t>
      </w:r>
      <w:r w:rsidRPr="00F82E89">
        <w:t xml:space="preserve">, </w:t>
      </w:r>
      <w:r w:rsidR="00362135">
        <w:t xml:space="preserve">as it </w:t>
      </w:r>
      <w:r w:rsidR="00362135" w:rsidRPr="00F82E89">
        <w:t>requir</w:t>
      </w:r>
      <w:r w:rsidR="00362135">
        <w:t>es</w:t>
      </w:r>
      <w:r w:rsidR="00362135" w:rsidRPr="00F82E89">
        <w:t xml:space="preserve"> </w:t>
      </w:r>
      <w:r w:rsidRPr="00F82E89">
        <w:t xml:space="preserve">multiple iterations and manual checks of intersectional planes through </w:t>
      </w:r>
      <w:r w:rsidR="00BB5AD5">
        <w:t>the training image</w:t>
      </w:r>
      <w:r w:rsidRPr="00F82E89">
        <w:t xml:space="preserve"> volume </w:t>
      </w:r>
      <w:r w:rsidR="00B36929" w:rsidRPr="00F82E89">
        <w:t xml:space="preserve">and target fractions </w:t>
      </w:r>
      <w:r w:rsidRPr="00F82E89">
        <w:t xml:space="preserve">to ensure that input statistics </w:t>
      </w:r>
      <w:r w:rsidR="009B744E">
        <w:t>we</w:t>
      </w:r>
      <w:r w:rsidRPr="00F82E89">
        <w:t xml:space="preserve">re honoured. This </w:t>
      </w:r>
      <w:r w:rsidR="00880DF1" w:rsidRPr="00F82E89">
        <w:t xml:space="preserve">is the </w:t>
      </w:r>
      <w:r w:rsidRPr="00F82E89">
        <w:t xml:space="preserve">biggest </w:t>
      </w:r>
      <w:r w:rsidR="00880DF1" w:rsidRPr="00F82E89">
        <w:t xml:space="preserve">remaining </w:t>
      </w:r>
      <w:r w:rsidR="00887135">
        <w:t>issue in</w:t>
      </w:r>
      <w:r w:rsidRPr="00F82E89">
        <w:t xml:space="preserve"> the production of geologically conceptual </w:t>
      </w:r>
      <w:r w:rsidR="00880DF1" w:rsidRPr="00F82E89">
        <w:t>training images and</w:t>
      </w:r>
      <w:r w:rsidRPr="00F82E89">
        <w:t xml:space="preserve"> is therefore </w:t>
      </w:r>
      <w:r w:rsidR="00880DF1" w:rsidRPr="00F82E89">
        <w:t xml:space="preserve">dependent upon low </w:t>
      </w:r>
      <w:r w:rsidRPr="00F82E89">
        <w:t xml:space="preserve">human error. Subsequent work would benefit from projecting the </w:t>
      </w:r>
      <w:r w:rsidR="00D63B26" w:rsidRPr="00F82E89">
        <w:t>input cross-sectional and plan-</w:t>
      </w:r>
      <w:r w:rsidRPr="00F82E89">
        <w:t xml:space="preserve">view </w:t>
      </w:r>
      <w:r w:rsidR="00D63B26" w:rsidRPr="00F82E89">
        <w:t>planes through the three-</w:t>
      </w:r>
      <w:r w:rsidRPr="00F82E89">
        <w:t>dimensional volume in an automated fashion, projecting logical rules dictated by the depositional conditioning throughout the training image. This may be a future application for how machine learning algorithms receive and read two dimensional data and use multi-iterative analysis in their reproduction of sedimentary products into three dimensional volumes.</w:t>
      </w:r>
    </w:p>
    <w:p w:rsidR="007A2C60" w:rsidRPr="00F82E89" w:rsidRDefault="007A2C60" w:rsidP="007A2C60">
      <w:r w:rsidRPr="00F82E89">
        <w:t xml:space="preserve">Results from this study suggest there is scope to apply depositional conditioning methods to other environments and to see how conditioning training images for MPS model generation constrains geological realism across sedimentary environments. </w:t>
      </w:r>
    </w:p>
    <w:p w:rsidR="002509AC" w:rsidRPr="00F82E89" w:rsidRDefault="002509AC" w:rsidP="00CD1601">
      <w:pPr>
        <w:pStyle w:val="Heading2"/>
        <w:numPr>
          <w:ilvl w:val="1"/>
          <w:numId w:val="1"/>
        </w:numPr>
      </w:pPr>
      <w:r w:rsidRPr="00F82E89">
        <w:t xml:space="preserve">The </w:t>
      </w:r>
      <w:r w:rsidR="00C670B0" w:rsidRPr="00F82E89">
        <w:t>reproducibility of geologically realistic data</w:t>
      </w:r>
    </w:p>
    <w:p w:rsidR="007304E8" w:rsidRPr="00F82E89" w:rsidRDefault="007304E8" w:rsidP="007304E8">
      <w:r w:rsidRPr="00F82E89">
        <w:t xml:space="preserve">During this study, more emphasis was placed on the reproduction of the patterns, geometries, architectures and relationships contained in the training image, than to match </w:t>
      </w:r>
      <w:r w:rsidR="009B744E">
        <w:t xml:space="preserve">the </w:t>
      </w:r>
      <w:r w:rsidRPr="00F82E89">
        <w:t xml:space="preserve">exact target fractions </w:t>
      </w:r>
      <w:r w:rsidR="008E05A0" w:rsidRPr="00F82E89">
        <w:t xml:space="preserve">(element proportions) </w:t>
      </w:r>
      <w:r w:rsidRPr="00F82E89">
        <w:t xml:space="preserve">to keep computing simulations times to a reasonable level. </w:t>
      </w:r>
    </w:p>
    <w:p w:rsidR="00FE6AC0" w:rsidRDefault="002509AC" w:rsidP="000E5F17">
      <w:r w:rsidRPr="00F82E89">
        <w:t>OBMs, while producing visually and statistically realistic outputs, are notoriously difficult to match to hard data (Holden</w:t>
      </w:r>
      <w:r w:rsidR="000813E8">
        <w:t>,</w:t>
      </w:r>
      <w:r w:rsidRPr="00F82E89">
        <w:t xml:space="preserve"> 1998; Seifert and Jensen</w:t>
      </w:r>
      <w:r w:rsidR="000813E8">
        <w:t>,</w:t>
      </w:r>
      <w:r w:rsidRPr="00F82E89">
        <w:t xml:space="preserve"> 2000; Vevle </w:t>
      </w:r>
      <w:r w:rsidR="00517096" w:rsidRPr="00517096">
        <w:rPr>
          <w:i/>
        </w:rPr>
        <w:t>et al.,</w:t>
      </w:r>
      <w:r w:rsidRPr="00F82E89">
        <w:t xml:space="preserve"> 2018). They are also extremely limited to their pre-defined geometries </w:t>
      </w:r>
      <w:r w:rsidR="00573921" w:rsidRPr="00F82E89">
        <w:t xml:space="preserve">(Holden </w:t>
      </w:r>
      <w:r w:rsidR="00517096" w:rsidRPr="00517096">
        <w:rPr>
          <w:i/>
        </w:rPr>
        <w:t>et al.,</w:t>
      </w:r>
      <w:r w:rsidR="00573921" w:rsidRPr="00F82E89">
        <w:t xml:space="preserve"> 1998; Stephen </w:t>
      </w:r>
      <w:r w:rsidR="00517096" w:rsidRPr="00517096">
        <w:rPr>
          <w:i/>
        </w:rPr>
        <w:t>et al.,</w:t>
      </w:r>
      <w:r w:rsidR="00573921" w:rsidRPr="00F82E89">
        <w:t xml:space="preserve"> 2001; Manzocchi </w:t>
      </w:r>
      <w:r w:rsidR="00517096" w:rsidRPr="00517096">
        <w:rPr>
          <w:i/>
        </w:rPr>
        <w:t>et al.,</w:t>
      </w:r>
      <w:r w:rsidR="00573921" w:rsidRPr="00F82E89">
        <w:t xml:space="preserve"> 2007) </w:t>
      </w:r>
      <w:r w:rsidRPr="00F82E89">
        <w:t>and have shown</w:t>
      </w:r>
      <w:r w:rsidR="00573921" w:rsidRPr="00F82E89">
        <w:t xml:space="preserve"> in the current work</w:t>
      </w:r>
      <w:r w:rsidRPr="00F82E89">
        <w:t xml:space="preserve"> to over represent the maximum thickness of the background facies (</w:t>
      </w:r>
      <w:r w:rsidR="00500207" w:rsidRPr="00F82E89">
        <w:t>Figure 1</w:t>
      </w:r>
      <w:r w:rsidR="00BB5AD5">
        <w:t xml:space="preserve">2; </w:t>
      </w:r>
      <w:r w:rsidRPr="00F82E89">
        <w:t xml:space="preserve">in this </w:t>
      </w:r>
      <w:r w:rsidR="00362135">
        <w:t xml:space="preserve">study, </w:t>
      </w:r>
      <w:r w:rsidR="009B744E">
        <w:t>the</w:t>
      </w:r>
      <w:r w:rsidRPr="00F82E89">
        <w:t xml:space="preserve"> downstream accretion element</w:t>
      </w:r>
      <w:r w:rsidR="00362135">
        <w:t>)</w:t>
      </w:r>
      <w:r w:rsidRPr="00F82E89">
        <w:t xml:space="preserve">. This </w:t>
      </w:r>
      <w:r w:rsidR="00362135">
        <w:t xml:space="preserve">problem leads </w:t>
      </w:r>
      <w:r w:rsidR="00426CE8" w:rsidRPr="00F82E89">
        <w:t>to a large overestimation in the dimensions of net-</w:t>
      </w:r>
      <w:r w:rsidRPr="00F82E89">
        <w:t>connectivity</w:t>
      </w:r>
      <w:r w:rsidR="00500207" w:rsidRPr="00F82E89">
        <w:t xml:space="preserve"> (Figure 1</w:t>
      </w:r>
      <w:r w:rsidR="006413A6">
        <w:t>3</w:t>
      </w:r>
      <w:r w:rsidR="00500207" w:rsidRPr="00F82E89">
        <w:t>)</w:t>
      </w:r>
      <w:r w:rsidR="00426CE8" w:rsidRPr="00F82E89">
        <w:t xml:space="preserve">. </w:t>
      </w:r>
      <w:r w:rsidR="00362135">
        <w:t xml:space="preserve">Furthermore, </w:t>
      </w:r>
      <w:r w:rsidR="000813E8">
        <w:t>the</w:t>
      </w:r>
      <w:r w:rsidR="000357DC">
        <w:t xml:space="preserve"> use of the downstream accretion element as background lead</w:t>
      </w:r>
      <w:r w:rsidR="00362135">
        <w:t>s</w:t>
      </w:r>
      <w:r w:rsidR="000357DC">
        <w:t xml:space="preserve"> to a poor representation of its geometry and dimensions </w:t>
      </w:r>
      <w:r w:rsidR="00FE6AC0">
        <w:t>in OBMs.</w:t>
      </w:r>
      <w:r w:rsidR="008B1F92">
        <w:t xml:space="preserve"> </w:t>
      </w:r>
      <w:r w:rsidR="00BB5AD5">
        <w:t>H</w:t>
      </w:r>
      <w:r w:rsidR="00362135">
        <w:t xml:space="preserve">owever, </w:t>
      </w:r>
      <w:r w:rsidR="008B1F92">
        <w:t xml:space="preserve">OBMs </w:t>
      </w:r>
      <w:r w:rsidR="005F4108">
        <w:t>do produce</w:t>
      </w:r>
      <w:r w:rsidR="008B1F92">
        <w:t xml:space="preserve"> models that visually represent the environment they are simulating, with the dimensions, proportions and juxtapositions of </w:t>
      </w:r>
      <w:r w:rsidR="00D934CE">
        <w:t xml:space="preserve">the other </w:t>
      </w:r>
      <w:r w:rsidR="008B1F92">
        <w:t>elements being well represented.</w:t>
      </w:r>
    </w:p>
    <w:p w:rsidR="000E5F17" w:rsidRPr="00F82E89" w:rsidRDefault="00426CE8" w:rsidP="000E5F17">
      <w:r w:rsidRPr="00F82E89">
        <w:t>S</w:t>
      </w:r>
      <w:r w:rsidR="002509AC" w:rsidRPr="00F82E89">
        <w:t>IS is a method that uses the probability and variance of one model unit to another to populate a model framework. This provide</w:t>
      </w:r>
      <w:r w:rsidR="009B744E">
        <w:t>d</w:t>
      </w:r>
      <w:r w:rsidR="002509AC" w:rsidRPr="00F82E89">
        <w:t xml:space="preserve"> little visual resemblance to the system being simulated (</w:t>
      </w:r>
      <w:r w:rsidR="00500207" w:rsidRPr="00F82E89">
        <w:t>Figure 1</w:t>
      </w:r>
      <w:r w:rsidR="006413A6">
        <w:t>1</w:t>
      </w:r>
      <w:r w:rsidR="00500207" w:rsidRPr="00F82E89">
        <w:t xml:space="preserve">; </w:t>
      </w:r>
      <w:r w:rsidR="002509AC" w:rsidRPr="00F82E89">
        <w:t>Seifert and Jensen</w:t>
      </w:r>
      <w:r w:rsidR="000813E8">
        <w:t>,</w:t>
      </w:r>
      <w:r w:rsidR="002509AC" w:rsidRPr="00F82E89">
        <w:t xml:space="preserve"> 1999; 2000 and references therein; Martinius </w:t>
      </w:r>
      <w:r w:rsidR="00517096" w:rsidRPr="00517096">
        <w:rPr>
          <w:i/>
        </w:rPr>
        <w:t>et al.,</w:t>
      </w:r>
      <w:r w:rsidR="002509AC" w:rsidRPr="00F82E89">
        <w:t xml:space="preserve"> 2017). </w:t>
      </w:r>
      <w:r w:rsidRPr="00F82E89">
        <w:t>The resultant</w:t>
      </w:r>
      <w:r w:rsidR="00D63B26" w:rsidRPr="00F82E89">
        <w:t xml:space="preserve"> dimensions of net </w:t>
      </w:r>
      <w:r w:rsidR="00AC5256" w:rsidRPr="00F82E89">
        <w:t xml:space="preserve">connectivity </w:t>
      </w:r>
      <w:r w:rsidR="009B744E">
        <w:t>we</w:t>
      </w:r>
      <w:r w:rsidR="00AC5256" w:rsidRPr="00F82E89">
        <w:t>re</w:t>
      </w:r>
      <w:r w:rsidRPr="00F82E89">
        <w:t xml:space="preserve"> also extremely over estimated</w:t>
      </w:r>
      <w:r w:rsidR="00AC5256" w:rsidRPr="00F82E89">
        <w:t xml:space="preserve"> (Figure 13)</w:t>
      </w:r>
      <w:r w:rsidRPr="00F82E89">
        <w:t>.</w:t>
      </w:r>
      <w:r w:rsidR="002924C3">
        <w:t xml:space="preserve"> The standard deviations reported for the static connectivity of the SIS models were anomalously high, this may</w:t>
      </w:r>
      <w:r w:rsidR="009B744E">
        <w:t>,</w:t>
      </w:r>
      <w:r w:rsidR="002924C3">
        <w:t xml:space="preserve"> in part</w:t>
      </w:r>
      <w:r w:rsidR="009B744E">
        <w:t>,</w:t>
      </w:r>
      <w:r w:rsidR="002924C3">
        <w:t xml:space="preserve"> be due to the use of 10 model iterations (Goovaerts</w:t>
      </w:r>
      <w:r w:rsidR="000813E8">
        <w:t>,</w:t>
      </w:r>
      <w:r w:rsidR="002924C3">
        <w:t xml:space="preserve"> 1999)</w:t>
      </w:r>
      <w:r w:rsidR="009B744E">
        <w:t>;</w:t>
      </w:r>
      <w:r w:rsidR="002924C3">
        <w:t xml:space="preserve"> however this is sufficient to negate any sequential fluctuations in the model reproduction (Falivene </w:t>
      </w:r>
      <w:r w:rsidR="00517096" w:rsidRPr="00517096">
        <w:rPr>
          <w:i/>
        </w:rPr>
        <w:t>et al.,</w:t>
      </w:r>
      <w:r w:rsidR="002924C3">
        <w:t xml:space="preserve"> 2006) and further iterations would have been computationally expensive for a relatively small improvement on the standard deviations (Goovaerts</w:t>
      </w:r>
      <w:r w:rsidR="000813E8">
        <w:t>,</w:t>
      </w:r>
      <w:r w:rsidR="002924C3">
        <w:t xml:space="preserve"> 1999).</w:t>
      </w:r>
      <w:r w:rsidR="000E5F17" w:rsidRPr="00F82E89">
        <w:t xml:space="preserve"> Although SIS simulations honoured some of the rules within the conditioning dataset, the geological realism of the resulting models was poor. </w:t>
      </w:r>
    </w:p>
    <w:p w:rsidR="002509AC" w:rsidRPr="00F82E89" w:rsidRDefault="002509AC" w:rsidP="002509AC">
      <w:r w:rsidRPr="00F82E89">
        <w:t xml:space="preserve">The depositional conditioning of </w:t>
      </w:r>
      <w:r w:rsidR="002B6FDE" w:rsidRPr="00F82E89">
        <w:t>training images</w:t>
      </w:r>
      <w:r w:rsidRPr="00F82E89">
        <w:t xml:space="preserve"> in MPS modelling provides a more realistic visual representation of a fluv</w:t>
      </w:r>
      <w:r w:rsidR="00426CE8" w:rsidRPr="00F82E89">
        <w:t>ial system. This work shows that</w:t>
      </w:r>
      <w:r w:rsidRPr="00F82E89">
        <w:t xml:space="preserve"> the distribution of sedimentary architecture</w:t>
      </w:r>
      <w:r w:rsidR="002B6FDE" w:rsidRPr="00F82E89">
        <w:t>s</w:t>
      </w:r>
      <w:r w:rsidRPr="00F82E89">
        <w:t xml:space="preserve"> and therefore</w:t>
      </w:r>
      <w:r w:rsidR="009B744E">
        <w:t>,</w:t>
      </w:r>
      <w:r w:rsidRPr="00F82E89">
        <w:t xml:space="preserve"> the distribution </w:t>
      </w:r>
      <w:r w:rsidR="007304E8" w:rsidRPr="00F82E89">
        <w:t>of heterogeneity within a</w:t>
      </w:r>
      <w:r w:rsidRPr="00F82E89">
        <w:t xml:space="preserve"> reservoir</w:t>
      </w:r>
      <w:r w:rsidR="009B744E">
        <w:t>,</w:t>
      </w:r>
      <w:r w:rsidRPr="00F82E89">
        <w:t xml:space="preserve"> is better constrained</w:t>
      </w:r>
      <w:r w:rsidR="00426CE8" w:rsidRPr="00F82E89">
        <w:t xml:space="preserve"> when using MPS </w:t>
      </w:r>
      <w:r w:rsidR="00E44E79">
        <w:t>than SIS</w:t>
      </w:r>
      <w:r w:rsidRPr="00F82E89">
        <w:t xml:space="preserve">. The MPS model honoured the depositional conditions </w:t>
      </w:r>
      <w:r w:rsidR="007304E8" w:rsidRPr="00F82E89">
        <w:t>imposed</w:t>
      </w:r>
      <w:r w:rsidRPr="00F82E89">
        <w:t xml:space="preserve"> and </w:t>
      </w:r>
      <w:r w:rsidR="002B6FDE" w:rsidRPr="00F82E89">
        <w:t>produced models that visually w</w:t>
      </w:r>
      <w:r w:rsidRPr="00F82E89">
        <w:t xml:space="preserve">ere recognisable as the environments which they simulated. </w:t>
      </w:r>
      <w:r w:rsidR="007304E8" w:rsidRPr="00F82E89">
        <w:t xml:space="preserve">Despite the minor differences between the depositional conditioning proportions and those </w:t>
      </w:r>
      <w:r w:rsidR="002B6FDE" w:rsidRPr="00F82E89">
        <w:t>of</w:t>
      </w:r>
      <w:r w:rsidR="007304E8" w:rsidRPr="00F82E89">
        <w:t xml:space="preserve"> the MPS simulations, the MPS results </w:t>
      </w:r>
      <w:r w:rsidR="009B744E">
        <w:t>we</w:t>
      </w:r>
      <w:r w:rsidR="007304E8" w:rsidRPr="00F82E89">
        <w:t>re closer to those in the original depositional conditioning rules</w:t>
      </w:r>
      <w:r w:rsidR="002B6FDE" w:rsidRPr="00F82E89">
        <w:t>, when compared to the</w:t>
      </w:r>
      <w:r w:rsidR="007304E8" w:rsidRPr="00F82E89">
        <w:t xml:space="preserve"> SIS or the OBMs. </w:t>
      </w:r>
      <w:r w:rsidR="000E5F17" w:rsidRPr="00F82E89">
        <w:t>In the MPS simulations the juxtaposi</w:t>
      </w:r>
      <w:r w:rsidR="002B6FDE" w:rsidRPr="00F82E89">
        <w:t>ti</w:t>
      </w:r>
      <w:r w:rsidR="00D06444" w:rsidRPr="00F82E89">
        <w:t>on of one element to another wa</w:t>
      </w:r>
      <w:r w:rsidR="000E5F17" w:rsidRPr="00F82E89">
        <w:t xml:space="preserve">s extremely well </w:t>
      </w:r>
      <w:r w:rsidR="009B744E" w:rsidRPr="00F82E89">
        <w:t xml:space="preserve">constrained </w:t>
      </w:r>
      <w:r w:rsidR="00D06444" w:rsidRPr="00F82E89">
        <w:t xml:space="preserve">(Zhang </w:t>
      </w:r>
      <w:r w:rsidR="00517096" w:rsidRPr="00517096">
        <w:rPr>
          <w:i/>
        </w:rPr>
        <w:t>et al.,</w:t>
      </w:r>
      <w:r w:rsidR="00D06444" w:rsidRPr="00F82E89">
        <w:t xml:space="preserve"> 2006; Daly and Caers</w:t>
      </w:r>
      <w:r w:rsidR="000813E8">
        <w:t>,</w:t>
      </w:r>
      <w:r w:rsidR="00D06444" w:rsidRPr="00F82E89">
        <w:t xml:space="preserve"> 2010; Zhou </w:t>
      </w:r>
      <w:r w:rsidR="00517096" w:rsidRPr="00517096">
        <w:rPr>
          <w:i/>
        </w:rPr>
        <w:t>et al.,</w:t>
      </w:r>
      <w:r w:rsidR="00D06444" w:rsidRPr="00F82E89">
        <w:t xml:space="preserve"> 2018)</w:t>
      </w:r>
      <w:r w:rsidR="009B744E">
        <w:t>,</w:t>
      </w:r>
      <w:r w:rsidR="00D06444" w:rsidRPr="00F82E89">
        <w:t xml:space="preserve"> </w:t>
      </w:r>
      <w:r w:rsidR="000E5F17" w:rsidRPr="00F82E89">
        <w:t>and the dimensions of the f</w:t>
      </w:r>
      <w:r w:rsidR="002B6FDE" w:rsidRPr="00F82E89">
        <w:t>our sedimentary architectures fe</w:t>
      </w:r>
      <w:r w:rsidR="000E5F17" w:rsidRPr="00F82E89">
        <w:t>ll within the minimum and maximum values imposed in the depositional conditions (</w:t>
      </w:r>
      <w:r w:rsidR="002B6FDE" w:rsidRPr="00F82E89">
        <w:t>Table 3; Figure 1</w:t>
      </w:r>
      <w:r w:rsidR="006413A6">
        <w:t>1</w:t>
      </w:r>
      <w:r w:rsidR="000E5F17" w:rsidRPr="00F82E89">
        <w:t>).</w:t>
      </w:r>
      <w:r w:rsidRPr="00F82E89">
        <w:t xml:space="preserve"> </w:t>
      </w:r>
    </w:p>
    <w:p w:rsidR="00510BCA" w:rsidRPr="00F82E89" w:rsidRDefault="007304E8" w:rsidP="00C82240">
      <w:r w:rsidRPr="00F82E89">
        <w:t>MPS</w:t>
      </w:r>
      <w:r w:rsidR="008642A4" w:rsidRPr="00F82E89">
        <w:t xml:space="preserve"> provide</w:t>
      </w:r>
      <w:r w:rsidRPr="00F82E89">
        <w:t>d</w:t>
      </w:r>
      <w:r w:rsidR="008642A4" w:rsidRPr="00F82E89">
        <w:t xml:space="preserve"> geologically realistic distributions of the net reservoir facies and associated </w:t>
      </w:r>
      <w:r w:rsidRPr="00F82E89">
        <w:t>heterogeneities</w:t>
      </w:r>
      <w:r w:rsidR="008642A4" w:rsidRPr="00F82E89">
        <w:t xml:space="preserve">. The relative portions of the elements in </w:t>
      </w:r>
      <w:r w:rsidRPr="00F82E89">
        <w:t xml:space="preserve">the depositionally </w:t>
      </w:r>
      <w:r w:rsidR="008642A4" w:rsidRPr="00F82E89">
        <w:t>conditioned training images may have minor variations from the input data</w:t>
      </w:r>
      <w:r w:rsidR="006C50E2" w:rsidRPr="00F82E89">
        <w:t>,</w:t>
      </w:r>
      <w:r w:rsidR="008642A4" w:rsidRPr="00F82E89">
        <w:t xml:space="preserve"> due to the algorithm reproducing the other three aspects of depositional conditioning. </w:t>
      </w:r>
      <w:r w:rsidR="00573921" w:rsidRPr="00F82E89">
        <w:t>The smaller sized geometric rules</w:t>
      </w:r>
      <w:r w:rsidR="00510BCA">
        <w:t xml:space="preserve">, such as minor fluctuations in the size of thalweg bedform </w:t>
      </w:r>
      <w:r w:rsidR="007A612F">
        <w:t>complexes</w:t>
      </w:r>
      <w:r w:rsidR="00510BCA">
        <w:t>,</w:t>
      </w:r>
      <w:r w:rsidR="00573921" w:rsidRPr="00F82E89">
        <w:t xml:space="preserve"> imposed by the </w:t>
      </w:r>
      <w:r w:rsidR="006C50E2" w:rsidRPr="00F82E89">
        <w:t>training image</w:t>
      </w:r>
      <w:r w:rsidR="00573921" w:rsidRPr="00F82E89">
        <w:t xml:space="preserve"> were not followed by the MPS models</w:t>
      </w:r>
      <w:r w:rsidR="005F4108">
        <w:t>.</w:t>
      </w:r>
      <w:r w:rsidR="00573921" w:rsidRPr="00F82E89">
        <w:t xml:space="preserve"> </w:t>
      </w:r>
      <w:r w:rsidR="005F4108">
        <w:t>T</w:t>
      </w:r>
      <w:r w:rsidR="00573921" w:rsidRPr="00F82E89">
        <w:t xml:space="preserve">his may be because the MPS algorithm does not recognise such small-scale variations </w:t>
      </w:r>
      <w:r w:rsidR="006C50E2" w:rsidRPr="00F82E89">
        <w:t>(Strebelle</w:t>
      </w:r>
      <w:r w:rsidR="000813E8">
        <w:t>,</w:t>
      </w:r>
      <w:r w:rsidR="006C50E2" w:rsidRPr="00F82E89">
        <w:t xml:space="preserve"> 2002; Comunian </w:t>
      </w:r>
      <w:r w:rsidR="00517096" w:rsidRPr="00517096">
        <w:rPr>
          <w:i/>
        </w:rPr>
        <w:t>et al.,</w:t>
      </w:r>
      <w:r w:rsidR="006C50E2" w:rsidRPr="00F82E89">
        <w:t xml:space="preserve"> 2012) </w:t>
      </w:r>
      <w:r w:rsidR="00573921" w:rsidRPr="00F82E89">
        <w:t>in shape</w:t>
      </w:r>
      <w:r w:rsidR="005F4108">
        <w:t xml:space="preserve">, </w:t>
      </w:r>
      <w:r w:rsidR="00573921" w:rsidRPr="00F82E89">
        <w:t>or be due to the model resolution</w:t>
      </w:r>
      <w:r w:rsidR="00BB5AD5">
        <w:t xml:space="preserve"> </w:t>
      </w:r>
      <w:r w:rsidR="005F4108">
        <w:t xml:space="preserve">or it may be due </w:t>
      </w:r>
      <w:r w:rsidR="00510BCA">
        <w:t xml:space="preserve">to the number of variations in the size of thalweg bedform complexes repeated within the training image volume. A low number of repetitions within </w:t>
      </w:r>
      <w:r w:rsidR="005F4108">
        <w:t>a</w:t>
      </w:r>
      <w:r w:rsidR="00510BCA">
        <w:t xml:space="preserve"> training image volume may lead to poor reproduction by MPS (</w:t>
      </w:r>
      <w:r w:rsidR="00510BCA" w:rsidRPr="002660FA">
        <w:t>Strebelle</w:t>
      </w:r>
      <w:r w:rsidR="000813E8">
        <w:t>,</w:t>
      </w:r>
      <w:r w:rsidR="00510BCA" w:rsidRPr="002660FA">
        <w:t xml:space="preserve"> 2002</w:t>
      </w:r>
      <w:r w:rsidR="00510BCA">
        <w:t>).</w:t>
      </w:r>
      <w:r w:rsidR="00E44E79">
        <w:t xml:space="preserve"> The reproduction of thalweg bedform complexes was far more realistically reproduced by the OBM generated models.</w:t>
      </w:r>
    </w:p>
    <w:p w:rsidR="003261FE" w:rsidRPr="00F82E89" w:rsidRDefault="003261FE" w:rsidP="003261FE">
      <w:r w:rsidRPr="00F82E89">
        <w:t>The connectivity study showed that almost all of the net-defined reservoir rock was connected to the single penetrating well</w:t>
      </w:r>
      <w:r w:rsidR="00AC5256" w:rsidRPr="00F82E89">
        <w:t xml:space="preserve"> (</w:t>
      </w:r>
      <w:r w:rsidR="006C50E2" w:rsidRPr="00F82E89">
        <w:t>Figure 1</w:t>
      </w:r>
      <w:r w:rsidR="006413A6">
        <w:t>3</w:t>
      </w:r>
      <w:r w:rsidR="00AC5256" w:rsidRPr="00F82E89">
        <w:t>)</w:t>
      </w:r>
      <w:r w:rsidRPr="00F82E89">
        <w:t xml:space="preserve">. </w:t>
      </w:r>
      <w:r w:rsidR="006C50E2" w:rsidRPr="00F82E89">
        <w:t>T</w:t>
      </w:r>
      <w:r w:rsidRPr="00F82E89">
        <w:t>he SIS iterations showed a large range in their drainable volumes</w:t>
      </w:r>
      <w:r w:rsidR="005F4108">
        <w:t xml:space="preserve">. </w:t>
      </w:r>
      <w:r w:rsidRPr="00F82E89">
        <w:t xml:space="preserve"> </w:t>
      </w:r>
      <w:r w:rsidR="005F4108">
        <w:t>By</w:t>
      </w:r>
      <w:r w:rsidRPr="00F82E89">
        <w:t xml:space="preserve"> contrast, the depositionally conditioned MPS and OBM simulations showed very little varianc</w:t>
      </w:r>
      <w:r w:rsidR="000E5F17" w:rsidRPr="00F82E89">
        <w:t>e in their results</w:t>
      </w:r>
      <w:r w:rsidR="00AC5256" w:rsidRPr="00F82E89">
        <w:t xml:space="preserve"> (</w:t>
      </w:r>
      <w:r w:rsidR="006C50E2" w:rsidRPr="00F82E89">
        <w:t>Figure 1</w:t>
      </w:r>
      <w:r w:rsidR="006413A6">
        <w:t>3</w:t>
      </w:r>
      <w:r w:rsidR="00AC5256" w:rsidRPr="00F82E89">
        <w:t>)</w:t>
      </w:r>
      <w:r w:rsidR="000E5F17" w:rsidRPr="00F82E89">
        <w:t>, indicating</w:t>
      </w:r>
      <w:r w:rsidRPr="00F82E89">
        <w:t xml:space="preserve"> more reliable and repeatable metho</w:t>
      </w:r>
      <w:r w:rsidR="00D63B26" w:rsidRPr="00F82E89">
        <w:t xml:space="preserve">dologies. However, </w:t>
      </w:r>
      <w:r w:rsidR="00E44E79">
        <w:t>both</w:t>
      </w:r>
      <w:r w:rsidR="00E44E79" w:rsidRPr="00F82E89">
        <w:t xml:space="preserve"> </w:t>
      </w:r>
      <w:r w:rsidR="00D63B26" w:rsidRPr="00F82E89">
        <w:t>OBM</w:t>
      </w:r>
      <w:r w:rsidR="00E44E79">
        <w:t xml:space="preserve"> and SIS iterations</w:t>
      </w:r>
      <w:r w:rsidR="000E5F17" w:rsidRPr="00F82E89">
        <w:t xml:space="preserve"> </w:t>
      </w:r>
      <w:r w:rsidR="006C50E2" w:rsidRPr="00F82E89">
        <w:t>did show</w:t>
      </w:r>
      <w:r w:rsidR="000E5F17" w:rsidRPr="00F82E89">
        <w:t xml:space="preserve"> an unrealistic</w:t>
      </w:r>
      <w:r w:rsidRPr="00F82E89">
        <w:t xml:space="preserve"> over estimation in the thickness of the net reservoir connectivity. These results </w:t>
      </w:r>
      <w:r w:rsidR="00D934CE">
        <w:t>contrast</w:t>
      </w:r>
      <w:r w:rsidR="006C50E2" w:rsidRPr="00F82E89">
        <w:t xml:space="preserve"> those of</w:t>
      </w:r>
      <w:r w:rsidRPr="00F82E89">
        <w:t xml:space="preserve"> Zhou </w:t>
      </w:r>
      <w:r w:rsidR="00517096" w:rsidRPr="00517096">
        <w:rPr>
          <w:i/>
        </w:rPr>
        <w:t>et al.,</w:t>
      </w:r>
      <w:r w:rsidRPr="00F82E89">
        <w:t xml:space="preserve"> 2018, where MPS provided a higher connectivity than OBM with no significant improvement of reproduction accuracies. Zhou </w:t>
      </w:r>
      <w:r w:rsidR="00517096" w:rsidRPr="00517096">
        <w:rPr>
          <w:i/>
        </w:rPr>
        <w:t>et al.,</w:t>
      </w:r>
      <w:r w:rsidRPr="00F82E89">
        <w:t xml:space="preserve"> (2018) conclude</w:t>
      </w:r>
      <w:r w:rsidR="006C50E2" w:rsidRPr="00F82E89">
        <w:t>d</w:t>
      </w:r>
      <w:r w:rsidRPr="00F82E89">
        <w:t xml:space="preserve"> that </w:t>
      </w:r>
      <w:r w:rsidR="006C50E2" w:rsidRPr="00F82E89">
        <w:t>MPS were</w:t>
      </w:r>
      <w:r w:rsidRPr="00F82E89">
        <w:t xml:space="preserve"> limited by the robustness of training images</w:t>
      </w:r>
      <w:r w:rsidR="000E5F17" w:rsidRPr="00F82E89">
        <w:t>.</w:t>
      </w:r>
      <w:r w:rsidRPr="00F82E89">
        <w:t xml:space="preserve"> </w:t>
      </w:r>
      <w:r w:rsidR="000E5F17" w:rsidRPr="00F82E89">
        <w:t>T</w:t>
      </w:r>
      <w:r w:rsidRPr="00F82E89">
        <w:t>his study provides a method of constructing training images that are directly fit-for-purpose in a more accurate and realistic manner than previously presented.</w:t>
      </w:r>
    </w:p>
    <w:p w:rsidR="007A2C60" w:rsidRPr="00F82E89" w:rsidRDefault="007A2C60" w:rsidP="00CD1601">
      <w:pPr>
        <w:pStyle w:val="Heading1"/>
        <w:numPr>
          <w:ilvl w:val="0"/>
          <w:numId w:val="1"/>
        </w:numPr>
      </w:pPr>
      <w:r w:rsidRPr="00F82E89">
        <w:t>Conclusions</w:t>
      </w:r>
    </w:p>
    <w:p w:rsidR="007A2C60" w:rsidRPr="00F82E89" w:rsidRDefault="007A2C60" w:rsidP="007A2C60">
      <w:pPr>
        <w:rPr>
          <w:rStyle w:val="Strong"/>
          <w:b w:val="0"/>
        </w:rPr>
      </w:pPr>
      <w:r w:rsidRPr="00F82E89">
        <w:t xml:space="preserve">The work presented here </w:t>
      </w:r>
      <w:r w:rsidR="00A94B4F">
        <w:t>showcases a method</w:t>
      </w:r>
      <w:r w:rsidRPr="00F82E89">
        <w:t xml:space="preserve"> of </w:t>
      </w:r>
      <w:r w:rsidR="002D052E" w:rsidRPr="00F82E89">
        <w:t>inputting</w:t>
      </w:r>
      <w:r w:rsidR="006A5DBF" w:rsidRPr="00F82E89">
        <w:t xml:space="preserve"> heterogeneity and stationarity</w:t>
      </w:r>
      <w:r w:rsidR="002D052E" w:rsidRPr="00F82E89">
        <w:t xml:space="preserve"> into a</w:t>
      </w:r>
      <w:r w:rsidR="003578CB">
        <w:t xml:space="preserve"> three dimensional</w:t>
      </w:r>
      <w:r w:rsidR="002D052E" w:rsidRPr="00F82E89">
        <w:t xml:space="preserve"> training image. The concept of depositional conditioning is show</w:t>
      </w:r>
      <w:r w:rsidR="00A94B4F">
        <w:t>n</w:t>
      </w:r>
      <w:r w:rsidR="002D052E" w:rsidRPr="00F82E89">
        <w:t xml:space="preserve"> as a simple and standardized method of generating </w:t>
      </w:r>
      <w:r w:rsidR="000E5F17" w:rsidRPr="00F82E89">
        <w:t xml:space="preserve">geologically realistic </w:t>
      </w:r>
      <w:r w:rsidR="006A5DBF" w:rsidRPr="00F82E89">
        <w:t>training images</w:t>
      </w:r>
      <w:r w:rsidR="00A94B4F">
        <w:t>, based upon limited data</w:t>
      </w:r>
      <w:r w:rsidR="002D052E" w:rsidRPr="00F82E89">
        <w:t>. D</w:t>
      </w:r>
      <w:r w:rsidR="000E5F17" w:rsidRPr="00F82E89">
        <w:t xml:space="preserve">epositional conditioning uses </w:t>
      </w:r>
      <w:r w:rsidR="00A94B4F">
        <w:t xml:space="preserve">four categories </w:t>
      </w:r>
      <w:r w:rsidR="00BB5AD5">
        <w:t>inputting sedimentary properties</w:t>
      </w:r>
      <w:r w:rsidRPr="00F82E89">
        <w:t>: (1) spatial distribution of an architectural element relative to others, (2) 3D dimension of the respective depositional element; 3) geometric shape of the depositional elements and finally, (4) the proportion of a depositional element of the total reservoir volume</w:t>
      </w:r>
      <w:r w:rsidR="002D052E" w:rsidRPr="00F82E89">
        <w:t>.</w:t>
      </w:r>
      <w:r w:rsidRPr="00F82E89">
        <w:rPr>
          <w:rStyle w:val="Strong"/>
          <w:b w:val="0"/>
        </w:rPr>
        <w:t xml:space="preserve"> </w:t>
      </w:r>
    </w:p>
    <w:p w:rsidR="00D14E50" w:rsidRDefault="00A94B4F" w:rsidP="007A2C60">
      <w:r>
        <w:rPr>
          <w:rStyle w:val="Strong"/>
          <w:b w:val="0"/>
        </w:rPr>
        <w:t>A d</w:t>
      </w:r>
      <w:r w:rsidR="002D052E" w:rsidRPr="00F82E89">
        <w:rPr>
          <w:rStyle w:val="Strong"/>
          <w:b w:val="0"/>
        </w:rPr>
        <w:t>epositional</w:t>
      </w:r>
      <w:r>
        <w:rPr>
          <w:rStyle w:val="Strong"/>
          <w:b w:val="0"/>
        </w:rPr>
        <w:t>ly</w:t>
      </w:r>
      <w:r w:rsidR="002D052E" w:rsidRPr="00F82E89">
        <w:rPr>
          <w:rStyle w:val="Strong"/>
          <w:b w:val="0"/>
        </w:rPr>
        <w:t xml:space="preserve"> condition</w:t>
      </w:r>
      <w:r>
        <w:rPr>
          <w:rStyle w:val="Strong"/>
          <w:b w:val="0"/>
        </w:rPr>
        <w:t>ed</w:t>
      </w:r>
      <w:r w:rsidR="000E5F17" w:rsidRPr="00F82E89">
        <w:rPr>
          <w:rStyle w:val="Strong"/>
          <w:b w:val="0"/>
        </w:rPr>
        <w:t xml:space="preserve"> </w:t>
      </w:r>
      <w:r w:rsidR="003578CB">
        <w:rPr>
          <w:rStyle w:val="Strong"/>
          <w:b w:val="0"/>
        </w:rPr>
        <w:t xml:space="preserve">three dimensional </w:t>
      </w:r>
      <w:r w:rsidR="006A5DBF" w:rsidRPr="00F82E89">
        <w:rPr>
          <w:rStyle w:val="Strong"/>
          <w:b w:val="0"/>
        </w:rPr>
        <w:t>training image</w:t>
      </w:r>
      <w:r>
        <w:rPr>
          <w:rStyle w:val="Strong"/>
          <w:b w:val="0"/>
        </w:rPr>
        <w:t xml:space="preserve"> was produced from</w:t>
      </w:r>
      <w:r w:rsidR="002D052E" w:rsidRPr="00F82E89">
        <w:t xml:space="preserve"> architectural element scale</w:t>
      </w:r>
      <w:r>
        <w:t xml:space="preserve"> analysis of</w:t>
      </w:r>
      <w:r w:rsidR="002D052E" w:rsidRPr="00F82E89">
        <w:t xml:space="preserve"> heterogeneity within the Lower Castlegate Sandstone, Tuscher Canyon, Uta</w:t>
      </w:r>
      <w:r w:rsidR="006A5DBF" w:rsidRPr="00F82E89">
        <w:t>h</w:t>
      </w:r>
      <w:r>
        <w:t xml:space="preserve">, and the </w:t>
      </w:r>
      <w:r w:rsidR="002D052E" w:rsidRPr="00F82E89">
        <w:t>Jamuna River, northern India</w:t>
      </w:r>
      <w:r>
        <w:t>. The use of two datasets, one modern and one outcrop, allowed the training image to constrain the heterogeneity of the environment of deposition in three dimensions</w:t>
      </w:r>
      <w:r w:rsidR="003578CB">
        <w:t>, based upon limited input data</w:t>
      </w:r>
      <w:r>
        <w:t xml:space="preserve">. </w:t>
      </w:r>
      <w:r w:rsidR="007A2C60" w:rsidRPr="00F82E89">
        <w:t>After deterministic surfaces were generated from the input data to form a model framework,</w:t>
      </w:r>
      <w:r w:rsidR="002D052E" w:rsidRPr="00F82E89">
        <w:t xml:space="preserve"> </w:t>
      </w:r>
      <w:r w:rsidR="006A5DBF" w:rsidRPr="00F82E89">
        <w:t xml:space="preserve">10 iterations of </w:t>
      </w:r>
      <w:r w:rsidR="002D052E" w:rsidRPr="00F82E89">
        <w:t>multi-point statistic (MPS), sequential-indicator simulation (SIS) and object-based (OBM) reservoir models</w:t>
      </w:r>
      <w:r w:rsidR="007A2C60" w:rsidRPr="00F82E89">
        <w:rPr>
          <w:rStyle w:val="Strong"/>
          <w:b w:val="0"/>
        </w:rPr>
        <w:t xml:space="preserve"> were generated </w:t>
      </w:r>
      <w:r w:rsidR="002D052E" w:rsidRPr="00F82E89">
        <w:rPr>
          <w:rStyle w:val="Strong"/>
          <w:b w:val="0"/>
        </w:rPr>
        <w:t>and</w:t>
      </w:r>
      <w:r w:rsidR="007A2C60" w:rsidRPr="00F82E89">
        <w:t xml:space="preserve"> </w:t>
      </w:r>
      <w:r w:rsidR="00D14E50">
        <w:t>statically tested.</w:t>
      </w:r>
    </w:p>
    <w:p w:rsidR="007A2C60" w:rsidRPr="00F82E89" w:rsidRDefault="00D14E50" w:rsidP="007A2C60">
      <w:r>
        <w:t xml:space="preserve">Results </w:t>
      </w:r>
      <w:r w:rsidR="007A2C60" w:rsidRPr="00F82E89">
        <w:t>show</w:t>
      </w:r>
      <w:r w:rsidR="009B744E">
        <w:t>ed</w:t>
      </w:r>
      <w:r w:rsidR="007A2C60" w:rsidRPr="00F82E89">
        <w:t xml:space="preserve"> MPS </w:t>
      </w:r>
      <w:r w:rsidR="003578CB">
        <w:t xml:space="preserve">and OBM </w:t>
      </w:r>
      <w:r w:rsidR="007A2C60" w:rsidRPr="00F82E89">
        <w:t xml:space="preserve">models to have more geologically </w:t>
      </w:r>
      <w:r w:rsidR="002D052E" w:rsidRPr="00F82E89">
        <w:t>realistic element distributions. W</w:t>
      </w:r>
      <w:r w:rsidR="007A2C60" w:rsidRPr="00F82E89">
        <w:t>hilst similar connectivity means</w:t>
      </w:r>
      <w:r w:rsidR="006A5DBF" w:rsidRPr="00F82E89">
        <w:t xml:space="preserve"> w</w:t>
      </w:r>
      <w:r w:rsidR="002D052E" w:rsidRPr="00F82E89">
        <w:t>ere achieved</w:t>
      </w:r>
      <w:r w:rsidR="007A2C60" w:rsidRPr="00F82E89">
        <w:t>,</w:t>
      </w:r>
      <w:r w:rsidR="002D052E" w:rsidRPr="00F82E89">
        <w:t xml:space="preserve"> through the MPS and SIS generations,</w:t>
      </w:r>
      <w:r w:rsidR="007A2C60" w:rsidRPr="00F82E89">
        <w:t xml:space="preserve"> smaller ranges</w:t>
      </w:r>
      <w:r w:rsidR="002D052E" w:rsidRPr="00F82E89">
        <w:t xml:space="preserve"> were achieved through OBM and MPS</w:t>
      </w:r>
      <w:r w:rsidR="006A5DBF" w:rsidRPr="00F82E89">
        <w:t>-generated reservoir models</w:t>
      </w:r>
      <w:r w:rsidR="007A2C60" w:rsidRPr="00F82E89">
        <w:t>.</w:t>
      </w:r>
      <w:r>
        <w:t xml:space="preserve"> </w:t>
      </w:r>
      <w:r w:rsidR="00A94B4F">
        <w:t>This study presents</w:t>
      </w:r>
      <w:r w:rsidR="007A2C60" w:rsidRPr="00F82E89">
        <w:t xml:space="preserve"> one depositional environment, four architectural elements and </w:t>
      </w:r>
      <w:r w:rsidR="00A94B4F">
        <w:t>static testing of reservoir</w:t>
      </w:r>
      <w:r w:rsidR="007A2C60" w:rsidRPr="00F82E89">
        <w:t xml:space="preserve"> model</w:t>
      </w:r>
      <w:r w:rsidR="00A94B4F">
        <w:t>s</w:t>
      </w:r>
      <w:r w:rsidR="007A2C60" w:rsidRPr="00F82E89">
        <w:t xml:space="preserve">, </w:t>
      </w:r>
      <w:r w:rsidR="00A94B4F">
        <w:t>results show</w:t>
      </w:r>
      <w:r w:rsidR="009B744E">
        <w:t>ed</w:t>
      </w:r>
      <w:r w:rsidR="00A94B4F">
        <w:t xml:space="preserve"> that MPS </w:t>
      </w:r>
      <w:r w:rsidR="007A2C60" w:rsidRPr="00F82E89">
        <w:t>models c</w:t>
      </w:r>
      <w:r w:rsidR="009B744E">
        <w:t>ould</w:t>
      </w:r>
      <w:r w:rsidR="007A2C60" w:rsidRPr="00F82E89">
        <w:t xml:space="preserve"> be generated </w:t>
      </w:r>
      <w:r w:rsidR="002D052E" w:rsidRPr="00F82E89">
        <w:t>in a reproducible and realistic manner.</w:t>
      </w:r>
      <w:r w:rsidR="007A2C60" w:rsidRPr="00F82E89">
        <w:t xml:space="preserve"> The results demonstrate</w:t>
      </w:r>
      <w:r w:rsidR="006A5DBF" w:rsidRPr="00F82E89">
        <w:t>d</w:t>
      </w:r>
      <w:r w:rsidR="007A2C60" w:rsidRPr="00F82E89">
        <w:t xml:space="preserve"> real potential for the use of outcrop data libraries to improve reservoir model </w:t>
      </w:r>
      <w:r w:rsidR="002D052E" w:rsidRPr="00F82E89">
        <w:t xml:space="preserve">of architectural element scale </w:t>
      </w:r>
      <w:r w:rsidR="007A2C60" w:rsidRPr="00F82E89">
        <w:t>heterogeneity</w:t>
      </w:r>
      <w:r w:rsidR="002D052E" w:rsidRPr="00F82E89">
        <w:t>.</w:t>
      </w:r>
      <w:r w:rsidR="007A2C60" w:rsidRPr="00F82E89">
        <w:t xml:space="preserve"> Study implications suggest the reduction of uncertainty surrounding secondary and tertiary phases of production, which are commonly more susceptible to the influences of sedimentary heterogeneity.</w:t>
      </w:r>
    </w:p>
    <w:p w:rsidR="006B617F" w:rsidRPr="00F82E89" w:rsidRDefault="006B617F" w:rsidP="006B617F">
      <w:pPr>
        <w:pStyle w:val="Heading1"/>
      </w:pPr>
      <w:r w:rsidRPr="00F82E89">
        <w:t>Acknowledgements</w:t>
      </w:r>
    </w:p>
    <w:p w:rsidR="006B617F" w:rsidRPr="00F82E89" w:rsidRDefault="006B617F" w:rsidP="001E056F">
      <w:r w:rsidRPr="00F82E89">
        <w:t>Keele University Faculty of Natural Science Funding for Training and Transferable Skills are acknowledged for part-funding this study. The Basin Dynamics Research Group at Keele University are thanked for stimulating discussion and comments on the manuscript</w:t>
      </w:r>
      <w:r w:rsidR="005F2199">
        <w:t xml:space="preserve">. </w:t>
      </w:r>
      <w:r w:rsidR="005F2199" w:rsidRPr="005F2199">
        <w:rPr>
          <w:shd w:val="clear" w:color="auto" w:fill="FFFFFF"/>
        </w:rPr>
        <w:t>The second author would like to thank members of the FORCE consortium (AkerBP, BP, ConocoPhillips, DEA, ENGIE, ENI Norge, INEOS, Lundin Norway, Point Resources, Repsol, Statoil, Spirit Energy, Suncor Energy, Total and VNG Norge), the Norwegian Petroleum Directorate (NPD) and the Research Council of Norway’s Petromaks 2 project (project number 234111/E30) for funding through the SAFARI Phase 3 programme. Schlumberger are acknowledged for providing academic software licenses.</w:t>
      </w:r>
      <w:r w:rsidRPr="005F2199">
        <w:t xml:space="preserve"> </w:t>
      </w:r>
      <w:r w:rsidRPr="00F82E89">
        <w:t xml:space="preserve">David Hodgetts (Manchester Uni.) and Schlumberger Ltd. are thanked for providing academic licensing of VRGS and Petrel software respectively. </w:t>
      </w:r>
    </w:p>
    <w:p w:rsidR="007A2C60" w:rsidRPr="00F82E89" w:rsidRDefault="006B617F" w:rsidP="006B617F">
      <w:pPr>
        <w:pStyle w:val="Heading1"/>
      </w:pPr>
      <w:r w:rsidRPr="00F82E89">
        <w:t>References</w:t>
      </w:r>
    </w:p>
    <w:p w:rsidR="006C5BD1" w:rsidRPr="00F82E89" w:rsidRDefault="006C5BD1" w:rsidP="00DA2DE5">
      <w:pPr>
        <w:pStyle w:val="ListParagraph"/>
        <w:rPr>
          <w:shd w:val="clear" w:color="auto" w:fill="FFFFFF"/>
        </w:rPr>
      </w:pPr>
      <w:r w:rsidRPr="00F82E89">
        <w:rPr>
          <w:shd w:val="clear" w:color="auto" w:fill="FFFFFF"/>
        </w:rPr>
        <w:t>Adams, M.M. and Bhattacharya, J.P., 2005. No change in fluvial style across a sequence boundary, Cretaceous Blackhawk and Castlegate Formations of central Utah, USA. </w:t>
      </w:r>
      <w:r w:rsidR="00D44A0B" w:rsidRPr="00F82E89">
        <w:rPr>
          <w:iCs/>
          <w:shd w:val="clear" w:color="auto" w:fill="FFFFFF"/>
        </w:rPr>
        <w:t>J.</w:t>
      </w:r>
      <w:r w:rsidRPr="00F82E89">
        <w:rPr>
          <w:iCs/>
          <w:shd w:val="clear" w:color="auto" w:fill="FFFFFF"/>
        </w:rPr>
        <w:t xml:space="preserve"> Sediment</w:t>
      </w:r>
      <w:r w:rsidR="00D44A0B" w:rsidRPr="00F82E89">
        <w:rPr>
          <w:iCs/>
          <w:shd w:val="clear" w:color="auto" w:fill="FFFFFF"/>
        </w:rPr>
        <w:t>.</w:t>
      </w:r>
      <w:r w:rsidRPr="00F82E89">
        <w:rPr>
          <w:iCs/>
          <w:shd w:val="clear" w:color="auto" w:fill="FFFFFF"/>
        </w:rPr>
        <w:t xml:space="preserve"> Res</w:t>
      </w:r>
      <w:r w:rsidR="00D44A0B" w:rsidRPr="00F82E89">
        <w:rPr>
          <w:iCs/>
          <w:shd w:val="clear" w:color="auto" w:fill="FFFFFF"/>
        </w:rPr>
        <w:t>.</w:t>
      </w:r>
      <w:r w:rsidRPr="00F82E89">
        <w:rPr>
          <w:shd w:val="clear" w:color="auto" w:fill="FFFFFF"/>
        </w:rPr>
        <w:t>, </w:t>
      </w:r>
      <w:r w:rsidRPr="00F82E89">
        <w:rPr>
          <w:iCs/>
          <w:shd w:val="clear" w:color="auto" w:fill="FFFFFF"/>
        </w:rPr>
        <w:t>75</w:t>
      </w:r>
      <w:r w:rsidR="00D44A0B" w:rsidRPr="00F82E89">
        <w:rPr>
          <w:shd w:val="clear" w:color="auto" w:fill="FFFFFF"/>
        </w:rPr>
        <w:t xml:space="preserve">(6), </w:t>
      </w:r>
      <w:r w:rsidRPr="00F82E89">
        <w:rPr>
          <w:shd w:val="clear" w:color="auto" w:fill="FFFFFF"/>
        </w:rPr>
        <w:t>1038-1051</w:t>
      </w:r>
      <w:r w:rsidRPr="00F82E89">
        <w:t>.</w:t>
      </w:r>
      <w:r w:rsidR="00D44A0B" w:rsidRPr="00F82E89">
        <w:t xml:space="preserve"> </w:t>
      </w:r>
      <w:hyperlink r:id="rId40" w:tgtFrame="_blank" w:history="1">
        <w:r w:rsidR="00D44A0B" w:rsidRPr="00F82E89">
          <w:t>https://doi.org/10.2110/jsr.2005.080</w:t>
        </w:r>
      </w:hyperlink>
    </w:p>
    <w:p w:rsidR="006C5BD1" w:rsidRPr="00F82E89" w:rsidRDefault="006C5BD1" w:rsidP="00DA2DE5">
      <w:pPr>
        <w:pStyle w:val="ListParagraph"/>
        <w:rPr>
          <w:shd w:val="clear" w:color="auto" w:fill="FFFFFF"/>
        </w:rPr>
      </w:pPr>
      <w:r w:rsidRPr="00F82E89">
        <w:rPr>
          <w:shd w:val="clear" w:color="auto" w:fill="FFFFFF"/>
        </w:rPr>
        <w:t>Allen, J.R.L., 1983. Studies in fluviatile sedimentation: bars, bar-complexes and sandstone sheets (low-sinuosity braided streams) in the Brownstones (L. Devonian), Welsh Borders. </w:t>
      </w:r>
      <w:r w:rsidRPr="00F82E89">
        <w:rPr>
          <w:iCs/>
          <w:shd w:val="clear" w:color="auto" w:fill="FFFFFF"/>
        </w:rPr>
        <w:t>Sed</w:t>
      </w:r>
      <w:r w:rsidR="00D44A0B" w:rsidRPr="00F82E89">
        <w:rPr>
          <w:iCs/>
          <w:shd w:val="clear" w:color="auto" w:fill="FFFFFF"/>
        </w:rPr>
        <w:t>iment.</w:t>
      </w:r>
      <w:r w:rsidRPr="00F82E89">
        <w:rPr>
          <w:iCs/>
          <w:shd w:val="clear" w:color="auto" w:fill="FFFFFF"/>
        </w:rPr>
        <w:t xml:space="preserve"> Geo</w:t>
      </w:r>
      <w:r w:rsidR="00D44A0B" w:rsidRPr="00F82E89">
        <w:rPr>
          <w:iCs/>
          <w:shd w:val="clear" w:color="auto" w:fill="FFFFFF"/>
        </w:rPr>
        <w:t>l.</w:t>
      </w:r>
      <w:r w:rsidRPr="00F82E89">
        <w:rPr>
          <w:shd w:val="clear" w:color="auto" w:fill="FFFFFF"/>
        </w:rPr>
        <w:t>, </w:t>
      </w:r>
      <w:r w:rsidRPr="00F82E89">
        <w:rPr>
          <w:iCs/>
          <w:shd w:val="clear" w:color="auto" w:fill="FFFFFF"/>
        </w:rPr>
        <w:t>33</w:t>
      </w:r>
      <w:r w:rsidR="00D44A0B" w:rsidRPr="00F82E89">
        <w:rPr>
          <w:shd w:val="clear" w:color="auto" w:fill="FFFFFF"/>
        </w:rPr>
        <w:t xml:space="preserve">(4), </w:t>
      </w:r>
      <w:r w:rsidRPr="00F82E89">
        <w:rPr>
          <w:shd w:val="clear" w:color="auto" w:fill="FFFFFF"/>
        </w:rPr>
        <w:t>237-293.</w:t>
      </w:r>
      <w:r w:rsidR="00D44A0B" w:rsidRPr="00F82E89">
        <w:rPr>
          <w:shd w:val="clear" w:color="auto" w:fill="FFFFFF"/>
        </w:rPr>
        <w:t xml:space="preserve"> </w:t>
      </w:r>
      <w:hyperlink r:id="rId41" w:tgtFrame="_blank" w:tooltip="Persistent link using digital object identifier" w:history="1">
        <w:r w:rsidR="00D44A0B" w:rsidRPr="00F82E89">
          <w:t>https://doi.org/10.1016/0037-0738(83)90076-3</w:t>
        </w:r>
      </w:hyperlink>
    </w:p>
    <w:p w:rsidR="006C5BD1" w:rsidRPr="00F82E89" w:rsidRDefault="006C5BD1" w:rsidP="00DA2DE5">
      <w:pPr>
        <w:pStyle w:val="ListParagraph"/>
        <w:rPr>
          <w:szCs w:val="24"/>
          <w:shd w:val="clear" w:color="auto" w:fill="FFFFFF"/>
        </w:rPr>
      </w:pPr>
      <w:r w:rsidRPr="00F82E89">
        <w:rPr>
          <w:szCs w:val="24"/>
          <w:shd w:val="clear" w:color="auto" w:fill="FFFFFF"/>
        </w:rPr>
        <w:t>Ashworth, P.J., Best, J.L., Roden, J.E., Bristow, C.S. and Klaassen, G.J., 2000. Morphological evolution and dynamics of a large, sand braid</w:t>
      </w:r>
      <w:r w:rsidRPr="00F82E89">
        <w:rPr>
          <w:rFonts w:ascii="Cambria Math" w:hAnsi="Cambria Math" w:cs="Cambria Math"/>
          <w:szCs w:val="24"/>
          <w:shd w:val="clear" w:color="auto" w:fill="FFFFFF"/>
        </w:rPr>
        <w:t>‐</w:t>
      </w:r>
      <w:r w:rsidRPr="00F82E89">
        <w:rPr>
          <w:szCs w:val="24"/>
          <w:shd w:val="clear" w:color="auto" w:fill="FFFFFF"/>
        </w:rPr>
        <w:t>bar, Jamuna River, Bangladesh. </w:t>
      </w:r>
      <w:r w:rsidRPr="00F82E89">
        <w:rPr>
          <w:iCs/>
          <w:szCs w:val="24"/>
          <w:shd w:val="clear" w:color="auto" w:fill="FFFFFF"/>
        </w:rPr>
        <w:t>Sedimentology</w:t>
      </w:r>
      <w:r w:rsidRPr="00F82E89">
        <w:rPr>
          <w:szCs w:val="24"/>
          <w:shd w:val="clear" w:color="auto" w:fill="FFFFFF"/>
        </w:rPr>
        <w:t>, </w:t>
      </w:r>
      <w:r w:rsidRPr="00F82E89">
        <w:rPr>
          <w:iCs/>
          <w:szCs w:val="24"/>
          <w:shd w:val="clear" w:color="auto" w:fill="FFFFFF"/>
        </w:rPr>
        <w:t>47</w:t>
      </w:r>
      <w:r w:rsidR="00D44A0B" w:rsidRPr="00F82E89">
        <w:rPr>
          <w:szCs w:val="24"/>
          <w:shd w:val="clear" w:color="auto" w:fill="FFFFFF"/>
        </w:rPr>
        <w:t xml:space="preserve">(3), </w:t>
      </w:r>
      <w:r w:rsidRPr="00F82E89">
        <w:rPr>
          <w:szCs w:val="24"/>
          <w:shd w:val="clear" w:color="auto" w:fill="FFFFFF"/>
        </w:rPr>
        <w:t>533-555.</w:t>
      </w:r>
      <w:r w:rsidR="00D44A0B" w:rsidRPr="00F82E89">
        <w:rPr>
          <w:szCs w:val="24"/>
          <w:shd w:val="clear" w:color="auto" w:fill="FFFFFF"/>
        </w:rPr>
        <w:t xml:space="preserve"> </w:t>
      </w:r>
      <w:hyperlink r:id="rId42" w:history="1">
        <w:r w:rsidR="00D44A0B" w:rsidRPr="00F82E89">
          <w:t>https://doi.org/10.1046/j.1365-3091.2000.00305.x</w:t>
        </w:r>
      </w:hyperlink>
    </w:p>
    <w:p w:rsidR="006C5BD1" w:rsidRPr="00F82E89" w:rsidRDefault="006C5BD1" w:rsidP="00DA2DE5">
      <w:pPr>
        <w:pStyle w:val="ListParagraph"/>
        <w:rPr>
          <w:szCs w:val="24"/>
          <w:lang w:val="en-US" w:eastAsia="zh-CN" w:bidi="hi-IN"/>
        </w:rPr>
      </w:pPr>
      <w:r w:rsidRPr="00F82E89">
        <w:rPr>
          <w:szCs w:val="24"/>
        </w:rPr>
        <w:t xml:space="preserve">Bemis, S.P., Micklethwaite, S., Turner, D., James, M.R., Akciz, S., Thiele, S.T. &amp; Bangash, H.A. 2014. Ground-based and UAV-based photogrammetry: A multi-scale, high-resolution mapping tool for structural geology and paleoseismology. </w:t>
      </w:r>
      <w:r w:rsidRPr="00F82E89">
        <w:rPr>
          <w:iCs/>
          <w:szCs w:val="24"/>
        </w:rPr>
        <w:t>J</w:t>
      </w:r>
      <w:r w:rsidR="00D44A0B" w:rsidRPr="00F82E89">
        <w:rPr>
          <w:iCs/>
          <w:szCs w:val="24"/>
        </w:rPr>
        <w:t>.</w:t>
      </w:r>
      <w:r w:rsidRPr="00F82E89">
        <w:rPr>
          <w:iCs/>
          <w:szCs w:val="24"/>
        </w:rPr>
        <w:t xml:space="preserve"> Struc</w:t>
      </w:r>
      <w:r w:rsidR="00D44A0B" w:rsidRPr="00F82E89">
        <w:rPr>
          <w:iCs/>
          <w:szCs w:val="24"/>
        </w:rPr>
        <w:t>t.</w:t>
      </w:r>
      <w:r w:rsidRPr="00F82E89">
        <w:rPr>
          <w:iCs/>
          <w:szCs w:val="24"/>
        </w:rPr>
        <w:t xml:space="preserve"> Geo</w:t>
      </w:r>
      <w:r w:rsidR="00D44A0B" w:rsidRPr="00F82E89">
        <w:rPr>
          <w:iCs/>
          <w:szCs w:val="24"/>
        </w:rPr>
        <w:t>l.</w:t>
      </w:r>
      <w:r w:rsidRPr="00F82E89">
        <w:rPr>
          <w:szCs w:val="24"/>
        </w:rPr>
        <w:t xml:space="preserve">, </w:t>
      </w:r>
      <w:r w:rsidRPr="00F82E89">
        <w:rPr>
          <w:bCs/>
          <w:szCs w:val="24"/>
        </w:rPr>
        <w:t>69</w:t>
      </w:r>
      <w:r w:rsidRPr="00F82E89">
        <w:rPr>
          <w:szCs w:val="24"/>
        </w:rPr>
        <w:t>, 163-178.</w:t>
      </w:r>
      <w:r w:rsidR="007F3DF8" w:rsidRPr="00F82E89">
        <w:rPr>
          <w:szCs w:val="24"/>
        </w:rPr>
        <w:t xml:space="preserve"> </w:t>
      </w:r>
      <w:hyperlink r:id="rId43" w:tgtFrame="_blank" w:tooltip="Persistent link using digital object identifier" w:history="1">
        <w:r w:rsidR="007F3DF8" w:rsidRPr="00F82E89">
          <w:t>https://doi.org/10.1016/j.jsg.2014.10.007</w:t>
        </w:r>
      </w:hyperlink>
    </w:p>
    <w:p w:rsidR="006C5BD1" w:rsidRPr="00F82E89" w:rsidRDefault="006C5BD1" w:rsidP="00DA2DE5">
      <w:pPr>
        <w:pStyle w:val="ListParagraph"/>
        <w:rPr>
          <w:szCs w:val="24"/>
          <w:shd w:val="clear" w:color="auto" w:fill="FFFFFF"/>
        </w:rPr>
      </w:pPr>
      <w:r w:rsidRPr="00F82E89">
        <w:rPr>
          <w:szCs w:val="24"/>
          <w:shd w:val="clear" w:color="auto" w:fill="FFFFFF"/>
        </w:rPr>
        <w:t>Best, J.L., Ashworth, P.J., Bristow, C.S. and Roden, J., 2003. Three-dimensional sedimentary architecture of a large, mid-channel sand braid bar, Jamuna River, Bangladesh. </w:t>
      </w:r>
      <w:r w:rsidRPr="00F82E89">
        <w:rPr>
          <w:iCs/>
          <w:szCs w:val="24"/>
          <w:shd w:val="clear" w:color="auto" w:fill="FFFFFF"/>
        </w:rPr>
        <w:t>J</w:t>
      </w:r>
      <w:r w:rsidR="00D44A0B" w:rsidRPr="00F82E89">
        <w:rPr>
          <w:iCs/>
          <w:szCs w:val="24"/>
          <w:shd w:val="clear" w:color="auto" w:fill="FFFFFF"/>
        </w:rPr>
        <w:t>.</w:t>
      </w:r>
      <w:r w:rsidRPr="00F82E89">
        <w:rPr>
          <w:iCs/>
          <w:szCs w:val="24"/>
          <w:shd w:val="clear" w:color="auto" w:fill="FFFFFF"/>
        </w:rPr>
        <w:t xml:space="preserve"> Sediment</w:t>
      </w:r>
      <w:r w:rsidR="00D44A0B" w:rsidRPr="00F82E89">
        <w:rPr>
          <w:iCs/>
          <w:szCs w:val="24"/>
          <w:shd w:val="clear" w:color="auto" w:fill="FFFFFF"/>
        </w:rPr>
        <w:t>.</w:t>
      </w:r>
      <w:r w:rsidRPr="00F82E89">
        <w:rPr>
          <w:iCs/>
          <w:szCs w:val="24"/>
          <w:shd w:val="clear" w:color="auto" w:fill="FFFFFF"/>
        </w:rPr>
        <w:t xml:space="preserve"> Res</w:t>
      </w:r>
      <w:r w:rsidR="00D44A0B" w:rsidRPr="00F82E89">
        <w:rPr>
          <w:iCs/>
          <w:szCs w:val="24"/>
          <w:shd w:val="clear" w:color="auto" w:fill="FFFFFF"/>
        </w:rPr>
        <w:t>.,</w:t>
      </w:r>
      <w:r w:rsidRPr="00F82E89">
        <w:rPr>
          <w:szCs w:val="24"/>
          <w:shd w:val="clear" w:color="auto" w:fill="FFFFFF"/>
        </w:rPr>
        <w:t> </w:t>
      </w:r>
      <w:r w:rsidRPr="00F82E89">
        <w:rPr>
          <w:iCs/>
          <w:szCs w:val="24"/>
          <w:shd w:val="clear" w:color="auto" w:fill="FFFFFF"/>
        </w:rPr>
        <w:t>73</w:t>
      </w:r>
      <w:r w:rsidR="00D44A0B" w:rsidRPr="00F82E89">
        <w:rPr>
          <w:szCs w:val="24"/>
          <w:shd w:val="clear" w:color="auto" w:fill="FFFFFF"/>
        </w:rPr>
        <w:t xml:space="preserve">(4), </w:t>
      </w:r>
      <w:r w:rsidRPr="00F82E89">
        <w:rPr>
          <w:szCs w:val="24"/>
          <w:shd w:val="clear" w:color="auto" w:fill="FFFFFF"/>
        </w:rPr>
        <w:t>516-530.</w:t>
      </w:r>
      <w:r w:rsidR="007F3DF8" w:rsidRPr="00F82E89">
        <w:rPr>
          <w:szCs w:val="24"/>
          <w:shd w:val="clear" w:color="auto" w:fill="FFFFFF"/>
        </w:rPr>
        <w:t xml:space="preserve"> </w:t>
      </w:r>
      <w:hyperlink r:id="rId44" w:tgtFrame="_blank" w:history="1">
        <w:r w:rsidR="007F3DF8" w:rsidRPr="00F82E89">
          <w:t>https://doi.org/10.1306/010603730516</w:t>
        </w:r>
      </w:hyperlink>
    </w:p>
    <w:p w:rsidR="00856AF3" w:rsidRPr="00F82E89" w:rsidRDefault="004D430F" w:rsidP="001E056F">
      <w:pPr>
        <w:pStyle w:val="ListParagraph"/>
        <w:rPr>
          <w:shd w:val="clear" w:color="auto" w:fill="FFFFFF"/>
        </w:rPr>
      </w:pPr>
      <w:r w:rsidRPr="001E056F">
        <w:rPr>
          <w:shd w:val="clear" w:color="auto" w:fill="FFFFFF"/>
        </w:rPr>
        <w:t>Best</w:t>
      </w:r>
      <w:r w:rsidRPr="00F82E89">
        <w:rPr>
          <w:shd w:val="clear" w:color="auto" w:fill="FFFFFF"/>
        </w:rPr>
        <w:t>, J.L., Ashworth, P.J., Sarker, M.H. and Roden, J.E., 2007. The Brahmaputra-Jamuna River, Bangladesh. </w:t>
      </w:r>
      <w:r w:rsidR="00856AF3" w:rsidRPr="00F82E89">
        <w:rPr>
          <w:shd w:val="clear" w:color="auto" w:fill="FFFFFF"/>
        </w:rPr>
        <w:t xml:space="preserve">In: Gupta, A. (Ed.), </w:t>
      </w:r>
      <w:r w:rsidRPr="00F82E89">
        <w:t>Large rivers: geomorphology and management</w:t>
      </w:r>
      <w:r w:rsidR="00856AF3" w:rsidRPr="00F82E89">
        <w:t>. John Wiley &amp; Son, West Sussex,</w:t>
      </w:r>
      <w:r w:rsidR="007F3DF8" w:rsidRPr="00F82E89">
        <w:rPr>
          <w:shd w:val="clear" w:color="auto" w:fill="FFFFFF"/>
        </w:rPr>
        <w:t xml:space="preserve"> </w:t>
      </w:r>
      <w:r w:rsidRPr="00F82E89">
        <w:rPr>
          <w:shd w:val="clear" w:color="auto" w:fill="FFFFFF"/>
        </w:rPr>
        <w:t>395-430.</w:t>
      </w:r>
      <w:r w:rsidR="007F3DF8" w:rsidRPr="00F82E89">
        <w:rPr>
          <w:shd w:val="clear" w:color="auto" w:fill="FFFFFF"/>
        </w:rPr>
        <w:t xml:space="preserve"> </w:t>
      </w:r>
    </w:p>
    <w:p w:rsidR="006C5BD1" w:rsidRPr="00F82E89" w:rsidRDefault="006C5BD1" w:rsidP="00F211F1">
      <w:pPr>
        <w:pStyle w:val="ListParagraph"/>
        <w:rPr>
          <w:szCs w:val="24"/>
          <w:shd w:val="clear" w:color="auto" w:fill="FFFFFF"/>
        </w:rPr>
      </w:pPr>
      <w:r w:rsidRPr="00F82E89">
        <w:rPr>
          <w:szCs w:val="24"/>
        </w:rPr>
        <w:t>Bridge, J.S., 2003. Rivers and Floodplains. Forms, Processes, and Sedimentary Record. Blackwell, Oxford.</w:t>
      </w:r>
    </w:p>
    <w:p w:rsidR="006C5BD1" w:rsidRPr="00F82E89" w:rsidRDefault="006C5BD1" w:rsidP="00856AF3">
      <w:pPr>
        <w:pStyle w:val="ListParagraph"/>
        <w:rPr>
          <w:shd w:val="clear" w:color="auto" w:fill="FFFFFF"/>
        </w:rPr>
      </w:pPr>
      <w:r w:rsidRPr="00F82E89">
        <w:rPr>
          <w:shd w:val="clear" w:color="auto" w:fill="FFFFFF"/>
        </w:rPr>
        <w:t>Bristow, C.S., 1993. Sedimentary structures exposed in bar tops in the Brahmaputra River, Bangladesh. </w:t>
      </w:r>
      <w:r w:rsidRPr="00F82E89">
        <w:rPr>
          <w:iCs/>
          <w:shd w:val="clear" w:color="auto" w:fill="FFFFFF"/>
        </w:rPr>
        <w:t>Geol</w:t>
      </w:r>
      <w:r w:rsidR="00856AF3" w:rsidRPr="00F82E89">
        <w:rPr>
          <w:iCs/>
          <w:shd w:val="clear" w:color="auto" w:fill="FFFFFF"/>
        </w:rPr>
        <w:t>.</w:t>
      </w:r>
      <w:r w:rsidRPr="00F82E89">
        <w:rPr>
          <w:iCs/>
          <w:shd w:val="clear" w:color="auto" w:fill="FFFFFF"/>
        </w:rPr>
        <w:t xml:space="preserve"> Soc</w:t>
      </w:r>
      <w:r w:rsidR="00856AF3" w:rsidRPr="00F82E89">
        <w:rPr>
          <w:iCs/>
          <w:shd w:val="clear" w:color="auto" w:fill="FFFFFF"/>
        </w:rPr>
        <w:t>.</w:t>
      </w:r>
      <w:r w:rsidRPr="00F82E89">
        <w:rPr>
          <w:iCs/>
          <w:shd w:val="clear" w:color="auto" w:fill="FFFFFF"/>
        </w:rPr>
        <w:t xml:space="preserve"> Spec</w:t>
      </w:r>
      <w:r w:rsidR="00856AF3" w:rsidRPr="00F82E89">
        <w:rPr>
          <w:iCs/>
          <w:shd w:val="clear" w:color="auto" w:fill="FFFFFF"/>
        </w:rPr>
        <w:t>.</w:t>
      </w:r>
      <w:r w:rsidRPr="00F82E89">
        <w:rPr>
          <w:iCs/>
          <w:shd w:val="clear" w:color="auto" w:fill="FFFFFF"/>
        </w:rPr>
        <w:t xml:space="preserve"> Pub</w:t>
      </w:r>
      <w:r w:rsidR="00856AF3" w:rsidRPr="00F82E89">
        <w:rPr>
          <w:iCs/>
          <w:shd w:val="clear" w:color="auto" w:fill="FFFFFF"/>
        </w:rPr>
        <w:t xml:space="preserve">. </w:t>
      </w:r>
      <w:r w:rsidRPr="00F82E89">
        <w:rPr>
          <w:iCs/>
          <w:shd w:val="clear" w:color="auto" w:fill="FFFFFF"/>
        </w:rPr>
        <w:t>75</w:t>
      </w:r>
      <w:r w:rsidRPr="00F82E89">
        <w:rPr>
          <w:shd w:val="clear" w:color="auto" w:fill="FFFFFF"/>
        </w:rPr>
        <w:t>(1), pp.277-289.</w:t>
      </w:r>
      <w:r w:rsidR="00856AF3" w:rsidRPr="00F82E89">
        <w:rPr>
          <w:shd w:val="clear" w:color="auto" w:fill="FFFFFF"/>
        </w:rPr>
        <w:t xml:space="preserve"> </w:t>
      </w:r>
      <w:r w:rsidR="00856AF3" w:rsidRPr="00F82E89">
        <w:t>https://doi.org/10.1144/GSL.SP.1993.075.01.17</w:t>
      </w:r>
    </w:p>
    <w:p w:rsidR="006C5BD1" w:rsidRPr="00F82E89" w:rsidRDefault="006C5BD1" w:rsidP="00F211F1">
      <w:pPr>
        <w:pStyle w:val="ListParagraph"/>
        <w:rPr>
          <w:szCs w:val="24"/>
          <w:shd w:val="clear" w:color="auto" w:fill="FFFFFF"/>
        </w:rPr>
      </w:pPr>
      <w:r w:rsidRPr="00F82E89">
        <w:rPr>
          <w:szCs w:val="24"/>
          <w:shd w:val="clear" w:color="auto" w:fill="FFFFFF"/>
        </w:rPr>
        <w:t>Bristow, C.S., Smith, N. and Rogers, J., 1999. Gradual avulsion, river metamorphosis and reworking by underfit streams: a modern example from the Brahmaputra River in Bangladesh and a possible ancient example in the Spanish Pyrenees. </w:t>
      </w:r>
      <w:r w:rsidR="00856AF3" w:rsidRPr="00F82E89">
        <w:rPr>
          <w:szCs w:val="24"/>
          <w:shd w:val="clear" w:color="auto" w:fill="FFFFFF"/>
        </w:rPr>
        <w:t xml:space="preserve">In: Smith, N.D. and Rogers, J. (Eds.), </w:t>
      </w:r>
      <w:r w:rsidRPr="00F82E89">
        <w:rPr>
          <w:iCs/>
          <w:szCs w:val="24"/>
          <w:shd w:val="clear" w:color="auto" w:fill="FFFFFF"/>
        </w:rPr>
        <w:t>Fluvial sedimentology VI</w:t>
      </w:r>
      <w:r w:rsidRPr="00F82E89">
        <w:rPr>
          <w:szCs w:val="24"/>
          <w:shd w:val="clear" w:color="auto" w:fill="FFFFFF"/>
        </w:rPr>
        <w:t>, </w:t>
      </w:r>
      <w:r w:rsidRPr="00F82E89">
        <w:rPr>
          <w:iCs/>
          <w:szCs w:val="24"/>
          <w:shd w:val="clear" w:color="auto" w:fill="FFFFFF"/>
        </w:rPr>
        <w:t>28</w:t>
      </w:r>
      <w:r w:rsidRPr="00F82E89">
        <w:rPr>
          <w:szCs w:val="24"/>
          <w:shd w:val="clear" w:color="auto" w:fill="FFFFFF"/>
        </w:rPr>
        <w:t>, 221</w:t>
      </w:r>
      <w:r w:rsidR="00856AF3" w:rsidRPr="00F82E89">
        <w:rPr>
          <w:szCs w:val="24"/>
          <w:shd w:val="clear" w:color="auto" w:fill="FFFFFF"/>
        </w:rPr>
        <w:t>-</w:t>
      </w:r>
      <w:r w:rsidRPr="00F82E89">
        <w:rPr>
          <w:szCs w:val="24"/>
          <w:shd w:val="clear" w:color="auto" w:fill="FFFFFF"/>
        </w:rPr>
        <w:t>230.</w:t>
      </w:r>
      <w:r w:rsidR="00856AF3" w:rsidRPr="00F82E89">
        <w:rPr>
          <w:szCs w:val="24"/>
          <w:shd w:val="clear" w:color="auto" w:fill="FFFFFF"/>
        </w:rPr>
        <w:t xml:space="preserve"> </w:t>
      </w:r>
      <w:hyperlink r:id="rId45" w:history="1">
        <w:r w:rsidR="00856AF3" w:rsidRPr="00F82E89">
          <w:t>https://doi.org/10.1002/9781444304213.ch17</w:t>
        </w:r>
      </w:hyperlink>
    </w:p>
    <w:p w:rsidR="00856AF3" w:rsidRPr="00F82E89" w:rsidRDefault="006C5BD1" w:rsidP="00F211F1">
      <w:pPr>
        <w:pStyle w:val="ListParagraph"/>
        <w:rPr>
          <w:szCs w:val="24"/>
        </w:rPr>
      </w:pPr>
      <w:r w:rsidRPr="00F82E89">
        <w:rPr>
          <w:szCs w:val="24"/>
        </w:rPr>
        <w:t xml:space="preserve">Buckley, S., Howell, J.A., Enge, H.D., Leren, B.L.S. &amp; Kurz, T.H. 2006. Integration ofterrestrial laser scanning, digital photogrammetry and geostatistical methods for high-resolution modelling of geological outcrops. </w:t>
      </w:r>
      <w:r w:rsidRPr="00F82E89">
        <w:rPr>
          <w:iCs/>
          <w:szCs w:val="24"/>
        </w:rPr>
        <w:t xml:space="preserve">In: The International Archives of the photogrammetry, Remote Sensing and Spatial Information Sciences. </w:t>
      </w:r>
      <w:r w:rsidRPr="00F82E89">
        <w:rPr>
          <w:szCs w:val="24"/>
        </w:rPr>
        <w:t xml:space="preserve">Dresden, Germany. </w:t>
      </w:r>
    </w:p>
    <w:p w:rsidR="004D430F" w:rsidRDefault="008D1C1C" w:rsidP="00F72781">
      <w:pPr>
        <w:pStyle w:val="ListParagraph"/>
      </w:pPr>
      <w:r w:rsidRPr="00F82E89">
        <w:rPr>
          <w:shd w:val="clear" w:color="auto" w:fill="FFFFFF"/>
        </w:rPr>
        <w:t>Burns, C.E., Mountney, N.P., Hodgson, D.M. and Colombera, L., 2017. Anatomy and dimensions of fluvial crevasse-splay deposits: Examples from the Cretaceous Castlegate Sandstone and Neslen Formation, Utah, USA. </w:t>
      </w:r>
      <w:r w:rsidRPr="00F82E89">
        <w:t>Sediment</w:t>
      </w:r>
      <w:r w:rsidR="00856AF3" w:rsidRPr="00F82E89">
        <w:t>.</w:t>
      </w:r>
      <w:r w:rsidRPr="00F82E89">
        <w:t xml:space="preserve"> Geol</w:t>
      </w:r>
      <w:r w:rsidR="009E38E5" w:rsidRPr="00F82E89">
        <w:t>.</w:t>
      </w:r>
      <w:r w:rsidRPr="00F82E89">
        <w:rPr>
          <w:shd w:val="clear" w:color="auto" w:fill="FFFFFF"/>
        </w:rPr>
        <w:t>, </w:t>
      </w:r>
      <w:r w:rsidRPr="00F82E89">
        <w:t>351</w:t>
      </w:r>
      <w:r w:rsidRPr="00F82E89">
        <w:rPr>
          <w:shd w:val="clear" w:color="auto" w:fill="FFFFFF"/>
        </w:rPr>
        <w:t>, 21-35.</w:t>
      </w:r>
      <w:r w:rsidR="009E38E5" w:rsidRPr="00F82E89">
        <w:rPr>
          <w:shd w:val="clear" w:color="auto" w:fill="FFFFFF"/>
        </w:rPr>
        <w:t xml:space="preserve"> </w:t>
      </w:r>
      <w:hyperlink r:id="rId46" w:tgtFrame="_blank" w:tooltip="Persistent link using digital object identifier" w:history="1">
        <w:r w:rsidR="009E38E5" w:rsidRPr="00F82E89">
          <w:t>https://doi.org/10.1016/j.sedgeo.2017.02.003</w:t>
        </w:r>
      </w:hyperlink>
    </w:p>
    <w:p w:rsidR="00446DF4" w:rsidRPr="00446DF4" w:rsidRDefault="00446DF4" w:rsidP="00446DF4">
      <w:pPr>
        <w:pStyle w:val="ListParagraph"/>
        <w:rPr>
          <w:szCs w:val="24"/>
          <w:shd w:val="clear" w:color="auto" w:fill="FFFFFF"/>
        </w:rPr>
      </w:pPr>
      <w:r>
        <w:rPr>
          <w:shd w:val="clear" w:color="auto" w:fill="FFFFFF"/>
        </w:rPr>
        <w:t>Cabello, P., Lopez, C., Gamba, N., Dussán, M.I., Torres, E., Ballesteros-Torres, C.I., Cantisano, M.T., Marfisi, N., Calvo, R., Vázquez-Taset, Y.M., Ramos, E., 2018a. An integrated approach to define new plays in mature oil basins: the example from the Middle Magdalena Valley basin (Colombia). AAPG Bull. 102, 2201 - 2238. https://doi.org/10.1306/03291816528</w:t>
      </w:r>
    </w:p>
    <w:p w:rsidR="006C5BD1" w:rsidRPr="00F82E89" w:rsidRDefault="006C5BD1" w:rsidP="00F211F1">
      <w:pPr>
        <w:pStyle w:val="ListParagraph"/>
        <w:rPr>
          <w:szCs w:val="24"/>
          <w:lang w:val="en-US" w:eastAsia="zh-CN" w:bidi="hi-IN"/>
        </w:rPr>
      </w:pPr>
      <w:r w:rsidRPr="00F82E89">
        <w:rPr>
          <w:szCs w:val="24"/>
          <w:shd w:val="clear" w:color="auto" w:fill="FFFFFF"/>
        </w:rPr>
        <w:t>Cabello, P., Domínguez, D., Murillo-López, M.H., López-Blanco, M., García-Sellés, D., Cuevas, J.L., Marzo, M. and Arbués, P., 2018</w:t>
      </w:r>
      <w:r w:rsidR="00446DF4">
        <w:rPr>
          <w:szCs w:val="24"/>
          <w:shd w:val="clear" w:color="auto" w:fill="FFFFFF"/>
        </w:rPr>
        <w:t>b</w:t>
      </w:r>
      <w:r w:rsidRPr="00F82E89">
        <w:rPr>
          <w:szCs w:val="24"/>
          <w:shd w:val="clear" w:color="auto" w:fill="FFFFFF"/>
        </w:rPr>
        <w:t>. From conventional outcrop datasets and digital outcrop models to flow simulation in the Pont de Montanyana point-bar deposits (Ypresian, Southern Pyrenees). </w:t>
      </w:r>
      <w:r w:rsidRPr="00F82E89">
        <w:rPr>
          <w:iCs/>
          <w:szCs w:val="24"/>
          <w:shd w:val="clear" w:color="auto" w:fill="FFFFFF"/>
        </w:rPr>
        <w:t>Mar</w:t>
      </w:r>
      <w:r w:rsidR="009E38E5" w:rsidRPr="00F82E89">
        <w:rPr>
          <w:iCs/>
          <w:szCs w:val="24"/>
          <w:shd w:val="clear" w:color="auto" w:fill="FFFFFF"/>
        </w:rPr>
        <w:t>.</w:t>
      </w:r>
      <w:r w:rsidRPr="00F82E89">
        <w:rPr>
          <w:iCs/>
          <w:szCs w:val="24"/>
          <w:shd w:val="clear" w:color="auto" w:fill="FFFFFF"/>
        </w:rPr>
        <w:t xml:space="preserve"> Petrol</w:t>
      </w:r>
      <w:r w:rsidR="009E38E5" w:rsidRPr="00F82E89">
        <w:rPr>
          <w:iCs/>
          <w:szCs w:val="24"/>
          <w:shd w:val="clear" w:color="auto" w:fill="FFFFFF"/>
        </w:rPr>
        <w:t>.</w:t>
      </w:r>
      <w:r w:rsidRPr="00F82E89">
        <w:rPr>
          <w:iCs/>
          <w:szCs w:val="24"/>
          <w:shd w:val="clear" w:color="auto" w:fill="FFFFFF"/>
        </w:rPr>
        <w:t xml:space="preserve"> Geol</w:t>
      </w:r>
      <w:r w:rsidR="009E38E5" w:rsidRPr="00F82E89">
        <w:rPr>
          <w:iCs/>
          <w:szCs w:val="24"/>
          <w:shd w:val="clear" w:color="auto" w:fill="FFFFFF"/>
        </w:rPr>
        <w:t>.</w:t>
      </w:r>
      <w:r w:rsidRPr="00F82E89">
        <w:rPr>
          <w:szCs w:val="24"/>
          <w:shd w:val="clear" w:color="auto" w:fill="FFFFFF"/>
        </w:rPr>
        <w:t>, </w:t>
      </w:r>
      <w:r w:rsidRPr="00F82E89">
        <w:rPr>
          <w:iCs/>
          <w:szCs w:val="24"/>
          <w:shd w:val="clear" w:color="auto" w:fill="FFFFFF"/>
        </w:rPr>
        <w:t>94</w:t>
      </w:r>
      <w:r w:rsidRPr="00F82E89">
        <w:rPr>
          <w:szCs w:val="24"/>
          <w:shd w:val="clear" w:color="auto" w:fill="FFFFFF"/>
        </w:rPr>
        <w:t>, pp.19-42.</w:t>
      </w:r>
      <w:r w:rsidR="009E38E5" w:rsidRPr="00F82E89">
        <w:rPr>
          <w:szCs w:val="24"/>
          <w:shd w:val="clear" w:color="auto" w:fill="FFFFFF"/>
        </w:rPr>
        <w:t xml:space="preserve"> </w:t>
      </w:r>
      <w:hyperlink r:id="rId47" w:history="1">
        <w:r w:rsidR="009E38E5" w:rsidRPr="00F82E89">
          <w:t>https://doi.org/10.1016/j.marpetgeo.2018.03.040</w:t>
        </w:r>
      </w:hyperlink>
    </w:p>
    <w:p w:rsidR="006C5BD1" w:rsidRPr="00F82E89" w:rsidRDefault="009E38E5" w:rsidP="00F211F1">
      <w:pPr>
        <w:pStyle w:val="ListParagraph"/>
        <w:rPr>
          <w:szCs w:val="24"/>
          <w:lang w:val="en-US" w:eastAsia="zh-CN" w:bidi="hi-IN"/>
        </w:rPr>
      </w:pPr>
      <w:r w:rsidRPr="00F82E89">
        <w:rPr>
          <w:szCs w:val="24"/>
          <w:lang w:val="en-US" w:eastAsia="zh-CN" w:bidi="hi-IN"/>
        </w:rPr>
        <w:t>Caers, J., and Zhang, T., 2004</w:t>
      </w:r>
      <w:r w:rsidR="006C5BD1" w:rsidRPr="00F82E89">
        <w:rPr>
          <w:szCs w:val="24"/>
          <w:lang w:val="en-US" w:eastAsia="zh-CN" w:bidi="hi-IN"/>
        </w:rPr>
        <w:t>, Multiple-point Geostatistics: A quantitative vehicle for integrating geologic analogs into multiple reservoir models, in Integration of outcrop and modern analogs in reservoir modelling, AAPG Memoir, 80, 383-394.</w:t>
      </w:r>
    </w:p>
    <w:p w:rsidR="006C5BD1" w:rsidRPr="00F82E89" w:rsidRDefault="006C5BD1" w:rsidP="00F211F1">
      <w:pPr>
        <w:pStyle w:val="ListParagraph"/>
        <w:rPr>
          <w:szCs w:val="24"/>
          <w:lang w:val="en-US" w:eastAsia="zh-CN" w:bidi="hi-IN"/>
        </w:rPr>
      </w:pPr>
      <w:r w:rsidRPr="00F82E89">
        <w:rPr>
          <w:szCs w:val="24"/>
          <w:lang w:val="en-US" w:eastAsia="zh-CN" w:bidi="hi-IN"/>
        </w:rPr>
        <w:t>Chan, M.A. and Pfaff, B.J., 1991. Fluvial sedimentology of the Upper Cretaceous Castlegate Sandstone, Book Cliffs, Utah. In: Chidsey Jnr., T.C. (Ed.). Geology of East-Central Utah. Utah Geological Association Special Publication 19, 95-110.</w:t>
      </w:r>
    </w:p>
    <w:p w:rsidR="006C5BD1" w:rsidRPr="00F82E89" w:rsidRDefault="006C5BD1" w:rsidP="00834771">
      <w:pPr>
        <w:pStyle w:val="ListParagraph"/>
      </w:pPr>
      <w:r w:rsidRPr="00F82E89">
        <w:rPr>
          <w:szCs w:val="24"/>
          <w:shd w:val="clear" w:color="auto" w:fill="FFFFFF"/>
        </w:rPr>
        <w:t>Coleman, J.M., 1969. Brahmaputra River: channel processes and sedimentation. </w:t>
      </w:r>
      <w:r w:rsidRPr="00F82E89">
        <w:rPr>
          <w:iCs/>
          <w:szCs w:val="24"/>
          <w:shd w:val="clear" w:color="auto" w:fill="FFFFFF"/>
        </w:rPr>
        <w:t>Sediment</w:t>
      </w:r>
      <w:r w:rsidR="00834771" w:rsidRPr="00F82E89">
        <w:rPr>
          <w:iCs/>
          <w:szCs w:val="24"/>
          <w:shd w:val="clear" w:color="auto" w:fill="FFFFFF"/>
        </w:rPr>
        <w:t>.</w:t>
      </w:r>
      <w:r w:rsidRPr="00F82E89">
        <w:rPr>
          <w:iCs/>
          <w:szCs w:val="24"/>
          <w:shd w:val="clear" w:color="auto" w:fill="FFFFFF"/>
        </w:rPr>
        <w:t xml:space="preserve"> Geol</w:t>
      </w:r>
      <w:r w:rsidR="00834771" w:rsidRPr="00F82E89">
        <w:rPr>
          <w:iCs/>
          <w:szCs w:val="24"/>
          <w:shd w:val="clear" w:color="auto" w:fill="FFFFFF"/>
        </w:rPr>
        <w:t>.</w:t>
      </w:r>
      <w:r w:rsidRPr="00F82E89">
        <w:rPr>
          <w:szCs w:val="24"/>
          <w:shd w:val="clear" w:color="auto" w:fill="FFFFFF"/>
        </w:rPr>
        <w:t>, </w:t>
      </w:r>
      <w:r w:rsidRPr="00F82E89">
        <w:rPr>
          <w:iCs/>
          <w:szCs w:val="24"/>
          <w:shd w:val="clear" w:color="auto" w:fill="FFFFFF"/>
        </w:rPr>
        <w:t>3</w:t>
      </w:r>
      <w:r w:rsidRPr="00F82E89">
        <w:rPr>
          <w:szCs w:val="24"/>
          <w:shd w:val="clear" w:color="auto" w:fill="FFFFFF"/>
        </w:rPr>
        <w:t>(2-3), pp.129-239.</w:t>
      </w:r>
      <w:r w:rsidR="00834771" w:rsidRPr="00F82E89">
        <w:rPr>
          <w:szCs w:val="24"/>
          <w:shd w:val="clear" w:color="auto" w:fill="FFFFFF"/>
        </w:rPr>
        <w:t xml:space="preserve"> </w:t>
      </w:r>
      <w:hyperlink r:id="rId48" w:tgtFrame="_blank" w:tooltip="Persistent link using digital object identifier" w:history="1">
        <w:r w:rsidR="00834771" w:rsidRPr="00F82E89">
          <w:t>https://doi.org/10.1016/0037-0738(69)90010-4</w:t>
        </w:r>
      </w:hyperlink>
    </w:p>
    <w:p w:rsidR="006C5BD1" w:rsidRPr="00F82E89" w:rsidRDefault="006C5BD1" w:rsidP="00F211F1">
      <w:pPr>
        <w:pStyle w:val="ListParagraph"/>
        <w:rPr>
          <w:szCs w:val="24"/>
          <w:lang w:val="en-US" w:eastAsia="zh-CN" w:bidi="hi-IN"/>
        </w:rPr>
      </w:pPr>
      <w:r w:rsidRPr="00F82E89">
        <w:rPr>
          <w:szCs w:val="24"/>
          <w:shd w:val="clear" w:color="auto" w:fill="FFFFFF"/>
        </w:rPr>
        <w:t>Collinson, J.D.; Mountney, N. P. and Thompson, D. B. 2006. Sedimentary Structures, Third edition, Terra Publishing, Hertfordshire.</w:t>
      </w:r>
    </w:p>
    <w:p w:rsidR="00667250" w:rsidRPr="00F82E89" w:rsidRDefault="006C5BD1" w:rsidP="00667250">
      <w:pPr>
        <w:pStyle w:val="ListParagraph"/>
      </w:pPr>
      <w:r w:rsidRPr="00F82E89">
        <w:rPr>
          <w:szCs w:val="24"/>
          <w:shd w:val="clear" w:color="auto" w:fill="FFFFFF"/>
        </w:rPr>
        <w:t xml:space="preserve">Colombera, L., Mountney, N.P. and McCaffrey, W.D., 2012. A relational database for the digitization of fluvial architecture concepts and example applications. </w:t>
      </w:r>
      <w:r w:rsidRPr="00F82E89">
        <w:rPr>
          <w:iCs/>
          <w:szCs w:val="24"/>
          <w:shd w:val="clear" w:color="auto" w:fill="FFFFFF"/>
          <w:lang w:val="pt-PT"/>
        </w:rPr>
        <w:t>Pet</w:t>
      </w:r>
      <w:r w:rsidR="00834771" w:rsidRPr="00F82E89">
        <w:rPr>
          <w:iCs/>
          <w:szCs w:val="24"/>
          <w:shd w:val="clear" w:color="auto" w:fill="FFFFFF"/>
          <w:lang w:val="pt-PT"/>
        </w:rPr>
        <w:t xml:space="preserve">. </w:t>
      </w:r>
      <w:r w:rsidRPr="00F82E89">
        <w:rPr>
          <w:iCs/>
          <w:szCs w:val="24"/>
          <w:shd w:val="clear" w:color="auto" w:fill="FFFFFF"/>
          <w:lang w:val="pt-PT"/>
        </w:rPr>
        <w:t>Geo</w:t>
      </w:r>
      <w:r w:rsidR="00834771" w:rsidRPr="00F82E89">
        <w:rPr>
          <w:iCs/>
          <w:szCs w:val="24"/>
          <w:shd w:val="clear" w:color="auto" w:fill="FFFFFF"/>
          <w:lang w:val="pt-PT"/>
        </w:rPr>
        <w:t>.</w:t>
      </w:r>
      <w:r w:rsidRPr="00F82E89">
        <w:rPr>
          <w:szCs w:val="24"/>
          <w:shd w:val="clear" w:color="auto" w:fill="FFFFFF"/>
        </w:rPr>
        <w:t xml:space="preserve">, </w:t>
      </w:r>
      <w:r w:rsidRPr="00F82E89">
        <w:rPr>
          <w:iCs/>
          <w:szCs w:val="24"/>
          <w:shd w:val="clear" w:color="auto" w:fill="FFFFFF"/>
        </w:rPr>
        <w:t>18</w:t>
      </w:r>
      <w:r w:rsidR="00834771" w:rsidRPr="00F82E89">
        <w:rPr>
          <w:szCs w:val="24"/>
          <w:shd w:val="clear" w:color="auto" w:fill="FFFFFF"/>
        </w:rPr>
        <w:t xml:space="preserve">(1), </w:t>
      </w:r>
      <w:r w:rsidRPr="00F82E89">
        <w:rPr>
          <w:szCs w:val="24"/>
          <w:shd w:val="clear" w:color="auto" w:fill="FFFFFF"/>
        </w:rPr>
        <w:t xml:space="preserve">129-140. </w:t>
      </w:r>
      <w:hyperlink r:id="rId49" w:tgtFrame="_blank" w:history="1">
        <w:r w:rsidR="00834771" w:rsidRPr="00F82E89">
          <w:t>https://doi.org/10.1144/1354-079311-021</w:t>
        </w:r>
      </w:hyperlink>
    </w:p>
    <w:p w:rsidR="006C5BD1" w:rsidRPr="00F82E89" w:rsidRDefault="006C5BD1" w:rsidP="00F211F1">
      <w:pPr>
        <w:pStyle w:val="ListParagraph"/>
        <w:rPr>
          <w:szCs w:val="24"/>
          <w:shd w:val="clear" w:color="auto" w:fill="FFFFFF"/>
        </w:rPr>
      </w:pPr>
      <w:r w:rsidRPr="00F82E89">
        <w:rPr>
          <w:szCs w:val="24"/>
          <w:shd w:val="clear" w:color="auto" w:fill="FFFFFF"/>
        </w:rPr>
        <w:t xml:space="preserve">Colombera, L., Mountney, N.P. and McCaffrey, W.D., 2013. A quantitative approach to fluvial facies models: methods and example results. </w:t>
      </w:r>
      <w:r w:rsidRPr="00F82E89">
        <w:rPr>
          <w:iCs/>
          <w:szCs w:val="24"/>
          <w:shd w:val="clear" w:color="auto" w:fill="FFFFFF"/>
        </w:rPr>
        <w:t>Sedimentology</w:t>
      </w:r>
      <w:r w:rsidRPr="00F82E89">
        <w:rPr>
          <w:szCs w:val="24"/>
          <w:shd w:val="clear" w:color="auto" w:fill="FFFFFF"/>
        </w:rPr>
        <w:t xml:space="preserve">, </w:t>
      </w:r>
      <w:r w:rsidRPr="00F82E89">
        <w:rPr>
          <w:iCs/>
          <w:szCs w:val="24"/>
          <w:shd w:val="clear" w:color="auto" w:fill="FFFFFF"/>
        </w:rPr>
        <w:t>60</w:t>
      </w:r>
      <w:r w:rsidR="00834771" w:rsidRPr="00F82E89">
        <w:rPr>
          <w:szCs w:val="24"/>
          <w:shd w:val="clear" w:color="auto" w:fill="FFFFFF"/>
        </w:rPr>
        <w:t xml:space="preserve">(6), </w:t>
      </w:r>
      <w:r w:rsidRPr="00F82E89">
        <w:rPr>
          <w:szCs w:val="24"/>
          <w:shd w:val="clear" w:color="auto" w:fill="FFFFFF"/>
        </w:rPr>
        <w:t>1526-1558.</w:t>
      </w:r>
      <w:r w:rsidR="00834771" w:rsidRPr="00F82E89">
        <w:rPr>
          <w:szCs w:val="24"/>
          <w:shd w:val="clear" w:color="auto" w:fill="FFFFFF"/>
        </w:rPr>
        <w:t xml:space="preserve"> </w:t>
      </w:r>
      <w:hyperlink r:id="rId50" w:history="1">
        <w:r w:rsidR="00834771" w:rsidRPr="00F82E89">
          <w:t>https://doi.org/10.1111/sed.12050</w:t>
        </w:r>
      </w:hyperlink>
    </w:p>
    <w:p w:rsidR="008D1C1C" w:rsidRPr="00F82E89" w:rsidRDefault="008D1C1C" w:rsidP="00486B15">
      <w:pPr>
        <w:pStyle w:val="ListParagraph"/>
      </w:pPr>
      <w:r w:rsidRPr="00F82E89">
        <w:rPr>
          <w:shd w:val="clear" w:color="auto" w:fill="FFFFFF"/>
        </w:rPr>
        <w:t>Colombera, L., Mountney, N.P., Hodgson, D.M. and McCaffrey, W.D., 2016</w:t>
      </w:r>
      <w:r w:rsidR="00667250" w:rsidRPr="00F82E89">
        <w:rPr>
          <w:shd w:val="clear" w:color="auto" w:fill="FFFFFF"/>
        </w:rPr>
        <w:t>a</w:t>
      </w:r>
      <w:r w:rsidRPr="00F82E89">
        <w:rPr>
          <w:shd w:val="clear" w:color="auto" w:fill="FFFFFF"/>
        </w:rPr>
        <w:t>. The Shallow-Marine Architecture Knowledge Store: a database for the characterization of shallow-marine and paralic depositional systems. </w:t>
      </w:r>
      <w:r w:rsidRPr="00F82E89">
        <w:rPr>
          <w:iCs/>
          <w:shd w:val="clear" w:color="auto" w:fill="FFFFFF"/>
        </w:rPr>
        <w:t>Mar</w:t>
      </w:r>
      <w:r w:rsidR="00834771" w:rsidRPr="00F82E89">
        <w:rPr>
          <w:iCs/>
          <w:shd w:val="clear" w:color="auto" w:fill="FFFFFF"/>
        </w:rPr>
        <w:t>.</w:t>
      </w:r>
      <w:r w:rsidRPr="00F82E89">
        <w:rPr>
          <w:iCs/>
          <w:shd w:val="clear" w:color="auto" w:fill="FFFFFF"/>
        </w:rPr>
        <w:t xml:space="preserve"> Petrol</w:t>
      </w:r>
      <w:r w:rsidR="00834771" w:rsidRPr="00F82E89">
        <w:rPr>
          <w:iCs/>
          <w:shd w:val="clear" w:color="auto" w:fill="FFFFFF"/>
        </w:rPr>
        <w:t>.</w:t>
      </w:r>
      <w:r w:rsidRPr="00F82E89">
        <w:rPr>
          <w:iCs/>
          <w:shd w:val="clear" w:color="auto" w:fill="FFFFFF"/>
        </w:rPr>
        <w:t xml:space="preserve"> Geol</w:t>
      </w:r>
      <w:r w:rsidR="00834771" w:rsidRPr="00F82E89">
        <w:rPr>
          <w:iCs/>
          <w:shd w:val="clear" w:color="auto" w:fill="FFFFFF"/>
        </w:rPr>
        <w:t>.</w:t>
      </w:r>
      <w:r w:rsidRPr="00F82E89">
        <w:rPr>
          <w:shd w:val="clear" w:color="auto" w:fill="FFFFFF"/>
        </w:rPr>
        <w:t>, </w:t>
      </w:r>
      <w:r w:rsidRPr="00F82E89">
        <w:rPr>
          <w:iCs/>
          <w:shd w:val="clear" w:color="auto" w:fill="FFFFFF"/>
        </w:rPr>
        <w:t>75</w:t>
      </w:r>
      <w:r w:rsidRPr="00F82E89">
        <w:rPr>
          <w:shd w:val="clear" w:color="auto" w:fill="FFFFFF"/>
        </w:rPr>
        <w:t>,</w:t>
      </w:r>
      <w:r w:rsidR="00834771" w:rsidRPr="00F82E89">
        <w:rPr>
          <w:shd w:val="clear" w:color="auto" w:fill="FFFFFF"/>
        </w:rPr>
        <w:t xml:space="preserve"> </w:t>
      </w:r>
      <w:r w:rsidRPr="00F82E89">
        <w:rPr>
          <w:shd w:val="clear" w:color="auto" w:fill="FFFFFF"/>
        </w:rPr>
        <w:t>83-99.</w:t>
      </w:r>
      <w:r w:rsidR="00834771" w:rsidRPr="00F82E89">
        <w:rPr>
          <w:shd w:val="clear" w:color="auto" w:fill="FFFFFF"/>
        </w:rPr>
        <w:t xml:space="preserve"> </w:t>
      </w:r>
      <w:hyperlink r:id="rId51" w:tgtFrame="_blank" w:tooltip="Persistent link using digital object identifier" w:history="1">
        <w:r w:rsidR="00834771" w:rsidRPr="00F82E89">
          <w:t>https://doi.org/10.1016/j.marpetgeo.2016.03.027</w:t>
        </w:r>
      </w:hyperlink>
    </w:p>
    <w:p w:rsidR="00667250" w:rsidRPr="00F82E89" w:rsidRDefault="00667250" w:rsidP="00085F04">
      <w:pPr>
        <w:pStyle w:val="ListParagraph"/>
      </w:pPr>
      <w:r w:rsidRPr="00F82E89">
        <w:t>Colombera, L., Mountney, N.P., Howell, J.A., Rittersbacher, A., Felletti, F. and McCaffrey, W.D., 2016b. A test of analog-based tools for quantitative prediction of large-scale fluvial architecture. AAPG Bull</w:t>
      </w:r>
      <w:r w:rsidR="00F72781" w:rsidRPr="00F82E89">
        <w:t>.</w:t>
      </w:r>
      <w:r w:rsidRPr="00F82E89">
        <w:t>, 100(2), pp.237-267</w:t>
      </w:r>
      <w:r w:rsidRPr="00F82E89">
        <w:rPr>
          <w:rFonts w:ascii="Arial" w:hAnsi="Arial"/>
          <w:sz w:val="20"/>
          <w:szCs w:val="20"/>
          <w:shd w:val="clear" w:color="auto" w:fill="FFFFFF"/>
        </w:rPr>
        <w:t xml:space="preserve">. </w:t>
      </w:r>
      <w:hyperlink r:id="rId52" w:tgtFrame="_blank" w:history="1">
        <w:r w:rsidR="00085F04" w:rsidRPr="00F82E89">
          <w:t>https://doi.org/10.1306/11181514227</w:t>
        </w:r>
      </w:hyperlink>
    </w:p>
    <w:p w:rsidR="006C5BD1" w:rsidRPr="00F82E89" w:rsidRDefault="006C5BD1" w:rsidP="00F211F1">
      <w:pPr>
        <w:pStyle w:val="ListParagraph"/>
        <w:rPr>
          <w:rFonts w:eastAsia="Arial" w:cs="Times New Roman"/>
          <w:szCs w:val="24"/>
          <w:shd w:val="clear" w:color="auto" w:fill="FFFFFF"/>
        </w:rPr>
      </w:pPr>
      <w:r w:rsidRPr="00F82E89">
        <w:rPr>
          <w:rFonts w:cs="Times New Roman"/>
          <w:szCs w:val="24"/>
          <w:shd w:val="clear" w:color="auto" w:fill="FFFFFF"/>
        </w:rPr>
        <w:t>Colombera, L., Mountney, N.P., Russell, C.E., Shiers, M.N. and McCaffrey, W.D., 2017. Geometry and compartmentalization of fluvial meander-belt reservoirs at the bar-form scale: Quantitative insight from outcrop, modern and subsurface analogues. </w:t>
      </w:r>
      <w:r w:rsidRPr="00F82E89">
        <w:rPr>
          <w:rFonts w:cs="Times New Roman"/>
          <w:iCs/>
          <w:szCs w:val="24"/>
          <w:shd w:val="clear" w:color="auto" w:fill="FFFFFF"/>
        </w:rPr>
        <w:t>Mar</w:t>
      </w:r>
      <w:r w:rsidR="00486B15" w:rsidRPr="00F82E89">
        <w:rPr>
          <w:rFonts w:cs="Times New Roman"/>
          <w:iCs/>
          <w:szCs w:val="24"/>
          <w:shd w:val="clear" w:color="auto" w:fill="FFFFFF"/>
        </w:rPr>
        <w:t>.</w:t>
      </w:r>
      <w:r w:rsidRPr="00F82E89">
        <w:rPr>
          <w:rFonts w:cs="Times New Roman"/>
          <w:iCs/>
          <w:szCs w:val="24"/>
          <w:shd w:val="clear" w:color="auto" w:fill="FFFFFF"/>
        </w:rPr>
        <w:t xml:space="preserve"> Petrol</w:t>
      </w:r>
      <w:r w:rsidR="00486B15" w:rsidRPr="00F82E89">
        <w:rPr>
          <w:rFonts w:cs="Times New Roman"/>
          <w:iCs/>
          <w:szCs w:val="24"/>
          <w:shd w:val="clear" w:color="auto" w:fill="FFFFFF"/>
        </w:rPr>
        <w:t xml:space="preserve">. </w:t>
      </w:r>
      <w:r w:rsidRPr="00F82E89">
        <w:rPr>
          <w:rFonts w:cs="Times New Roman"/>
          <w:iCs/>
          <w:szCs w:val="24"/>
          <w:shd w:val="clear" w:color="auto" w:fill="FFFFFF"/>
        </w:rPr>
        <w:t>Geol</w:t>
      </w:r>
      <w:r w:rsidR="00486B15" w:rsidRPr="00F82E89">
        <w:rPr>
          <w:rFonts w:cs="Times New Roman"/>
          <w:iCs/>
          <w:szCs w:val="24"/>
          <w:shd w:val="clear" w:color="auto" w:fill="FFFFFF"/>
        </w:rPr>
        <w:t>.</w:t>
      </w:r>
      <w:r w:rsidRPr="00F82E89">
        <w:rPr>
          <w:rFonts w:cs="Times New Roman"/>
          <w:szCs w:val="24"/>
          <w:shd w:val="clear" w:color="auto" w:fill="FFFFFF"/>
        </w:rPr>
        <w:t>, </w:t>
      </w:r>
      <w:r w:rsidRPr="00F82E89">
        <w:rPr>
          <w:rFonts w:cs="Times New Roman"/>
          <w:iCs/>
          <w:szCs w:val="24"/>
          <w:shd w:val="clear" w:color="auto" w:fill="FFFFFF"/>
        </w:rPr>
        <w:t>82</w:t>
      </w:r>
      <w:r w:rsidRPr="00F82E89">
        <w:rPr>
          <w:rFonts w:cs="Times New Roman"/>
          <w:szCs w:val="24"/>
          <w:shd w:val="clear" w:color="auto" w:fill="FFFFFF"/>
        </w:rPr>
        <w:t>, 35-55.</w:t>
      </w:r>
      <w:r w:rsidR="00486B15" w:rsidRPr="00F82E89">
        <w:rPr>
          <w:rFonts w:cs="Times New Roman"/>
          <w:szCs w:val="24"/>
          <w:shd w:val="clear" w:color="auto" w:fill="FFFFFF"/>
        </w:rPr>
        <w:t xml:space="preserve"> </w:t>
      </w:r>
      <w:hyperlink r:id="rId53" w:tgtFrame="_blank" w:tooltip="Persistent link using digital object identifier" w:history="1">
        <w:r w:rsidR="00486B15" w:rsidRPr="00F82E89">
          <w:t>https://doi.org/10.1016/j.marpetgeo.2017.01.024</w:t>
        </w:r>
      </w:hyperlink>
    </w:p>
    <w:p w:rsidR="006C5BD1" w:rsidRPr="00F82E89" w:rsidRDefault="006C5BD1" w:rsidP="00F211F1">
      <w:pPr>
        <w:pStyle w:val="ListParagraph"/>
        <w:rPr>
          <w:szCs w:val="24"/>
          <w:lang w:val="en-US" w:eastAsia="zh-CN" w:bidi="hi-IN"/>
        </w:rPr>
      </w:pPr>
      <w:r w:rsidRPr="00F82E89">
        <w:rPr>
          <w:szCs w:val="24"/>
          <w:lang w:val="en-US" w:eastAsia="zh-CN" w:bidi="hi-IN"/>
        </w:rPr>
        <w:t>Comunian, A., Renard, P., and Straubhaar, J., 201</w:t>
      </w:r>
      <w:r w:rsidR="006C50E2" w:rsidRPr="00F82E89">
        <w:rPr>
          <w:szCs w:val="24"/>
          <w:lang w:val="en-US" w:eastAsia="zh-CN" w:bidi="hi-IN"/>
        </w:rPr>
        <w:t>2</w:t>
      </w:r>
      <w:r w:rsidRPr="00F82E89">
        <w:rPr>
          <w:szCs w:val="24"/>
          <w:lang w:val="en-US" w:eastAsia="zh-CN" w:bidi="hi-IN"/>
        </w:rPr>
        <w:t>, 3D multiple-point statistics simulation using 2D training images, Comput</w:t>
      </w:r>
      <w:r w:rsidR="00486B15" w:rsidRPr="00F82E89">
        <w:rPr>
          <w:szCs w:val="24"/>
          <w:lang w:val="en-US" w:eastAsia="zh-CN" w:bidi="hi-IN"/>
        </w:rPr>
        <w:t>.</w:t>
      </w:r>
      <w:r w:rsidRPr="00F82E89">
        <w:rPr>
          <w:szCs w:val="24"/>
          <w:lang w:val="en-US" w:eastAsia="zh-CN" w:bidi="hi-IN"/>
        </w:rPr>
        <w:t xml:space="preserve"> Geo</w:t>
      </w:r>
      <w:r w:rsidR="00486B15" w:rsidRPr="00F82E89">
        <w:rPr>
          <w:szCs w:val="24"/>
          <w:lang w:val="en-US" w:eastAsia="zh-CN" w:bidi="hi-IN"/>
        </w:rPr>
        <w:t>.</w:t>
      </w:r>
      <w:r w:rsidRPr="00F82E89">
        <w:rPr>
          <w:szCs w:val="24"/>
          <w:lang w:val="en-US" w:eastAsia="zh-CN" w:bidi="hi-IN"/>
        </w:rPr>
        <w:t>, 40, 49-65.</w:t>
      </w:r>
      <w:r w:rsidR="00486B15" w:rsidRPr="00F82E89">
        <w:rPr>
          <w:szCs w:val="24"/>
          <w:lang w:val="en-US" w:eastAsia="zh-CN" w:bidi="hi-IN"/>
        </w:rPr>
        <w:t xml:space="preserve"> </w:t>
      </w:r>
      <w:hyperlink r:id="rId54" w:tgtFrame="_blank" w:tooltip="Persistent link using digital object identifier" w:history="1">
        <w:r w:rsidR="00486B15" w:rsidRPr="00F82E89">
          <w:t>https://doi.org/10.1016/j.cageo.2011.07.009</w:t>
        </w:r>
      </w:hyperlink>
    </w:p>
    <w:p w:rsidR="00F33C8C" w:rsidRPr="00F82E89" w:rsidRDefault="006C5BD1" w:rsidP="00F211F1">
      <w:pPr>
        <w:pStyle w:val="ListParagraph"/>
        <w:rPr>
          <w:szCs w:val="24"/>
        </w:rPr>
      </w:pPr>
      <w:r w:rsidRPr="00F82E89">
        <w:rPr>
          <w:rFonts w:cs="Times New Roman"/>
          <w:szCs w:val="24"/>
          <w:shd w:val="clear" w:color="auto" w:fill="FFFFFF"/>
        </w:rPr>
        <w:t>Daly, C. and Caers, J., 2010. Multi-point geostatistics–an introductory overview. </w:t>
      </w:r>
      <w:r w:rsidRPr="00F82E89">
        <w:rPr>
          <w:rFonts w:cs="Times New Roman"/>
          <w:iCs/>
          <w:szCs w:val="24"/>
          <w:shd w:val="clear" w:color="auto" w:fill="FFFFFF"/>
        </w:rPr>
        <w:t>First Break</w:t>
      </w:r>
      <w:r w:rsidRPr="00F82E89">
        <w:rPr>
          <w:rFonts w:cs="Times New Roman"/>
          <w:szCs w:val="24"/>
          <w:shd w:val="clear" w:color="auto" w:fill="FFFFFF"/>
        </w:rPr>
        <w:t>, </w:t>
      </w:r>
      <w:r w:rsidRPr="00F82E89">
        <w:rPr>
          <w:rFonts w:cs="Times New Roman"/>
          <w:iCs/>
          <w:szCs w:val="24"/>
          <w:shd w:val="clear" w:color="auto" w:fill="FFFFFF"/>
        </w:rPr>
        <w:t>28</w:t>
      </w:r>
      <w:r w:rsidR="00486B15" w:rsidRPr="00F82E89">
        <w:rPr>
          <w:rFonts w:cs="Times New Roman"/>
          <w:szCs w:val="24"/>
          <w:shd w:val="clear" w:color="auto" w:fill="FFFFFF"/>
        </w:rPr>
        <w:t xml:space="preserve">(9), </w:t>
      </w:r>
      <w:r w:rsidRPr="00F82E89">
        <w:rPr>
          <w:rFonts w:cs="Times New Roman"/>
          <w:szCs w:val="24"/>
          <w:shd w:val="clear" w:color="auto" w:fill="FFFFFF"/>
        </w:rPr>
        <w:t>39-47.</w:t>
      </w:r>
      <w:r w:rsidR="00F33C8C" w:rsidRPr="00F82E89">
        <w:rPr>
          <w:szCs w:val="24"/>
        </w:rPr>
        <w:t xml:space="preserve"> </w:t>
      </w:r>
      <w:r w:rsidR="00486B15" w:rsidRPr="00F82E89">
        <w:rPr>
          <w:szCs w:val="24"/>
        </w:rPr>
        <w:t>https://doi.org</w:t>
      </w:r>
      <w:r w:rsidR="00486B15" w:rsidRPr="00F82E89">
        <w:t>/10.3997/1365-2397.2010020</w:t>
      </w:r>
      <w:r w:rsidR="00486B15" w:rsidRPr="00F82E89">
        <w:rPr>
          <w:rFonts w:ascii="Verdana" w:hAnsi="Verdana"/>
          <w:sz w:val="18"/>
          <w:szCs w:val="18"/>
          <w:shd w:val="clear" w:color="auto" w:fill="F4F8FC"/>
        </w:rPr>
        <w:t> </w:t>
      </w:r>
    </w:p>
    <w:p w:rsidR="006C5BD1" w:rsidRPr="00F82E89" w:rsidRDefault="00F33C8C" w:rsidP="00F211F1">
      <w:pPr>
        <w:pStyle w:val="ListParagraph"/>
        <w:rPr>
          <w:szCs w:val="24"/>
        </w:rPr>
      </w:pPr>
      <w:r w:rsidRPr="00F82E89">
        <w:rPr>
          <w:szCs w:val="24"/>
        </w:rPr>
        <w:t>Deutsch, C.V., 2006, A sequential indicator simulation program for categorical variables with point and block data: BlockSIS, Comput</w:t>
      </w:r>
      <w:r w:rsidR="00486B15" w:rsidRPr="00F82E89">
        <w:rPr>
          <w:szCs w:val="24"/>
        </w:rPr>
        <w:t>.</w:t>
      </w:r>
      <w:r w:rsidRPr="00F82E89">
        <w:rPr>
          <w:szCs w:val="24"/>
        </w:rPr>
        <w:t xml:space="preserve"> Geo</w:t>
      </w:r>
      <w:r w:rsidR="00486B15" w:rsidRPr="00F82E89">
        <w:rPr>
          <w:szCs w:val="24"/>
        </w:rPr>
        <w:t>.</w:t>
      </w:r>
      <w:r w:rsidRPr="00F82E89">
        <w:rPr>
          <w:szCs w:val="24"/>
        </w:rPr>
        <w:t>, 10, 1669-1681.</w:t>
      </w:r>
      <w:r w:rsidR="00486B15" w:rsidRPr="00F82E89">
        <w:rPr>
          <w:szCs w:val="24"/>
        </w:rPr>
        <w:t xml:space="preserve"> </w:t>
      </w:r>
      <w:hyperlink r:id="rId55" w:tgtFrame="_blank" w:tooltip="Persistent link using digital object identifier" w:history="1">
        <w:r w:rsidR="00486B15" w:rsidRPr="00F82E89">
          <w:t>https://doi.org/10.1016/j.cageo.2006.03.005</w:t>
        </w:r>
      </w:hyperlink>
    </w:p>
    <w:p w:rsidR="006C5BD1" w:rsidRPr="00F82E89" w:rsidRDefault="006C5BD1" w:rsidP="00F211F1">
      <w:pPr>
        <w:pStyle w:val="ListParagraph"/>
        <w:rPr>
          <w:szCs w:val="24"/>
        </w:rPr>
      </w:pPr>
      <w:r w:rsidRPr="00F82E89">
        <w:rPr>
          <w:szCs w:val="24"/>
        </w:rPr>
        <w:t>Deutsch, C.V., and Journal, A., 1992, GSLIB: Geostatistical Software Library and User’s Guide¸ Oxford University Press, New York.</w:t>
      </w:r>
    </w:p>
    <w:p w:rsidR="006C5BD1" w:rsidRPr="00F82E89" w:rsidRDefault="006C5BD1" w:rsidP="00F211F1">
      <w:pPr>
        <w:pStyle w:val="ListParagraph"/>
        <w:rPr>
          <w:szCs w:val="24"/>
        </w:rPr>
      </w:pPr>
      <w:r w:rsidRPr="00F82E89">
        <w:rPr>
          <w:szCs w:val="24"/>
          <w:shd w:val="clear" w:color="auto" w:fill="FFFFFF"/>
        </w:rPr>
        <w:t>Ellen, R., Browne, M.A.E., Mitten, A.J., Clarke, S.M., Leslie, A.G. and Callaghan, E., 2019. Sedimentology, architecture and depositional setting of the fluvial Spireslack Sandstone of the Midland Valley, Scotland: insights from the Spireslack surface coal mine. </w:t>
      </w:r>
      <w:r w:rsidRPr="00F82E89">
        <w:rPr>
          <w:iCs/>
          <w:szCs w:val="24"/>
          <w:shd w:val="clear" w:color="auto" w:fill="FFFFFF"/>
        </w:rPr>
        <w:t>Geol</w:t>
      </w:r>
      <w:r w:rsidR="00486B15" w:rsidRPr="00F82E89">
        <w:rPr>
          <w:iCs/>
          <w:szCs w:val="24"/>
          <w:shd w:val="clear" w:color="auto" w:fill="FFFFFF"/>
        </w:rPr>
        <w:t>.</w:t>
      </w:r>
      <w:r w:rsidRPr="00F82E89">
        <w:rPr>
          <w:iCs/>
          <w:szCs w:val="24"/>
          <w:shd w:val="clear" w:color="auto" w:fill="FFFFFF"/>
        </w:rPr>
        <w:t xml:space="preserve"> Soc</w:t>
      </w:r>
      <w:r w:rsidR="00486B15" w:rsidRPr="00F82E89">
        <w:rPr>
          <w:iCs/>
          <w:szCs w:val="24"/>
          <w:shd w:val="clear" w:color="auto" w:fill="FFFFFF"/>
        </w:rPr>
        <w:t xml:space="preserve">. </w:t>
      </w:r>
      <w:r w:rsidRPr="00F82E89">
        <w:rPr>
          <w:iCs/>
          <w:szCs w:val="24"/>
          <w:shd w:val="clear" w:color="auto" w:fill="FFFFFF"/>
        </w:rPr>
        <w:t>Spec</w:t>
      </w:r>
      <w:r w:rsidR="00486B15" w:rsidRPr="00F82E89">
        <w:rPr>
          <w:iCs/>
          <w:szCs w:val="24"/>
          <w:shd w:val="clear" w:color="auto" w:fill="FFFFFF"/>
        </w:rPr>
        <w:t>.</w:t>
      </w:r>
      <w:r w:rsidRPr="00F82E89">
        <w:rPr>
          <w:iCs/>
          <w:szCs w:val="24"/>
          <w:shd w:val="clear" w:color="auto" w:fill="FFFFFF"/>
        </w:rPr>
        <w:t xml:space="preserve"> Pub</w:t>
      </w:r>
      <w:r w:rsidR="00486B15" w:rsidRPr="00F82E89">
        <w:rPr>
          <w:iCs/>
          <w:szCs w:val="24"/>
          <w:shd w:val="clear" w:color="auto" w:fill="FFFFFF"/>
        </w:rPr>
        <w:t>.</w:t>
      </w:r>
      <w:r w:rsidRPr="00F82E89">
        <w:rPr>
          <w:szCs w:val="24"/>
          <w:shd w:val="clear" w:color="auto" w:fill="FFFFFF"/>
        </w:rPr>
        <w:t>, </w:t>
      </w:r>
      <w:r w:rsidRPr="00F82E89">
        <w:rPr>
          <w:iCs/>
          <w:szCs w:val="24"/>
          <w:shd w:val="clear" w:color="auto" w:fill="FFFFFF"/>
        </w:rPr>
        <w:t>488</w:t>
      </w:r>
      <w:r w:rsidR="00486B15" w:rsidRPr="00F82E89">
        <w:rPr>
          <w:szCs w:val="24"/>
          <w:shd w:val="clear" w:color="auto" w:fill="FFFFFF"/>
        </w:rPr>
        <w:t xml:space="preserve">. </w:t>
      </w:r>
      <w:hyperlink r:id="rId56" w:history="1">
        <w:r w:rsidR="00486B15" w:rsidRPr="00F82E89">
          <w:t>https://doi.org/10.1144/SP488.2</w:t>
        </w:r>
      </w:hyperlink>
    </w:p>
    <w:p w:rsidR="006C5BD1" w:rsidRPr="00F82E89" w:rsidRDefault="006C5BD1" w:rsidP="00FD2CF4">
      <w:pPr>
        <w:pStyle w:val="ListParagraph"/>
      </w:pPr>
      <w:r w:rsidRPr="00F82E89">
        <w:rPr>
          <w:szCs w:val="24"/>
        </w:rPr>
        <w:t>Enge, H.D., Buckley, S.J., Rotevatn, A. and Howell, J.A., 2007. From outcrop to reservoir simulation model: Workflow and procedures. </w:t>
      </w:r>
      <w:r w:rsidRPr="00F82E89">
        <w:rPr>
          <w:rStyle w:val="Emphasis"/>
          <w:i w:val="0"/>
          <w:szCs w:val="24"/>
        </w:rPr>
        <w:t>Geosphere</w:t>
      </w:r>
      <w:r w:rsidRPr="00F82E89">
        <w:rPr>
          <w:szCs w:val="24"/>
        </w:rPr>
        <w:t>, </w:t>
      </w:r>
      <w:r w:rsidRPr="00F82E89">
        <w:rPr>
          <w:rStyle w:val="Emphasis"/>
          <w:i w:val="0"/>
          <w:szCs w:val="24"/>
        </w:rPr>
        <w:t>3</w:t>
      </w:r>
      <w:r w:rsidR="00486B15" w:rsidRPr="00F82E89">
        <w:rPr>
          <w:szCs w:val="24"/>
        </w:rPr>
        <w:t xml:space="preserve">(6), </w:t>
      </w:r>
      <w:r w:rsidRPr="00F82E89">
        <w:rPr>
          <w:szCs w:val="24"/>
        </w:rPr>
        <w:t>469-490.</w:t>
      </w:r>
      <w:r w:rsidR="00486B15" w:rsidRPr="00F82E89">
        <w:t xml:space="preserve"> </w:t>
      </w:r>
      <w:hyperlink r:id="rId57" w:tgtFrame="_blank" w:history="1">
        <w:r w:rsidR="00486B15" w:rsidRPr="00F82E89">
          <w:t>https://doi.org/10.1130/GES00099.1</w:t>
        </w:r>
      </w:hyperlink>
    </w:p>
    <w:p w:rsidR="006C5BD1" w:rsidRDefault="006C5BD1" w:rsidP="00F211F1">
      <w:pPr>
        <w:pStyle w:val="ListParagraph"/>
        <w:rPr>
          <w:szCs w:val="24"/>
          <w:shd w:val="clear" w:color="auto" w:fill="FFFFFF"/>
        </w:rPr>
      </w:pPr>
      <w:r w:rsidRPr="00F82E89">
        <w:rPr>
          <w:szCs w:val="24"/>
          <w:shd w:val="clear" w:color="auto" w:fill="FFFFFF"/>
        </w:rPr>
        <w:t xml:space="preserve">Eschard, R., Lemouzy, P., Bacchiana, C., Desaubliaux, G., Parpant, J. and Smart, B., 1998. Combining sequence stratigraphy, geostatistical simulations, and production data for </w:t>
      </w:r>
      <w:r w:rsidR="0049145F" w:rsidRPr="00F82E89">
        <w:rPr>
          <w:szCs w:val="24"/>
          <w:shd w:val="clear" w:color="auto" w:fill="FFFFFF"/>
        </w:rPr>
        <w:t>modelling</w:t>
      </w:r>
      <w:r w:rsidRPr="00F82E89">
        <w:rPr>
          <w:szCs w:val="24"/>
          <w:shd w:val="clear" w:color="auto" w:fill="FFFFFF"/>
        </w:rPr>
        <w:t xml:space="preserve"> a fluvial reservoir in the Chaunoy field (Triassic, France). </w:t>
      </w:r>
      <w:r w:rsidRPr="00F82E89">
        <w:rPr>
          <w:iCs/>
          <w:szCs w:val="24"/>
          <w:shd w:val="clear" w:color="auto" w:fill="FFFFFF"/>
        </w:rPr>
        <w:t xml:space="preserve">AAPG </w:t>
      </w:r>
      <w:r w:rsidR="00F72781" w:rsidRPr="00F82E89">
        <w:rPr>
          <w:iCs/>
          <w:szCs w:val="24"/>
          <w:shd w:val="clear" w:color="auto" w:fill="FFFFFF"/>
        </w:rPr>
        <w:t>B</w:t>
      </w:r>
      <w:r w:rsidRPr="00F82E89">
        <w:rPr>
          <w:iCs/>
          <w:szCs w:val="24"/>
          <w:shd w:val="clear" w:color="auto" w:fill="FFFFFF"/>
        </w:rPr>
        <w:t>ull</w:t>
      </w:r>
      <w:r w:rsidR="00F72781" w:rsidRPr="00F82E89">
        <w:rPr>
          <w:iCs/>
          <w:szCs w:val="24"/>
          <w:shd w:val="clear" w:color="auto" w:fill="FFFFFF"/>
        </w:rPr>
        <w:t>.</w:t>
      </w:r>
      <w:r w:rsidRPr="00F82E89">
        <w:rPr>
          <w:szCs w:val="24"/>
          <w:shd w:val="clear" w:color="auto" w:fill="FFFFFF"/>
        </w:rPr>
        <w:t>, </w:t>
      </w:r>
      <w:r w:rsidRPr="00F82E89">
        <w:rPr>
          <w:iCs/>
          <w:szCs w:val="24"/>
          <w:shd w:val="clear" w:color="auto" w:fill="FFFFFF"/>
        </w:rPr>
        <w:t>82</w:t>
      </w:r>
      <w:r w:rsidRPr="00F82E89">
        <w:rPr>
          <w:szCs w:val="24"/>
          <w:shd w:val="clear" w:color="auto" w:fill="FFFFFF"/>
        </w:rPr>
        <w:t>(4), 545-568.</w:t>
      </w:r>
    </w:p>
    <w:p w:rsidR="00446DF4" w:rsidRPr="001F023B" w:rsidRDefault="00446DF4" w:rsidP="001F023B">
      <w:pPr>
        <w:pStyle w:val="ListParagraph"/>
      </w:pPr>
      <w:r>
        <w:rPr>
          <w:shd w:val="clear" w:color="auto" w:fill="FFFFFF"/>
        </w:rPr>
        <w:t>Falivene, O., Arbues, P., Gardiner, A., Pickup, G., Munoz, J.A. and Cabrera, L., 2006. Best practice stochastic facies modeling from a channel-fill turbidite sandstone analog (the Quarry outcrop, Eocene Ainsa basin, northeast Spain). </w:t>
      </w:r>
      <w:r>
        <w:rPr>
          <w:iCs/>
          <w:shd w:val="clear" w:color="auto" w:fill="FFFFFF"/>
        </w:rPr>
        <w:t>AAPG B</w:t>
      </w:r>
      <w:r w:rsidRPr="00446DF4">
        <w:rPr>
          <w:iCs/>
          <w:shd w:val="clear" w:color="auto" w:fill="FFFFFF"/>
        </w:rPr>
        <w:t>ull</w:t>
      </w:r>
      <w:r>
        <w:rPr>
          <w:iCs/>
          <w:shd w:val="clear" w:color="auto" w:fill="FFFFFF"/>
        </w:rPr>
        <w:t>.</w:t>
      </w:r>
      <w:r w:rsidRPr="00446DF4">
        <w:rPr>
          <w:shd w:val="clear" w:color="auto" w:fill="FFFFFF"/>
        </w:rPr>
        <w:t>, </w:t>
      </w:r>
      <w:r w:rsidRPr="00446DF4">
        <w:rPr>
          <w:iCs/>
          <w:shd w:val="clear" w:color="auto" w:fill="FFFFFF"/>
        </w:rPr>
        <w:t>90</w:t>
      </w:r>
      <w:r>
        <w:rPr>
          <w:shd w:val="clear" w:color="auto" w:fill="FFFFFF"/>
        </w:rPr>
        <w:t>(7), 1003-1029.</w:t>
      </w:r>
      <w:r w:rsidR="001F023B">
        <w:rPr>
          <w:shd w:val="clear" w:color="auto" w:fill="FFFFFF"/>
        </w:rPr>
        <w:t xml:space="preserve"> </w:t>
      </w:r>
      <w:r w:rsidR="001F023B" w:rsidRPr="001F023B">
        <w:t>https://doi.org/10.1306/02070605112</w:t>
      </w:r>
    </w:p>
    <w:p w:rsidR="006C5BD1" w:rsidRDefault="006C5BD1" w:rsidP="00F211F1">
      <w:pPr>
        <w:pStyle w:val="ListParagraph"/>
        <w:rPr>
          <w:szCs w:val="24"/>
        </w:rPr>
      </w:pPr>
      <w:r w:rsidRPr="00F82E89">
        <w:rPr>
          <w:szCs w:val="24"/>
        </w:rPr>
        <w:t>Fouch, T.D., Lawton, T.F., Nichols, D.J., Cashion, W.B. and Cobban, W.A., 1983. Patterns and timing of synorogenic sedimentation in Upper Cretaceous rocks of central and northeast Utah. Mesozoic Paleogeography of the West-Central United States: Rocky Mountain Symposium. Rocky Mountain Section (SEPM). 305-336.</w:t>
      </w:r>
    </w:p>
    <w:p w:rsidR="00FE7D46" w:rsidRPr="00FE7D46" w:rsidRDefault="00FE7D46" w:rsidP="00FE7D46">
      <w:pPr>
        <w:pStyle w:val="ListParagraph"/>
        <w:rPr>
          <w:rFonts w:ascii="Lato" w:hAnsi="Lato"/>
          <w:b/>
          <w:bCs/>
          <w:color w:val="000000"/>
          <w:sz w:val="17"/>
          <w:szCs w:val="17"/>
        </w:rPr>
      </w:pPr>
      <w:r>
        <w:rPr>
          <w:shd w:val="clear" w:color="auto" w:fill="FFFFFF"/>
        </w:rPr>
        <w:t>Gershenzon, N.I., Soltanian, M., Ritzi, R.W. and Dominic, D.F., 2015. Understanding the impact of open-framework conglomerates on water–oil displacements: the Victor interval of the Ivishak Reservoir, Prudhoe Bay Field, Alaska. </w:t>
      </w:r>
      <w:r w:rsidRPr="00FE7D46">
        <w:rPr>
          <w:iCs/>
          <w:shd w:val="clear" w:color="auto" w:fill="FFFFFF"/>
        </w:rPr>
        <w:t>Petrol. Geosci.</w:t>
      </w:r>
      <w:r w:rsidRPr="00FE7D46">
        <w:rPr>
          <w:shd w:val="clear" w:color="auto" w:fill="FFFFFF"/>
        </w:rPr>
        <w:t>, </w:t>
      </w:r>
      <w:r w:rsidRPr="00FE7D46">
        <w:rPr>
          <w:iCs/>
          <w:shd w:val="clear" w:color="auto" w:fill="FFFFFF"/>
        </w:rPr>
        <w:t>21</w:t>
      </w:r>
      <w:r w:rsidR="00E36AB1">
        <w:rPr>
          <w:shd w:val="clear" w:color="auto" w:fill="FFFFFF"/>
        </w:rPr>
        <w:t xml:space="preserve">(1), </w:t>
      </w:r>
      <w:r>
        <w:rPr>
          <w:shd w:val="clear" w:color="auto" w:fill="FFFFFF"/>
        </w:rPr>
        <w:t xml:space="preserve">43-54. </w:t>
      </w:r>
      <w:r w:rsidRPr="00FE7D46">
        <w:t>https://doi.org/10.1144/petgeo2014-017</w:t>
      </w:r>
    </w:p>
    <w:p w:rsidR="006C5BD1" w:rsidRPr="00F82E89" w:rsidRDefault="006C5BD1" w:rsidP="00F211F1">
      <w:pPr>
        <w:pStyle w:val="ListParagraph"/>
        <w:rPr>
          <w:szCs w:val="24"/>
          <w:shd w:val="clear" w:color="auto" w:fill="FFFFFF"/>
        </w:rPr>
      </w:pPr>
      <w:r w:rsidRPr="00F82E89">
        <w:rPr>
          <w:szCs w:val="24"/>
          <w:shd w:val="clear" w:color="auto" w:fill="FFFFFF"/>
        </w:rPr>
        <w:t>Ghinassi, M., Nemec, W., Aldinucci, M., Nehyba, S., Özaksoy, V. and Fidolini, F., 2014. Plan</w:t>
      </w:r>
      <w:r w:rsidRPr="00F82E89">
        <w:rPr>
          <w:rFonts w:ascii="Cambria Math" w:hAnsi="Cambria Math" w:cs="Cambria Math"/>
          <w:szCs w:val="24"/>
          <w:shd w:val="clear" w:color="auto" w:fill="FFFFFF"/>
        </w:rPr>
        <w:t>‐</w:t>
      </w:r>
      <w:r w:rsidRPr="00F82E89">
        <w:rPr>
          <w:szCs w:val="24"/>
          <w:shd w:val="clear" w:color="auto" w:fill="FFFFFF"/>
        </w:rPr>
        <w:t>form evolution of ancient meandering rivers reconstructed from longitudinal outcrop sections. </w:t>
      </w:r>
      <w:r w:rsidRPr="00F82E89">
        <w:rPr>
          <w:iCs/>
          <w:szCs w:val="24"/>
          <w:shd w:val="clear" w:color="auto" w:fill="FFFFFF"/>
        </w:rPr>
        <w:t>Sedimentology</w:t>
      </w:r>
      <w:r w:rsidRPr="00F82E89">
        <w:rPr>
          <w:szCs w:val="24"/>
          <w:shd w:val="clear" w:color="auto" w:fill="FFFFFF"/>
        </w:rPr>
        <w:t>, </w:t>
      </w:r>
      <w:r w:rsidRPr="00F82E89">
        <w:rPr>
          <w:iCs/>
          <w:szCs w:val="24"/>
          <w:shd w:val="clear" w:color="auto" w:fill="FFFFFF"/>
        </w:rPr>
        <w:t>61</w:t>
      </w:r>
      <w:r w:rsidR="002E77BE" w:rsidRPr="00F82E89">
        <w:rPr>
          <w:szCs w:val="24"/>
          <w:shd w:val="clear" w:color="auto" w:fill="FFFFFF"/>
        </w:rPr>
        <w:t xml:space="preserve">(4), </w:t>
      </w:r>
      <w:r w:rsidRPr="00F82E89">
        <w:rPr>
          <w:szCs w:val="24"/>
          <w:shd w:val="clear" w:color="auto" w:fill="FFFFFF"/>
        </w:rPr>
        <w:t>952-977.</w:t>
      </w:r>
      <w:r w:rsidR="002E77BE" w:rsidRPr="00F82E89">
        <w:t xml:space="preserve"> </w:t>
      </w:r>
      <w:hyperlink r:id="rId58" w:history="1">
        <w:r w:rsidR="002E77BE" w:rsidRPr="00F82E89">
          <w:t>https://doi.org/10.1111/sed.12081</w:t>
        </w:r>
      </w:hyperlink>
    </w:p>
    <w:p w:rsidR="006C5BD1" w:rsidRPr="00F82E89" w:rsidRDefault="006C5BD1" w:rsidP="00F211F1">
      <w:pPr>
        <w:pStyle w:val="ListParagraph"/>
        <w:rPr>
          <w:szCs w:val="24"/>
        </w:rPr>
      </w:pPr>
      <w:r w:rsidRPr="00F82E89">
        <w:rPr>
          <w:szCs w:val="24"/>
          <w:shd w:val="clear" w:color="auto" w:fill="FFFFFF"/>
        </w:rPr>
        <w:t>Ghinassi, M. and Ielpi, A., 2018. Precambrian snapshots: Morphodynamics of Torridonian fluvial braid bars revealed by three</w:t>
      </w:r>
      <w:r w:rsidRPr="00F82E89">
        <w:rPr>
          <w:rFonts w:ascii="Cambria Math" w:hAnsi="Cambria Math" w:cs="Cambria Math"/>
          <w:szCs w:val="24"/>
          <w:shd w:val="clear" w:color="auto" w:fill="FFFFFF"/>
        </w:rPr>
        <w:t>‐</w:t>
      </w:r>
      <w:r w:rsidRPr="00F82E89">
        <w:rPr>
          <w:szCs w:val="24"/>
          <w:shd w:val="clear" w:color="auto" w:fill="FFFFFF"/>
        </w:rPr>
        <w:t>dimensional photogrammetry and outcrop sedimentology. </w:t>
      </w:r>
      <w:r w:rsidRPr="00F82E89">
        <w:rPr>
          <w:iCs/>
          <w:szCs w:val="24"/>
          <w:shd w:val="clear" w:color="auto" w:fill="FFFFFF"/>
        </w:rPr>
        <w:t>Sedimentology</w:t>
      </w:r>
      <w:r w:rsidRPr="00F82E89">
        <w:rPr>
          <w:szCs w:val="24"/>
          <w:shd w:val="clear" w:color="auto" w:fill="FFFFFF"/>
        </w:rPr>
        <w:t>, </w:t>
      </w:r>
      <w:r w:rsidRPr="00F82E89">
        <w:rPr>
          <w:iCs/>
          <w:szCs w:val="24"/>
          <w:shd w:val="clear" w:color="auto" w:fill="FFFFFF"/>
        </w:rPr>
        <w:t>65</w:t>
      </w:r>
      <w:r w:rsidR="002E77BE" w:rsidRPr="00F82E89">
        <w:rPr>
          <w:szCs w:val="24"/>
          <w:shd w:val="clear" w:color="auto" w:fill="FFFFFF"/>
        </w:rPr>
        <w:t xml:space="preserve">(2), </w:t>
      </w:r>
      <w:r w:rsidRPr="00F82E89">
        <w:rPr>
          <w:szCs w:val="24"/>
          <w:shd w:val="clear" w:color="auto" w:fill="FFFFFF"/>
        </w:rPr>
        <w:t>492-516.</w:t>
      </w:r>
      <w:r w:rsidR="002E77BE" w:rsidRPr="00F82E89">
        <w:rPr>
          <w:szCs w:val="24"/>
          <w:shd w:val="clear" w:color="auto" w:fill="FFFFFF"/>
        </w:rPr>
        <w:t xml:space="preserve"> </w:t>
      </w:r>
      <w:hyperlink r:id="rId59" w:history="1">
        <w:r w:rsidR="002E77BE" w:rsidRPr="00F82E89">
          <w:t>https://doi.org/10.1111/sed.12389</w:t>
        </w:r>
      </w:hyperlink>
    </w:p>
    <w:p w:rsidR="006C5BD1" w:rsidRDefault="006C5BD1" w:rsidP="002E77BE">
      <w:pPr>
        <w:pStyle w:val="ListParagraph"/>
      </w:pPr>
      <w:r w:rsidRPr="00F82E89">
        <w:rPr>
          <w:shd w:val="clear" w:color="auto" w:fill="FFFFFF"/>
        </w:rPr>
        <w:t xml:space="preserve">Gibling, M.R., 2006. Width and thickness of fluvial channel bodies and valley fills in the geological record: a literature compilation and classification. </w:t>
      </w:r>
      <w:r w:rsidR="002E77BE" w:rsidRPr="00F82E89">
        <w:rPr>
          <w:iCs/>
          <w:shd w:val="clear" w:color="auto" w:fill="FFFFFF"/>
        </w:rPr>
        <w:t>J.</w:t>
      </w:r>
      <w:r w:rsidRPr="00F82E89">
        <w:rPr>
          <w:iCs/>
          <w:shd w:val="clear" w:color="auto" w:fill="FFFFFF"/>
        </w:rPr>
        <w:t xml:space="preserve"> </w:t>
      </w:r>
      <w:r w:rsidR="002E77BE" w:rsidRPr="00F82E89">
        <w:rPr>
          <w:iCs/>
          <w:shd w:val="clear" w:color="auto" w:fill="FFFFFF"/>
        </w:rPr>
        <w:t>S</w:t>
      </w:r>
      <w:r w:rsidRPr="00F82E89">
        <w:rPr>
          <w:iCs/>
          <w:shd w:val="clear" w:color="auto" w:fill="FFFFFF"/>
        </w:rPr>
        <w:t>ediment</w:t>
      </w:r>
      <w:r w:rsidR="002E77BE" w:rsidRPr="00F82E89">
        <w:rPr>
          <w:iCs/>
          <w:shd w:val="clear" w:color="auto" w:fill="FFFFFF"/>
        </w:rPr>
        <w:t>.</w:t>
      </w:r>
      <w:r w:rsidRPr="00F82E89">
        <w:rPr>
          <w:iCs/>
          <w:shd w:val="clear" w:color="auto" w:fill="FFFFFF"/>
        </w:rPr>
        <w:t xml:space="preserve"> Res</w:t>
      </w:r>
      <w:r w:rsidR="002E77BE" w:rsidRPr="00F82E89">
        <w:rPr>
          <w:iCs/>
          <w:shd w:val="clear" w:color="auto" w:fill="FFFFFF"/>
        </w:rPr>
        <w:t>.</w:t>
      </w:r>
      <w:r w:rsidRPr="00F82E89">
        <w:rPr>
          <w:shd w:val="clear" w:color="auto" w:fill="FFFFFF"/>
        </w:rPr>
        <w:t xml:space="preserve">, </w:t>
      </w:r>
      <w:r w:rsidRPr="00F82E89">
        <w:rPr>
          <w:iCs/>
          <w:shd w:val="clear" w:color="auto" w:fill="FFFFFF"/>
        </w:rPr>
        <w:t>76</w:t>
      </w:r>
      <w:r w:rsidRPr="00F82E89">
        <w:rPr>
          <w:shd w:val="clear" w:color="auto" w:fill="FFFFFF"/>
        </w:rPr>
        <w:t>(5), 731-770.</w:t>
      </w:r>
      <w:r w:rsidR="002E77BE" w:rsidRPr="00F82E89">
        <w:rPr>
          <w:shd w:val="clear" w:color="auto" w:fill="FFFFFF"/>
        </w:rPr>
        <w:t xml:space="preserve"> </w:t>
      </w:r>
      <w:hyperlink r:id="rId60" w:tgtFrame="_blank" w:history="1">
        <w:r w:rsidR="002E77BE" w:rsidRPr="00F82E89">
          <w:t>https://doi.org/10.2110/jsr.2006.060</w:t>
        </w:r>
      </w:hyperlink>
    </w:p>
    <w:p w:rsidR="00E36AB1" w:rsidRPr="00E36AB1" w:rsidRDefault="00E36AB1" w:rsidP="00E36AB1">
      <w:pPr>
        <w:pStyle w:val="ListParagraph"/>
      </w:pPr>
      <w:r>
        <w:rPr>
          <w:shd w:val="clear" w:color="auto" w:fill="FFFFFF"/>
        </w:rPr>
        <w:t>Goovaerts, P., 1999. Impact of the simulation algorithm, magnitude of ergodic fluctuations and number of realizations on the spaces of uncertainty of flow properties. </w:t>
      </w:r>
      <w:r w:rsidRPr="00E36AB1">
        <w:rPr>
          <w:iCs/>
          <w:shd w:val="clear" w:color="auto" w:fill="FFFFFF"/>
        </w:rPr>
        <w:t>Stoch</w:t>
      </w:r>
      <w:r>
        <w:rPr>
          <w:iCs/>
          <w:shd w:val="clear" w:color="auto" w:fill="FFFFFF"/>
        </w:rPr>
        <w:t>.</w:t>
      </w:r>
      <w:r w:rsidRPr="00E36AB1">
        <w:rPr>
          <w:iCs/>
          <w:shd w:val="clear" w:color="auto" w:fill="FFFFFF"/>
        </w:rPr>
        <w:t xml:space="preserve"> Env</w:t>
      </w:r>
      <w:r>
        <w:rPr>
          <w:iCs/>
          <w:shd w:val="clear" w:color="auto" w:fill="FFFFFF"/>
        </w:rPr>
        <w:t>.</w:t>
      </w:r>
      <w:r w:rsidRPr="00E36AB1">
        <w:rPr>
          <w:iCs/>
          <w:shd w:val="clear" w:color="auto" w:fill="FFFFFF"/>
        </w:rPr>
        <w:t xml:space="preserve"> Res</w:t>
      </w:r>
      <w:r>
        <w:rPr>
          <w:iCs/>
          <w:shd w:val="clear" w:color="auto" w:fill="FFFFFF"/>
        </w:rPr>
        <w:t>.</w:t>
      </w:r>
      <w:r w:rsidRPr="00E36AB1">
        <w:rPr>
          <w:iCs/>
          <w:shd w:val="clear" w:color="auto" w:fill="FFFFFF"/>
        </w:rPr>
        <w:t xml:space="preserve"> Risk A</w:t>
      </w:r>
      <w:r>
        <w:rPr>
          <w:iCs/>
          <w:shd w:val="clear" w:color="auto" w:fill="FFFFFF"/>
        </w:rPr>
        <w:t>.,</w:t>
      </w:r>
      <w:r w:rsidRPr="00E36AB1">
        <w:rPr>
          <w:shd w:val="clear" w:color="auto" w:fill="FFFFFF"/>
        </w:rPr>
        <w:t> </w:t>
      </w:r>
      <w:r w:rsidRPr="00E36AB1">
        <w:rPr>
          <w:iCs/>
          <w:shd w:val="clear" w:color="auto" w:fill="FFFFFF"/>
        </w:rPr>
        <w:t>13</w:t>
      </w:r>
      <w:r>
        <w:rPr>
          <w:shd w:val="clear" w:color="auto" w:fill="FFFFFF"/>
        </w:rPr>
        <w:t xml:space="preserve">(3), 161-182. </w:t>
      </w:r>
      <w:r w:rsidRPr="00E36AB1">
        <w:t>https://doi.org/10.1007/s004770050037</w:t>
      </w:r>
    </w:p>
    <w:p w:rsidR="006C5BD1" w:rsidRDefault="006C5BD1" w:rsidP="00F211F1">
      <w:pPr>
        <w:pStyle w:val="ListParagraph"/>
      </w:pPr>
      <w:r w:rsidRPr="00F82E89">
        <w:rPr>
          <w:rFonts w:cs="Times New Roman"/>
          <w:szCs w:val="24"/>
          <w:shd w:val="clear" w:color="auto" w:fill="FFFFFF"/>
        </w:rPr>
        <w:t>Gorelick, N., Hancher, M., Dixon, M., Ilyushchenko, S., Thau, D. and Moore, R., 2017. Google Earth Engine: Planetary-scale geospatial analysis for everyone. </w:t>
      </w:r>
      <w:r w:rsidRPr="00F82E89">
        <w:rPr>
          <w:rFonts w:cs="Times New Roman"/>
          <w:iCs/>
          <w:szCs w:val="24"/>
          <w:shd w:val="clear" w:color="auto" w:fill="FFFFFF"/>
        </w:rPr>
        <w:t>Remote Sens</w:t>
      </w:r>
      <w:r w:rsidR="002E77BE" w:rsidRPr="00F82E89">
        <w:rPr>
          <w:rFonts w:cs="Times New Roman"/>
          <w:iCs/>
          <w:szCs w:val="24"/>
          <w:shd w:val="clear" w:color="auto" w:fill="FFFFFF"/>
        </w:rPr>
        <w:t>.</w:t>
      </w:r>
      <w:r w:rsidRPr="00F82E89">
        <w:rPr>
          <w:rFonts w:cs="Times New Roman"/>
          <w:iCs/>
          <w:szCs w:val="24"/>
          <w:shd w:val="clear" w:color="auto" w:fill="FFFFFF"/>
        </w:rPr>
        <w:t xml:space="preserve"> Environment</w:t>
      </w:r>
      <w:r w:rsidRPr="00F82E89">
        <w:rPr>
          <w:rFonts w:cs="Times New Roman"/>
          <w:szCs w:val="24"/>
          <w:shd w:val="clear" w:color="auto" w:fill="FFFFFF"/>
        </w:rPr>
        <w:t>, </w:t>
      </w:r>
      <w:r w:rsidRPr="00F82E89">
        <w:rPr>
          <w:rFonts w:cs="Times New Roman"/>
          <w:iCs/>
          <w:szCs w:val="24"/>
          <w:shd w:val="clear" w:color="auto" w:fill="FFFFFF"/>
        </w:rPr>
        <w:t>202</w:t>
      </w:r>
      <w:r w:rsidR="002E77BE" w:rsidRPr="00F82E89">
        <w:rPr>
          <w:rFonts w:cs="Times New Roman"/>
          <w:szCs w:val="24"/>
          <w:shd w:val="clear" w:color="auto" w:fill="FFFFFF"/>
        </w:rPr>
        <w:t xml:space="preserve">, </w:t>
      </w:r>
      <w:r w:rsidRPr="00F82E89">
        <w:rPr>
          <w:rFonts w:cs="Times New Roman"/>
          <w:szCs w:val="24"/>
          <w:shd w:val="clear" w:color="auto" w:fill="FFFFFF"/>
        </w:rPr>
        <w:t>18-27.</w:t>
      </w:r>
      <w:r w:rsidR="002E77BE" w:rsidRPr="00F82E89">
        <w:rPr>
          <w:rFonts w:cs="Times New Roman"/>
          <w:szCs w:val="24"/>
          <w:shd w:val="clear" w:color="auto" w:fill="FFFFFF"/>
        </w:rPr>
        <w:t xml:space="preserve"> </w:t>
      </w:r>
      <w:hyperlink r:id="rId61" w:tgtFrame="_blank" w:tooltip="Persistent link using digital object identifier" w:history="1">
        <w:r w:rsidR="002E77BE" w:rsidRPr="00F82E89">
          <w:t>https://doi.org/10.1016/j.rse.2017.06.031</w:t>
        </w:r>
      </w:hyperlink>
    </w:p>
    <w:p w:rsidR="00CC4F4D" w:rsidRPr="00CC4F4D" w:rsidRDefault="00CC4F4D" w:rsidP="00CC4F4D">
      <w:pPr>
        <w:pStyle w:val="ListParagraph"/>
        <w:rPr>
          <w:szCs w:val="24"/>
          <w:shd w:val="clear" w:color="auto" w:fill="FFFFFF"/>
        </w:rPr>
      </w:pPr>
      <w:r>
        <w:rPr>
          <w:shd w:val="clear" w:color="auto" w:fill="FFFFFF"/>
        </w:rPr>
        <w:t>Grove, C. and Jerram, D.A., 2011. jPOR: An ImageJ macro to quantify total optical porosity from blue-stained thin sections. </w:t>
      </w:r>
      <w:r w:rsidRPr="00CC4F4D">
        <w:rPr>
          <w:iCs/>
          <w:shd w:val="clear" w:color="auto" w:fill="FFFFFF"/>
        </w:rPr>
        <w:t>Comput</w:t>
      </w:r>
      <w:r>
        <w:rPr>
          <w:iCs/>
          <w:shd w:val="clear" w:color="auto" w:fill="FFFFFF"/>
        </w:rPr>
        <w:t>.</w:t>
      </w:r>
      <w:r w:rsidRPr="00CC4F4D">
        <w:rPr>
          <w:iCs/>
          <w:shd w:val="clear" w:color="auto" w:fill="FFFFFF"/>
        </w:rPr>
        <w:t xml:space="preserve"> &amp; Geosci</w:t>
      </w:r>
      <w:r>
        <w:rPr>
          <w:iCs/>
          <w:shd w:val="clear" w:color="auto" w:fill="FFFFFF"/>
        </w:rPr>
        <w:t>.</w:t>
      </w:r>
      <w:r w:rsidRPr="00CC4F4D">
        <w:rPr>
          <w:shd w:val="clear" w:color="auto" w:fill="FFFFFF"/>
        </w:rPr>
        <w:t>, </w:t>
      </w:r>
      <w:r w:rsidRPr="00CC4F4D">
        <w:rPr>
          <w:iCs/>
          <w:shd w:val="clear" w:color="auto" w:fill="FFFFFF"/>
        </w:rPr>
        <w:t>37</w:t>
      </w:r>
      <w:r>
        <w:rPr>
          <w:shd w:val="clear" w:color="auto" w:fill="FFFFFF"/>
        </w:rPr>
        <w:t xml:space="preserve">(11), 1850-1859. </w:t>
      </w:r>
      <w:hyperlink r:id="rId62" w:tgtFrame="_blank" w:tooltip="Persistent link using digital object identifier" w:history="1">
        <w:r w:rsidRPr="00CC4F4D">
          <w:t>https://doi.org/10.1016/j.cageo.2011.03.002</w:t>
        </w:r>
      </w:hyperlink>
    </w:p>
    <w:p w:rsidR="006C5BD1" w:rsidRPr="00F82E89" w:rsidRDefault="006C5BD1" w:rsidP="002E77BE">
      <w:pPr>
        <w:pStyle w:val="ListParagraph"/>
      </w:pPr>
      <w:r w:rsidRPr="00F82E89">
        <w:rPr>
          <w:szCs w:val="24"/>
          <w:lang w:eastAsia="en-GB"/>
        </w:rPr>
        <w:t>Hajek, E. A., and Heller, P. L., 2012, Flow-depth scaling in alluvial architecture and nonmarine sequence stratigraphy: example from the Castlegate Sandstone, Central Utah, U.S.A</w:t>
      </w:r>
      <w:r w:rsidR="002E77BE" w:rsidRPr="00F82E89">
        <w:rPr>
          <w:szCs w:val="24"/>
          <w:lang w:eastAsia="en-GB"/>
        </w:rPr>
        <w:t>.</w:t>
      </w:r>
      <w:r w:rsidRPr="00F82E89">
        <w:rPr>
          <w:szCs w:val="24"/>
          <w:lang w:eastAsia="en-GB"/>
        </w:rPr>
        <w:t xml:space="preserve"> J</w:t>
      </w:r>
      <w:r w:rsidR="002E77BE" w:rsidRPr="00F82E89">
        <w:rPr>
          <w:szCs w:val="24"/>
          <w:lang w:eastAsia="en-GB"/>
        </w:rPr>
        <w:t>.</w:t>
      </w:r>
      <w:r w:rsidRPr="00F82E89">
        <w:rPr>
          <w:szCs w:val="24"/>
          <w:lang w:eastAsia="en-GB"/>
        </w:rPr>
        <w:t xml:space="preserve"> of Sediment</w:t>
      </w:r>
      <w:r w:rsidR="002E77BE" w:rsidRPr="00F82E89">
        <w:rPr>
          <w:szCs w:val="24"/>
          <w:lang w:eastAsia="en-GB"/>
        </w:rPr>
        <w:t>.</w:t>
      </w:r>
      <w:r w:rsidRPr="00F82E89">
        <w:rPr>
          <w:szCs w:val="24"/>
          <w:lang w:eastAsia="en-GB"/>
        </w:rPr>
        <w:t xml:space="preserve"> Res</w:t>
      </w:r>
      <w:r w:rsidR="002E77BE" w:rsidRPr="00F82E89">
        <w:rPr>
          <w:szCs w:val="24"/>
          <w:lang w:eastAsia="en-GB"/>
        </w:rPr>
        <w:t>.</w:t>
      </w:r>
      <w:r w:rsidRPr="00F82E89">
        <w:rPr>
          <w:szCs w:val="24"/>
          <w:lang w:eastAsia="en-GB"/>
        </w:rPr>
        <w:t>, 82</w:t>
      </w:r>
      <w:r w:rsidR="002E77BE" w:rsidRPr="00F82E89">
        <w:rPr>
          <w:szCs w:val="24"/>
          <w:lang w:eastAsia="en-GB"/>
        </w:rPr>
        <w:t>(</w:t>
      </w:r>
      <w:r w:rsidRPr="00F82E89">
        <w:rPr>
          <w:szCs w:val="24"/>
          <w:lang w:eastAsia="en-GB"/>
        </w:rPr>
        <w:t>2</w:t>
      </w:r>
      <w:r w:rsidR="002E77BE" w:rsidRPr="00F82E89">
        <w:rPr>
          <w:szCs w:val="24"/>
          <w:lang w:eastAsia="en-GB"/>
        </w:rPr>
        <w:t>)</w:t>
      </w:r>
      <w:r w:rsidRPr="00F82E89">
        <w:rPr>
          <w:szCs w:val="24"/>
          <w:lang w:eastAsia="en-GB"/>
        </w:rPr>
        <w:t xml:space="preserve">, </w:t>
      </w:r>
      <w:r w:rsidR="002E77BE" w:rsidRPr="00F82E89">
        <w:rPr>
          <w:szCs w:val="24"/>
          <w:lang w:eastAsia="en-GB"/>
        </w:rPr>
        <w:t>1</w:t>
      </w:r>
      <w:r w:rsidRPr="00F82E89">
        <w:rPr>
          <w:szCs w:val="24"/>
          <w:lang w:eastAsia="en-GB"/>
        </w:rPr>
        <w:t>21-130.</w:t>
      </w:r>
      <w:r w:rsidR="002E77BE" w:rsidRPr="00F82E89">
        <w:rPr>
          <w:szCs w:val="24"/>
          <w:lang w:eastAsia="en-GB"/>
        </w:rPr>
        <w:t xml:space="preserve"> </w:t>
      </w:r>
      <w:hyperlink r:id="rId63" w:tgtFrame="_blank" w:history="1">
        <w:r w:rsidR="002E77BE" w:rsidRPr="00F82E89">
          <w:t>https://doi.org/10.2110/jsr.2012.8</w:t>
        </w:r>
      </w:hyperlink>
    </w:p>
    <w:p w:rsidR="006C5BD1" w:rsidRPr="00F82E89" w:rsidRDefault="006C5BD1" w:rsidP="002E77BE">
      <w:pPr>
        <w:pStyle w:val="ListParagraph"/>
      </w:pPr>
      <w:r w:rsidRPr="00F82E89">
        <w:rPr>
          <w:szCs w:val="24"/>
          <w:shd w:val="clear" w:color="auto" w:fill="FFFFFF"/>
        </w:rPr>
        <w:t>Hampson, G.J., Davies, W., Davies, S.J., Howell, J.A. and Adamson, K.R., 2005. Use of spectral gamma-ray data to refine subsurface fluvial stratigraphy: Late Cretaceous strata in the Book Cliffs, Utah, USA. </w:t>
      </w:r>
      <w:r w:rsidRPr="00F82E89">
        <w:rPr>
          <w:iCs/>
          <w:szCs w:val="24"/>
          <w:shd w:val="clear" w:color="auto" w:fill="FFFFFF"/>
        </w:rPr>
        <w:t>J</w:t>
      </w:r>
      <w:r w:rsidR="002E77BE" w:rsidRPr="00F82E89">
        <w:rPr>
          <w:iCs/>
          <w:szCs w:val="24"/>
          <w:shd w:val="clear" w:color="auto" w:fill="FFFFFF"/>
        </w:rPr>
        <w:t>.</w:t>
      </w:r>
      <w:r w:rsidRPr="00F82E89">
        <w:rPr>
          <w:iCs/>
          <w:szCs w:val="24"/>
          <w:shd w:val="clear" w:color="auto" w:fill="FFFFFF"/>
        </w:rPr>
        <w:t xml:space="preserve"> Geol</w:t>
      </w:r>
      <w:r w:rsidR="002E77BE" w:rsidRPr="00F82E89">
        <w:rPr>
          <w:iCs/>
          <w:szCs w:val="24"/>
          <w:shd w:val="clear" w:color="auto" w:fill="FFFFFF"/>
        </w:rPr>
        <w:t xml:space="preserve">. </w:t>
      </w:r>
      <w:r w:rsidRPr="00F82E89">
        <w:rPr>
          <w:iCs/>
          <w:szCs w:val="24"/>
          <w:shd w:val="clear" w:color="auto" w:fill="FFFFFF"/>
        </w:rPr>
        <w:t>Soc</w:t>
      </w:r>
      <w:r w:rsidR="002E77BE" w:rsidRPr="00F82E89">
        <w:rPr>
          <w:iCs/>
          <w:szCs w:val="24"/>
          <w:shd w:val="clear" w:color="auto" w:fill="FFFFFF"/>
        </w:rPr>
        <w:t>. London</w:t>
      </w:r>
      <w:r w:rsidRPr="00F82E89">
        <w:rPr>
          <w:szCs w:val="24"/>
          <w:shd w:val="clear" w:color="auto" w:fill="FFFFFF"/>
        </w:rPr>
        <w:t>, </w:t>
      </w:r>
      <w:r w:rsidRPr="00F82E89">
        <w:rPr>
          <w:iCs/>
          <w:szCs w:val="24"/>
          <w:shd w:val="clear" w:color="auto" w:fill="FFFFFF"/>
        </w:rPr>
        <w:t>162</w:t>
      </w:r>
      <w:r w:rsidR="002E77BE" w:rsidRPr="00F82E89">
        <w:rPr>
          <w:szCs w:val="24"/>
          <w:shd w:val="clear" w:color="auto" w:fill="FFFFFF"/>
        </w:rPr>
        <w:t xml:space="preserve">(4), </w:t>
      </w:r>
      <w:r w:rsidRPr="00F82E89">
        <w:rPr>
          <w:szCs w:val="24"/>
          <w:shd w:val="clear" w:color="auto" w:fill="FFFFFF"/>
        </w:rPr>
        <w:t>603-621.</w:t>
      </w:r>
      <w:r w:rsidR="002E77BE" w:rsidRPr="00F82E89">
        <w:rPr>
          <w:szCs w:val="24"/>
          <w:shd w:val="clear" w:color="auto" w:fill="FFFFFF"/>
        </w:rPr>
        <w:t xml:space="preserve"> </w:t>
      </w:r>
      <w:hyperlink r:id="rId64" w:tgtFrame="_blank" w:history="1">
        <w:r w:rsidR="002E77BE" w:rsidRPr="00F82E89">
          <w:t>https://doi.org/10.1144/0016-764904-059</w:t>
        </w:r>
      </w:hyperlink>
    </w:p>
    <w:p w:rsidR="006C5BD1" w:rsidRPr="00F82E89" w:rsidRDefault="006C5BD1" w:rsidP="00432A81">
      <w:pPr>
        <w:pStyle w:val="ListParagraph"/>
      </w:pPr>
      <w:r w:rsidRPr="00F82E89">
        <w:rPr>
          <w:rFonts w:cs="Times New Roman"/>
          <w:szCs w:val="24"/>
          <w:shd w:val="clear" w:color="auto" w:fill="FFFFFF"/>
        </w:rPr>
        <w:t>Henares, S., Caracciolo, L., Viseras, C., Fernández, J. and Yeste, L.M., 2016. Diagenetic constraints on heterogeneous reservoir quality assessment: A Triassic outcrop analog of meandering fluvial reservoirs. </w:t>
      </w:r>
      <w:r w:rsidRPr="00F82E89">
        <w:rPr>
          <w:rFonts w:cs="Times New Roman"/>
          <w:iCs/>
          <w:szCs w:val="24"/>
          <w:shd w:val="clear" w:color="auto" w:fill="FFFFFF"/>
        </w:rPr>
        <w:t>AAPG Bull</w:t>
      </w:r>
      <w:r w:rsidR="00F72781" w:rsidRPr="00F82E89">
        <w:rPr>
          <w:rFonts w:cs="Times New Roman"/>
          <w:iCs/>
          <w:szCs w:val="24"/>
          <w:shd w:val="clear" w:color="auto" w:fill="FFFFFF"/>
        </w:rPr>
        <w:t>.</w:t>
      </w:r>
      <w:r w:rsidRPr="00F82E89">
        <w:rPr>
          <w:rFonts w:cs="Times New Roman"/>
          <w:szCs w:val="24"/>
          <w:shd w:val="clear" w:color="auto" w:fill="FFFFFF"/>
        </w:rPr>
        <w:t>, </w:t>
      </w:r>
      <w:r w:rsidRPr="00F82E89">
        <w:rPr>
          <w:rFonts w:cs="Times New Roman"/>
          <w:iCs/>
          <w:szCs w:val="24"/>
          <w:shd w:val="clear" w:color="auto" w:fill="FFFFFF"/>
        </w:rPr>
        <w:t>100</w:t>
      </w:r>
      <w:r w:rsidR="00432A81" w:rsidRPr="00F82E89">
        <w:rPr>
          <w:rFonts w:cs="Times New Roman"/>
          <w:szCs w:val="24"/>
          <w:shd w:val="clear" w:color="auto" w:fill="FFFFFF"/>
        </w:rPr>
        <w:t xml:space="preserve">(9), </w:t>
      </w:r>
      <w:r w:rsidRPr="00F82E89">
        <w:rPr>
          <w:rFonts w:cs="Times New Roman"/>
          <w:szCs w:val="24"/>
          <w:shd w:val="clear" w:color="auto" w:fill="FFFFFF"/>
        </w:rPr>
        <w:t>1377-1398.</w:t>
      </w:r>
      <w:r w:rsidR="00432A81" w:rsidRPr="00F82E89">
        <w:t xml:space="preserve"> </w:t>
      </w:r>
      <w:hyperlink r:id="rId65" w:tgtFrame="_blank" w:history="1">
        <w:r w:rsidR="00432A81" w:rsidRPr="00F82E89">
          <w:t>https://doi.org/10.1306/04041615103</w:t>
        </w:r>
      </w:hyperlink>
    </w:p>
    <w:p w:rsidR="00F33C8C" w:rsidRPr="00F82E89" w:rsidRDefault="00432A81" w:rsidP="00432A81">
      <w:pPr>
        <w:pStyle w:val="ListParagraph"/>
      </w:pPr>
      <w:r w:rsidRPr="00F82E89">
        <w:t>Hodgetts, D., Seers, T., Head, W., and Burnham, B.S.</w:t>
      </w:r>
      <w:r w:rsidRPr="00F82E89">
        <w:rPr>
          <w:shd w:val="clear" w:color="auto" w:fill="FFFFFF"/>
        </w:rPr>
        <w:t xml:space="preserve">, </w:t>
      </w:r>
      <w:r w:rsidRPr="00F82E89">
        <w:t>2015</w:t>
      </w:r>
      <w:r w:rsidRPr="00F82E89">
        <w:rPr>
          <w:shd w:val="clear" w:color="auto" w:fill="FFFFFF"/>
        </w:rPr>
        <w:t xml:space="preserve">, </w:t>
      </w:r>
      <w:r w:rsidRPr="00F82E89">
        <w:t>High performance visualisation of multiscale geological outcrop data in single software environment</w:t>
      </w:r>
      <w:r w:rsidRPr="00F82E89">
        <w:rPr>
          <w:shd w:val="clear" w:color="auto" w:fill="FFFFFF"/>
        </w:rPr>
        <w:t xml:space="preserve">, In: </w:t>
      </w:r>
      <w:r w:rsidRPr="00F82E89">
        <w:t>77th European Association of Geoscientists and Engineers (EAGE) Conference and Exhibition:</w:t>
      </w:r>
      <w:r w:rsidRPr="00F82E89">
        <w:rPr>
          <w:shd w:val="clear" w:color="auto" w:fill="FFFFFF"/>
        </w:rPr>
        <w:t xml:space="preserve"> </w:t>
      </w:r>
      <w:r w:rsidRPr="00F82E89">
        <w:t>Proceedings for the 2015 EAGE meeting in Madrid</w:t>
      </w:r>
      <w:r w:rsidRPr="00F82E89">
        <w:rPr>
          <w:shd w:val="clear" w:color="auto" w:fill="FFFFFF"/>
        </w:rPr>
        <w:t xml:space="preserve">, </w:t>
      </w:r>
      <w:r w:rsidRPr="00F82E89">
        <w:t>Spain</w:t>
      </w:r>
      <w:r w:rsidRPr="00F82E89">
        <w:rPr>
          <w:shd w:val="clear" w:color="auto" w:fill="FFFFFF"/>
        </w:rPr>
        <w:t xml:space="preserve">, </w:t>
      </w:r>
      <w:hyperlink r:id="rId66" w:tgtFrame="_blank" w:history="1">
        <w:r w:rsidRPr="00F82E89">
          <w:t>https://doi.org/10.3997/2214-4609.201412862</w:t>
        </w:r>
      </w:hyperlink>
      <w:r w:rsidRPr="00F82E89">
        <w:t>.</w:t>
      </w:r>
    </w:p>
    <w:p w:rsidR="006C5BD1" w:rsidRPr="00F82E89" w:rsidRDefault="006C5BD1" w:rsidP="00F211F1">
      <w:pPr>
        <w:pStyle w:val="ListParagraph"/>
        <w:rPr>
          <w:szCs w:val="24"/>
        </w:rPr>
      </w:pPr>
      <w:r w:rsidRPr="00F82E89">
        <w:rPr>
          <w:szCs w:val="24"/>
        </w:rPr>
        <w:t>Holden, L., Hauge, R., Skare, Ø., and Skorstad, A., 1998. Modeling of fluvial reservoirs with object models, Math</w:t>
      </w:r>
      <w:r w:rsidR="008A4FDC" w:rsidRPr="00F82E89">
        <w:rPr>
          <w:szCs w:val="24"/>
        </w:rPr>
        <w:t>. Geol.</w:t>
      </w:r>
      <w:r w:rsidRPr="00F82E89">
        <w:rPr>
          <w:szCs w:val="24"/>
        </w:rPr>
        <w:t>, 30(5), 473-496.</w:t>
      </w:r>
      <w:r w:rsidR="008A4FDC" w:rsidRPr="00F82E89">
        <w:rPr>
          <w:szCs w:val="24"/>
        </w:rPr>
        <w:t xml:space="preserve"> </w:t>
      </w:r>
      <w:r w:rsidR="008A4FDC" w:rsidRPr="00F82E89">
        <w:t>https://doi.org/10.1023/A:1021769526425</w:t>
      </w:r>
    </w:p>
    <w:p w:rsidR="00F33C8C" w:rsidRPr="00F82E89" w:rsidRDefault="006C5BD1" w:rsidP="00F211F1">
      <w:pPr>
        <w:pStyle w:val="ListParagraph"/>
        <w:rPr>
          <w:szCs w:val="24"/>
        </w:rPr>
      </w:pPr>
      <w:r w:rsidRPr="00F82E89">
        <w:rPr>
          <w:szCs w:val="24"/>
          <w:shd w:val="clear" w:color="auto" w:fill="FFFFFF"/>
        </w:rPr>
        <w:t>Hornung, J. and Aigner, T., 1999. Reservoir and aquifer characterization of fluvial architectural elements: Stubensandstein, Upper Triassic, southwest Germany. </w:t>
      </w:r>
      <w:r w:rsidRPr="00F82E89">
        <w:rPr>
          <w:iCs/>
          <w:szCs w:val="24"/>
          <w:shd w:val="clear" w:color="auto" w:fill="FFFFFF"/>
        </w:rPr>
        <w:t>Sediment</w:t>
      </w:r>
      <w:r w:rsidR="008A4FDC" w:rsidRPr="00F82E89">
        <w:rPr>
          <w:iCs/>
          <w:szCs w:val="24"/>
          <w:shd w:val="clear" w:color="auto" w:fill="FFFFFF"/>
        </w:rPr>
        <w:t>.</w:t>
      </w:r>
      <w:r w:rsidRPr="00F82E89">
        <w:rPr>
          <w:iCs/>
          <w:szCs w:val="24"/>
          <w:shd w:val="clear" w:color="auto" w:fill="FFFFFF"/>
        </w:rPr>
        <w:t xml:space="preserve"> Geol</w:t>
      </w:r>
      <w:r w:rsidR="008A4FDC" w:rsidRPr="00F82E89">
        <w:rPr>
          <w:iCs/>
          <w:szCs w:val="24"/>
          <w:shd w:val="clear" w:color="auto" w:fill="FFFFFF"/>
        </w:rPr>
        <w:t>.</w:t>
      </w:r>
      <w:r w:rsidRPr="00F82E89">
        <w:rPr>
          <w:szCs w:val="24"/>
          <w:shd w:val="clear" w:color="auto" w:fill="FFFFFF"/>
        </w:rPr>
        <w:t>, </w:t>
      </w:r>
      <w:r w:rsidRPr="00F82E89">
        <w:rPr>
          <w:iCs/>
          <w:szCs w:val="24"/>
          <w:shd w:val="clear" w:color="auto" w:fill="FFFFFF"/>
        </w:rPr>
        <w:t>129</w:t>
      </w:r>
      <w:r w:rsidR="008A4FDC" w:rsidRPr="00F82E89">
        <w:rPr>
          <w:szCs w:val="24"/>
          <w:shd w:val="clear" w:color="auto" w:fill="FFFFFF"/>
        </w:rPr>
        <w:t xml:space="preserve">(3-4), </w:t>
      </w:r>
      <w:r w:rsidRPr="00F82E89">
        <w:rPr>
          <w:szCs w:val="24"/>
          <w:shd w:val="clear" w:color="auto" w:fill="FFFFFF"/>
        </w:rPr>
        <w:t>215-280.</w:t>
      </w:r>
      <w:r w:rsidR="00F33C8C" w:rsidRPr="00F82E89">
        <w:rPr>
          <w:szCs w:val="24"/>
        </w:rPr>
        <w:t xml:space="preserve"> </w:t>
      </w:r>
      <w:hyperlink r:id="rId67" w:tgtFrame="_blank" w:tooltip="Persistent link using digital object identifier" w:history="1">
        <w:r w:rsidR="008A4FDC" w:rsidRPr="00F82E89">
          <w:t>https://doi.org/10.1016/S0037-0738(99)00103-7</w:t>
        </w:r>
      </w:hyperlink>
    </w:p>
    <w:p w:rsidR="00F33C8C" w:rsidRPr="00F82E89" w:rsidRDefault="00F33C8C" w:rsidP="00F211F1">
      <w:pPr>
        <w:pStyle w:val="ListParagraph"/>
        <w:rPr>
          <w:szCs w:val="24"/>
        </w:rPr>
      </w:pPr>
      <w:r w:rsidRPr="00F82E89">
        <w:rPr>
          <w:szCs w:val="24"/>
        </w:rPr>
        <w:t>Hovadik, J., and Laure, D.K., 2007. Static characterizations of reservoirs: Refining the concept of connectivity and continuity, Petrol</w:t>
      </w:r>
      <w:r w:rsidR="001776AE" w:rsidRPr="00F82E89">
        <w:rPr>
          <w:szCs w:val="24"/>
        </w:rPr>
        <w:t>.</w:t>
      </w:r>
      <w:r w:rsidRPr="00F82E89">
        <w:rPr>
          <w:szCs w:val="24"/>
        </w:rPr>
        <w:t xml:space="preserve"> Geo</w:t>
      </w:r>
      <w:r w:rsidR="001776AE" w:rsidRPr="00F82E89">
        <w:rPr>
          <w:szCs w:val="24"/>
        </w:rPr>
        <w:t>.</w:t>
      </w:r>
      <w:r w:rsidRPr="00F82E89">
        <w:rPr>
          <w:szCs w:val="24"/>
        </w:rPr>
        <w:t>, 13, 237-252</w:t>
      </w:r>
      <w:r w:rsidR="001776AE" w:rsidRPr="00F82E89">
        <w:rPr>
          <w:szCs w:val="24"/>
        </w:rPr>
        <w:t xml:space="preserve">. </w:t>
      </w:r>
      <w:hyperlink r:id="rId68" w:history="1">
        <w:r w:rsidR="001776AE" w:rsidRPr="00F82E89">
          <w:t>https://doi.org/10.1144/1354-079305-697</w:t>
        </w:r>
      </w:hyperlink>
    </w:p>
    <w:p w:rsidR="006C5BD1" w:rsidRPr="00F82E89" w:rsidRDefault="00F33C8C" w:rsidP="00F72781">
      <w:pPr>
        <w:pStyle w:val="ListParagraph"/>
        <w:rPr>
          <w:szCs w:val="24"/>
        </w:rPr>
      </w:pPr>
      <w:r w:rsidRPr="00F82E89">
        <w:rPr>
          <w:shd w:val="clear" w:color="auto" w:fill="FFFFFF"/>
        </w:rPr>
        <w:t xml:space="preserve">Howell, J.A., Martinius, A.W. and Good, T.R., 2014. The application of outcrop analogues in geological modelling: a review, </w:t>
      </w:r>
      <w:r w:rsidRPr="00F82E89">
        <w:t>present</w:t>
      </w:r>
      <w:r w:rsidRPr="00F82E89">
        <w:rPr>
          <w:shd w:val="clear" w:color="auto" w:fill="FFFFFF"/>
        </w:rPr>
        <w:t xml:space="preserve"> status and future outlook. </w:t>
      </w:r>
      <w:r w:rsidRPr="00F82E89">
        <w:rPr>
          <w:iCs/>
          <w:shd w:val="clear" w:color="auto" w:fill="FFFFFF"/>
        </w:rPr>
        <w:t>Geol</w:t>
      </w:r>
      <w:r w:rsidR="00244107" w:rsidRPr="00F82E89">
        <w:rPr>
          <w:iCs/>
          <w:shd w:val="clear" w:color="auto" w:fill="FFFFFF"/>
        </w:rPr>
        <w:t>.</w:t>
      </w:r>
      <w:r w:rsidRPr="00F82E89">
        <w:rPr>
          <w:iCs/>
          <w:shd w:val="clear" w:color="auto" w:fill="FFFFFF"/>
        </w:rPr>
        <w:t xml:space="preserve"> Soc</w:t>
      </w:r>
      <w:r w:rsidR="00244107" w:rsidRPr="00F82E89">
        <w:rPr>
          <w:iCs/>
          <w:shd w:val="clear" w:color="auto" w:fill="FFFFFF"/>
        </w:rPr>
        <w:t>.</w:t>
      </w:r>
      <w:r w:rsidRPr="00F82E89">
        <w:rPr>
          <w:iCs/>
          <w:shd w:val="clear" w:color="auto" w:fill="FFFFFF"/>
        </w:rPr>
        <w:t xml:space="preserve"> Spec</w:t>
      </w:r>
      <w:r w:rsidR="00244107" w:rsidRPr="00F82E89">
        <w:rPr>
          <w:iCs/>
          <w:shd w:val="clear" w:color="auto" w:fill="FFFFFF"/>
        </w:rPr>
        <w:t>.</w:t>
      </w:r>
      <w:r w:rsidRPr="00F82E89">
        <w:rPr>
          <w:iCs/>
          <w:shd w:val="clear" w:color="auto" w:fill="FFFFFF"/>
        </w:rPr>
        <w:t xml:space="preserve"> Pub</w:t>
      </w:r>
      <w:r w:rsidR="00244107" w:rsidRPr="00F82E89">
        <w:rPr>
          <w:iCs/>
          <w:shd w:val="clear" w:color="auto" w:fill="FFFFFF"/>
        </w:rPr>
        <w:t>.</w:t>
      </w:r>
      <w:r w:rsidRPr="00F82E89">
        <w:rPr>
          <w:shd w:val="clear" w:color="auto" w:fill="FFFFFF"/>
        </w:rPr>
        <w:t>, </w:t>
      </w:r>
      <w:r w:rsidRPr="00F82E89">
        <w:rPr>
          <w:iCs/>
          <w:shd w:val="clear" w:color="auto" w:fill="FFFFFF"/>
        </w:rPr>
        <w:t>387</w:t>
      </w:r>
      <w:r w:rsidRPr="00F82E89">
        <w:rPr>
          <w:shd w:val="clear" w:color="auto" w:fill="FFFFFF"/>
        </w:rPr>
        <w:t>, 1-25.</w:t>
      </w:r>
      <w:r w:rsidR="00244107" w:rsidRPr="00F82E89">
        <w:rPr>
          <w:shd w:val="clear" w:color="auto" w:fill="FFFFFF"/>
        </w:rPr>
        <w:t xml:space="preserve"> </w:t>
      </w:r>
      <w:hyperlink r:id="rId69" w:history="1">
        <w:r w:rsidR="00244107" w:rsidRPr="00F82E89">
          <w:t>https://doi.org/10.1144/SP387.12</w:t>
        </w:r>
      </w:hyperlink>
    </w:p>
    <w:p w:rsidR="006C5BD1" w:rsidRPr="00F82E89" w:rsidRDefault="006C5BD1" w:rsidP="00F211F1">
      <w:pPr>
        <w:pStyle w:val="ListParagraph"/>
        <w:rPr>
          <w:rFonts w:cs="Times New Roman"/>
          <w:szCs w:val="24"/>
          <w:shd w:val="clear" w:color="auto" w:fill="FFFFFF"/>
        </w:rPr>
      </w:pPr>
      <w:r w:rsidRPr="00F82E89">
        <w:rPr>
          <w:rFonts w:cs="Times New Roman"/>
          <w:szCs w:val="24"/>
          <w:shd w:val="clear" w:color="auto" w:fill="FFFFFF"/>
        </w:rPr>
        <w:t>Hu, L.Y., Liu, Y., Scheepens, C., Shultz, A.W. and Thompson, R.D., 2014. Multiple-point simulation with an existing reservoir model as training image. </w:t>
      </w:r>
      <w:r w:rsidR="00244107" w:rsidRPr="00F82E89">
        <w:rPr>
          <w:rFonts w:cs="Times New Roman"/>
          <w:iCs/>
          <w:szCs w:val="24"/>
          <w:shd w:val="clear" w:color="auto" w:fill="FFFFFF"/>
        </w:rPr>
        <w:t>Math.</w:t>
      </w:r>
      <w:r w:rsidRPr="00F82E89">
        <w:rPr>
          <w:rFonts w:cs="Times New Roman"/>
          <w:iCs/>
          <w:szCs w:val="24"/>
          <w:shd w:val="clear" w:color="auto" w:fill="FFFFFF"/>
        </w:rPr>
        <w:t xml:space="preserve"> Geo</w:t>
      </w:r>
      <w:r w:rsidR="00244107" w:rsidRPr="00F82E89">
        <w:rPr>
          <w:rFonts w:cs="Times New Roman"/>
          <w:iCs/>
          <w:szCs w:val="24"/>
          <w:shd w:val="clear" w:color="auto" w:fill="FFFFFF"/>
        </w:rPr>
        <w:t>.</w:t>
      </w:r>
      <w:r w:rsidRPr="00F82E89">
        <w:rPr>
          <w:rFonts w:cs="Times New Roman"/>
          <w:szCs w:val="24"/>
          <w:shd w:val="clear" w:color="auto" w:fill="FFFFFF"/>
        </w:rPr>
        <w:t>, </w:t>
      </w:r>
      <w:r w:rsidRPr="00F82E89">
        <w:rPr>
          <w:rFonts w:cs="Times New Roman"/>
          <w:iCs/>
          <w:szCs w:val="24"/>
          <w:shd w:val="clear" w:color="auto" w:fill="FFFFFF"/>
        </w:rPr>
        <w:t>46</w:t>
      </w:r>
      <w:r w:rsidR="00244107" w:rsidRPr="00F82E89">
        <w:rPr>
          <w:rFonts w:cs="Times New Roman"/>
          <w:szCs w:val="24"/>
          <w:shd w:val="clear" w:color="auto" w:fill="FFFFFF"/>
        </w:rPr>
        <w:t xml:space="preserve">, </w:t>
      </w:r>
      <w:r w:rsidRPr="00F82E89">
        <w:rPr>
          <w:rFonts w:cs="Times New Roman"/>
          <w:szCs w:val="24"/>
          <w:shd w:val="clear" w:color="auto" w:fill="FFFFFF"/>
        </w:rPr>
        <w:t>227-240.</w:t>
      </w:r>
      <w:r w:rsidR="00244107" w:rsidRPr="00F82E89">
        <w:rPr>
          <w:rFonts w:cs="Times New Roman"/>
          <w:szCs w:val="24"/>
          <w:shd w:val="clear" w:color="auto" w:fill="FFFFFF"/>
        </w:rPr>
        <w:t xml:space="preserve"> </w:t>
      </w:r>
      <w:r w:rsidR="00244107" w:rsidRPr="00F82E89">
        <w:t>https://doi.org/10.1007/s11004-013-9488-8</w:t>
      </w:r>
    </w:p>
    <w:p w:rsidR="006C5BD1" w:rsidRDefault="006C5BD1" w:rsidP="00F211F1">
      <w:pPr>
        <w:pStyle w:val="ListParagraph"/>
      </w:pPr>
      <w:r w:rsidRPr="00F82E89">
        <w:rPr>
          <w:szCs w:val="24"/>
          <w:shd w:val="clear" w:color="auto" w:fill="FFFFFF"/>
        </w:rPr>
        <w:t>Ielpi, A. and Ghinassi, M., 2014. Planform architecture, stratigraphic signature and morphodynamics of an exhumed Jurassic meander plain (Scalby Formation, Yorkshire, UK). </w:t>
      </w:r>
      <w:r w:rsidRPr="00F82E89">
        <w:rPr>
          <w:iCs/>
          <w:szCs w:val="24"/>
          <w:shd w:val="clear" w:color="auto" w:fill="FFFFFF"/>
        </w:rPr>
        <w:t>Sedimentology</w:t>
      </w:r>
      <w:r w:rsidRPr="00F82E89">
        <w:rPr>
          <w:szCs w:val="24"/>
          <w:shd w:val="clear" w:color="auto" w:fill="FFFFFF"/>
        </w:rPr>
        <w:t>, </w:t>
      </w:r>
      <w:r w:rsidRPr="00F82E89">
        <w:rPr>
          <w:iCs/>
          <w:szCs w:val="24"/>
          <w:shd w:val="clear" w:color="auto" w:fill="FFFFFF"/>
        </w:rPr>
        <w:t>61</w:t>
      </w:r>
      <w:r w:rsidR="00244107" w:rsidRPr="00F82E89">
        <w:rPr>
          <w:szCs w:val="24"/>
          <w:shd w:val="clear" w:color="auto" w:fill="FFFFFF"/>
        </w:rPr>
        <w:t xml:space="preserve">(7), </w:t>
      </w:r>
      <w:r w:rsidRPr="00F82E89">
        <w:rPr>
          <w:szCs w:val="24"/>
          <w:shd w:val="clear" w:color="auto" w:fill="FFFFFF"/>
        </w:rPr>
        <w:t>1923-1960.</w:t>
      </w:r>
      <w:r w:rsidR="00244107" w:rsidRPr="00F82E89">
        <w:rPr>
          <w:szCs w:val="24"/>
          <w:shd w:val="clear" w:color="auto" w:fill="FFFFFF"/>
        </w:rPr>
        <w:t xml:space="preserve"> </w:t>
      </w:r>
      <w:hyperlink r:id="rId70" w:history="1">
        <w:r w:rsidR="00244107" w:rsidRPr="00F82E89">
          <w:t>https://doi.org/10.1111/sed.12122</w:t>
        </w:r>
      </w:hyperlink>
    </w:p>
    <w:p w:rsidR="008B4EBA" w:rsidRPr="008B4EBA" w:rsidRDefault="008B4EBA" w:rsidP="008B4EBA">
      <w:pPr>
        <w:pStyle w:val="ListParagraph"/>
        <w:rPr>
          <w:szCs w:val="24"/>
        </w:rPr>
      </w:pPr>
      <w:r>
        <w:rPr>
          <w:shd w:val="clear" w:color="auto" w:fill="FFFFFF"/>
        </w:rPr>
        <w:t>Jones, J.A. and Hartley, A.J., 1993. Reservoir characteristics of a braid-plain depositional system: the Upper Carboniferous Pennant Sandstone of South Wales. </w:t>
      </w:r>
      <w:r w:rsidRPr="00F82E89">
        <w:rPr>
          <w:iCs/>
          <w:shd w:val="clear" w:color="auto" w:fill="FFFFFF"/>
        </w:rPr>
        <w:t>Geol. Soc. Spec. Pub</w:t>
      </w:r>
      <w:r w:rsidRPr="008B4EBA">
        <w:rPr>
          <w:shd w:val="clear" w:color="auto" w:fill="FFFFFF"/>
        </w:rPr>
        <w:t>, </w:t>
      </w:r>
      <w:r w:rsidRPr="008B4EBA">
        <w:rPr>
          <w:iCs/>
          <w:shd w:val="clear" w:color="auto" w:fill="FFFFFF"/>
        </w:rPr>
        <w:t>73</w:t>
      </w:r>
      <w:r>
        <w:rPr>
          <w:shd w:val="clear" w:color="auto" w:fill="FFFFFF"/>
        </w:rPr>
        <w:t xml:space="preserve">(1), 143-156. </w:t>
      </w:r>
      <w:hyperlink r:id="rId71" w:history="1">
        <w:r w:rsidRPr="008B4EBA">
          <w:t>https://doi.org/10.1144/GSL.SP.1993.073.01.09</w:t>
        </w:r>
      </w:hyperlink>
    </w:p>
    <w:p w:rsidR="006C5BD1" w:rsidRPr="00F82E89" w:rsidRDefault="006C5BD1" w:rsidP="00F211F1">
      <w:pPr>
        <w:pStyle w:val="ListParagraph"/>
        <w:rPr>
          <w:szCs w:val="24"/>
        </w:rPr>
      </w:pPr>
      <w:r w:rsidRPr="00F82E89">
        <w:rPr>
          <w:szCs w:val="24"/>
        </w:rPr>
        <w:t>Kauffman, E.G. 1977. Geological and biological overview. Mountain Geologist, 14, 79–99.</w:t>
      </w:r>
    </w:p>
    <w:p w:rsidR="006C5BD1" w:rsidRPr="00F82E89" w:rsidRDefault="006C5BD1" w:rsidP="00F211F1">
      <w:pPr>
        <w:pStyle w:val="ListParagraph"/>
        <w:rPr>
          <w:szCs w:val="24"/>
          <w:shd w:val="clear" w:color="auto" w:fill="FFFFFF"/>
        </w:rPr>
      </w:pPr>
      <w:r w:rsidRPr="00F82E89">
        <w:rPr>
          <w:szCs w:val="24"/>
          <w:shd w:val="clear" w:color="auto" w:fill="FFFFFF"/>
        </w:rPr>
        <w:t xml:space="preserve">Koneshloo, M., Aryana, S.A. and Hu, X., 2018. The impact of geological uncertainty on primary production from a fluvial reservoir. </w:t>
      </w:r>
      <w:r w:rsidRPr="00F82E89">
        <w:rPr>
          <w:iCs/>
          <w:szCs w:val="24"/>
          <w:shd w:val="clear" w:color="auto" w:fill="FFFFFF"/>
          <w:lang w:val="fr-FR"/>
        </w:rPr>
        <w:t>Petrol</w:t>
      </w:r>
      <w:r w:rsidR="00244107" w:rsidRPr="00F82E89">
        <w:rPr>
          <w:iCs/>
          <w:szCs w:val="24"/>
          <w:shd w:val="clear" w:color="auto" w:fill="FFFFFF"/>
          <w:lang w:val="fr-FR"/>
        </w:rPr>
        <w:t>.</w:t>
      </w:r>
      <w:r w:rsidRPr="00F82E89">
        <w:rPr>
          <w:iCs/>
          <w:szCs w:val="24"/>
          <w:shd w:val="clear" w:color="auto" w:fill="FFFFFF"/>
          <w:lang w:val="fr-FR"/>
        </w:rPr>
        <w:t xml:space="preserve"> Sci</w:t>
      </w:r>
      <w:r w:rsidR="00244107" w:rsidRPr="00F82E89">
        <w:rPr>
          <w:iCs/>
          <w:szCs w:val="24"/>
          <w:shd w:val="clear" w:color="auto" w:fill="FFFFFF"/>
          <w:lang w:val="fr-FR"/>
        </w:rPr>
        <w:t>.</w:t>
      </w:r>
      <w:r w:rsidRPr="00F82E89">
        <w:rPr>
          <w:szCs w:val="24"/>
          <w:shd w:val="clear" w:color="auto" w:fill="FFFFFF"/>
        </w:rPr>
        <w:t xml:space="preserve">, </w:t>
      </w:r>
      <w:r w:rsidRPr="00F82E89">
        <w:rPr>
          <w:iCs/>
          <w:szCs w:val="24"/>
          <w:shd w:val="clear" w:color="auto" w:fill="FFFFFF"/>
        </w:rPr>
        <w:t>15</w:t>
      </w:r>
      <w:r w:rsidR="00244107" w:rsidRPr="00F82E89">
        <w:rPr>
          <w:szCs w:val="24"/>
          <w:shd w:val="clear" w:color="auto" w:fill="FFFFFF"/>
        </w:rPr>
        <w:t xml:space="preserve">(2), </w:t>
      </w:r>
      <w:r w:rsidRPr="00F82E89">
        <w:rPr>
          <w:szCs w:val="24"/>
          <w:shd w:val="clear" w:color="auto" w:fill="FFFFFF"/>
        </w:rPr>
        <w:t>270-288.</w:t>
      </w:r>
      <w:r w:rsidR="00244107" w:rsidRPr="00F82E89">
        <w:rPr>
          <w:szCs w:val="24"/>
          <w:shd w:val="clear" w:color="auto" w:fill="FFFFFF"/>
        </w:rPr>
        <w:t xml:space="preserve"> </w:t>
      </w:r>
      <w:r w:rsidR="00244107" w:rsidRPr="00F82E89">
        <w:t>https://doi.org/10.1007/s12182-018-0229-y</w:t>
      </w:r>
    </w:p>
    <w:p w:rsidR="006C5BD1" w:rsidRPr="00F82E89" w:rsidRDefault="006C5BD1" w:rsidP="00F211F1">
      <w:pPr>
        <w:pStyle w:val="ListParagraph"/>
        <w:rPr>
          <w:szCs w:val="24"/>
        </w:rPr>
      </w:pPr>
      <w:r w:rsidRPr="00F82E89">
        <w:rPr>
          <w:szCs w:val="24"/>
        </w:rPr>
        <w:t>Laure, D.K., and Hodavik, J., 2006. Connectivity of channelized reservoirs: A modelling approach, Petrol</w:t>
      </w:r>
      <w:r w:rsidR="00244107" w:rsidRPr="00F82E89">
        <w:rPr>
          <w:szCs w:val="24"/>
        </w:rPr>
        <w:t>.</w:t>
      </w:r>
      <w:r w:rsidRPr="00F82E89">
        <w:rPr>
          <w:szCs w:val="24"/>
        </w:rPr>
        <w:t xml:space="preserve"> Geo</w:t>
      </w:r>
      <w:r w:rsidR="00244107" w:rsidRPr="00F82E89">
        <w:rPr>
          <w:szCs w:val="24"/>
        </w:rPr>
        <w:t>.</w:t>
      </w:r>
      <w:r w:rsidRPr="00F82E89">
        <w:rPr>
          <w:szCs w:val="24"/>
        </w:rPr>
        <w:t>, 12, 291-308.</w:t>
      </w:r>
      <w:r w:rsidR="00244107" w:rsidRPr="00F82E89">
        <w:rPr>
          <w:szCs w:val="24"/>
        </w:rPr>
        <w:t xml:space="preserve"> https://doi.org/</w:t>
      </w:r>
      <w:r w:rsidR="00244107" w:rsidRPr="00F82E89">
        <w:t>10.1144/1354-079306-699</w:t>
      </w:r>
      <w:r w:rsidR="00244107" w:rsidRPr="00F82E89">
        <w:rPr>
          <w:rFonts w:ascii="Verdana" w:hAnsi="Verdana"/>
          <w:sz w:val="18"/>
          <w:szCs w:val="18"/>
          <w:shd w:val="clear" w:color="auto" w:fill="F4F8FC"/>
        </w:rPr>
        <w:t> </w:t>
      </w:r>
    </w:p>
    <w:p w:rsidR="006C5BD1" w:rsidRPr="00F82E89" w:rsidRDefault="006C5BD1" w:rsidP="00F211F1">
      <w:pPr>
        <w:pStyle w:val="ListParagraph"/>
        <w:rPr>
          <w:szCs w:val="24"/>
        </w:rPr>
      </w:pPr>
      <w:r w:rsidRPr="00F82E89">
        <w:rPr>
          <w:szCs w:val="24"/>
        </w:rPr>
        <w:t>Le Coz, M., Genthon, P., and Adler, P.M., 2011, Multiple-point statistics for modelling facies heterogeneities in a porous medium: The Komadugu-Yobe alluvium, Lake Chad Basin, Math</w:t>
      </w:r>
      <w:r w:rsidR="00244107" w:rsidRPr="00F82E89">
        <w:rPr>
          <w:szCs w:val="24"/>
        </w:rPr>
        <w:t>.</w:t>
      </w:r>
      <w:r w:rsidRPr="00F82E89">
        <w:rPr>
          <w:szCs w:val="24"/>
        </w:rPr>
        <w:t xml:space="preserve"> Geo</w:t>
      </w:r>
      <w:r w:rsidR="00244107" w:rsidRPr="00F82E89">
        <w:rPr>
          <w:szCs w:val="24"/>
        </w:rPr>
        <w:t>.</w:t>
      </w:r>
      <w:r w:rsidRPr="00F82E89">
        <w:rPr>
          <w:szCs w:val="24"/>
        </w:rPr>
        <w:t xml:space="preserve">, </w:t>
      </w:r>
      <w:r w:rsidR="00244107" w:rsidRPr="00F82E89">
        <w:rPr>
          <w:szCs w:val="24"/>
        </w:rPr>
        <w:t xml:space="preserve">43, </w:t>
      </w:r>
      <w:r w:rsidRPr="00F82E89">
        <w:rPr>
          <w:szCs w:val="24"/>
        </w:rPr>
        <w:t>861-878.</w:t>
      </w:r>
      <w:r w:rsidR="00244107" w:rsidRPr="00F82E89">
        <w:rPr>
          <w:szCs w:val="24"/>
        </w:rPr>
        <w:t xml:space="preserve"> </w:t>
      </w:r>
      <w:r w:rsidR="00244107" w:rsidRPr="00F82E89">
        <w:t>https://doi.org/10.1007/s11004-011-9353-6</w:t>
      </w:r>
    </w:p>
    <w:p w:rsidR="006C5BD1" w:rsidRPr="00F82E89" w:rsidRDefault="00FD7260" w:rsidP="00F211F1">
      <w:pPr>
        <w:pStyle w:val="ListParagraph"/>
        <w:rPr>
          <w:rFonts w:cs="Times New Roman"/>
          <w:szCs w:val="24"/>
        </w:rPr>
      </w:pPr>
      <w:r w:rsidRPr="00F82E89">
        <w:rPr>
          <w:rFonts w:cs="Times New Roman"/>
          <w:szCs w:val="24"/>
        </w:rPr>
        <w:t>Leeder, M.R. 1999</w:t>
      </w:r>
      <w:r w:rsidR="00244107" w:rsidRPr="00F82E89">
        <w:rPr>
          <w:rFonts w:cs="Times New Roman"/>
          <w:szCs w:val="24"/>
        </w:rPr>
        <w:t>,</w:t>
      </w:r>
      <w:r w:rsidR="006C5BD1" w:rsidRPr="00F82E89">
        <w:rPr>
          <w:rFonts w:cs="Times New Roman"/>
          <w:szCs w:val="24"/>
        </w:rPr>
        <w:t xml:space="preserve"> Sedimentology and Sedimentary Basins: from Turbulence to Tectonics. Blackwell Science, Oxford.</w:t>
      </w:r>
    </w:p>
    <w:p w:rsidR="006C5BD1" w:rsidRDefault="006C5BD1" w:rsidP="00F211F1">
      <w:pPr>
        <w:pStyle w:val="ListParagraph"/>
      </w:pPr>
      <w:r w:rsidRPr="00F82E89">
        <w:rPr>
          <w:szCs w:val="24"/>
          <w:shd w:val="clear" w:color="auto" w:fill="FFFFFF"/>
        </w:rPr>
        <w:t>Li, S., Yu, X., Chen, B. and Li, S., 2015. Quantitative Characterization of Architecture Elements and Their Response To Base-Level Change In A Sandy Braided Fluvial System At A Mountain Front. </w:t>
      </w:r>
      <w:r w:rsidRPr="00F82E89">
        <w:rPr>
          <w:iCs/>
          <w:szCs w:val="24"/>
          <w:shd w:val="clear" w:color="auto" w:fill="FFFFFF"/>
        </w:rPr>
        <w:t>J</w:t>
      </w:r>
      <w:r w:rsidR="00244107" w:rsidRPr="00F82E89">
        <w:rPr>
          <w:iCs/>
          <w:szCs w:val="24"/>
          <w:shd w:val="clear" w:color="auto" w:fill="FFFFFF"/>
        </w:rPr>
        <w:t>.</w:t>
      </w:r>
      <w:r w:rsidRPr="00F82E89">
        <w:rPr>
          <w:iCs/>
          <w:szCs w:val="24"/>
          <w:shd w:val="clear" w:color="auto" w:fill="FFFFFF"/>
        </w:rPr>
        <w:t xml:space="preserve"> </w:t>
      </w:r>
      <w:r w:rsidR="00244107" w:rsidRPr="00F82E89">
        <w:rPr>
          <w:iCs/>
          <w:szCs w:val="24"/>
          <w:shd w:val="clear" w:color="auto" w:fill="FFFFFF"/>
        </w:rPr>
        <w:t>S</w:t>
      </w:r>
      <w:r w:rsidRPr="00F82E89">
        <w:rPr>
          <w:iCs/>
          <w:szCs w:val="24"/>
          <w:shd w:val="clear" w:color="auto" w:fill="FFFFFF"/>
        </w:rPr>
        <w:t>ediment</w:t>
      </w:r>
      <w:r w:rsidR="00244107" w:rsidRPr="00F82E89">
        <w:rPr>
          <w:iCs/>
          <w:szCs w:val="24"/>
          <w:shd w:val="clear" w:color="auto" w:fill="FFFFFF"/>
        </w:rPr>
        <w:t>.</w:t>
      </w:r>
      <w:r w:rsidRPr="00F82E89">
        <w:rPr>
          <w:iCs/>
          <w:szCs w:val="24"/>
          <w:shd w:val="clear" w:color="auto" w:fill="FFFFFF"/>
        </w:rPr>
        <w:t xml:space="preserve"> Res</w:t>
      </w:r>
      <w:r w:rsidR="00244107" w:rsidRPr="00F82E89">
        <w:rPr>
          <w:iCs/>
          <w:szCs w:val="24"/>
          <w:shd w:val="clear" w:color="auto" w:fill="FFFFFF"/>
        </w:rPr>
        <w:t>.</w:t>
      </w:r>
      <w:r w:rsidRPr="00F82E89">
        <w:rPr>
          <w:szCs w:val="24"/>
          <w:shd w:val="clear" w:color="auto" w:fill="FFFFFF"/>
        </w:rPr>
        <w:t>, </w:t>
      </w:r>
      <w:r w:rsidRPr="00F82E89">
        <w:rPr>
          <w:iCs/>
          <w:szCs w:val="24"/>
          <w:shd w:val="clear" w:color="auto" w:fill="FFFFFF"/>
        </w:rPr>
        <w:t>85</w:t>
      </w:r>
      <w:r w:rsidR="00244107" w:rsidRPr="00F82E89">
        <w:rPr>
          <w:szCs w:val="24"/>
          <w:shd w:val="clear" w:color="auto" w:fill="FFFFFF"/>
        </w:rPr>
        <w:t xml:space="preserve">(10), </w:t>
      </w:r>
      <w:r w:rsidRPr="00F82E89">
        <w:rPr>
          <w:szCs w:val="24"/>
          <w:shd w:val="clear" w:color="auto" w:fill="FFFFFF"/>
        </w:rPr>
        <w:t>1258-1274.</w:t>
      </w:r>
      <w:r w:rsidR="00244107" w:rsidRPr="00F82E89">
        <w:rPr>
          <w:szCs w:val="24"/>
          <w:shd w:val="clear" w:color="auto" w:fill="FFFFFF"/>
        </w:rPr>
        <w:t xml:space="preserve"> </w:t>
      </w:r>
      <w:hyperlink r:id="rId72" w:tgtFrame="_blank" w:history="1">
        <w:r w:rsidR="00244107" w:rsidRPr="00F82E89">
          <w:t>https://doi.org/10.2110/jsr.2015.82</w:t>
        </w:r>
      </w:hyperlink>
    </w:p>
    <w:p w:rsidR="00F0542F" w:rsidRPr="00F0542F" w:rsidRDefault="00F0542F" w:rsidP="00F0542F">
      <w:pPr>
        <w:pStyle w:val="ListParagraph"/>
        <w:rPr>
          <w:szCs w:val="24"/>
          <w:shd w:val="clear" w:color="auto" w:fill="FFFFFF"/>
        </w:rPr>
      </w:pPr>
      <w:r>
        <w:rPr>
          <w:shd w:val="clear" w:color="auto" w:fill="FFFFFF"/>
        </w:rPr>
        <w:t>Maharaja, A., 2008. TiGenerator: Object-based training image generator. </w:t>
      </w:r>
      <w:r w:rsidRPr="00F0542F">
        <w:rPr>
          <w:iCs/>
          <w:shd w:val="clear" w:color="auto" w:fill="FFFFFF"/>
        </w:rPr>
        <w:t>Comput &amp; Geosci</w:t>
      </w:r>
      <w:r w:rsidRPr="00F0542F">
        <w:rPr>
          <w:shd w:val="clear" w:color="auto" w:fill="FFFFFF"/>
        </w:rPr>
        <w:t>, </w:t>
      </w:r>
      <w:r w:rsidRPr="00F0542F">
        <w:rPr>
          <w:iCs/>
          <w:shd w:val="clear" w:color="auto" w:fill="FFFFFF"/>
        </w:rPr>
        <w:t>34</w:t>
      </w:r>
      <w:r>
        <w:rPr>
          <w:shd w:val="clear" w:color="auto" w:fill="FFFFFF"/>
        </w:rPr>
        <w:t>(12), 1753-1761. h</w:t>
      </w:r>
      <w:hyperlink r:id="rId73" w:tgtFrame="_blank" w:tooltip="Persistent link using digital object identifier" w:history="1">
        <w:r w:rsidRPr="00F0542F">
          <w:t>ttps://doi.org/10.1016/j.cageo.2007.08.012</w:t>
        </w:r>
      </w:hyperlink>
    </w:p>
    <w:p w:rsidR="00FD7260" w:rsidRPr="00F82E89" w:rsidRDefault="00FD7260" w:rsidP="00244107">
      <w:pPr>
        <w:pStyle w:val="ListParagraph"/>
        <w:rPr>
          <w:szCs w:val="24"/>
        </w:rPr>
      </w:pPr>
      <w:r w:rsidRPr="00F82E89">
        <w:rPr>
          <w:shd w:val="clear" w:color="auto" w:fill="FFFFFF"/>
        </w:rPr>
        <w:t>Manzocchi, T., Walsh, J.J., Tomasso, M., Strand, J., Childs, C. and Haughton, P.D., 2007. Static and dynamic connectivity in bed-scale models of faulted and unfaulted turbidites. </w:t>
      </w:r>
      <w:r w:rsidRPr="00F82E89">
        <w:t>Geol</w:t>
      </w:r>
      <w:r w:rsidR="00244107" w:rsidRPr="00F82E89">
        <w:t>.</w:t>
      </w:r>
      <w:r w:rsidRPr="00F82E89">
        <w:t xml:space="preserve"> Soc</w:t>
      </w:r>
      <w:r w:rsidR="00244107" w:rsidRPr="00F82E89">
        <w:t xml:space="preserve">. </w:t>
      </w:r>
      <w:r w:rsidRPr="00F82E89">
        <w:t>Spec</w:t>
      </w:r>
      <w:r w:rsidR="00244107" w:rsidRPr="00F82E89">
        <w:t>.</w:t>
      </w:r>
      <w:r w:rsidRPr="00F82E89">
        <w:t xml:space="preserve"> Pub</w:t>
      </w:r>
      <w:r w:rsidR="00244107" w:rsidRPr="00F82E89">
        <w:t>.</w:t>
      </w:r>
      <w:r w:rsidRPr="00F82E89">
        <w:t>,</w:t>
      </w:r>
      <w:r w:rsidRPr="00F82E89">
        <w:rPr>
          <w:shd w:val="clear" w:color="auto" w:fill="FFFFFF"/>
        </w:rPr>
        <w:t> </w:t>
      </w:r>
      <w:r w:rsidRPr="00F82E89">
        <w:rPr>
          <w:iCs/>
          <w:shd w:val="clear" w:color="auto" w:fill="FFFFFF"/>
        </w:rPr>
        <w:t>292</w:t>
      </w:r>
      <w:r w:rsidRPr="00F82E89">
        <w:rPr>
          <w:shd w:val="clear" w:color="auto" w:fill="FFFFFF"/>
        </w:rPr>
        <w:t>(1), 309-336.</w:t>
      </w:r>
      <w:r w:rsidR="00244107" w:rsidRPr="00F82E89">
        <w:rPr>
          <w:shd w:val="clear" w:color="auto" w:fill="FFFFFF"/>
        </w:rPr>
        <w:t xml:space="preserve"> </w:t>
      </w:r>
      <w:hyperlink r:id="rId74" w:history="1">
        <w:r w:rsidR="00244107" w:rsidRPr="00F82E89">
          <w:t>https://doi.org/10.1144/SP292.18</w:t>
        </w:r>
      </w:hyperlink>
    </w:p>
    <w:p w:rsidR="006C5BD1" w:rsidRPr="00F82E89" w:rsidRDefault="006C5BD1" w:rsidP="00F211F1">
      <w:pPr>
        <w:pStyle w:val="ListParagraph"/>
        <w:rPr>
          <w:szCs w:val="24"/>
        </w:rPr>
      </w:pPr>
      <w:r w:rsidRPr="00F82E89">
        <w:rPr>
          <w:szCs w:val="24"/>
          <w:shd w:val="clear" w:color="auto" w:fill="FFFFFF"/>
        </w:rPr>
        <w:t>Marra, W.A., Kleinhans, M.G. and Addink, E.A., 2014. Network concepts to describe channel importance and change in multichannel systems: test results for the Jamuna River, Bangladesh. </w:t>
      </w:r>
      <w:r w:rsidRPr="00F82E89">
        <w:rPr>
          <w:iCs/>
          <w:szCs w:val="24"/>
          <w:shd w:val="clear" w:color="auto" w:fill="FFFFFF"/>
        </w:rPr>
        <w:t>Earth Surf</w:t>
      </w:r>
      <w:r w:rsidR="00437A6A" w:rsidRPr="00F82E89">
        <w:rPr>
          <w:iCs/>
          <w:szCs w:val="24"/>
          <w:shd w:val="clear" w:color="auto" w:fill="FFFFFF"/>
        </w:rPr>
        <w:t>. P</w:t>
      </w:r>
      <w:r w:rsidRPr="00F82E89">
        <w:rPr>
          <w:iCs/>
          <w:szCs w:val="24"/>
          <w:shd w:val="clear" w:color="auto" w:fill="FFFFFF"/>
        </w:rPr>
        <w:t>rocesses</w:t>
      </w:r>
      <w:r w:rsidRPr="00F82E89">
        <w:rPr>
          <w:szCs w:val="24"/>
          <w:shd w:val="clear" w:color="auto" w:fill="FFFFFF"/>
        </w:rPr>
        <w:t>, </w:t>
      </w:r>
      <w:r w:rsidRPr="00F82E89">
        <w:rPr>
          <w:iCs/>
          <w:szCs w:val="24"/>
          <w:shd w:val="clear" w:color="auto" w:fill="FFFFFF"/>
        </w:rPr>
        <w:t>39</w:t>
      </w:r>
      <w:r w:rsidR="00437A6A" w:rsidRPr="00F82E89">
        <w:rPr>
          <w:szCs w:val="24"/>
          <w:shd w:val="clear" w:color="auto" w:fill="FFFFFF"/>
        </w:rPr>
        <w:t xml:space="preserve">(6), </w:t>
      </w:r>
      <w:r w:rsidRPr="00F82E89">
        <w:rPr>
          <w:szCs w:val="24"/>
          <w:shd w:val="clear" w:color="auto" w:fill="FFFFFF"/>
        </w:rPr>
        <w:t>766-778.</w:t>
      </w:r>
      <w:r w:rsidR="00437A6A" w:rsidRPr="00F82E89">
        <w:rPr>
          <w:szCs w:val="24"/>
          <w:shd w:val="clear" w:color="auto" w:fill="FFFFFF"/>
        </w:rPr>
        <w:t xml:space="preserve"> </w:t>
      </w:r>
      <w:hyperlink r:id="rId75" w:history="1">
        <w:r w:rsidR="00437A6A" w:rsidRPr="00F82E89">
          <w:t>https://doi.org/10.1002/esp.3482</w:t>
        </w:r>
      </w:hyperlink>
    </w:p>
    <w:p w:rsidR="006C5BD1" w:rsidRPr="00F82E89" w:rsidRDefault="006C5BD1" w:rsidP="00F211F1">
      <w:pPr>
        <w:pStyle w:val="ListParagraph"/>
        <w:rPr>
          <w:rFonts w:cs="Times New Roman"/>
          <w:szCs w:val="24"/>
          <w:shd w:val="clear" w:color="auto" w:fill="FFFFFF"/>
        </w:rPr>
      </w:pPr>
      <w:r w:rsidRPr="00F82E89">
        <w:rPr>
          <w:rFonts w:cs="Times New Roman"/>
          <w:szCs w:val="24"/>
          <w:shd w:val="clear" w:color="auto" w:fill="FFFFFF"/>
        </w:rPr>
        <w:t xml:space="preserve">Martinius, A.W., Fustic, M., Garner, D.L., Jablonski, B.V.J., Strobl, R.S., MacEachern, J.A. and Dashtgard, S.E., 2017. Reservoir characterization and multiscale heterogeneity </w:t>
      </w:r>
      <w:r w:rsidR="0049145F" w:rsidRPr="00F82E89">
        <w:rPr>
          <w:rFonts w:cs="Times New Roman"/>
          <w:szCs w:val="24"/>
          <w:shd w:val="clear" w:color="auto" w:fill="FFFFFF"/>
        </w:rPr>
        <w:t>modelling</w:t>
      </w:r>
      <w:r w:rsidRPr="00F82E89">
        <w:rPr>
          <w:rFonts w:cs="Times New Roman"/>
          <w:szCs w:val="24"/>
          <w:shd w:val="clear" w:color="auto" w:fill="FFFFFF"/>
        </w:rPr>
        <w:t xml:space="preserve"> of inclined heterolithic strata for bitumen-production forecasting, McMurray Formation, Corner, Alberta, Canada. </w:t>
      </w:r>
      <w:r w:rsidRPr="00F82E89">
        <w:rPr>
          <w:rFonts w:cs="Times New Roman"/>
          <w:iCs/>
          <w:szCs w:val="24"/>
          <w:shd w:val="clear" w:color="auto" w:fill="FFFFFF"/>
        </w:rPr>
        <w:t>Mar</w:t>
      </w:r>
      <w:r w:rsidR="00437A6A" w:rsidRPr="00F82E89">
        <w:rPr>
          <w:rFonts w:cs="Times New Roman"/>
          <w:iCs/>
          <w:szCs w:val="24"/>
          <w:shd w:val="clear" w:color="auto" w:fill="FFFFFF"/>
        </w:rPr>
        <w:t>.</w:t>
      </w:r>
      <w:r w:rsidRPr="00F82E89">
        <w:rPr>
          <w:rFonts w:cs="Times New Roman"/>
          <w:iCs/>
          <w:szCs w:val="24"/>
          <w:shd w:val="clear" w:color="auto" w:fill="FFFFFF"/>
        </w:rPr>
        <w:t xml:space="preserve"> Petrol</w:t>
      </w:r>
      <w:r w:rsidR="00437A6A" w:rsidRPr="00F82E89">
        <w:rPr>
          <w:rFonts w:cs="Times New Roman"/>
          <w:iCs/>
          <w:szCs w:val="24"/>
          <w:shd w:val="clear" w:color="auto" w:fill="FFFFFF"/>
        </w:rPr>
        <w:t>.</w:t>
      </w:r>
      <w:r w:rsidRPr="00F82E89">
        <w:rPr>
          <w:rFonts w:cs="Times New Roman"/>
          <w:iCs/>
          <w:szCs w:val="24"/>
          <w:shd w:val="clear" w:color="auto" w:fill="FFFFFF"/>
        </w:rPr>
        <w:t xml:space="preserve"> Geol</w:t>
      </w:r>
      <w:r w:rsidR="00437A6A" w:rsidRPr="00F82E89">
        <w:rPr>
          <w:rFonts w:cs="Times New Roman"/>
          <w:iCs/>
          <w:szCs w:val="24"/>
          <w:shd w:val="clear" w:color="auto" w:fill="FFFFFF"/>
        </w:rPr>
        <w:t>.</w:t>
      </w:r>
      <w:r w:rsidRPr="00F82E89">
        <w:rPr>
          <w:rFonts w:cs="Times New Roman"/>
          <w:szCs w:val="24"/>
          <w:shd w:val="clear" w:color="auto" w:fill="FFFFFF"/>
        </w:rPr>
        <w:t>, </w:t>
      </w:r>
      <w:r w:rsidRPr="00F82E89">
        <w:rPr>
          <w:rFonts w:cs="Times New Roman"/>
          <w:iCs/>
          <w:szCs w:val="24"/>
          <w:shd w:val="clear" w:color="auto" w:fill="FFFFFF"/>
        </w:rPr>
        <w:t>82</w:t>
      </w:r>
      <w:r w:rsidR="00437A6A" w:rsidRPr="00F82E89">
        <w:rPr>
          <w:rFonts w:cs="Times New Roman"/>
          <w:szCs w:val="24"/>
          <w:shd w:val="clear" w:color="auto" w:fill="FFFFFF"/>
        </w:rPr>
        <w:t xml:space="preserve">, </w:t>
      </w:r>
      <w:r w:rsidRPr="00F82E89">
        <w:rPr>
          <w:rFonts w:cs="Times New Roman"/>
          <w:szCs w:val="24"/>
          <w:shd w:val="clear" w:color="auto" w:fill="FFFFFF"/>
        </w:rPr>
        <w:t>336-361.</w:t>
      </w:r>
      <w:r w:rsidR="00437A6A" w:rsidRPr="00F82E89">
        <w:rPr>
          <w:rFonts w:cs="Times New Roman"/>
          <w:szCs w:val="24"/>
          <w:shd w:val="clear" w:color="auto" w:fill="FFFFFF"/>
        </w:rPr>
        <w:t xml:space="preserve"> </w:t>
      </w:r>
      <w:hyperlink r:id="rId76" w:tgtFrame="_blank" w:tooltip="Persistent link using digital object identifier" w:history="1">
        <w:r w:rsidR="00437A6A" w:rsidRPr="00F82E89">
          <w:t>https://doi.org/10.1016/j.marpetgeo.2017.02.003</w:t>
        </w:r>
      </w:hyperlink>
    </w:p>
    <w:p w:rsidR="006C5BD1" w:rsidRPr="00F82E89" w:rsidRDefault="006C5BD1" w:rsidP="00F211F1">
      <w:pPr>
        <w:pStyle w:val="ListParagraph"/>
        <w:rPr>
          <w:szCs w:val="24"/>
        </w:rPr>
      </w:pPr>
      <w:r w:rsidRPr="00F82E89">
        <w:rPr>
          <w:szCs w:val="24"/>
        </w:rPr>
        <w:t>McLaurin, B.T. and Steel, R.J., 2007. Architecture and origin of an amalgamated fluvial sheet sand, lower Castlegate Formation, Book Cliffs, Utah. Sediment</w:t>
      </w:r>
      <w:r w:rsidR="00437A6A" w:rsidRPr="00F82E89">
        <w:rPr>
          <w:szCs w:val="24"/>
        </w:rPr>
        <w:t>.</w:t>
      </w:r>
      <w:r w:rsidRPr="00F82E89">
        <w:rPr>
          <w:szCs w:val="24"/>
        </w:rPr>
        <w:t xml:space="preserve"> Geol</w:t>
      </w:r>
      <w:r w:rsidR="00437A6A" w:rsidRPr="00F82E89">
        <w:rPr>
          <w:szCs w:val="24"/>
        </w:rPr>
        <w:t>.</w:t>
      </w:r>
      <w:r w:rsidRPr="00F82E89">
        <w:rPr>
          <w:szCs w:val="24"/>
        </w:rPr>
        <w:t>, 197, 291-311.</w:t>
      </w:r>
      <w:r w:rsidR="00437A6A" w:rsidRPr="00F82E89">
        <w:rPr>
          <w:szCs w:val="24"/>
        </w:rPr>
        <w:t xml:space="preserve"> </w:t>
      </w:r>
      <w:hyperlink r:id="rId77" w:tgtFrame="_blank" w:tooltip="Persistent link using digital object identifier" w:history="1">
        <w:r w:rsidR="00437A6A" w:rsidRPr="00F82E89">
          <w:t>https://doi.org/10.1016/j.sedgeo.2006.10.005</w:t>
        </w:r>
      </w:hyperlink>
    </w:p>
    <w:p w:rsidR="00FD7260" w:rsidRPr="00F82E89" w:rsidRDefault="00FD7260" w:rsidP="001B1A32">
      <w:pPr>
        <w:pStyle w:val="ListParagraph"/>
      </w:pPr>
      <w:r w:rsidRPr="00F82E89">
        <w:t xml:space="preserve">Miall, A.D., 1985. Architectural-element analysis: a new method of facies analysis applied to fluvial deposits. </w:t>
      </w:r>
      <w:r w:rsidRPr="00F82E89">
        <w:rPr>
          <w:rStyle w:val="Emphasis"/>
          <w:i w:val="0"/>
          <w:szCs w:val="24"/>
        </w:rPr>
        <w:t>Earth-Sci</w:t>
      </w:r>
      <w:r w:rsidR="001B1A32" w:rsidRPr="00F82E89">
        <w:rPr>
          <w:rStyle w:val="Emphasis"/>
          <w:i w:val="0"/>
          <w:szCs w:val="24"/>
        </w:rPr>
        <w:t>.</w:t>
      </w:r>
      <w:r w:rsidRPr="00F82E89">
        <w:rPr>
          <w:rStyle w:val="Emphasis"/>
          <w:i w:val="0"/>
          <w:szCs w:val="24"/>
        </w:rPr>
        <w:t xml:space="preserve"> Rev</w:t>
      </w:r>
      <w:r w:rsidR="001B1A32" w:rsidRPr="00F82E89">
        <w:rPr>
          <w:rStyle w:val="Emphasis"/>
          <w:i w:val="0"/>
          <w:szCs w:val="24"/>
        </w:rPr>
        <w:t>.,</w:t>
      </w:r>
      <w:r w:rsidRPr="00F82E89">
        <w:t xml:space="preserve"> </w:t>
      </w:r>
      <w:r w:rsidRPr="00F82E89">
        <w:rPr>
          <w:rStyle w:val="Emphasis"/>
          <w:i w:val="0"/>
          <w:szCs w:val="24"/>
        </w:rPr>
        <w:t xml:space="preserve">22, </w:t>
      </w:r>
      <w:r w:rsidRPr="00F82E89">
        <w:t>(4), 261-308.</w:t>
      </w:r>
      <w:r w:rsidR="001B1A32" w:rsidRPr="00F82E89">
        <w:t xml:space="preserve"> </w:t>
      </w:r>
      <w:hyperlink r:id="rId78" w:tgtFrame="_blank" w:tooltip="Persistent link using digital object identifier" w:history="1">
        <w:r w:rsidR="001B1A32" w:rsidRPr="00F82E89">
          <w:t>https://doi.org/10.1016/0012-8252(85)90001-7</w:t>
        </w:r>
      </w:hyperlink>
    </w:p>
    <w:p w:rsidR="00FD7260" w:rsidRPr="00F82E89" w:rsidRDefault="00FD7260" w:rsidP="00F211F1">
      <w:pPr>
        <w:pStyle w:val="ListParagraph"/>
        <w:rPr>
          <w:szCs w:val="24"/>
        </w:rPr>
      </w:pPr>
      <w:r w:rsidRPr="00F82E89">
        <w:rPr>
          <w:szCs w:val="24"/>
        </w:rPr>
        <w:t xml:space="preserve">Miall, A.D., 1988. Reservoir heterogeneities in </w:t>
      </w:r>
      <w:r w:rsidRPr="00F82E89">
        <w:rPr>
          <w:rFonts w:ascii="AdvOT596495f2+fb" w:hAnsi="AdvOT596495f2+fb" w:cs="AdvOT596495f2+fb"/>
          <w:szCs w:val="24"/>
        </w:rPr>
        <w:t>fl</w:t>
      </w:r>
      <w:r w:rsidRPr="00F82E89">
        <w:rPr>
          <w:szCs w:val="24"/>
        </w:rPr>
        <w:t>uvial sandstones: lessons from outcrop studies. AAPG Bull. 72, 682</w:t>
      </w:r>
      <w:r w:rsidRPr="00F82E89">
        <w:rPr>
          <w:rFonts w:ascii="AdvOT596495f2+20" w:hAnsi="AdvOT596495f2+20" w:cs="AdvOT596495f2+20"/>
          <w:szCs w:val="24"/>
        </w:rPr>
        <w:t>–</w:t>
      </w:r>
      <w:r w:rsidRPr="00F82E89">
        <w:rPr>
          <w:szCs w:val="24"/>
        </w:rPr>
        <w:t>697.</w:t>
      </w:r>
    </w:p>
    <w:p w:rsidR="00FD7260" w:rsidRPr="00F82E89" w:rsidRDefault="00FD7260" w:rsidP="00F211F1">
      <w:pPr>
        <w:pStyle w:val="ListParagraph"/>
        <w:rPr>
          <w:szCs w:val="24"/>
        </w:rPr>
      </w:pPr>
      <w:r w:rsidRPr="00F82E89">
        <w:rPr>
          <w:szCs w:val="24"/>
        </w:rPr>
        <w:t>Miall, A.D., 1993. The architecture of fluvial-deltaic sequences in the Upper Mesaverde Group (Upper Cretaceous), Book Cliffs, Utah. In: Best, J.L. and Bristow, C.S. (Eds.). Braided Rivers, Geol</w:t>
      </w:r>
      <w:r w:rsidR="001B1A32" w:rsidRPr="00F82E89">
        <w:rPr>
          <w:szCs w:val="24"/>
        </w:rPr>
        <w:t>.</w:t>
      </w:r>
      <w:r w:rsidRPr="00F82E89">
        <w:rPr>
          <w:szCs w:val="24"/>
        </w:rPr>
        <w:t xml:space="preserve"> Soc</w:t>
      </w:r>
      <w:r w:rsidR="001B1A32" w:rsidRPr="00F82E89">
        <w:rPr>
          <w:szCs w:val="24"/>
        </w:rPr>
        <w:t>.</w:t>
      </w:r>
      <w:r w:rsidRPr="00F82E89">
        <w:rPr>
          <w:szCs w:val="24"/>
        </w:rPr>
        <w:t xml:space="preserve"> Spec</w:t>
      </w:r>
      <w:r w:rsidR="001B1A32" w:rsidRPr="00F82E89">
        <w:rPr>
          <w:szCs w:val="24"/>
        </w:rPr>
        <w:t>.</w:t>
      </w:r>
      <w:r w:rsidRPr="00F82E89">
        <w:rPr>
          <w:szCs w:val="24"/>
        </w:rPr>
        <w:t xml:space="preserve"> Pub</w:t>
      </w:r>
      <w:r w:rsidR="001B1A32" w:rsidRPr="00F82E89">
        <w:rPr>
          <w:szCs w:val="24"/>
        </w:rPr>
        <w:t>.,</w:t>
      </w:r>
      <w:r w:rsidRPr="00F82E89">
        <w:rPr>
          <w:szCs w:val="24"/>
        </w:rPr>
        <w:t xml:space="preserve"> 75, 305-332.</w:t>
      </w:r>
      <w:r w:rsidRPr="00F82E89">
        <w:t xml:space="preserve"> </w:t>
      </w:r>
      <w:hyperlink r:id="rId79" w:history="1">
        <w:r w:rsidR="001B1A32" w:rsidRPr="00F82E89">
          <w:t>https://doi.org/10.1144/GSL.SP.1993.075.01.19</w:t>
        </w:r>
      </w:hyperlink>
    </w:p>
    <w:p w:rsidR="00FD7260" w:rsidRPr="00F82E89" w:rsidRDefault="00FD7260" w:rsidP="001B1A32">
      <w:pPr>
        <w:pStyle w:val="ListParagraph"/>
      </w:pPr>
      <w:r w:rsidRPr="00F82E89">
        <w:rPr>
          <w:szCs w:val="24"/>
        </w:rPr>
        <w:t>Miall, A.D., 1994. Reconstructing fluvial macroform architecture from two-dimensional outcrops: examples from the Castlegate Sandstone, Book Cliffs, Utah. J</w:t>
      </w:r>
      <w:r w:rsidR="001B1A32" w:rsidRPr="00F82E89">
        <w:rPr>
          <w:szCs w:val="24"/>
        </w:rPr>
        <w:t>.</w:t>
      </w:r>
      <w:r w:rsidRPr="00F82E89">
        <w:rPr>
          <w:szCs w:val="24"/>
        </w:rPr>
        <w:t xml:space="preserve"> Sediment</w:t>
      </w:r>
      <w:r w:rsidR="001B1A32" w:rsidRPr="00F82E89">
        <w:rPr>
          <w:szCs w:val="24"/>
        </w:rPr>
        <w:t>.</w:t>
      </w:r>
      <w:r w:rsidRPr="00F82E89">
        <w:rPr>
          <w:szCs w:val="24"/>
        </w:rPr>
        <w:t xml:space="preserve"> Res</w:t>
      </w:r>
      <w:r w:rsidR="001B1A32" w:rsidRPr="00F82E89">
        <w:rPr>
          <w:szCs w:val="24"/>
        </w:rPr>
        <w:t>.,</w:t>
      </w:r>
      <w:r w:rsidRPr="00F82E89">
        <w:rPr>
          <w:szCs w:val="24"/>
        </w:rPr>
        <w:t xml:space="preserve"> B64 </w:t>
      </w:r>
      <w:r w:rsidR="001B1A32" w:rsidRPr="00F82E89">
        <w:rPr>
          <w:szCs w:val="24"/>
        </w:rPr>
        <w:t>(</w:t>
      </w:r>
      <w:r w:rsidRPr="00F82E89">
        <w:rPr>
          <w:szCs w:val="24"/>
        </w:rPr>
        <w:t>2). 146-158.</w:t>
      </w:r>
      <w:r w:rsidR="001B1A32" w:rsidRPr="00F82E89">
        <w:rPr>
          <w:szCs w:val="24"/>
        </w:rPr>
        <w:t xml:space="preserve"> </w:t>
      </w:r>
      <w:hyperlink r:id="rId80" w:tgtFrame="_blank" w:history="1">
        <w:r w:rsidR="001B1A32" w:rsidRPr="00F82E89">
          <w:t>https://doi.org/10.1306/D4267F78-2B26-11D7-8648000102C1865D</w:t>
        </w:r>
      </w:hyperlink>
    </w:p>
    <w:p w:rsidR="00FD7260" w:rsidRPr="00F82E89" w:rsidRDefault="00FD7260" w:rsidP="00F211F1">
      <w:pPr>
        <w:pStyle w:val="ListParagraph"/>
        <w:rPr>
          <w:szCs w:val="24"/>
        </w:rPr>
      </w:pPr>
      <w:r w:rsidRPr="00F82E89">
        <w:rPr>
          <w:szCs w:val="24"/>
        </w:rPr>
        <w:t>Miall, A.D., 1996. The Geology of Fluvial Deposits: Sedimentary Facies, Basin Analysis and Petroleum Geology. Springer-Verlag, New York.</w:t>
      </w:r>
    </w:p>
    <w:p w:rsidR="00FD7260" w:rsidRPr="00F82E89" w:rsidRDefault="00FD7260" w:rsidP="001B1A32">
      <w:pPr>
        <w:pStyle w:val="ListParagraph"/>
      </w:pPr>
      <w:r w:rsidRPr="00F82E89">
        <w:rPr>
          <w:szCs w:val="24"/>
        </w:rPr>
        <w:t>Miall</w:t>
      </w:r>
      <w:r w:rsidR="001B1A32" w:rsidRPr="00F82E89">
        <w:rPr>
          <w:szCs w:val="24"/>
        </w:rPr>
        <w:t>,</w:t>
      </w:r>
      <w:r w:rsidRPr="00F82E89">
        <w:rPr>
          <w:szCs w:val="24"/>
        </w:rPr>
        <w:t xml:space="preserve"> A</w:t>
      </w:r>
      <w:r w:rsidR="001B1A32" w:rsidRPr="00F82E89">
        <w:rPr>
          <w:szCs w:val="24"/>
        </w:rPr>
        <w:t>.</w:t>
      </w:r>
      <w:r w:rsidRPr="00F82E89">
        <w:rPr>
          <w:szCs w:val="24"/>
        </w:rPr>
        <w:t>D</w:t>
      </w:r>
      <w:r w:rsidR="001B1A32" w:rsidRPr="00F82E89">
        <w:rPr>
          <w:szCs w:val="24"/>
        </w:rPr>
        <w:t>.,</w:t>
      </w:r>
      <w:r w:rsidRPr="00F82E89">
        <w:rPr>
          <w:szCs w:val="24"/>
        </w:rPr>
        <w:t xml:space="preserve"> 2006.</w:t>
      </w:r>
      <w:r w:rsidR="006C5BD1" w:rsidRPr="00F82E89">
        <w:rPr>
          <w:szCs w:val="24"/>
        </w:rPr>
        <w:t xml:space="preserve"> Reconstructing the architecture and sequence stratigraphy of the preserved fluvial record as a tool for reservoir development: a reality check. </w:t>
      </w:r>
      <w:r w:rsidR="001B1A32" w:rsidRPr="00F82E89">
        <w:rPr>
          <w:szCs w:val="24"/>
        </w:rPr>
        <w:t>AAPG Bull.,</w:t>
      </w:r>
      <w:r w:rsidR="006C5BD1" w:rsidRPr="00F82E89">
        <w:rPr>
          <w:szCs w:val="24"/>
        </w:rPr>
        <w:t xml:space="preserve"> 90</w:t>
      </w:r>
      <w:r w:rsidR="001B1A32" w:rsidRPr="00F82E89">
        <w:rPr>
          <w:szCs w:val="24"/>
        </w:rPr>
        <w:t xml:space="preserve">, </w:t>
      </w:r>
      <w:r w:rsidR="006C5BD1" w:rsidRPr="00F82E89">
        <w:rPr>
          <w:szCs w:val="24"/>
        </w:rPr>
        <w:t>989–1002</w:t>
      </w:r>
      <w:r w:rsidR="001B1A32" w:rsidRPr="00F82E89">
        <w:rPr>
          <w:szCs w:val="24"/>
        </w:rPr>
        <w:t xml:space="preserve">. </w:t>
      </w:r>
      <w:hyperlink r:id="rId81" w:tgtFrame="_blank" w:history="1">
        <w:r w:rsidR="001B1A32" w:rsidRPr="00F82E89">
          <w:t>https://doi.org/10.1306/02220605065</w:t>
        </w:r>
      </w:hyperlink>
    </w:p>
    <w:p w:rsidR="006C5BD1" w:rsidRPr="00F82E89" w:rsidRDefault="00FD7260" w:rsidP="00F211F1">
      <w:pPr>
        <w:pStyle w:val="ListParagraph"/>
        <w:rPr>
          <w:szCs w:val="24"/>
          <w:shd w:val="clear" w:color="auto" w:fill="FFFFFF"/>
        </w:rPr>
      </w:pPr>
      <w:r w:rsidRPr="00F82E89">
        <w:rPr>
          <w:szCs w:val="24"/>
          <w:shd w:val="clear" w:color="auto" w:fill="FFFFFF"/>
        </w:rPr>
        <w:t>Miall, A.D., 2016. Facies analysis. In </w:t>
      </w:r>
      <w:r w:rsidRPr="00F82E89">
        <w:rPr>
          <w:iCs/>
          <w:szCs w:val="24"/>
          <w:shd w:val="clear" w:color="auto" w:fill="FFFFFF"/>
        </w:rPr>
        <w:t>Stratigraphy: A Modern Synthesis</w:t>
      </w:r>
      <w:r w:rsidR="001B1A32" w:rsidRPr="00F82E89">
        <w:rPr>
          <w:szCs w:val="24"/>
          <w:shd w:val="clear" w:color="auto" w:fill="FFFFFF"/>
        </w:rPr>
        <w:t>. Springer, Cham, 77-159.</w:t>
      </w:r>
    </w:p>
    <w:p w:rsidR="006C5BD1" w:rsidRPr="00F82E89" w:rsidRDefault="006C5BD1" w:rsidP="001B1A32">
      <w:pPr>
        <w:pStyle w:val="ListParagraph"/>
        <w:rPr>
          <w:iCs/>
          <w:szCs w:val="24"/>
          <w:shd w:val="clear" w:color="auto" w:fill="FFFFFF"/>
        </w:rPr>
      </w:pPr>
      <w:r w:rsidRPr="00F82E89">
        <w:rPr>
          <w:szCs w:val="24"/>
          <w:shd w:val="clear" w:color="auto" w:fill="FFFFFF"/>
        </w:rPr>
        <w:t>Miall, A.D. and Jones, B.G., 2003. Fluvial architecture of the Hawkesbury sandstone (Triassic), near Sydney, Australia. </w:t>
      </w:r>
      <w:r w:rsidRPr="00F82E89">
        <w:rPr>
          <w:iCs/>
          <w:szCs w:val="24"/>
          <w:shd w:val="clear" w:color="auto" w:fill="FFFFFF"/>
        </w:rPr>
        <w:t>J</w:t>
      </w:r>
      <w:r w:rsidR="001B1A32" w:rsidRPr="00F82E89">
        <w:rPr>
          <w:iCs/>
          <w:szCs w:val="24"/>
          <w:shd w:val="clear" w:color="auto" w:fill="FFFFFF"/>
        </w:rPr>
        <w:t>.</w:t>
      </w:r>
      <w:r w:rsidRPr="00F82E89">
        <w:rPr>
          <w:iCs/>
          <w:szCs w:val="24"/>
          <w:shd w:val="clear" w:color="auto" w:fill="FFFFFF"/>
        </w:rPr>
        <w:t xml:space="preserve"> Sediment</w:t>
      </w:r>
      <w:r w:rsidR="001B1A32" w:rsidRPr="00F82E89">
        <w:rPr>
          <w:iCs/>
          <w:szCs w:val="24"/>
          <w:shd w:val="clear" w:color="auto" w:fill="FFFFFF"/>
        </w:rPr>
        <w:t>.</w:t>
      </w:r>
      <w:r w:rsidRPr="00F82E89">
        <w:rPr>
          <w:iCs/>
          <w:szCs w:val="24"/>
          <w:shd w:val="clear" w:color="auto" w:fill="FFFFFF"/>
        </w:rPr>
        <w:t xml:space="preserve"> Res</w:t>
      </w:r>
      <w:r w:rsidR="001B1A32" w:rsidRPr="00F82E89">
        <w:rPr>
          <w:iCs/>
          <w:szCs w:val="24"/>
          <w:shd w:val="clear" w:color="auto" w:fill="FFFFFF"/>
        </w:rPr>
        <w:t>.</w:t>
      </w:r>
      <w:r w:rsidRPr="00F82E89">
        <w:rPr>
          <w:szCs w:val="24"/>
          <w:shd w:val="clear" w:color="auto" w:fill="FFFFFF"/>
        </w:rPr>
        <w:t>, </w:t>
      </w:r>
      <w:r w:rsidRPr="00F82E89">
        <w:rPr>
          <w:iCs/>
          <w:szCs w:val="24"/>
          <w:shd w:val="clear" w:color="auto" w:fill="FFFFFF"/>
        </w:rPr>
        <w:t>73</w:t>
      </w:r>
      <w:r w:rsidR="001B1A32" w:rsidRPr="00F82E89">
        <w:rPr>
          <w:szCs w:val="24"/>
          <w:shd w:val="clear" w:color="auto" w:fill="FFFFFF"/>
        </w:rPr>
        <w:t xml:space="preserve">(4), </w:t>
      </w:r>
      <w:r w:rsidRPr="00F82E89">
        <w:rPr>
          <w:szCs w:val="24"/>
          <w:shd w:val="clear" w:color="auto" w:fill="FFFFFF"/>
        </w:rPr>
        <w:t>531-545.</w:t>
      </w:r>
      <w:r w:rsidR="001B1A32" w:rsidRPr="00F82E89">
        <w:rPr>
          <w:szCs w:val="24"/>
          <w:shd w:val="clear" w:color="auto" w:fill="FFFFFF"/>
        </w:rPr>
        <w:t xml:space="preserve"> </w:t>
      </w:r>
      <w:hyperlink r:id="rId82" w:tgtFrame="_blank" w:history="1">
        <w:r w:rsidR="001B1A32" w:rsidRPr="00F82E89">
          <w:t>https://doi.org/10.1306/111502730531</w:t>
        </w:r>
      </w:hyperlink>
    </w:p>
    <w:p w:rsidR="00FD7260" w:rsidRPr="00F82E89" w:rsidRDefault="00FD7260" w:rsidP="001B1A32">
      <w:pPr>
        <w:pStyle w:val="ListParagraph"/>
      </w:pPr>
      <w:r w:rsidRPr="00F82E89">
        <w:t>Miall, A.D. and Arush, M., 2001. The Castlegate Sandstone of the Book Cliffs, Utah: sequence stratigraphy, paleogeography, and tectonic controls. J</w:t>
      </w:r>
      <w:r w:rsidR="001B1A32" w:rsidRPr="00F82E89">
        <w:t>.</w:t>
      </w:r>
      <w:r w:rsidRPr="00F82E89">
        <w:t xml:space="preserve"> Sediment</w:t>
      </w:r>
      <w:r w:rsidR="001B1A32" w:rsidRPr="00F82E89">
        <w:t>.</w:t>
      </w:r>
      <w:r w:rsidRPr="00F82E89">
        <w:t xml:space="preserve"> Res</w:t>
      </w:r>
      <w:r w:rsidR="001B1A32" w:rsidRPr="00F82E89">
        <w:t>.</w:t>
      </w:r>
      <w:r w:rsidRPr="00F82E89">
        <w:t>, 71(4), pp.537-548.</w:t>
      </w:r>
      <w:r w:rsidR="001B1A32" w:rsidRPr="00F82E89">
        <w:t xml:space="preserve"> </w:t>
      </w:r>
      <w:hyperlink r:id="rId83" w:tgtFrame="_blank" w:history="1">
        <w:r w:rsidR="001B1A32" w:rsidRPr="00F82E89">
          <w:t>https://doi.org/10.1306/103000710537</w:t>
        </w:r>
      </w:hyperlink>
    </w:p>
    <w:p w:rsidR="006C5BD1" w:rsidRPr="00F82E89" w:rsidRDefault="006C5BD1" w:rsidP="00F211F1">
      <w:pPr>
        <w:pStyle w:val="ListParagraph"/>
        <w:rPr>
          <w:szCs w:val="24"/>
        </w:rPr>
      </w:pPr>
      <w:r w:rsidRPr="00F82E89">
        <w:rPr>
          <w:szCs w:val="24"/>
        </w:rPr>
        <w:t>Mitten, A.J., Clarke, S.M., Pringle, J.K., Richards, P.C. (2018). 2854396 Combining Terrestrial Photogrammetry, Applied Sedimentology and Hand-Held Gamma Ray Spectrometry to Characterise the Cretaceous Lower Castlegate Formation, Tuscher Canyon, Utah, U.S.A. Search and Discovery, AAPG database.</w:t>
      </w:r>
    </w:p>
    <w:p w:rsidR="006C5BD1" w:rsidRDefault="006C5BD1" w:rsidP="001B1A32">
      <w:pPr>
        <w:pStyle w:val="ListParagraph"/>
      </w:pPr>
      <w:r w:rsidRPr="00F82E89">
        <w:rPr>
          <w:szCs w:val="24"/>
        </w:rPr>
        <w:t>Morad, S., Al-Ramadan, K., Ketzer, J.M. and De Ros, L.F., 2010. The impact of diagenesis on the heterogeneity of sandstone reservoirs: A review of the role of depositional facies a</w:t>
      </w:r>
      <w:r w:rsidR="001B1A32" w:rsidRPr="00F82E89">
        <w:rPr>
          <w:szCs w:val="24"/>
        </w:rPr>
        <w:t>nd sequence stratigraphy. AAPG B</w:t>
      </w:r>
      <w:r w:rsidRPr="00F82E89">
        <w:rPr>
          <w:szCs w:val="24"/>
        </w:rPr>
        <w:t>ull</w:t>
      </w:r>
      <w:r w:rsidR="001B1A32" w:rsidRPr="00F82E89">
        <w:rPr>
          <w:szCs w:val="24"/>
        </w:rPr>
        <w:t>.</w:t>
      </w:r>
      <w:r w:rsidRPr="00F82E89">
        <w:rPr>
          <w:szCs w:val="24"/>
        </w:rPr>
        <w:t>, 94, (8), 1267-1309.</w:t>
      </w:r>
      <w:r w:rsidR="001B1A32" w:rsidRPr="00F82E89">
        <w:t xml:space="preserve"> </w:t>
      </w:r>
      <w:hyperlink r:id="rId84" w:tgtFrame="_blank" w:history="1">
        <w:r w:rsidR="001B1A32" w:rsidRPr="00F82E89">
          <w:t>https://doi.org/10.1306/04211009178</w:t>
        </w:r>
      </w:hyperlink>
    </w:p>
    <w:p w:rsidR="00E160BE" w:rsidRDefault="00E160BE" w:rsidP="001B1A32">
      <w:pPr>
        <w:pStyle w:val="ListParagraph"/>
      </w:pPr>
      <w:r>
        <w:t>Mullins, J.R., Nyberg, B., Eide, C., Comunian, Renard, P., Strau</w:t>
      </w:r>
      <w:r w:rsidR="00183B0F">
        <w:t>bhaar, J., Howell, J. 2019. Automated workflows for reservoir modelling, can we get there? AAPG ACE, San Antonio. Search and Discovery.</w:t>
      </w:r>
    </w:p>
    <w:p w:rsidR="009C7F81" w:rsidRPr="009C7F81" w:rsidRDefault="009C7F81" w:rsidP="009C7F81">
      <w:pPr>
        <w:pStyle w:val="ListParagraph"/>
      </w:pPr>
      <w:r>
        <w:rPr>
          <w:shd w:val="clear" w:color="auto" w:fill="FFFFFF"/>
        </w:rPr>
        <w:t>North, C.P. and Taylor, K.S., 1996. Ephemeral-fluvial deposits: integrated outcrop and simulation studies reveal complexity. </w:t>
      </w:r>
      <w:r w:rsidRPr="009C7F81">
        <w:rPr>
          <w:iCs/>
          <w:shd w:val="clear" w:color="auto" w:fill="FFFFFF"/>
        </w:rPr>
        <w:t>AAPG Bull.</w:t>
      </w:r>
      <w:r w:rsidRPr="009C7F81">
        <w:rPr>
          <w:shd w:val="clear" w:color="auto" w:fill="FFFFFF"/>
        </w:rPr>
        <w:t>, </w:t>
      </w:r>
      <w:r w:rsidRPr="009C7F81">
        <w:rPr>
          <w:iCs/>
          <w:shd w:val="clear" w:color="auto" w:fill="FFFFFF"/>
        </w:rPr>
        <w:t>80</w:t>
      </w:r>
      <w:r>
        <w:rPr>
          <w:shd w:val="clear" w:color="auto" w:fill="FFFFFF"/>
        </w:rPr>
        <w:t>(6), 811-830.</w:t>
      </w:r>
    </w:p>
    <w:p w:rsidR="006C5BD1" w:rsidRDefault="006C5BD1" w:rsidP="001B1A32">
      <w:pPr>
        <w:pStyle w:val="ListParagraph"/>
      </w:pPr>
      <w:r w:rsidRPr="00F82E89">
        <w:rPr>
          <w:szCs w:val="24"/>
        </w:rPr>
        <w:t>Olsen, T., Steel, R., Hogseth, K., Skar, T. and Roe, S.L., 1995. Sequential architecture in a fluvial succession: sequence stratigraphy in the Upper Cretaceous Mesaverde Group, Price Canyon, Utah. J</w:t>
      </w:r>
      <w:r w:rsidR="001B1A32" w:rsidRPr="00F82E89">
        <w:rPr>
          <w:szCs w:val="24"/>
        </w:rPr>
        <w:t>.</w:t>
      </w:r>
      <w:r w:rsidRPr="00F82E89">
        <w:rPr>
          <w:szCs w:val="24"/>
        </w:rPr>
        <w:t xml:space="preserve"> Sediment</w:t>
      </w:r>
      <w:r w:rsidR="001B1A32" w:rsidRPr="00F82E89">
        <w:rPr>
          <w:szCs w:val="24"/>
        </w:rPr>
        <w:t>.</w:t>
      </w:r>
      <w:r w:rsidRPr="00F82E89">
        <w:rPr>
          <w:szCs w:val="24"/>
        </w:rPr>
        <w:t xml:space="preserve"> Res</w:t>
      </w:r>
      <w:r w:rsidR="001B1A32" w:rsidRPr="00F82E89">
        <w:rPr>
          <w:szCs w:val="24"/>
        </w:rPr>
        <w:t>.</w:t>
      </w:r>
      <w:r w:rsidRPr="00F82E89">
        <w:rPr>
          <w:szCs w:val="24"/>
        </w:rPr>
        <w:t>, 65, (2), 265-280.</w:t>
      </w:r>
      <w:r w:rsidR="001B1A32" w:rsidRPr="00F82E89">
        <w:rPr>
          <w:szCs w:val="24"/>
        </w:rPr>
        <w:t xml:space="preserve"> </w:t>
      </w:r>
      <w:hyperlink r:id="rId85" w:tgtFrame="_blank" w:history="1">
        <w:r w:rsidR="001B1A32" w:rsidRPr="00F82E89">
          <w:t>https://doi.org/10.1306/D426822A-2B26-11D7-8648000102C1865D</w:t>
        </w:r>
      </w:hyperlink>
    </w:p>
    <w:p w:rsidR="000A4B4D" w:rsidRPr="000A4B4D" w:rsidRDefault="000A4B4D" w:rsidP="000A4B4D">
      <w:pPr>
        <w:pStyle w:val="ListParagraph"/>
      </w:pPr>
      <w:r>
        <w:rPr>
          <w:shd w:val="clear" w:color="auto" w:fill="FFFFFF"/>
        </w:rPr>
        <w:t>Pickel, A., Frechette, J.D., Comunian, A. and Weissmann, G.S., 2015. Building a training image with Digital Outcrop Models. </w:t>
      </w:r>
      <w:r w:rsidRPr="000A4B4D">
        <w:rPr>
          <w:iCs/>
          <w:shd w:val="clear" w:color="auto" w:fill="FFFFFF"/>
        </w:rPr>
        <w:t>J. Hydrol.</w:t>
      </w:r>
      <w:r w:rsidRPr="000A4B4D">
        <w:rPr>
          <w:shd w:val="clear" w:color="auto" w:fill="FFFFFF"/>
        </w:rPr>
        <w:t>, </w:t>
      </w:r>
      <w:r w:rsidRPr="000A4B4D">
        <w:rPr>
          <w:iCs/>
          <w:shd w:val="clear" w:color="auto" w:fill="FFFFFF"/>
        </w:rPr>
        <w:t>531</w:t>
      </w:r>
      <w:r w:rsidRPr="000A4B4D">
        <w:rPr>
          <w:shd w:val="clear" w:color="auto" w:fill="FFFFFF"/>
        </w:rPr>
        <w:t>,</w:t>
      </w:r>
      <w:r>
        <w:rPr>
          <w:shd w:val="clear" w:color="auto" w:fill="FFFFFF"/>
        </w:rPr>
        <w:t xml:space="preserve"> 53-61. </w:t>
      </w:r>
      <w:hyperlink r:id="rId86" w:tgtFrame="_blank" w:tooltip="Persistent link using digital object identifier" w:history="1">
        <w:r w:rsidRPr="000A4B4D">
          <w:t>https://doi.org/10.1016/j.jhydrol.2015.08.049</w:t>
        </w:r>
      </w:hyperlink>
    </w:p>
    <w:p w:rsidR="006C5BD1" w:rsidRPr="00F82E89" w:rsidRDefault="006C5BD1" w:rsidP="00F211F1">
      <w:pPr>
        <w:pStyle w:val="ListParagraph"/>
        <w:rPr>
          <w:szCs w:val="24"/>
        </w:rPr>
      </w:pPr>
      <w:r w:rsidRPr="00F82E89">
        <w:rPr>
          <w:szCs w:val="24"/>
          <w:shd w:val="clear" w:color="auto" w:fill="FFFFFF"/>
        </w:rPr>
        <w:t>Pickering, J.L., Goodbred, S.L., Reitz, M.D., Hartzog, T.R., Mondal, D.R. and Hossain, M.S., 2014. Late Quaternary sedimentary record and Holocene channel avulsions of the Jamuna and Old Brahmaputra River valleys in the upper Bengal delta plain. </w:t>
      </w:r>
      <w:r w:rsidRPr="00F82E89">
        <w:rPr>
          <w:iCs/>
          <w:szCs w:val="24"/>
          <w:shd w:val="clear" w:color="auto" w:fill="FFFFFF"/>
        </w:rPr>
        <w:t>Geomorphology</w:t>
      </w:r>
      <w:r w:rsidRPr="00F82E89">
        <w:rPr>
          <w:szCs w:val="24"/>
          <w:shd w:val="clear" w:color="auto" w:fill="FFFFFF"/>
        </w:rPr>
        <w:t>, </w:t>
      </w:r>
      <w:r w:rsidRPr="00F82E89">
        <w:rPr>
          <w:iCs/>
          <w:szCs w:val="24"/>
          <w:shd w:val="clear" w:color="auto" w:fill="FFFFFF"/>
        </w:rPr>
        <w:t>227</w:t>
      </w:r>
      <w:r w:rsidRPr="00F82E89">
        <w:rPr>
          <w:szCs w:val="24"/>
          <w:shd w:val="clear" w:color="auto" w:fill="FFFFFF"/>
        </w:rPr>
        <w:t>, pp.123-136.</w:t>
      </w:r>
      <w:r w:rsidR="001B1A32" w:rsidRPr="00F82E89">
        <w:rPr>
          <w:szCs w:val="24"/>
          <w:shd w:val="clear" w:color="auto" w:fill="FFFFFF"/>
        </w:rPr>
        <w:t xml:space="preserve"> </w:t>
      </w:r>
      <w:hyperlink r:id="rId87" w:tgtFrame="_blank" w:tooltip="Persistent link using digital object identifier" w:history="1">
        <w:r w:rsidR="001B1A32" w:rsidRPr="00F82E89">
          <w:t>https://doi.org/10.1016/j.geomorph.2013.09.021</w:t>
        </w:r>
      </w:hyperlink>
    </w:p>
    <w:p w:rsidR="006C5BD1" w:rsidRPr="00F82E89" w:rsidRDefault="006C5BD1" w:rsidP="00F211F1">
      <w:pPr>
        <w:pStyle w:val="ListParagraph"/>
        <w:rPr>
          <w:shd w:val="clear" w:color="auto" w:fill="FFFFFF"/>
        </w:rPr>
      </w:pPr>
      <w:r w:rsidRPr="00F82E89">
        <w:rPr>
          <w:shd w:val="clear" w:color="auto" w:fill="FFFFFF"/>
        </w:rPr>
        <w:t>Potere, D., 2008. Horizontal positional accuracy of Google Earth’s high-resolution imagery archive. </w:t>
      </w:r>
      <w:r w:rsidRPr="00F82E89">
        <w:rPr>
          <w:iCs/>
          <w:shd w:val="clear" w:color="auto" w:fill="FFFFFF"/>
        </w:rPr>
        <w:t>Sensors</w:t>
      </w:r>
      <w:r w:rsidRPr="00F82E89">
        <w:rPr>
          <w:shd w:val="clear" w:color="auto" w:fill="FFFFFF"/>
        </w:rPr>
        <w:t>, </w:t>
      </w:r>
      <w:r w:rsidRPr="00F82E89">
        <w:rPr>
          <w:iCs/>
          <w:shd w:val="clear" w:color="auto" w:fill="FFFFFF"/>
        </w:rPr>
        <w:t>8</w:t>
      </w:r>
      <w:r w:rsidRPr="00F82E89">
        <w:rPr>
          <w:shd w:val="clear" w:color="auto" w:fill="FFFFFF"/>
        </w:rPr>
        <w:t>(12), pp.7973-7981.</w:t>
      </w:r>
      <w:r w:rsidR="001B1A32" w:rsidRPr="00F82E89">
        <w:t xml:space="preserve"> </w:t>
      </w:r>
      <w:hyperlink r:id="rId88" w:history="1">
        <w:r w:rsidR="001B1A32" w:rsidRPr="00F82E89">
          <w:t>https://doi.org/10.3390/s8127973</w:t>
        </w:r>
      </w:hyperlink>
    </w:p>
    <w:p w:rsidR="006C5BD1" w:rsidRPr="00F82E89" w:rsidRDefault="006C5BD1" w:rsidP="00F211F1">
      <w:pPr>
        <w:pStyle w:val="ListParagraph"/>
        <w:rPr>
          <w:szCs w:val="24"/>
        </w:rPr>
      </w:pPr>
      <w:r w:rsidRPr="00F82E89">
        <w:rPr>
          <w:szCs w:val="24"/>
        </w:rPr>
        <w:t xml:space="preserve">Pranter, M.J., Ellison, A.I., Cole, R.D. and Patterson, P.E., 2007. Analysis and modelling of intermediate-scale reservoir heterogeneity based on a fluvial point-bar outcrop analogy, Williams Fork Formation, </w:t>
      </w:r>
      <w:r w:rsidR="00F72781" w:rsidRPr="00F82E89">
        <w:rPr>
          <w:szCs w:val="24"/>
        </w:rPr>
        <w:t>Piceance Basin, Colorado. AAPG B</w:t>
      </w:r>
      <w:r w:rsidRPr="00F82E89">
        <w:rPr>
          <w:szCs w:val="24"/>
        </w:rPr>
        <w:t>ull</w:t>
      </w:r>
      <w:r w:rsidR="00F72781" w:rsidRPr="00F82E89">
        <w:rPr>
          <w:szCs w:val="24"/>
        </w:rPr>
        <w:t>.</w:t>
      </w:r>
      <w:r w:rsidRPr="00F82E89">
        <w:rPr>
          <w:szCs w:val="24"/>
        </w:rPr>
        <w:t>, 91, (7), 1025-1051.</w:t>
      </w:r>
      <w:r w:rsidR="00F72781" w:rsidRPr="00F82E89">
        <w:rPr>
          <w:szCs w:val="24"/>
        </w:rPr>
        <w:t xml:space="preserve"> </w:t>
      </w:r>
      <w:hyperlink r:id="rId89" w:tgtFrame="_blank" w:history="1">
        <w:r w:rsidR="00F72781" w:rsidRPr="00F82E89">
          <w:t>https://doi.org/10.1306/02010706102</w:t>
        </w:r>
      </w:hyperlink>
    </w:p>
    <w:p w:rsidR="006C5BD1" w:rsidRPr="00F82E89" w:rsidRDefault="006C5BD1" w:rsidP="00F72781">
      <w:pPr>
        <w:pStyle w:val="ListParagraph"/>
      </w:pPr>
      <w:r w:rsidRPr="00F82E89">
        <w:rPr>
          <w:shd w:val="clear" w:color="auto" w:fill="FFFFFF"/>
          <w:lang w:val="en-US"/>
        </w:rPr>
        <w:t xml:space="preserve">Pringle, J.K., Howell, J.A., Hodgetts, D., Westerman, A.R. and Hodgson, D.M., 2006. Virtual outcrop models of petroleum reservoir analogues: a review of the current state-of-the-art. </w:t>
      </w:r>
      <w:r w:rsidRPr="00F82E89">
        <w:rPr>
          <w:iCs/>
          <w:shd w:val="clear" w:color="auto" w:fill="FFFFFF"/>
          <w:lang w:val="en-US"/>
        </w:rPr>
        <w:t>First break</w:t>
      </w:r>
      <w:r w:rsidRPr="00F82E89">
        <w:rPr>
          <w:shd w:val="clear" w:color="auto" w:fill="FFFFFF"/>
        </w:rPr>
        <w:t xml:space="preserve">, </w:t>
      </w:r>
      <w:r w:rsidRPr="00F82E89">
        <w:rPr>
          <w:iCs/>
          <w:shd w:val="clear" w:color="auto" w:fill="FFFFFF"/>
        </w:rPr>
        <w:t>24</w:t>
      </w:r>
      <w:r w:rsidRPr="00F82E89">
        <w:rPr>
          <w:shd w:val="clear" w:color="auto" w:fill="FFFFFF"/>
        </w:rPr>
        <w:t>(3), pp.33-42.</w:t>
      </w:r>
      <w:r w:rsidR="00F72781" w:rsidRPr="00F82E89">
        <w:rPr>
          <w:shd w:val="clear" w:color="auto" w:fill="FFFFFF"/>
        </w:rPr>
        <w:t xml:space="preserve"> https://doi.org/</w:t>
      </w:r>
      <w:r w:rsidR="00F72781" w:rsidRPr="00F82E89">
        <w:t>10.3997/1365-2397.2006005 </w:t>
      </w:r>
    </w:p>
    <w:p w:rsidR="006C5BD1" w:rsidRPr="00F82E89" w:rsidRDefault="006C5BD1" w:rsidP="00F72781">
      <w:pPr>
        <w:pStyle w:val="ListParagraph"/>
      </w:pPr>
      <w:r w:rsidRPr="00F82E89">
        <w:rPr>
          <w:szCs w:val="24"/>
        </w:rPr>
        <w:t>Pringle, J.K., Brunt, R.L., Hodgson, D.M. and Flint, S.S. 2010. Capturing stratigraphic and sedimentological complexity in 3D digital outcrop models of submarine channel complexes, Karoo Basin, South Africa. Petrol</w:t>
      </w:r>
      <w:r w:rsidR="00F72781" w:rsidRPr="00F82E89">
        <w:rPr>
          <w:szCs w:val="24"/>
        </w:rPr>
        <w:t>.</w:t>
      </w:r>
      <w:r w:rsidRPr="00F82E89">
        <w:rPr>
          <w:szCs w:val="24"/>
        </w:rPr>
        <w:t xml:space="preserve"> Geo</w:t>
      </w:r>
      <w:r w:rsidR="00F72781" w:rsidRPr="00F82E89">
        <w:rPr>
          <w:szCs w:val="24"/>
        </w:rPr>
        <w:t>.</w:t>
      </w:r>
      <w:r w:rsidRPr="00F82E89">
        <w:rPr>
          <w:szCs w:val="24"/>
        </w:rPr>
        <w:t>, 16, (4), 307-330.</w:t>
      </w:r>
      <w:r w:rsidR="00F72781" w:rsidRPr="00F82E89">
        <w:rPr>
          <w:szCs w:val="24"/>
        </w:rPr>
        <w:t xml:space="preserve"> </w:t>
      </w:r>
      <w:hyperlink r:id="rId90" w:tgtFrame="_blank" w:history="1">
        <w:r w:rsidR="00F72781" w:rsidRPr="00F82E89">
          <w:t>https://doi.org/10.1144/1354-079309-028</w:t>
        </w:r>
      </w:hyperlink>
    </w:p>
    <w:p w:rsidR="0046560C" w:rsidRDefault="0046560C" w:rsidP="00F72781">
      <w:pPr>
        <w:pStyle w:val="ListParagraph"/>
      </w:pPr>
      <w:r w:rsidRPr="00F82E89">
        <w:t>Puig, J.M., Cabello, P., Howell, J. and Arbués, P., 2019. Three-dimensional characterisation of sedimentary heterogeneity and its impact on subsurface flow behaviour through the braided-to-meandering fluvial deposits of the Castissent Formation (late Ypresian, Tremp-Graus Basin, Spain). Mar</w:t>
      </w:r>
      <w:r w:rsidR="00F72781" w:rsidRPr="00F82E89">
        <w:t>.</w:t>
      </w:r>
      <w:r w:rsidRPr="00F82E89">
        <w:t xml:space="preserve"> Petrol</w:t>
      </w:r>
      <w:r w:rsidR="00F72781" w:rsidRPr="00F82E89">
        <w:t>.</w:t>
      </w:r>
      <w:r w:rsidRPr="00F82E89">
        <w:t xml:space="preserve"> Geol</w:t>
      </w:r>
      <w:r w:rsidR="00F72781" w:rsidRPr="00F82E89">
        <w:t>.</w:t>
      </w:r>
      <w:r w:rsidRPr="00F82E89">
        <w:t>, 103, 661-680.</w:t>
      </w:r>
      <w:r w:rsidR="00F72781" w:rsidRPr="00F82E89">
        <w:t xml:space="preserve"> </w:t>
      </w:r>
      <w:hyperlink r:id="rId91" w:tgtFrame="_blank" w:tooltip="Persistent link using digital object identifier" w:history="1">
        <w:r w:rsidR="00F72781" w:rsidRPr="00F82E89">
          <w:t>https://doi.org/10.1016/j.marpetgeo.2019.02.014</w:t>
        </w:r>
      </w:hyperlink>
    </w:p>
    <w:p w:rsidR="00CC4F4D" w:rsidRPr="00F82E89" w:rsidRDefault="00CC4F4D" w:rsidP="00F72781">
      <w:pPr>
        <w:pStyle w:val="ListParagraph"/>
      </w:pPr>
      <w:r>
        <w:t xml:space="preserve">Rasband, W.S., </w:t>
      </w:r>
      <w:r w:rsidR="00014D24">
        <w:t xml:space="preserve">2009. </w:t>
      </w:r>
      <w:r>
        <w:t>ImageJ, US National Institutes of Health, Bethesda, Maryland, USA, http://rsb.info.nih.gov/ij/.</w:t>
      </w:r>
    </w:p>
    <w:p w:rsidR="006C5BD1" w:rsidRPr="00F82E89" w:rsidRDefault="006C5BD1" w:rsidP="00F211F1">
      <w:pPr>
        <w:pStyle w:val="ListParagraph"/>
        <w:rPr>
          <w:szCs w:val="24"/>
          <w:shd w:val="clear" w:color="auto" w:fill="FFFFFF"/>
        </w:rPr>
      </w:pPr>
      <w:r w:rsidRPr="00F82E89">
        <w:rPr>
          <w:szCs w:val="24"/>
          <w:shd w:val="clear" w:color="auto" w:fill="FFFFFF"/>
        </w:rPr>
        <w:t>Richardson, W.R. and Thorne, C.R., 2001. Multiple thread flow and channel bifurcation in a braided river: Brahmaputra–Jamuna River, Bangladesh. </w:t>
      </w:r>
      <w:r w:rsidRPr="00F82E89">
        <w:rPr>
          <w:iCs/>
          <w:szCs w:val="24"/>
          <w:shd w:val="clear" w:color="auto" w:fill="FFFFFF"/>
        </w:rPr>
        <w:t>Geomorphology</w:t>
      </w:r>
      <w:r w:rsidRPr="00F82E89">
        <w:rPr>
          <w:szCs w:val="24"/>
          <w:shd w:val="clear" w:color="auto" w:fill="FFFFFF"/>
        </w:rPr>
        <w:t>, </w:t>
      </w:r>
      <w:r w:rsidRPr="00F82E89">
        <w:rPr>
          <w:iCs/>
          <w:szCs w:val="24"/>
          <w:shd w:val="clear" w:color="auto" w:fill="FFFFFF"/>
        </w:rPr>
        <w:t>38</w:t>
      </w:r>
      <w:r w:rsidRPr="00F82E89">
        <w:rPr>
          <w:szCs w:val="24"/>
          <w:shd w:val="clear" w:color="auto" w:fill="FFFFFF"/>
        </w:rPr>
        <w:t>(3-4), pp.185-196.</w:t>
      </w:r>
      <w:r w:rsidR="00F72781" w:rsidRPr="00F82E89">
        <w:rPr>
          <w:szCs w:val="24"/>
          <w:shd w:val="clear" w:color="auto" w:fill="FFFFFF"/>
        </w:rPr>
        <w:t xml:space="preserve"> </w:t>
      </w:r>
      <w:hyperlink r:id="rId92" w:tgtFrame="_blank" w:tooltip="Persistent link using digital object identifier" w:history="1">
        <w:r w:rsidR="00F72781" w:rsidRPr="00F82E89">
          <w:t>https://doi.org/10.1016/S0169-555X(00)00080-5</w:t>
        </w:r>
      </w:hyperlink>
    </w:p>
    <w:p w:rsidR="0046560C" w:rsidRPr="00F82E89" w:rsidRDefault="006C5BD1" w:rsidP="00F211F1">
      <w:pPr>
        <w:pStyle w:val="ListParagraph"/>
        <w:rPr>
          <w:szCs w:val="24"/>
          <w:shd w:val="clear" w:color="auto" w:fill="FFFFFF"/>
        </w:rPr>
      </w:pPr>
      <w:r w:rsidRPr="00F82E89">
        <w:rPr>
          <w:szCs w:val="24"/>
          <w:shd w:val="clear" w:color="auto" w:fill="FFFFFF"/>
        </w:rPr>
        <w:t>Ringrose, P. and Bentley, M., 2015. The Property Model. In </w:t>
      </w:r>
      <w:r w:rsidRPr="00F82E89">
        <w:rPr>
          <w:iCs/>
          <w:szCs w:val="24"/>
          <w:shd w:val="clear" w:color="auto" w:fill="FFFFFF"/>
        </w:rPr>
        <w:t>Reservoir Model Design</w:t>
      </w:r>
      <w:r w:rsidRPr="00F82E89">
        <w:rPr>
          <w:szCs w:val="24"/>
          <w:shd w:val="clear" w:color="auto" w:fill="FFFFFF"/>
        </w:rPr>
        <w:t>. Springer, Dordrecht.</w:t>
      </w:r>
      <w:r w:rsidR="00F72781" w:rsidRPr="00F82E89">
        <w:rPr>
          <w:szCs w:val="24"/>
          <w:shd w:val="clear" w:color="auto" w:fill="FFFFFF"/>
        </w:rPr>
        <w:t xml:space="preserve">  173-231</w:t>
      </w:r>
    </w:p>
    <w:p w:rsidR="0046560C" w:rsidRPr="00F82E89" w:rsidRDefault="0046560C" w:rsidP="00F72781">
      <w:pPr>
        <w:pStyle w:val="ListParagraph"/>
      </w:pPr>
      <w:r w:rsidRPr="00F82E89">
        <w:t>Ringrose, P.S., Martinius, A.W. and Alvestad, J., 2008. Multiscale geological reservoir modelling in practice. </w:t>
      </w:r>
      <w:r w:rsidR="00E274D7" w:rsidRPr="00F82E89">
        <w:rPr>
          <w:szCs w:val="24"/>
        </w:rPr>
        <w:t xml:space="preserve">In: Robinson, A., Griffiths, P., Price, S., Hegre, J., and Muggeridge, A., (Eds.) The Future of Geological Modelling in Hydrocarbon Development, Geol. Soc. Spec. Pub., 309, </w:t>
      </w:r>
      <w:r w:rsidRPr="00F82E89">
        <w:t>123-134.</w:t>
      </w:r>
      <w:r w:rsidR="00F72781" w:rsidRPr="00F82E89">
        <w:t xml:space="preserve"> </w:t>
      </w:r>
      <w:hyperlink r:id="rId93" w:history="1">
        <w:r w:rsidR="00F72781" w:rsidRPr="00F82E89">
          <w:t>https://doi.org/10.1144/SP309.9</w:t>
        </w:r>
      </w:hyperlink>
    </w:p>
    <w:p w:rsidR="0046560C" w:rsidRPr="00F82E89" w:rsidRDefault="0046560C" w:rsidP="00F72781">
      <w:pPr>
        <w:pStyle w:val="ListParagraph"/>
      </w:pPr>
      <w:r w:rsidRPr="00F82E89">
        <w:t>Rittersbacher, A., Howell, J.A. and Buckley, S.J., 2014. Analysis of fluvial architecture in the Blackhawk Formation, Wasatch Plateau, Utah, USA, using large 3D photorealistic models. J</w:t>
      </w:r>
      <w:r w:rsidR="00F72781" w:rsidRPr="00F82E89">
        <w:t>.</w:t>
      </w:r>
      <w:r w:rsidRPr="00F82E89">
        <w:t xml:space="preserve"> Sediment</w:t>
      </w:r>
      <w:r w:rsidR="00F72781" w:rsidRPr="00F82E89">
        <w:t>.</w:t>
      </w:r>
      <w:r w:rsidRPr="00F82E89">
        <w:t xml:space="preserve"> Res</w:t>
      </w:r>
      <w:r w:rsidR="00F72781" w:rsidRPr="00F82E89">
        <w:t>.</w:t>
      </w:r>
      <w:r w:rsidRPr="00F82E89">
        <w:t>, 84(2), 72-87.</w:t>
      </w:r>
      <w:r w:rsidR="00F72781" w:rsidRPr="00F82E89">
        <w:t xml:space="preserve"> </w:t>
      </w:r>
      <w:hyperlink r:id="rId94" w:tgtFrame="_blank" w:history="1">
        <w:r w:rsidR="00F72781" w:rsidRPr="00F82E89">
          <w:t>https://doi.org/10.2110/jsr.2014.12</w:t>
        </w:r>
      </w:hyperlink>
    </w:p>
    <w:p w:rsidR="006C5BD1" w:rsidRPr="00F82E89" w:rsidRDefault="006C5BD1" w:rsidP="00F211F1">
      <w:pPr>
        <w:pStyle w:val="ListParagraph"/>
        <w:rPr>
          <w:szCs w:val="24"/>
          <w:shd w:val="clear" w:color="auto" w:fill="FFFFFF"/>
        </w:rPr>
      </w:pPr>
      <w:r w:rsidRPr="00F82E89">
        <w:rPr>
          <w:szCs w:val="24"/>
          <w:shd w:val="clear" w:color="auto" w:fill="FFFFFF"/>
        </w:rPr>
        <w:t>Samuels, P.G., 1989. Backwater lengths in rivers. </w:t>
      </w:r>
      <w:r w:rsidRPr="00F82E89">
        <w:rPr>
          <w:iCs/>
          <w:szCs w:val="24"/>
          <w:shd w:val="clear" w:color="auto" w:fill="FFFFFF"/>
        </w:rPr>
        <w:t>Proceedings of the Institution of Civil Engineers</w:t>
      </w:r>
      <w:r w:rsidRPr="00F82E89">
        <w:rPr>
          <w:szCs w:val="24"/>
          <w:shd w:val="clear" w:color="auto" w:fill="FFFFFF"/>
        </w:rPr>
        <w:t>, </w:t>
      </w:r>
      <w:r w:rsidRPr="00F82E89">
        <w:rPr>
          <w:iCs/>
          <w:szCs w:val="24"/>
          <w:shd w:val="clear" w:color="auto" w:fill="FFFFFF"/>
        </w:rPr>
        <w:t>87</w:t>
      </w:r>
      <w:r w:rsidR="00F72781" w:rsidRPr="00F82E89">
        <w:rPr>
          <w:szCs w:val="24"/>
          <w:shd w:val="clear" w:color="auto" w:fill="FFFFFF"/>
        </w:rPr>
        <w:t xml:space="preserve">(4), </w:t>
      </w:r>
      <w:r w:rsidRPr="00F82E89">
        <w:rPr>
          <w:szCs w:val="24"/>
          <w:shd w:val="clear" w:color="auto" w:fill="FFFFFF"/>
        </w:rPr>
        <w:t>571-582.</w:t>
      </w:r>
    </w:p>
    <w:p w:rsidR="006C5BD1" w:rsidRPr="00F82E89" w:rsidRDefault="006C5BD1" w:rsidP="00F211F1">
      <w:pPr>
        <w:pStyle w:val="ListParagraph"/>
        <w:rPr>
          <w:szCs w:val="24"/>
          <w:shd w:val="clear" w:color="auto" w:fill="FFFFFF"/>
        </w:rPr>
      </w:pPr>
      <w:r w:rsidRPr="00F82E89">
        <w:rPr>
          <w:szCs w:val="24"/>
          <w:shd w:val="clear" w:color="auto" w:fill="FFFFFF"/>
        </w:rPr>
        <w:t>Sarker, M.H., Thorne, C.R., Aktar, M.N. and Ferdous, M.R., 2014. Morpho-dynamics of the Brahmaputra–Jamuna River, Bangladesh. </w:t>
      </w:r>
      <w:r w:rsidRPr="00F82E89">
        <w:rPr>
          <w:iCs/>
          <w:szCs w:val="24"/>
          <w:shd w:val="clear" w:color="auto" w:fill="FFFFFF"/>
        </w:rPr>
        <w:t>Geomorphology</w:t>
      </w:r>
      <w:r w:rsidRPr="00F82E89">
        <w:rPr>
          <w:szCs w:val="24"/>
          <w:shd w:val="clear" w:color="auto" w:fill="FFFFFF"/>
        </w:rPr>
        <w:t>, </w:t>
      </w:r>
      <w:r w:rsidRPr="00F82E89">
        <w:rPr>
          <w:iCs/>
          <w:szCs w:val="24"/>
          <w:shd w:val="clear" w:color="auto" w:fill="FFFFFF"/>
        </w:rPr>
        <w:t>215</w:t>
      </w:r>
      <w:r w:rsidR="00F72781" w:rsidRPr="00F82E89">
        <w:rPr>
          <w:szCs w:val="24"/>
          <w:shd w:val="clear" w:color="auto" w:fill="FFFFFF"/>
        </w:rPr>
        <w:t xml:space="preserve">, </w:t>
      </w:r>
      <w:r w:rsidRPr="00F82E89">
        <w:rPr>
          <w:szCs w:val="24"/>
          <w:shd w:val="clear" w:color="auto" w:fill="FFFFFF"/>
        </w:rPr>
        <w:t>45-59.</w:t>
      </w:r>
      <w:r w:rsidR="00F72781" w:rsidRPr="00F82E89">
        <w:rPr>
          <w:szCs w:val="24"/>
          <w:shd w:val="clear" w:color="auto" w:fill="FFFFFF"/>
        </w:rPr>
        <w:t xml:space="preserve"> </w:t>
      </w:r>
      <w:hyperlink r:id="rId95" w:tgtFrame="_blank" w:tooltip="Persistent link using digital object identifier" w:history="1">
        <w:r w:rsidR="00F72781" w:rsidRPr="00F82E89">
          <w:t>https://doi.org/10.1016/j.geomorph.2013.07.025</w:t>
        </w:r>
      </w:hyperlink>
    </w:p>
    <w:p w:rsidR="006C5BD1" w:rsidRPr="00F82E89" w:rsidRDefault="006C5BD1" w:rsidP="00F211F1">
      <w:pPr>
        <w:pStyle w:val="ListParagraph"/>
        <w:rPr>
          <w:rFonts w:cs="Times New Roman"/>
          <w:szCs w:val="24"/>
          <w:shd w:val="clear" w:color="auto" w:fill="FFFFFF"/>
        </w:rPr>
      </w:pPr>
      <w:r w:rsidRPr="00F82E89">
        <w:rPr>
          <w:rFonts w:cs="Times New Roman"/>
          <w:szCs w:val="24"/>
          <w:shd w:val="clear" w:color="auto" w:fill="FFFFFF"/>
        </w:rPr>
        <w:t>Seifert, D. and Jensen, J.L., 1999. Using sequential indicator simulation as a tool in reservoir description: issues and uncertainties. </w:t>
      </w:r>
      <w:r w:rsidRPr="00F82E89">
        <w:rPr>
          <w:rFonts w:cs="Times New Roman"/>
          <w:iCs/>
          <w:szCs w:val="24"/>
          <w:shd w:val="clear" w:color="auto" w:fill="FFFFFF"/>
        </w:rPr>
        <w:t>Math</w:t>
      </w:r>
      <w:r w:rsidR="00F72781" w:rsidRPr="00F82E89">
        <w:rPr>
          <w:rFonts w:cs="Times New Roman"/>
          <w:iCs/>
          <w:szCs w:val="24"/>
          <w:shd w:val="clear" w:color="auto" w:fill="FFFFFF"/>
        </w:rPr>
        <w:t>.</w:t>
      </w:r>
      <w:r w:rsidRPr="00F82E89">
        <w:rPr>
          <w:rFonts w:cs="Times New Roman"/>
          <w:iCs/>
          <w:szCs w:val="24"/>
          <w:shd w:val="clear" w:color="auto" w:fill="FFFFFF"/>
        </w:rPr>
        <w:t xml:space="preserve"> Geol</w:t>
      </w:r>
      <w:r w:rsidR="00F72781" w:rsidRPr="00F82E89">
        <w:rPr>
          <w:rFonts w:cs="Times New Roman"/>
          <w:iCs/>
          <w:szCs w:val="24"/>
          <w:shd w:val="clear" w:color="auto" w:fill="FFFFFF"/>
        </w:rPr>
        <w:t>.</w:t>
      </w:r>
      <w:r w:rsidRPr="00F82E89">
        <w:rPr>
          <w:rFonts w:cs="Times New Roman"/>
          <w:szCs w:val="24"/>
          <w:shd w:val="clear" w:color="auto" w:fill="FFFFFF"/>
        </w:rPr>
        <w:t>, </w:t>
      </w:r>
      <w:r w:rsidRPr="00F82E89">
        <w:rPr>
          <w:rFonts w:cs="Times New Roman"/>
          <w:iCs/>
          <w:szCs w:val="24"/>
          <w:shd w:val="clear" w:color="auto" w:fill="FFFFFF"/>
        </w:rPr>
        <w:t>31</w:t>
      </w:r>
      <w:r w:rsidR="00F72781" w:rsidRPr="00F82E89">
        <w:rPr>
          <w:rFonts w:cs="Times New Roman"/>
          <w:szCs w:val="24"/>
          <w:shd w:val="clear" w:color="auto" w:fill="FFFFFF"/>
        </w:rPr>
        <w:t xml:space="preserve">(5), </w:t>
      </w:r>
      <w:r w:rsidRPr="00F82E89">
        <w:rPr>
          <w:rFonts w:cs="Times New Roman"/>
          <w:szCs w:val="24"/>
          <w:shd w:val="clear" w:color="auto" w:fill="FFFFFF"/>
        </w:rPr>
        <w:t>527-550.</w:t>
      </w:r>
      <w:r w:rsidR="00F72781" w:rsidRPr="00F82E89">
        <w:rPr>
          <w:rFonts w:cs="Times New Roman"/>
          <w:szCs w:val="24"/>
          <w:shd w:val="clear" w:color="auto" w:fill="FFFFFF"/>
        </w:rPr>
        <w:t xml:space="preserve"> </w:t>
      </w:r>
      <w:r w:rsidR="00F72781" w:rsidRPr="00F82E89">
        <w:t>https://doi.org/10.1023/A:1007563907124</w:t>
      </w:r>
    </w:p>
    <w:p w:rsidR="006C5BD1" w:rsidRPr="00F82E89" w:rsidRDefault="006C5BD1" w:rsidP="00F211F1">
      <w:pPr>
        <w:pStyle w:val="ListParagraph"/>
        <w:rPr>
          <w:rFonts w:cs="Times New Roman"/>
          <w:szCs w:val="24"/>
          <w:shd w:val="clear" w:color="auto" w:fill="FFFFFF"/>
        </w:rPr>
      </w:pPr>
      <w:r w:rsidRPr="00F82E89">
        <w:rPr>
          <w:rFonts w:cs="Times New Roman"/>
          <w:szCs w:val="24"/>
          <w:shd w:val="clear" w:color="auto" w:fill="FFFFFF"/>
        </w:rPr>
        <w:t xml:space="preserve">Seifert, D. and Jensen, J.L., 2000. Object and pixel-based reservoir </w:t>
      </w:r>
      <w:r w:rsidR="0049145F" w:rsidRPr="00F82E89">
        <w:rPr>
          <w:rFonts w:cs="Times New Roman"/>
          <w:szCs w:val="24"/>
          <w:shd w:val="clear" w:color="auto" w:fill="FFFFFF"/>
        </w:rPr>
        <w:t>modelling</w:t>
      </w:r>
      <w:r w:rsidRPr="00F82E89">
        <w:rPr>
          <w:rFonts w:cs="Times New Roman"/>
          <w:szCs w:val="24"/>
          <w:shd w:val="clear" w:color="auto" w:fill="FFFFFF"/>
        </w:rPr>
        <w:t xml:space="preserve"> of a braided fluvial reservoir. </w:t>
      </w:r>
      <w:r w:rsidRPr="00F82E89">
        <w:rPr>
          <w:rFonts w:cs="Times New Roman"/>
          <w:iCs/>
          <w:szCs w:val="24"/>
          <w:shd w:val="clear" w:color="auto" w:fill="FFFFFF"/>
        </w:rPr>
        <w:t>Math</w:t>
      </w:r>
      <w:r w:rsidR="00F72781" w:rsidRPr="00F82E89">
        <w:rPr>
          <w:rFonts w:cs="Times New Roman"/>
          <w:iCs/>
          <w:szCs w:val="24"/>
          <w:shd w:val="clear" w:color="auto" w:fill="FFFFFF"/>
        </w:rPr>
        <w:t>.</w:t>
      </w:r>
      <w:r w:rsidRPr="00F82E89">
        <w:rPr>
          <w:rFonts w:cs="Times New Roman"/>
          <w:iCs/>
          <w:szCs w:val="24"/>
          <w:shd w:val="clear" w:color="auto" w:fill="FFFFFF"/>
        </w:rPr>
        <w:t xml:space="preserve"> Geol</w:t>
      </w:r>
      <w:r w:rsidR="00F72781" w:rsidRPr="00F82E89">
        <w:rPr>
          <w:rFonts w:cs="Times New Roman"/>
          <w:iCs/>
          <w:szCs w:val="24"/>
          <w:shd w:val="clear" w:color="auto" w:fill="FFFFFF"/>
        </w:rPr>
        <w:t>.</w:t>
      </w:r>
      <w:r w:rsidRPr="00F82E89">
        <w:rPr>
          <w:rFonts w:cs="Times New Roman"/>
          <w:szCs w:val="24"/>
          <w:shd w:val="clear" w:color="auto" w:fill="FFFFFF"/>
        </w:rPr>
        <w:t>, </w:t>
      </w:r>
      <w:r w:rsidRPr="00F82E89">
        <w:rPr>
          <w:rFonts w:cs="Times New Roman"/>
          <w:iCs/>
          <w:szCs w:val="24"/>
          <w:shd w:val="clear" w:color="auto" w:fill="FFFFFF"/>
        </w:rPr>
        <w:t>32</w:t>
      </w:r>
      <w:r w:rsidR="00F72781" w:rsidRPr="00F82E89">
        <w:rPr>
          <w:rFonts w:cs="Times New Roman"/>
          <w:szCs w:val="24"/>
          <w:shd w:val="clear" w:color="auto" w:fill="FFFFFF"/>
        </w:rPr>
        <w:t xml:space="preserve">(5), </w:t>
      </w:r>
      <w:r w:rsidRPr="00F82E89">
        <w:rPr>
          <w:rFonts w:cs="Times New Roman"/>
          <w:szCs w:val="24"/>
          <w:shd w:val="clear" w:color="auto" w:fill="FFFFFF"/>
        </w:rPr>
        <w:t>581-603.</w:t>
      </w:r>
      <w:r w:rsidR="00F72781" w:rsidRPr="00F82E89">
        <w:rPr>
          <w:rFonts w:cs="Times New Roman"/>
          <w:szCs w:val="24"/>
          <w:shd w:val="clear" w:color="auto" w:fill="FFFFFF"/>
        </w:rPr>
        <w:t xml:space="preserve"> </w:t>
      </w:r>
      <w:r w:rsidR="00F72781" w:rsidRPr="00F82E89">
        <w:t>https://doi.org/10.1023/A:1007562221431</w:t>
      </w:r>
    </w:p>
    <w:p w:rsidR="0046560C" w:rsidRPr="00F82E89" w:rsidRDefault="0046560C" w:rsidP="00F72781">
      <w:pPr>
        <w:pStyle w:val="ListParagraph"/>
      </w:pPr>
      <w:r w:rsidRPr="00F82E89">
        <w:t>Stephen, K.D., Clark, J.D. and Gardiner, A.R., 2001. Outcrop-based stochastic modelling of turbidite amalgamation and its effects on hydrocarbon recovery. Petrol</w:t>
      </w:r>
      <w:r w:rsidR="00F72781" w:rsidRPr="00F82E89">
        <w:t xml:space="preserve">. </w:t>
      </w:r>
      <w:r w:rsidRPr="00F82E89">
        <w:t>Geo</w:t>
      </w:r>
      <w:r w:rsidR="00F72781" w:rsidRPr="00F82E89">
        <w:t>.</w:t>
      </w:r>
      <w:r w:rsidRPr="00F82E89">
        <w:t>, 7(2), 163-172.</w:t>
      </w:r>
      <w:r w:rsidR="00F72781" w:rsidRPr="00F82E89">
        <w:t xml:space="preserve"> 10.1144/petgeo.7.2.163</w:t>
      </w:r>
      <w:r w:rsidR="00F72781" w:rsidRPr="00F82E89">
        <w:rPr>
          <w:rFonts w:ascii="Verdana" w:hAnsi="Verdana"/>
          <w:sz w:val="18"/>
          <w:szCs w:val="18"/>
          <w:shd w:val="clear" w:color="auto" w:fill="F4F8FC"/>
        </w:rPr>
        <w:t> </w:t>
      </w:r>
    </w:p>
    <w:p w:rsidR="006C5BD1" w:rsidRPr="00F82E89" w:rsidRDefault="006C5BD1" w:rsidP="00F211F1">
      <w:pPr>
        <w:pStyle w:val="ListParagraph"/>
        <w:rPr>
          <w:szCs w:val="24"/>
        </w:rPr>
      </w:pPr>
      <w:r w:rsidRPr="00F82E89">
        <w:rPr>
          <w:szCs w:val="24"/>
        </w:rPr>
        <w:t>Strebelle, S., 2002. Conditional simulation of complex geological structures using multiple-point statistics. </w:t>
      </w:r>
      <w:r w:rsidR="00E17B1E" w:rsidRPr="00F82E89">
        <w:rPr>
          <w:rStyle w:val="Emphasis"/>
          <w:i w:val="0"/>
          <w:szCs w:val="24"/>
        </w:rPr>
        <w:t>Math. Geol.</w:t>
      </w:r>
      <w:r w:rsidRPr="00F82E89">
        <w:rPr>
          <w:szCs w:val="24"/>
        </w:rPr>
        <w:t>, </w:t>
      </w:r>
      <w:r w:rsidRPr="00F82E89">
        <w:rPr>
          <w:rStyle w:val="Emphasis"/>
          <w:i w:val="0"/>
          <w:szCs w:val="24"/>
        </w:rPr>
        <w:t>34</w:t>
      </w:r>
      <w:r w:rsidR="00E17B1E" w:rsidRPr="00F82E89">
        <w:rPr>
          <w:szCs w:val="24"/>
        </w:rPr>
        <w:t xml:space="preserve">(1), </w:t>
      </w:r>
      <w:r w:rsidRPr="00F82E89">
        <w:rPr>
          <w:szCs w:val="24"/>
        </w:rPr>
        <w:t>1-21.</w:t>
      </w:r>
      <w:r w:rsidR="00E17B1E" w:rsidRPr="00F82E89">
        <w:rPr>
          <w:szCs w:val="24"/>
        </w:rPr>
        <w:t xml:space="preserve"> </w:t>
      </w:r>
      <w:r w:rsidR="00E17B1E" w:rsidRPr="00F82E89">
        <w:t>https://doi.org/10.1023/A:1014009426274</w:t>
      </w:r>
    </w:p>
    <w:p w:rsidR="0046560C" w:rsidRPr="00F82E89" w:rsidRDefault="006C5BD1" w:rsidP="00F211F1">
      <w:pPr>
        <w:pStyle w:val="ListParagraph"/>
        <w:rPr>
          <w:szCs w:val="24"/>
        </w:rPr>
      </w:pPr>
      <w:r w:rsidRPr="00F82E89">
        <w:rPr>
          <w:shd w:val="clear" w:color="auto" w:fill="FFFFFF"/>
        </w:rPr>
        <w:t xml:space="preserve">Strebelle, S.B. and Journel, A.G., 2001, Reservoir </w:t>
      </w:r>
      <w:r w:rsidR="0049145F" w:rsidRPr="00F82E89">
        <w:rPr>
          <w:shd w:val="clear" w:color="auto" w:fill="FFFFFF"/>
        </w:rPr>
        <w:t>modelling</w:t>
      </w:r>
      <w:r w:rsidRPr="00F82E89">
        <w:rPr>
          <w:shd w:val="clear" w:color="auto" w:fill="FFFFFF"/>
        </w:rPr>
        <w:t xml:space="preserve"> using multiple-point statistics. In</w:t>
      </w:r>
      <w:r w:rsidR="00E17B1E" w:rsidRPr="00F82E89">
        <w:rPr>
          <w:shd w:val="clear" w:color="auto" w:fill="FFFFFF"/>
        </w:rPr>
        <w:t>:</w:t>
      </w:r>
      <w:r w:rsidRPr="00F82E89">
        <w:rPr>
          <w:shd w:val="clear" w:color="auto" w:fill="FFFFFF"/>
        </w:rPr>
        <w:t> </w:t>
      </w:r>
      <w:r w:rsidRPr="00F82E89">
        <w:rPr>
          <w:iCs/>
          <w:shd w:val="clear" w:color="auto" w:fill="FFFFFF"/>
        </w:rPr>
        <w:t>SPE Annual Technical Conference and Exhibition</w:t>
      </w:r>
      <w:r w:rsidRPr="00F82E89">
        <w:rPr>
          <w:shd w:val="clear" w:color="auto" w:fill="FFFFFF"/>
        </w:rPr>
        <w:t>. Society of Petroleum Engineers.</w:t>
      </w:r>
      <w:r w:rsidR="0046560C" w:rsidRPr="00F82E89">
        <w:rPr>
          <w:szCs w:val="24"/>
        </w:rPr>
        <w:t xml:space="preserve"> </w:t>
      </w:r>
    </w:p>
    <w:p w:rsidR="0046560C" w:rsidRPr="00F82E89" w:rsidRDefault="0046560C" w:rsidP="00F211F1">
      <w:pPr>
        <w:pStyle w:val="ListParagraph"/>
        <w:rPr>
          <w:szCs w:val="24"/>
        </w:rPr>
      </w:pPr>
      <w:r w:rsidRPr="00F82E89">
        <w:rPr>
          <w:szCs w:val="24"/>
        </w:rPr>
        <w:t>Strebelle, S., and Levy, M., 2008, Using multiple-point statistics to build geologically realistic reserv</w:t>
      </w:r>
      <w:r w:rsidR="00E274D7" w:rsidRPr="00F82E89">
        <w:rPr>
          <w:szCs w:val="24"/>
        </w:rPr>
        <w:t>oir models: the MPS/FDM workflow. In:</w:t>
      </w:r>
      <w:r w:rsidRPr="00F82E89">
        <w:rPr>
          <w:szCs w:val="24"/>
        </w:rPr>
        <w:t xml:space="preserve"> Robinson, A., Griffiths, P., Price, S., H</w:t>
      </w:r>
      <w:r w:rsidR="00E274D7" w:rsidRPr="00F82E89">
        <w:rPr>
          <w:szCs w:val="24"/>
        </w:rPr>
        <w:t>egre, J., and Muggeridge, A., (E</w:t>
      </w:r>
      <w:r w:rsidRPr="00F82E89">
        <w:rPr>
          <w:szCs w:val="24"/>
        </w:rPr>
        <w:t>ds</w:t>
      </w:r>
      <w:r w:rsidR="00E274D7" w:rsidRPr="00F82E89">
        <w:rPr>
          <w:szCs w:val="24"/>
        </w:rPr>
        <w:t>.</w:t>
      </w:r>
      <w:r w:rsidRPr="00F82E89">
        <w:rPr>
          <w:szCs w:val="24"/>
        </w:rPr>
        <w:t xml:space="preserve">) The Future of Geological Modelling </w:t>
      </w:r>
      <w:r w:rsidR="00E274D7" w:rsidRPr="00F82E89">
        <w:rPr>
          <w:szCs w:val="24"/>
        </w:rPr>
        <w:t xml:space="preserve">in Hydrocarbon Development, </w:t>
      </w:r>
      <w:r w:rsidRPr="00F82E89">
        <w:rPr>
          <w:szCs w:val="24"/>
        </w:rPr>
        <w:t>Geol</w:t>
      </w:r>
      <w:r w:rsidR="00E274D7" w:rsidRPr="00F82E89">
        <w:rPr>
          <w:szCs w:val="24"/>
        </w:rPr>
        <w:t>.</w:t>
      </w:r>
      <w:r w:rsidRPr="00F82E89">
        <w:rPr>
          <w:szCs w:val="24"/>
        </w:rPr>
        <w:t xml:space="preserve"> Soc</w:t>
      </w:r>
      <w:r w:rsidR="00E274D7" w:rsidRPr="00F82E89">
        <w:rPr>
          <w:szCs w:val="24"/>
        </w:rPr>
        <w:t>.</w:t>
      </w:r>
      <w:r w:rsidRPr="00F82E89">
        <w:rPr>
          <w:szCs w:val="24"/>
        </w:rPr>
        <w:t xml:space="preserve"> Spec</w:t>
      </w:r>
      <w:r w:rsidR="00E274D7" w:rsidRPr="00F82E89">
        <w:rPr>
          <w:szCs w:val="24"/>
        </w:rPr>
        <w:t>.</w:t>
      </w:r>
      <w:r w:rsidRPr="00F82E89">
        <w:rPr>
          <w:szCs w:val="24"/>
        </w:rPr>
        <w:t xml:space="preserve"> Pub</w:t>
      </w:r>
      <w:r w:rsidR="00E274D7" w:rsidRPr="00F82E89">
        <w:rPr>
          <w:szCs w:val="24"/>
        </w:rPr>
        <w:t>.</w:t>
      </w:r>
      <w:r w:rsidRPr="00F82E89">
        <w:rPr>
          <w:szCs w:val="24"/>
        </w:rPr>
        <w:t>, 309, 67-74</w:t>
      </w:r>
      <w:r w:rsidRPr="00F82E89">
        <w:t>.</w:t>
      </w:r>
      <w:r w:rsidR="00E274D7" w:rsidRPr="00F82E89">
        <w:t xml:space="preserve"> </w:t>
      </w:r>
      <w:hyperlink r:id="rId96" w:history="1">
        <w:r w:rsidR="00E274D7" w:rsidRPr="00F82E89">
          <w:t>https://doi.org/10.1144/SP309.5</w:t>
        </w:r>
      </w:hyperlink>
    </w:p>
    <w:p w:rsidR="006C5BD1" w:rsidRPr="00F82E89" w:rsidRDefault="006C5BD1" w:rsidP="00F211F1">
      <w:pPr>
        <w:pStyle w:val="ListParagraph"/>
        <w:rPr>
          <w:shd w:val="clear" w:color="auto" w:fill="FFFFFF"/>
        </w:rPr>
      </w:pPr>
      <w:r w:rsidRPr="00F82E89">
        <w:rPr>
          <w:shd w:val="clear" w:color="auto" w:fill="FFFFFF"/>
        </w:rPr>
        <w:t>Strebelle, S. and Chevron, E.T.C., 2012. Multiple-point geostatistics: from theory to practice. In</w:t>
      </w:r>
      <w:r w:rsidR="00E274D7" w:rsidRPr="00F82E89">
        <w:rPr>
          <w:shd w:val="clear" w:color="auto" w:fill="FFFFFF"/>
        </w:rPr>
        <w:t>:</w:t>
      </w:r>
      <w:r w:rsidRPr="00F82E89">
        <w:rPr>
          <w:shd w:val="clear" w:color="auto" w:fill="FFFFFF"/>
        </w:rPr>
        <w:t> </w:t>
      </w:r>
      <w:r w:rsidRPr="00F82E89">
        <w:rPr>
          <w:iCs/>
          <w:shd w:val="clear" w:color="auto" w:fill="FFFFFF"/>
        </w:rPr>
        <w:t>Expanded Abstract Collection from Ninth International Geostatistics Congress. Norwegian Computing Center</w:t>
      </w:r>
      <w:r w:rsidR="00E274D7" w:rsidRPr="00F82E89">
        <w:rPr>
          <w:shd w:val="clear" w:color="auto" w:fill="FFFFFF"/>
        </w:rPr>
        <w:t xml:space="preserve">, </w:t>
      </w:r>
      <w:r w:rsidRPr="00F82E89">
        <w:rPr>
          <w:shd w:val="clear" w:color="auto" w:fill="FFFFFF"/>
        </w:rPr>
        <w:t>1-65.</w:t>
      </w:r>
    </w:p>
    <w:p w:rsidR="0046560C" w:rsidRDefault="0046560C" w:rsidP="00E274D7">
      <w:pPr>
        <w:pStyle w:val="ListParagraph"/>
      </w:pPr>
      <w:r w:rsidRPr="00F82E89">
        <w:t>Strebelle, S. and Zhang, T., 2004. Non-stationary multiple-point geostatistical models. In</w:t>
      </w:r>
      <w:r w:rsidR="00E274D7" w:rsidRPr="00F82E89">
        <w:t>:</w:t>
      </w:r>
      <w:r w:rsidRPr="00F82E89">
        <w:t> </w:t>
      </w:r>
      <w:r w:rsidR="00E274D7" w:rsidRPr="00F82E89">
        <w:t xml:space="preserve">Leuangthong, O. and Deutsch, C.V., </w:t>
      </w:r>
      <w:r w:rsidRPr="00F82E89">
        <w:t>Geostatistics Banff 2004. Springer, Dordrecht</w:t>
      </w:r>
      <w:r w:rsidR="00E274D7" w:rsidRPr="00F82E89">
        <w:t xml:space="preserve">, 235-244. </w:t>
      </w:r>
      <w:r w:rsidR="00DF5B56" w:rsidRPr="00DF5B56">
        <w:t>https://doi.org/10.1007/978-1-4020-3610-1_24</w:t>
      </w:r>
    </w:p>
    <w:p w:rsidR="00DF5B56" w:rsidRPr="00DF5B56" w:rsidRDefault="00DF5B56" w:rsidP="00DF5B56">
      <w:pPr>
        <w:pStyle w:val="ListParagraph"/>
        <w:rPr>
          <w:szCs w:val="24"/>
          <w:shd w:val="clear" w:color="auto" w:fill="FFFFFF"/>
        </w:rPr>
      </w:pPr>
      <w:r>
        <w:rPr>
          <w:shd w:val="clear" w:color="auto" w:fill="FCFCFC"/>
        </w:rPr>
        <w:t>Tahmasebi P. (2018) Multiple Point Statistics: A Review. In: Daya Sagar, B., Cheng, Q., Agterberg, F., (Eds.). Handbook of Mathematical Geosciences. Springer, Cham</w:t>
      </w:r>
      <w:r>
        <w:rPr>
          <w:szCs w:val="24"/>
          <w:shd w:val="clear" w:color="auto" w:fill="FFFFFF"/>
        </w:rPr>
        <w:t xml:space="preserve">. </w:t>
      </w:r>
      <w:r w:rsidRPr="00DF5B56">
        <w:t>https://doi.org/10.1007/978-3-319-78999-6_30</w:t>
      </w:r>
    </w:p>
    <w:p w:rsidR="006C5BD1" w:rsidRPr="00F82E89" w:rsidRDefault="006C5BD1" w:rsidP="00E274D7">
      <w:pPr>
        <w:pStyle w:val="ListParagraph"/>
      </w:pPr>
      <w:r w:rsidRPr="00F82E89">
        <w:rPr>
          <w:szCs w:val="24"/>
          <w:shd w:val="clear" w:color="auto" w:fill="FFFFFF"/>
        </w:rPr>
        <w:t>Trower, E.J., Ganti, V., Fischer, W.W. and Lamb, M.P., 2018. Erosional surfaces in the Upper Cretaceous Castlegate Sandstone (Utah, USA): Sequence boundaries or autogenic scour from backwater hydrodynamics? </w:t>
      </w:r>
      <w:r w:rsidRPr="00F82E89">
        <w:rPr>
          <w:iCs/>
          <w:szCs w:val="24"/>
          <w:shd w:val="clear" w:color="auto" w:fill="FFFFFF"/>
        </w:rPr>
        <w:t>Geology</w:t>
      </w:r>
      <w:r w:rsidRPr="00F82E89">
        <w:rPr>
          <w:szCs w:val="24"/>
          <w:shd w:val="clear" w:color="auto" w:fill="FFFFFF"/>
        </w:rPr>
        <w:t>, </w:t>
      </w:r>
      <w:r w:rsidRPr="00F82E89">
        <w:rPr>
          <w:iCs/>
          <w:szCs w:val="24"/>
          <w:shd w:val="clear" w:color="auto" w:fill="FFFFFF"/>
        </w:rPr>
        <w:t>46</w:t>
      </w:r>
      <w:r w:rsidR="00E274D7" w:rsidRPr="00F82E89">
        <w:rPr>
          <w:szCs w:val="24"/>
          <w:shd w:val="clear" w:color="auto" w:fill="FFFFFF"/>
        </w:rPr>
        <w:t xml:space="preserve">(8), </w:t>
      </w:r>
      <w:r w:rsidRPr="00F82E89">
        <w:rPr>
          <w:szCs w:val="24"/>
          <w:shd w:val="clear" w:color="auto" w:fill="FFFFFF"/>
        </w:rPr>
        <w:t>707-710.</w:t>
      </w:r>
      <w:r w:rsidR="00E274D7" w:rsidRPr="00F82E89">
        <w:rPr>
          <w:szCs w:val="24"/>
          <w:shd w:val="clear" w:color="auto" w:fill="FFFFFF"/>
        </w:rPr>
        <w:t xml:space="preserve"> </w:t>
      </w:r>
      <w:hyperlink r:id="rId97" w:tgtFrame="_blank" w:history="1">
        <w:r w:rsidR="00E274D7" w:rsidRPr="00F82E89">
          <w:t>https://doi.org/10.1130/G40273.1</w:t>
        </w:r>
      </w:hyperlink>
    </w:p>
    <w:p w:rsidR="007227D4" w:rsidRPr="00F82E89" w:rsidRDefault="00E274D7" w:rsidP="007227D4">
      <w:pPr>
        <w:pStyle w:val="ListParagraph"/>
      </w:pPr>
      <w:r w:rsidRPr="00F82E89">
        <w:t>Tyler, N., Finley, R.J., 1991. Architectural controls on the recovery of hydrocarbons from sandstone reservoirs. In: Miall, A.D., Tyler, N., (Eds.), The three-dimensional facies architecture of terrigenous clastics sediments and its implications for hydrocarbon discovery and recovery—SEPM Concepts in Sed</w:t>
      </w:r>
      <w:r w:rsidR="007227D4" w:rsidRPr="00F82E89">
        <w:t xml:space="preserve">imentology and Palaentology, </w:t>
      </w:r>
      <w:r w:rsidRPr="00F82E89">
        <w:t xml:space="preserve">1–5. </w:t>
      </w:r>
    </w:p>
    <w:p w:rsidR="006C5BD1" w:rsidRPr="00F82E89" w:rsidRDefault="006C5BD1" w:rsidP="00F211F1">
      <w:pPr>
        <w:pStyle w:val="ListParagraph"/>
        <w:rPr>
          <w:szCs w:val="24"/>
          <w:shd w:val="clear" w:color="auto" w:fill="FFFFFF"/>
        </w:rPr>
      </w:pPr>
      <w:r w:rsidRPr="00F82E89">
        <w:rPr>
          <w:szCs w:val="24"/>
          <w:shd w:val="clear" w:color="auto" w:fill="FFFFFF"/>
        </w:rPr>
        <w:t>Tyler, K., Henriquez, A. and Svanes, T., 1994. Modeling heterogeneities in fluvial domains: a review of the influence on production profiles. In: Yarus, J.M. and Chambers, R.L. (Eds.) Stochastic modelling and geostatistics: principles, methods, and case studies. AAPG Computer Applications in Geology; No. 3.</w:t>
      </w:r>
    </w:p>
    <w:p w:rsidR="006C5BD1" w:rsidRPr="00F82E89" w:rsidRDefault="006C5BD1" w:rsidP="00F211F1">
      <w:pPr>
        <w:pStyle w:val="ListParagraph"/>
        <w:rPr>
          <w:szCs w:val="24"/>
        </w:rPr>
      </w:pPr>
      <w:r w:rsidRPr="00F82E89">
        <w:rPr>
          <w:szCs w:val="24"/>
          <w:shd w:val="clear" w:color="auto" w:fill="FFFFFF"/>
        </w:rPr>
        <w:t>Van de Graaff, F.R., 1972. Fluvial--deltaic facies of the Castlegate Sandstone (Cretaceous), east-central Utah. </w:t>
      </w:r>
      <w:r w:rsidRPr="00F82E89">
        <w:rPr>
          <w:iCs/>
          <w:szCs w:val="24"/>
          <w:shd w:val="clear" w:color="auto" w:fill="FFFFFF"/>
        </w:rPr>
        <w:t>J</w:t>
      </w:r>
      <w:r w:rsidR="007227D4" w:rsidRPr="00F82E89">
        <w:rPr>
          <w:iCs/>
          <w:szCs w:val="24"/>
          <w:shd w:val="clear" w:color="auto" w:fill="FFFFFF"/>
        </w:rPr>
        <w:t>.</w:t>
      </w:r>
      <w:r w:rsidRPr="00F82E89">
        <w:rPr>
          <w:iCs/>
          <w:szCs w:val="24"/>
          <w:shd w:val="clear" w:color="auto" w:fill="FFFFFF"/>
        </w:rPr>
        <w:t xml:space="preserve"> Sed</w:t>
      </w:r>
      <w:r w:rsidR="007227D4" w:rsidRPr="00F82E89">
        <w:rPr>
          <w:iCs/>
          <w:szCs w:val="24"/>
          <w:shd w:val="clear" w:color="auto" w:fill="FFFFFF"/>
        </w:rPr>
        <w:t>.</w:t>
      </w:r>
      <w:r w:rsidRPr="00F82E89">
        <w:rPr>
          <w:iCs/>
          <w:szCs w:val="24"/>
          <w:shd w:val="clear" w:color="auto" w:fill="FFFFFF"/>
        </w:rPr>
        <w:t xml:space="preserve"> Res</w:t>
      </w:r>
      <w:r w:rsidR="007227D4" w:rsidRPr="00F82E89">
        <w:rPr>
          <w:iCs/>
          <w:szCs w:val="24"/>
          <w:shd w:val="clear" w:color="auto" w:fill="FFFFFF"/>
        </w:rPr>
        <w:t>.</w:t>
      </w:r>
      <w:r w:rsidRPr="00F82E89">
        <w:rPr>
          <w:szCs w:val="24"/>
          <w:shd w:val="clear" w:color="auto" w:fill="FFFFFF"/>
        </w:rPr>
        <w:t>, </w:t>
      </w:r>
      <w:r w:rsidRPr="00F82E89">
        <w:rPr>
          <w:iCs/>
          <w:szCs w:val="24"/>
          <w:shd w:val="clear" w:color="auto" w:fill="FFFFFF"/>
        </w:rPr>
        <w:t>42</w:t>
      </w:r>
      <w:r w:rsidRPr="00F82E89">
        <w:rPr>
          <w:szCs w:val="24"/>
          <w:shd w:val="clear" w:color="auto" w:fill="FFFFFF"/>
        </w:rPr>
        <w:t>(3).</w:t>
      </w:r>
    </w:p>
    <w:p w:rsidR="006C5BD1" w:rsidRPr="00F82E89" w:rsidRDefault="006C5BD1" w:rsidP="00F211F1">
      <w:pPr>
        <w:pStyle w:val="ListParagraph"/>
        <w:rPr>
          <w:rFonts w:cs="Times New Roman"/>
          <w:szCs w:val="24"/>
          <w:shd w:val="clear" w:color="auto" w:fill="FFFFFF"/>
        </w:rPr>
      </w:pPr>
      <w:r w:rsidRPr="00F82E89">
        <w:rPr>
          <w:rFonts w:cs="Times New Roman"/>
          <w:szCs w:val="24"/>
          <w:shd w:val="clear" w:color="auto" w:fill="FFFFFF"/>
        </w:rPr>
        <w:t>Vevle, M.L., Skorstad, A. and Vonnet, J., 2018. Recent developments in object modelling opens new era for characterization of fluvial reservoirs. </w:t>
      </w:r>
      <w:r w:rsidRPr="00F82E89">
        <w:rPr>
          <w:rFonts w:cs="Times New Roman"/>
          <w:iCs/>
          <w:szCs w:val="24"/>
          <w:shd w:val="clear" w:color="auto" w:fill="FFFFFF"/>
        </w:rPr>
        <w:t>First Break</w:t>
      </w:r>
      <w:r w:rsidRPr="00F82E89">
        <w:rPr>
          <w:rFonts w:cs="Times New Roman"/>
          <w:szCs w:val="24"/>
          <w:shd w:val="clear" w:color="auto" w:fill="FFFFFF"/>
        </w:rPr>
        <w:t>, </w:t>
      </w:r>
      <w:r w:rsidRPr="00F82E89">
        <w:rPr>
          <w:rFonts w:cs="Times New Roman"/>
          <w:iCs/>
          <w:szCs w:val="24"/>
          <w:shd w:val="clear" w:color="auto" w:fill="FFFFFF"/>
        </w:rPr>
        <w:t>36</w:t>
      </w:r>
      <w:r w:rsidRPr="00F82E89">
        <w:rPr>
          <w:rFonts w:cs="Times New Roman"/>
          <w:szCs w:val="24"/>
          <w:shd w:val="clear" w:color="auto" w:fill="FFFFFF"/>
        </w:rPr>
        <w:t>(6), pp.85-89.</w:t>
      </w:r>
    </w:p>
    <w:p w:rsidR="006C5BD1" w:rsidRPr="00F82E89" w:rsidRDefault="006C5BD1" w:rsidP="00F211F1">
      <w:pPr>
        <w:pStyle w:val="ListParagraph"/>
        <w:rPr>
          <w:szCs w:val="24"/>
        </w:rPr>
      </w:pPr>
      <w:r w:rsidRPr="00F82E89">
        <w:rPr>
          <w:szCs w:val="24"/>
        </w:rPr>
        <w:t>Villamizar, C.A., Hampson, G.J., Flood, Y.S., and Fitch, P.J.R., 2015. Object-based modelling of avulsion-generated sandbody distributions and connectivity in a fluvial reservoir analogue of low to moderate net-to-gross ration, Petrol</w:t>
      </w:r>
      <w:r w:rsidR="007227D4" w:rsidRPr="00F82E89">
        <w:rPr>
          <w:szCs w:val="24"/>
        </w:rPr>
        <w:t>.</w:t>
      </w:r>
      <w:r w:rsidRPr="00F82E89">
        <w:rPr>
          <w:szCs w:val="24"/>
        </w:rPr>
        <w:t xml:space="preserve"> Geo</w:t>
      </w:r>
      <w:r w:rsidR="007227D4" w:rsidRPr="00F82E89">
        <w:rPr>
          <w:szCs w:val="24"/>
        </w:rPr>
        <w:t>.</w:t>
      </w:r>
      <w:r w:rsidRPr="00F82E89">
        <w:rPr>
          <w:szCs w:val="24"/>
        </w:rPr>
        <w:t>, 21, 249-270.</w:t>
      </w:r>
      <w:r w:rsidR="007227D4" w:rsidRPr="00F82E89">
        <w:rPr>
          <w:szCs w:val="24"/>
        </w:rPr>
        <w:t xml:space="preserve"> </w:t>
      </w:r>
      <w:hyperlink r:id="rId98" w:tgtFrame="_blank" w:history="1">
        <w:r w:rsidR="007227D4" w:rsidRPr="00F82E89">
          <w:t>https://doi.org/10.1144/petgeo2015-004</w:t>
        </w:r>
      </w:hyperlink>
    </w:p>
    <w:p w:rsidR="0046560C" w:rsidRPr="00F82E89" w:rsidRDefault="0046560C" w:rsidP="00F211F1">
      <w:pPr>
        <w:pStyle w:val="ListParagraph"/>
        <w:rPr>
          <w:szCs w:val="24"/>
        </w:rPr>
      </w:pPr>
      <w:r w:rsidRPr="00F82E89">
        <w:t>Watkind, I.J., 1995. Geologic Map of the Price 1 x 2 Quadrangle, Utah. Miscellaneous inves</w:t>
      </w:r>
      <w:r w:rsidR="007227D4" w:rsidRPr="00F82E89">
        <w:t xml:space="preserve">tigations </w:t>
      </w:r>
      <w:r w:rsidRPr="00F82E89">
        <w:t>Map I-2462. U.S. Geological Survey</w:t>
      </w:r>
      <w:r w:rsidR="00F211F1" w:rsidRPr="00F82E89">
        <w:t>.</w:t>
      </w:r>
    </w:p>
    <w:p w:rsidR="006C5BD1" w:rsidRPr="00F82E89" w:rsidRDefault="006C5BD1" w:rsidP="00F211F1">
      <w:pPr>
        <w:pStyle w:val="ListParagraph"/>
        <w:rPr>
          <w:szCs w:val="24"/>
        </w:rPr>
      </w:pPr>
      <w:r w:rsidRPr="00F82E89">
        <w:rPr>
          <w:shd w:val="clear" w:color="auto" w:fill="FFFFFF"/>
        </w:rPr>
        <w:t>Yan, N., Colombera, L., Mountney, N.P. and Dorrell, R.M., 2018. Fluvial point</w:t>
      </w:r>
      <w:r w:rsidRPr="00F82E89">
        <w:rPr>
          <w:rFonts w:ascii="Cambria Math" w:hAnsi="Cambria Math" w:cs="Cambria Math"/>
          <w:shd w:val="clear" w:color="auto" w:fill="FFFFFF"/>
        </w:rPr>
        <w:t>‐</w:t>
      </w:r>
      <w:r w:rsidRPr="00F82E89">
        <w:rPr>
          <w:shd w:val="clear" w:color="auto" w:fill="FFFFFF"/>
        </w:rPr>
        <w:t>bar architecture and facies heterogeneity and their influence on intra</w:t>
      </w:r>
      <w:r w:rsidRPr="00F82E89">
        <w:rPr>
          <w:rFonts w:ascii="Cambria Math" w:hAnsi="Cambria Math" w:cs="Cambria Math"/>
          <w:shd w:val="clear" w:color="auto" w:fill="FFFFFF"/>
        </w:rPr>
        <w:t>‐</w:t>
      </w:r>
      <w:r w:rsidRPr="00F82E89">
        <w:rPr>
          <w:shd w:val="clear" w:color="auto" w:fill="FFFFFF"/>
        </w:rPr>
        <w:t>bar static connectivity in humid coastal</w:t>
      </w:r>
      <w:r w:rsidRPr="00F82E89">
        <w:rPr>
          <w:rFonts w:ascii="Cambria Math" w:hAnsi="Cambria Math" w:cs="Cambria Math"/>
          <w:shd w:val="clear" w:color="auto" w:fill="FFFFFF"/>
        </w:rPr>
        <w:t>‐</w:t>
      </w:r>
      <w:r w:rsidRPr="00F82E89">
        <w:rPr>
          <w:shd w:val="clear" w:color="auto" w:fill="FFFFFF"/>
        </w:rPr>
        <w:t>plain and dryland fan systems.</w:t>
      </w:r>
      <w:r w:rsidR="007227D4" w:rsidRPr="00F82E89">
        <w:rPr>
          <w:shd w:val="clear" w:color="auto" w:fill="FFFFFF"/>
        </w:rPr>
        <w:t xml:space="preserve"> In: Ghinassi, M., Mountney, N., Colombera, L. and Reesink, A.J. (Eds.)</w:t>
      </w:r>
      <w:r w:rsidRPr="00F82E89">
        <w:rPr>
          <w:shd w:val="clear" w:color="auto" w:fill="FFFFFF"/>
        </w:rPr>
        <w:t> </w:t>
      </w:r>
      <w:r w:rsidRPr="00F82E89">
        <w:rPr>
          <w:iCs/>
          <w:shd w:val="clear" w:color="auto" w:fill="FFFFFF"/>
        </w:rPr>
        <w:t xml:space="preserve">Fluvial meanders and their </w:t>
      </w:r>
      <w:r w:rsidR="007227D4" w:rsidRPr="00F82E89">
        <w:rPr>
          <w:iCs/>
          <w:shd w:val="clear" w:color="auto" w:fill="FFFFFF"/>
        </w:rPr>
        <w:t>depositional</w:t>
      </w:r>
      <w:r w:rsidRPr="00F82E89">
        <w:rPr>
          <w:iCs/>
          <w:shd w:val="clear" w:color="auto" w:fill="FFFFFF"/>
        </w:rPr>
        <w:t xml:space="preserve"> prod</w:t>
      </w:r>
      <w:r w:rsidR="007227D4" w:rsidRPr="00F82E89">
        <w:rPr>
          <w:iCs/>
          <w:shd w:val="clear" w:color="auto" w:fill="FFFFFF"/>
        </w:rPr>
        <w:t>ucts in the rock record, Special Publication, 48</w:t>
      </w:r>
      <w:r w:rsidRPr="00F82E89">
        <w:rPr>
          <w:shd w:val="clear" w:color="auto" w:fill="FFFFFF"/>
        </w:rPr>
        <w:t>, 475-508.</w:t>
      </w:r>
    </w:p>
    <w:p w:rsidR="00572276" w:rsidRPr="00F82E89" w:rsidRDefault="006C5BD1" w:rsidP="00572276">
      <w:pPr>
        <w:pStyle w:val="ListParagraph"/>
      </w:pPr>
      <w:r w:rsidRPr="00F82E89">
        <w:rPr>
          <w:rFonts w:cs="Times New Roman"/>
          <w:szCs w:val="24"/>
          <w:shd w:val="clear" w:color="auto" w:fill="FFFFFF"/>
        </w:rPr>
        <w:t>Yu, L. and Gong, P., 2012. Google Earth as a virtual globe tool for Earth science applications at the global scale: progress and perspectives. </w:t>
      </w:r>
      <w:r w:rsidRPr="00F82E89">
        <w:rPr>
          <w:rFonts w:cs="Times New Roman"/>
          <w:iCs/>
          <w:szCs w:val="24"/>
          <w:shd w:val="clear" w:color="auto" w:fill="FFFFFF"/>
        </w:rPr>
        <w:t>Int</w:t>
      </w:r>
      <w:r w:rsidR="00572276" w:rsidRPr="00F82E89">
        <w:rPr>
          <w:rFonts w:cs="Times New Roman"/>
          <w:iCs/>
          <w:szCs w:val="24"/>
          <w:shd w:val="clear" w:color="auto" w:fill="FFFFFF"/>
        </w:rPr>
        <w:t>.</w:t>
      </w:r>
      <w:r w:rsidRPr="00F82E89">
        <w:rPr>
          <w:rFonts w:cs="Times New Roman"/>
          <w:iCs/>
          <w:szCs w:val="24"/>
          <w:shd w:val="clear" w:color="auto" w:fill="FFFFFF"/>
        </w:rPr>
        <w:t xml:space="preserve"> J</w:t>
      </w:r>
      <w:r w:rsidR="00572276" w:rsidRPr="00F82E89">
        <w:rPr>
          <w:rFonts w:cs="Times New Roman"/>
          <w:iCs/>
          <w:szCs w:val="24"/>
          <w:shd w:val="clear" w:color="auto" w:fill="FFFFFF"/>
        </w:rPr>
        <w:t>.</w:t>
      </w:r>
      <w:r w:rsidRPr="00F82E89">
        <w:rPr>
          <w:rFonts w:cs="Times New Roman"/>
          <w:iCs/>
          <w:szCs w:val="24"/>
          <w:shd w:val="clear" w:color="auto" w:fill="FFFFFF"/>
        </w:rPr>
        <w:t xml:space="preserve"> Remote Sens</w:t>
      </w:r>
      <w:r w:rsidR="00572276" w:rsidRPr="00F82E89">
        <w:rPr>
          <w:rFonts w:cs="Times New Roman"/>
          <w:iCs/>
          <w:szCs w:val="24"/>
          <w:shd w:val="clear" w:color="auto" w:fill="FFFFFF"/>
        </w:rPr>
        <w:t>.</w:t>
      </w:r>
      <w:r w:rsidRPr="00F82E89">
        <w:rPr>
          <w:rFonts w:cs="Times New Roman"/>
          <w:szCs w:val="24"/>
          <w:shd w:val="clear" w:color="auto" w:fill="FFFFFF"/>
        </w:rPr>
        <w:t>, </w:t>
      </w:r>
      <w:r w:rsidRPr="00F82E89">
        <w:rPr>
          <w:rFonts w:cs="Times New Roman"/>
          <w:iCs/>
          <w:szCs w:val="24"/>
          <w:shd w:val="clear" w:color="auto" w:fill="FFFFFF"/>
        </w:rPr>
        <w:t>33</w:t>
      </w:r>
      <w:r w:rsidRPr="00F82E89">
        <w:rPr>
          <w:rFonts w:cs="Times New Roman"/>
          <w:szCs w:val="24"/>
          <w:shd w:val="clear" w:color="auto" w:fill="FFFFFF"/>
        </w:rPr>
        <w:t>(12), 3966-3986.</w:t>
      </w:r>
      <w:r w:rsidR="00572276" w:rsidRPr="00F82E89">
        <w:rPr>
          <w:rFonts w:cs="Times New Roman"/>
          <w:szCs w:val="24"/>
          <w:shd w:val="clear" w:color="auto" w:fill="FFFFFF"/>
        </w:rPr>
        <w:t xml:space="preserve"> </w:t>
      </w:r>
      <w:hyperlink r:id="rId99" w:history="1">
        <w:r w:rsidR="00572276" w:rsidRPr="00F82E89">
          <w:t>https://doi.org/10.1080/01431161.2011.636081</w:t>
        </w:r>
      </w:hyperlink>
    </w:p>
    <w:p w:rsidR="006C5BD1" w:rsidRPr="00F82E89" w:rsidRDefault="006C5BD1" w:rsidP="00F211F1">
      <w:pPr>
        <w:pStyle w:val="ListParagraph"/>
        <w:rPr>
          <w:rFonts w:cs="Times New Roman"/>
          <w:szCs w:val="24"/>
          <w:shd w:val="clear" w:color="auto" w:fill="FFFFFF"/>
        </w:rPr>
      </w:pPr>
      <w:r w:rsidRPr="00F82E89">
        <w:rPr>
          <w:rFonts w:cs="Times New Roman"/>
          <w:szCs w:val="24"/>
          <w:shd w:val="clear" w:color="auto" w:fill="FFFFFF"/>
        </w:rPr>
        <w:t>Yue, D., Li, W., Wang, W., Hu, G., Qiao, H., Hu, J., Zhang, M. and Wang, W., 2019. Fused spectral-decomposition seismic attributes and forward seismic modelling to predict sand bodies in meandering fluvial reservoirs. </w:t>
      </w:r>
      <w:r w:rsidRPr="00F82E89">
        <w:rPr>
          <w:rFonts w:cs="Times New Roman"/>
          <w:iCs/>
          <w:szCs w:val="24"/>
          <w:shd w:val="clear" w:color="auto" w:fill="FFFFFF"/>
        </w:rPr>
        <w:t>Mar</w:t>
      </w:r>
      <w:r w:rsidR="00572276" w:rsidRPr="00F82E89">
        <w:rPr>
          <w:rFonts w:cs="Times New Roman"/>
          <w:iCs/>
          <w:szCs w:val="24"/>
          <w:shd w:val="clear" w:color="auto" w:fill="FFFFFF"/>
        </w:rPr>
        <w:t>.</w:t>
      </w:r>
      <w:r w:rsidRPr="00F82E89">
        <w:rPr>
          <w:rFonts w:cs="Times New Roman"/>
          <w:iCs/>
          <w:szCs w:val="24"/>
          <w:shd w:val="clear" w:color="auto" w:fill="FFFFFF"/>
        </w:rPr>
        <w:t xml:space="preserve"> Petrol</w:t>
      </w:r>
      <w:r w:rsidR="00572276" w:rsidRPr="00F82E89">
        <w:rPr>
          <w:rFonts w:cs="Times New Roman"/>
          <w:iCs/>
          <w:szCs w:val="24"/>
          <w:shd w:val="clear" w:color="auto" w:fill="FFFFFF"/>
        </w:rPr>
        <w:t>.</w:t>
      </w:r>
      <w:r w:rsidRPr="00F82E89">
        <w:rPr>
          <w:rFonts w:cs="Times New Roman"/>
          <w:iCs/>
          <w:szCs w:val="24"/>
          <w:shd w:val="clear" w:color="auto" w:fill="FFFFFF"/>
        </w:rPr>
        <w:t xml:space="preserve"> Geol</w:t>
      </w:r>
      <w:r w:rsidR="00572276" w:rsidRPr="00F82E89">
        <w:rPr>
          <w:rFonts w:cs="Times New Roman"/>
          <w:iCs/>
          <w:szCs w:val="24"/>
          <w:shd w:val="clear" w:color="auto" w:fill="FFFFFF"/>
        </w:rPr>
        <w:t>.</w:t>
      </w:r>
      <w:r w:rsidRPr="00F82E89">
        <w:rPr>
          <w:rFonts w:cs="Times New Roman"/>
          <w:szCs w:val="24"/>
          <w:shd w:val="clear" w:color="auto" w:fill="FFFFFF"/>
        </w:rPr>
        <w:t>, </w:t>
      </w:r>
      <w:r w:rsidRPr="00F82E89">
        <w:rPr>
          <w:rFonts w:cs="Times New Roman"/>
          <w:iCs/>
          <w:szCs w:val="24"/>
          <w:shd w:val="clear" w:color="auto" w:fill="FFFFFF"/>
        </w:rPr>
        <w:t>99</w:t>
      </w:r>
      <w:r w:rsidR="00572276" w:rsidRPr="00F82E89">
        <w:rPr>
          <w:rFonts w:cs="Times New Roman"/>
          <w:szCs w:val="24"/>
          <w:shd w:val="clear" w:color="auto" w:fill="FFFFFF"/>
        </w:rPr>
        <w:t xml:space="preserve">, </w:t>
      </w:r>
      <w:r w:rsidRPr="00F82E89">
        <w:rPr>
          <w:rFonts w:cs="Times New Roman"/>
          <w:szCs w:val="24"/>
          <w:shd w:val="clear" w:color="auto" w:fill="FFFFFF"/>
        </w:rPr>
        <w:t>27-44.</w:t>
      </w:r>
      <w:r w:rsidR="00572276" w:rsidRPr="00F82E89">
        <w:rPr>
          <w:rFonts w:cs="Times New Roman"/>
          <w:szCs w:val="24"/>
          <w:shd w:val="clear" w:color="auto" w:fill="FFFFFF"/>
        </w:rPr>
        <w:t xml:space="preserve"> </w:t>
      </w:r>
      <w:hyperlink r:id="rId100" w:tgtFrame="_blank" w:tooltip="Persistent link using digital object identifier" w:history="1">
        <w:r w:rsidR="00572276" w:rsidRPr="00F82E89">
          <w:t>https://doi.org/10.1016/j.marpetgeo.2018.09.031</w:t>
        </w:r>
      </w:hyperlink>
    </w:p>
    <w:p w:rsidR="00D06444" w:rsidRPr="00F82E89" w:rsidRDefault="00D06444" w:rsidP="00572276">
      <w:pPr>
        <w:pStyle w:val="ListParagraph"/>
      </w:pPr>
      <w:r w:rsidRPr="00F82E89">
        <w:t>Zhang, T., Switzer, P. and Journel, A., 2006. Filter-based classification of training image patterns for spatial simulation. Math</w:t>
      </w:r>
      <w:r w:rsidR="00572276" w:rsidRPr="00F82E89">
        <w:t>.</w:t>
      </w:r>
      <w:r w:rsidRPr="00F82E89">
        <w:t xml:space="preserve"> Geol</w:t>
      </w:r>
      <w:r w:rsidR="00572276" w:rsidRPr="00F82E89">
        <w:t>.</w:t>
      </w:r>
      <w:r w:rsidRPr="00F82E89">
        <w:t>, 38</w:t>
      </w:r>
      <w:r w:rsidR="00572276" w:rsidRPr="00F82E89">
        <w:t xml:space="preserve">(1), </w:t>
      </w:r>
      <w:r w:rsidRPr="00F82E89">
        <w:t>63-80.</w:t>
      </w:r>
      <w:r w:rsidR="00572276" w:rsidRPr="00F82E89">
        <w:t xml:space="preserve"> https://doi.org/10.1007/s11004-005-9004-x</w:t>
      </w:r>
    </w:p>
    <w:p w:rsidR="006C5BD1" w:rsidRPr="00F82E89" w:rsidRDefault="006C5BD1" w:rsidP="00F211F1">
      <w:pPr>
        <w:pStyle w:val="ListParagraph"/>
        <w:rPr>
          <w:rFonts w:cs="Times New Roman"/>
          <w:szCs w:val="24"/>
          <w:shd w:val="clear" w:color="auto" w:fill="FFFFFF"/>
        </w:rPr>
      </w:pPr>
      <w:r w:rsidRPr="00F82E89">
        <w:rPr>
          <w:rFonts w:cs="Times New Roman"/>
          <w:szCs w:val="24"/>
          <w:shd w:val="clear" w:color="auto" w:fill="FFFFFF"/>
        </w:rPr>
        <w:t>Zhou, X. and Wang, H., 2015. Application of google earth in modern river sedimentology research. </w:t>
      </w:r>
      <w:r w:rsidRPr="00F82E89">
        <w:rPr>
          <w:rFonts w:cs="Times New Roman"/>
          <w:iCs/>
          <w:szCs w:val="24"/>
          <w:shd w:val="clear" w:color="auto" w:fill="FFFFFF"/>
        </w:rPr>
        <w:t>J</w:t>
      </w:r>
      <w:r w:rsidR="00572276" w:rsidRPr="00F82E89">
        <w:rPr>
          <w:rFonts w:cs="Times New Roman"/>
          <w:iCs/>
          <w:szCs w:val="24"/>
          <w:shd w:val="clear" w:color="auto" w:fill="FFFFFF"/>
        </w:rPr>
        <w:t>.</w:t>
      </w:r>
      <w:r w:rsidRPr="00F82E89">
        <w:rPr>
          <w:rFonts w:cs="Times New Roman"/>
          <w:iCs/>
          <w:szCs w:val="24"/>
          <w:shd w:val="clear" w:color="auto" w:fill="FFFFFF"/>
        </w:rPr>
        <w:t xml:space="preserve"> Geo</w:t>
      </w:r>
      <w:r w:rsidR="00572276" w:rsidRPr="00F82E89">
        <w:rPr>
          <w:rFonts w:cs="Times New Roman"/>
          <w:iCs/>
          <w:szCs w:val="24"/>
          <w:shd w:val="clear" w:color="auto" w:fill="FFFFFF"/>
        </w:rPr>
        <w:t>.</w:t>
      </w:r>
      <w:r w:rsidRPr="00F82E89">
        <w:rPr>
          <w:rFonts w:cs="Times New Roman"/>
          <w:iCs/>
          <w:szCs w:val="24"/>
          <w:shd w:val="clear" w:color="auto" w:fill="FFFFFF"/>
        </w:rPr>
        <w:t xml:space="preserve"> Environ</w:t>
      </w:r>
      <w:r w:rsidR="00572276" w:rsidRPr="00F82E89">
        <w:rPr>
          <w:rFonts w:cs="Times New Roman"/>
          <w:iCs/>
          <w:szCs w:val="24"/>
          <w:shd w:val="clear" w:color="auto" w:fill="FFFFFF"/>
        </w:rPr>
        <w:t>.</w:t>
      </w:r>
      <w:r w:rsidRPr="00F82E89">
        <w:rPr>
          <w:rFonts w:cs="Times New Roman"/>
          <w:iCs/>
          <w:szCs w:val="24"/>
          <w:shd w:val="clear" w:color="auto" w:fill="FFFFFF"/>
        </w:rPr>
        <w:t xml:space="preserve"> Protect</w:t>
      </w:r>
      <w:r w:rsidR="00572276" w:rsidRPr="00F82E89">
        <w:rPr>
          <w:rFonts w:cs="Times New Roman"/>
          <w:iCs/>
          <w:szCs w:val="24"/>
          <w:shd w:val="clear" w:color="auto" w:fill="FFFFFF"/>
        </w:rPr>
        <w:t>.,</w:t>
      </w:r>
      <w:r w:rsidRPr="00F82E89">
        <w:rPr>
          <w:rFonts w:cs="Times New Roman"/>
          <w:szCs w:val="24"/>
          <w:shd w:val="clear" w:color="auto" w:fill="FFFFFF"/>
        </w:rPr>
        <w:t> </w:t>
      </w:r>
      <w:r w:rsidRPr="00F82E89">
        <w:rPr>
          <w:rFonts w:cs="Times New Roman"/>
          <w:iCs/>
          <w:szCs w:val="24"/>
          <w:shd w:val="clear" w:color="auto" w:fill="FFFFFF"/>
        </w:rPr>
        <w:t>3</w:t>
      </w:r>
      <w:r w:rsidRPr="00F82E89">
        <w:rPr>
          <w:rFonts w:cs="Times New Roman"/>
          <w:szCs w:val="24"/>
          <w:shd w:val="clear" w:color="auto" w:fill="FFFFFF"/>
        </w:rPr>
        <w:t>(08)</w:t>
      </w:r>
      <w:r w:rsidR="00572276" w:rsidRPr="00F82E89">
        <w:rPr>
          <w:rFonts w:cs="Times New Roman"/>
          <w:szCs w:val="24"/>
          <w:shd w:val="clear" w:color="auto" w:fill="FFFFFF"/>
        </w:rPr>
        <w:t>, 1-8</w:t>
      </w:r>
      <w:r w:rsidRPr="00F82E89">
        <w:rPr>
          <w:rFonts w:cs="Times New Roman"/>
          <w:szCs w:val="24"/>
          <w:shd w:val="clear" w:color="auto" w:fill="FFFFFF"/>
        </w:rPr>
        <w:t>.</w:t>
      </w:r>
      <w:r w:rsidR="00572276" w:rsidRPr="00F82E89">
        <w:rPr>
          <w:rFonts w:cs="Times New Roman"/>
          <w:szCs w:val="24"/>
          <w:shd w:val="clear" w:color="auto" w:fill="FFFFFF"/>
        </w:rPr>
        <w:t xml:space="preserve"> </w:t>
      </w:r>
      <w:r w:rsidR="00572276" w:rsidRPr="00F82E89">
        <w:t>, http://dx.doi.org/10.4236/gep.2015.38001</w:t>
      </w:r>
    </w:p>
    <w:p w:rsidR="005F0E41" w:rsidRDefault="00F211F1" w:rsidP="00265CB2">
      <w:pPr>
        <w:pStyle w:val="ListParagraph"/>
      </w:pPr>
      <w:r w:rsidRPr="00F82E89">
        <w:t>Zhou, F., Shields, D., Tyson, S. and Esterle, J., 2018. Comparison of sequential indicator simulation, object modelling and multiple-point statistics in reproducing channel geometries and continuity in 2D with two different spaced conditional datasets. J</w:t>
      </w:r>
      <w:r w:rsidR="00572276" w:rsidRPr="00F82E89">
        <w:t>.</w:t>
      </w:r>
      <w:r w:rsidRPr="00F82E89">
        <w:t xml:space="preserve"> Petrol</w:t>
      </w:r>
      <w:r w:rsidR="00572276" w:rsidRPr="00F82E89">
        <w:t>.</w:t>
      </w:r>
      <w:r w:rsidRPr="00F82E89">
        <w:t xml:space="preserve"> Sci</w:t>
      </w:r>
      <w:r w:rsidR="00572276" w:rsidRPr="00F82E89">
        <w:t>. E</w:t>
      </w:r>
      <w:r w:rsidRPr="00F82E89">
        <w:t>ngineer</w:t>
      </w:r>
      <w:r w:rsidR="00572276" w:rsidRPr="00F82E89">
        <w:t>.</w:t>
      </w:r>
      <w:r w:rsidRPr="00F82E89">
        <w:t>, 166</w:t>
      </w:r>
      <w:r w:rsidR="00572276" w:rsidRPr="00F82E89">
        <w:t xml:space="preserve">, </w:t>
      </w:r>
      <w:r w:rsidRPr="00F82E89">
        <w:t>718-730.</w:t>
      </w:r>
      <w:r w:rsidR="00572276" w:rsidRPr="00F82E89">
        <w:t xml:space="preserve"> </w:t>
      </w:r>
      <w:hyperlink r:id="rId101" w:tgtFrame="_blank" w:tooltip="Persistent link using digital object identifier" w:history="1">
        <w:r w:rsidR="00572276" w:rsidRPr="00F82E89">
          <w:rPr>
            <w:rStyle w:val="Hyperlink"/>
            <w:color w:val="auto"/>
            <w:u w:val="none"/>
          </w:rPr>
          <w:t>https://doi.org/10.1016/j.petrol.2018.03.043</w:t>
        </w:r>
      </w:hyperlink>
      <w:r w:rsidR="00572276" w:rsidRPr="00F82E89">
        <w:t xml:space="preserve"> </w:t>
      </w:r>
    </w:p>
    <w:p w:rsidR="005F0E41" w:rsidRDefault="005F0E41" w:rsidP="005F0E41">
      <w:r>
        <w:br w:type="page"/>
      </w:r>
    </w:p>
    <w:p w:rsidR="005F0E41" w:rsidRDefault="005F0E41" w:rsidP="005F0E41">
      <w:pPr>
        <w:rPr>
          <w:shd w:val="clear" w:color="auto" w:fill="FFFFFF"/>
        </w:rPr>
      </w:pPr>
      <w:r w:rsidRPr="00F82E89">
        <w:rPr>
          <w:b/>
          <w:shd w:val="clear" w:color="auto" w:fill="FFFFFF"/>
        </w:rPr>
        <w:t>Table 1</w:t>
      </w:r>
      <w:r w:rsidRPr="00F82E89">
        <w:rPr>
          <w:shd w:val="clear" w:color="auto" w:fill="FFFFFF"/>
        </w:rPr>
        <w:t xml:space="preserve"> – Facies scheme used in this study, showing the description and interpretation of facies defined from the Tuscher Canyon outcrop site, Utah, USA. This also lists facies codes discussed within the text.</w:t>
      </w:r>
    </w:p>
    <w:p w:rsidR="005F0E41" w:rsidRDefault="005F0E41" w:rsidP="005F0E41">
      <w:pPr>
        <w:rPr>
          <w:shd w:val="clear" w:color="auto" w:fill="FFFFFF"/>
        </w:rPr>
      </w:pPr>
      <w:r w:rsidRPr="00F82E89">
        <w:rPr>
          <w:b/>
          <w:shd w:val="clear" w:color="auto" w:fill="FFFFFF"/>
        </w:rPr>
        <w:t>Table 2</w:t>
      </w:r>
      <w:r w:rsidRPr="00F82E89">
        <w:rPr>
          <w:shd w:val="clear" w:color="auto" w:fill="FFFFFF"/>
        </w:rPr>
        <w:t xml:space="preserve"> – Architectural element summary of the Lower Castlegate at Tuscher Canyon. The table describes each element individually by: their top, bottom and internal bounding surface framework according to Miall (1996), the idealised facies succession (in the order the facies are shown), the reservoir characteristics of the element and whether they are considered net or gross when modelled in this study, and finally an internal two-dimensional schematic architectural framework. </w:t>
      </w:r>
      <w:r>
        <w:rPr>
          <w:shd w:val="clear" w:color="auto" w:fill="FFFFFF"/>
        </w:rPr>
        <w:t xml:space="preserve">Note, the scale of these schematics is 100 m horizontally by 10 m vertically, and no foreset laminae have been illustrated. </w:t>
      </w:r>
      <w:r w:rsidRPr="00F82E89">
        <w:rPr>
          <w:shd w:val="clear" w:color="auto" w:fill="FFFFFF"/>
        </w:rPr>
        <w:t>Finally a summary of the quantified statistical characteristics of each element: net-gross, palaeocurrent data and average width:thickness ratios are given.</w:t>
      </w:r>
    </w:p>
    <w:p w:rsidR="005F0E41" w:rsidRDefault="005F0E41" w:rsidP="005F0E41">
      <w:r w:rsidRPr="00F82E89">
        <w:rPr>
          <w:b/>
        </w:rPr>
        <w:t>Table 3</w:t>
      </w:r>
      <w:r w:rsidRPr="00F82E89">
        <w:t xml:space="preserve"> – Depositional conditions of mega-bar complexes for the training image construction. This details the main sedimentary architectural elements and their respective conditional requirements: distribution, dimensions, </w:t>
      </w:r>
      <w:r>
        <w:t xml:space="preserve">geometry, </w:t>
      </w:r>
      <w:r w:rsidRPr="00F82E89">
        <w:t>and proportions. * indicates values weighted to the data from the Tuscher Canyon outcrop due to imaging issues in the satellite images, see text for details.</w:t>
      </w:r>
      <w:r>
        <w:t xml:space="preserve"> Note, channel sinuosity values are included, obtained from the Jamuna River satellite imagery data.</w:t>
      </w:r>
    </w:p>
    <w:p w:rsidR="005F0E41" w:rsidRPr="00F82E89" w:rsidRDefault="005F0E41" w:rsidP="005F0E41">
      <w:pPr>
        <w:rPr>
          <w:shd w:val="clear" w:color="auto" w:fill="FFFFFF"/>
        </w:rPr>
      </w:pPr>
      <w:r w:rsidRPr="00F82E89">
        <w:rPr>
          <w:b/>
        </w:rPr>
        <w:t xml:space="preserve">Table 4 – </w:t>
      </w:r>
      <w:r w:rsidRPr="00F82E89">
        <w:t>Output data for the architectural elements and net connectivity for the multi-point statistics, sequential indicator and object-based model iterations.</w:t>
      </w:r>
      <w:r>
        <w:t xml:space="preserve"> Note, Min. = minimum, Mean = arithmetic mean, Max. = maximum, Sd = standard deviation, Cv = covariance.</w:t>
      </w:r>
    </w:p>
    <w:p w:rsidR="005F0E41" w:rsidRPr="0094751B" w:rsidRDefault="005F0E41" w:rsidP="005F0E41">
      <w:pPr>
        <w:rPr>
          <w:rFonts w:eastAsia="SimSun"/>
          <w:szCs w:val="24"/>
          <w:lang w:val="en-US" w:eastAsia="zh-CN" w:bidi="hi-IN"/>
        </w:rPr>
      </w:pPr>
      <w:r w:rsidRPr="00043B40">
        <w:rPr>
          <w:b/>
          <w:shd w:val="clear" w:color="auto" w:fill="FFFFFF"/>
        </w:rPr>
        <w:t>Figure 1</w:t>
      </w:r>
      <w:r>
        <w:rPr>
          <w:shd w:val="clear" w:color="auto" w:fill="FFFFFF"/>
        </w:rPr>
        <w:t xml:space="preserve"> – The scales of typical fluvial reservoir heterogeneity (modified from Tyler and Finley, 1991; Morad </w:t>
      </w:r>
      <w:r w:rsidRPr="00517096">
        <w:rPr>
          <w:i/>
          <w:shd w:val="clear" w:color="auto" w:fill="FFFFFF"/>
        </w:rPr>
        <w:t>et al.,</w:t>
      </w:r>
      <w:r>
        <w:rPr>
          <w:shd w:val="clear" w:color="auto" w:fill="FFFFFF"/>
        </w:rPr>
        <w:t xml:space="preserve"> 2010). Note the 1 m - 10 m meso-scale of this study: zonation of permeability is within genetic units (Morad </w:t>
      </w:r>
      <w:r w:rsidRPr="00517096">
        <w:rPr>
          <w:i/>
          <w:shd w:val="clear" w:color="auto" w:fill="FFFFFF"/>
        </w:rPr>
        <w:t>et al.,</w:t>
      </w:r>
      <w:r>
        <w:rPr>
          <w:shd w:val="clear" w:color="auto" w:fill="FFFFFF"/>
        </w:rPr>
        <w:t xml:space="preserve"> 2010; Mitten </w:t>
      </w:r>
      <w:r w:rsidRPr="00517096">
        <w:rPr>
          <w:i/>
          <w:shd w:val="clear" w:color="auto" w:fill="FFFFFF"/>
        </w:rPr>
        <w:t>et al.,</w:t>
      </w:r>
      <w:r>
        <w:rPr>
          <w:i/>
          <w:shd w:val="clear" w:color="auto" w:fill="FFFFFF"/>
        </w:rPr>
        <w:t xml:space="preserve"> </w:t>
      </w:r>
      <w:r>
        <w:rPr>
          <w:shd w:val="clear" w:color="auto" w:fill="FFFFFF"/>
        </w:rPr>
        <w:t>2018). In giga- to meso-scale, the yellow indicates sandstone and the grey mud and siltstone, the red lines indicate faulting. In the micro-scale image the black and grey represent quartz grains and the light blue indicates pore space.</w:t>
      </w:r>
    </w:p>
    <w:p w:rsidR="005F0E41" w:rsidRPr="00F82E89" w:rsidRDefault="005F0E41" w:rsidP="005F0E41">
      <w:pPr>
        <w:rPr>
          <w:shd w:val="clear" w:color="auto" w:fill="FFFFFF"/>
        </w:rPr>
      </w:pPr>
      <w:r w:rsidRPr="00F82E89">
        <w:rPr>
          <w:b/>
          <w:shd w:val="clear" w:color="auto" w:fill="FFFFFF"/>
        </w:rPr>
        <w:t xml:space="preserve">Figure </w:t>
      </w:r>
      <w:r>
        <w:rPr>
          <w:b/>
          <w:shd w:val="clear" w:color="auto" w:fill="FFFFFF"/>
        </w:rPr>
        <w:t>2</w:t>
      </w:r>
      <w:r w:rsidRPr="00F82E89">
        <w:rPr>
          <w:shd w:val="clear" w:color="auto" w:fill="FFFFFF"/>
        </w:rPr>
        <w:t xml:space="preserve"> – A) </w:t>
      </w:r>
      <w:r>
        <w:rPr>
          <w:shd w:val="clear" w:color="auto" w:fill="FFFFFF"/>
        </w:rPr>
        <w:t>Simplified g</w:t>
      </w:r>
      <w:r w:rsidRPr="00F82E89">
        <w:rPr>
          <w:shd w:val="clear" w:color="auto" w:fill="FFFFFF"/>
        </w:rPr>
        <w:t>eological map of east-central Utah, USA (modified from Watkind</w:t>
      </w:r>
      <w:r>
        <w:rPr>
          <w:shd w:val="clear" w:color="auto" w:fill="FFFFFF"/>
        </w:rPr>
        <w:t>,</w:t>
      </w:r>
      <w:r w:rsidRPr="00F82E89">
        <w:rPr>
          <w:shd w:val="clear" w:color="auto" w:fill="FFFFFF"/>
        </w:rPr>
        <w:t xml:space="preserve"> 1995) showing the Mesaverde Group, of which the Castlegate is part, and the </w:t>
      </w:r>
      <w:r>
        <w:rPr>
          <w:shd w:val="clear" w:color="auto" w:fill="FFFFFF"/>
        </w:rPr>
        <w:t xml:space="preserve">location of the </w:t>
      </w:r>
      <w:r w:rsidRPr="00F82E89">
        <w:rPr>
          <w:shd w:val="clear" w:color="auto" w:fill="FFFFFF"/>
        </w:rPr>
        <w:t xml:space="preserve">study area </w:t>
      </w:r>
      <w:r>
        <w:rPr>
          <w:shd w:val="clear" w:color="auto" w:fill="FFFFFF"/>
        </w:rPr>
        <w:t>(red box)</w:t>
      </w:r>
      <w:r w:rsidRPr="00F82E89">
        <w:rPr>
          <w:shd w:val="clear" w:color="auto" w:fill="FFFFFF"/>
        </w:rPr>
        <w:t>. B) Geological map of the study location at Tuscher Canyon, Utah (modified from Watkind</w:t>
      </w:r>
      <w:r>
        <w:rPr>
          <w:shd w:val="clear" w:color="auto" w:fill="FFFFFF"/>
        </w:rPr>
        <w:t>,</w:t>
      </w:r>
      <w:r w:rsidRPr="00F82E89">
        <w:rPr>
          <w:shd w:val="clear" w:color="auto" w:fill="FFFFFF"/>
        </w:rPr>
        <w:t xml:space="preserve"> 1995). </w:t>
      </w:r>
      <w:r>
        <w:rPr>
          <w:shd w:val="clear" w:color="auto" w:fill="FFFFFF"/>
        </w:rPr>
        <w:t>The</w:t>
      </w:r>
      <w:r w:rsidRPr="00F82E89">
        <w:rPr>
          <w:shd w:val="clear" w:color="auto" w:fill="FFFFFF"/>
        </w:rPr>
        <w:t xml:space="preserve"> green box </w:t>
      </w:r>
      <w:r>
        <w:rPr>
          <w:shd w:val="clear" w:color="auto" w:fill="FFFFFF"/>
        </w:rPr>
        <w:t xml:space="preserve">represents the location of the study map in </w:t>
      </w:r>
      <w:r w:rsidRPr="00F82E89">
        <w:rPr>
          <w:shd w:val="clear" w:color="auto" w:fill="FFFFFF"/>
        </w:rPr>
        <w:t>Figure 4</w:t>
      </w:r>
      <w:r>
        <w:rPr>
          <w:shd w:val="clear" w:color="auto" w:fill="FFFFFF"/>
        </w:rPr>
        <w:t>A</w:t>
      </w:r>
      <w:r w:rsidRPr="00F82E89">
        <w:rPr>
          <w:shd w:val="clear" w:color="auto" w:fill="FFFFFF"/>
        </w:rPr>
        <w:t xml:space="preserve">. C) </w:t>
      </w:r>
      <w:r>
        <w:rPr>
          <w:shd w:val="clear" w:color="auto" w:fill="FFFFFF"/>
        </w:rPr>
        <w:t xml:space="preserve">(left) The palaeogeography of the </w:t>
      </w:r>
      <w:r w:rsidRPr="00F82E89">
        <w:rPr>
          <w:shd w:val="clear" w:color="auto" w:fill="FFFFFF"/>
        </w:rPr>
        <w:t xml:space="preserve">Western Interior Seaway </w:t>
      </w:r>
      <w:r>
        <w:rPr>
          <w:shd w:val="clear" w:color="auto" w:fill="FFFFFF"/>
        </w:rPr>
        <w:t>and N</w:t>
      </w:r>
      <w:r w:rsidRPr="00F82E89">
        <w:rPr>
          <w:shd w:val="clear" w:color="auto" w:fill="FFFFFF"/>
        </w:rPr>
        <w:t xml:space="preserve">orth America, with Utah </w:t>
      </w:r>
      <w:r>
        <w:rPr>
          <w:shd w:val="clear" w:color="auto" w:fill="FFFFFF"/>
        </w:rPr>
        <w:t>highlighted in a yellow box, and (right) gross</w:t>
      </w:r>
      <w:r w:rsidRPr="00F82E89">
        <w:rPr>
          <w:shd w:val="clear" w:color="auto" w:fill="FFFFFF"/>
        </w:rPr>
        <w:t xml:space="preserve"> depositional environment</w:t>
      </w:r>
      <w:r>
        <w:rPr>
          <w:shd w:val="clear" w:color="auto" w:fill="FFFFFF"/>
        </w:rPr>
        <w:t>s</w:t>
      </w:r>
      <w:r w:rsidRPr="00F82E89">
        <w:rPr>
          <w:shd w:val="clear" w:color="auto" w:fill="FFFFFF"/>
        </w:rPr>
        <w:t xml:space="preserve"> of the Early to Middle Campanian (modified from Van de Graff</w:t>
      </w:r>
      <w:r>
        <w:rPr>
          <w:shd w:val="clear" w:color="auto" w:fill="FFFFFF"/>
        </w:rPr>
        <w:t>,</w:t>
      </w:r>
      <w:r w:rsidRPr="00F82E89">
        <w:rPr>
          <w:shd w:val="clear" w:color="auto" w:fill="FFFFFF"/>
        </w:rPr>
        <w:t xml:space="preserve"> 1972; Chan and Pfaff</w:t>
      </w:r>
      <w:r>
        <w:rPr>
          <w:shd w:val="clear" w:color="auto" w:fill="FFFFFF"/>
        </w:rPr>
        <w:t>,</w:t>
      </w:r>
      <w:r w:rsidRPr="00F82E89">
        <w:rPr>
          <w:shd w:val="clear" w:color="auto" w:fill="FFFFFF"/>
        </w:rPr>
        <w:t xml:space="preserve"> 1991). D) Mesaverde Group depositional environment and associated lithostratigraphical units, with the Lower Castlegate Formation highlighted (red box), (modified from Burns </w:t>
      </w:r>
      <w:r w:rsidRPr="00517096">
        <w:rPr>
          <w:i/>
          <w:shd w:val="clear" w:color="auto" w:fill="FFFFFF"/>
        </w:rPr>
        <w:t>et al.,</w:t>
      </w:r>
      <w:r w:rsidRPr="00F82E89">
        <w:rPr>
          <w:shd w:val="clear" w:color="auto" w:fill="FFFFFF"/>
        </w:rPr>
        <w:t xml:space="preserve"> 2017).</w:t>
      </w:r>
    </w:p>
    <w:p w:rsidR="005F0E41" w:rsidRPr="00F82E89" w:rsidRDefault="005F0E41" w:rsidP="005F0E41">
      <w:r w:rsidRPr="00F82E89">
        <w:rPr>
          <w:b/>
        </w:rPr>
        <w:t>Figure 3</w:t>
      </w:r>
      <w:r w:rsidRPr="00F82E89">
        <w:t xml:space="preserve"> – A) Study site location map of the Jamuna River, northern India and B) close-up of the study area (box), modified from Mitten </w:t>
      </w:r>
      <w:r w:rsidRPr="00517096">
        <w:rPr>
          <w:i/>
        </w:rPr>
        <w:t>et al.,</w:t>
      </w:r>
      <w:r w:rsidRPr="00F82E89">
        <w:t xml:space="preserve"> (2018).</w:t>
      </w:r>
    </w:p>
    <w:p w:rsidR="005F0E41" w:rsidRDefault="005F0E41" w:rsidP="005F0E41">
      <w:r w:rsidRPr="00F82E89">
        <w:rPr>
          <w:b/>
        </w:rPr>
        <w:t xml:space="preserve">Figure </w:t>
      </w:r>
      <w:r>
        <w:rPr>
          <w:b/>
        </w:rPr>
        <w:t>4</w:t>
      </w:r>
      <w:r w:rsidRPr="00F82E89">
        <w:rPr>
          <w:b/>
        </w:rPr>
        <w:t xml:space="preserve"> –</w:t>
      </w:r>
      <w:r w:rsidRPr="00F82E89">
        <w:t xml:space="preserve"> A) Satellite image of the Tuscher Canyon section</w:t>
      </w:r>
      <w:r>
        <w:t xml:space="preserve"> (Figure 2B)</w:t>
      </w:r>
      <w:r w:rsidRPr="00F82E89">
        <w:t xml:space="preserve">, Utah, USA, showing </w:t>
      </w:r>
      <w:r>
        <w:t xml:space="preserve">the positions where </w:t>
      </w:r>
      <w:r w:rsidRPr="00F82E89">
        <w:t xml:space="preserve">sedimentary log and photogrammetric data were collected (see key) </w:t>
      </w:r>
      <w:r>
        <w:t>along with</w:t>
      </w:r>
      <w:r w:rsidRPr="00F82E89">
        <w:t xml:space="preserve"> subsequent figure locations (</w:t>
      </w:r>
      <w:r>
        <w:t>numbered</w:t>
      </w:r>
      <w:r w:rsidRPr="00F82E89">
        <w:t xml:space="preserve">). </w:t>
      </w:r>
      <w:r>
        <w:t xml:space="preserve">B) </w:t>
      </w:r>
      <w:r w:rsidRPr="00F82E89">
        <w:t>Digital point cloud data from the outcrop dataset. Note: the bottom right shows the study location map of A.</w:t>
      </w:r>
      <w:r>
        <w:t xml:space="preserve"> </w:t>
      </w:r>
      <w:r w:rsidRPr="00F82E89">
        <w:t>C</w:t>
      </w:r>
      <w:r>
        <w:t>)</w:t>
      </w:r>
      <w:r w:rsidRPr="00F82E89">
        <w:t xml:space="preserve"> and D</w:t>
      </w:r>
      <w:r>
        <w:t>)</w:t>
      </w:r>
      <w:r w:rsidRPr="00F82E89">
        <w:t xml:space="preserve"> show sedimentary dip and azimuth measurements (coloured surfaces) on the digital surface within the VRGS software (see text). </w:t>
      </w:r>
      <w:r>
        <w:t>E</w:t>
      </w:r>
      <w:r w:rsidRPr="00F82E89">
        <w:t xml:space="preserve">) Bounding surface analysis on the digitally-textured mesh surface. </w:t>
      </w:r>
    </w:p>
    <w:p w:rsidR="005F0E41" w:rsidRDefault="005F0E41" w:rsidP="005F0E41">
      <w:r w:rsidRPr="00F82E89">
        <w:rPr>
          <w:b/>
        </w:rPr>
        <w:t xml:space="preserve">Figure </w:t>
      </w:r>
      <w:r>
        <w:rPr>
          <w:b/>
        </w:rPr>
        <w:t>5</w:t>
      </w:r>
      <w:r w:rsidRPr="00F82E89">
        <w:t xml:space="preserve"> –</w:t>
      </w:r>
      <w:r>
        <w:t xml:space="preserve"> T</w:t>
      </w:r>
      <w:r w:rsidRPr="00F82E89">
        <w:t>he genetic units of the most common sedimentary facies found within the Castlegate Sandstone. The numbers indicate bounding surfaces hierarchy (Miall</w:t>
      </w:r>
      <w:r>
        <w:t>,</w:t>
      </w:r>
      <w:r w:rsidRPr="00F82E89">
        <w:t xml:space="preserve"> 1985). A) Representative section of the bounding surface framework within the Lower Castlegate at Tuscher Canyon, and bounding surface hierarchy interpreted from that framework. B) Sandstone (St) facies showing pebble-lined foreset and set surfaces stacking below and above a third-order erosional scour surface. C) Third-order erosional surfaces bounding conformable packages of St and Sm facies. D) Sm facies within third-order scours (see Table 1 for facies code</w:t>
      </w:r>
      <w:r>
        <w:t>s</w:t>
      </w:r>
      <w:r w:rsidRPr="00F82E89">
        <w:t>).</w:t>
      </w:r>
    </w:p>
    <w:p w:rsidR="005F0E41" w:rsidRDefault="005F0E41" w:rsidP="005F0E41">
      <w:pPr>
        <w:rPr>
          <w:shd w:val="clear" w:color="auto" w:fill="FFFFFF"/>
        </w:rPr>
      </w:pPr>
      <w:r w:rsidRPr="00F82E89">
        <w:rPr>
          <w:b/>
        </w:rPr>
        <w:t xml:space="preserve">Figure </w:t>
      </w:r>
      <w:r>
        <w:rPr>
          <w:b/>
        </w:rPr>
        <w:t>6</w:t>
      </w:r>
      <w:r w:rsidRPr="00F82E89">
        <w:t xml:space="preserve"> – Interpretation of the Lower Castlegate Tuscher Canyon outcrop, Utah, USA (see Figure 4A for location). Schematic shows the distribution of architectural elements and dominance of the downstream accretion element. Pseudo-well logs have also been incorporated to show positions of wells used to condition reservoir models. Measured palaeocurrent data (respective positions marked) of individual sedimentary architectural elements are also shown. Note the 2.5x vertical exaggeration.</w:t>
      </w:r>
    </w:p>
    <w:p w:rsidR="005F0E41" w:rsidRPr="00F82E89" w:rsidRDefault="005F0E41" w:rsidP="005F0E41">
      <w:r w:rsidRPr="00F82E89">
        <w:rPr>
          <w:b/>
        </w:rPr>
        <w:t xml:space="preserve">Figure </w:t>
      </w:r>
      <w:r>
        <w:rPr>
          <w:b/>
        </w:rPr>
        <w:t>7</w:t>
      </w:r>
      <w:r w:rsidRPr="00F82E89">
        <w:t xml:space="preserve"> – Schematic representation of sedimentary architecture at the Lower Castlegate exposure in Tuscher Canyon, Utah, USA. The schematic has been orientated to show the regional eastward palaeocurrent direction measured from the outcrop exposure. Sedimentary logs and bounding surface hierarchy numbers (Mial</w:t>
      </w:r>
      <w:r>
        <w:t>l,</w:t>
      </w:r>
      <w:r w:rsidRPr="00F82E89">
        <w:t xml:space="preserve"> 1985) show the individual architectural elements idealised succession, with bounding surface annotations indicating the depositional framework. </w:t>
      </w:r>
    </w:p>
    <w:p w:rsidR="005F0E41" w:rsidRDefault="005F0E41" w:rsidP="005F0E41">
      <w:r w:rsidRPr="00F82E89">
        <w:rPr>
          <w:b/>
        </w:rPr>
        <w:t xml:space="preserve">Figure </w:t>
      </w:r>
      <w:r>
        <w:rPr>
          <w:b/>
        </w:rPr>
        <w:t>8</w:t>
      </w:r>
      <w:r w:rsidRPr="00F82E89">
        <w:t xml:space="preserve"> – A) The Jamuna downstream accreting barform in northern India (see Figure 3 for location), annotated with width and length measurements of active and abandoned fluvial sedimentary architectures. B) Interpretive line drawing (see key and text) – note colours are the same as for the Tuscher Canyon outcrop (Figure </w:t>
      </w:r>
      <w:r>
        <w:t>7</w:t>
      </w:r>
      <w:r w:rsidRPr="00F82E89">
        <w:t>). C) Box plots of the width, D) length and E) width:length ratio of sedimentary architectural elements within the interpreted Jamuna River barform complex (CH = Channel element, TB = Thalweg bedform complex, DA = Downstream accretion element, LA = Lateral accretion element). Note the maximum measurements of the downstream accretion element exceeds the scope of the graph.</w:t>
      </w:r>
    </w:p>
    <w:p w:rsidR="005F0E41" w:rsidRPr="00F82E89" w:rsidRDefault="005F0E41" w:rsidP="005F0E41">
      <w:r w:rsidRPr="00F82E89">
        <w:rPr>
          <w:b/>
        </w:rPr>
        <w:t xml:space="preserve">Figure </w:t>
      </w:r>
      <w:r>
        <w:rPr>
          <w:b/>
        </w:rPr>
        <w:t>9</w:t>
      </w:r>
      <w:r w:rsidRPr="00F82E89">
        <w:t xml:space="preserve"> – Numerical depositionally-conditioned 3D training image used in this study</w:t>
      </w:r>
      <w:r>
        <w:t>,</w:t>
      </w:r>
      <w:r w:rsidRPr="00F82E89">
        <w:t xml:space="preserve"> created within Schlumberger</w:t>
      </w:r>
      <w:r w:rsidRPr="00F82E89">
        <w:rPr>
          <w:rFonts w:cs="Times New Roman"/>
        </w:rPr>
        <w:t>™</w:t>
      </w:r>
      <w:r w:rsidRPr="00F82E89">
        <w:t xml:space="preserve"> Petrel v.2016 software, using the input parameters given in Table</w:t>
      </w:r>
      <w:r>
        <w:t>s</w:t>
      </w:r>
      <w:r w:rsidRPr="00F82E89">
        <w:t xml:space="preserve"> 2 and 3. The training image is 1,000 m x 1,000 m x 20 m at a cell resolution of 10 m x 10 m x 0.5 m. The datasets providing the major conditions for the planes are marked. The image provides the basis for the MPS model generation (see text).</w:t>
      </w:r>
    </w:p>
    <w:p w:rsidR="005F0E41" w:rsidRPr="00F82E89" w:rsidRDefault="005F0E41" w:rsidP="005F0E41">
      <w:r w:rsidRPr="00F82E89">
        <w:rPr>
          <w:b/>
        </w:rPr>
        <w:t xml:space="preserve">Figure </w:t>
      </w:r>
      <w:r>
        <w:rPr>
          <w:b/>
        </w:rPr>
        <w:t>10</w:t>
      </w:r>
      <w:r w:rsidRPr="00F82E89">
        <w:t xml:space="preserve"> –</w:t>
      </w:r>
      <w:r>
        <w:t xml:space="preserve"> I</w:t>
      </w:r>
      <w:r w:rsidRPr="00F82E89">
        <w:t xml:space="preserve">ndicator variograms </w:t>
      </w:r>
      <w:r>
        <w:t xml:space="preserve">(coloured lines) </w:t>
      </w:r>
      <w:r w:rsidRPr="00F82E89">
        <w:t>showing the variance of the four architectural elements (DA = Downstream accretion element; CH = Channel element; LA = Lateral accretion element; TB = Thalweg bedform complex) across both data sets, providing input conditions for the SIS model iterations</w:t>
      </w:r>
      <w:r>
        <w:t>.</w:t>
      </w:r>
      <w:r w:rsidRPr="00F82E89">
        <w:t xml:space="preserve"> </w:t>
      </w:r>
      <w:r>
        <w:t xml:space="preserve">Respective experimental variograms (black lines) are also shown, </w:t>
      </w:r>
      <w:r w:rsidRPr="00F82E89">
        <w:t>see text for details.</w:t>
      </w:r>
    </w:p>
    <w:p w:rsidR="005F0E41" w:rsidRDefault="005F0E41" w:rsidP="005F0E41">
      <w:r w:rsidRPr="00F82E89">
        <w:rPr>
          <w:b/>
        </w:rPr>
        <w:t>Figure 1</w:t>
      </w:r>
      <w:r>
        <w:rPr>
          <w:b/>
        </w:rPr>
        <w:t>1</w:t>
      </w:r>
      <w:r w:rsidRPr="00F82E89">
        <w:rPr>
          <w:b/>
        </w:rPr>
        <w:t xml:space="preserve"> - </w:t>
      </w:r>
      <w:r w:rsidRPr="00F82E89">
        <w:t xml:space="preserve">Comparison of (A) Multi-point statistics (MPS)-, (B) sequential indicator simulation (SIS)-generated and (C) Object-based (OBM) reservoir models as whole models and in cross-sections. Models were generated using the same input parameters derived from the outcrop and modern studies (see text for details). A) MPS model generated from the training image shown in figure </w:t>
      </w:r>
      <w:r>
        <w:t>9</w:t>
      </w:r>
      <w:r w:rsidRPr="00F82E89">
        <w:t xml:space="preserve">. This evidences thin and laterally restricted baffles, individual plan-view downstream accretion elements that showed some recognisable geometries and thin and fragmented net connectivity in cross section. B) SIS model generated from the variograms (Figure </w:t>
      </w:r>
      <w:r>
        <w:t>10</w:t>
      </w:r>
      <w:r w:rsidRPr="00F82E89">
        <w:t xml:space="preserve">; see text). Model shows large and connected net reservoir and thick laterally extensive amalgamations of non-net baffle heterogeneity. C) OBM models generated from the quantitative statistics extracted to make the depositional conditioning rules. Model shows an over-connected net reservoir and thicker preserved channel elements. Note, </w:t>
      </w:r>
      <w:r>
        <w:t>all models have</w:t>
      </w:r>
      <w:r w:rsidRPr="00F82E89">
        <w:t xml:space="preserve"> a 20x vertical exaggeration.</w:t>
      </w:r>
    </w:p>
    <w:p w:rsidR="005F0E41" w:rsidRPr="00F82E89" w:rsidRDefault="005F0E41" w:rsidP="005F0E41">
      <w:r w:rsidRPr="00F82E89">
        <w:rPr>
          <w:b/>
        </w:rPr>
        <w:t>Figure 1</w:t>
      </w:r>
      <w:r>
        <w:rPr>
          <w:b/>
        </w:rPr>
        <w:t>2</w:t>
      </w:r>
      <w:r w:rsidRPr="00F82E89">
        <w:t xml:space="preserve"> – Summary model statistics derived from the three-dimensional summaries of the reservoir models generated using each iteration of the three algorithms. A) The relative proportions of each architectural element modelled within the reservoir model algorithms. The pink line highlights the model input data derived from the sedimentary analysis. B) Mean element thicknesses for each element plotted against the covariance (Cv) of each element, to highlight the thickness and dispersion in thickness across each element. C) Maximum element thickness plot for each model iteration in each algorithm to show how overestimations of vertical connectivity were affected by the choice of algorithm.</w:t>
      </w:r>
      <w:r>
        <w:t xml:space="preserve"> Note, the depositional conditioning input means are indicated on the graph showing where the input data and training image values plot.</w:t>
      </w:r>
    </w:p>
    <w:p w:rsidR="005F0E41" w:rsidRPr="00F82E89" w:rsidRDefault="005F0E41" w:rsidP="005F0E41">
      <w:r w:rsidRPr="00F82E89">
        <w:rPr>
          <w:b/>
        </w:rPr>
        <w:t>Figure 1</w:t>
      </w:r>
      <w:r>
        <w:rPr>
          <w:b/>
        </w:rPr>
        <w:t>3</w:t>
      </w:r>
      <w:r w:rsidRPr="00F82E89">
        <w:t xml:space="preserve"> – Drainable volumes and vertical connectivity statistics from all thirty model iterations across the three algorithms. A) Drainable percentage volume box-plots of the SIS-, MPS- and OBM-generated models, showing the variance in results across the ten iterations of SIS-generated reservoir volumes and a narrow variance in MPS-generated and OBM-generated iterations. B) Maximum, mean and standard deviation of the vertical thickness of net connectivity across all iterations of MPS-, SIS- and OBM-generations. OBM and SIS show a maximum thickness equal to that of the entire model, whereas MPS shows a maximum connectivity thickness of 18. The standard deviations of the SIS and OBM models also showed a high variance, whereas the MPS showed less of a variation away from the mean.</w:t>
      </w:r>
    </w:p>
    <w:p w:rsidR="006B617F" w:rsidRPr="00F82E89" w:rsidRDefault="005F0E41" w:rsidP="005F0E41">
      <w:r w:rsidRPr="00F82E89">
        <w:rPr>
          <w:b/>
        </w:rPr>
        <w:t>Figure 1</w:t>
      </w:r>
      <w:r>
        <w:rPr>
          <w:b/>
        </w:rPr>
        <w:t>4</w:t>
      </w:r>
      <w:r w:rsidRPr="00F82E89">
        <w:t xml:space="preserve"> – Generalised workflow of this study to generate the reservoir models. Note, SIS = Sequential Indicator Simulation, MPS = Multi-Point Statistics, OBM = Object-based Modelling. </w:t>
      </w:r>
    </w:p>
    <w:sectPr w:rsidR="006B617F" w:rsidRPr="00F82E89" w:rsidSect="007B7417">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57E0" w:rsidRDefault="00D457E0" w:rsidP="00335AA0">
      <w:pPr>
        <w:spacing w:after="0" w:line="240" w:lineRule="auto"/>
      </w:pPr>
      <w:r>
        <w:separator/>
      </w:r>
    </w:p>
  </w:endnote>
  <w:endnote w:type="continuationSeparator" w:id="0">
    <w:p w:rsidR="00D457E0" w:rsidRDefault="00D457E0" w:rsidP="00335A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Lato">
    <w:altName w:val="Calibri"/>
    <w:charset w:val="00"/>
    <w:family w:val="swiss"/>
    <w:pitch w:val="variable"/>
    <w:sig w:usb0="A00000AF" w:usb1="5000604B" w:usb2="00000000" w:usb3="00000000" w:csb0="00000093" w:csb1="00000000"/>
  </w:font>
  <w:font w:name="AdvOT596495f2+fb">
    <w:altName w:val="Calibri"/>
    <w:panose1 w:val="00000000000000000000"/>
    <w:charset w:val="00"/>
    <w:family w:val="auto"/>
    <w:notTrueType/>
    <w:pitch w:val="default"/>
    <w:sig w:usb0="00000003" w:usb1="00000000" w:usb2="00000000" w:usb3="00000000" w:csb0="00000001" w:csb1="00000000"/>
  </w:font>
  <w:font w:name="AdvOT596495f2+20">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0944825"/>
      <w:docPartObj>
        <w:docPartGallery w:val="Page Numbers (Bottom of Page)"/>
        <w:docPartUnique/>
      </w:docPartObj>
    </w:sdtPr>
    <w:sdtEndPr>
      <w:rPr>
        <w:noProof/>
      </w:rPr>
    </w:sdtEndPr>
    <w:sdtContent>
      <w:p w:rsidR="00517096" w:rsidRDefault="00517096">
        <w:pPr>
          <w:pStyle w:val="Footer"/>
          <w:jc w:val="right"/>
        </w:pPr>
        <w:r>
          <w:rPr>
            <w:noProof/>
          </w:rPr>
          <w:fldChar w:fldCharType="begin"/>
        </w:r>
        <w:r>
          <w:rPr>
            <w:noProof/>
          </w:rPr>
          <w:instrText xml:space="preserve"> PAGE   \* MERGEFORMAT </w:instrText>
        </w:r>
        <w:r>
          <w:rPr>
            <w:noProof/>
          </w:rPr>
          <w:fldChar w:fldCharType="separate"/>
        </w:r>
        <w:r w:rsidR="00EB2A44">
          <w:rPr>
            <w:noProof/>
          </w:rPr>
          <w:t>59</w:t>
        </w:r>
        <w:r>
          <w:rPr>
            <w:noProof/>
          </w:rPr>
          <w:fldChar w:fldCharType="end"/>
        </w:r>
      </w:p>
    </w:sdtContent>
  </w:sdt>
  <w:p w:rsidR="00517096" w:rsidRDefault="005170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57E0" w:rsidRDefault="00D457E0" w:rsidP="00335AA0">
      <w:pPr>
        <w:spacing w:after="0" w:line="240" w:lineRule="auto"/>
      </w:pPr>
      <w:r>
        <w:separator/>
      </w:r>
    </w:p>
  </w:footnote>
  <w:footnote w:type="continuationSeparator" w:id="0">
    <w:p w:rsidR="00D457E0" w:rsidRDefault="00D457E0" w:rsidP="00335A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107C05"/>
    <w:multiLevelType w:val="hybridMultilevel"/>
    <w:tmpl w:val="63307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975FE3"/>
    <w:multiLevelType w:val="multilevel"/>
    <w:tmpl w:val="97AC3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8B45F0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B02"/>
    <w:rsid w:val="000007B0"/>
    <w:rsid w:val="0000598B"/>
    <w:rsid w:val="00011883"/>
    <w:rsid w:val="00014D24"/>
    <w:rsid w:val="00031FF8"/>
    <w:rsid w:val="00033B02"/>
    <w:rsid w:val="000357DC"/>
    <w:rsid w:val="0006085B"/>
    <w:rsid w:val="00062DD9"/>
    <w:rsid w:val="0007202A"/>
    <w:rsid w:val="000813E8"/>
    <w:rsid w:val="00084323"/>
    <w:rsid w:val="00085F04"/>
    <w:rsid w:val="00090D12"/>
    <w:rsid w:val="00091DCD"/>
    <w:rsid w:val="00095B81"/>
    <w:rsid w:val="000A2D1C"/>
    <w:rsid w:val="000A36EA"/>
    <w:rsid w:val="000A4B4D"/>
    <w:rsid w:val="000B2843"/>
    <w:rsid w:val="000B36E3"/>
    <w:rsid w:val="000D3B6A"/>
    <w:rsid w:val="000D433F"/>
    <w:rsid w:val="000D77E7"/>
    <w:rsid w:val="000D7C7B"/>
    <w:rsid w:val="000E07FE"/>
    <w:rsid w:val="000E1594"/>
    <w:rsid w:val="000E5F17"/>
    <w:rsid w:val="000E6BE6"/>
    <w:rsid w:val="000F2770"/>
    <w:rsid w:val="000F743B"/>
    <w:rsid w:val="00104005"/>
    <w:rsid w:val="001079AB"/>
    <w:rsid w:val="00116C90"/>
    <w:rsid w:val="00121607"/>
    <w:rsid w:val="00135D4C"/>
    <w:rsid w:val="00140A81"/>
    <w:rsid w:val="00142EB6"/>
    <w:rsid w:val="001444E2"/>
    <w:rsid w:val="00153944"/>
    <w:rsid w:val="001656AE"/>
    <w:rsid w:val="00166124"/>
    <w:rsid w:val="00170B8A"/>
    <w:rsid w:val="001776AE"/>
    <w:rsid w:val="00183B0F"/>
    <w:rsid w:val="00187525"/>
    <w:rsid w:val="001900F8"/>
    <w:rsid w:val="0019365B"/>
    <w:rsid w:val="001B1A32"/>
    <w:rsid w:val="001B504A"/>
    <w:rsid w:val="001B7AC8"/>
    <w:rsid w:val="001C1777"/>
    <w:rsid w:val="001C528E"/>
    <w:rsid w:val="001C7E54"/>
    <w:rsid w:val="001D1FFC"/>
    <w:rsid w:val="001D6D2B"/>
    <w:rsid w:val="001E056F"/>
    <w:rsid w:val="001F023B"/>
    <w:rsid w:val="001F292B"/>
    <w:rsid w:val="001F6388"/>
    <w:rsid w:val="00202D81"/>
    <w:rsid w:val="002031A4"/>
    <w:rsid w:val="002042F1"/>
    <w:rsid w:val="002054A8"/>
    <w:rsid w:val="00213371"/>
    <w:rsid w:val="00222F43"/>
    <w:rsid w:val="00226B87"/>
    <w:rsid w:val="00231EA6"/>
    <w:rsid w:val="00244107"/>
    <w:rsid w:val="002509AC"/>
    <w:rsid w:val="00261C6C"/>
    <w:rsid w:val="00263706"/>
    <w:rsid w:val="00263E36"/>
    <w:rsid w:val="00265CB2"/>
    <w:rsid w:val="002660FA"/>
    <w:rsid w:val="00286170"/>
    <w:rsid w:val="002924C3"/>
    <w:rsid w:val="00296662"/>
    <w:rsid w:val="002A145E"/>
    <w:rsid w:val="002A5C57"/>
    <w:rsid w:val="002B5CBE"/>
    <w:rsid w:val="002B6FDE"/>
    <w:rsid w:val="002C2F34"/>
    <w:rsid w:val="002C30DB"/>
    <w:rsid w:val="002C3EAD"/>
    <w:rsid w:val="002D052E"/>
    <w:rsid w:val="002D1B0A"/>
    <w:rsid w:val="002E21EC"/>
    <w:rsid w:val="002E2D3B"/>
    <w:rsid w:val="002E77BE"/>
    <w:rsid w:val="002E7A1E"/>
    <w:rsid w:val="002F3EB7"/>
    <w:rsid w:val="002F774B"/>
    <w:rsid w:val="002F7CB0"/>
    <w:rsid w:val="0030593D"/>
    <w:rsid w:val="00310E64"/>
    <w:rsid w:val="00320C7D"/>
    <w:rsid w:val="003261FE"/>
    <w:rsid w:val="00335AA0"/>
    <w:rsid w:val="00337D46"/>
    <w:rsid w:val="00350353"/>
    <w:rsid w:val="003578CB"/>
    <w:rsid w:val="00362135"/>
    <w:rsid w:val="00371D49"/>
    <w:rsid w:val="00372CF0"/>
    <w:rsid w:val="0037403E"/>
    <w:rsid w:val="00385F38"/>
    <w:rsid w:val="00386DAE"/>
    <w:rsid w:val="003915C6"/>
    <w:rsid w:val="0039556F"/>
    <w:rsid w:val="003B1029"/>
    <w:rsid w:val="003B709F"/>
    <w:rsid w:val="003C33A7"/>
    <w:rsid w:val="003C4BE5"/>
    <w:rsid w:val="003E358B"/>
    <w:rsid w:val="003E6EFC"/>
    <w:rsid w:val="003F3754"/>
    <w:rsid w:val="003F61D0"/>
    <w:rsid w:val="004043D7"/>
    <w:rsid w:val="004132BE"/>
    <w:rsid w:val="004221F3"/>
    <w:rsid w:val="00426CE8"/>
    <w:rsid w:val="00427D5F"/>
    <w:rsid w:val="00432A81"/>
    <w:rsid w:val="004354CF"/>
    <w:rsid w:val="00437A6A"/>
    <w:rsid w:val="00443D1A"/>
    <w:rsid w:val="00446DF4"/>
    <w:rsid w:val="00447B3F"/>
    <w:rsid w:val="004579DB"/>
    <w:rsid w:val="0046342D"/>
    <w:rsid w:val="0046560C"/>
    <w:rsid w:val="00470778"/>
    <w:rsid w:val="00473D60"/>
    <w:rsid w:val="004801B3"/>
    <w:rsid w:val="004801EE"/>
    <w:rsid w:val="00486B15"/>
    <w:rsid w:val="0049145F"/>
    <w:rsid w:val="0049333F"/>
    <w:rsid w:val="004A12C3"/>
    <w:rsid w:val="004A1DE9"/>
    <w:rsid w:val="004A4780"/>
    <w:rsid w:val="004A7C7E"/>
    <w:rsid w:val="004B4E49"/>
    <w:rsid w:val="004C39F7"/>
    <w:rsid w:val="004C3B0B"/>
    <w:rsid w:val="004D0932"/>
    <w:rsid w:val="004D430F"/>
    <w:rsid w:val="004D6384"/>
    <w:rsid w:val="004E0DFE"/>
    <w:rsid w:val="004E1111"/>
    <w:rsid w:val="004E163C"/>
    <w:rsid w:val="004E2583"/>
    <w:rsid w:val="004E3250"/>
    <w:rsid w:val="004E6168"/>
    <w:rsid w:val="004F459A"/>
    <w:rsid w:val="00500207"/>
    <w:rsid w:val="005016B0"/>
    <w:rsid w:val="00510BCA"/>
    <w:rsid w:val="005165A4"/>
    <w:rsid w:val="00516743"/>
    <w:rsid w:val="005168A0"/>
    <w:rsid w:val="00517096"/>
    <w:rsid w:val="00520A3B"/>
    <w:rsid w:val="00525A74"/>
    <w:rsid w:val="00531C65"/>
    <w:rsid w:val="0053371E"/>
    <w:rsid w:val="00541783"/>
    <w:rsid w:val="00555528"/>
    <w:rsid w:val="005556F0"/>
    <w:rsid w:val="0057084D"/>
    <w:rsid w:val="00572276"/>
    <w:rsid w:val="00572C72"/>
    <w:rsid w:val="00573921"/>
    <w:rsid w:val="0057568B"/>
    <w:rsid w:val="0057642C"/>
    <w:rsid w:val="005A2278"/>
    <w:rsid w:val="005B2CC1"/>
    <w:rsid w:val="005C53FB"/>
    <w:rsid w:val="005D0A5D"/>
    <w:rsid w:val="005D35B9"/>
    <w:rsid w:val="005E08CD"/>
    <w:rsid w:val="005E32D9"/>
    <w:rsid w:val="005E6702"/>
    <w:rsid w:val="005F0E41"/>
    <w:rsid w:val="005F2199"/>
    <w:rsid w:val="005F4108"/>
    <w:rsid w:val="005F4269"/>
    <w:rsid w:val="006007D2"/>
    <w:rsid w:val="006100D7"/>
    <w:rsid w:val="006159AB"/>
    <w:rsid w:val="00615CAA"/>
    <w:rsid w:val="006164BC"/>
    <w:rsid w:val="0062735C"/>
    <w:rsid w:val="00630388"/>
    <w:rsid w:val="0063691D"/>
    <w:rsid w:val="006413A6"/>
    <w:rsid w:val="0064269F"/>
    <w:rsid w:val="006540F3"/>
    <w:rsid w:val="00663536"/>
    <w:rsid w:val="0066715E"/>
    <w:rsid w:val="00667250"/>
    <w:rsid w:val="00672360"/>
    <w:rsid w:val="00672EAC"/>
    <w:rsid w:val="0067708A"/>
    <w:rsid w:val="00692BC6"/>
    <w:rsid w:val="00696501"/>
    <w:rsid w:val="006A5DBF"/>
    <w:rsid w:val="006B2E05"/>
    <w:rsid w:val="006B617F"/>
    <w:rsid w:val="006C50E2"/>
    <w:rsid w:val="006C5BD1"/>
    <w:rsid w:val="006D2E2A"/>
    <w:rsid w:val="006D3F88"/>
    <w:rsid w:val="006E73A0"/>
    <w:rsid w:val="006F27F2"/>
    <w:rsid w:val="006F3D37"/>
    <w:rsid w:val="00704FE0"/>
    <w:rsid w:val="00710588"/>
    <w:rsid w:val="0071170C"/>
    <w:rsid w:val="0071214A"/>
    <w:rsid w:val="00715682"/>
    <w:rsid w:val="00717D22"/>
    <w:rsid w:val="007227D4"/>
    <w:rsid w:val="007304E8"/>
    <w:rsid w:val="00734516"/>
    <w:rsid w:val="00734725"/>
    <w:rsid w:val="00745F04"/>
    <w:rsid w:val="00746BF0"/>
    <w:rsid w:val="007548EC"/>
    <w:rsid w:val="00755841"/>
    <w:rsid w:val="00762827"/>
    <w:rsid w:val="00770056"/>
    <w:rsid w:val="00776AC1"/>
    <w:rsid w:val="00793CA4"/>
    <w:rsid w:val="007A2C60"/>
    <w:rsid w:val="007A612F"/>
    <w:rsid w:val="007B214B"/>
    <w:rsid w:val="007B37E1"/>
    <w:rsid w:val="007B7417"/>
    <w:rsid w:val="007C6BB0"/>
    <w:rsid w:val="007D4F53"/>
    <w:rsid w:val="007D7916"/>
    <w:rsid w:val="007E1744"/>
    <w:rsid w:val="007E2262"/>
    <w:rsid w:val="007E41D6"/>
    <w:rsid w:val="007E57CC"/>
    <w:rsid w:val="007F124C"/>
    <w:rsid w:val="007F3DF8"/>
    <w:rsid w:val="00805D68"/>
    <w:rsid w:val="00810FF9"/>
    <w:rsid w:val="00816F8B"/>
    <w:rsid w:val="00826B13"/>
    <w:rsid w:val="00834771"/>
    <w:rsid w:val="00837829"/>
    <w:rsid w:val="0084030D"/>
    <w:rsid w:val="0084044B"/>
    <w:rsid w:val="00840E37"/>
    <w:rsid w:val="0084227E"/>
    <w:rsid w:val="0084342F"/>
    <w:rsid w:val="008500ED"/>
    <w:rsid w:val="008523D7"/>
    <w:rsid w:val="0085580C"/>
    <w:rsid w:val="00856AF3"/>
    <w:rsid w:val="00860140"/>
    <w:rsid w:val="008642A4"/>
    <w:rsid w:val="0086727A"/>
    <w:rsid w:val="00874520"/>
    <w:rsid w:val="00880DF1"/>
    <w:rsid w:val="00883C75"/>
    <w:rsid w:val="00887135"/>
    <w:rsid w:val="00896C7A"/>
    <w:rsid w:val="008A4FDC"/>
    <w:rsid w:val="008B01B2"/>
    <w:rsid w:val="008B1F92"/>
    <w:rsid w:val="008B4EBA"/>
    <w:rsid w:val="008C0DA7"/>
    <w:rsid w:val="008C3954"/>
    <w:rsid w:val="008D067D"/>
    <w:rsid w:val="008D1C1C"/>
    <w:rsid w:val="008E05A0"/>
    <w:rsid w:val="008E35FC"/>
    <w:rsid w:val="008E4098"/>
    <w:rsid w:val="008F01F6"/>
    <w:rsid w:val="00926580"/>
    <w:rsid w:val="00932A0D"/>
    <w:rsid w:val="009363B4"/>
    <w:rsid w:val="0094287C"/>
    <w:rsid w:val="0094751B"/>
    <w:rsid w:val="009522A4"/>
    <w:rsid w:val="00962F8D"/>
    <w:rsid w:val="00966F1E"/>
    <w:rsid w:val="00981C3B"/>
    <w:rsid w:val="0098471C"/>
    <w:rsid w:val="00997123"/>
    <w:rsid w:val="00997533"/>
    <w:rsid w:val="009A4469"/>
    <w:rsid w:val="009A4E79"/>
    <w:rsid w:val="009A563D"/>
    <w:rsid w:val="009A5FE0"/>
    <w:rsid w:val="009A6C44"/>
    <w:rsid w:val="009A762E"/>
    <w:rsid w:val="009B2A9C"/>
    <w:rsid w:val="009B744E"/>
    <w:rsid w:val="009B75B7"/>
    <w:rsid w:val="009C7F81"/>
    <w:rsid w:val="009D496E"/>
    <w:rsid w:val="009D6925"/>
    <w:rsid w:val="009E38E5"/>
    <w:rsid w:val="009E3ADE"/>
    <w:rsid w:val="009E3C6A"/>
    <w:rsid w:val="009F072C"/>
    <w:rsid w:val="009F38E5"/>
    <w:rsid w:val="009F3A4D"/>
    <w:rsid w:val="00A020E8"/>
    <w:rsid w:val="00A0416E"/>
    <w:rsid w:val="00A12FCC"/>
    <w:rsid w:val="00A137F9"/>
    <w:rsid w:val="00A14EFE"/>
    <w:rsid w:val="00A15C6E"/>
    <w:rsid w:val="00A261BE"/>
    <w:rsid w:val="00A27636"/>
    <w:rsid w:val="00A34803"/>
    <w:rsid w:val="00A47806"/>
    <w:rsid w:val="00A5173C"/>
    <w:rsid w:val="00A57A0C"/>
    <w:rsid w:val="00A6111C"/>
    <w:rsid w:val="00A62542"/>
    <w:rsid w:val="00A64089"/>
    <w:rsid w:val="00A70D73"/>
    <w:rsid w:val="00A7247D"/>
    <w:rsid w:val="00A83664"/>
    <w:rsid w:val="00A859E5"/>
    <w:rsid w:val="00A90BE1"/>
    <w:rsid w:val="00A94B4F"/>
    <w:rsid w:val="00A955B5"/>
    <w:rsid w:val="00A95A80"/>
    <w:rsid w:val="00A976CF"/>
    <w:rsid w:val="00AA5684"/>
    <w:rsid w:val="00AA5779"/>
    <w:rsid w:val="00AB721C"/>
    <w:rsid w:val="00AC02FE"/>
    <w:rsid w:val="00AC5256"/>
    <w:rsid w:val="00AE534C"/>
    <w:rsid w:val="00AE5AE4"/>
    <w:rsid w:val="00AF0552"/>
    <w:rsid w:val="00B12B26"/>
    <w:rsid w:val="00B26818"/>
    <w:rsid w:val="00B31019"/>
    <w:rsid w:val="00B32B81"/>
    <w:rsid w:val="00B34433"/>
    <w:rsid w:val="00B34830"/>
    <w:rsid w:val="00B36929"/>
    <w:rsid w:val="00B41F5D"/>
    <w:rsid w:val="00B434CD"/>
    <w:rsid w:val="00B50461"/>
    <w:rsid w:val="00B528FF"/>
    <w:rsid w:val="00B5325C"/>
    <w:rsid w:val="00B558A9"/>
    <w:rsid w:val="00B55C25"/>
    <w:rsid w:val="00B55E0E"/>
    <w:rsid w:val="00B605D6"/>
    <w:rsid w:val="00B614DE"/>
    <w:rsid w:val="00B6442C"/>
    <w:rsid w:val="00B87580"/>
    <w:rsid w:val="00B95E69"/>
    <w:rsid w:val="00BA3FF3"/>
    <w:rsid w:val="00BA5584"/>
    <w:rsid w:val="00BA6D70"/>
    <w:rsid w:val="00BB21F1"/>
    <w:rsid w:val="00BB5AD5"/>
    <w:rsid w:val="00BC3E8D"/>
    <w:rsid w:val="00BC5CB4"/>
    <w:rsid w:val="00BD4D38"/>
    <w:rsid w:val="00BD6A26"/>
    <w:rsid w:val="00BD73F7"/>
    <w:rsid w:val="00BF0697"/>
    <w:rsid w:val="00BF0DD5"/>
    <w:rsid w:val="00BF103F"/>
    <w:rsid w:val="00BF5426"/>
    <w:rsid w:val="00BF54FE"/>
    <w:rsid w:val="00BF774D"/>
    <w:rsid w:val="00C00B2B"/>
    <w:rsid w:val="00C054BA"/>
    <w:rsid w:val="00C07E0C"/>
    <w:rsid w:val="00C124CE"/>
    <w:rsid w:val="00C14C60"/>
    <w:rsid w:val="00C267EE"/>
    <w:rsid w:val="00C33905"/>
    <w:rsid w:val="00C574FD"/>
    <w:rsid w:val="00C670B0"/>
    <w:rsid w:val="00C7792E"/>
    <w:rsid w:val="00C82240"/>
    <w:rsid w:val="00C84603"/>
    <w:rsid w:val="00C85F30"/>
    <w:rsid w:val="00C9084B"/>
    <w:rsid w:val="00CB0A5C"/>
    <w:rsid w:val="00CB3E14"/>
    <w:rsid w:val="00CC4F4D"/>
    <w:rsid w:val="00CC53BD"/>
    <w:rsid w:val="00CD1601"/>
    <w:rsid w:val="00CD4232"/>
    <w:rsid w:val="00CE2C7C"/>
    <w:rsid w:val="00CE4255"/>
    <w:rsid w:val="00CF4DEC"/>
    <w:rsid w:val="00CF7C8C"/>
    <w:rsid w:val="00D0039E"/>
    <w:rsid w:val="00D00EBC"/>
    <w:rsid w:val="00D06444"/>
    <w:rsid w:val="00D133F5"/>
    <w:rsid w:val="00D14E50"/>
    <w:rsid w:val="00D2255F"/>
    <w:rsid w:val="00D30F57"/>
    <w:rsid w:val="00D3297A"/>
    <w:rsid w:val="00D3723E"/>
    <w:rsid w:val="00D42B9C"/>
    <w:rsid w:val="00D44A0B"/>
    <w:rsid w:val="00D457E0"/>
    <w:rsid w:val="00D4784E"/>
    <w:rsid w:val="00D50D65"/>
    <w:rsid w:val="00D545FD"/>
    <w:rsid w:val="00D60B6B"/>
    <w:rsid w:val="00D61693"/>
    <w:rsid w:val="00D63670"/>
    <w:rsid w:val="00D63B26"/>
    <w:rsid w:val="00D65623"/>
    <w:rsid w:val="00D65931"/>
    <w:rsid w:val="00D71CED"/>
    <w:rsid w:val="00D83185"/>
    <w:rsid w:val="00D909E0"/>
    <w:rsid w:val="00D934CE"/>
    <w:rsid w:val="00D959F4"/>
    <w:rsid w:val="00D96D37"/>
    <w:rsid w:val="00DA2DE5"/>
    <w:rsid w:val="00DA648E"/>
    <w:rsid w:val="00DB51FB"/>
    <w:rsid w:val="00DC795C"/>
    <w:rsid w:val="00DD10E3"/>
    <w:rsid w:val="00DE3FDF"/>
    <w:rsid w:val="00DF095D"/>
    <w:rsid w:val="00DF0BC2"/>
    <w:rsid w:val="00DF5B56"/>
    <w:rsid w:val="00DF5DA9"/>
    <w:rsid w:val="00E1051C"/>
    <w:rsid w:val="00E1250C"/>
    <w:rsid w:val="00E160BE"/>
    <w:rsid w:val="00E17B1E"/>
    <w:rsid w:val="00E274D7"/>
    <w:rsid w:val="00E2762A"/>
    <w:rsid w:val="00E36AB1"/>
    <w:rsid w:val="00E378C0"/>
    <w:rsid w:val="00E44E79"/>
    <w:rsid w:val="00E50C6B"/>
    <w:rsid w:val="00E51AA7"/>
    <w:rsid w:val="00E524FE"/>
    <w:rsid w:val="00E651B3"/>
    <w:rsid w:val="00E70AB4"/>
    <w:rsid w:val="00E71384"/>
    <w:rsid w:val="00E76116"/>
    <w:rsid w:val="00E761F4"/>
    <w:rsid w:val="00E838AE"/>
    <w:rsid w:val="00E86ABD"/>
    <w:rsid w:val="00EB08B8"/>
    <w:rsid w:val="00EB1B3A"/>
    <w:rsid w:val="00EB2A44"/>
    <w:rsid w:val="00ED1868"/>
    <w:rsid w:val="00EE28F9"/>
    <w:rsid w:val="00EF4F81"/>
    <w:rsid w:val="00EF6140"/>
    <w:rsid w:val="00F002AC"/>
    <w:rsid w:val="00F00AF3"/>
    <w:rsid w:val="00F02639"/>
    <w:rsid w:val="00F0542F"/>
    <w:rsid w:val="00F20EB9"/>
    <w:rsid w:val="00F211F1"/>
    <w:rsid w:val="00F30E7B"/>
    <w:rsid w:val="00F314A0"/>
    <w:rsid w:val="00F33C8C"/>
    <w:rsid w:val="00F52011"/>
    <w:rsid w:val="00F52FC6"/>
    <w:rsid w:val="00F602DD"/>
    <w:rsid w:val="00F62895"/>
    <w:rsid w:val="00F6291F"/>
    <w:rsid w:val="00F72781"/>
    <w:rsid w:val="00F82E89"/>
    <w:rsid w:val="00F90A8E"/>
    <w:rsid w:val="00FB1293"/>
    <w:rsid w:val="00FB22AA"/>
    <w:rsid w:val="00FB2F0C"/>
    <w:rsid w:val="00FB3787"/>
    <w:rsid w:val="00FC0095"/>
    <w:rsid w:val="00FC1E9D"/>
    <w:rsid w:val="00FC600F"/>
    <w:rsid w:val="00FD04E4"/>
    <w:rsid w:val="00FD2CF4"/>
    <w:rsid w:val="00FD7260"/>
    <w:rsid w:val="00FE4B42"/>
    <w:rsid w:val="00FE51CD"/>
    <w:rsid w:val="00FE6AC0"/>
    <w:rsid w:val="00FE7D46"/>
    <w:rsid w:val="00FF6E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652BFD-CDEF-4DE6-9EDC-F03277AE6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3B02"/>
    <w:pPr>
      <w:spacing w:line="480" w:lineRule="auto"/>
    </w:pPr>
  </w:style>
  <w:style w:type="paragraph" w:styleId="Heading1">
    <w:name w:val="heading 1"/>
    <w:basedOn w:val="Normal"/>
    <w:next w:val="Normal"/>
    <w:link w:val="Heading1Char"/>
    <w:uiPriority w:val="9"/>
    <w:qFormat/>
    <w:rsid w:val="0057642C"/>
    <w:pPr>
      <w:keepNext/>
      <w:keepLines/>
      <w:spacing w:before="480" w:after="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B614DE"/>
    <w:pPr>
      <w:keepNext/>
      <w:keepLines/>
      <w:spacing w:before="200" w:after="0"/>
      <w:outlineLvl w:val="1"/>
    </w:pPr>
    <w:rPr>
      <w:rFonts w:eastAsiaTheme="majorEastAsia" w:cstheme="majorBidi"/>
      <w:b/>
      <w:bCs/>
      <w:i/>
      <w:sz w:val="24"/>
      <w:szCs w:val="26"/>
    </w:rPr>
  </w:style>
  <w:style w:type="paragraph" w:styleId="Heading3">
    <w:name w:val="heading 3"/>
    <w:basedOn w:val="Normal"/>
    <w:next w:val="Normal"/>
    <w:link w:val="Heading3Char"/>
    <w:uiPriority w:val="9"/>
    <w:unhideWhenUsed/>
    <w:qFormat/>
    <w:rsid w:val="00B614DE"/>
    <w:pPr>
      <w:keepNext/>
      <w:keepLines/>
      <w:spacing w:before="200" w:after="0"/>
      <w:outlineLvl w:val="2"/>
    </w:pPr>
    <w:rPr>
      <w:rFonts w:asciiTheme="majorHAnsi" w:eastAsiaTheme="majorEastAsia" w:hAnsiTheme="majorHAnsi" w:cstheme="majorBidi"/>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E28F9"/>
    <w:pPr>
      <w:spacing w:after="300" w:line="240" w:lineRule="auto"/>
      <w:contextualSpacing/>
    </w:pPr>
    <w:rPr>
      <w:rFonts w:eastAsiaTheme="majorEastAsia" w:cstheme="majorBidi"/>
      <w:b/>
      <w:spacing w:val="5"/>
      <w:kern w:val="28"/>
      <w:sz w:val="36"/>
      <w:szCs w:val="52"/>
    </w:rPr>
  </w:style>
  <w:style w:type="character" w:customStyle="1" w:styleId="TitleChar">
    <w:name w:val="Title Char"/>
    <w:basedOn w:val="DefaultParagraphFont"/>
    <w:link w:val="Title"/>
    <w:uiPriority w:val="10"/>
    <w:rsid w:val="00EE28F9"/>
    <w:rPr>
      <w:rFonts w:eastAsiaTheme="majorEastAsia" w:cstheme="majorBidi"/>
      <w:b/>
      <w:spacing w:val="5"/>
      <w:kern w:val="28"/>
      <w:sz w:val="36"/>
      <w:szCs w:val="52"/>
    </w:rPr>
  </w:style>
  <w:style w:type="character" w:customStyle="1" w:styleId="Heading1Char">
    <w:name w:val="Heading 1 Char"/>
    <w:basedOn w:val="DefaultParagraphFont"/>
    <w:link w:val="Heading1"/>
    <w:uiPriority w:val="9"/>
    <w:rsid w:val="0057642C"/>
    <w:rPr>
      <w:rFonts w:eastAsiaTheme="majorEastAsia" w:cstheme="majorBidi"/>
      <w:b/>
      <w:bCs/>
      <w:sz w:val="28"/>
      <w:szCs w:val="28"/>
    </w:rPr>
  </w:style>
  <w:style w:type="character" w:customStyle="1" w:styleId="Heading2Char">
    <w:name w:val="Heading 2 Char"/>
    <w:basedOn w:val="DefaultParagraphFont"/>
    <w:link w:val="Heading2"/>
    <w:uiPriority w:val="9"/>
    <w:rsid w:val="00B614DE"/>
    <w:rPr>
      <w:rFonts w:eastAsiaTheme="majorEastAsia" w:cstheme="majorBidi"/>
      <w:b/>
      <w:bCs/>
      <w:i/>
      <w:sz w:val="24"/>
      <w:szCs w:val="26"/>
    </w:rPr>
  </w:style>
  <w:style w:type="character" w:styleId="CommentReference">
    <w:name w:val="annotation reference"/>
    <w:basedOn w:val="DefaultParagraphFont"/>
    <w:uiPriority w:val="99"/>
    <w:semiHidden/>
    <w:unhideWhenUsed/>
    <w:rsid w:val="007F124C"/>
    <w:rPr>
      <w:sz w:val="16"/>
      <w:szCs w:val="16"/>
    </w:rPr>
  </w:style>
  <w:style w:type="paragraph" w:styleId="CommentText">
    <w:name w:val="annotation text"/>
    <w:basedOn w:val="Normal"/>
    <w:link w:val="CommentTextChar"/>
    <w:uiPriority w:val="99"/>
    <w:semiHidden/>
    <w:unhideWhenUsed/>
    <w:rsid w:val="007F124C"/>
    <w:pPr>
      <w:spacing w:line="240" w:lineRule="auto"/>
    </w:pPr>
    <w:rPr>
      <w:sz w:val="20"/>
      <w:szCs w:val="20"/>
    </w:rPr>
  </w:style>
  <w:style w:type="character" w:customStyle="1" w:styleId="CommentTextChar">
    <w:name w:val="Comment Text Char"/>
    <w:basedOn w:val="DefaultParagraphFont"/>
    <w:link w:val="CommentText"/>
    <w:uiPriority w:val="99"/>
    <w:semiHidden/>
    <w:rsid w:val="007F124C"/>
    <w:rPr>
      <w:sz w:val="20"/>
      <w:szCs w:val="20"/>
    </w:rPr>
  </w:style>
  <w:style w:type="paragraph" w:styleId="CommentSubject">
    <w:name w:val="annotation subject"/>
    <w:basedOn w:val="CommentText"/>
    <w:next w:val="CommentText"/>
    <w:link w:val="CommentSubjectChar"/>
    <w:uiPriority w:val="99"/>
    <w:semiHidden/>
    <w:unhideWhenUsed/>
    <w:rsid w:val="007F124C"/>
    <w:rPr>
      <w:b/>
      <w:bCs/>
    </w:rPr>
  </w:style>
  <w:style w:type="character" w:customStyle="1" w:styleId="CommentSubjectChar">
    <w:name w:val="Comment Subject Char"/>
    <w:basedOn w:val="CommentTextChar"/>
    <w:link w:val="CommentSubject"/>
    <w:uiPriority w:val="99"/>
    <w:semiHidden/>
    <w:rsid w:val="007F124C"/>
    <w:rPr>
      <w:b/>
      <w:bCs/>
      <w:sz w:val="20"/>
      <w:szCs w:val="20"/>
    </w:rPr>
  </w:style>
  <w:style w:type="paragraph" w:styleId="BalloonText">
    <w:name w:val="Balloon Text"/>
    <w:basedOn w:val="Normal"/>
    <w:link w:val="BalloonTextChar"/>
    <w:uiPriority w:val="99"/>
    <w:semiHidden/>
    <w:unhideWhenUsed/>
    <w:rsid w:val="007F12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124C"/>
    <w:rPr>
      <w:rFonts w:ascii="Tahoma" w:hAnsi="Tahoma" w:cs="Tahoma"/>
      <w:sz w:val="16"/>
      <w:szCs w:val="16"/>
    </w:rPr>
  </w:style>
  <w:style w:type="paragraph" w:styleId="Footer">
    <w:name w:val="footer"/>
    <w:basedOn w:val="Normal"/>
    <w:link w:val="FooterChar"/>
    <w:uiPriority w:val="99"/>
    <w:unhideWhenUsed/>
    <w:rsid w:val="000D433F"/>
    <w:pPr>
      <w:tabs>
        <w:tab w:val="center" w:pos="4513"/>
        <w:tab w:val="right" w:pos="9026"/>
      </w:tabs>
      <w:spacing w:after="0" w:line="240" w:lineRule="auto"/>
    </w:pPr>
    <w:rPr>
      <w:sz w:val="24"/>
    </w:rPr>
  </w:style>
  <w:style w:type="character" w:customStyle="1" w:styleId="FooterChar">
    <w:name w:val="Footer Char"/>
    <w:basedOn w:val="DefaultParagraphFont"/>
    <w:link w:val="Footer"/>
    <w:uiPriority w:val="99"/>
    <w:rsid w:val="000D433F"/>
    <w:rPr>
      <w:sz w:val="24"/>
    </w:rPr>
  </w:style>
  <w:style w:type="character" w:styleId="LineNumber">
    <w:name w:val="line number"/>
    <w:basedOn w:val="DefaultParagraphFont"/>
    <w:uiPriority w:val="99"/>
    <w:semiHidden/>
    <w:unhideWhenUsed/>
    <w:rsid w:val="000D433F"/>
  </w:style>
  <w:style w:type="character" w:customStyle="1" w:styleId="Heading3Char">
    <w:name w:val="Heading 3 Char"/>
    <w:basedOn w:val="DefaultParagraphFont"/>
    <w:link w:val="Heading3"/>
    <w:uiPriority w:val="9"/>
    <w:rsid w:val="00B614DE"/>
    <w:rPr>
      <w:rFonts w:asciiTheme="majorHAnsi" w:eastAsiaTheme="majorEastAsia" w:hAnsiTheme="majorHAnsi" w:cstheme="majorBidi"/>
      <w:bCs/>
      <w:i/>
    </w:rPr>
  </w:style>
  <w:style w:type="character" w:styleId="Strong">
    <w:name w:val="Strong"/>
    <w:basedOn w:val="DefaultParagraphFont"/>
    <w:uiPriority w:val="22"/>
    <w:qFormat/>
    <w:rsid w:val="007A2C60"/>
    <w:rPr>
      <w:b/>
      <w:bCs/>
    </w:rPr>
  </w:style>
  <w:style w:type="paragraph" w:styleId="ListParagraph">
    <w:name w:val="List Paragraph"/>
    <w:basedOn w:val="Normal"/>
    <w:uiPriority w:val="34"/>
    <w:qFormat/>
    <w:rsid w:val="00265CB2"/>
    <w:pPr>
      <w:spacing w:line="240" w:lineRule="auto"/>
      <w:ind w:left="720" w:hanging="720"/>
      <w:contextualSpacing/>
    </w:pPr>
  </w:style>
  <w:style w:type="character" w:styleId="Hyperlink">
    <w:name w:val="Hyperlink"/>
    <w:basedOn w:val="DefaultParagraphFont"/>
    <w:uiPriority w:val="99"/>
    <w:unhideWhenUsed/>
    <w:rsid w:val="00EE28F9"/>
    <w:rPr>
      <w:color w:val="0000FF" w:themeColor="hyperlink"/>
      <w:u w:val="single"/>
    </w:rPr>
  </w:style>
  <w:style w:type="paragraph" w:styleId="NoSpacing">
    <w:name w:val="No Spacing"/>
    <w:uiPriority w:val="1"/>
    <w:qFormat/>
    <w:rsid w:val="00B55C25"/>
    <w:pPr>
      <w:spacing w:after="240" w:line="240" w:lineRule="auto"/>
      <w:contextualSpacing/>
    </w:pPr>
  </w:style>
  <w:style w:type="table" w:styleId="TableGrid">
    <w:name w:val="Table Grid"/>
    <w:basedOn w:val="TableNormal"/>
    <w:uiPriority w:val="39"/>
    <w:rsid w:val="004E16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6C5BD1"/>
    <w:rPr>
      <w:i/>
      <w:iCs/>
    </w:rPr>
  </w:style>
  <w:style w:type="paragraph" w:styleId="DocumentMap">
    <w:name w:val="Document Map"/>
    <w:basedOn w:val="Normal"/>
    <w:link w:val="DocumentMapChar"/>
    <w:uiPriority w:val="99"/>
    <w:semiHidden/>
    <w:unhideWhenUsed/>
    <w:rsid w:val="006540F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540F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543221">
      <w:bodyDiv w:val="1"/>
      <w:marLeft w:val="0"/>
      <w:marRight w:val="0"/>
      <w:marTop w:val="0"/>
      <w:marBottom w:val="0"/>
      <w:divBdr>
        <w:top w:val="none" w:sz="0" w:space="0" w:color="auto"/>
        <w:left w:val="none" w:sz="0" w:space="0" w:color="auto"/>
        <w:bottom w:val="none" w:sz="0" w:space="0" w:color="auto"/>
        <w:right w:val="none" w:sz="0" w:space="0" w:color="auto"/>
      </w:divBdr>
      <w:divsChild>
        <w:div w:id="1728066017">
          <w:marLeft w:val="0"/>
          <w:marRight w:val="0"/>
          <w:marTop w:val="0"/>
          <w:marBottom w:val="0"/>
          <w:divBdr>
            <w:top w:val="none" w:sz="0" w:space="0" w:color="auto"/>
            <w:left w:val="none" w:sz="0" w:space="0" w:color="auto"/>
            <w:bottom w:val="none" w:sz="0" w:space="0" w:color="auto"/>
            <w:right w:val="none" w:sz="0" w:space="0" w:color="auto"/>
          </w:divBdr>
          <w:divsChild>
            <w:div w:id="595479743">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640422573">
      <w:bodyDiv w:val="1"/>
      <w:marLeft w:val="0"/>
      <w:marRight w:val="0"/>
      <w:marTop w:val="0"/>
      <w:marBottom w:val="0"/>
      <w:divBdr>
        <w:top w:val="none" w:sz="0" w:space="0" w:color="auto"/>
        <w:left w:val="none" w:sz="0" w:space="0" w:color="auto"/>
        <w:bottom w:val="none" w:sz="0" w:space="0" w:color="auto"/>
        <w:right w:val="none" w:sz="0" w:space="0" w:color="auto"/>
      </w:divBdr>
      <w:divsChild>
        <w:div w:id="2014725496">
          <w:marLeft w:val="0"/>
          <w:marRight w:val="0"/>
          <w:marTop w:val="0"/>
          <w:marBottom w:val="0"/>
          <w:divBdr>
            <w:top w:val="none" w:sz="0" w:space="0" w:color="auto"/>
            <w:left w:val="none" w:sz="0" w:space="0" w:color="auto"/>
            <w:bottom w:val="none" w:sz="0" w:space="0" w:color="auto"/>
            <w:right w:val="none" w:sz="0" w:space="0" w:color="auto"/>
          </w:divBdr>
          <w:divsChild>
            <w:div w:id="142129763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653141669">
      <w:bodyDiv w:val="1"/>
      <w:marLeft w:val="0"/>
      <w:marRight w:val="0"/>
      <w:marTop w:val="0"/>
      <w:marBottom w:val="0"/>
      <w:divBdr>
        <w:top w:val="none" w:sz="0" w:space="0" w:color="auto"/>
        <w:left w:val="none" w:sz="0" w:space="0" w:color="auto"/>
        <w:bottom w:val="none" w:sz="0" w:space="0" w:color="auto"/>
        <w:right w:val="none" w:sz="0" w:space="0" w:color="auto"/>
      </w:divBdr>
      <w:divsChild>
        <w:div w:id="1527212257">
          <w:marLeft w:val="0"/>
          <w:marRight w:val="0"/>
          <w:marTop w:val="0"/>
          <w:marBottom w:val="0"/>
          <w:divBdr>
            <w:top w:val="none" w:sz="0" w:space="0" w:color="auto"/>
            <w:left w:val="none" w:sz="0" w:space="0" w:color="auto"/>
            <w:bottom w:val="none" w:sz="0" w:space="0" w:color="auto"/>
            <w:right w:val="none" w:sz="0" w:space="0" w:color="auto"/>
          </w:divBdr>
          <w:divsChild>
            <w:div w:id="1737818478">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705561624">
      <w:bodyDiv w:val="1"/>
      <w:marLeft w:val="0"/>
      <w:marRight w:val="0"/>
      <w:marTop w:val="0"/>
      <w:marBottom w:val="0"/>
      <w:divBdr>
        <w:top w:val="none" w:sz="0" w:space="0" w:color="auto"/>
        <w:left w:val="none" w:sz="0" w:space="0" w:color="auto"/>
        <w:bottom w:val="none" w:sz="0" w:space="0" w:color="auto"/>
        <w:right w:val="none" w:sz="0" w:space="0" w:color="auto"/>
      </w:divBdr>
      <w:divsChild>
        <w:div w:id="1601643420">
          <w:marLeft w:val="0"/>
          <w:marRight w:val="0"/>
          <w:marTop w:val="0"/>
          <w:marBottom w:val="0"/>
          <w:divBdr>
            <w:top w:val="none" w:sz="0" w:space="0" w:color="auto"/>
            <w:left w:val="none" w:sz="0" w:space="0" w:color="auto"/>
            <w:bottom w:val="none" w:sz="0" w:space="0" w:color="auto"/>
            <w:right w:val="none" w:sz="0" w:space="0" w:color="auto"/>
          </w:divBdr>
          <w:divsChild>
            <w:div w:id="182708837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769282388">
      <w:bodyDiv w:val="1"/>
      <w:marLeft w:val="0"/>
      <w:marRight w:val="0"/>
      <w:marTop w:val="0"/>
      <w:marBottom w:val="0"/>
      <w:divBdr>
        <w:top w:val="none" w:sz="0" w:space="0" w:color="auto"/>
        <w:left w:val="none" w:sz="0" w:space="0" w:color="auto"/>
        <w:bottom w:val="none" w:sz="0" w:space="0" w:color="auto"/>
        <w:right w:val="none" w:sz="0" w:space="0" w:color="auto"/>
      </w:divBdr>
      <w:divsChild>
        <w:div w:id="209923403">
          <w:marLeft w:val="0"/>
          <w:marRight w:val="0"/>
          <w:marTop w:val="0"/>
          <w:marBottom w:val="0"/>
          <w:divBdr>
            <w:top w:val="none" w:sz="0" w:space="0" w:color="auto"/>
            <w:left w:val="none" w:sz="0" w:space="0" w:color="auto"/>
            <w:bottom w:val="none" w:sz="0" w:space="0" w:color="auto"/>
            <w:right w:val="none" w:sz="0" w:space="0" w:color="auto"/>
          </w:divBdr>
          <w:divsChild>
            <w:div w:id="630593591">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786700346">
      <w:bodyDiv w:val="1"/>
      <w:marLeft w:val="0"/>
      <w:marRight w:val="0"/>
      <w:marTop w:val="0"/>
      <w:marBottom w:val="0"/>
      <w:divBdr>
        <w:top w:val="none" w:sz="0" w:space="0" w:color="auto"/>
        <w:left w:val="none" w:sz="0" w:space="0" w:color="auto"/>
        <w:bottom w:val="none" w:sz="0" w:space="0" w:color="auto"/>
        <w:right w:val="none" w:sz="0" w:space="0" w:color="auto"/>
      </w:divBdr>
      <w:divsChild>
        <w:div w:id="2085374982">
          <w:marLeft w:val="0"/>
          <w:marRight w:val="0"/>
          <w:marTop w:val="0"/>
          <w:marBottom w:val="0"/>
          <w:divBdr>
            <w:top w:val="none" w:sz="0" w:space="0" w:color="auto"/>
            <w:left w:val="none" w:sz="0" w:space="0" w:color="auto"/>
            <w:bottom w:val="none" w:sz="0" w:space="0" w:color="auto"/>
            <w:right w:val="none" w:sz="0" w:space="0" w:color="auto"/>
          </w:divBdr>
          <w:divsChild>
            <w:div w:id="874537487">
              <w:marLeft w:val="0"/>
              <w:marRight w:val="42"/>
              <w:marTop w:val="0"/>
              <w:marBottom w:val="0"/>
              <w:divBdr>
                <w:top w:val="none" w:sz="0" w:space="0" w:color="auto"/>
                <w:left w:val="none" w:sz="0" w:space="0" w:color="auto"/>
                <w:bottom w:val="none" w:sz="0" w:space="0" w:color="auto"/>
                <w:right w:val="none" w:sz="0" w:space="0" w:color="auto"/>
              </w:divBdr>
            </w:div>
          </w:divsChild>
        </w:div>
      </w:divsChild>
    </w:div>
    <w:div w:id="818039719">
      <w:bodyDiv w:val="1"/>
      <w:marLeft w:val="0"/>
      <w:marRight w:val="0"/>
      <w:marTop w:val="0"/>
      <w:marBottom w:val="0"/>
      <w:divBdr>
        <w:top w:val="none" w:sz="0" w:space="0" w:color="auto"/>
        <w:left w:val="none" w:sz="0" w:space="0" w:color="auto"/>
        <w:bottom w:val="none" w:sz="0" w:space="0" w:color="auto"/>
        <w:right w:val="none" w:sz="0" w:space="0" w:color="auto"/>
      </w:divBdr>
      <w:divsChild>
        <w:div w:id="207645488">
          <w:marLeft w:val="0"/>
          <w:marRight w:val="0"/>
          <w:marTop w:val="0"/>
          <w:marBottom w:val="0"/>
          <w:divBdr>
            <w:top w:val="none" w:sz="0" w:space="0" w:color="auto"/>
            <w:left w:val="none" w:sz="0" w:space="0" w:color="auto"/>
            <w:bottom w:val="none" w:sz="0" w:space="0" w:color="auto"/>
            <w:right w:val="none" w:sz="0" w:space="0" w:color="auto"/>
          </w:divBdr>
          <w:divsChild>
            <w:div w:id="1685090622">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852105767">
      <w:bodyDiv w:val="1"/>
      <w:marLeft w:val="0"/>
      <w:marRight w:val="0"/>
      <w:marTop w:val="0"/>
      <w:marBottom w:val="0"/>
      <w:divBdr>
        <w:top w:val="none" w:sz="0" w:space="0" w:color="auto"/>
        <w:left w:val="none" w:sz="0" w:space="0" w:color="auto"/>
        <w:bottom w:val="none" w:sz="0" w:space="0" w:color="auto"/>
        <w:right w:val="none" w:sz="0" w:space="0" w:color="auto"/>
      </w:divBdr>
      <w:divsChild>
        <w:div w:id="1541627872">
          <w:marLeft w:val="0"/>
          <w:marRight w:val="0"/>
          <w:marTop w:val="0"/>
          <w:marBottom w:val="0"/>
          <w:divBdr>
            <w:top w:val="none" w:sz="0" w:space="0" w:color="auto"/>
            <w:left w:val="none" w:sz="0" w:space="0" w:color="auto"/>
            <w:bottom w:val="none" w:sz="0" w:space="0" w:color="auto"/>
            <w:right w:val="none" w:sz="0" w:space="0" w:color="auto"/>
          </w:divBdr>
          <w:divsChild>
            <w:div w:id="13934976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870843316">
      <w:bodyDiv w:val="1"/>
      <w:marLeft w:val="0"/>
      <w:marRight w:val="0"/>
      <w:marTop w:val="0"/>
      <w:marBottom w:val="0"/>
      <w:divBdr>
        <w:top w:val="none" w:sz="0" w:space="0" w:color="auto"/>
        <w:left w:val="none" w:sz="0" w:space="0" w:color="auto"/>
        <w:bottom w:val="none" w:sz="0" w:space="0" w:color="auto"/>
        <w:right w:val="none" w:sz="0" w:space="0" w:color="auto"/>
      </w:divBdr>
      <w:divsChild>
        <w:div w:id="337580655">
          <w:marLeft w:val="0"/>
          <w:marRight w:val="0"/>
          <w:marTop w:val="0"/>
          <w:marBottom w:val="0"/>
          <w:divBdr>
            <w:top w:val="none" w:sz="0" w:space="0" w:color="auto"/>
            <w:left w:val="none" w:sz="0" w:space="0" w:color="auto"/>
            <w:bottom w:val="none" w:sz="0" w:space="0" w:color="auto"/>
            <w:right w:val="none" w:sz="0" w:space="0" w:color="auto"/>
          </w:divBdr>
          <w:divsChild>
            <w:div w:id="134408775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894002692">
      <w:bodyDiv w:val="1"/>
      <w:marLeft w:val="0"/>
      <w:marRight w:val="0"/>
      <w:marTop w:val="0"/>
      <w:marBottom w:val="0"/>
      <w:divBdr>
        <w:top w:val="none" w:sz="0" w:space="0" w:color="auto"/>
        <w:left w:val="none" w:sz="0" w:space="0" w:color="auto"/>
        <w:bottom w:val="none" w:sz="0" w:space="0" w:color="auto"/>
        <w:right w:val="none" w:sz="0" w:space="0" w:color="auto"/>
      </w:divBdr>
      <w:divsChild>
        <w:div w:id="1450004533">
          <w:marLeft w:val="0"/>
          <w:marRight w:val="0"/>
          <w:marTop w:val="0"/>
          <w:marBottom w:val="0"/>
          <w:divBdr>
            <w:top w:val="none" w:sz="0" w:space="0" w:color="auto"/>
            <w:left w:val="none" w:sz="0" w:space="0" w:color="auto"/>
            <w:bottom w:val="none" w:sz="0" w:space="0" w:color="auto"/>
            <w:right w:val="none" w:sz="0" w:space="0" w:color="auto"/>
          </w:divBdr>
          <w:divsChild>
            <w:div w:id="1775206261">
              <w:marLeft w:val="0"/>
              <w:marRight w:val="0"/>
              <w:marTop w:val="0"/>
              <w:marBottom w:val="0"/>
              <w:divBdr>
                <w:top w:val="none" w:sz="0" w:space="0" w:color="auto"/>
                <w:left w:val="none" w:sz="0" w:space="0" w:color="auto"/>
                <w:bottom w:val="none" w:sz="0" w:space="0" w:color="auto"/>
                <w:right w:val="none" w:sz="0" w:space="0" w:color="auto"/>
              </w:divBdr>
              <w:divsChild>
                <w:div w:id="1884516830">
                  <w:marLeft w:val="0"/>
                  <w:marRight w:val="0"/>
                  <w:marTop w:val="0"/>
                  <w:marBottom w:val="0"/>
                  <w:divBdr>
                    <w:top w:val="none" w:sz="0" w:space="0" w:color="auto"/>
                    <w:left w:val="none" w:sz="0" w:space="0" w:color="auto"/>
                    <w:bottom w:val="none" w:sz="0" w:space="0" w:color="auto"/>
                    <w:right w:val="none" w:sz="0" w:space="0" w:color="auto"/>
                  </w:divBdr>
                </w:div>
                <w:div w:id="1977566536">
                  <w:marLeft w:val="0"/>
                  <w:marRight w:val="0"/>
                  <w:marTop w:val="0"/>
                  <w:marBottom w:val="0"/>
                  <w:divBdr>
                    <w:top w:val="none" w:sz="0" w:space="0" w:color="auto"/>
                    <w:left w:val="none" w:sz="0" w:space="0" w:color="auto"/>
                    <w:bottom w:val="none" w:sz="0" w:space="0" w:color="auto"/>
                    <w:right w:val="none" w:sz="0" w:space="0" w:color="auto"/>
                  </w:divBdr>
                </w:div>
              </w:divsChild>
            </w:div>
            <w:div w:id="795564020">
              <w:marLeft w:val="0"/>
              <w:marRight w:val="0"/>
              <w:marTop w:val="0"/>
              <w:marBottom w:val="0"/>
              <w:divBdr>
                <w:top w:val="none" w:sz="0" w:space="0" w:color="auto"/>
                <w:left w:val="none" w:sz="0" w:space="0" w:color="auto"/>
                <w:bottom w:val="none" w:sz="0" w:space="0" w:color="auto"/>
                <w:right w:val="none" w:sz="0" w:space="0" w:color="auto"/>
              </w:divBdr>
              <w:divsChild>
                <w:div w:id="1700546348">
                  <w:marLeft w:val="0"/>
                  <w:marRight w:val="0"/>
                  <w:marTop w:val="0"/>
                  <w:marBottom w:val="0"/>
                  <w:divBdr>
                    <w:top w:val="none" w:sz="0" w:space="0" w:color="auto"/>
                    <w:left w:val="none" w:sz="0" w:space="0" w:color="auto"/>
                    <w:bottom w:val="none" w:sz="0" w:space="0" w:color="auto"/>
                    <w:right w:val="none" w:sz="0" w:space="0" w:color="auto"/>
                  </w:divBdr>
                </w:div>
                <w:div w:id="242495829">
                  <w:marLeft w:val="0"/>
                  <w:marRight w:val="0"/>
                  <w:marTop w:val="0"/>
                  <w:marBottom w:val="0"/>
                  <w:divBdr>
                    <w:top w:val="none" w:sz="0" w:space="0" w:color="auto"/>
                    <w:left w:val="none" w:sz="0" w:space="0" w:color="auto"/>
                    <w:bottom w:val="none" w:sz="0" w:space="0" w:color="auto"/>
                    <w:right w:val="none" w:sz="0" w:space="0" w:color="auto"/>
                  </w:divBdr>
                </w:div>
              </w:divsChild>
            </w:div>
            <w:div w:id="68886997">
              <w:marLeft w:val="0"/>
              <w:marRight w:val="0"/>
              <w:marTop w:val="0"/>
              <w:marBottom w:val="0"/>
              <w:divBdr>
                <w:top w:val="none" w:sz="0" w:space="0" w:color="auto"/>
                <w:left w:val="none" w:sz="0" w:space="0" w:color="auto"/>
                <w:bottom w:val="none" w:sz="0" w:space="0" w:color="auto"/>
                <w:right w:val="none" w:sz="0" w:space="0" w:color="auto"/>
              </w:divBdr>
              <w:divsChild>
                <w:div w:id="1156606396">
                  <w:marLeft w:val="0"/>
                  <w:marRight w:val="0"/>
                  <w:marTop w:val="0"/>
                  <w:marBottom w:val="0"/>
                  <w:divBdr>
                    <w:top w:val="none" w:sz="0" w:space="0" w:color="auto"/>
                    <w:left w:val="none" w:sz="0" w:space="0" w:color="auto"/>
                    <w:bottom w:val="none" w:sz="0" w:space="0" w:color="auto"/>
                    <w:right w:val="none" w:sz="0" w:space="0" w:color="auto"/>
                  </w:divBdr>
                </w:div>
                <w:div w:id="1729382322">
                  <w:marLeft w:val="0"/>
                  <w:marRight w:val="0"/>
                  <w:marTop w:val="0"/>
                  <w:marBottom w:val="0"/>
                  <w:divBdr>
                    <w:top w:val="none" w:sz="0" w:space="0" w:color="auto"/>
                    <w:left w:val="none" w:sz="0" w:space="0" w:color="auto"/>
                    <w:bottom w:val="none" w:sz="0" w:space="0" w:color="auto"/>
                    <w:right w:val="none" w:sz="0" w:space="0" w:color="auto"/>
                  </w:divBdr>
                </w:div>
              </w:divsChild>
            </w:div>
            <w:div w:id="1483737604">
              <w:marLeft w:val="0"/>
              <w:marRight w:val="0"/>
              <w:marTop w:val="0"/>
              <w:marBottom w:val="0"/>
              <w:divBdr>
                <w:top w:val="none" w:sz="0" w:space="0" w:color="auto"/>
                <w:left w:val="none" w:sz="0" w:space="0" w:color="auto"/>
                <w:bottom w:val="none" w:sz="0" w:space="0" w:color="auto"/>
                <w:right w:val="none" w:sz="0" w:space="0" w:color="auto"/>
              </w:divBdr>
              <w:divsChild>
                <w:div w:id="2138448442">
                  <w:marLeft w:val="0"/>
                  <w:marRight w:val="0"/>
                  <w:marTop w:val="0"/>
                  <w:marBottom w:val="0"/>
                  <w:divBdr>
                    <w:top w:val="none" w:sz="0" w:space="0" w:color="auto"/>
                    <w:left w:val="none" w:sz="0" w:space="0" w:color="auto"/>
                    <w:bottom w:val="none" w:sz="0" w:space="0" w:color="auto"/>
                    <w:right w:val="none" w:sz="0" w:space="0" w:color="auto"/>
                  </w:divBdr>
                </w:div>
                <w:div w:id="6078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088039">
          <w:marLeft w:val="0"/>
          <w:marRight w:val="0"/>
          <w:marTop w:val="0"/>
          <w:marBottom w:val="0"/>
          <w:divBdr>
            <w:top w:val="none" w:sz="0" w:space="0" w:color="auto"/>
            <w:left w:val="none" w:sz="0" w:space="0" w:color="auto"/>
            <w:bottom w:val="none" w:sz="0" w:space="0" w:color="auto"/>
            <w:right w:val="none" w:sz="0" w:space="0" w:color="auto"/>
          </w:divBdr>
        </w:div>
        <w:div w:id="993754948">
          <w:marLeft w:val="0"/>
          <w:marRight w:val="0"/>
          <w:marTop w:val="0"/>
          <w:marBottom w:val="0"/>
          <w:divBdr>
            <w:top w:val="none" w:sz="0" w:space="0" w:color="auto"/>
            <w:left w:val="none" w:sz="0" w:space="0" w:color="auto"/>
            <w:bottom w:val="none" w:sz="0" w:space="0" w:color="auto"/>
            <w:right w:val="none" w:sz="0" w:space="0" w:color="auto"/>
          </w:divBdr>
        </w:div>
        <w:div w:id="316225611">
          <w:marLeft w:val="0"/>
          <w:marRight w:val="0"/>
          <w:marTop w:val="0"/>
          <w:marBottom w:val="0"/>
          <w:divBdr>
            <w:top w:val="none" w:sz="0" w:space="0" w:color="auto"/>
            <w:left w:val="none" w:sz="0" w:space="0" w:color="auto"/>
            <w:bottom w:val="none" w:sz="0" w:space="0" w:color="auto"/>
            <w:right w:val="none" w:sz="0" w:space="0" w:color="auto"/>
          </w:divBdr>
        </w:div>
        <w:div w:id="982810468">
          <w:marLeft w:val="0"/>
          <w:marRight w:val="0"/>
          <w:marTop w:val="0"/>
          <w:marBottom w:val="0"/>
          <w:divBdr>
            <w:top w:val="none" w:sz="0" w:space="0" w:color="auto"/>
            <w:left w:val="none" w:sz="0" w:space="0" w:color="auto"/>
            <w:bottom w:val="none" w:sz="0" w:space="0" w:color="auto"/>
            <w:right w:val="none" w:sz="0" w:space="0" w:color="auto"/>
          </w:divBdr>
        </w:div>
        <w:div w:id="1476608266">
          <w:marLeft w:val="0"/>
          <w:marRight w:val="0"/>
          <w:marTop w:val="0"/>
          <w:marBottom w:val="0"/>
          <w:divBdr>
            <w:top w:val="none" w:sz="0" w:space="0" w:color="auto"/>
            <w:left w:val="none" w:sz="0" w:space="0" w:color="auto"/>
            <w:bottom w:val="none" w:sz="0" w:space="0" w:color="auto"/>
            <w:right w:val="none" w:sz="0" w:space="0" w:color="auto"/>
          </w:divBdr>
        </w:div>
      </w:divsChild>
    </w:div>
    <w:div w:id="909193622">
      <w:bodyDiv w:val="1"/>
      <w:marLeft w:val="0"/>
      <w:marRight w:val="0"/>
      <w:marTop w:val="0"/>
      <w:marBottom w:val="0"/>
      <w:divBdr>
        <w:top w:val="none" w:sz="0" w:space="0" w:color="auto"/>
        <w:left w:val="none" w:sz="0" w:space="0" w:color="auto"/>
        <w:bottom w:val="none" w:sz="0" w:space="0" w:color="auto"/>
        <w:right w:val="none" w:sz="0" w:space="0" w:color="auto"/>
      </w:divBdr>
      <w:divsChild>
        <w:div w:id="1314068450">
          <w:marLeft w:val="0"/>
          <w:marRight w:val="0"/>
          <w:marTop w:val="0"/>
          <w:marBottom w:val="0"/>
          <w:divBdr>
            <w:top w:val="none" w:sz="0" w:space="0" w:color="auto"/>
            <w:left w:val="none" w:sz="0" w:space="0" w:color="auto"/>
            <w:bottom w:val="none" w:sz="0" w:space="0" w:color="auto"/>
            <w:right w:val="none" w:sz="0" w:space="0" w:color="auto"/>
          </w:divBdr>
          <w:divsChild>
            <w:div w:id="1868056636">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148592129">
      <w:bodyDiv w:val="1"/>
      <w:marLeft w:val="0"/>
      <w:marRight w:val="0"/>
      <w:marTop w:val="0"/>
      <w:marBottom w:val="0"/>
      <w:divBdr>
        <w:top w:val="none" w:sz="0" w:space="0" w:color="auto"/>
        <w:left w:val="none" w:sz="0" w:space="0" w:color="auto"/>
        <w:bottom w:val="none" w:sz="0" w:space="0" w:color="auto"/>
        <w:right w:val="none" w:sz="0" w:space="0" w:color="auto"/>
      </w:divBdr>
    </w:div>
    <w:div w:id="1178693456">
      <w:bodyDiv w:val="1"/>
      <w:marLeft w:val="0"/>
      <w:marRight w:val="0"/>
      <w:marTop w:val="0"/>
      <w:marBottom w:val="0"/>
      <w:divBdr>
        <w:top w:val="none" w:sz="0" w:space="0" w:color="auto"/>
        <w:left w:val="none" w:sz="0" w:space="0" w:color="auto"/>
        <w:bottom w:val="none" w:sz="0" w:space="0" w:color="auto"/>
        <w:right w:val="none" w:sz="0" w:space="0" w:color="auto"/>
      </w:divBdr>
      <w:divsChild>
        <w:div w:id="933123450">
          <w:marLeft w:val="0"/>
          <w:marRight w:val="0"/>
          <w:marTop w:val="0"/>
          <w:marBottom w:val="0"/>
          <w:divBdr>
            <w:top w:val="none" w:sz="0" w:space="0" w:color="auto"/>
            <w:left w:val="none" w:sz="0" w:space="0" w:color="auto"/>
            <w:bottom w:val="none" w:sz="0" w:space="0" w:color="auto"/>
            <w:right w:val="none" w:sz="0" w:space="0" w:color="auto"/>
          </w:divBdr>
          <w:divsChild>
            <w:div w:id="48524964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397171345">
      <w:bodyDiv w:val="1"/>
      <w:marLeft w:val="0"/>
      <w:marRight w:val="0"/>
      <w:marTop w:val="0"/>
      <w:marBottom w:val="0"/>
      <w:divBdr>
        <w:top w:val="none" w:sz="0" w:space="0" w:color="auto"/>
        <w:left w:val="none" w:sz="0" w:space="0" w:color="auto"/>
        <w:bottom w:val="none" w:sz="0" w:space="0" w:color="auto"/>
        <w:right w:val="none" w:sz="0" w:space="0" w:color="auto"/>
      </w:divBdr>
      <w:divsChild>
        <w:div w:id="1456630870">
          <w:marLeft w:val="0"/>
          <w:marRight w:val="0"/>
          <w:marTop w:val="0"/>
          <w:marBottom w:val="0"/>
          <w:divBdr>
            <w:top w:val="none" w:sz="0" w:space="0" w:color="auto"/>
            <w:left w:val="none" w:sz="0" w:space="0" w:color="auto"/>
            <w:bottom w:val="none" w:sz="0" w:space="0" w:color="auto"/>
            <w:right w:val="none" w:sz="0" w:space="0" w:color="auto"/>
          </w:divBdr>
          <w:divsChild>
            <w:div w:id="1176578947">
              <w:marLeft w:val="0"/>
              <w:marRight w:val="42"/>
              <w:marTop w:val="0"/>
              <w:marBottom w:val="0"/>
              <w:divBdr>
                <w:top w:val="none" w:sz="0" w:space="0" w:color="auto"/>
                <w:left w:val="none" w:sz="0" w:space="0" w:color="auto"/>
                <w:bottom w:val="none" w:sz="0" w:space="0" w:color="auto"/>
                <w:right w:val="none" w:sz="0" w:space="0" w:color="auto"/>
              </w:divBdr>
            </w:div>
          </w:divsChild>
        </w:div>
      </w:divsChild>
    </w:div>
    <w:div w:id="1412505128">
      <w:bodyDiv w:val="1"/>
      <w:marLeft w:val="0"/>
      <w:marRight w:val="0"/>
      <w:marTop w:val="0"/>
      <w:marBottom w:val="0"/>
      <w:divBdr>
        <w:top w:val="none" w:sz="0" w:space="0" w:color="auto"/>
        <w:left w:val="none" w:sz="0" w:space="0" w:color="auto"/>
        <w:bottom w:val="none" w:sz="0" w:space="0" w:color="auto"/>
        <w:right w:val="none" w:sz="0" w:space="0" w:color="auto"/>
      </w:divBdr>
      <w:divsChild>
        <w:div w:id="987326854">
          <w:marLeft w:val="0"/>
          <w:marRight w:val="0"/>
          <w:marTop w:val="0"/>
          <w:marBottom w:val="0"/>
          <w:divBdr>
            <w:top w:val="none" w:sz="0" w:space="0" w:color="auto"/>
            <w:left w:val="none" w:sz="0" w:space="0" w:color="auto"/>
            <w:bottom w:val="none" w:sz="0" w:space="0" w:color="auto"/>
            <w:right w:val="none" w:sz="0" w:space="0" w:color="auto"/>
          </w:divBdr>
          <w:divsChild>
            <w:div w:id="50063011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469712291">
      <w:bodyDiv w:val="1"/>
      <w:marLeft w:val="0"/>
      <w:marRight w:val="0"/>
      <w:marTop w:val="0"/>
      <w:marBottom w:val="0"/>
      <w:divBdr>
        <w:top w:val="none" w:sz="0" w:space="0" w:color="auto"/>
        <w:left w:val="none" w:sz="0" w:space="0" w:color="auto"/>
        <w:bottom w:val="none" w:sz="0" w:space="0" w:color="auto"/>
        <w:right w:val="none" w:sz="0" w:space="0" w:color="auto"/>
      </w:divBdr>
    </w:div>
    <w:div w:id="1653756178">
      <w:bodyDiv w:val="1"/>
      <w:marLeft w:val="0"/>
      <w:marRight w:val="0"/>
      <w:marTop w:val="0"/>
      <w:marBottom w:val="0"/>
      <w:divBdr>
        <w:top w:val="none" w:sz="0" w:space="0" w:color="auto"/>
        <w:left w:val="none" w:sz="0" w:space="0" w:color="auto"/>
        <w:bottom w:val="none" w:sz="0" w:space="0" w:color="auto"/>
        <w:right w:val="none" w:sz="0" w:space="0" w:color="auto"/>
      </w:divBdr>
      <w:divsChild>
        <w:div w:id="1779451391">
          <w:marLeft w:val="0"/>
          <w:marRight w:val="0"/>
          <w:marTop w:val="0"/>
          <w:marBottom w:val="0"/>
          <w:divBdr>
            <w:top w:val="none" w:sz="0" w:space="0" w:color="auto"/>
            <w:left w:val="none" w:sz="0" w:space="0" w:color="auto"/>
            <w:bottom w:val="none" w:sz="0" w:space="0" w:color="auto"/>
            <w:right w:val="none" w:sz="0" w:space="0" w:color="auto"/>
          </w:divBdr>
          <w:divsChild>
            <w:div w:id="1196624202">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697151754">
      <w:bodyDiv w:val="1"/>
      <w:marLeft w:val="0"/>
      <w:marRight w:val="0"/>
      <w:marTop w:val="0"/>
      <w:marBottom w:val="0"/>
      <w:divBdr>
        <w:top w:val="none" w:sz="0" w:space="0" w:color="auto"/>
        <w:left w:val="none" w:sz="0" w:space="0" w:color="auto"/>
        <w:bottom w:val="none" w:sz="0" w:space="0" w:color="auto"/>
        <w:right w:val="none" w:sz="0" w:space="0" w:color="auto"/>
      </w:divBdr>
      <w:divsChild>
        <w:div w:id="1167018455">
          <w:marLeft w:val="0"/>
          <w:marRight w:val="0"/>
          <w:marTop w:val="0"/>
          <w:marBottom w:val="0"/>
          <w:divBdr>
            <w:top w:val="none" w:sz="0" w:space="0" w:color="auto"/>
            <w:left w:val="none" w:sz="0" w:space="0" w:color="auto"/>
            <w:bottom w:val="none" w:sz="0" w:space="0" w:color="auto"/>
            <w:right w:val="none" w:sz="0" w:space="0" w:color="auto"/>
          </w:divBdr>
          <w:divsChild>
            <w:div w:id="1210922326">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862234127">
      <w:bodyDiv w:val="1"/>
      <w:marLeft w:val="0"/>
      <w:marRight w:val="0"/>
      <w:marTop w:val="0"/>
      <w:marBottom w:val="0"/>
      <w:divBdr>
        <w:top w:val="none" w:sz="0" w:space="0" w:color="auto"/>
        <w:left w:val="none" w:sz="0" w:space="0" w:color="auto"/>
        <w:bottom w:val="none" w:sz="0" w:space="0" w:color="auto"/>
        <w:right w:val="none" w:sz="0" w:space="0" w:color="auto"/>
      </w:divBdr>
      <w:divsChild>
        <w:div w:id="1966109013">
          <w:marLeft w:val="0"/>
          <w:marRight w:val="0"/>
          <w:marTop w:val="0"/>
          <w:marBottom w:val="0"/>
          <w:divBdr>
            <w:top w:val="none" w:sz="0" w:space="0" w:color="auto"/>
            <w:left w:val="none" w:sz="0" w:space="0" w:color="auto"/>
            <w:bottom w:val="none" w:sz="0" w:space="0" w:color="auto"/>
            <w:right w:val="none" w:sz="0" w:space="0" w:color="auto"/>
          </w:divBdr>
          <w:divsChild>
            <w:div w:id="35740781">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2079403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hyperlink" Target="https://doi.org/10.1046/j.1365-3091.2000.00305.x" TargetMode="External"/><Relationship Id="rId47" Type="http://schemas.openxmlformats.org/officeDocument/2006/relationships/hyperlink" Target="https://doi.org/10.1016/j.marpetgeo.2018.03.040" TargetMode="External"/><Relationship Id="rId63" Type="http://schemas.openxmlformats.org/officeDocument/2006/relationships/hyperlink" Target="https://doi.org/10.2110/jsr.2012.8" TargetMode="External"/><Relationship Id="rId68" Type="http://schemas.openxmlformats.org/officeDocument/2006/relationships/hyperlink" Target="https://doi.org/10.1144/1354-079305-697" TargetMode="External"/><Relationship Id="rId84" Type="http://schemas.openxmlformats.org/officeDocument/2006/relationships/hyperlink" Target="https://doi.org/10.1306/04211009178" TargetMode="External"/><Relationship Id="rId89" Type="http://schemas.openxmlformats.org/officeDocument/2006/relationships/hyperlink" Target="https://doi.org/10.1306/02010706102" TargetMode="External"/><Relationship Id="rId7" Type="http://schemas.openxmlformats.org/officeDocument/2006/relationships/endnotes" Target="endnotes.xml"/><Relationship Id="rId71" Type="http://schemas.openxmlformats.org/officeDocument/2006/relationships/hyperlink" Target="https://doi.org/10.1144/GSL.SP.1993.073.01.09" TargetMode="External"/><Relationship Id="rId92" Type="http://schemas.openxmlformats.org/officeDocument/2006/relationships/hyperlink" Target="https://doi.org/10.1016/S0169-555X(00)00080-5"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yperlink" Target="https://doi.org/10.2110/jsr.2005.080" TargetMode="External"/><Relationship Id="rId45" Type="http://schemas.openxmlformats.org/officeDocument/2006/relationships/hyperlink" Target="https://doi.org/10.1002/9781444304213.ch17" TargetMode="External"/><Relationship Id="rId53" Type="http://schemas.openxmlformats.org/officeDocument/2006/relationships/hyperlink" Target="https://doi.org/10.1016/j.marpetgeo.2017.01.024" TargetMode="External"/><Relationship Id="rId58" Type="http://schemas.openxmlformats.org/officeDocument/2006/relationships/hyperlink" Target="https://doi.org/10.1111/sed.12081" TargetMode="External"/><Relationship Id="rId66" Type="http://schemas.openxmlformats.org/officeDocument/2006/relationships/hyperlink" Target="https://doi.org/10.3997/2214-4609.201412862" TargetMode="External"/><Relationship Id="rId74" Type="http://schemas.openxmlformats.org/officeDocument/2006/relationships/hyperlink" Target="https://doi.org/10.1144/SP292.18" TargetMode="External"/><Relationship Id="rId79" Type="http://schemas.openxmlformats.org/officeDocument/2006/relationships/hyperlink" Target="https://doi.org/10.1144/GSL.SP.1993.075.01.19" TargetMode="External"/><Relationship Id="rId87" Type="http://schemas.openxmlformats.org/officeDocument/2006/relationships/hyperlink" Target="https://doi.org/10.1016/j.geomorph.2013.09.021"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oi.org/10.1016/j.rse.2017.06.031" TargetMode="External"/><Relationship Id="rId82" Type="http://schemas.openxmlformats.org/officeDocument/2006/relationships/hyperlink" Target="https://doi.org/10.1306/111502730531" TargetMode="External"/><Relationship Id="rId90" Type="http://schemas.openxmlformats.org/officeDocument/2006/relationships/hyperlink" Target="https://doi.org/10.1144/1354-079309-028" TargetMode="External"/><Relationship Id="rId95" Type="http://schemas.openxmlformats.org/officeDocument/2006/relationships/hyperlink" Target="https://doi.org/10.1016/j.geomorph.2013.07.025" TargetMode="External"/><Relationship Id="rId19" Type="http://schemas.openxmlformats.org/officeDocument/2006/relationships/image" Target="media/image10.jpeg"/><Relationship Id="rId14" Type="http://schemas.openxmlformats.org/officeDocument/2006/relationships/footer" Target="footer1.xm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s://doi.org/10.1016/j.jsg.2014.10.007" TargetMode="External"/><Relationship Id="rId48" Type="http://schemas.openxmlformats.org/officeDocument/2006/relationships/hyperlink" Target="https://doi.org/10.1016/0037-0738(69)90010-4" TargetMode="External"/><Relationship Id="rId56" Type="http://schemas.openxmlformats.org/officeDocument/2006/relationships/hyperlink" Target="https://doi.org/10.1144/SP488.2" TargetMode="External"/><Relationship Id="rId64" Type="http://schemas.openxmlformats.org/officeDocument/2006/relationships/hyperlink" Target="https://doi.org/10.1144/0016-764904-059" TargetMode="External"/><Relationship Id="rId69" Type="http://schemas.openxmlformats.org/officeDocument/2006/relationships/hyperlink" Target="https://doi.org/10.1144/SP387.12" TargetMode="External"/><Relationship Id="rId77" Type="http://schemas.openxmlformats.org/officeDocument/2006/relationships/hyperlink" Target="https://doi.org/10.1016/j.sedgeo.2006.10.005" TargetMode="External"/><Relationship Id="rId100" Type="http://schemas.openxmlformats.org/officeDocument/2006/relationships/hyperlink" Target="https://doi.org/10.1016/j.marpetgeo.2018.09.031" TargetMode="External"/><Relationship Id="rId8" Type="http://schemas.openxmlformats.org/officeDocument/2006/relationships/hyperlink" Target="mailto:a.j.mitten@keele.ac.uk" TargetMode="External"/><Relationship Id="rId51" Type="http://schemas.openxmlformats.org/officeDocument/2006/relationships/hyperlink" Target="https://doi.org/10.1016/j.marpetgeo.2016.03.027" TargetMode="External"/><Relationship Id="rId72" Type="http://schemas.openxmlformats.org/officeDocument/2006/relationships/hyperlink" Target="https://doi.org/10.2110/jsr.2015.82" TargetMode="External"/><Relationship Id="rId80" Type="http://schemas.openxmlformats.org/officeDocument/2006/relationships/hyperlink" Target="https://doi.org/10.1306/D4267F78-2B26-11D7-8648000102C1865D" TargetMode="External"/><Relationship Id="rId85" Type="http://schemas.openxmlformats.org/officeDocument/2006/relationships/hyperlink" Target="https://doi.org/10.1306/D426822A-2B26-11D7-8648000102C1865D" TargetMode="External"/><Relationship Id="rId93" Type="http://schemas.openxmlformats.org/officeDocument/2006/relationships/hyperlink" Target="https://doi.org/10.1144/SP309.9" TargetMode="External"/><Relationship Id="rId98" Type="http://schemas.openxmlformats.org/officeDocument/2006/relationships/hyperlink" Target="https://doi.org/10.1144/petgeo2015-004"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yperlink" Target="https://doi.org/10.1016/j.sedgeo.2017.02.003" TargetMode="External"/><Relationship Id="rId59" Type="http://schemas.openxmlformats.org/officeDocument/2006/relationships/hyperlink" Target="https://doi.org/10.1111/sed.12389" TargetMode="External"/><Relationship Id="rId67" Type="http://schemas.openxmlformats.org/officeDocument/2006/relationships/hyperlink" Target="https://doi.org/10.1016/S0037-0738(99)00103-7" TargetMode="External"/><Relationship Id="rId103"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hyperlink" Target="https://doi.org/10.1016/0037-0738(83)90076-3" TargetMode="External"/><Relationship Id="rId54" Type="http://schemas.openxmlformats.org/officeDocument/2006/relationships/hyperlink" Target="https://doi.org/10.1016/j.cageo.2011.07.009" TargetMode="External"/><Relationship Id="rId62" Type="http://schemas.openxmlformats.org/officeDocument/2006/relationships/hyperlink" Target="https://doi.org/10.1016/j.cageo.2011.03.002" TargetMode="External"/><Relationship Id="rId70" Type="http://schemas.openxmlformats.org/officeDocument/2006/relationships/hyperlink" Target="https://doi.org/10.1111/sed.12122" TargetMode="External"/><Relationship Id="rId75" Type="http://schemas.openxmlformats.org/officeDocument/2006/relationships/hyperlink" Target="https://doi.org/10.1002/esp.3482" TargetMode="External"/><Relationship Id="rId83" Type="http://schemas.openxmlformats.org/officeDocument/2006/relationships/hyperlink" Target="https://doi.org/10.1306/103000710537" TargetMode="External"/><Relationship Id="rId88" Type="http://schemas.openxmlformats.org/officeDocument/2006/relationships/hyperlink" Target="https://doi.org/10.3390/s8127973" TargetMode="External"/><Relationship Id="rId91" Type="http://schemas.openxmlformats.org/officeDocument/2006/relationships/hyperlink" Target="https://doi.org/10.1016/j.marpetgeo.2019.02.014" TargetMode="External"/><Relationship Id="rId96" Type="http://schemas.openxmlformats.org/officeDocument/2006/relationships/hyperlink" Target="https://doi.org/10.1144/SP309.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s://doi.org/10.1144/1354-079311-021" TargetMode="External"/><Relationship Id="rId57" Type="http://schemas.openxmlformats.org/officeDocument/2006/relationships/hyperlink" Target="https://doi.org/10.1130/GES00099.1" TargetMode="External"/><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hyperlink" Target="https://doi.org/10.1306/010603730516" TargetMode="External"/><Relationship Id="rId52" Type="http://schemas.openxmlformats.org/officeDocument/2006/relationships/hyperlink" Target="https://doi.org/10.1306/11181514227" TargetMode="External"/><Relationship Id="rId60" Type="http://schemas.openxmlformats.org/officeDocument/2006/relationships/hyperlink" Target="https://doi.org/10.2110/jsr.2006.060" TargetMode="External"/><Relationship Id="rId65" Type="http://schemas.openxmlformats.org/officeDocument/2006/relationships/hyperlink" Target="https://doi.org/10.1306/04041615103" TargetMode="External"/><Relationship Id="rId73" Type="http://schemas.openxmlformats.org/officeDocument/2006/relationships/hyperlink" Target="https://doi.org/10.1016/j.cageo.2007.08.012" TargetMode="External"/><Relationship Id="rId78" Type="http://schemas.openxmlformats.org/officeDocument/2006/relationships/hyperlink" Target="https://doi.org/10.1016/0012-8252(85)90001-7" TargetMode="External"/><Relationship Id="rId81" Type="http://schemas.openxmlformats.org/officeDocument/2006/relationships/hyperlink" Target="https://doi.org/10.1306/02220605065" TargetMode="External"/><Relationship Id="rId86" Type="http://schemas.openxmlformats.org/officeDocument/2006/relationships/hyperlink" Target="https://doi.org/10.1016/j.jhydrol.2015.08.049" TargetMode="External"/><Relationship Id="rId94" Type="http://schemas.openxmlformats.org/officeDocument/2006/relationships/hyperlink" Target="https://doi.org/10.2110/jsr.2014.12" TargetMode="External"/><Relationship Id="rId99" Type="http://schemas.openxmlformats.org/officeDocument/2006/relationships/hyperlink" Target="https://doi.org/10.1080/01431161.2011.636081" TargetMode="External"/><Relationship Id="rId101" Type="http://schemas.openxmlformats.org/officeDocument/2006/relationships/hyperlink" Target="https://doi.org/10.1016/j.petrol.2018.03.043"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hyperlink" Target="https://doi.org/10.1111/sed.12050" TargetMode="External"/><Relationship Id="rId55" Type="http://schemas.openxmlformats.org/officeDocument/2006/relationships/hyperlink" Target="https://doi.org/10.1016/j.cageo.2006.03.005" TargetMode="External"/><Relationship Id="rId76" Type="http://schemas.openxmlformats.org/officeDocument/2006/relationships/hyperlink" Target="https://doi.org/10.1016/j.marpetgeo.2017.02.003" TargetMode="External"/><Relationship Id="rId97" Type="http://schemas.openxmlformats.org/officeDocument/2006/relationships/hyperlink" Target="https://doi.org/10.1130/G4027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1DB74F-438E-4A7D-98E1-3897F3641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16579</Words>
  <Characters>94505</Characters>
  <Application>Microsoft Office Word</Application>
  <DocSecurity>0</DocSecurity>
  <Lines>787</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dc:creator>
  <cp:lastModifiedBy>Jamie</cp:lastModifiedBy>
  <cp:revision>2</cp:revision>
  <dcterms:created xsi:type="dcterms:W3CDTF">2019-11-29T13:44:00Z</dcterms:created>
  <dcterms:modified xsi:type="dcterms:W3CDTF">2019-11-29T13:44:00Z</dcterms:modified>
</cp:coreProperties>
</file>