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6F" w:rsidRPr="00D76895" w:rsidRDefault="0000763A" w:rsidP="00AF0988">
      <w:pPr>
        <w:autoSpaceDE w:val="0"/>
        <w:autoSpaceDN w:val="0"/>
        <w:adjustRightInd w:val="0"/>
        <w:spacing w:after="0" w:line="240" w:lineRule="auto"/>
        <w:jc w:val="both"/>
        <w:rPr>
          <w:rFonts w:asciiTheme="majorBidi" w:hAnsiTheme="majorBidi" w:cstheme="majorBidi"/>
          <w:b/>
          <w:bCs/>
          <w:sz w:val="20"/>
          <w:szCs w:val="20"/>
        </w:rPr>
      </w:pPr>
      <w:bookmarkStart w:id="0" w:name="_Hlk485117047"/>
      <w:bookmarkStart w:id="1" w:name="_GoBack"/>
      <w:r w:rsidRPr="00D76895">
        <w:rPr>
          <w:rFonts w:asciiTheme="majorBidi" w:hAnsiTheme="majorBidi" w:cstheme="majorBidi"/>
          <w:b/>
          <w:bCs/>
          <w:sz w:val="20"/>
          <w:szCs w:val="20"/>
        </w:rPr>
        <w:t>P</w:t>
      </w:r>
      <w:r w:rsidR="00CB186F" w:rsidRPr="00D76895">
        <w:rPr>
          <w:rFonts w:asciiTheme="majorBidi" w:hAnsiTheme="majorBidi" w:cstheme="majorBidi"/>
          <w:b/>
          <w:bCs/>
          <w:sz w:val="20"/>
          <w:szCs w:val="20"/>
        </w:rPr>
        <w:t xml:space="preserve">atients’ understanding and attitudes </w:t>
      </w:r>
      <w:r w:rsidR="00D31C9C" w:rsidRPr="00D76895">
        <w:rPr>
          <w:rFonts w:asciiTheme="majorBidi" w:hAnsiTheme="majorBidi" w:cstheme="majorBidi"/>
          <w:b/>
          <w:bCs/>
          <w:sz w:val="20"/>
          <w:szCs w:val="20"/>
        </w:rPr>
        <w:t>towards</w:t>
      </w:r>
      <w:r w:rsidR="00AF0988" w:rsidRPr="00D76895">
        <w:rPr>
          <w:rFonts w:asciiTheme="majorBidi" w:hAnsiTheme="majorBidi" w:cstheme="majorBidi"/>
          <w:b/>
          <w:bCs/>
          <w:sz w:val="20"/>
          <w:szCs w:val="20"/>
        </w:rPr>
        <w:t xml:space="preserve"> </w:t>
      </w:r>
      <w:r w:rsidR="00CB186F" w:rsidRPr="00D76895">
        <w:rPr>
          <w:rFonts w:asciiTheme="majorBidi" w:hAnsiTheme="majorBidi" w:cstheme="majorBidi"/>
          <w:b/>
          <w:bCs/>
          <w:sz w:val="20"/>
          <w:szCs w:val="20"/>
        </w:rPr>
        <w:t>infliximab and etanercept biosimilars</w:t>
      </w:r>
      <w:r w:rsidR="00D4281F">
        <w:rPr>
          <w:rFonts w:asciiTheme="majorBidi" w:hAnsiTheme="majorBidi" w:cstheme="majorBidi"/>
          <w:b/>
          <w:bCs/>
          <w:sz w:val="20"/>
          <w:szCs w:val="20"/>
        </w:rPr>
        <w:t xml:space="preserve">: </w:t>
      </w:r>
      <w:r w:rsidR="00D4281F" w:rsidRPr="00D4281F">
        <w:rPr>
          <w:rFonts w:asciiTheme="majorBidi" w:hAnsiTheme="majorBidi" w:cstheme="majorBidi"/>
          <w:b/>
          <w:bCs/>
          <w:sz w:val="20"/>
          <w:szCs w:val="20"/>
        </w:rPr>
        <w:t>Result of a UK web-based survey</w:t>
      </w:r>
    </w:p>
    <w:bookmarkEnd w:id="0"/>
    <w:p w:rsidR="00C8711C" w:rsidRDefault="00C8711C" w:rsidP="00C8711C">
      <w:pPr>
        <w:spacing w:line="480" w:lineRule="auto"/>
        <w:jc w:val="both"/>
        <w:rPr>
          <w:rFonts w:asciiTheme="majorBidi" w:hAnsiTheme="majorBidi" w:cstheme="majorBidi"/>
          <w:sz w:val="20"/>
          <w:szCs w:val="20"/>
          <w:shd w:val="clear" w:color="auto" w:fill="FFFFFF"/>
        </w:rPr>
      </w:pPr>
    </w:p>
    <w:p w:rsidR="00C8711C" w:rsidRPr="00C8711C" w:rsidRDefault="00C8711C" w:rsidP="00C8711C">
      <w:pPr>
        <w:spacing w:line="480" w:lineRule="auto"/>
        <w:jc w:val="both"/>
        <w:rPr>
          <w:rFonts w:asciiTheme="majorBidi" w:hAnsiTheme="majorBidi" w:cstheme="majorBidi"/>
          <w:sz w:val="20"/>
          <w:szCs w:val="20"/>
          <w:shd w:val="clear" w:color="auto" w:fill="FFFFFF"/>
        </w:rPr>
      </w:pPr>
      <w:r w:rsidRPr="00C8711C">
        <w:rPr>
          <w:rFonts w:asciiTheme="majorBidi" w:hAnsiTheme="majorBidi" w:cstheme="majorBidi"/>
          <w:sz w:val="20"/>
          <w:szCs w:val="20"/>
          <w:shd w:val="clear" w:color="auto" w:fill="FFFFFF"/>
        </w:rPr>
        <w:t>Mohammed I Aladul</w:t>
      </w:r>
      <w:r w:rsidRPr="00C8711C">
        <w:rPr>
          <w:rFonts w:asciiTheme="majorBidi" w:hAnsiTheme="majorBidi" w:cstheme="majorBidi"/>
          <w:sz w:val="20"/>
          <w:szCs w:val="20"/>
          <w:shd w:val="clear" w:color="auto" w:fill="FFFFFF"/>
          <w:vertAlign w:val="superscript"/>
        </w:rPr>
        <w:t>1</w:t>
      </w:r>
      <w:proofErr w:type="gramStart"/>
      <w:r w:rsidRPr="00C8711C">
        <w:rPr>
          <w:rFonts w:asciiTheme="majorBidi" w:hAnsiTheme="majorBidi" w:cstheme="majorBidi"/>
          <w:sz w:val="20"/>
          <w:szCs w:val="20"/>
          <w:shd w:val="clear" w:color="auto" w:fill="FFFFFF"/>
          <w:vertAlign w:val="superscript"/>
        </w:rPr>
        <w:t>,2</w:t>
      </w:r>
      <w:proofErr w:type="gramEnd"/>
      <w:r w:rsidRPr="00C8711C">
        <w:rPr>
          <w:rFonts w:asciiTheme="majorBidi" w:hAnsiTheme="majorBidi" w:cstheme="majorBidi"/>
          <w:sz w:val="20"/>
          <w:szCs w:val="20"/>
          <w:shd w:val="clear" w:color="auto" w:fill="FFFFFF"/>
        </w:rPr>
        <w:t>, Raymond W Fitzpatrick</w:t>
      </w:r>
      <w:r w:rsidRPr="00C8711C">
        <w:rPr>
          <w:rFonts w:asciiTheme="majorBidi" w:hAnsiTheme="majorBidi" w:cstheme="majorBidi"/>
          <w:sz w:val="20"/>
          <w:szCs w:val="20"/>
          <w:shd w:val="clear" w:color="auto" w:fill="FFFFFF"/>
          <w:vertAlign w:val="superscript"/>
        </w:rPr>
        <w:t>1</w:t>
      </w:r>
      <w:r w:rsidRPr="00C8711C">
        <w:rPr>
          <w:rFonts w:asciiTheme="majorBidi" w:hAnsiTheme="majorBidi" w:cstheme="majorBidi"/>
          <w:sz w:val="20"/>
          <w:szCs w:val="20"/>
          <w:shd w:val="clear" w:color="auto" w:fill="FFFFFF"/>
        </w:rPr>
        <w:t>, Stephen R Chapman</w:t>
      </w:r>
      <w:r w:rsidRPr="00C8711C">
        <w:rPr>
          <w:rFonts w:asciiTheme="majorBidi" w:hAnsiTheme="majorBidi" w:cstheme="majorBidi"/>
          <w:sz w:val="20"/>
          <w:szCs w:val="20"/>
          <w:shd w:val="clear" w:color="auto" w:fill="FFFFFF"/>
          <w:vertAlign w:val="superscript"/>
        </w:rPr>
        <w:t>1</w:t>
      </w:r>
      <w:r w:rsidR="00A3535B" w:rsidRPr="00A3535B">
        <w:rPr>
          <w:rFonts w:asciiTheme="majorBidi" w:hAnsiTheme="majorBidi" w:cstheme="majorBidi"/>
          <w:sz w:val="20"/>
          <w:szCs w:val="20"/>
          <w:shd w:val="clear" w:color="auto" w:fill="FFFFFF"/>
          <w:vertAlign w:val="superscript"/>
        </w:rPr>
        <w:t>*</w:t>
      </w:r>
      <w:r w:rsidRPr="00C8711C">
        <w:rPr>
          <w:rFonts w:asciiTheme="majorBidi" w:hAnsiTheme="majorBidi" w:cstheme="majorBidi"/>
          <w:sz w:val="20"/>
          <w:szCs w:val="20"/>
          <w:shd w:val="clear" w:color="auto" w:fill="FFFFFF"/>
          <w:vertAlign w:val="superscript"/>
        </w:rPr>
        <w:t xml:space="preserve"> </w:t>
      </w:r>
    </w:p>
    <w:p w:rsidR="00C8711C" w:rsidRPr="00C8711C" w:rsidRDefault="00C8711C" w:rsidP="00C8711C">
      <w:pPr>
        <w:spacing w:line="480" w:lineRule="auto"/>
        <w:jc w:val="both"/>
        <w:rPr>
          <w:rFonts w:asciiTheme="majorBidi" w:hAnsiTheme="majorBidi" w:cstheme="majorBidi"/>
          <w:sz w:val="20"/>
          <w:szCs w:val="20"/>
          <w:shd w:val="clear" w:color="auto" w:fill="FFFFFF"/>
        </w:rPr>
      </w:pPr>
      <w:r w:rsidRPr="00C8711C">
        <w:rPr>
          <w:rFonts w:asciiTheme="majorBidi" w:hAnsiTheme="majorBidi" w:cstheme="majorBidi"/>
          <w:sz w:val="20"/>
          <w:szCs w:val="20"/>
          <w:shd w:val="clear" w:color="auto" w:fill="FFFFFF"/>
          <w:vertAlign w:val="superscript"/>
        </w:rPr>
        <w:t>1</w:t>
      </w:r>
      <w:r w:rsidRPr="00C8711C">
        <w:rPr>
          <w:rFonts w:asciiTheme="majorBidi" w:hAnsiTheme="majorBidi" w:cstheme="majorBidi"/>
          <w:sz w:val="20"/>
          <w:szCs w:val="20"/>
          <w:shd w:val="clear" w:color="auto" w:fill="FFFFFF"/>
        </w:rPr>
        <w:t xml:space="preserve"> School of Pharmacy, Keele University, Hornbeam Building, Newcastle-under-Lyme, Staffordshire, ST5 5BG, United Kingdom.</w:t>
      </w:r>
    </w:p>
    <w:p w:rsidR="00C8711C" w:rsidRPr="00C8711C" w:rsidRDefault="00C8711C" w:rsidP="00C8711C">
      <w:pPr>
        <w:spacing w:line="480" w:lineRule="auto"/>
        <w:jc w:val="both"/>
        <w:rPr>
          <w:rFonts w:asciiTheme="majorBidi" w:hAnsiTheme="majorBidi" w:cstheme="majorBidi"/>
          <w:sz w:val="20"/>
          <w:szCs w:val="20"/>
          <w:shd w:val="clear" w:color="auto" w:fill="FFFFFF"/>
        </w:rPr>
      </w:pPr>
      <w:r w:rsidRPr="00C8711C">
        <w:rPr>
          <w:rFonts w:asciiTheme="majorBidi" w:hAnsiTheme="majorBidi" w:cstheme="majorBidi"/>
          <w:sz w:val="20"/>
          <w:szCs w:val="20"/>
          <w:shd w:val="clear" w:color="auto" w:fill="FFFFFF"/>
          <w:vertAlign w:val="superscript"/>
        </w:rPr>
        <w:t>2</w:t>
      </w:r>
      <w:r w:rsidRPr="00C8711C">
        <w:rPr>
          <w:rFonts w:asciiTheme="majorBidi" w:hAnsiTheme="majorBidi" w:cstheme="majorBidi"/>
          <w:sz w:val="20"/>
          <w:szCs w:val="20"/>
          <w:shd w:val="clear" w:color="auto" w:fill="FFFFFF"/>
        </w:rPr>
        <w:t xml:space="preserve"> School of Pharmacy, University of Mosul, Mosul, Nineveh, Iraq</w:t>
      </w:r>
      <w:r w:rsidR="00A3535B">
        <w:rPr>
          <w:rFonts w:asciiTheme="majorBidi" w:hAnsiTheme="majorBidi" w:cstheme="majorBidi"/>
          <w:sz w:val="20"/>
          <w:szCs w:val="20"/>
          <w:shd w:val="clear" w:color="auto" w:fill="FFFFFF"/>
        </w:rPr>
        <w:t>.</w:t>
      </w:r>
    </w:p>
    <w:p w:rsidR="00C8711C" w:rsidRPr="00C8711C" w:rsidRDefault="00C8711C" w:rsidP="00C8711C">
      <w:pPr>
        <w:spacing w:line="480" w:lineRule="auto"/>
        <w:jc w:val="both"/>
        <w:rPr>
          <w:rFonts w:asciiTheme="majorBidi" w:hAnsiTheme="majorBidi" w:cstheme="majorBidi"/>
          <w:sz w:val="20"/>
          <w:szCs w:val="20"/>
          <w:shd w:val="clear" w:color="auto" w:fill="FFFFFF"/>
        </w:rPr>
      </w:pPr>
      <w:r w:rsidRPr="00A3535B">
        <w:rPr>
          <w:rFonts w:asciiTheme="majorBidi" w:hAnsiTheme="majorBidi" w:cstheme="majorBidi"/>
          <w:sz w:val="20"/>
          <w:szCs w:val="20"/>
          <w:shd w:val="clear" w:color="auto" w:fill="FFFFFF"/>
          <w:vertAlign w:val="superscript"/>
        </w:rPr>
        <w:t>*</w:t>
      </w:r>
      <w:r w:rsidRPr="00C8711C">
        <w:rPr>
          <w:rFonts w:asciiTheme="majorBidi" w:hAnsiTheme="majorBidi" w:cstheme="majorBidi"/>
          <w:sz w:val="20"/>
          <w:szCs w:val="20"/>
          <w:shd w:val="clear" w:color="auto" w:fill="FFFFFF"/>
        </w:rPr>
        <w:t xml:space="preserve"> Correspondence to: Stephen R Chapman </w:t>
      </w:r>
    </w:p>
    <w:p w:rsidR="00C8711C" w:rsidRPr="00C8711C" w:rsidRDefault="00C8711C" w:rsidP="00C8711C">
      <w:pPr>
        <w:spacing w:line="480" w:lineRule="auto"/>
        <w:jc w:val="both"/>
        <w:rPr>
          <w:rFonts w:asciiTheme="majorBidi" w:hAnsiTheme="majorBidi" w:cstheme="majorBidi"/>
          <w:sz w:val="20"/>
          <w:szCs w:val="20"/>
          <w:shd w:val="clear" w:color="auto" w:fill="FFFFFF"/>
        </w:rPr>
      </w:pPr>
      <w:r w:rsidRPr="00C8711C">
        <w:rPr>
          <w:rFonts w:asciiTheme="majorBidi" w:hAnsiTheme="majorBidi" w:cstheme="majorBidi"/>
          <w:sz w:val="20"/>
          <w:szCs w:val="20"/>
          <w:shd w:val="clear" w:color="auto" w:fill="FFFFFF"/>
        </w:rPr>
        <w:t>School of Pharmacy, Keele University, Hornbeam Building 3.06, Newcastle-under-Lyme, Staffordshire, ST5 5BG, United Kingdom.</w:t>
      </w:r>
    </w:p>
    <w:p w:rsidR="00C8711C" w:rsidRPr="00C8711C" w:rsidRDefault="00C8711C" w:rsidP="00C8711C">
      <w:pPr>
        <w:spacing w:line="480" w:lineRule="auto"/>
        <w:jc w:val="both"/>
        <w:rPr>
          <w:rFonts w:asciiTheme="majorBidi" w:hAnsiTheme="majorBidi" w:cstheme="majorBidi"/>
          <w:sz w:val="20"/>
          <w:szCs w:val="20"/>
          <w:shd w:val="clear" w:color="auto" w:fill="FFFFFF"/>
        </w:rPr>
      </w:pPr>
      <w:r w:rsidRPr="00C8711C">
        <w:rPr>
          <w:rFonts w:asciiTheme="majorBidi" w:hAnsiTheme="majorBidi" w:cstheme="majorBidi"/>
          <w:sz w:val="20"/>
          <w:szCs w:val="20"/>
          <w:shd w:val="clear" w:color="auto" w:fill="FFFFFF"/>
        </w:rPr>
        <w:t>Tel: +44 (0)1782 734131</w:t>
      </w:r>
    </w:p>
    <w:p w:rsidR="00C8711C" w:rsidRPr="00C8711C" w:rsidRDefault="00C8711C" w:rsidP="00C8711C">
      <w:pPr>
        <w:spacing w:line="480" w:lineRule="auto"/>
        <w:jc w:val="both"/>
        <w:rPr>
          <w:rFonts w:asciiTheme="majorBidi" w:hAnsiTheme="majorBidi" w:cstheme="majorBidi"/>
          <w:sz w:val="20"/>
          <w:szCs w:val="20"/>
          <w:shd w:val="clear" w:color="auto" w:fill="FFFFFF"/>
        </w:rPr>
      </w:pPr>
      <w:r w:rsidRPr="00C8711C">
        <w:rPr>
          <w:rFonts w:asciiTheme="majorBidi" w:hAnsiTheme="majorBidi" w:cstheme="majorBidi"/>
          <w:sz w:val="20"/>
          <w:szCs w:val="20"/>
          <w:shd w:val="clear" w:color="auto" w:fill="FFFFFF"/>
        </w:rPr>
        <w:t>Fax: +44 (0)1782 733326</w:t>
      </w:r>
    </w:p>
    <w:p w:rsidR="00C8711C" w:rsidRDefault="00C8711C" w:rsidP="00C8711C">
      <w:pPr>
        <w:spacing w:line="480" w:lineRule="auto"/>
        <w:jc w:val="both"/>
        <w:rPr>
          <w:rFonts w:asciiTheme="majorBidi" w:hAnsiTheme="majorBidi" w:cstheme="majorBidi"/>
          <w:sz w:val="20"/>
          <w:szCs w:val="20"/>
          <w:u w:val="single"/>
          <w:shd w:val="clear" w:color="auto" w:fill="FFFFFF"/>
        </w:rPr>
      </w:pPr>
      <w:r w:rsidRPr="00C8711C">
        <w:rPr>
          <w:rFonts w:asciiTheme="majorBidi" w:hAnsiTheme="majorBidi" w:cstheme="majorBidi"/>
          <w:sz w:val="20"/>
          <w:szCs w:val="20"/>
          <w:shd w:val="clear" w:color="auto" w:fill="FFFFFF"/>
        </w:rPr>
        <w:t>E-mail:</w:t>
      </w:r>
      <w:r w:rsidRPr="00C8711C">
        <w:rPr>
          <w:rFonts w:asciiTheme="majorBidi" w:hAnsiTheme="majorBidi" w:cstheme="majorBidi"/>
          <w:sz w:val="20"/>
          <w:szCs w:val="20"/>
        </w:rPr>
        <w:t xml:space="preserve"> </w:t>
      </w:r>
      <w:hyperlink r:id="rId9" w:history="1">
        <w:r w:rsidRPr="00C8711C">
          <w:rPr>
            <w:rFonts w:asciiTheme="majorBidi" w:hAnsiTheme="majorBidi" w:cstheme="majorBidi"/>
            <w:sz w:val="20"/>
            <w:szCs w:val="20"/>
            <w:u w:val="single"/>
            <w:shd w:val="clear" w:color="auto" w:fill="FFFFFF"/>
          </w:rPr>
          <w:t>s.r.chapman@keele.ac.uk</w:t>
        </w:r>
      </w:hyperlink>
    </w:p>
    <w:p w:rsidR="00C8711C" w:rsidRDefault="00C8711C" w:rsidP="00C8711C">
      <w:pPr>
        <w:spacing w:line="480" w:lineRule="auto"/>
        <w:jc w:val="both"/>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 xml:space="preserve">ORICD: </w:t>
      </w:r>
      <w:r w:rsidRPr="00C8711C">
        <w:rPr>
          <w:rFonts w:asciiTheme="majorBidi" w:hAnsiTheme="majorBidi" w:cstheme="majorBidi"/>
          <w:sz w:val="20"/>
          <w:szCs w:val="20"/>
          <w:shd w:val="clear" w:color="auto" w:fill="FFFFFF"/>
        </w:rPr>
        <w:t>0000-0002-0326-7742</w:t>
      </w:r>
    </w:p>
    <w:p w:rsidR="007811CF" w:rsidRPr="00C8711C" w:rsidRDefault="007811CF" w:rsidP="00C8711C">
      <w:pPr>
        <w:spacing w:line="480" w:lineRule="auto"/>
        <w:jc w:val="both"/>
        <w:rPr>
          <w:rFonts w:asciiTheme="majorBidi" w:hAnsiTheme="majorBidi" w:cstheme="majorBidi"/>
          <w:sz w:val="20"/>
          <w:szCs w:val="20"/>
          <w:shd w:val="clear" w:color="auto" w:fill="FFFFFF"/>
        </w:rPr>
      </w:pPr>
      <w:r w:rsidRPr="009B7A7F">
        <w:rPr>
          <w:rFonts w:asciiTheme="majorBidi" w:hAnsiTheme="majorBidi" w:cstheme="majorBidi"/>
          <w:b/>
          <w:bCs/>
          <w:sz w:val="20"/>
          <w:szCs w:val="20"/>
        </w:rPr>
        <w:t>Running heading:</w:t>
      </w:r>
      <w:r w:rsidR="009B7A7F" w:rsidRPr="009B7A7F">
        <w:t xml:space="preserve"> </w:t>
      </w:r>
      <w:r w:rsidR="009B7A7F" w:rsidRPr="009B7A7F">
        <w:rPr>
          <w:rFonts w:asciiTheme="majorBidi" w:hAnsiTheme="majorBidi" w:cstheme="majorBidi"/>
          <w:sz w:val="20"/>
          <w:szCs w:val="20"/>
        </w:rPr>
        <w:t xml:space="preserve">Patients’ </w:t>
      </w:r>
      <w:r w:rsidR="00D962C8">
        <w:rPr>
          <w:rFonts w:asciiTheme="majorBidi" w:hAnsiTheme="majorBidi" w:cstheme="majorBidi"/>
          <w:sz w:val="20"/>
          <w:szCs w:val="20"/>
        </w:rPr>
        <w:t>perceptions of biosimilar medicines</w:t>
      </w:r>
    </w:p>
    <w:p w:rsidR="00BA082B" w:rsidRPr="00D76895" w:rsidRDefault="00BA082B" w:rsidP="00BA082B">
      <w:pPr>
        <w:jc w:val="both"/>
        <w:rPr>
          <w:rFonts w:asciiTheme="majorBidi" w:hAnsiTheme="majorBidi" w:cstheme="majorBidi"/>
          <w:b/>
          <w:bCs/>
          <w:sz w:val="20"/>
          <w:szCs w:val="20"/>
        </w:rPr>
      </w:pPr>
      <w:r w:rsidRPr="00D76895">
        <w:rPr>
          <w:rFonts w:asciiTheme="majorBidi" w:hAnsiTheme="majorBidi" w:cstheme="majorBidi"/>
          <w:b/>
          <w:bCs/>
          <w:sz w:val="20"/>
          <w:szCs w:val="20"/>
        </w:rPr>
        <w:t>Abstract</w:t>
      </w:r>
    </w:p>
    <w:p w:rsidR="00BA082B" w:rsidRPr="00D76895" w:rsidRDefault="00BA082B" w:rsidP="00BA082B">
      <w:pPr>
        <w:jc w:val="both"/>
        <w:rPr>
          <w:rFonts w:asciiTheme="majorBidi" w:hAnsiTheme="majorBidi" w:cstheme="majorBidi"/>
          <w:sz w:val="20"/>
          <w:szCs w:val="20"/>
        </w:rPr>
      </w:pPr>
      <w:r w:rsidRPr="00D76895">
        <w:rPr>
          <w:rFonts w:asciiTheme="majorBidi" w:hAnsiTheme="majorBidi" w:cstheme="majorBidi"/>
          <w:b/>
          <w:bCs/>
          <w:i/>
          <w:iCs/>
          <w:sz w:val="20"/>
          <w:szCs w:val="20"/>
        </w:rPr>
        <w:t>Background</w:t>
      </w:r>
      <w:r w:rsidRPr="00D76895">
        <w:rPr>
          <w:rFonts w:asciiTheme="majorBidi" w:hAnsiTheme="majorBidi" w:cstheme="majorBidi"/>
          <w:b/>
          <w:bCs/>
          <w:sz w:val="20"/>
          <w:szCs w:val="20"/>
        </w:rPr>
        <w:t xml:space="preserve"> </w:t>
      </w:r>
      <w:r w:rsidR="00565257">
        <w:rPr>
          <w:rFonts w:asciiTheme="majorBidi" w:hAnsiTheme="majorBidi" w:cstheme="majorBidi"/>
          <w:sz w:val="20"/>
          <w:szCs w:val="20"/>
        </w:rPr>
        <w:t>I</w:t>
      </w:r>
      <w:r w:rsidR="00132DB6" w:rsidRPr="00D76895">
        <w:rPr>
          <w:rFonts w:asciiTheme="majorBidi" w:hAnsiTheme="majorBidi" w:cstheme="majorBidi"/>
          <w:sz w:val="20"/>
          <w:szCs w:val="20"/>
        </w:rPr>
        <w:t>nfliximab and etanercept biosimilars present significant potential cost saving</w:t>
      </w:r>
      <w:r w:rsidR="0000763A" w:rsidRPr="00D76895">
        <w:rPr>
          <w:rFonts w:asciiTheme="majorBidi" w:hAnsiTheme="majorBidi" w:cstheme="majorBidi"/>
          <w:sz w:val="20"/>
          <w:szCs w:val="20"/>
        </w:rPr>
        <w:t>s</w:t>
      </w:r>
      <w:r w:rsidR="00132DB6" w:rsidRPr="00D76895">
        <w:rPr>
          <w:rFonts w:asciiTheme="majorBidi" w:hAnsiTheme="majorBidi" w:cstheme="majorBidi"/>
          <w:sz w:val="20"/>
          <w:szCs w:val="20"/>
        </w:rPr>
        <w:t xml:space="preserve"> to the NHS. </w:t>
      </w:r>
      <w:r w:rsidR="0000763A" w:rsidRPr="00D76895">
        <w:rPr>
          <w:rFonts w:asciiTheme="majorBidi" w:hAnsiTheme="majorBidi" w:cstheme="majorBidi"/>
          <w:sz w:val="20"/>
          <w:szCs w:val="20"/>
        </w:rPr>
        <w:t>P</w:t>
      </w:r>
      <w:r w:rsidR="00132DB6" w:rsidRPr="00D76895">
        <w:rPr>
          <w:rFonts w:asciiTheme="majorBidi" w:hAnsiTheme="majorBidi" w:cstheme="majorBidi"/>
          <w:sz w:val="20"/>
          <w:szCs w:val="20"/>
        </w:rPr>
        <w:t>atient</w:t>
      </w:r>
      <w:r w:rsidR="001C3E41" w:rsidRPr="00D76895">
        <w:rPr>
          <w:rFonts w:asciiTheme="majorBidi" w:hAnsiTheme="majorBidi" w:cstheme="majorBidi"/>
          <w:sz w:val="20"/>
          <w:szCs w:val="20"/>
        </w:rPr>
        <w:t>s</w:t>
      </w:r>
      <w:r w:rsidR="0000763A" w:rsidRPr="00D76895">
        <w:rPr>
          <w:rFonts w:asciiTheme="majorBidi" w:hAnsiTheme="majorBidi" w:cstheme="majorBidi"/>
          <w:sz w:val="20"/>
          <w:szCs w:val="20"/>
        </w:rPr>
        <w:t xml:space="preserve"> need to be involved in the decision to use these medicines but there is a </w:t>
      </w:r>
      <w:r w:rsidR="009C501F">
        <w:rPr>
          <w:rFonts w:asciiTheme="majorBidi" w:hAnsiTheme="majorBidi" w:cstheme="majorBidi"/>
          <w:sz w:val="20"/>
          <w:szCs w:val="20"/>
        </w:rPr>
        <w:t>limited</w:t>
      </w:r>
      <w:r w:rsidR="0000763A" w:rsidRPr="00D76895">
        <w:rPr>
          <w:rFonts w:asciiTheme="majorBidi" w:hAnsiTheme="majorBidi" w:cstheme="majorBidi"/>
          <w:sz w:val="20"/>
          <w:szCs w:val="20"/>
        </w:rPr>
        <w:t xml:space="preserve"> published literature on their</w:t>
      </w:r>
      <w:r w:rsidR="00132DB6" w:rsidRPr="00D76895">
        <w:rPr>
          <w:rFonts w:asciiTheme="majorBidi" w:hAnsiTheme="majorBidi" w:cstheme="majorBidi"/>
          <w:sz w:val="20"/>
          <w:szCs w:val="20"/>
        </w:rPr>
        <w:t xml:space="preserve"> knowledge and attitude</w:t>
      </w:r>
      <w:r w:rsidR="0000763A" w:rsidRPr="00D76895">
        <w:rPr>
          <w:rFonts w:asciiTheme="majorBidi" w:hAnsiTheme="majorBidi" w:cstheme="majorBidi"/>
          <w:sz w:val="20"/>
          <w:szCs w:val="20"/>
        </w:rPr>
        <w:t>s</w:t>
      </w:r>
      <w:r w:rsidR="00132DB6" w:rsidRPr="00D76895">
        <w:rPr>
          <w:rFonts w:asciiTheme="majorBidi" w:hAnsiTheme="majorBidi" w:cstheme="majorBidi"/>
          <w:sz w:val="20"/>
          <w:szCs w:val="20"/>
        </w:rPr>
        <w:t xml:space="preserve"> </w:t>
      </w:r>
      <w:r w:rsidR="001C3E41" w:rsidRPr="00D76895">
        <w:rPr>
          <w:rFonts w:asciiTheme="majorBidi" w:hAnsiTheme="majorBidi" w:cstheme="majorBidi"/>
          <w:sz w:val="20"/>
          <w:szCs w:val="20"/>
        </w:rPr>
        <w:t>about these biosimilars.</w:t>
      </w:r>
    </w:p>
    <w:p w:rsidR="00C83494" w:rsidRPr="00D76895" w:rsidRDefault="00BA082B" w:rsidP="00C83494">
      <w:pPr>
        <w:jc w:val="both"/>
        <w:rPr>
          <w:rFonts w:asciiTheme="majorBidi" w:hAnsiTheme="majorBidi" w:cstheme="majorBidi"/>
          <w:sz w:val="20"/>
          <w:szCs w:val="20"/>
        </w:rPr>
      </w:pPr>
      <w:r w:rsidRPr="00D76895">
        <w:rPr>
          <w:rFonts w:asciiTheme="majorBidi" w:hAnsiTheme="majorBidi" w:cstheme="majorBidi"/>
          <w:b/>
          <w:bCs/>
          <w:i/>
          <w:iCs/>
          <w:sz w:val="20"/>
          <w:szCs w:val="20"/>
        </w:rPr>
        <w:t>Objectives</w:t>
      </w:r>
      <w:r w:rsidRPr="00D76895">
        <w:rPr>
          <w:rFonts w:asciiTheme="majorBidi" w:hAnsiTheme="majorBidi" w:cstheme="majorBidi"/>
          <w:b/>
          <w:bCs/>
          <w:sz w:val="20"/>
          <w:szCs w:val="20"/>
        </w:rPr>
        <w:t xml:space="preserve"> </w:t>
      </w:r>
      <w:r w:rsidRPr="00D76895">
        <w:rPr>
          <w:rFonts w:asciiTheme="majorBidi" w:hAnsiTheme="majorBidi" w:cstheme="majorBidi"/>
          <w:sz w:val="20"/>
          <w:szCs w:val="20"/>
        </w:rPr>
        <w:t xml:space="preserve">To investigate </w:t>
      </w:r>
      <w:r w:rsidR="00C83494" w:rsidRPr="00D76895">
        <w:rPr>
          <w:rFonts w:asciiTheme="majorBidi" w:hAnsiTheme="majorBidi" w:cstheme="majorBidi"/>
          <w:sz w:val="20"/>
          <w:szCs w:val="20"/>
        </w:rPr>
        <w:t>ankylosing spondylitis and rheumatoid arthritis</w:t>
      </w:r>
      <w:r w:rsidR="00AF0988" w:rsidRPr="00D76895">
        <w:rPr>
          <w:rFonts w:asciiTheme="majorBidi" w:hAnsiTheme="majorBidi" w:cstheme="majorBidi"/>
          <w:sz w:val="20"/>
          <w:szCs w:val="20"/>
        </w:rPr>
        <w:t xml:space="preserve"> patients’</w:t>
      </w:r>
      <w:r w:rsidR="00C83494" w:rsidRPr="00D76895">
        <w:rPr>
          <w:rFonts w:asciiTheme="majorBidi" w:hAnsiTheme="majorBidi" w:cstheme="majorBidi"/>
          <w:sz w:val="20"/>
          <w:szCs w:val="20"/>
        </w:rPr>
        <w:t xml:space="preserve"> </w:t>
      </w:r>
      <w:r w:rsidRPr="00D76895">
        <w:rPr>
          <w:rFonts w:asciiTheme="majorBidi" w:hAnsiTheme="majorBidi" w:cstheme="majorBidi"/>
          <w:sz w:val="20"/>
          <w:szCs w:val="20"/>
        </w:rPr>
        <w:t xml:space="preserve">knowledge and attitudes towards infliximab and </w:t>
      </w:r>
      <w:r w:rsidR="00C83494" w:rsidRPr="00D76895">
        <w:rPr>
          <w:rFonts w:asciiTheme="majorBidi" w:hAnsiTheme="majorBidi" w:cstheme="majorBidi"/>
          <w:sz w:val="20"/>
          <w:szCs w:val="20"/>
        </w:rPr>
        <w:t xml:space="preserve">etanercept </w:t>
      </w:r>
      <w:r w:rsidRPr="00D76895">
        <w:rPr>
          <w:rFonts w:asciiTheme="majorBidi" w:hAnsiTheme="majorBidi" w:cstheme="majorBidi"/>
          <w:sz w:val="20"/>
          <w:szCs w:val="20"/>
        </w:rPr>
        <w:t xml:space="preserve">biosimilars </w:t>
      </w:r>
      <w:r w:rsidR="00C83494" w:rsidRPr="00D76895">
        <w:rPr>
          <w:rFonts w:asciiTheme="majorBidi" w:hAnsiTheme="majorBidi" w:cstheme="majorBidi"/>
          <w:sz w:val="20"/>
          <w:szCs w:val="20"/>
        </w:rPr>
        <w:t>in UK.</w:t>
      </w:r>
    </w:p>
    <w:p w:rsidR="00BA082B" w:rsidRPr="00D76895" w:rsidRDefault="00BA082B" w:rsidP="00C83494">
      <w:pPr>
        <w:jc w:val="both"/>
        <w:rPr>
          <w:rFonts w:asciiTheme="majorBidi" w:hAnsiTheme="majorBidi" w:cstheme="majorBidi"/>
          <w:b/>
          <w:bCs/>
          <w:sz w:val="20"/>
          <w:szCs w:val="20"/>
        </w:rPr>
      </w:pPr>
      <w:r w:rsidRPr="00D76895">
        <w:rPr>
          <w:rFonts w:asciiTheme="majorBidi" w:hAnsiTheme="majorBidi" w:cstheme="majorBidi"/>
          <w:b/>
          <w:bCs/>
          <w:i/>
          <w:iCs/>
          <w:sz w:val="20"/>
          <w:szCs w:val="20"/>
        </w:rPr>
        <w:t>Methods</w:t>
      </w:r>
      <w:r w:rsidR="00C83494" w:rsidRPr="00D76895">
        <w:rPr>
          <w:rFonts w:asciiTheme="majorBidi" w:hAnsiTheme="majorBidi" w:cstheme="majorBidi"/>
          <w:b/>
          <w:bCs/>
          <w:sz w:val="20"/>
          <w:szCs w:val="20"/>
        </w:rPr>
        <w:t xml:space="preserve"> </w:t>
      </w:r>
      <w:r w:rsidR="0000763A" w:rsidRPr="00D76895">
        <w:rPr>
          <w:rFonts w:asciiTheme="majorBidi" w:hAnsiTheme="majorBidi" w:cstheme="majorBidi"/>
          <w:bCs/>
          <w:sz w:val="20"/>
          <w:szCs w:val="20"/>
        </w:rPr>
        <w:t>A</w:t>
      </w:r>
      <w:r w:rsidR="0000763A" w:rsidRPr="00D76895">
        <w:rPr>
          <w:rFonts w:asciiTheme="majorBidi" w:hAnsiTheme="majorBidi" w:cstheme="majorBidi"/>
          <w:b/>
          <w:bCs/>
          <w:sz w:val="20"/>
          <w:szCs w:val="20"/>
        </w:rPr>
        <w:t xml:space="preserve"> </w:t>
      </w:r>
      <w:r w:rsidR="0000763A" w:rsidRPr="00D76895">
        <w:rPr>
          <w:rFonts w:asciiTheme="majorBidi" w:hAnsiTheme="majorBidi" w:cstheme="majorBidi"/>
          <w:sz w:val="20"/>
          <w:szCs w:val="20"/>
        </w:rPr>
        <w:t>s</w:t>
      </w:r>
      <w:r w:rsidR="00C83494" w:rsidRPr="00D76895">
        <w:rPr>
          <w:rFonts w:asciiTheme="majorBidi" w:hAnsiTheme="majorBidi" w:cstheme="majorBidi"/>
          <w:sz w:val="20"/>
          <w:szCs w:val="20"/>
        </w:rPr>
        <w:t>elf-administered, web-survey conducted among the members of</w:t>
      </w:r>
      <w:r w:rsidR="00C83494" w:rsidRPr="00D76895">
        <w:t xml:space="preserve"> </w:t>
      </w:r>
      <w:r w:rsidR="00C83494" w:rsidRPr="00D76895">
        <w:rPr>
          <w:rFonts w:asciiTheme="majorBidi" w:hAnsiTheme="majorBidi" w:cstheme="majorBidi"/>
          <w:sz w:val="20"/>
          <w:szCs w:val="20"/>
        </w:rPr>
        <w:t xml:space="preserve">the </w:t>
      </w:r>
      <w:r w:rsidR="00D87B7A">
        <w:rPr>
          <w:rFonts w:asciiTheme="majorBidi" w:hAnsiTheme="majorBidi" w:cstheme="majorBidi"/>
          <w:sz w:val="20"/>
          <w:szCs w:val="20"/>
        </w:rPr>
        <w:t>N</w:t>
      </w:r>
      <w:r w:rsidR="00C83494" w:rsidRPr="00D76895">
        <w:rPr>
          <w:rFonts w:asciiTheme="majorBidi" w:hAnsiTheme="majorBidi" w:cstheme="majorBidi"/>
          <w:sz w:val="20"/>
          <w:szCs w:val="20"/>
        </w:rPr>
        <w:t xml:space="preserve">ational </w:t>
      </w:r>
      <w:r w:rsidR="00D87B7A">
        <w:rPr>
          <w:rFonts w:asciiTheme="majorBidi" w:hAnsiTheme="majorBidi" w:cstheme="majorBidi"/>
          <w:sz w:val="20"/>
          <w:szCs w:val="20"/>
        </w:rPr>
        <w:t>R</w:t>
      </w:r>
      <w:r w:rsidR="00C83494" w:rsidRPr="00D76895">
        <w:rPr>
          <w:rFonts w:asciiTheme="majorBidi" w:hAnsiTheme="majorBidi" w:cstheme="majorBidi"/>
          <w:sz w:val="20"/>
          <w:szCs w:val="20"/>
        </w:rPr>
        <w:t xml:space="preserve">heumatoid </w:t>
      </w:r>
      <w:r w:rsidR="00D87B7A">
        <w:rPr>
          <w:rFonts w:asciiTheme="majorBidi" w:hAnsiTheme="majorBidi" w:cstheme="majorBidi"/>
          <w:sz w:val="20"/>
          <w:szCs w:val="20"/>
        </w:rPr>
        <w:t>A</w:t>
      </w:r>
      <w:r w:rsidR="00C83494" w:rsidRPr="00D76895">
        <w:rPr>
          <w:rFonts w:asciiTheme="majorBidi" w:hAnsiTheme="majorBidi" w:cstheme="majorBidi"/>
          <w:sz w:val="20"/>
          <w:szCs w:val="20"/>
        </w:rPr>
        <w:t xml:space="preserve">rthritis </w:t>
      </w:r>
      <w:r w:rsidR="00D87B7A">
        <w:rPr>
          <w:rFonts w:asciiTheme="majorBidi" w:hAnsiTheme="majorBidi" w:cstheme="majorBidi"/>
          <w:sz w:val="20"/>
          <w:szCs w:val="20"/>
        </w:rPr>
        <w:t>S</w:t>
      </w:r>
      <w:r w:rsidR="00C83494" w:rsidRPr="00D76895">
        <w:rPr>
          <w:rFonts w:asciiTheme="majorBidi" w:hAnsiTheme="majorBidi" w:cstheme="majorBidi"/>
          <w:sz w:val="20"/>
          <w:szCs w:val="20"/>
        </w:rPr>
        <w:t xml:space="preserve">ociety and the </w:t>
      </w:r>
      <w:r w:rsidR="00D87B7A">
        <w:rPr>
          <w:rFonts w:asciiTheme="majorBidi" w:hAnsiTheme="majorBidi" w:cstheme="majorBidi"/>
          <w:sz w:val="20"/>
          <w:szCs w:val="20"/>
        </w:rPr>
        <w:t>N</w:t>
      </w:r>
      <w:r w:rsidR="00C83494" w:rsidRPr="00D76895">
        <w:rPr>
          <w:rFonts w:asciiTheme="majorBidi" w:hAnsiTheme="majorBidi" w:cstheme="majorBidi"/>
          <w:sz w:val="20"/>
          <w:szCs w:val="20"/>
        </w:rPr>
        <w:t xml:space="preserve">ational </w:t>
      </w:r>
      <w:r w:rsidR="00D87B7A">
        <w:rPr>
          <w:rFonts w:asciiTheme="majorBidi" w:hAnsiTheme="majorBidi" w:cstheme="majorBidi"/>
          <w:sz w:val="20"/>
          <w:szCs w:val="20"/>
        </w:rPr>
        <w:t>A</w:t>
      </w:r>
      <w:r w:rsidR="00C83494" w:rsidRPr="00D76895">
        <w:rPr>
          <w:rFonts w:asciiTheme="majorBidi" w:hAnsiTheme="majorBidi" w:cstheme="majorBidi"/>
          <w:sz w:val="20"/>
          <w:szCs w:val="20"/>
        </w:rPr>
        <w:t xml:space="preserve">nkylosing </w:t>
      </w:r>
      <w:r w:rsidR="00D87B7A">
        <w:rPr>
          <w:rFonts w:asciiTheme="majorBidi" w:hAnsiTheme="majorBidi" w:cstheme="majorBidi"/>
          <w:sz w:val="20"/>
          <w:szCs w:val="20"/>
        </w:rPr>
        <w:t>S</w:t>
      </w:r>
      <w:r w:rsidR="00C83494" w:rsidRPr="00D76895">
        <w:rPr>
          <w:rFonts w:asciiTheme="majorBidi" w:hAnsiTheme="majorBidi" w:cstheme="majorBidi"/>
          <w:sz w:val="20"/>
          <w:szCs w:val="20"/>
        </w:rPr>
        <w:t xml:space="preserve">pondylitis </w:t>
      </w:r>
      <w:r w:rsidR="00D87B7A">
        <w:rPr>
          <w:rFonts w:asciiTheme="majorBidi" w:hAnsiTheme="majorBidi" w:cstheme="majorBidi"/>
          <w:sz w:val="20"/>
          <w:szCs w:val="20"/>
        </w:rPr>
        <w:t>S</w:t>
      </w:r>
      <w:r w:rsidR="00C83494" w:rsidRPr="00D76895">
        <w:rPr>
          <w:rFonts w:asciiTheme="majorBidi" w:hAnsiTheme="majorBidi" w:cstheme="majorBidi"/>
          <w:sz w:val="20"/>
          <w:szCs w:val="20"/>
        </w:rPr>
        <w:t xml:space="preserve">ociety </w:t>
      </w:r>
      <w:r w:rsidR="00AF0988" w:rsidRPr="00D76895">
        <w:rPr>
          <w:rFonts w:asciiTheme="majorBidi" w:hAnsiTheme="majorBidi" w:cstheme="majorBidi"/>
          <w:sz w:val="20"/>
          <w:szCs w:val="20"/>
        </w:rPr>
        <w:t>in the UK</w:t>
      </w:r>
      <w:r w:rsidR="0000763A" w:rsidRPr="00D76895">
        <w:rPr>
          <w:rFonts w:asciiTheme="majorBidi" w:hAnsiTheme="majorBidi" w:cstheme="majorBidi"/>
          <w:sz w:val="20"/>
          <w:szCs w:val="20"/>
        </w:rPr>
        <w:t xml:space="preserve"> </w:t>
      </w:r>
      <w:r w:rsidR="00C83494" w:rsidRPr="00D76895">
        <w:rPr>
          <w:rFonts w:asciiTheme="majorBidi" w:hAnsiTheme="majorBidi" w:cstheme="majorBidi"/>
          <w:sz w:val="20"/>
          <w:szCs w:val="20"/>
        </w:rPr>
        <w:t xml:space="preserve">between 2 March 2017 </w:t>
      </w:r>
      <w:r w:rsidR="003D7398">
        <w:rPr>
          <w:rFonts w:asciiTheme="majorBidi" w:hAnsiTheme="majorBidi" w:cstheme="majorBidi"/>
          <w:sz w:val="20"/>
          <w:szCs w:val="20"/>
        </w:rPr>
        <w:t>and</w:t>
      </w:r>
      <w:r w:rsidR="00C83494" w:rsidRPr="00D76895">
        <w:rPr>
          <w:rFonts w:asciiTheme="majorBidi" w:hAnsiTheme="majorBidi" w:cstheme="majorBidi"/>
          <w:sz w:val="20"/>
          <w:szCs w:val="20"/>
        </w:rPr>
        <w:t xml:space="preserve"> 2 June 2017.</w:t>
      </w:r>
    </w:p>
    <w:p w:rsidR="00BA082B" w:rsidRPr="00D76895" w:rsidRDefault="00BA082B" w:rsidP="00BA082B">
      <w:pPr>
        <w:jc w:val="both"/>
        <w:rPr>
          <w:rFonts w:asciiTheme="majorBidi" w:hAnsiTheme="majorBidi" w:cstheme="majorBidi"/>
          <w:b/>
          <w:bCs/>
          <w:sz w:val="20"/>
          <w:szCs w:val="20"/>
        </w:rPr>
      </w:pPr>
      <w:r w:rsidRPr="009B7A7F">
        <w:rPr>
          <w:rFonts w:asciiTheme="majorBidi" w:hAnsiTheme="majorBidi" w:cstheme="majorBidi"/>
          <w:b/>
          <w:bCs/>
          <w:i/>
          <w:iCs/>
          <w:sz w:val="20"/>
          <w:szCs w:val="20"/>
        </w:rPr>
        <w:t>Results</w:t>
      </w:r>
      <w:r w:rsidR="00132DB6" w:rsidRPr="00D76895">
        <w:rPr>
          <w:rFonts w:asciiTheme="majorBidi" w:hAnsiTheme="majorBidi" w:cstheme="majorBidi"/>
          <w:b/>
          <w:bCs/>
          <w:sz w:val="20"/>
          <w:szCs w:val="20"/>
        </w:rPr>
        <w:t xml:space="preserve"> </w:t>
      </w:r>
      <w:r w:rsidR="00132DB6" w:rsidRPr="00D76895">
        <w:rPr>
          <w:rFonts w:asciiTheme="majorBidi" w:hAnsiTheme="majorBidi" w:cstheme="majorBidi"/>
          <w:sz w:val="20"/>
          <w:szCs w:val="20"/>
        </w:rPr>
        <w:t xml:space="preserve">A total </w:t>
      </w:r>
      <w:r w:rsidR="00565257">
        <w:rPr>
          <w:rFonts w:asciiTheme="majorBidi" w:hAnsiTheme="majorBidi" w:cstheme="majorBidi"/>
          <w:sz w:val="20"/>
          <w:szCs w:val="20"/>
        </w:rPr>
        <w:t xml:space="preserve">of </w:t>
      </w:r>
      <w:r w:rsidR="00132DB6" w:rsidRPr="00D76895">
        <w:rPr>
          <w:rFonts w:asciiTheme="majorBidi" w:hAnsiTheme="majorBidi" w:cstheme="majorBidi"/>
          <w:sz w:val="20"/>
          <w:szCs w:val="20"/>
        </w:rPr>
        <w:t xml:space="preserve">182 patients participated in this survey. The majority of </w:t>
      </w:r>
      <w:r w:rsidR="005F7A46">
        <w:rPr>
          <w:rFonts w:asciiTheme="majorBidi" w:hAnsiTheme="majorBidi" w:cstheme="majorBidi"/>
          <w:sz w:val="20"/>
          <w:szCs w:val="20"/>
        </w:rPr>
        <w:t>participants (73%)</w:t>
      </w:r>
      <w:r w:rsidR="00132DB6" w:rsidRPr="00D76895">
        <w:rPr>
          <w:rFonts w:asciiTheme="majorBidi" w:hAnsiTheme="majorBidi" w:cstheme="majorBidi"/>
          <w:sz w:val="20"/>
          <w:szCs w:val="20"/>
        </w:rPr>
        <w:t xml:space="preserve"> were on etanercept.</w:t>
      </w:r>
      <w:r w:rsidR="00132DB6" w:rsidRPr="00D76895">
        <w:t xml:space="preserve"> </w:t>
      </w:r>
      <w:r w:rsidR="00BE2800" w:rsidRPr="00FB04F9">
        <w:rPr>
          <w:rFonts w:asciiTheme="majorBidi" w:hAnsiTheme="majorBidi" w:cstheme="majorBidi"/>
          <w:sz w:val="20"/>
          <w:szCs w:val="20"/>
        </w:rPr>
        <w:t>66%-80% of patients on originator biologic and biosimilars respectively understood what biosimilars were.</w:t>
      </w:r>
      <w:r w:rsidR="00BE2800" w:rsidRPr="00BE2800">
        <w:t xml:space="preserve"> </w:t>
      </w:r>
      <w:r w:rsidR="00060A4B" w:rsidRPr="00A21A85">
        <w:rPr>
          <w:rFonts w:asciiTheme="majorBidi" w:hAnsiTheme="majorBidi" w:cstheme="majorBidi"/>
          <w:sz w:val="20"/>
          <w:szCs w:val="20"/>
        </w:rPr>
        <w:t xml:space="preserve">Patients who were </w:t>
      </w:r>
      <w:r w:rsidR="00500754" w:rsidRPr="00A21A85">
        <w:rPr>
          <w:rFonts w:asciiTheme="majorBidi" w:hAnsiTheme="majorBidi" w:cstheme="majorBidi"/>
          <w:sz w:val="20"/>
          <w:szCs w:val="20"/>
        </w:rPr>
        <w:t xml:space="preserve">currently on </w:t>
      </w:r>
      <w:r w:rsidR="00060A4B" w:rsidRPr="00A21A85">
        <w:rPr>
          <w:rFonts w:asciiTheme="majorBidi" w:hAnsiTheme="majorBidi" w:cstheme="majorBidi"/>
          <w:sz w:val="20"/>
          <w:szCs w:val="20"/>
        </w:rPr>
        <w:t xml:space="preserve">biosimilars had </w:t>
      </w:r>
      <w:r w:rsidR="00060A4B">
        <w:rPr>
          <w:rFonts w:asciiTheme="majorBidi" w:hAnsiTheme="majorBidi" w:cstheme="majorBidi"/>
          <w:sz w:val="20"/>
          <w:szCs w:val="20"/>
        </w:rPr>
        <w:t>g</w:t>
      </w:r>
      <w:r w:rsidR="0000763A" w:rsidRPr="00D76895">
        <w:rPr>
          <w:rFonts w:asciiTheme="majorBidi" w:hAnsiTheme="majorBidi" w:cstheme="majorBidi"/>
          <w:sz w:val="20"/>
          <w:szCs w:val="20"/>
        </w:rPr>
        <w:t xml:space="preserve">reater </w:t>
      </w:r>
      <w:r w:rsidR="00132DB6" w:rsidRPr="00D76895">
        <w:rPr>
          <w:rFonts w:asciiTheme="majorBidi" w:hAnsiTheme="majorBidi" w:cstheme="majorBidi"/>
          <w:sz w:val="20"/>
          <w:szCs w:val="20"/>
        </w:rPr>
        <w:t>confidence in</w:t>
      </w:r>
      <w:r w:rsidR="00060A4B">
        <w:rPr>
          <w:rFonts w:asciiTheme="majorBidi" w:hAnsiTheme="majorBidi" w:cstheme="majorBidi"/>
          <w:sz w:val="20"/>
          <w:szCs w:val="20"/>
        </w:rPr>
        <w:t xml:space="preserve"> their e</w:t>
      </w:r>
      <w:r w:rsidR="00132DB6" w:rsidRPr="00D76895">
        <w:rPr>
          <w:rFonts w:asciiTheme="majorBidi" w:hAnsiTheme="majorBidi" w:cstheme="majorBidi"/>
          <w:sz w:val="20"/>
          <w:szCs w:val="20"/>
        </w:rPr>
        <w:t>ffective</w:t>
      </w:r>
      <w:r w:rsidR="00060A4B">
        <w:rPr>
          <w:rFonts w:asciiTheme="majorBidi" w:hAnsiTheme="majorBidi" w:cstheme="majorBidi"/>
          <w:sz w:val="20"/>
          <w:szCs w:val="20"/>
        </w:rPr>
        <w:t xml:space="preserve">ness and </w:t>
      </w:r>
      <w:r w:rsidR="0000763A" w:rsidRPr="00D76895">
        <w:rPr>
          <w:rFonts w:asciiTheme="majorBidi" w:hAnsiTheme="majorBidi" w:cstheme="majorBidi"/>
          <w:sz w:val="20"/>
          <w:szCs w:val="20"/>
        </w:rPr>
        <w:t xml:space="preserve">the </w:t>
      </w:r>
      <w:r w:rsidR="00132DB6" w:rsidRPr="00D76895">
        <w:rPr>
          <w:rFonts w:asciiTheme="majorBidi" w:hAnsiTheme="majorBidi" w:cstheme="majorBidi"/>
          <w:sz w:val="20"/>
          <w:szCs w:val="20"/>
        </w:rPr>
        <w:t xml:space="preserve">doctor’s decision to initiate </w:t>
      </w:r>
      <w:r w:rsidR="00060A4B">
        <w:rPr>
          <w:rFonts w:asciiTheme="majorBidi" w:hAnsiTheme="majorBidi" w:cstheme="majorBidi"/>
          <w:sz w:val="20"/>
          <w:szCs w:val="20"/>
        </w:rPr>
        <w:t xml:space="preserve">than those who were originally on </w:t>
      </w:r>
      <w:r w:rsidR="00D87B7A" w:rsidRPr="00D87B7A">
        <w:rPr>
          <w:rFonts w:asciiTheme="majorBidi" w:hAnsiTheme="majorBidi" w:cstheme="majorBidi"/>
          <w:sz w:val="20"/>
          <w:szCs w:val="20"/>
        </w:rPr>
        <w:t>originator</w:t>
      </w:r>
      <w:r w:rsidR="00060A4B">
        <w:rPr>
          <w:rFonts w:asciiTheme="majorBidi" w:hAnsiTheme="majorBidi" w:cstheme="majorBidi"/>
          <w:sz w:val="20"/>
          <w:szCs w:val="20"/>
        </w:rPr>
        <w:t xml:space="preserve"> biologic</w:t>
      </w:r>
      <w:r w:rsidR="00D87B7A">
        <w:rPr>
          <w:rFonts w:asciiTheme="majorBidi" w:hAnsiTheme="majorBidi" w:cstheme="majorBidi"/>
          <w:sz w:val="20"/>
          <w:szCs w:val="20"/>
        </w:rPr>
        <w:t>s</w:t>
      </w:r>
      <w:r w:rsidR="00060A4B">
        <w:rPr>
          <w:rFonts w:asciiTheme="majorBidi" w:hAnsiTheme="majorBidi" w:cstheme="majorBidi"/>
          <w:sz w:val="20"/>
          <w:szCs w:val="20"/>
        </w:rPr>
        <w:t xml:space="preserve"> that doctors proposed to switch to </w:t>
      </w:r>
      <w:r w:rsidR="00132DB6" w:rsidRPr="00D76895">
        <w:rPr>
          <w:rFonts w:asciiTheme="majorBidi" w:hAnsiTheme="majorBidi" w:cstheme="majorBidi"/>
          <w:sz w:val="20"/>
          <w:szCs w:val="20"/>
        </w:rPr>
        <w:t xml:space="preserve">biosimilars. </w:t>
      </w:r>
      <w:r w:rsidR="0000763A" w:rsidRPr="00D76895">
        <w:rPr>
          <w:rFonts w:asciiTheme="majorBidi" w:hAnsiTheme="majorBidi" w:cstheme="majorBidi"/>
          <w:sz w:val="20"/>
          <w:szCs w:val="20"/>
        </w:rPr>
        <w:t>The majority (</w:t>
      </w:r>
      <w:r w:rsidR="00132DB6" w:rsidRPr="00D76895">
        <w:rPr>
          <w:rFonts w:asciiTheme="majorBidi" w:hAnsiTheme="majorBidi" w:cstheme="majorBidi"/>
          <w:sz w:val="20"/>
          <w:szCs w:val="20"/>
        </w:rPr>
        <w:t>82%</w:t>
      </w:r>
      <w:r w:rsidR="0000763A" w:rsidRPr="00D76895">
        <w:rPr>
          <w:rFonts w:asciiTheme="majorBidi" w:hAnsiTheme="majorBidi" w:cstheme="majorBidi"/>
          <w:sz w:val="20"/>
          <w:szCs w:val="20"/>
        </w:rPr>
        <w:t>)</w:t>
      </w:r>
      <w:r w:rsidR="00132DB6" w:rsidRPr="00D76895">
        <w:rPr>
          <w:rFonts w:asciiTheme="majorBidi" w:hAnsiTheme="majorBidi" w:cstheme="majorBidi"/>
          <w:sz w:val="20"/>
          <w:szCs w:val="20"/>
        </w:rPr>
        <w:t xml:space="preserve"> of </w:t>
      </w:r>
      <w:r w:rsidR="00D0280D">
        <w:rPr>
          <w:rFonts w:asciiTheme="majorBidi" w:hAnsiTheme="majorBidi" w:cstheme="majorBidi"/>
          <w:sz w:val="20"/>
          <w:szCs w:val="20"/>
        </w:rPr>
        <w:t xml:space="preserve">participants on </w:t>
      </w:r>
      <w:r w:rsidR="00132DB6" w:rsidRPr="00D76895">
        <w:rPr>
          <w:rFonts w:asciiTheme="majorBidi" w:hAnsiTheme="majorBidi" w:cstheme="majorBidi"/>
          <w:sz w:val="20"/>
          <w:szCs w:val="20"/>
        </w:rPr>
        <w:t>biosimilars thought that biosimila</w:t>
      </w:r>
      <w:r w:rsidR="0000763A" w:rsidRPr="00D76895">
        <w:rPr>
          <w:rFonts w:asciiTheme="majorBidi" w:hAnsiTheme="majorBidi" w:cstheme="majorBidi"/>
          <w:sz w:val="20"/>
          <w:szCs w:val="20"/>
        </w:rPr>
        <w:t xml:space="preserve">rs help saving money </w:t>
      </w:r>
      <w:r w:rsidR="00060A4B">
        <w:rPr>
          <w:rFonts w:asciiTheme="majorBidi" w:hAnsiTheme="majorBidi" w:cstheme="majorBidi"/>
          <w:sz w:val="20"/>
          <w:szCs w:val="20"/>
        </w:rPr>
        <w:t>for</w:t>
      </w:r>
      <w:r w:rsidR="0000763A" w:rsidRPr="00D76895">
        <w:rPr>
          <w:rFonts w:asciiTheme="majorBidi" w:hAnsiTheme="majorBidi" w:cstheme="majorBidi"/>
          <w:sz w:val="20"/>
          <w:szCs w:val="20"/>
        </w:rPr>
        <w:t xml:space="preserve"> the NHS</w:t>
      </w:r>
      <w:r w:rsidR="00F67DC1">
        <w:rPr>
          <w:rFonts w:asciiTheme="majorBidi" w:hAnsiTheme="majorBidi" w:cstheme="majorBidi"/>
          <w:sz w:val="20"/>
          <w:szCs w:val="20"/>
        </w:rPr>
        <w:t>,</w:t>
      </w:r>
      <w:r w:rsidR="00132DB6" w:rsidRPr="00D76895">
        <w:rPr>
          <w:rFonts w:asciiTheme="majorBidi" w:hAnsiTheme="majorBidi" w:cstheme="majorBidi"/>
          <w:sz w:val="20"/>
          <w:szCs w:val="20"/>
        </w:rPr>
        <w:t xml:space="preserve"> </w:t>
      </w:r>
      <w:r w:rsidR="0000763A" w:rsidRPr="00D76895">
        <w:rPr>
          <w:rFonts w:asciiTheme="majorBidi" w:hAnsiTheme="majorBidi" w:cstheme="majorBidi"/>
          <w:sz w:val="20"/>
          <w:szCs w:val="20"/>
        </w:rPr>
        <w:t>w</w:t>
      </w:r>
      <w:r w:rsidR="00132DB6" w:rsidRPr="00D76895">
        <w:rPr>
          <w:rFonts w:asciiTheme="majorBidi" w:hAnsiTheme="majorBidi" w:cstheme="majorBidi"/>
          <w:sz w:val="20"/>
          <w:szCs w:val="20"/>
        </w:rPr>
        <w:t>hile</w:t>
      </w:r>
      <w:r w:rsidR="0000763A" w:rsidRPr="00D76895">
        <w:rPr>
          <w:rFonts w:asciiTheme="majorBidi" w:hAnsiTheme="majorBidi" w:cstheme="majorBidi"/>
          <w:sz w:val="20"/>
          <w:szCs w:val="20"/>
        </w:rPr>
        <w:t xml:space="preserve"> just over half (</w:t>
      </w:r>
      <w:r w:rsidR="00132DB6" w:rsidRPr="00D76895">
        <w:rPr>
          <w:rFonts w:asciiTheme="majorBidi" w:hAnsiTheme="majorBidi" w:cstheme="majorBidi"/>
          <w:sz w:val="20"/>
          <w:szCs w:val="20"/>
        </w:rPr>
        <w:t>54%</w:t>
      </w:r>
      <w:r w:rsidR="0000763A" w:rsidRPr="00D76895">
        <w:rPr>
          <w:rFonts w:asciiTheme="majorBidi" w:hAnsiTheme="majorBidi" w:cstheme="majorBidi"/>
          <w:sz w:val="20"/>
          <w:szCs w:val="20"/>
        </w:rPr>
        <w:t>)</w:t>
      </w:r>
      <w:r w:rsidR="00132DB6" w:rsidRPr="00D76895">
        <w:rPr>
          <w:rFonts w:asciiTheme="majorBidi" w:hAnsiTheme="majorBidi" w:cstheme="majorBidi"/>
          <w:sz w:val="20"/>
          <w:szCs w:val="20"/>
        </w:rPr>
        <w:t xml:space="preserve"> of </w:t>
      </w:r>
      <w:r w:rsidR="00D0280D">
        <w:rPr>
          <w:rFonts w:asciiTheme="majorBidi" w:hAnsiTheme="majorBidi" w:cstheme="majorBidi"/>
          <w:sz w:val="20"/>
          <w:szCs w:val="20"/>
        </w:rPr>
        <w:t xml:space="preserve">participants on </w:t>
      </w:r>
      <w:r w:rsidR="00060A4B">
        <w:rPr>
          <w:rFonts w:asciiTheme="majorBidi" w:hAnsiTheme="majorBidi" w:cstheme="majorBidi"/>
          <w:sz w:val="20"/>
          <w:szCs w:val="20"/>
        </w:rPr>
        <w:t xml:space="preserve">the </w:t>
      </w:r>
      <w:r w:rsidR="00132DB6" w:rsidRPr="00D76895">
        <w:rPr>
          <w:rFonts w:asciiTheme="majorBidi" w:hAnsiTheme="majorBidi" w:cstheme="majorBidi"/>
          <w:sz w:val="20"/>
          <w:szCs w:val="20"/>
        </w:rPr>
        <w:t>originator</w:t>
      </w:r>
      <w:r w:rsidR="00D87B7A">
        <w:rPr>
          <w:rFonts w:asciiTheme="majorBidi" w:hAnsiTheme="majorBidi" w:cstheme="majorBidi"/>
          <w:sz w:val="20"/>
          <w:szCs w:val="20"/>
        </w:rPr>
        <w:t xml:space="preserve"> biologics</w:t>
      </w:r>
      <w:r w:rsidR="00132DB6" w:rsidRPr="00D76895">
        <w:rPr>
          <w:rFonts w:asciiTheme="majorBidi" w:hAnsiTheme="majorBidi" w:cstheme="majorBidi"/>
          <w:sz w:val="20"/>
          <w:szCs w:val="20"/>
        </w:rPr>
        <w:t xml:space="preserve"> thought </w:t>
      </w:r>
      <w:r w:rsidR="0000763A" w:rsidRPr="00D76895">
        <w:rPr>
          <w:rFonts w:asciiTheme="majorBidi" w:hAnsiTheme="majorBidi" w:cstheme="majorBidi"/>
          <w:sz w:val="20"/>
          <w:szCs w:val="20"/>
        </w:rPr>
        <w:t xml:space="preserve">the </w:t>
      </w:r>
      <w:r w:rsidR="00132DB6" w:rsidRPr="00D76895">
        <w:rPr>
          <w:rFonts w:asciiTheme="majorBidi" w:hAnsiTheme="majorBidi" w:cstheme="majorBidi"/>
          <w:sz w:val="20"/>
          <w:szCs w:val="20"/>
        </w:rPr>
        <w:t>cost of treatment should not be considered when prescribing biosimilars.</w:t>
      </w:r>
    </w:p>
    <w:p w:rsidR="001C3E41" w:rsidRPr="00D76895" w:rsidRDefault="00BA082B" w:rsidP="001C3E41">
      <w:pPr>
        <w:jc w:val="both"/>
        <w:rPr>
          <w:rFonts w:asciiTheme="majorBidi" w:hAnsiTheme="majorBidi" w:cstheme="majorBidi"/>
          <w:b/>
          <w:bCs/>
          <w:sz w:val="20"/>
          <w:szCs w:val="20"/>
        </w:rPr>
      </w:pPr>
      <w:r w:rsidRPr="00D76895">
        <w:rPr>
          <w:rFonts w:asciiTheme="majorBidi" w:hAnsiTheme="majorBidi" w:cstheme="majorBidi"/>
          <w:b/>
          <w:bCs/>
          <w:i/>
          <w:iCs/>
          <w:sz w:val="20"/>
          <w:szCs w:val="20"/>
        </w:rPr>
        <w:lastRenderedPageBreak/>
        <w:t>Conclusions</w:t>
      </w:r>
      <w:r w:rsidR="00C83494" w:rsidRPr="00D76895">
        <w:t xml:space="preserve"> </w:t>
      </w:r>
      <w:r w:rsidR="00B00AD7">
        <w:rPr>
          <w:rFonts w:asciiTheme="majorBidi" w:hAnsiTheme="majorBidi" w:cstheme="majorBidi"/>
          <w:sz w:val="20"/>
          <w:szCs w:val="20"/>
        </w:rPr>
        <w:t>Survey participants</w:t>
      </w:r>
      <w:r w:rsidR="00A03FA0" w:rsidRPr="00D76895">
        <w:rPr>
          <w:rFonts w:asciiTheme="majorBidi" w:hAnsiTheme="majorBidi" w:cstheme="majorBidi"/>
          <w:sz w:val="20"/>
          <w:szCs w:val="20"/>
        </w:rPr>
        <w:t xml:space="preserve"> </w:t>
      </w:r>
      <w:r w:rsidR="00C83494" w:rsidRPr="00D76895">
        <w:rPr>
          <w:rFonts w:asciiTheme="majorBidi" w:hAnsiTheme="majorBidi" w:cstheme="majorBidi"/>
          <w:sz w:val="20"/>
          <w:szCs w:val="20"/>
        </w:rPr>
        <w:t>ha</w:t>
      </w:r>
      <w:r w:rsidR="00060A4B">
        <w:rPr>
          <w:rFonts w:asciiTheme="majorBidi" w:hAnsiTheme="majorBidi" w:cstheme="majorBidi"/>
          <w:sz w:val="20"/>
          <w:szCs w:val="20"/>
        </w:rPr>
        <w:t>d</w:t>
      </w:r>
      <w:r w:rsidR="00C83494" w:rsidRPr="00D76895">
        <w:rPr>
          <w:rFonts w:asciiTheme="majorBidi" w:hAnsiTheme="majorBidi" w:cstheme="majorBidi"/>
          <w:sz w:val="20"/>
          <w:szCs w:val="20"/>
        </w:rPr>
        <w:t xml:space="preserve"> a good knowledge and understanding of biosimilars. </w:t>
      </w:r>
      <w:r w:rsidR="00091748">
        <w:rPr>
          <w:rFonts w:asciiTheme="majorBidi" w:hAnsiTheme="majorBidi" w:cstheme="majorBidi"/>
          <w:sz w:val="20"/>
          <w:szCs w:val="20"/>
        </w:rPr>
        <w:t>Participants on b</w:t>
      </w:r>
      <w:r w:rsidR="00C83494" w:rsidRPr="00D76895">
        <w:rPr>
          <w:rFonts w:asciiTheme="majorBidi" w:hAnsiTheme="majorBidi" w:cstheme="majorBidi"/>
          <w:sz w:val="20"/>
          <w:szCs w:val="20"/>
        </w:rPr>
        <w:t>iosimilars were confident and positive about biosimilars</w:t>
      </w:r>
      <w:r w:rsidR="00060A4B">
        <w:rPr>
          <w:rFonts w:asciiTheme="majorBidi" w:hAnsiTheme="majorBidi" w:cstheme="majorBidi"/>
          <w:sz w:val="20"/>
          <w:szCs w:val="20"/>
        </w:rPr>
        <w:t>’</w:t>
      </w:r>
      <w:r w:rsidR="00A03FA0" w:rsidRPr="00D76895">
        <w:rPr>
          <w:rFonts w:asciiTheme="majorBidi" w:hAnsiTheme="majorBidi" w:cstheme="majorBidi"/>
          <w:sz w:val="20"/>
          <w:szCs w:val="20"/>
        </w:rPr>
        <w:t xml:space="preserve"> safety, efficacy and switching</w:t>
      </w:r>
      <w:r w:rsidR="00D87B7A">
        <w:rPr>
          <w:rFonts w:asciiTheme="majorBidi" w:hAnsiTheme="majorBidi" w:cstheme="majorBidi"/>
          <w:sz w:val="20"/>
          <w:szCs w:val="20"/>
        </w:rPr>
        <w:t>,</w:t>
      </w:r>
      <w:r w:rsidR="00A03FA0" w:rsidRPr="00D76895">
        <w:rPr>
          <w:rFonts w:asciiTheme="majorBidi" w:hAnsiTheme="majorBidi" w:cstheme="majorBidi"/>
          <w:sz w:val="20"/>
          <w:szCs w:val="20"/>
        </w:rPr>
        <w:t xml:space="preserve"> whereas </w:t>
      </w:r>
      <w:r w:rsidR="00091748">
        <w:rPr>
          <w:rFonts w:asciiTheme="majorBidi" w:hAnsiTheme="majorBidi" w:cstheme="majorBidi"/>
          <w:sz w:val="20"/>
          <w:szCs w:val="20"/>
        </w:rPr>
        <w:t xml:space="preserve">participants on </w:t>
      </w:r>
      <w:r w:rsidR="00060A4B">
        <w:rPr>
          <w:rFonts w:asciiTheme="majorBidi" w:hAnsiTheme="majorBidi" w:cstheme="majorBidi"/>
          <w:sz w:val="20"/>
          <w:szCs w:val="20"/>
        </w:rPr>
        <w:t xml:space="preserve">the </w:t>
      </w:r>
      <w:r w:rsidR="00A03FA0" w:rsidRPr="00D76895">
        <w:rPr>
          <w:rFonts w:asciiTheme="majorBidi" w:hAnsiTheme="majorBidi" w:cstheme="majorBidi"/>
          <w:sz w:val="20"/>
          <w:szCs w:val="20"/>
        </w:rPr>
        <w:t>o</w:t>
      </w:r>
      <w:r w:rsidR="00C83494" w:rsidRPr="00D76895">
        <w:rPr>
          <w:rFonts w:asciiTheme="majorBidi" w:hAnsiTheme="majorBidi" w:cstheme="majorBidi"/>
          <w:sz w:val="20"/>
          <w:szCs w:val="20"/>
        </w:rPr>
        <w:t>riginator</w:t>
      </w:r>
      <w:r w:rsidR="00D87B7A">
        <w:rPr>
          <w:rFonts w:asciiTheme="majorBidi" w:hAnsiTheme="majorBidi" w:cstheme="majorBidi"/>
          <w:sz w:val="20"/>
          <w:szCs w:val="20"/>
        </w:rPr>
        <w:t xml:space="preserve"> biologics</w:t>
      </w:r>
      <w:r w:rsidR="00C83494" w:rsidRPr="00D76895">
        <w:rPr>
          <w:rFonts w:asciiTheme="majorBidi" w:hAnsiTheme="majorBidi" w:cstheme="majorBidi"/>
          <w:sz w:val="20"/>
          <w:szCs w:val="20"/>
        </w:rPr>
        <w:t xml:space="preserve"> were more reluctant to switch to biosimilars.</w:t>
      </w:r>
      <w:r w:rsidR="00060A4B">
        <w:rPr>
          <w:rFonts w:asciiTheme="majorBidi" w:hAnsiTheme="majorBidi" w:cstheme="majorBidi"/>
          <w:sz w:val="20"/>
          <w:szCs w:val="20"/>
        </w:rPr>
        <w:t xml:space="preserve"> Those patients who expressed concerns felt that m</w:t>
      </w:r>
      <w:r w:rsidR="00C83494" w:rsidRPr="00D76895">
        <w:rPr>
          <w:rFonts w:asciiTheme="majorBidi" w:hAnsiTheme="majorBidi" w:cstheme="majorBidi"/>
          <w:sz w:val="20"/>
          <w:szCs w:val="20"/>
        </w:rPr>
        <w:t>ore clinical tri</w:t>
      </w:r>
      <w:r w:rsidR="00091748">
        <w:rPr>
          <w:rFonts w:asciiTheme="majorBidi" w:hAnsiTheme="majorBidi" w:cstheme="majorBidi"/>
          <w:sz w:val="20"/>
          <w:szCs w:val="20"/>
        </w:rPr>
        <w:t>als on switching biosimilars,</w:t>
      </w:r>
      <w:r w:rsidR="00C83494" w:rsidRPr="00D76895">
        <w:rPr>
          <w:rFonts w:asciiTheme="majorBidi" w:hAnsiTheme="majorBidi" w:cstheme="majorBidi"/>
          <w:sz w:val="20"/>
          <w:szCs w:val="20"/>
        </w:rPr>
        <w:t xml:space="preserve"> </w:t>
      </w:r>
      <w:r w:rsidR="00060A4B">
        <w:rPr>
          <w:rFonts w:asciiTheme="majorBidi" w:hAnsiTheme="majorBidi" w:cstheme="majorBidi"/>
          <w:sz w:val="20"/>
          <w:szCs w:val="20"/>
        </w:rPr>
        <w:t xml:space="preserve">better </w:t>
      </w:r>
      <w:r w:rsidR="00C83494" w:rsidRPr="00D76895">
        <w:rPr>
          <w:rFonts w:asciiTheme="majorBidi" w:hAnsiTheme="majorBidi" w:cstheme="majorBidi"/>
          <w:sz w:val="20"/>
          <w:szCs w:val="20"/>
        </w:rPr>
        <w:t xml:space="preserve">communication and reassurance by </w:t>
      </w:r>
      <w:r w:rsidR="00A03FA0" w:rsidRPr="00D76895">
        <w:rPr>
          <w:rFonts w:asciiTheme="majorBidi" w:hAnsiTheme="majorBidi" w:cstheme="majorBidi"/>
          <w:sz w:val="20"/>
          <w:szCs w:val="20"/>
        </w:rPr>
        <w:t xml:space="preserve">healthcare professional </w:t>
      </w:r>
      <w:r w:rsidR="00C83494" w:rsidRPr="00D76895">
        <w:rPr>
          <w:rFonts w:asciiTheme="majorBidi" w:hAnsiTheme="majorBidi" w:cstheme="majorBidi"/>
          <w:sz w:val="20"/>
          <w:szCs w:val="20"/>
        </w:rPr>
        <w:t>team</w:t>
      </w:r>
      <w:r w:rsidR="00A03FA0" w:rsidRPr="00D76895">
        <w:rPr>
          <w:rFonts w:asciiTheme="majorBidi" w:hAnsiTheme="majorBidi" w:cstheme="majorBidi"/>
          <w:sz w:val="20"/>
          <w:szCs w:val="20"/>
        </w:rPr>
        <w:t>s</w:t>
      </w:r>
      <w:r w:rsidR="00060A4B">
        <w:rPr>
          <w:rFonts w:asciiTheme="majorBidi" w:hAnsiTheme="majorBidi" w:cstheme="majorBidi"/>
          <w:sz w:val="20"/>
          <w:szCs w:val="20"/>
        </w:rPr>
        <w:t xml:space="preserve"> and further involvement in</w:t>
      </w:r>
      <w:r w:rsidR="00C83494" w:rsidRPr="00D76895">
        <w:rPr>
          <w:rFonts w:asciiTheme="majorBidi" w:hAnsiTheme="majorBidi" w:cstheme="majorBidi"/>
          <w:sz w:val="20"/>
          <w:szCs w:val="20"/>
        </w:rPr>
        <w:t xml:space="preserve"> decision-making </w:t>
      </w:r>
      <w:r w:rsidR="00060A4B">
        <w:rPr>
          <w:rFonts w:asciiTheme="majorBidi" w:hAnsiTheme="majorBidi" w:cstheme="majorBidi"/>
          <w:sz w:val="20"/>
          <w:szCs w:val="20"/>
        </w:rPr>
        <w:t xml:space="preserve">would </w:t>
      </w:r>
      <w:r w:rsidR="003D7398">
        <w:rPr>
          <w:rFonts w:asciiTheme="majorBidi" w:hAnsiTheme="majorBidi" w:cstheme="majorBidi"/>
          <w:sz w:val="20"/>
          <w:szCs w:val="20"/>
        </w:rPr>
        <w:t xml:space="preserve">increase </w:t>
      </w:r>
      <w:r w:rsidR="00060A4B">
        <w:rPr>
          <w:rFonts w:asciiTheme="majorBidi" w:hAnsiTheme="majorBidi" w:cstheme="majorBidi"/>
          <w:sz w:val="20"/>
          <w:szCs w:val="20"/>
        </w:rPr>
        <w:t xml:space="preserve">their </w:t>
      </w:r>
      <w:r w:rsidR="00060A4B" w:rsidRPr="00D76895">
        <w:rPr>
          <w:rFonts w:asciiTheme="majorBidi" w:hAnsiTheme="majorBidi" w:cstheme="majorBidi"/>
          <w:sz w:val="20"/>
          <w:szCs w:val="20"/>
        </w:rPr>
        <w:t xml:space="preserve">acceptance </w:t>
      </w:r>
      <w:r w:rsidR="00060A4B">
        <w:rPr>
          <w:rFonts w:asciiTheme="majorBidi" w:hAnsiTheme="majorBidi" w:cstheme="majorBidi"/>
          <w:sz w:val="20"/>
          <w:szCs w:val="20"/>
        </w:rPr>
        <w:t>of</w:t>
      </w:r>
      <w:r w:rsidR="00C83494" w:rsidRPr="00D76895">
        <w:rPr>
          <w:rFonts w:asciiTheme="majorBidi" w:hAnsiTheme="majorBidi" w:cstheme="majorBidi"/>
          <w:sz w:val="20"/>
          <w:szCs w:val="20"/>
        </w:rPr>
        <w:t xml:space="preserve"> biosimilars.</w:t>
      </w:r>
    </w:p>
    <w:p w:rsidR="00BA082B" w:rsidRPr="00D76895" w:rsidRDefault="00BA082B" w:rsidP="001C3E41">
      <w:pPr>
        <w:jc w:val="both"/>
        <w:rPr>
          <w:rFonts w:asciiTheme="majorBidi" w:hAnsiTheme="majorBidi" w:cstheme="majorBidi"/>
          <w:b/>
          <w:bCs/>
          <w:sz w:val="20"/>
          <w:szCs w:val="20"/>
        </w:rPr>
      </w:pPr>
      <w:r w:rsidRPr="00D76895">
        <w:rPr>
          <w:rFonts w:asciiTheme="majorBidi" w:hAnsiTheme="majorBidi" w:cstheme="majorBidi"/>
          <w:b/>
          <w:bCs/>
          <w:sz w:val="20"/>
          <w:szCs w:val="20"/>
        </w:rPr>
        <w:t>Key points</w:t>
      </w:r>
    </w:p>
    <w:p w:rsidR="00B47C34" w:rsidRPr="00F10571" w:rsidRDefault="00B47C34" w:rsidP="00B47C34">
      <w:pPr>
        <w:pStyle w:val="ListParagraph"/>
        <w:numPr>
          <w:ilvl w:val="0"/>
          <w:numId w:val="13"/>
        </w:numPr>
        <w:shd w:val="clear" w:color="auto" w:fill="FFFFFF"/>
        <w:jc w:val="both"/>
        <w:rPr>
          <w:rFonts w:ascii="Arial" w:hAnsi="Arial" w:cs="Arial"/>
          <w:color w:val="222222"/>
          <w:sz w:val="19"/>
          <w:szCs w:val="19"/>
        </w:rPr>
      </w:pPr>
      <w:r w:rsidRPr="00B47C34">
        <w:rPr>
          <w:rFonts w:ascii="Times New Roman"/>
          <w:color w:val="222222"/>
          <w:sz w:val="20"/>
          <w:szCs w:val="20"/>
        </w:rPr>
        <w:t>Ankylosing spondylitis and rheumatoid arthritis</w:t>
      </w:r>
      <w:r w:rsidRPr="00B47C34">
        <w:rPr>
          <w:rFonts w:ascii="Times New Roman"/>
          <w:b/>
          <w:bCs/>
          <w:color w:val="222222"/>
          <w:sz w:val="20"/>
          <w:szCs w:val="20"/>
        </w:rPr>
        <w:t> </w:t>
      </w:r>
      <w:r w:rsidRPr="00B47C34">
        <w:rPr>
          <w:rFonts w:ascii="Times New Roman"/>
          <w:color w:val="222222"/>
          <w:sz w:val="20"/>
          <w:szCs w:val="20"/>
        </w:rPr>
        <w:t xml:space="preserve">patients </w:t>
      </w:r>
      <w:r>
        <w:rPr>
          <w:rFonts w:ascii="Times New Roman"/>
          <w:color w:val="222222"/>
          <w:sz w:val="20"/>
          <w:szCs w:val="20"/>
        </w:rPr>
        <w:t>on</w:t>
      </w:r>
      <w:r w:rsidRPr="00B47C34">
        <w:rPr>
          <w:rFonts w:ascii="Times New Roman"/>
          <w:color w:val="222222"/>
          <w:sz w:val="20"/>
          <w:szCs w:val="20"/>
        </w:rPr>
        <w:t xml:space="preserve"> biosimilars were more well informed and confident in biosimilars than those </w:t>
      </w:r>
      <w:r>
        <w:rPr>
          <w:rFonts w:ascii="Times New Roman"/>
          <w:color w:val="222222"/>
          <w:sz w:val="20"/>
          <w:szCs w:val="20"/>
        </w:rPr>
        <w:t>on</w:t>
      </w:r>
      <w:r w:rsidRPr="00B47C34">
        <w:rPr>
          <w:rFonts w:ascii="Times New Roman"/>
          <w:color w:val="222222"/>
          <w:sz w:val="20"/>
          <w:szCs w:val="20"/>
        </w:rPr>
        <w:t xml:space="preserve"> originator biologic</w:t>
      </w:r>
      <w:r w:rsidR="00D87B7A">
        <w:rPr>
          <w:rFonts w:ascii="Times New Roman"/>
          <w:color w:val="222222"/>
          <w:sz w:val="20"/>
          <w:szCs w:val="20"/>
        </w:rPr>
        <w:t>s</w:t>
      </w:r>
      <w:r w:rsidRPr="00B47C34">
        <w:rPr>
          <w:rFonts w:ascii="Times New Roman"/>
          <w:color w:val="222222"/>
          <w:sz w:val="20"/>
          <w:szCs w:val="20"/>
        </w:rPr>
        <w:t>.</w:t>
      </w:r>
    </w:p>
    <w:p w:rsidR="00F10571" w:rsidRPr="00F10571" w:rsidRDefault="00F10571" w:rsidP="00B47C34">
      <w:pPr>
        <w:pStyle w:val="ListParagraph"/>
        <w:numPr>
          <w:ilvl w:val="0"/>
          <w:numId w:val="13"/>
        </w:numPr>
        <w:shd w:val="clear" w:color="auto" w:fill="FFFFFF"/>
        <w:jc w:val="both"/>
        <w:rPr>
          <w:rFonts w:ascii="Arial" w:hAnsi="Arial" w:cs="Arial"/>
          <w:color w:val="222222"/>
          <w:sz w:val="19"/>
          <w:szCs w:val="19"/>
        </w:rPr>
      </w:pPr>
      <w:r>
        <w:rPr>
          <w:rFonts w:ascii="Times New Roman"/>
          <w:color w:val="222222"/>
          <w:sz w:val="20"/>
          <w:szCs w:val="20"/>
        </w:rPr>
        <w:t>Both group of patients surveyed wanted clarity about reasons for switching.</w:t>
      </w:r>
    </w:p>
    <w:p w:rsidR="00F10571" w:rsidRPr="00B47C34" w:rsidRDefault="00F10571" w:rsidP="00B47C34">
      <w:pPr>
        <w:pStyle w:val="ListParagraph"/>
        <w:numPr>
          <w:ilvl w:val="0"/>
          <w:numId w:val="13"/>
        </w:numPr>
        <w:shd w:val="clear" w:color="auto" w:fill="FFFFFF"/>
        <w:jc w:val="both"/>
        <w:rPr>
          <w:rFonts w:ascii="Arial" w:hAnsi="Arial" w:cs="Arial"/>
          <w:color w:val="222222"/>
          <w:sz w:val="19"/>
          <w:szCs w:val="19"/>
        </w:rPr>
      </w:pPr>
      <w:r>
        <w:rPr>
          <w:rFonts w:ascii="Times New Roman"/>
          <w:color w:val="222222"/>
          <w:sz w:val="20"/>
          <w:szCs w:val="20"/>
        </w:rPr>
        <w:t>Those on biosimilars accepted that switching saved money for the NHS. Those on originator biologics thought that cost should not be an issue.</w:t>
      </w:r>
    </w:p>
    <w:p w:rsidR="00A3535B" w:rsidRPr="00F10571" w:rsidRDefault="00F10571" w:rsidP="00192334">
      <w:pPr>
        <w:pStyle w:val="ListParagraph"/>
        <w:numPr>
          <w:ilvl w:val="0"/>
          <w:numId w:val="13"/>
        </w:numPr>
        <w:shd w:val="clear" w:color="auto" w:fill="FFFFFF"/>
        <w:jc w:val="both"/>
        <w:rPr>
          <w:rFonts w:ascii="Times New Roman" w:eastAsia="Cambria"/>
          <w:b/>
          <w:bCs/>
          <w:sz w:val="20"/>
          <w:szCs w:val="20"/>
        </w:rPr>
      </w:pPr>
      <w:r w:rsidRPr="00F10571">
        <w:rPr>
          <w:rFonts w:ascii="Times New Roman"/>
          <w:color w:val="222222"/>
          <w:sz w:val="20"/>
          <w:szCs w:val="20"/>
        </w:rPr>
        <w:t xml:space="preserve">Both </w:t>
      </w:r>
      <w:r w:rsidR="00E72299" w:rsidRPr="00F10571">
        <w:rPr>
          <w:rFonts w:ascii="Times New Roman"/>
          <w:color w:val="222222"/>
          <w:sz w:val="20"/>
          <w:szCs w:val="20"/>
        </w:rPr>
        <w:t>patients’</w:t>
      </w:r>
      <w:r w:rsidRPr="00F10571">
        <w:rPr>
          <w:rFonts w:ascii="Times New Roman"/>
          <w:color w:val="222222"/>
          <w:sz w:val="20"/>
          <w:szCs w:val="20"/>
        </w:rPr>
        <w:t xml:space="preserve"> groups felt the more clinical trials and better communications with h</w:t>
      </w:r>
      <w:r w:rsidR="00B47C34" w:rsidRPr="00F10571">
        <w:rPr>
          <w:rFonts w:ascii="Times New Roman"/>
          <w:color w:val="222222"/>
          <w:sz w:val="20"/>
          <w:szCs w:val="20"/>
        </w:rPr>
        <w:t xml:space="preserve">ealthcare </w:t>
      </w:r>
      <w:r w:rsidR="00E72299" w:rsidRPr="00F10571">
        <w:rPr>
          <w:rFonts w:ascii="Times New Roman"/>
          <w:color w:val="222222"/>
          <w:sz w:val="20"/>
          <w:szCs w:val="20"/>
        </w:rPr>
        <w:t>professionals</w:t>
      </w:r>
      <w:r w:rsidR="00B47C34" w:rsidRPr="00F10571">
        <w:rPr>
          <w:rFonts w:ascii="Times New Roman"/>
          <w:color w:val="222222"/>
          <w:sz w:val="20"/>
          <w:szCs w:val="20"/>
        </w:rPr>
        <w:t xml:space="preserve"> </w:t>
      </w:r>
      <w:r>
        <w:rPr>
          <w:rFonts w:ascii="Times New Roman"/>
          <w:color w:val="222222"/>
          <w:sz w:val="20"/>
          <w:szCs w:val="20"/>
        </w:rPr>
        <w:t>would increase reassurance.</w:t>
      </w:r>
    </w:p>
    <w:p w:rsidR="00F10571" w:rsidRPr="00E72299" w:rsidRDefault="00F10571" w:rsidP="00E72299">
      <w:pPr>
        <w:shd w:val="clear" w:color="auto" w:fill="FFFFFF"/>
        <w:ind w:left="360"/>
        <w:jc w:val="both"/>
        <w:rPr>
          <w:rFonts w:ascii="Times New Roman" w:eastAsia="Cambria"/>
          <w:b/>
          <w:bCs/>
          <w:sz w:val="20"/>
          <w:szCs w:val="20"/>
        </w:rPr>
      </w:pPr>
    </w:p>
    <w:p w:rsidR="00A3535B" w:rsidRPr="00A3535B" w:rsidRDefault="00A3535B" w:rsidP="00A3535B">
      <w:pPr>
        <w:shd w:val="clear" w:color="auto" w:fill="FFFFFF"/>
        <w:jc w:val="both"/>
        <w:rPr>
          <w:rFonts w:ascii="Arial" w:hAnsi="Arial" w:cs="Arial"/>
          <w:color w:val="222222"/>
          <w:sz w:val="19"/>
          <w:szCs w:val="19"/>
        </w:rPr>
      </w:pPr>
      <w:r w:rsidRPr="00A3535B">
        <w:rPr>
          <w:rFonts w:ascii="Times New Roman" w:eastAsia="Cambria"/>
          <w:b/>
          <w:bCs/>
          <w:sz w:val="20"/>
          <w:szCs w:val="20"/>
        </w:rPr>
        <w:t>Acknowledgements</w:t>
      </w:r>
    </w:p>
    <w:p w:rsidR="00A3535B" w:rsidRPr="00A3535B" w:rsidRDefault="00A3535B" w:rsidP="00A3535B">
      <w:pPr>
        <w:jc w:val="both"/>
        <w:rPr>
          <w:rFonts w:asciiTheme="majorBidi" w:hAnsiTheme="majorBidi" w:cstheme="majorBidi"/>
          <w:sz w:val="20"/>
          <w:szCs w:val="20"/>
        </w:rPr>
      </w:pPr>
      <w:r w:rsidRPr="00A3535B">
        <w:rPr>
          <w:rFonts w:ascii="Times New Roman" w:eastAsia="Cambria"/>
          <w:sz w:val="20"/>
          <w:szCs w:val="20"/>
        </w:rPr>
        <w:t xml:space="preserve">The authors would like to acknowledge the </w:t>
      </w:r>
      <w:r w:rsidR="00D87B7A">
        <w:rPr>
          <w:rFonts w:ascii="Times New Roman" w:eastAsia="Cambria"/>
          <w:sz w:val="20"/>
          <w:szCs w:val="20"/>
        </w:rPr>
        <w:t>N</w:t>
      </w:r>
      <w:r w:rsidRPr="00A3535B">
        <w:rPr>
          <w:rFonts w:ascii="Times New Roman" w:eastAsia="Cambria"/>
          <w:sz w:val="20"/>
          <w:szCs w:val="20"/>
        </w:rPr>
        <w:t xml:space="preserve">ational </w:t>
      </w:r>
      <w:r w:rsidR="00D87B7A">
        <w:rPr>
          <w:rFonts w:ascii="Times New Roman" w:eastAsia="Cambria"/>
          <w:sz w:val="20"/>
          <w:szCs w:val="20"/>
        </w:rPr>
        <w:t>R</w:t>
      </w:r>
      <w:r w:rsidRPr="00A3535B">
        <w:rPr>
          <w:rFonts w:ascii="Times New Roman" w:eastAsia="Cambria"/>
          <w:sz w:val="20"/>
          <w:szCs w:val="20"/>
        </w:rPr>
        <w:t xml:space="preserve">heumatoid </w:t>
      </w:r>
      <w:r w:rsidR="00D87B7A">
        <w:rPr>
          <w:rFonts w:ascii="Times New Roman" w:eastAsia="Cambria"/>
          <w:sz w:val="20"/>
          <w:szCs w:val="20"/>
        </w:rPr>
        <w:t>A</w:t>
      </w:r>
      <w:r w:rsidRPr="00A3535B">
        <w:rPr>
          <w:rFonts w:ascii="Times New Roman" w:eastAsia="Cambria"/>
          <w:sz w:val="20"/>
          <w:szCs w:val="20"/>
        </w:rPr>
        <w:t xml:space="preserve">rthritis </w:t>
      </w:r>
      <w:r w:rsidR="00D87B7A">
        <w:rPr>
          <w:rFonts w:ascii="Times New Roman" w:eastAsia="Cambria"/>
          <w:sz w:val="20"/>
          <w:szCs w:val="20"/>
        </w:rPr>
        <w:t>S</w:t>
      </w:r>
      <w:r w:rsidRPr="00A3535B">
        <w:rPr>
          <w:rFonts w:ascii="Times New Roman" w:eastAsia="Cambria"/>
          <w:sz w:val="20"/>
          <w:szCs w:val="20"/>
        </w:rPr>
        <w:t xml:space="preserve">ociety and the </w:t>
      </w:r>
      <w:r w:rsidR="00D87B7A">
        <w:rPr>
          <w:rFonts w:ascii="Times New Roman" w:eastAsia="Cambria"/>
          <w:sz w:val="20"/>
          <w:szCs w:val="20"/>
        </w:rPr>
        <w:t>N</w:t>
      </w:r>
      <w:r w:rsidRPr="00A3535B">
        <w:rPr>
          <w:rFonts w:ascii="Times New Roman" w:eastAsia="Cambria"/>
          <w:sz w:val="20"/>
          <w:szCs w:val="20"/>
        </w:rPr>
        <w:t xml:space="preserve">ational </w:t>
      </w:r>
      <w:r w:rsidR="00D87B7A">
        <w:rPr>
          <w:rFonts w:ascii="Times New Roman" w:eastAsia="Cambria"/>
          <w:sz w:val="20"/>
          <w:szCs w:val="20"/>
        </w:rPr>
        <w:t>A</w:t>
      </w:r>
      <w:r w:rsidRPr="00A3535B">
        <w:rPr>
          <w:rFonts w:ascii="Times New Roman" w:eastAsia="Cambria"/>
          <w:sz w:val="20"/>
          <w:szCs w:val="20"/>
        </w:rPr>
        <w:t xml:space="preserve">nkylosing </w:t>
      </w:r>
      <w:r w:rsidR="00D87B7A">
        <w:rPr>
          <w:rFonts w:ascii="Times New Roman" w:eastAsia="Cambria"/>
          <w:sz w:val="20"/>
          <w:szCs w:val="20"/>
        </w:rPr>
        <w:t>S</w:t>
      </w:r>
      <w:r w:rsidRPr="00A3535B">
        <w:rPr>
          <w:rFonts w:ascii="Times New Roman" w:eastAsia="Cambria"/>
          <w:sz w:val="20"/>
          <w:szCs w:val="20"/>
        </w:rPr>
        <w:t xml:space="preserve">pondylitis </w:t>
      </w:r>
      <w:r w:rsidR="00D87B7A">
        <w:rPr>
          <w:rFonts w:ascii="Times New Roman" w:eastAsia="Cambria"/>
          <w:sz w:val="20"/>
          <w:szCs w:val="20"/>
        </w:rPr>
        <w:t>S</w:t>
      </w:r>
      <w:r w:rsidRPr="00A3535B">
        <w:rPr>
          <w:rFonts w:ascii="Times New Roman" w:eastAsia="Cambria"/>
          <w:sz w:val="20"/>
          <w:szCs w:val="20"/>
        </w:rPr>
        <w:t>ociety, everyone who provided assistance in the dissemination of the survey, and all participants who completed the questionnaire.</w:t>
      </w:r>
      <w:r w:rsidR="00565257">
        <w:rPr>
          <w:rFonts w:ascii="Times New Roman" w:eastAsia="Cambria"/>
          <w:sz w:val="20"/>
          <w:szCs w:val="20"/>
        </w:rPr>
        <w:t xml:space="preserve"> M</w:t>
      </w:r>
      <w:r w:rsidR="00E72299">
        <w:rPr>
          <w:rFonts w:ascii="Times New Roman" w:eastAsia="Cambria"/>
          <w:sz w:val="20"/>
          <w:szCs w:val="20"/>
        </w:rPr>
        <w:t>ohammed Aladul</w:t>
      </w:r>
      <w:r w:rsidR="00565257">
        <w:rPr>
          <w:rFonts w:ascii="Times New Roman" w:eastAsia="Cambria"/>
          <w:sz w:val="20"/>
          <w:szCs w:val="20"/>
        </w:rPr>
        <w:t xml:space="preserve"> </w:t>
      </w:r>
      <w:r w:rsidR="007661D6">
        <w:rPr>
          <w:rFonts w:ascii="Times New Roman" w:eastAsia="Cambria"/>
          <w:sz w:val="20"/>
          <w:szCs w:val="20"/>
        </w:rPr>
        <w:t xml:space="preserve">was sponsored by the </w:t>
      </w:r>
      <w:r w:rsidR="00E72299" w:rsidRPr="00E72299">
        <w:rPr>
          <w:rFonts w:ascii="Times New Roman" w:eastAsia="Cambria"/>
          <w:sz w:val="20"/>
          <w:szCs w:val="20"/>
        </w:rPr>
        <w:t xml:space="preserve">Higher Committee </w:t>
      </w:r>
      <w:r w:rsidR="00E72299">
        <w:rPr>
          <w:rFonts w:ascii="Times New Roman" w:eastAsia="Cambria"/>
          <w:sz w:val="20"/>
          <w:szCs w:val="20"/>
        </w:rPr>
        <w:t>f</w:t>
      </w:r>
      <w:r w:rsidR="00E72299" w:rsidRPr="00E72299">
        <w:rPr>
          <w:rFonts w:ascii="Times New Roman" w:eastAsia="Cambria"/>
          <w:sz w:val="20"/>
          <w:szCs w:val="20"/>
        </w:rPr>
        <w:t>or Education Development in Iraq</w:t>
      </w:r>
      <w:r w:rsidR="007661D6">
        <w:rPr>
          <w:rFonts w:ascii="Times New Roman" w:eastAsia="Cambria"/>
          <w:sz w:val="20"/>
          <w:szCs w:val="20"/>
        </w:rPr>
        <w:t xml:space="preserve">. </w:t>
      </w:r>
    </w:p>
    <w:p w:rsidR="00B47C34" w:rsidRPr="00A3535B" w:rsidRDefault="00B47C34" w:rsidP="00A3535B">
      <w:pPr>
        <w:shd w:val="clear" w:color="auto" w:fill="FFFFFF"/>
        <w:jc w:val="both"/>
        <w:rPr>
          <w:rFonts w:ascii="Arial" w:hAnsi="Arial" w:cs="Arial"/>
          <w:color w:val="222222"/>
          <w:sz w:val="19"/>
          <w:szCs w:val="19"/>
        </w:rPr>
      </w:pPr>
    </w:p>
    <w:p w:rsidR="00C8711C" w:rsidRDefault="00C8711C">
      <w:pPr>
        <w:rPr>
          <w:rFonts w:asciiTheme="majorBidi" w:hAnsiTheme="majorBidi" w:cstheme="majorBidi"/>
          <w:b/>
          <w:bCs/>
          <w:sz w:val="20"/>
          <w:szCs w:val="20"/>
          <w:highlight w:val="lightGray"/>
        </w:rPr>
      </w:pPr>
      <w:r>
        <w:rPr>
          <w:rFonts w:asciiTheme="majorBidi" w:hAnsiTheme="majorBidi" w:cstheme="majorBidi"/>
          <w:b/>
          <w:bCs/>
          <w:sz w:val="20"/>
          <w:szCs w:val="20"/>
          <w:highlight w:val="lightGray"/>
        </w:rPr>
        <w:br w:type="page"/>
      </w:r>
    </w:p>
    <w:p w:rsidR="00D31C9C" w:rsidRPr="00C8711C" w:rsidRDefault="00D31C9C" w:rsidP="00C8711C">
      <w:pPr>
        <w:pStyle w:val="ListParagraph"/>
        <w:numPr>
          <w:ilvl w:val="0"/>
          <w:numId w:val="14"/>
        </w:numPr>
        <w:jc w:val="both"/>
        <w:rPr>
          <w:rFonts w:asciiTheme="majorBidi" w:hAnsiTheme="majorBidi" w:cstheme="majorBidi"/>
          <w:b/>
          <w:bCs/>
          <w:sz w:val="20"/>
          <w:szCs w:val="20"/>
        </w:rPr>
      </w:pPr>
      <w:r w:rsidRPr="00C8711C">
        <w:rPr>
          <w:rFonts w:asciiTheme="majorBidi" w:hAnsiTheme="majorBidi" w:cstheme="majorBidi"/>
          <w:b/>
          <w:bCs/>
          <w:sz w:val="20"/>
          <w:szCs w:val="20"/>
        </w:rPr>
        <w:lastRenderedPageBreak/>
        <w:t>Introduction</w:t>
      </w:r>
    </w:p>
    <w:p w:rsidR="004F4C75" w:rsidRPr="00D76895" w:rsidRDefault="00CE2F9C" w:rsidP="001159E2">
      <w:pPr>
        <w:jc w:val="both"/>
        <w:rPr>
          <w:rFonts w:asciiTheme="majorBidi" w:hAnsiTheme="majorBidi" w:cstheme="majorBidi"/>
          <w:sz w:val="20"/>
          <w:szCs w:val="20"/>
        </w:rPr>
      </w:pPr>
      <w:r w:rsidRPr="00D76895">
        <w:rPr>
          <w:rFonts w:asciiTheme="majorBidi" w:hAnsiTheme="majorBidi" w:cstheme="majorBidi"/>
          <w:sz w:val="20"/>
          <w:szCs w:val="20"/>
        </w:rPr>
        <w:t>Ankylosing spondylitis (AS) and r</w:t>
      </w:r>
      <w:r w:rsidR="00E53D84" w:rsidRPr="00D76895">
        <w:rPr>
          <w:rFonts w:asciiTheme="majorBidi" w:hAnsiTheme="majorBidi" w:cstheme="majorBidi"/>
          <w:sz w:val="20"/>
          <w:szCs w:val="20"/>
        </w:rPr>
        <w:t xml:space="preserve">heumatoid arthritis (RA) are chronic and disabling conditions </w:t>
      </w:r>
      <w:r w:rsidR="009F4B18" w:rsidRPr="00D76895">
        <w:rPr>
          <w:rFonts w:asciiTheme="majorBidi" w:hAnsiTheme="majorBidi" w:cstheme="majorBidi"/>
          <w:sz w:val="20"/>
          <w:szCs w:val="20"/>
        </w:rPr>
        <w:t>[1]</w:t>
      </w:r>
      <w:r w:rsidR="00E53D84" w:rsidRPr="00D76895">
        <w:rPr>
          <w:rFonts w:asciiTheme="majorBidi" w:hAnsiTheme="majorBidi" w:cstheme="majorBidi"/>
          <w:sz w:val="20"/>
          <w:szCs w:val="20"/>
        </w:rPr>
        <w:t>.</w:t>
      </w:r>
      <w:r w:rsidR="004F4C75" w:rsidRPr="00D76895">
        <w:rPr>
          <w:rFonts w:asciiTheme="majorBidi" w:hAnsiTheme="majorBidi" w:cstheme="majorBidi"/>
          <w:sz w:val="20"/>
          <w:szCs w:val="20"/>
        </w:rPr>
        <w:t xml:space="preserve"> The management of AS </w:t>
      </w:r>
      <w:r w:rsidRPr="00D76895">
        <w:rPr>
          <w:rFonts w:asciiTheme="majorBidi" w:hAnsiTheme="majorBidi" w:cstheme="majorBidi"/>
          <w:sz w:val="20"/>
          <w:szCs w:val="20"/>
        </w:rPr>
        <w:t xml:space="preserve">and RA </w:t>
      </w:r>
      <w:r w:rsidR="004F4C75" w:rsidRPr="00D76895">
        <w:rPr>
          <w:rFonts w:asciiTheme="majorBidi" w:hAnsiTheme="majorBidi" w:cstheme="majorBidi"/>
          <w:sz w:val="20"/>
          <w:szCs w:val="20"/>
        </w:rPr>
        <w:t>ha</w:t>
      </w:r>
      <w:r w:rsidR="00565257">
        <w:rPr>
          <w:rFonts w:asciiTheme="majorBidi" w:hAnsiTheme="majorBidi" w:cstheme="majorBidi"/>
          <w:sz w:val="20"/>
          <w:szCs w:val="20"/>
        </w:rPr>
        <w:t>s</w:t>
      </w:r>
      <w:r w:rsidR="004F4C75" w:rsidRPr="00D76895">
        <w:rPr>
          <w:rFonts w:asciiTheme="majorBidi" w:hAnsiTheme="majorBidi" w:cstheme="majorBidi"/>
          <w:sz w:val="20"/>
          <w:szCs w:val="20"/>
        </w:rPr>
        <w:t xml:space="preserve"> improved with the introduction of </w:t>
      </w:r>
      <w:r w:rsidR="00730A3D">
        <w:rPr>
          <w:rFonts w:asciiTheme="majorBidi" w:hAnsiTheme="majorBidi" w:cstheme="majorBidi"/>
          <w:sz w:val="20"/>
          <w:szCs w:val="20"/>
        </w:rPr>
        <w:t>anti-</w:t>
      </w:r>
      <w:r w:rsidR="004F4C75" w:rsidRPr="00D76895">
        <w:rPr>
          <w:rFonts w:asciiTheme="majorBidi" w:hAnsiTheme="majorBidi" w:cstheme="majorBidi"/>
          <w:sz w:val="20"/>
          <w:szCs w:val="20"/>
        </w:rPr>
        <w:t xml:space="preserve">tumour necrosis factor (TNF) (infliximab, etanercept and adalimumab) [2]. </w:t>
      </w:r>
      <w:bookmarkStart w:id="2" w:name="_Hlk483907972"/>
      <w:r w:rsidR="00730A3D">
        <w:rPr>
          <w:rFonts w:asciiTheme="majorBidi" w:hAnsiTheme="majorBidi" w:cstheme="majorBidi"/>
          <w:sz w:val="20"/>
          <w:szCs w:val="20"/>
        </w:rPr>
        <w:t>Anti</w:t>
      </w:r>
      <w:r w:rsidR="004B7455">
        <w:rPr>
          <w:rFonts w:asciiTheme="majorBidi" w:hAnsiTheme="majorBidi" w:cstheme="majorBidi"/>
          <w:sz w:val="20"/>
          <w:szCs w:val="20"/>
        </w:rPr>
        <w:t>-</w:t>
      </w:r>
      <w:r w:rsidR="00730A3D">
        <w:rPr>
          <w:rFonts w:asciiTheme="majorBidi" w:hAnsiTheme="majorBidi" w:cstheme="majorBidi"/>
          <w:sz w:val="20"/>
          <w:szCs w:val="20"/>
        </w:rPr>
        <w:t>TNF</w:t>
      </w:r>
      <w:r w:rsidR="004F4C75" w:rsidRPr="00D76895">
        <w:rPr>
          <w:rFonts w:asciiTheme="majorBidi" w:hAnsiTheme="majorBidi" w:cstheme="majorBidi"/>
          <w:sz w:val="20"/>
          <w:szCs w:val="20"/>
        </w:rPr>
        <w:t>s</w:t>
      </w:r>
      <w:bookmarkEnd w:id="2"/>
      <w:r w:rsidR="004F4C75" w:rsidRPr="00D76895">
        <w:rPr>
          <w:rFonts w:asciiTheme="majorBidi" w:hAnsiTheme="majorBidi" w:cstheme="majorBidi"/>
          <w:sz w:val="20"/>
          <w:szCs w:val="20"/>
        </w:rPr>
        <w:t xml:space="preserve"> </w:t>
      </w:r>
      <w:r w:rsidR="00565222" w:rsidRPr="00D76895">
        <w:rPr>
          <w:rFonts w:asciiTheme="majorBidi" w:hAnsiTheme="majorBidi" w:cstheme="majorBidi"/>
          <w:sz w:val="20"/>
          <w:szCs w:val="20"/>
        </w:rPr>
        <w:t xml:space="preserve">are increasingly used to treat </w:t>
      </w:r>
      <w:r w:rsidRPr="00D76895">
        <w:rPr>
          <w:rFonts w:asciiTheme="majorBidi" w:hAnsiTheme="majorBidi" w:cstheme="majorBidi"/>
          <w:sz w:val="20"/>
          <w:szCs w:val="20"/>
        </w:rPr>
        <w:t xml:space="preserve">AS </w:t>
      </w:r>
      <w:r w:rsidR="00565222" w:rsidRPr="00D76895">
        <w:rPr>
          <w:rFonts w:asciiTheme="majorBidi" w:hAnsiTheme="majorBidi" w:cstheme="majorBidi"/>
          <w:sz w:val="20"/>
          <w:szCs w:val="20"/>
        </w:rPr>
        <w:t xml:space="preserve">and </w:t>
      </w:r>
      <w:r w:rsidRPr="00D76895">
        <w:rPr>
          <w:rFonts w:asciiTheme="majorBidi" w:hAnsiTheme="majorBidi" w:cstheme="majorBidi"/>
          <w:sz w:val="20"/>
          <w:szCs w:val="20"/>
        </w:rPr>
        <w:t xml:space="preserve">RA </w:t>
      </w:r>
      <w:r w:rsidR="00565222" w:rsidRPr="00D76895">
        <w:rPr>
          <w:rFonts w:asciiTheme="majorBidi" w:hAnsiTheme="majorBidi" w:cstheme="majorBidi"/>
          <w:sz w:val="20"/>
          <w:szCs w:val="20"/>
        </w:rPr>
        <w:t>in clinical practice due to</w:t>
      </w:r>
      <w:r w:rsidR="004F4C75" w:rsidRPr="00D76895">
        <w:rPr>
          <w:rFonts w:asciiTheme="majorBidi" w:hAnsiTheme="majorBidi" w:cstheme="majorBidi"/>
          <w:sz w:val="20"/>
          <w:szCs w:val="20"/>
        </w:rPr>
        <w:t xml:space="preserve"> their ability to reduce or reverse signs and symptoms, disability and progression of joint damage, improving patient</w:t>
      </w:r>
      <w:r w:rsidR="00A03FA0" w:rsidRPr="00D76895">
        <w:rPr>
          <w:rFonts w:asciiTheme="majorBidi" w:hAnsiTheme="majorBidi" w:cstheme="majorBidi"/>
          <w:sz w:val="20"/>
          <w:szCs w:val="20"/>
        </w:rPr>
        <w:t>’s</w:t>
      </w:r>
      <w:r w:rsidR="004F4C75" w:rsidRPr="00D76895">
        <w:rPr>
          <w:rFonts w:asciiTheme="majorBidi" w:hAnsiTheme="majorBidi" w:cstheme="majorBidi"/>
          <w:sz w:val="20"/>
          <w:szCs w:val="20"/>
        </w:rPr>
        <w:t xml:space="preserve"> quality of life, and functional capacity</w:t>
      </w:r>
      <w:r w:rsidR="00565222" w:rsidRPr="00D76895">
        <w:rPr>
          <w:rFonts w:asciiTheme="majorBidi" w:hAnsiTheme="majorBidi" w:cstheme="majorBidi"/>
          <w:sz w:val="20"/>
          <w:szCs w:val="20"/>
        </w:rPr>
        <w:t xml:space="preserve"> [3].</w:t>
      </w:r>
      <w:r w:rsidR="00565222" w:rsidRPr="00D76895">
        <w:rPr>
          <w:sz w:val="20"/>
          <w:szCs w:val="20"/>
        </w:rPr>
        <w:t xml:space="preserve"> </w:t>
      </w:r>
      <w:r w:rsidR="00730A3D" w:rsidRPr="00730A3D">
        <w:rPr>
          <w:rFonts w:asciiTheme="majorBidi" w:hAnsiTheme="majorBidi" w:cstheme="majorBidi"/>
          <w:sz w:val="20"/>
          <w:szCs w:val="20"/>
        </w:rPr>
        <w:t>Anti</w:t>
      </w:r>
      <w:r w:rsidR="004B7455">
        <w:rPr>
          <w:rFonts w:asciiTheme="majorBidi" w:hAnsiTheme="majorBidi" w:cstheme="majorBidi"/>
          <w:sz w:val="20"/>
          <w:szCs w:val="20"/>
        </w:rPr>
        <w:t>-</w:t>
      </w:r>
      <w:r w:rsidR="00565222" w:rsidRPr="00D76895">
        <w:rPr>
          <w:rFonts w:asciiTheme="majorBidi" w:hAnsiTheme="majorBidi" w:cstheme="majorBidi"/>
          <w:sz w:val="20"/>
          <w:szCs w:val="20"/>
        </w:rPr>
        <w:t>TNF</w:t>
      </w:r>
      <w:r w:rsidR="00730A3D">
        <w:rPr>
          <w:rFonts w:asciiTheme="majorBidi" w:hAnsiTheme="majorBidi" w:cstheme="majorBidi"/>
          <w:sz w:val="20"/>
          <w:szCs w:val="20"/>
        </w:rPr>
        <w:t>s</w:t>
      </w:r>
      <w:r w:rsidR="00565222" w:rsidRPr="00D76895">
        <w:rPr>
          <w:rFonts w:asciiTheme="majorBidi" w:hAnsiTheme="majorBidi" w:cstheme="majorBidi"/>
          <w:sz w:val="20"/>
          <w:szCs w:val="20"/>
        </w:rPr>
        <w:t xml:space="preserve"> have a considerable impact on healthcare budgets.</w:t>
      </w:r>
      <w:r w:rsidR="008C24B7" w:rsidRPr="00D76895">
        <w:rPr>
          <w:sz w:val="20"/>
          <w:szCs w:val="20"/>
        </w:rPr>
        <w:t xml:space="preserve"> </w:t>
      </w:r>
      <w:r w:rsidR="008C24B7" w:rsidRPr="00D76895">
        <w:rPr>
          <w:rFonts w:asciiTheme="majorBidi" w:hAnsiTheme="majorBidi" w:cstheme="majorBidi"/>
          <w:sz w:val="20"/>
          <w:szCs w:val="20"/>
        </w:rPr>
        <w:t xml:space="preserve">According to the Health and Social Care Information Centre report in 2015, the expenditure on infliximab, etanercept and adalimumab in England was £760 million </w:t>
      </w:r>
      <w:r w:rsidR="00A03FA0" w:rsidRPr="00D76895">
        <w:rPr>
          <w:rFonts w:asciiTheme="majorBidi" w:hAnsiTheme="majorBidi" w:cstheme="majorBidi"/>
          <w:sz w:val="20"/>
          <w:szCs w:val="20"/>
        </w:rPr>
        <w:t>which represents just under 5% of the total medicines expenditure [</w:t>
      </w:r>
      <w:r w:rsidR="008C24B7" w:rsidRPr="00D76895">
        <w:rPr>
          <w:rFonts w:asciiTheme="majorBidi" w:hAnsiTheme="majorBidi" w:cstheme="majorBidi"/>
          <w:sz w:val="20"/>
          <w:szCs w:val="20"/>
        </w:rPr>
        <w:t xml:space="preserve">4]. </w:t>
      </w:r>
    </w:p>
    <w:p w:rsidR="004F4C75" w:rsidRPr="00D76895" w:rsidRDefault="00565222" w:rsidP="00BF0887">
      <w:pPr>
        <w:jc w:val="both"/>
        <w:rPr>
          <w:rFonts w:asciiTheme="majorBidi" w:hAnsiTheme="majorBidi" w:cstheme="majorBidi"/>
          <w:sz w:val="20"/>
          <w:szCs w:val="20"/>
        </w:rPr>
      </w:pPr>
      <w:r w:rsidRPr="00D76895">
        <w:rPr>
          <w:rFonts w:asciiTheme="majorBidi" w:hAnsiTheme="majorBidi" w:cstheme="majorBidi"/>
          <w:sz w:val="20"/>
          <w:szCs w:val="20"/>
        </w:rPr>
        <w:t xml:space="preserve">Infliximab and etanercept were the first </w:t>
      </w:r>
      <w:r w:rsidR="00730A3D">
        <w:rPr>
          <w:rFonts w:asciiTheme="majorBidi" w:hAnsiTheme="majorBidi" w:cstheme="majorBidi"/>
          <w:sz w:val="20"/>
          <w:szCs w:val="20"/>
        </w:rPr>
        <w:t>anti</w:t>
      </w:r>
      <w:r w:rsidR="004B7455">
        <w:rPr>
          <w:rFonts w:asciiTheme="majorBidi" w:hAnsiTheme="majorBidi" w:cstheme="majorBidi"/>
          <w:sz w:val="20"/>
          <w:szCs w:val="20"/>
        </w:rPr>
        <w:t>-</w:t>
      </w:r>
      <w:r w:rsidRPr="00D76895">
        <w:rPr>
          <w:rFonts w:asciiTheme="majorBidi" w:hAnsiTheme="majorBidi" w:cstheme="majorBidi"/>
          <w:sz w:val="20"/>
          <w:szCs w:val="20"/>
        </w:rPr>
        <w:t>TNF</w:t>
      </w:r>
      <w:r w:rsidR="00565257">
        <w:rPr>
          <w:rFonts w:asciiTheme="majorBidi" w:hAnsiTheme="majorBidi" w:cstheme="majorBidi"/>
          <w:sz w:val="20"/>
          <w:szCs w:val="20"/>
        </w:rPr>
        <w:t>s</w:t>
      </w:r>
      <w:r w:rsidRPr="00D76895">
        <w:rPr>
          <w:rFonts w:asciiTheme="majorBidi" w:hAnsiTheme="majorBidi" w:cstheme="majorBidi"/>
          <w:sz w:val="20"/>
          <w:szCs w:val="20"/>
        </w:rPr>
        <w:t xml:space="preserve"> to lose patent protection </w:t>
      </w:r>
      <w:r w:rsidR="0068701E" w:rsidRPr="00D76895">
        <w:rPr>
          <w:rFonts w:asciiTheme="majorBidi" w:hAnsiTheme="majorBidi" w:cstheme="majorBidi"/>
          <w:sz w:val="20"/>
          <w:szCs w:val="20"/>
        </w:rPr>
        <w:t xml:space="preserve">in </w:t>
      </w:r>
      <w:r w:rsidR="00565257">
        <w:rPr>
          <w:rFonts w:asciiTheme="majorBidi" w:hAnsiTheme="majorBidi" w:cstheme="majorBidi"/>
          <w:sz w:val="20"/>
          <w:szCs w:val="20"/>
        </w:rPr>
        <w:t xml:space="preserve">Europe in </w:t>
      </w:r>
      <w:r w:rsidR="0068701E" w:rsidRPr="00D76895">
        <w:rPr>
          <w:rFonts w:asciiTheme="majorBidi" w:hAnsiTheme="majorBidi" w:cstheme="majorBidi"/>
          <w:sz w:val="20"/>
          <w:szCs w:val="20"/>
        </w:rPr>
        <w:t xml:space="preserve">2013 </w:t>
      </w:r>
      <w:r w:rsidRPr="00D76895">
        <w:rPr>
          <w:rFonts w:asciiTheme="majorBidi" w:hAnsiTheme="majorBidi" w:cstheme="majorBidi"/>
          <w:sz w:val="20"/>
          <w:szCs w:val="20"/>
        </w:rPr>
        <w:t>and</w:t>
      </w:r>
      <w:r w:rsidR="002D2853">
        <w:rPr>
          <w:rFonts w:asciiTheme="majorBidi" w:hAnsiTheme="majorBidi" w:cstheme="majorBidi"/>
          <w:sz w:val="20"/>
          <w:szCs w:val="20"/>
        </w:rPr>
        <w:t xml:space="preserve"> 2015 respectively, and have </w:t>
      </w:r>
      <w:r w:rsidRPr="00D76895">
        <w:rPr>
          <w:rFonts w:asciiTheme="majorBidi" w:hAnsiTheme="majorBidi" w:cstheme="majorBidi"/>
          <w:sz w:val="20"/>
          <w:szCs w:val="20"/>
        </w:rPr>
        <w:t>had competition from biosimilars</w:t>
      </w:r>
      <w:r w:rsidR="0068701E" w:rsidRPr="00D76895">
        <w:rPr>
          <w:rFonts w:asciiTheme="majorBidi" w:hAnsiTheme="majorBidi" w:cstheme="majorBidi"/>
          <w:sz w:val="20"/>
          <w:szCs w:val="20"/>
        </w:rPr>
        <w:t xml:space="preserve"> [</w:t>
      </w:r>
      <w:r w:rsidRPr="00D76895">
        <w:rPr>
          <w:rFonts w:asciiTheme="majorBidi" w:hAnsiTheme="majorBidi" w:cstheme="majorBidi"/>
          <w:sz w:val="20"/>
          <w:szCs w:val="20"/>
        </w:rPr>
        <w:t>5].</w:t>
      </w:r>
      <w:r w:rsidR="00565257">
        <w:rPr>
          <w:rFonts w:asciiTheme="majorBidi" w:hAnsiTheme="majorBidi" w:cstheme="majorBidi"/>
          <w:sz w:val="20"/>
          <w:szCs w:val="20"/>
        </w:rPr>
        <w:t xml:space="preserve"> </w:t>
      </w:r>
      <w:r w:rsidR="00362DD0" w:rsidRPr="00D76895">
        <w:rPr>
          <w:rFonts w:asciiTheme="majorBidi" w:hAnsiTheme="majorBidi" w:cstheme="majorBidi"/>
          <w:sz w:val="20"/>
          <w:szCs w:val="20"/>
        </w:rPr>
        <w:t>B</w:t>
      </w:r>
      <w:r w:rsidR="00412786" w:rsidRPr="00D76895">
        <w:rPr>
          <w:rFonts w:asciiTheme="majorBidi" w:hAnsiTheme="majorBidi" w:cstheme="majorBidi"/>
          <w:sz w:val="20"/>
          <w:szCs w:val="20"/>
        </w:rPr>
        <w:t>iosimilar</w:t>
      </w:r>
      <w:r w:rsidR="00362DD0" w:rsidRPr="00D76895">
        <w:rPr>
          <w:rFonts w:asciiTheme="majorBidi" w:hAnsiTheme="majorBidi" w:cstheme="majorBidi"/>
          <w:sz w:val="20"/>
          <w:szCs w:val="20"/>
        </w:rPr>
        <w:t>s</w:t>
      </w:r>
      <w:r w:rsidR="00412786" w:rsidRPr="00D76895">
        <w:rPr>
          <w:rFonts w:asciiTheme="majorBidi" w:hAnsiTheme="majorBidi" w:cstheme="majorBidi"/>
          <w:sz w:val="20"/>
          <w:szCs w:val="20"/>
        </w:rPr>
        <w:t xml:space="preserve"> for rituximab</w:t>
      </w:r>
      <w:r w:rsidR="00362DD0" w:rsidRPr="00D76895">
        <w:rPr>
          <w:rFonts w:asciiTheme="majorBidi" w:hAnsiTheme="majorBidi" w:cstheme="majorBidi"/>
          <w:sz w:val="20"/>
          <w:szCs w:val="20"/>
        </w:rPr>
        <w:t xml:space="preserve"> and adalimumab have</w:t>
      </w:r>
      <w:r w:rsidR="00412786" w:rsidRPr="00D76895">
        <w:rPr>
          <w:rFonts w:asciiTheme="majorBidi" w:hAnsiTheme="majorBidi" w:cstheme="majorBidi"/>
          <w:sz w:val="20"/>
          <w:szCs w:val="20"/>
        </w:rPr>
        <w:t xml:space="preserve"> recently been marketed a</w:t>
      </w:r>
      <w:r w:rsidR="00C257A6" w:rsidRPr="00D76895">
        <w:rPr>
          <w:rFonts w:asciiTheme="majorBidi" w:hAnsiTheme="majorBidi" w:cstheme="majorBidi"/>
          <w:sz w:val="20"/>
          <w:szCs w:val="20"/>
        </w:rPr>
        <w:t xml:space="preserve">nd biosimilars for </w:t>
      </w:r>
      <w:r w:rsidR="00412786" w:rsidRPr="00D76895">
        <w:rPr>
          <w:rFonts w:asciiTheme="majorBidi" w:hAnsiTheme="majorBidi" w:cstheme="majorBidi"/>
          <w:sz w:val="20"/>
          <w:szCs w:val="20"/>
        </w:rPr>
        <w:t xml:space="preserve">certolizumab pegol, golimumab and </w:t>
      </w:r>
      <w:proofErr w:type="spellStart"/>
      <w:r w:rsidR="00412786" w:rsidRPr="00D76895">
        <w:rPr>
          <w:rFonts w:asciiTheme="majorBidi" w:hAnsiTheme="majorBidi" w:cstheme="majorBidi"/>
          <w:sz w:val="20"/>
          <w:szCs w:val="20"/>
        </w:rPr>
        <w:t>ustekinumab</w:t>
      </w:r>
      <w:proofErr w:type="spellEnd"/>
      <w:r w:rsidR="00412786" w:rsidRPr="00D76895">
        <w:rPr>
          <w:rFonts w:asciiTheme="majorBidi" w:hAnsiTheme="majorBidi" w:cstheme="majorBidi"/>
          <w:sz w:val="20"/>
          <w:szCs w:val="20"/>
        </w:rPr>
        <w:t xml:space="preserve"> are in development </w:t>
      </w:r>
      <w:r w:rsidR="00362DD0" w:rsidRPr="00D76895">
        <w:rPr>
          <w:rFonts w:asciiTheme="majorBidi" w:hAnsiTheme="majorBidi" w:cstheme="majorBidi"/>
          <w:sz w:val="20"/>
          <w:szCs w:val="20"/>
        </w:rPr>
        <w:t>[6]</w:t>
      </w:r>
      <w:r w:rsidR="00412786" w:rsidRPr="00D76895">
        <w:rPr>
          <w:rFonts w:asciiTheme="majorBidi" w:hAnsiTheme="majorBidi" w:cstheme="majorBidi"/>
          <w:sz w:val="20"/>
          <w:szCs w:val="20"/>
        </w:rPr>
        <w:t xml:space="preserve">. </w:t>
      </w:r>
      <w:r w:rsidRPr="00D76895">
        <w:rPr>
          <w:rFonts w:asciiTheme="majorBidi" w:hAnsiTheme="majorBidi" w:cstheme="majorBidi"/>
          <w:sz w:val="20"/>
          <w:szCs w:val="20"/>
        </w:rPr>
        <w:t>The lower cost of biosimilars present</w:t>
      </w:r>
      <w:r w:rsidR="00D56C85" w:rsidRPr="00D76895">
        <w:rPr>
          <w:rFonts w:asciiTheme="majorBidi" w:hAnsiTheme="majorBidi" w:cstheme="majorBidi"/>
          <w:sz w:val="20"/>
          <w:szCs w:val="20"/>
        </w:rPr>
        <w:t>s</w:t>
      </w:r>
      <w:r w:rsidRPr="00D76895">
        <w:rPr>
          <w:rFonts w:asciiTheme="majorBidi" w:hAnsiTheme="majorBidi" w:cstheme="majorBidi"/>
          <w:sz w:val="20"/>
          <w:szCs w:val="20"/>
        </w:rPr>
        <w:t xml:space="preserve"> significant potential cost saving</w:t>
      </w:r>
      <w:r w:rsidR="00D56C85" w:rsidRPr="00D76895">
        <w:rPr>
          <w:rFonts w:asciiTheme="majorBidi" w:hAnsiTheme="majorBidi" w:cstheme="majorBidi"/>
          <w:sz w:val="20"/>
          <w:szCs w:val="20"/>
        </w:rPr>
        <w:t>s</w:t>
      </w:r>
      <w:r w:rsidRPr="00D76895">
        <w:rPr>
          <w:rFonts w:asciiTheme="majorBidi" w:hAnsiTheme="majorBidi" w:cstheme="majorBidi"/>
          <w:sz w:val="20"/>
          <w:szCs w:val="20"/>
        </w:rPr>
        <w:t xml:space="preserve"> in a financially constrained </w:t>
      </w:r>
      <w:r w:rsidR="0068701E" w:rsidRPr="00D76895">
        <w:rPr>
          <w:rFonts w:asciiTheme="majorBidi" w:hAnsiTheme="majorBidi" w:cstheme="majorBidi"/>
          <w:sz w:val="20"/>
          <w:szCs w:val="20"/>
        </w:rPr>
        <w:t>health system such as the NHS [</w:t>
      </w:r>
      <w:r w:rsidR="00BF3D2D" w:rsidRPr="00D76895">
        <w:rPr>
          <w:rFonts w:asciiTheme="majorBidi" w:hAnsiTheme="majorBidi" w:cstheme="majorBidi"/>
          <w:sz w:val="20"/>
          <w:szCs w:val="20"/>
        </w:rPr>
        <w:t>7</w:t>
      </w:r>
      <w:r w:rsidRPr="00D76895">
        <w:rPr>
          <w:rFonts w:asciiTheme="majorBidi" w:hAnsiTheme="majorBidi" w:cstheme="majorBidi"/>
          <w:sz w:val="20"/>
          <w:szCs w:val="20"/>
        </w:rPr>
        <w:t>]. Thus, in theory</w:t>
      </w:r>
      <w:r w:rsidR="00D56C85" w:rsidRPr="00D76895">
        <w:rPr>
          <w:rFonts w:asciiTheme="majorBidi" w:hAnsiTheme="majorBidi" w:cstheme="majorBidi"/>
          <w:sz w:val="20"/>
          <w:szCs w:val="20"/>
        </w:rPr>
        <w:t>,</w:t>
      </w:r>
      <w:r w:rsidRPr="00D76895">
        <w:rPr>
          <w:rFonts w:asciiTheme="majorBidi" w:hAnsiTheme="majorBidi" w:cstheme="majorBidi"/>
          <w:sz w:val="20"/>
          <w:szCs w:val="20"/>
        </w:rPr>
        <w:t xml:space="preserve"> a lower acquisition cost potentially removes one barrier to prescribing </w:t>
      </w:r>
      <w:r w:rsidR="00D56C85" w:rsidRPr="00D76895">
        <w:rPr>
          <w:rFonts w:asciiTheme="majorBidi" w:hAnsiTheme="majorBidi" w:cstheme="majorBidi"/>
          <w:sz w:val="20"/>
          <w:szCs w:val="20"/>
        </w:rPr>
        <w:t xml:space="preserve">biologics </w:t>
      </w:r>
      <w:r w:rsidRPr="00D76895">
        <w:rPr>
          <w:rFonts w:asciiTheme="majorBidi" w:hAnsiTheme="majorBidi" w:cstheme="majorBidi"/>
          <w:sz w:val="20"/>
          <w:szCs w:val="20"/>
        </w:rPr>
        <w:t xml:space="preserve">and should lead to a </w:t>
      </w:r>
      <w:r w:rsidR="00BF0887">
        <w:rPr>
          <w:rFonts w:asciiTheme="majorBidi" w:hAnsiTheme="majorBidi" w:cstheme="majorBidi"/>
          <w:sz w:val="20"/>
          <w:szCs w:val="20"/>
        </w:rPr>
        <w:t>better</w:t>
      </w:r>
      <w:r w:rsidR="00BF0887" w:rsidRPr="00D76895">
        <w:rPr>
          <w:rFonts w:asciiTheme="majorBidi" w:hAnsiTheme="majorBidi" w:cstheme="majorBidi"/>
          <w:sz w:val="20"/>
          <w:szCs w:val="20"/>
        </w:rPr>
        <w:t xml:space="preserve"> </w:t>
      </w:r>
      <w:r w:rsidRPr="00D76895">
        <w:rPr>
          <w:rFonts w:asciiTheme="majorBidi" w:hAnsiTheme="majorBidi" w:cstheme="majorBidi"/>
          <w:sz w:val="20"/>
          <w:szCs w:val="20"/>
        </w:rPr>
        <w:t xml:space="preserve">utilisation of </w:t>
      </w:r>
      <w:r w:rsidR="00730A3D">
        <w:rPr>
          <w:rFonts w:asciiTheme="majorBidi" w:hAnsiTheme="majorBidi" w:cstheme="majorBidi"/>
          <w:sz w:val="20"/>
          <w:szCs w:val="20"/>
        </w:rPr>
        <w:t>anti</w:t>
      </w:r>
      <w:r w:rsidR="004B7455">
        <w:rPr>
          <w:rFonts w:asciiTheme="majorBidi" w:hAnsiTheme="majorBidi" w:cstheme="majorBidi"/>
          <w:sz w:val="20"/>
          <w:szCs w:val="20"/>
        </w:rPr>
        <w:t>-</w:t>
      </w:r>
      <w:r w:rsidR="00702AC1" w:rsidRPr="00D76895">
        <w:rPr>
          <w:rFonts w:asciiTheme="majorBidi" w:hAnsiTheme="majorBidi" w:cstheme="majorBidi"/>
          <w:sz w:val="20"/>
          <w:szCs w:val="20"/>
        </w:rPr>
        <w:t>TNF</w:t>
      </w:r>
      <w:r w:rsidR="00730A3D">
        <w:rPr>
          <w:rFonts w:asciiTheme="majorBidi" w:hAnsiTheme="majorBidi" w:cstheme="majorBidi"/>
          <w:sz w:val="20"/>
          <w:szCs w:val="20"/>
        </w:rPr>
        <w:t>s</w:t>
      </w:r>
      <w:r w:rsidR="00B87E12">
        <w:rPr>
          <w:rFonts w:asciiTheme="majorBidi" w:hAnsiTheme="majorBidi" w:cstheme="majorBidi"/>
          <w:sz w:val="20"/>
          <w:szCs w:val="20"/>
        </w:rPr>
        <w:t>,</w:t>
      </w:r>
      <w:r w:rsidR="00B87E12" w:rsidRPr="00BF0887">
        <w:t xml:space="preserve"> </w:t>
      </w:r>
      <w:r w:rsidR="00BF0887" w:rsidRPr="00BF0887">
        <w:rPr>
          <w:rFonts w:asciiTheme="majorBidi" w:hAnsiTheme="majorBidi" w:cstheme="majorBidi"/>
          <w:sz w:val="20"/>
          <w:szCs w:val="20"/>
        </w:rPr>
        <w:t>free</w:t>
      </w:r>
      <w:r w:rsidR="00B87E12">
        <w:rPr>
          <w:rFonts w:asciiTheme="majorBidi" w:hAnsiTheme="majorBidi" w:cstheme="majorBidi"/>
          <w:sz w:val="20"/>
          <w:szCs w:val="20"/>
        </w:rPr>
        <w:t>ing</w:t>
      </w:r>
      <w:r w:rsidR="00BF0887" w:rsidRPr="00BF0887">
        <w:rPr>
          <w:rFonts w:asciiTheme="majorBidi" w:hAnsiTheme="majorBidi" w:cstheme="majorBidi"/>
          <w:sz w:val="20"/>
          <w:szCs w:val="20"/>
        </w:rPr>
        <w:t xml:space="preserve"> up resources for investment in new areas, bring relief to pressured healthcare budgets</w:t>
      </w:r>
      <w:r w:rsidR="00B87E12">
        <w:rPr>
          <w:rFonts w:asciiTheme="majorBidi" w:hAnsiTheme="majorBidi" w:cstheme="majorBidi"/>
          <w:sz w:val="20"/>
          <w:szCs w:val="20"/>
        </w:rPr>
        <w:t xml:space="preserve"> and</w:t>
      </w:r>
      <w:r w:rsidR="00BF0887">
        <w:rPr>
          <w:rFonts w:asciiTheme="majorBidi" w:hAnsiTheme="majorBidi" w:cstheme="majorBidi"/>
          <w:sz w:val="20"/>
          <w:szCs w:val="20"/>
        </w:rPr>
        <w:t xml:space="preserve"> </w:t>
      </w:r>
      <w:r w:rsidR="00B87E12">
        <w:rPr>
          <w:rFonts w:asciiTheme="majorBidi" w:hAnsiTheme="majorBidi" w:cstheme="majorBidi"/>
          <w:sz w:val="20"/>
          <w:szCs w:val="20"/>
        </w:rPr>
        <w:t>enabling</w:t>
      </w:r>
      <w:r w:rsidR="00BF0887">
        <w:rPr>
          <w:rFonts w:asciiTheme="majorBidi" w:hAnsiTheme="majorBidi" w:cstheme="majorBidi"/>
          <w:sz w:val="20"/>
          <w:szCs w:val="20"/>
        </w:rPr>
        <w:t xml:space="preserve"> </w:t>
      </w:r>
      <w:r w:rsidR="00BF0887" w:rsidRPr="00BF0887">
        <w:rPr>
          <w:rFonts w:asciiTheme="majorBidi" w:hAnsiTheme="majorBidi" w:cstheme="majorBidi"/>
          <w:sz w:val="20"/>
          <w:szCs w:val="20"/>
        </w:rPr>
        <w:t xml:space="preserve">stakeholders </w:t>
      </w:r>
      <w:r w:rsidR="00B87E12">
        <w:rPr>
          <w:rFonts w:asciiTheme="majorBidi" w:hAnsiTheme="majorBidi" w:cstheme="majorBidi"/>
          <w:sz w:val="20"/>
          <w:szCs w:val="20"/>
        </w:rPr>
        <w:t>(</w:t>
      </w:r>
      <w:r w:rsidR="00BF0887" w:rsidRPr="00BF0887">
        <w:rPr>
          <w:rFonts w:asciiTheme="majorBidi" w:hAnsiTheme="majorBidi" w:cstheme="majorBidi"/>
          <w:sz w:val="20"/>
          <w:szCs w:val="20"/>
        </w:rPr>
        <w:t>payers, physicians, and patients</w:t>
      </w:r>
      <w:r w:rsidR="00B87E12">
        <w:rPr>
          <w:rFonts w:asciiTheme="majorBidi" w:hAnsiTheme="majorBidi" w:cstheme="majorBidi"/>
          <w:sz w:val="20"/>
          <w:szCs w:val="20"/>
        </w:rPr>
        <w:t>)</w:t>
      </w:r>
      <w:r w:rsidR="00BF0887" w:rsidRPr="00BF0887">
        <w:rPr>
          <w:rFonts w:asciiTheme="majorBidi" w:hAnsiTheme="majorBidi" w:cstheme="majorBidi"/>
          <w:sz w:val="20"/>
          <w:szCs w:val="20"/>
        </w:rPr>
        <w:t xml:space="preserve"> to benefit from greater choice when it</w:t>
      </w:r>
      <w:r w:rsidR="00BF0887">
        <w:rPr>
          <w:rFonts w:asciiTheme="majorBidi" w:hAnsiTheme="majorBidi" w:cstheme="majorBidi"/>
          <w:sz w:val="20"/>
          <w:szCs w:val="20"/>
        </w:rPr>
        <w:t xml:space="preserve"> </w:t>
      </w:r>
      <w:r w:rsidR="00BF0887" w:rsidRPr="00BF0887">
        <w:rPr>
          <w:rFonts w:asciiTheme="majorBidi" w:hAnsiTheme="majorBidi" w:cstheme="majorBidi"/>
          <w:sz w:val="20"/>
          <w:szCs w:val="20"/>
        </w:rPr>
        <w:t>comes to treatment options</w:t>
      </w:r>
      <w:r w:rsidR="00B87E12">
        <w:rPr>
          <w:rFonts w:asciiTheme="majorBidi" w:hAnsiTheme="majorBidi" w:cstheme="majorBidi"/>
          <w:sz w:val="20"/>
          <w:szCs w:val="20"/>
        </w:rPr>
        <w:t xml:space="preserve"> [</w:t>
      </w:r>
      <w:r w:rsidR="00567E62">
        <w:rPr>
          <w:rFonts w:asciiTheme="majorBidi" w:hAnsiTheme="majorBidi" w:cstheme="majorBidi"/>
          <w:sz w:val="20"/>
          <w:szCs w:val="20"/>
        </w:rPr>
        <w:t>8</w:t>
      </w:r>
      <w:r w:rsidR="00B87E12">
        <w:rPr>
          <w:rFonts w:asciiTheme="majorBidi" w:hAnsiTheme="majorBidi" w:cstheme="majorBidi"/>
          <w:sz w:val="20"/>
          <w:szCs w:val="20"/>
        </w:rPr>
        <w:t>]</w:t>
      </w:r>
      <w:r w:rsidR="00BF0887">
        <w:rPr>
          <w:rFonts w:asciiTheme="majorBidi" w:hAnsiTheme="majorBidi" w:cstheme="majorBidi"/>
          <w:sz w:val="20"/>
          <w:szCs w:val="20"/>
        </w:rPr>
        <w:t>.</w:t>
      </w:r>
    </w:p>
    <w:p w:rsidR="0068701E" w:rsidRPr="00D76895" w:rsidRDefault="007247E4" w:rsidP="001159E2">
      <w:pPr>
        <w:jc w:val="both"/>
        <w:rPr>
          <w:rFonts w:asciiTheme="majorBidi" w:hAnsiTheme="majorBidi" w:cstheme="majorBidi"/>
          <w:sz w:val="20"/>
          <w:szCs w:val="20"/>
        </w:rPr>
      </w:pPr>
      <w:r w:rsidRPr="00D76895">
        <w:rPr>
          <w:rFonts w:asciiTheme="majorBidi" w:hAnsiTheme="majorBidi" w:cstheme="majorBidi"/>
          <w:sz w:val="20"/>
          <w:szCs w:val="20"/>
        </w:rPr>
        <w:t xml:space="preserve">Healthcare professionals </w:t>
      </w:r>
      <w:r w:rsidR="006C2D79" w:rsidRPr="00D76895">
        <w:rPr>
          <w:rFonts w:asciiTheme="majorBidi" w:hAnsiTheme="majorBidi" w:cstheme="majorBidi"/>
          <w:sz w:val="20"/>
          <w:szCs w:val="20"/>
        </w:rPr>
        <w:t xml:space="preserve">(HCPs) </w:t>
      </w:r>
      <w:r w:rsidR="00D56C85" w:rsidRPr="00D76895">
        <w:rPr>
          <w:rFonts w:asciiTheme="majorBidi" w:hAnsiTheme="majorBidi" w:cstheme="majorBidi"/>
          <w:sz w:val="20"/>
          <w:szCs w:val="20"/>
        </w:rPr>
        <w:t xml:space="preserve">have </w:t>
      </w:r>
      <w:r w:rsidRPr="00D76895">
        <w:rPr>
          <w:rFonts w:asciiTheme="majorBidi" w:hAnsiTheme="majorBidi" w:cstheme="majorBidi"/>
          <w:sz w:val="20"/>
          <w:szCs w:val="20"/>
        </w:rPr>
        <w:t xml:space="preserve">been surveyed </w:t>
      </w:r>
      <w:r w:rsidR="00D56C85" w:rsidRPr="00D76895">
        <w:rPr>
          <w:rFonts w:asciiTheme="majorBidi" w:hAnsiTheme="majorBidi" w:cstheme="majorBidi"/>
          <w:sz w:val="20"/>
          <w:szCs w:val="20"/>
        </w:rPr>
        <w:t xml:space="preserve">on </w:t>
      </w:r>
      <w:r w:rsidRPr="00D76895">
        <w:rPr>
          <w:rFonts w:asciiTheme="majorBidi" w:hAnsiTheme="majorBidi" w:cstheme="majorBidi"/>
          <w:sz w:val="20"/>
          <w:szCs w:val="20"/>
        </w:rPr>
        <w:t>their knowledge, attitude and practice towards biosimilars in UK</w:t>
      </w:r>
      <w:r w:rsidR="00D56C85" w:rsidRPr="00D76895">
        <w:rPr>
          <w:rFonts w:asciiTheme="majorBidi" w:hAnsiTheme="majorBidi" w:cstheme="majorBidi"/>
          <w:sz w:val="20"/>
          <w:szCs w:val="20"/>
        </w:rPr>
        <w:t xml:space="preserve"> </w:t>
      </w:r>
      <w:r w:rsidR="00BF3D2D" w:rsidRPr="00D76895">
        <w:rPr>
          <w:rFonts w:asciiTheme="majorBidi" w:hAnsiTheme="majorBidi" w:cstheme="majorBidi"/>
          <w:sz w:val="20"/>
          <w:szCs w:val="20"/>
        </w:rPr>
        <w:t>[9</w:t>
      </w:r>
      <w:r w:rsidR="00D56C85" w:rsidRPr="00D76895">
        <w:rPr>
          <w:rFonts w:asciiTheme="majorBidi" w:hAnsiTheme="majorBidi" w:cstheme="majorBidi"/>
          <w:sz w:val="20"/>
          <w:szCs w:val="20"/>
        </w:rPr>
        <w:t>]. T</w:t>
      </w:r>
      <w:r w:rsidRPr="00D76895">
        <w:rPr>
          <w:rFonts w:asciiTheme="majorBidi" w:hAnsiTheme="majorBidi" w:cstheme="majorBidi"/>
          <w:sz w:val="20"/>
          <w:szCs w:val="20"/>
        </w:rPr>
        <w:t>he result</w:t>
      </w:r>
      <w:r w:rsidR="00D56C85" w:rsidRPr="00D76895">
        <w:rPr>
          <w:rFonts w:asciiTheme="majorBidi" w:hAnsiTheme="majorBidi" w:cstheme="majorBidi"/>
          <w:sz w:val="20"/>
          <w:szCs w:val="20"/>
        </w:rPr>
        <w:t>s</w:t>
      </w:r>
      <w:r w:rsidRPr="00D76895">
        <w:rPr>
          <w:rFonts w:asciiTheme="majorBidi" w:hAnsiTheme="majorBidi" w:cstheme="majorBidi"/>
          <w:sz w:val="20"/>
          <w:szCs w:val="20"/>
        </w:rPr>
        <w:t xml:space="preserve"> of th</w:t>
      </w:r>
      <w:r w:rsidR="00B1206C" w:rsidRPr="00D76895">
        <w:rPr>
          <w:rFonts w:asciiTheme="majorBidi" w:hAnsiTheme="majorBidi" w:cstheme="majorBidi"/>
          <w:sz w:val="20"/>
          <w:szCs w:val="20"/>
        </w:rPr>
        <w:t>at</w:t>
      </w:r>
      <w:r w:rsidRPr="00D76895">
        <w:rPr>
          <w:rFonts w:asciiTheme="majorBidi" w:hAnsiTheme="majorBidi" w:cstheme="majorBidi"/>
          <w:sz w:val="20"/>
          <w:szCs w:val="20"/>
        </w:rPr>
        <w:t xml:space="preserve"> survey showed a high level of knowledge and awareness </w:t>
      </w:r>
      <w:r w:rsidR="003E04E0" w:rsidRPr="00D76895">
        <w:rPr>
          <w:rFonts w:asciiTheme="majorBidi" w:hAnsiTheme="majorBidi" w:cstheme="majorBidi"/>
          <w:sz w:val="20"/>
          <w:szCs w:val="20"/>
        </w:rPr>
        <w:t>about</w:t>
      </w:r>
      <w:r w:rsidRPr="00D76895">
        <w:rPr>
          <w:rFonts w:asciiTheme="majorBidi" w:hAnsiTheme="majorBidi" w:cstheme="majorBidi"/>
          <w:sz w:val="20"/>
          <w:szCs w:val="20"/>
        </w:rPr>
        <w:t xml:space="preserve"> biosimilars and </w:t>
      </w:r>
      <w:r w:rsidR="003E04E0" w:rsidRPr="00D76895">
        <w:rPr>
          <w:rFonts w:asciiTheme="majorBidi" w:hAnsiTheme="majorBidi" w:cstheme="majorBidi"/>
          <w:sz w:val="20"/>
          <w:szCs w:val="20"/>
        </w:rPr>
        <w:t>that national as well as discipline specific guidance influenced their uptake of biosimilar</w:t>
      </w:r>
      <w:r w:rsidR="00FC0844">
        <w:rPr>
          <w:rFonts w:asciiTheme="majorBidi" w:hAnsiTheme="majorBidi" w:cstheme="majorBidi"/>
          <w:sz w:val="20"/>
          <w:szCs w:val="20"/>
        </w:rPr>
        <w:t>s</w:t>
      </w:r>
      <w:r w:rsidR="003E04E0" w:rsidRPr="00D76895">
        <w:rPr>
          <w:rFonts w:asciiTheme="majorBidi" w:hAnsiTheme="majorBidi" w:cstheme="majorBidi"/>
          <w:sz w:val="20"/>
          <w:szCs w:val="20"/>
        </w:rPr>
        <w:t xml:space="preserve">. </w:t>
      </w:r>
      <w:r w:rsidR="00FC0844">
        <w:rPr>
          <w:rFonts w:asciiTheme="majorBidi" w:hAnsiTheme="majorBidi" w:cstheme="majorBidi"/>
          <w:sz w:val="20"/>
          <w:szCs w:val="20"/>
        </w:rPr>
        <w:t>R</w:t>
      </w:r>
      <w:r w:rsidR="006C2D79" w:rsidRPr="00D76895">
        <w:rPr>
          <w:rFonts w:asciiTheme="majorBidi" w:hAnsiTheme="majorBidi" w:cstheme="majorBidi"/>
          <w:sz w:val="20"/>
          <w:szCs w:val="20"/>
        </w:rPr>
        <w:t>heumatologists were more concerned than other HCPs about sw</w:t>
      </w:r>
      <w:r w:rsidR="00FC0844">
        <w:rPr>
          <w:rFonts w:asciiTheme="majorBidi" w:hAnsiTheme="majorBidi" w:cstheme="majorBidi"/>
          <w:sz w:val="20"/>
          <w:szCs w:val="20"/>
        </w:rPr>
        <w:t>itching patients to biosimilars.</w:t>
      </w:r>
    </w:p>
    <w:p w:rsidR="000D5F40" w:rsidRDefault="006E7832" w:rsidP="000E3315">
      <w:pPr>
        <w:jc w:val="both"/>
        <w:rPr>
          <w:rFonts w:asciiTheme="majorBidi" w:hAnsiTheme="majorBidi" w:cstheme="majorBidi"/>
          <w:sz w:val="20"/>
          <w:szCs w:val="20"/>
        </w:rPr>
      </w:pPr>
      <w:r w:rsidRPr="00D76895">
        <w:rPr>
          <w:rFonts w:asciiTheme="majorBidi" w:hAnsiTheme="majorBidi" w:cstheme="majorBidi"/>
          <w:sz w:val="20"/>
          <w:szCs w:val="20"/>
        </w:rPr>
        <w:t xml:space="preserve">Despite the </w:t>
      </w:r>
      <w:r w:rsidR="00D56C85" w:rsidRPr="00D76895">
        <w:rPr>
          <w:rFonts w:asciiTheme="majorBidi" w:hAnsiTheme="majorBidi" w:cstheme="majorBidi"/>
          <w:sz w:val="20"/>
          <w:szCs w:val="20"/>
        </w:rPr>
        <w:t xml:space="preserve">need for </w:t>
      </w:r>
      <w:r w:rsidRPr="00D76895">
        <w:rPr>
          <w:rFonts w:asciiTheme="majorBidi" w:hAnsiTheme="majorBidi" w:cstheme="majorBidi"/>
          <w:sz w:val="20"/>
          <w:szCs w:val="20"/>
        </w:rPr>
        <w:t>ac</w:t>
      </w:r>
      <w:r w:rsidR="00C257A6" w:rsidRPr="00D76895">
        <w:rPr>
          <w:rFonts w:asciiTheme="majorBidi" w:hAnsiTheme="majorBidi" w:cstheme="majorBidi"/>
          <w:sz w:val="20"/>
          <w:szCs w:val="20"/>
        </w:rPr>
        <w:t>tive involvement of patients in</w:t>
      </w:r>
      <w:r w:rsidRPr="00D76895">
        <w:rPr>
          <w:rFonts w:asciiTheme="majorBidi" w:hAnsiTheme="majorBidi" w:cstheme="majorBidi"/>
          <w:sz w:val="20"/>
          <w:szCs w:val="20"/>
        </w:rPr>
        <w:t xml:space="preserve"> decision</w:t>
      </w:r>
      <w:r w:rsidR="00C54670" w:rsidRPr="00D76895">
        <w:rPr>
          <w:rFonts w:asciiTheme="majorBidi" w:hAnsiTheme="majorBidi" w:cstheme="majorBidi"/>
          <w:sz w:val="20"/>
          <w:szCs w:val="20"/>
        </w:rPr>
        <w:t xml:space="preserve">s about </w:t>
      </w:r>
      <w:r w:rsidR="00730A3D">
        <w:rPr>
          <w:rFonts w:asciiTheme="majorBidi" w:hAnsiTheme="majorBidi" w:cstheme="majorBidi"/>
          <w:sz w:val="20"/>
          <w:szCs w:val="20"/>
        </w:rPr>
        <w:t>anti</w:t>
      </w:r>
      <w:r w:rsidR="004B7455">
        <w:rPr>
          <w:rFonts w:asciiTheme="majorBidi" w:hAnsiTheme="majorBidi" w:cstheme="majorBidi"/>
          <w:sz w:val="20"/>
          <w:szCs w:val="20"/>
        </w:rPr>
        <w:t>-</w:t>
      </w:r>
      <w:r w:rsidR="00730A3D">
        <w:rPr>
          <w:rFonts w:asciiTheme="majorBidi" w:hAnsiTheme="majorBidi" w:cstheme="majorBidi"/>
          <w:sz w:val="20"/>
          <w:szCs w:val="20"/>
        </w:rPr>
        <w:t>TNFs</w:t>
      </w:r>
      <w:r w:rsidR="00412786" w:rsidRPr="00D76895">
        <w:rPr>
          <w:rFonts w:asciiTheme="majorBidi" w:hAnsiTheme="majorBidi" w:cstheme="majorBidi"/>
          <w:sz w:val="20"/>
          <w:szCs w:val="20"/>
        </w:rPr>
        <w:t xml:space="preserve"> </w:t>
      </w:r>
      <w:r w:rsidR="00BF3D2D" w:rsidRPr="00D76895">
        <w:rPr>
          <w:rFonts w:asciiTheme="majorBidi" w:hAnsiTheme="majorBidi" w:cstheme="majorBidi"/>
          <w:sz w:val="20"/>
          <w:szCs w:val="20"/>
        </w:rPr>
        <w:t>[10]</w:t>
      </w:r>
      <w:r w:rsidRPr="00D76895">
        <w:rPr>
          <w:rFonts w:asciiTheme="majorBidi" w:hAnsiTheme="majorBidi" w:cstheme="majorBidi"/>
          <w:sz w:val="20"/>
          <w:szCs w:val="20"/>
        </w:rPr>
        <w:t xml:space="preserve">, </w:t>
      </w:r>
      <w:r w:rsidR="00FC0844" w:rsidRPr="00D76895">
        <w:rPr>
          <w:rFonts w:asciiTheme="majorBidi" w:hAnsiTheme="majorBidi" w:cstheme="majorBidi"/>
          <w:sz w:val="20"/>
          <w:szCs w:val="20"/>
        </w:rPr>
        <w:t>there ha</w:t>
      </w:r>
      <w:r w:rsidR="00571BCE">
        <w:rPr>
          <w:rFonts w:asciiTheme="majorBidi" w:hAnsiTheme="majorBidi" w:cstheme="majorBidi"/>
          <w:sz w:val="20"/>
          <w:szCs w:val="20"/>
        </w:rPr>
        <w:t>ve</w:t>
      </w:r>
      <w:r w:rsidR="00FC0844" w:rsidRPr="00D76895">
        <w:rPr>
          <w:rFonts w:asciiTheme="majorBidi" w:hAnsiTheme="majorBidi" w:cstheme="majorBidi"/>
          <w:sz w:val="20"/>
          <w:szCs w:val="20"/>
        </w:rPr>
        <w:t xml:space="preserve"> been </w:t>
      </w:r>
      <w:r w:rsidR="00571BCE">
        <w:rPr>
          <w:rFonts w:asciiTheme="majorBidi" w:hAnsiTheme="majorBidi" w:cstheme="majorBidi"/>
          <w:sz w:val="20"/>
          <w:szCs w:val="20"/>
        </w:rPr>
        <w:t>limited</w:t>
      </w:r>
      <w:r w:rsidR="00FC0844" w:rsidRPr="00D76895">
        <w:rPr>
          <w:rFonts w:asciiTheme="majorBidi" w:hAnsiTheme="majorBidi" w:cstheme="majorBidi"/>
          <w:sz w:val="20"/>
          <w:szCs w:val="20"/>
        </w:rPr>
        <w:t xml:space="preserve"> publications on the views, opinions and the attitude of patients toward infliximab and etanercept biosimilars [11]. </w:t>
      </w:r>
      <w:r w:rsidR="000E3315" w:rsidRPr="000E3315">
        <w:rPr>
          <w:rFonts w:asciiTheme="majorBidi" w:hAnsiTheme="majorBidi" w:cstheme="majorBidi"/>
          <w:sz w:val="20"/>
          <w:szCs w:val="20"/>
        </w:rPr>
        <w:t xml:space="preserve">A survey of the literature revealed only </w:t>
      </w:r>
      <w:r w:rsidR="000E3315">
        <w:rPr>
          <w:rFonts w:asciiTheme="majorBidi" w:hAnsiTheme="majorBidi" w:cstheme="majorBidi"/>
          <w:sz w:val="20"/>
          <w:szCs w:val="20"/>
        </w:rPr>
        <w:t>three</w:t>
      </w:r>
      <w:r w:rsidR="000E3315" w:rsidRPr="000E3315">
        <w:rPr>
          <w:rFonts w:asciiTheme="majorBidi" w:hAnsiTheme="majorBidi" w:cstheme="majorBidi"/>
          <w:sz w:val="20"/>
          <w:szCs w:val="20"/>
        </w:rPr>
        <w:t xml:space="preserve"> studies on</w:t>
      </w:r>
      <w:r w:rsidR="000E3315">
        <w:rPr>
          <w:rFonts w:asciiTheme="majorBidi" w:hAnsiTheme="majorBidi" w:cstheme="majorBidi"/>
          <w:sz w:val="20"/>
          <w:szCs w:val="20"/>
        </w:rPr>
        <w:t xml:space="preserve"> patients’</w:t>
      </w:r>
      <w:r w:rsidR="000E3315" w:rsidRPr="000E3315">
        <w:rPr>
          <w:rFonts w:asciiTheme="majorBidi" w:hAnsiTheme="majorBidi" w:cstheme="majorBidi"/>
          <w:sz w:val="20"/>
          <w:szCs w:val="20"/>
        </w:rPr>
        <w:t xml:space="preserve"> attitudes to</w:t>
      </w:r>
      <w:r w:rsidR="000E3315">
        <w:rPr>
          <w:rFonts w:asciiTheme="majorBidi" w:hAnsiTheme="majorBidi" w:cstheme="majorBidi"/>
          <w:sz w:val="20"/>
          <w:szCs w:val="20"/>
        </w:rPr>
        <w:t>wards</w:t>
      </w:r>
      <w:r w:rsidR="000E3315" w:rsidRPr="000E3315">
        <w:rPr>
          <w:rFonts w:asciiTheme="majorBidi" w:hAnsiTheme="majorBidi" w:cstheme="majorBidi"/>
          <w:sz w:val="20"/>
          <w:szCs w:val="20"/>
        </w:rPr>
        <w:t xml:space="preserve"> anti-TNF </w:t>
      </w:r>
      <w:proofErr w:type="gramStart"/>
      <w:r w:rsidR="000E3315" w:rsidRPr="000E3315">
        <w:rPr>
          <w:rFonts w:asciiTheme="majorBidi" w:hAnsiTheme="majorBidi" w:cstheme="majorBidi"/>
          <w:sz w:val="20"/>
          <w:szCs w:val="20"/>
        </w:rPr>
        <w:t>biosimilars</w:t>
      </w:r>
      <w:r w:rsidR="000E3315">
        <w:rPr>
          <w:rFonts w:asciiTheme="majorBidi" w:hAnsiTheme="majorBidi" w:cstheme="majorBidi"/>
          <w:sz w:val="20"/>
          <w:szCs w:val="20"/>
        </w:rPr>
        <w:t xml:space="preserve"> </w:t>
      </w:r>
      <w:r w:rsidR="00571BCE">
        <w:rPr>
          <w:rFonts w:asciiTheme="majorBidi" w:hAnsiTheme="majorBidi" w:cstheme="majorBidi"/>
          <w:sz w:val="20"/>
          <w:szCs w:val="20"/>
        </w:rPr>
        <w:t>,</w:t>
      </w:r>
      <w:proofErr w:type="gramEnd"/>
      <w:r w:rsidR="009C7C58">
        <w:rPr>
          <w:rFonts w:asciiTheme="majorBidi" w:hAnsiTheme="majorBidi" w:cstheme="majorBidi"/>
          <w:sz w:val="20"/>
          <w:szCs w:val="20"/>
        </w:rPr>
        <w:t xml:space="preserve"> only one </w:t>
      </w:r>
      <w:r w:rsidR="00571BCE">
        <w:rPr>
          <w:rFonts w:asciiTheme="majorBidi" w:hAnsiTheme="majorBidi" w:cstheme="majorBidi"/>
          <w:sz w:val="20"/>
          <w:szCs w:val="20"/>
        </w:rPr>
        <w:t xml:space="preserve">was </w:t>
      </w:r>
      <w:r w:rsidR="009C7C58">
        <w:rPr>
          <w:rFonts w:asciiTheme="majorBidi" w:hAnsiTheme="majorBidi" w:cstheme="majorBidi"/>
          <w:sz w:val="20"/>
          <w:szCs w:val="20"/>
        </w:rPr>
        <w:t>in r</w:t>
      </w:r>
      <w:r w:rsidR="00746929" w:rsidRPr="00D76895">
        <w:rPr>
          <w:rFonts w:asciiTheme="majorBidi" w:hAnsiTheme="majorBidi" w:cstheme="majorBidi"/>
          <w:sz w:val="20"/>
          <w:szCs w:val="20"/>
        </w:rPr>
        <w:t>heumatology</w:t>
      </w:r>
      <w:r w:rsidR="00146B7F" w:rsidRPr="00D76895">
        <w:rPr>
          <w:rFonts w:asciiTheme="majorBidi" w:hAnsiTheme="majorBidi" w:cstheme="majorBidi"/>
          <w:sz w:val="20"/>
          <w:szCs w:val="20"/>
        </w:rPr>
        <w:t xml:space="preserve">, </w:t>
      </w:r>
      <w:r w:rsidR="00571BCE">
        <w:rPr>
          <w:rFonts w:asciiTheme="majorBidi" w:hAnsiTheme="majorBidi" w:cstheme="majorBidi"/>
          <w:sz w:val="20"/>
          <w:szCs w:val="20"/>
        </w:rPr>
        <w:t xml:space="preserve">and </w:t>
      </w:r>
      <w:r w:rsidR="009C7C58">
        <w:rPr>
          <w:rFonts w:asciiTheme="majorBidi" w:hAnsiTheme="majorBidi" w:cstheme="majorBidi"/>
          <w:sz w:val="20"/>
          <w:szCs w:val="20"/>
        </w:rPr>
        <w:t>none involv</w:t>
      </w:r>
      <w:r w:rsidR="00571BCE">
        <w:rPr>
          <w:rFonts w:asciiTheme="majorBidi" w:hAnsiTheme="majorBidi" w:cstheme="majorBidi"/>
          <w:sz w:val="20"/>
          <w:szCs w:val="20"/>
        </w:rPr>
        <w:t xml:space="preserve">ed </w:t>
      </w:r>
      <w:r w:rsidR="009C7C58">
        <w:rPr>
          <w:rFonts w:asciiTheme="majorBidi" w:hAnsiTheme="majorBidi" w:cstheme="majorBidi"/>
          <w:sz w:val="20"/>
          <w:szCs w:val="20"/>
        </w:rPr>
        <w:t>UK</w:t>
      </w:r>
      <w:r w:rsidR="00146B7F" w:rsidRPr="00D76895">
        <w:rPr>
          <w:rFonts w:asciiTheme="majorBidi" w:hAnsiTheme="majorBidi" w:cstheme="majorBidi"/>
          <w:sz w:val="20"/>
          <w:szCs w:val="20"/>
        </w:rPr>
        <w:t xml:space="preserve"> patients only</w:t>
      </w:r>
      <w:r w:rsidR="00325E2D" w:rsidRPr="00D76895">
        <w:rPr>
          <w:rFonts w:asciiTheme="majorBidi" w:hAnsiTheme="majorBidi" w:cstheme="majorBidi"/>
          <w:sz w:val="20"/>
          <w:szCs w:val="20"/>
        </w:rPr>
        <w:t xml:space="preserve">. </w:t>
      </w:r>
      <w:r w:rsidR="00B87E12">
        <w:rPr>
          <w:rFonts w:asciiTheme="majorBidi" w:hAnsiTheme="majorBidi" w:cstheme="majorBidi"/>
          <w:sz w:val="20"/>
          <w:szCs w:val="20"/>
        </w:rPr>
        <w:t xml:space="preserve">Jacobs et al., (2016) study showed </w:t>
      </w:r>
      <w:r w:rsidR="000E3315">
        <w:rPr>
          <w:rFonts w:asciiTheme="majorBidi" w:hAnsiTheme="majorBidi" w:cstheme="majorBidi"/>
          <w:sz w:val="20"/>
          <w:szCs w:val="20"/>
        </w:rPr>
        <w:t xml:space="preserve">a low awareness of biosimilars </w:t>
      </w:r>
      <w:r w:rsidR="00192334">
        <w:rPr>
          <w:rFonts w:asciiTheme="majorBidi" w:hAnsiTheme="majorBidi" w:cstheme="majorBidi"/>
          <w:sz w:val="20"/>
          <w:szCs w:val="20"/>
        </w:rPr>
        <w:t xml:space="preserve">with gaps in knowledge about biosimilars </w:t>
      </w:r>
      <w:r w:rsidR="000E3315">
        <w:rPr>
          <w:rFonts w:asciiTheme="majorBidi" w:hAnsiTheme="majorBidi" w:cstheme="majorBidi"/>
          <w:sz w:val="20"/>
          <w:szCs w:val="20"/>
        </w:rPr>
        <w:t xml:space="preserve">among US and European </w:t>
      </w:r>
      <w:r w:rsidR="00192334">
        <w:rPr>
          <w:rFonts w:asciiTheme="majorBidi" w:hAnsiTheme="majorBidi" w:cstheme="majorBidi"/>
          <w:sz w:val="20"/>
          <w:szCs w:val="20"/>
        </w:rPr>
        <w:t>patients with ulcerative colitis, Crohn’s disease, rheumatoid arthritis and psoriasis</w:t>
      </w:r>
      <w:r w:rsidR="00BE2800">
        <w:rPr>
          <w:rFonts w:asciiTheme="majorBidi" w:hAnsiTheme="majorBidi" w:cstheme="majorBidi"/>
          <w:sz w:val="20"/>
          <w:szCs w:val="20"/>
        </w:rPr>
        <w:t xml:space="preserve"> [1</w:t>
      </w:r>
      <w:r w:rsidR="00567E62">
        <w:rPr>
          <w:rFonts w:asciiTheme="majorBidi" w:hAnsiTheme="majorBidi" w:cstheme="majorBidi"/>
          <w:sz w:val="20"/>
          <w:szCs w:val="20"/>
        </w:rPr>
        <w:t>2</w:t>
      </w:r>
      <w:r w:rsidR="00BE2800">
        <w:rPr>
          <w:rFonts w:asciiTheme="majorBidi" w:hAnsiTheme="majorBidi" w:cstheme="majorBidi"/>
          <w:sz w:val="20"/>
          <w:szCs w:val="20"/>
        </w:rPr>
        <w:t>]</w:t>
      </w:r>
      <w:r w:rsidR="00192334">
        <w:rPr>
          <w:rFonts w:asciiTheme="majorBidi" w:hAnsiTheme="majorBidi" w:cstheme="majorBidi"/>
          <w:sz w:val="20"/>
          <w:szCs w:val="20"/>
        </w:rPr>
        <w:t xml:space="preserve">. Sullivan et al., (2017) </w:t>
      </w:r>
      <w:r w:rsidR="005D3F92">
        <w:rPr>
          <w:rFonts w:asciiTheme="majorBidi" w:hAnsiTheme="majorBidi" w:cstheme="majorBidi"/>
          <w:sz w:val="20"/>
          <w:szCs w:val="20"/>
        </w:rPr>
        <w:t xml:space="preserve">and Waller et al., (2017) </w:t>
      </w:r>
      <w:r w:rsidR="00192334">
        <w:rPr>
          <w:rFonts w:asciiTheme="majorBidi" w:hAnsiTheme="majorBidi" w:cstheme="majorBidi"/>
          <w:sz w:val="20"/>
          <w:szCs w:val="20"/>
        </w:rPr>
        <w:t>stud</w:t>
      </w:r>
      <w:r w:rsidR="005D3F92">
        <w:rPr>
          <w:rFonts w:asciiTheme="majorBidi" w:hAnsiTheme="majorBidi" w:cstheme="majorBidi"/>
          <w:sz w:val="20"/>
          <w:szCs w:val="20"/>
        </w:rPr>
        <w:t xml:space="preserve">ies </w:t>
      </w:r>
      <w:r w:rsidR="00192334">
        <w:rPr>
          <w:rFonts w:asciiTheme="majorBidi" w:hAnsiTheme="majorBidi" w:cstheme="majorBidi"/>
          <w:sz w:val="20"/>
          <w:szCs w:val="20"/>
        </w:rPr>
        <w:t>showed higher reluctance to receive biosimilars among ulcerative colitis and Crohn’s disease patients</w:t>
      </w:r>
      <w:r w:rsidR="005D3F92">
        <w:rPr>
          <w:rFonts w:asciiTheme="majorBidi" w:hAnsiTheme="majorBidi" w:cstheme="majorBidi"/>
          <w:sz w:val="20"/>
          <w:szCs w:val="20"/>
        </w:rPr>
        <w:t xml:space="preserve"> and AS and RA patients in Germany</w:t>
      </w:r>
      <w:r w:rsidR="00192334">
        <w:rPr>
          <w:rFonts w:asciiTheme="majorBidi" w:hAnsiTheme="majorBidi" w:cstheme="majorBidi"/>
          <w:sz w:val="20"/>
          <w:szCs w:val="20"/>
        </w:rPr>
        <w:t xml:space="preserve"> </w:t>
      </w:r>
      <w:r w:rsidR="005D3F92">
        <w:rPr>
          <w:rFonts w:asciiTheme="majorBidi" w:hAnsiTheme="majorBidi" w:cstheme="majorBidi"/>
          <w:sz w:val="20"/>
          <w:szCs w:val="20"/>
        </w:rPr>
        <w:t xml:space="preserve">respectively, </w:t>
      </w:r>
      <w:r w:rsidR="00192334">
        <w:rPr>
          <w:rFonts w:asciiTheme="majorBidi" w:hAnsiTheme="majorBidi" w:cstheme="majorBidi"/>
          <w:sz w:val="20"/>
          <w:szCs w:val="20"/>
        </w:rPr>
        <w:t>who were already on biologics than biologic naïve patients</w:t>
      </w:r>
      <w:r w:rsidR="005D3F92">
        <w:rPr>
          <w:rFonts w:asciiTheme="majorBidi" w:hAnsiTheme="majorBidi" w:cstheme="majorBidi"/>
          <w:sz w:val="20"/>
          <w:szCs w:val="20"/>
        </w:rPr>
        <w:t>. Furthermore, both studies showed that quarter of the participants not knowing enough about their medications (biosimilar) as a concern</w:t>
      </w:r>
      <w:r w:rsidR="000002EC">
        <w:rPr>
          <w:rFonts w:asciiTheme="majorBidi" w:hAnsiTheme="majorBidi" w:cstheme="majorBidi"/>
          <w:sz w:val="20"/>
          <w:szCs w:val="20"/>
        </w:rPr>
        <w:t xml:space="preserve"> [1</w:t>
      </w:r>
      <w:r w:rsidR="00567E62">
        <w:rPr>
          <w:rFonts w:asciiTheme="majorBidi" w:hAnsiTheme="majorBidi" w:cstheme="majorBidi"/>
          <w:sz w:val="20"/>
          <w:szCs w:val="20"/>
        </w:rPr>
        <w:t>3</w:t>
      </w:r>
      <w:r w:rsidR="000002EC">
        <w:rPr>
          <w:rFonts w:asciiTheme="majorBidi" w:hAnsiTheme="majorBidi" w:cstheme="majorBidi"/>
          <w:sz w:val="20"/>
          <w:szCs w:val="20"/>
        </w:rPr>
        <w:t>-1</w:t>
      </w:r>
      <w:r w:rsidR="00567E62">
        <w:rPr>
          <w:rFonts w:asciiTheme="majorBidi" w:hAnsiTheme="majorBidi" w:cstheme="majorBidi"/>
          <w:sz w:val="20"/>
          <w:szCs w:val="20"/>
        </w:rPr>
        <w:t>4</w:t>
      </w:r>
      <w:r w:rsidR="000002EC">
        <w:rPr>
          <w:rFonts w:asciiTheme="majorBidi" w:hAnsiTheme="majorBidi" w:cstheme="majorBidi"/>
          <w:sz w:val="20"/>
          <w:szCs w:val="20"/>
        </w:rPr>
        <w:t>]</w:t>
      </w:r>
      <w:r w:rsidR="005D3F92">
        <w:rPr>
          <w:rFonts w:asciiTheme="majorBidi" w:hAnsiTheme="majorBidi" w:cstheme="majorBidi"/>
          <w:sz w:val="20"/>
          <w:szCs w:val="20"/>
        </w:rPr>
        <w:t>.</w:t>
      </w:r>
    </w:p>
    <w:p w:rsidR="004F4C75" w:rsidRPr="00D76895" w:rsidRDefault="00325E2D" w:rsidP="00BF3D2D">
      <w:pPr>
        <w:jc w:val="both"/>
        <w:rPr>
          <w:rFonts w:asciiTheme="majorBidi" w:hAnsiTheme="majorBidi" w:cstheme="majorBidi"/>
          <w:sz w:val="20"/>
          <w:szCs w:val="20"/>
        </w:rPr>
      </w:pPr>
      <w:r w:rsidRPr="00D76895">
        <w:rPr>
          <w:rFonts w:asciiTheme="majorBidi" w:hAnsiTheme="majorBidi" w:cstheme="majorBidi"/>
          <w:sz w:val="20"/>
          <w:szCs w:val="20"/>
        </w:rPr>
        <w:t>Given the importance</w:t>
      </w:r>
      <w:r w:rsidR="00C257A6" w:rsidRPr="00D76895">
        <w:rPr>
          <w:rFonts w:asciiTheme="majorBidi" w:hAnsiTheme="majorBidi" w:cstheme="majorBidi"/>
          <w:sz w:val="20"/>
          <w:szCs w:val="20"/>
        </w:rPr>
        <w:t xml:space="preserve"> of biologic medicines in the UK</w:t>
      </w:r>
      <w:r w:rsidRPr="00D76895">
        <w:rPr>
          <w:rFonts w:asciiTheme="majorBidi" w:hAnsiTheme="majorBidi" w:cstheme="majorBidi"/>
          <w:sz w:val="20"/>
          <w:szCs w:val="20"/>
        </w:rPr>
        <w:t xml:space="preserve"> NHS we aimed to address this gap in our knowledge of </w:t>
      </w:r>
      <w:r w:rsidR="00C257A6" w:rsidRPr="00D76895">
        <w:rPr>
          <w:rFonts w:asciiTheme="majorBidi" w:hAnsiTheme="majorBidi" w:cstheme="majorBidi"/>
          <w:sz w:val="20"/>
          <w:szCs w:val="20"/>
        </w:rPr>
        <w:t>patients’</w:t>
      </w:r>
      <w:r w:rsidRPr="00D76895">
        <w:rPr>
          <w:rFonts w:asciiTheme="majorBidi" w:hAnsiTheme="majorBidi" w:cstheme="majorBidi"/>
          <w:sz w:val="20"/>
          <w:szCs w:val="20"/>
        </w:rPr>
        <w:t xml:space="preserve"> knowledge and attitudes to anti</w:t>
      </w:r>
      <w:r w:rsidR="004B7455">
        <w:rPr>
          <w:rFonts w:asciiTheme="majorBidi" w:hAnsiTheme="majorBidi" w:cstheme="majorBidi"/>
          <w:sz w:val="20"/>
          <w:szCs w:val="20"/>
        </w:rPr>
        <w:t>-</w:t>
      </w:r>
      <w:r w:rsidRPr="00D76895">
        <w:rPr>
          <w:rFonts w:asciiTheme="majorBidi" w:hAnsiTheme="majorBidi" w:cstheme="majorBidi"/>
          <w:sz w:val="20"/>
          <w:szCs w:val="20"/>
        </w:rPr>
        <w:t xml:space="preserve">TNF biosimilars. </w:t>
      </w:r>
      <w:r w:rsidR="006E7832" w:rsidRPr="00D76895">
        <w:rPr>
          <w:rFonts w:asciiTheme="majorBidi" w:hAnsiTheme="majorBidi" w:cstheme="majorBidi"/>
          <w:sz w:val="20"/>
          <w:szCs w:val="20"/>
        </w:rPr>
        <w:t xml:space="preserve">This study aimed to explore </w:t>
      </w:r>
      <w:r w:rsidR="00CE2F9C" w:rsidRPr="00D76895">
        <w:rPr>
          <w:rFonts w:asciiTheme="majorBidi" w:hAnsiTheme="majorBidi" w:cstheme="majorBidi"/>
          <w:sz w:val="20"/>
          <w:szCs w:val="20"/>
        </w:rPr>
        <w:t xml:space="preserve">AS </w:t>
      </w:r>
      <w:r w:rsidR="00711EBB" w:rsidRPr="00D76895">
        <w:rPr>
          <w:rFonts w:asciiTheme="majorBidi" w:hAnsiTheme="majorBidi" w:cstheme="majorBidi"/>
          <w:sz w:val="20"/>
          <w:szCs w:val="20"/>
        </w:rPr>
        <w:t xml:space="preserve">and </w:t>
      </w:r>
      <w:r w:rsidR="00CE2F9C" w:rsidRPr="00D76895">
        <w:rPr>
          <w:rFonts w:asciiTheme="majorBidi" w:hAnsiTheme="majorBidi" w:cstheme="majorBidi"/>
          <w:sz w:val="20"/>
          <w:szCs w:val="20"/>
        </w:rPr>
        <w:t xml:space="preserve">RA </w:t>
      </w:r>
      <w:r w:rsidR="00711EBB" w:rsidRPr="00D76895">
        <w:rPr>
          <w:rFonts w:asciiTheme="majorBidi" w:hAnsiTheme="majorBidi" w:cstheme="majorBidi"/>
          <w:sz w:val="20"/>
          <w:szCs w:val="20"/>
        </w:rPr>
        <w:t>patients’ understanding and attitude towards infliximab and etanercept biosimilars in UK.</w:t>
      </w:r>
      <w:r w:rsidR="006E7832" w:rsidRPr="00D76895">
        <w:rPr>
          <w:rFonts w:asciiTheme="majorBidi" w:hAnsiTheme="majorBidi" w:cstheme="majorBidi"/>
          <w:sz w:val="20"/>
          <w:szCs w:val="20"/>
        </w:rPr>
        <w:t xml:space="preserve"> </w:t>
      </w:r>
    </w:p>
    <w:p w:rsidR="00D31C9C" w:rsidRPr="00D76895" w:rsidRDefault="00711EBB" w:rsidP="001159E2">
      <w:pPr>
        <w:pStyle w:val="ListParagraph"/>
        <w:numPr>
          <w:ilvl w:val="0"/>
          <w:numId w:val="9"/>
        </w:numPr>
        <w:jc w:val="both"/>
        <w:rPr>
          <w:rFonts w:asciiTheme="majorBidi" w:hAnsiTheme="majorBidi" w:cstheme="majorBidi"/>
          <w:b/>
          <w:bCs/>
          <w:sz w:val="20"/>
          <w:szCs w:val="20"/>
        </w:rPr>
      </w:pPr>
      <w:r w:rsidRPr="00D76895">
        <w:rPr>
          <w:rFonts w:asciiTheme="majorBidi" w:hAnsiTheme="majorBidi" w:cstheme="majorBidi"/>
          <w:b/>
          <w:bCs/>
          <w:sz w:val="20"/>
          <w:szCs w:val="20"/>
        </w:rPr>
        <w:t>Methods</w:t>
      </w:r>
    </w:p>
    <w:p w:rsidR="00711EBB" w:rsidRPr="00D76895" w:rsidRDefault="00711EBB" w:rsidP="001159E2">
      <w:pPr>
        <w:jc w:val="both"/>
        <w:rPr>
          <w:rFonts w:asciiTheme="majorBidi" w:hAnsiTheme="majorBidi" w:cstheme="majorBidi"/>
          <w:sz w:val="20"/>
          <w:szCs w:val="20"/>
        </w:rPr>
      </w:pPr>
      <w:r w:rsidRPr="00D76895">
        <w:rPr>
          <w:rFonts w:asciiTheme="majorBidi" w:hAnsiTheme="majorBidi" w:cstheme="majorBidi"/>
          <w:sz w:val="20"/>
          <w:szCs w:val="20"/>
        </w:rPr>
        <w:t xml:space="preserve">This was an anonymised, self-administered web-based survey among </w:t>
      </w:r>
      <w:r w:rsidR="00CE2F9C" w:rsidRPr="00D76895">
        <w:rPr>
          <w:rFonts w:asciiTheme="majorBidi" w:hAnsiTheme="majorBidi" w:cstheme="majorBidi"/>
          <w:sz w:val="20"/>
          <w:szCs w:val="20"/>
        </w:rPr>
        <w:t xml:space="preserve">AS </w:t>
      </w:r>
      <w:r w:rsidRPr="00D76895">
        <w:rPr>
          <w:rFonts w:asciiTheme="majorBidi" w:hAnsiTheme="majorBidi" w:cstheme="majorBidi"/>
          <w:sz w:val="20"/>
          <w:szCs w:val="20"/>
        </w:rPr>
        <w:t xml:space="preserve">and </w:t>
      </w:r>
      <w:r w:rsidR="00CE2F9C" w:rsidRPr="00D76895">
        <w:rPr>
          <w:rFonts w:asciiTheme="majorBidi" w:hAnsiTheme="majorBidi" w:cstheme="majorBidi"/>
          <w:sz w:val="20"/>
          <w:szCs w:val="20"/>
        </w:rPr>
        <w:t xml:space="preserve">RA </w:t>
      </w:r>
      <w:r w:rsidRPr="00D76895">
        <w:rPr>
          <w:rFonts w:asciiTheme="majorBidi" w:hAnsiTheme="majorBidi" w:cstheme="majorBidi"/>
          <w:sz w:val="20"/>
          <w:szCs w:val="20"/>
        </w:rPr>
        <w:t>patients in UK. Th</w:t>
      </w:r>
      <w:r w:rsidR="00CE64E1" w:rsidRPr="00D76895">
        <w:rPr>
          <w:rFonts w:asciiTheme="majorBidi" w:hAnsiTheme="majorBidi" w:cstheme="majorBidi"/>
          <w:sz w:val="20"/>
          <w:szCs w:val="20"/>
        </w:rPr>
        <w:t>is survey was conducted between</w:t>
      </w:r>
      <w:r w:rsidRPr="00D76895">
        <w:rPr>
          <w:rFonts w:asciiTheme="majorBidi" w:hAnsiTheme="majorBidi" w:cstheme="majorBidi"/>
          <w:sz w:val="20"/>
          <w:szCs w:val="20"/>
        </w:rPr>
        <w:t xml:space="preserve"> </w:t>
      </w:r>
      <w:r w:rsidR="00CE64E1" w:rsidRPr="00D76895">
        <w:rPr>
          <w:rFonts w:asciiTheme="majorBidi" w:hAnsiTheme="majorBidi" w:cstheme="majorBidi"/>
          <w:sz w:val="20"/>
          <w:szCs w:val="20"/>
        </w:rPr>
        <w:t>2</w:t>
      </w:r>
      <w:r w:rsidR="00CE64E1" w:rsidRPr="00D76895">
        <w:rPr>
          <w:rFonts w:asciiTheme="majorBidi" w:hAnsiTheme="majorBidi" w:cstheme="majorBidi"/>
          <w:sz w:val="20"/>
          <w:szCs w:val="20"/>
          <w:vertAlign w:val="superscript"/>
        </w:rPr>
        <w:t>nd</w:t>
      </w:r>
      <w:r w:rsidR="00CE64E1" w:rsidRPr="00D76895">
        <w:rPr>
          <w:rFonts w:asciiTheme="majorBidi" w:hAnsiTheme="majorBidi" w:cstheme="majorBidi"/>
          <w:sz w:val="20"/>
          <w:szCs w:val="20"/>
        </w:rPr>
        <w:t xml:space="preserve"> </w:t>
      </w:r>
      <w:r w:rsidRPr="00D76895">
        <w:rPr>
          <w:rFonts w:asciiTheme="majorBidi" w:hAnsiTheme="majorBidi" w:cstheme="majorBidi"/>
          <w:sz w:val="20"/>
          <w:szCs w:val="20"/>
        </w:rPr>
        <w:t xml:space="preserve">of </w:t>
      </w:r>
      <w:r w:rsidR="00CE64E1" w:rsidRPr="00D76895">
        <w:rPr>
          <w:rFonts w:asciiTheme="majorBidi" w:hAnsiTheme="majorBidi" w:cstheme="majorBidi"/>
          <w:sz w:val="20"/>
          <w:szCs w:val="20"/>
        </w:rPr>
        <w:t>March</w:t>
      </w:r>
      <w:r w:rsidRPr="00D76895">
        <w:rPr>
          <w:rFonts w:asciiTheme="majorBidi" w:hAnsiTheme="majorBidi" w:cstheme="majorBidi"/>
          <w:sz w:val="20"/>
          <w:szCs w:val="20"/>
        </w:rPr>
        <w:t xml:space="preserve"> 2017</w:t>
      </w:r>
      <w:r w:rsidR="00CE64E1" w:rsidRPr="00D76895">
        <w:rPr>
          <w:rFonts w:asciiTheme="majorBidi" w:hAnsiTheme="majorBidi" w:cstheme="majorBidi"/>
          <w:sz w:val="20"/>
          <w:szCs w:val="20"/>
        </w:rPr>
        <w:t xml:space="preserve"> </w:t>
      </w:r>
      <w:r w:rsidR="00571BCE">
        <w:rPr>
          <w:rFonts w:asciiTheme="majorBidi" w:hAnsiTheme="majorBidi" w:cstheme="majorBidi"/>
          <w:sz w:val="20"/>
          <w:szCs w:val="20"/>
        </w:rPr>
        <w:t>and</w:t>
      </w:r>
      <w:r w:rsidR="00CE64E1" w:rsidRPr="00D76895">
        <w:rPr>
          <w:rFonts w:asciiTheme="majorBidi" w:hAnsiTheme="majorBidi" w:cstheme="majorBidi"/>
          <w:sz w:val="20"/>
          <w:szCs w:val="20"/>
        </w:rPr>
        <w:t xml:space="preserve"> 2</w:t>
      </w:r>
      <w:r w:rsidR="00CE64E1" w:rsidRPr="00D76895">
        <w:rPr>
          <w:rFonts w:asciiTheme="majorBidi" w:hAnsiTheme="majorBidi" w:cstheme="majorBidi"/>
          <w:sz w:val="20"/>
          <w:szCs w:val="20"/>
          <w:vertAlign w:val="superscript"/>
        </w:rPr>
        <w:t>nd</w:t>
      </w:r>
      <w:r w:rsidR="00CE64E1" w:rsidRPr="00D76895">
        <w:rPr>
          <w:rFonts w:asciiTheme="majorBidi" w:hAnsiTheme="majorBidi" w:cstheme="majorBidi"/>
          <w:sz w:val="20"/>
          <w:szCs w:val="20"/>
        </w:rPr>
        <w:t xml:space="preserve"> of June 2017</w:t>
      </w:r>
      <w:r w:rsidRPr="00D76895">
        <w:rPr>
          <w:rFonts w:asciiTheme="majorBidi" w:hAnsiTheme="majorBidi" w:cstheme="majorBidi"/>
          <w:sz w:val="20"/>
          <w:szCs w:val="20"/>
        </w:rPr>
        <w:t>. Th</w:t>
      </w:r>
      <w:r w:rsidR="00571BCE">
        <w:rPr>
          <w:rFonts w:asciiTheme="majorBidi" w:hAnsiTheme="majorBidi" w:cstheme="majorBidi"/>
          <w:sz w:val="20"/>
          <w:szCs w:val="20"/>
        </w:rPr>
        <w:t>e</w:t>
      </w:r>
      <w:r w:rsidRPr="00D76895">
        <w:rPr>
          <w:rFonts w:asciiTheme="majorBidi" w:hAnsiTheme="majorBidi" w:cstheme="majorBidi"/>
          <w:sz w:val="20"/>
          <w:szCs w:val="20"/>
        </w:rPr>
        <w:t xml:space="preserve"> study </w:t>
      </w:r>
      <w:r w:rsidR="00571BCE">
        <w:rPr>
          <w:rFonts w:asciiTheme="majorBidi" w:hAnsiTheme="majorBidi" w:cstheme="majorBidi"/>
          <w:sz w:val="20"/>
          <w:szCs w:val="20"/>
        </w:rPr>
        <w:t xml:space="preserve">was </w:t>
      </w:r>
      <w:r w:rsidRPr="00D76895">
        <w:rPr>
          <w:rFonts w:asciiTheme="majorBidi" w:hAnsiTheme="majorBidi" w:cstheme="majorBidi"/>
          <w:sz w:val="20"/>
          <w:szCs w:val="20"/>
        </w:rPr>
        <w:t>approved by the Ethics Review Panel at Keele University (Ref.</w:t>
      </w:r>
      <w:r w:rsidR="00CE64E1" w:rsidRPr="00D76895">
        <w:rPr>
          <w:rFonts w:asciiTheme="majorBidi" w:hAnsiTheme="majorBidi" w:cstheme="majorBidi"/>
          <w:sz w:val="20"/>
          <w:szCs w:val="20"/>
        </w:rPr>
        <w:t xml:space="preserve"> ERP393).</w:t>
      </w:r>
    </w:p>
    <w:p w:rsidR="00D43B8B" w:rsidRPr="00D76895" w:rsidRDefault="006F0623" w:rsidP="00BF3D2D">
      <w:pPr>
        <w:jc w:val="both"/>
        <w:rPr>
          <w:rFonts w:asciiTheme="majorBidi" w:hAnsiTheme="majorBidi" w:cstheme="majorBidi"/>
          <w:sz w:val="20"/>
          <w:szCs w:val="20"/>
        </w:rPr>
      </w:pPr>
      <w:r>
        <w:rPr>
          <w:rFonts w:asciiTheme="majorBidi" w:hAnsiTheme="majorBidi" w:cstheme="majorBidi"/>
          <w:sz w:val="20"/>
          <w:szCs w:val="20"/>
        </w:rPr>
        <w:t xml:space="preserve">A convenient sample of </w:t>
      </w:r>
      <w:r w:rsidR="00CE64E1" w:rsidRPr="00D76895">
        <w:rPr>
          <w:rFonts w:asciiTheme="majorBidi" w:hAnsiTheme="majorBidi" w:cstheme="majorBidi"/>
          <w:sz w:val="20"/>
          <w:szCs w:val="20"/>
        </w:rPr>
        <w:t xml:space="preserve">AS </w:t>
      </w:r>
      <w:r w:rsidR="00CE2F9C" w:rsidRPr="00D76895">
        <w:rPr>
          <w:rFonts w:asciiTheme="majorBidi" w:hAnsiTheme="majorBidi" w:cstheme="majorBidi"/>
          <w:sz w:val="20"/>
          <w:szCs w:val="20"/>
        </w:rPr>
        <w:t xml:space="preserve">and RA </w:t>
      </w:r>
      <w:r w:rsidR="00CE64E1" w:rsidRPr="00D76895">
        <w:rPr>
          <w:rFonts w:asciiTheme="majorBidi" w:hAnsiTheme="majorBidi" w:cstheme="majorBidi"/>
          <w:sz w:val="20"/>
          <w:szCs w:val="20"/>
        </w:rPr>
        <w:t xml:space="preserve">patients </w:t>
      </w:r>
      <w:r w:rsidR="00A91A51" w:rsidRPr="00D76895">
        <w:rPr>
          <w:rFonts w:asciiTheme="majorBidi" w:hAnsiTheme="majorBidi" w:cstheme="majorBidi"/>
          <w:sz w:val="20"/>
          <w:szCs w:val="20"/>
        </w:rPr>
        <w:t xml:space="preserve">who </w:t>
      </w:r>
      <w:r w:rsidR="00711EBB" w:rsidRPr="00D76895">
        <w:rPr>
          <w:rFonts w:asciiTheme="majorBidi" w:hAnsiTheme="majorBidi" w:cstheme="majorBidi"/>
          <w:sz w:val="20"/>
          <w:szCs w:val="20"/>
        </w:rPr>
        <w:t xml:space="preserve">were </w:t>
      </w:r>
      <w:r w:rsidR="00CE64E1" w:rsidRPr="00D76895">
        <w:rPr>
          <w:rFonts w:asciiTheme="majorBidi" w:hAnsiTheme="majorBidi" w:cstheme="majorBidi"/>
          <w:sz w:val="20"/>
          <w:szCs w:val="20"/>
        </w:rPr>
        <w:t xml:space="preserve">registered members of </w:t>
      </w:r>
      <w:r w:rsidR="00C83494" w:rsidRPr="00D76895">
        <w:rPr>
          <w:rFonts w:asciiTheme="majorBidi" w:hAnsiTheme="majorBidi" w:cstheme="majorBidi"/>
          <w:sz w:val="20"/>
          <w:szCs w:val="20"/>
        </w:rPr>
        <w:t xml:space="preserve">the </w:t>
      </w:r>
      <w:r w:rsidR="006B213D">
        <w:rPr>
          <w:rFonts w:asciiTheme="majorBidi" w:hAnsiTheme="majorBidi" w:cstheme="majorBidi"/>
          <w:sz w:val="20"/>
          <w:szCs w:val="20"/>
        </w:rPr>
        <w:t>N</w:t>
      </w:r>
      <w:r w:rsidR="00CE64E1" w:rsidRPr="00D76895">
        <w:rPr>
          <w:rFonts w:asciiTheme="majorBidi" w:hAnsiTheme="majorBidi" w:cstheme="majorBidi"/>
          <w:sz w:val="20"/>
          <w:szCs w:val="20"/>
        </w:rPr>
        <w:t>ational</w:t>
      </w:r>
      <w:r w:rsidR="00571BCE">
        <w:rPr>
          <w:rFonts w:asciiTheme="majorBidi" w:hAnsiTheme="majorBidi" w:cstheme="majorBidi"/>
          <w:sz w:val="20"/>
          <w:szCs w:val="20"/>
        </w:rPr>
        <w:t xml:space="preserve"> </w:t>
      </w:r>
      <w:r w:rsidR="006B213D">
        <w:rPr>
          <w:rFonts w:asciiTheme="majorBidi" w:hAnsiTheme="majorBidi" w:cstheme="majorBidi"/>
          <w:sz w:val="20"/>
          <w:szCs w:val="20"/>
        </w:rPr>
        <w:t>R</w:t>
      </w:r>
      <w:r w:rsidR="00571BCE">
        <w:rPr>
          <w:rFonts w:asciiTheme="majorBidi" w:hAnsiTheme="majorBidi" w:cstheme="majorBidi"/>
          <w:sz w:val="20"/>
          <w:szCs w:val="20"/>
        </w:rPr>
        <w:t xml:space="preserve">heumatoid </w:t>
      </w:r>
      <w:r w:rsidR="006B213D">
        <w:rPr>
          <w:rFonts w:asciiTheme="majorBidi" w:hAnsiTheme="majorBidi" w:cstheme="majorBidi"/>
          <w:sz w:val="20"/>
          <w:szCs w:val="20"/>
        </w:rPr>
        <w:t>A</w:t>
      </w:r>
      <w:r w:rsidR="00571BCE">
        <w:rPr>
          <w:rFonts w:asciiTheme="majorBidi" w:hAnsiTheme="majorBidi" w:cstheme="majorBidi"/>
          <w:sz w:val="20"/>
          <w:szCs w:val="20"/>
        </w:rPr>
        <w:t xml:space="preserve">rthritis </w:t>
      </w:r>
      <w:r w:rsidR="006B213D">
        <w:rPr>
          <w:rFonts w:asciiTheme="majorBidi" w:hAnsiTheme="majorBidi" w:cstheme="majorBidi"/>
          <w:sz w:val="20"/>
          <w:szCs w:val="20"/>
        </w:rPr>
        <w:t>S</w:t>
      </w:r>
      <w:r w:rsidR="00571BCE">
        <w:rPr>
          <w:rFonts w:asciiTheme="majorBidi" w:hAnsiTheme="majorBidi" w:cstheme="majorBidi"/>
          <w:sz w:val="20"/>
          <w:szCs w:val="20"/>
        </w:rPr>
        <w:t>ociety</w:t>
      </w:r>
      <w:r w:rsidR="00CE64E1" w:rsidRPr="00D76895">
        <w:rPr>
          <w:rFonts w:asciiTheme="majorBidi" w:hAnsiTheme="majorBidi" w:cstheme="majorBidi"/>
          <w:sz w:val="20"/>
          <w:szCs w:val="20"/>
        </w:rPr>
        <w:t xml:space="preserve"> and </w:t>
      </w:r>
      <w:r w:rsidR="00C83494" w:rsidRPr="00D76895">
        <w:rPr>
          <w:rFonts w:asciiTheme="majorBidi" w:hAnsiTheme="majorBidi" w:cstheme="majorBidi"/>
          <w:sz w:val="20"/>
          <w:szCs w:val="20"/>
        </w:rPr>
        <w:t xml:space="preserve">the </w:t>
      </w:r>
      <w:r w:rsidR="006B213D">
        <w:rPr>
          <w:rFonts w:asciiTheme="majorBidi" w:hAnsiTheme="majorBidi" w:cstheme="majorBidi"/>
          <w:sz w:val="20"/>
          <w:szCs w:val="20"/>
        </w:rPr>
        <w:t>N</w:t>
      </w:r>
      <w:r w:rsidR="00CE64E1" w:rsidRPr="00D76895">
        <w:rPr>
          <w:rFonts w:asciiTheme="majorBidi" w:hAnsiTheme="majorBidi" w:cstheme="majorBidi"/>
          <w:sz w:val="20"/>
          <w:szCs w:val="20"/>
        </w:rPr>
        <w:t xml:space="preserve">ational </w:t>
      </w:r>
      <w:r w:rsidR="006B213D">
        <w:rPr>
          <w:rFonts w:asciiTheme="majorBidi" w:hAnsiTheme="majorBidi" w:cstheme="majorBidi"/>
          <w:sz w:val="20"/>
          <w:szCs w:val="20"/>
        </w:rPr>
        <w:t>A</w:t>
      </w:r>
      <w:r w:rsidR="00CE64E1" w:rsidRPr="00D76895">
        <w:rPr>
          <w:rFonts w:asciiTheme="majorBidi" w:hAnsiTheme="majorBidi" w:cstheme="majorBidi"/>
          <w:sz w:val="20"/>
          <w:szCs w:val="20"/>
        </w:rPr>
        <w:t xml:space="preserve">nkylosing </w:t>
      </w:r>
      <w:r w:rsidR="006B213D">
        <w:rPr>
          <w:rFonts w:asciiTheme="majorBidi" w:hAnsiTheme="majorBidi" w:cstheme="majorBidi"/>
          <w:sz w:val="20"/>
          <w:szCs w:val="20"/>
        </w:rPr>
        <w:t>S</w:t>
      </w:r>
      <w:r w:rsidR="00CE64E1" w:rsidRPr="00D76895">
        <w:rPr>
          <w:rFonts w:asciiTheme="majorBidi" w:hAnsiTheme="majorBidi" w:cstheme="majorBidi"/>
          <w:sz w:val="20"/>
          <w:szCs w:val="20"/>
        </w:rPr>
        <w:t xml:space="preserve">pondylitis </w:t>
      </w:r>
      <w:r w:rsidR="006B213D">
        <w:rPr>
          <w:rFonts w:asciiTheme="majorBidi" w:hAnsiTheme="majorBidi" w:cstheme="majorBidi"/>
          <w:sz w:val="20"/>
          <w:szCs w:val="20"/>
        </w:rPr>
        <w:t>S</w:t>
      </w:r>
      <w:r w:rsidR="00CE64E1" w:rsidRPr="00D76895">
        <w:rPr>
          <w:rFonts w:asciiTheme="majorBidi" w:hAnsiTheme="majorBidi" w:cstheme="majorBidi"/>
          <w:sz w:val="20"/>
          <w:szCs w:val="20"/>
        </w:rPr>
        <w:t>ociety</w:t>
      </w:r>
      <w:r w:rsidR="00A91A51" w:rsidRPr="00D76895">
        <w:rPr>
          <w:rFonts w:asciiTheme="majorBidi" w:hAnsiTheme="majorBidi" w:cstheme="majorBidi"/>
          <w:sz w:val="20"/>
          <w:szCs w:val="20"/>
        </w:rPr>
        <w:t xml:space="preserve"> </w:t>
      </w:r>
      <w:r w:rsidR="00BF3D2D" w:rsidRPr="00D76895">
        <w:rPr>
          <w:rFonts w:asciiTheme="majorBidi" w:hAnsiTheme="majorBidi" w:cstheme="majorBidi"/>
          <w:sz w:val="20"/>
          <w:szCs w:val="20"/>
        </w:rPr>
        <w:t>in the U</w:t>
      </w:r>
      <w:r w:rsidR="00A91A51" w:rsidRPr="00D76895">
        <w:rPr>
          <w:rFonts w:asciiTheme="majorBidi" w:hAnsiTheme="majorBidi" w:cstheme="majorBidi"/>
          <w:sz w:val="20"/>
          <w:szCs w:val="20"/>
        </w:rPr>
        <w:t>K</w:t>
      </w:r>
      <w:r>
        <w:rPr>
          <w:rFonts w:asciiTheme="majorBidi" w:hAnsiTheme="majorBidi" w:cstheme="majorBidi"/>
          <w:sz w:val="20"/>
          <w:szCs w:val="20"/>
        </w:rPr>
        <w:t xml:space="preserve"> participated in this survey</w:t>
      </w:r>
      <w:r w:rsidR="00CE64E1" w:rsidRPr="00D76895">
        <w:rPr>
          <w:rFonts w:asciiTheme="majorBidi" w:hAnsiTheme="majorBidi" w:cstheme="majorBidi"/>
          <w:sz w:val="20"/>
          <w:szCs w:val="20"/>
        </w:rPr>
        <w:t xml:space="preserve">. </w:t>
      </w:r>
      <w:r w:rsidR="00D43B8B" w:rsidRPr="00D76895">
        <w:rPr>
          <w:rFonts w:asciiTheme="majorBidi" w:hAnsiTheme="majorBidi" w:cstheme="majorBidi"/>
          <w:sz w:val="20"/>
          <w:szCs w:val="20"/>
        </w:rPr>
        <w:t xml:space="preserve">The survey was an open survey. A request </w:t>
      </w:r>
      <w:r w:rsidR="00A91A51" w:rsidRPr="00D76895">
        <w:rPr>
          <w:rFonts w:asciiTheme="majorBidi" w:hAnsiTheme="majorBidi" w:cstheme="majorBidi"/>
          <w:sz w:val="20"/>
          <w:szCs w:val="20"/>
        </w:rPr>
        <w:t xml:space="preserve">was sent to both societies </w:t>
      </w:r>
      <w:r w:rsidR="00D43B8B" w:rsidRPr="00D76895">
        <w:rPr>
          <w:rFonts w:asciiTheme="majorBidi" w:hAnsiTheme="majorBidi" w:cstheme="majorBidi"/>
          <w:sz w:val="20"/>
          <w:szCs w:val="20"/>
        </w:rPr>
        <w:t xml:space="preserve">to post the web survey advertisement </w:t>
      </w:r>
      <w:r w:rsidR="00A91A51" w:rsidRPr="00D76895">
        <w:rPr>
          <w:rFonts w:asciiTheme="majorBidi" w:hAnsiTheme="majorBidi" w:cstheme="majorBidi"/>
          <w:sz w:val="20"/>
          <w:szCs w:val="20"/>
        </w:rPr>
        <w:t xml:space="preserve">and </w:t>
      </w:r>
      <w:r w:rsidR="00D43B8B" w:rsidRPr="00D76895">
        <w:rPr>
          <w:rFonts w:asciiTheme="majorBidi" w:hAnsiTheme="majorBidi" w:cstheme="majorBidi"/>
          <w:sz w:val="20"/>
          <w:szCs w:val="20"/>
        </w:rPr>
        <w:t xml:space="preserve">link </w:t>
      </w:r>
      <w:r w:rsidR="00A91A51" w:rsidRPr="00D76895">
        <w:rPr>
          <w:rFonts w:asciiTheme="majorBidi" w:hAnsiTheme="majorBidi" w:cstheme="majorBidi"/>
          <w:sz w:val="20"/>
          <w:szCs w:val="20"/>
        </w:rPr>
        <w:t xml:space="preserve">to the survey </w:t>
      </w:r>
      <w:r w:rsidR="00D43B8B" w:rsidRPr="00D76895">
        <w:rPr>
          <w:rFonts w:asciiTheme="majorBidi" w:hAnsiTheme="majorBidi" w:cstheme="majorBidi"/>
          <w:sz w:val="20"/>
          <w:szCs w:val="20"/>
        </w:rPr>
        <w:t xml:space="preserve">on </w:t>
      </w:r>
      <w:r w:rsidR="00A91A51" w:rsidRPr="00D76895">
        <w:rPr>
          <w:rFonts w:asciiTheme="majorBidi" w:hAnsiTheme="majorBidi" w:cstheme="majorBidi"/>
          <w:sz w:val="20"/>
          <w:szCs w:val="20"/>
        </w:rPr>
        <w:t>their</w:t>
      </w:r>
      <w:r w:rsidR="00D43B8B" w:rsidRPr="00D76895">
        <w:rPr>
          <w:rFonts w:asciiTheme="majorBidi" w:hAnsiTheme="majorBidi" w:cstheme="majorBidi"/>
          <w:sz w:val="20"/>
          <w:szCs w:val="20"/>
        </w:rPr>
        <w:t xml:space="preserve"> Facebook page. </w:t>
      </w:r>
      <w:r w:rsidR="00A91A51" w:rsidRPr="00D76895">
        <w:rPr>
          <w:rFonts w:asciiTheme="majorBidi" w:hAnsiTheme="majorBidi" w:cstheme="majorBidi"/>
          <w:sz w:val="20"/>
          <w:szCs w:val="20"/>
        </w:rPr>
        <w:t>A r</w:t>
      </w:r>
      <w:r w:rsidR="00D43B8B" w:rsidRPr="00D76895">
        <w:rPr>
          <w:rFonts w:asciiTheme="majorBidi" w:hAnsiTheme="majorBidi" w:cstheme="majorBidi"/>
          <w:sz w:val="20"/>
          <w:szCs w:val="20"/>
        </w:rPr>
        <w:t>eminder post was sent via the society after four weeks of initial posting</w:t>
      </w:r>
      <w:r w:rsidR="00A91A51" w:rsidRPr="00D76895">
        <w:rPr>
          <w:rFonts w:asciiTheme="majorBidi" w:hAnsiTheme="majorBidi" w:cstheme="majorBidi"/>
          <w:sz w:val="20"/>
          <w:szCs w:val="20"/>
        </w:rPr>
        <w:t>. The survey front page included</w:t>
      </w:r>
      <w:r w:rsidR="00D43B8B" w:rsidRPr="00D76895">
        <w:rPr>
          <w:rFonts w:asciiTheme="majorBidi" w:hAnsiTheme="majorBidi" w:cstheme="majorBidi"/>
          <w:sz w:val="20"/>
          <w:szCs w:val="20"/>
        </w:rPr>
        <w:t xml:space="preserve"> information, describing the survey and asking for </w:t>
      </w:r>
      <w:r w:rsidR="00A91A51" w:rsidRPr="00D76895">
        <w:rPr>
          <w:rFonts w:asciiTheme="majorBidi" w:hAnsiTheme="majorBidi" w:cstheme="majorBidi"/>
          <w:sz w:val="20"/>
          <w:szCs w:val="20"/>
        </w:rPr>
        <w:t xml:space="preserve">members </w:t>
      </w:r>
      <w:r w:rsidR="00D43B8B" w:rsidRPr="00D76895">
        <w:rPr>
          <w:rFonts w:asciiTheme="majorBidi" w:hAnsiTheme="majorBidi" w:cstheme="majorBidi"/>
          <w:sz w:val="20"/>
          <w:szCs w:val="20"/>
        </w:rPr>
        <w:t xml:space="preserve">voluntary participation. An electronic consent of voluntary participation was sought from the respondents by clicking </w:t>
      </w:r>
      <w:r w:rsidR="00571BCE">
        <w:rPr>
          <w:rFonts w:asciiTheme="majorBidi" w:hAnsiTheme="majorBidi" w:cstheme="majorBidi"/>
          <w:sz w:val="20"/>
          <w:szCs w:val="20"/>
        </w:rPr>
        <w:t xml:space="preserve">an </w:t>
      </w:r>
      <w:r w:rsidR="00D43B8B" w:rsidRPr="00D76895">
        <w:rPr>
          <w:rFonts w:asciiTheme="majorBidi" w:hAnsiTheme="majorBidi" w:cstheme="majorBidi"/>
          <w:sz w:val="20"/>
          <w:szCs w:val="20"/>
        </w:rPr>
        <w:t>“agree” button. All the respondents were able to review and change their responses by scrolling up and down the page before submission. Cookies were used by the survey tool allowing only one response per computer. The survey tool was designed to allow only fully completed questionnaires to be submitted for analysis.</w:t>
      </w:r>
    </w:p>
    <w:p w:rsidR="00661511" w:rsidRDefault="00661511" w:rsidP="001159E2">
      <w:pPr>
        <w:jc w:val="both"/>
        <w:rPr>
          <w:rFonts w:asciiTheme="majorBidi" w:hAnsiTheme="majorBidi" w:cstheme="majorBidi"/>
          <w:sz w:val="20"/>
          <w:szCs w:val="20"/>
        </w:rPr>
      </w:pPr>
      <w:r>
        <w:rPr>
          <w:rFonts w:asciiTheme="majorBidi" w:hAnsiTheme="majorBidi" w:cstheme="majorBidi"/>
          <w:sz w:val="20"/>
          <w:szCs w:val="20"/>
        </w:rPr>
        <w:lastRenderedPageBreak/>
        <w:t xml:space="preserve">Survey themes were </w:t>
      </w:r>
      <w:r w:rsidRPr="00D76895">
        <w:rPr>
          <w:rFonts w:asciiTheme="majorBidi" w:hAnsiTheme="majorBidi" w:cstheme="majorBidi"/>
          <w:sz w:val="20"/>
          <w:szCs w:val="20"/>
        </w:rPr>
        <w:t>developed from emerging themes in the current literature on biosimilars</w:t>
      </w:r>
      <w:r w:rsidR="00B033C2">
        <w:rPr>
          <w:rFonts w:asciiTheme="majorBidi" w:hAnsiTheme="majorBidi" w:cstheme="majorBidi"/>
          <w:sz w:val="20"/>
          <w:szCs w:val="20"/>
        </w:rPr>
        <w:t>. These themes were</w:t>
      </w:r>
      <w:r w:rsidRPr="00D76895">
        <w:rPr>
          <w:rFonts w:asciiTheme="majorBidi" w:hAnsiTheme="majorBidi" w:cstheme="majorBidi"/>
          <w:sz w:val="20"/>
          <w:szCs w:val="20"/>
        </w:rPr>
        <w:t xml:space="preserve"> </w:t>
      </w:r>
      <w:r>
        <w:rPr>
          <w:rFonts w:asciiTheme="majorBidi" w:hAnsiTheme="majorBidi" w:cstheme="majorBidi"/>
          <w:sz w:val="20"/>
          <w:szCs w:val="20"/>
        </w:rPr>
        <w:t xml:space="preserve">selected in such </w:t>
      </w:r>
      <w:r w:rsidR="00B033C2">
        <w:rPr>
          <w:rFonts w:asciiTheme="majorBidi" w:hAnsiTheme="majorBidi" w:cstheme="majorBidi"/>
          <w:sz w:val="20"/>
          <w:szCs w:val="20"/>
        </w:rPr>
        <w:t>way that patients</w:t>
      </w:r>
      <w:r w:rsidR="00B43074">
        <w:rPr>
          <w:rFonts w:asciiTheme="majorBidi" w:hAnsiTheme="majorBidi" w:cstheme="majorBidi"/>
          <w:sz w:val="20"/>
          <w:szCs w:val="20"/>
        </w:rPr>
        <w:t>’</w:t>
      </w:r>
      <w:r w:rsidR="00B033C2">
        <w:rPr>
          <w:rFonts w:asciiTheme="majorBidi" w:hAnsiTheme="majorBidi" w:cstheme="majorBidi"/>
          <w:sz w:val="20"/>
          <w:szCs w:val="20"/>
        </w:rPr>
        <w:t xml:space="preserve"> understanding and awareness about the biological nature of their medication and the concept of </w:t>
      </w:r>
      <w:proofErr w:type="spellStart"/>
      <w:r w:rsidR="00B033C2">
        <w:rPr>
          <w:rFonts w:asciiTheme="majorBidi" w:hAnsiTheme="majorBidi" w:cstheme="majorBidi"/>
          <w:sz w:val="20"/>
          <w:szCs w:val="20"/>
        </w:rPr>
        <w:t>biosimilarity</w:t>
      </w:r>
      <w:proofErr w:type="spellEnd"/>
      <w:r w:rsidR="00B033C2">
        <w:rPr>
          <w:rFonts w:asciiTheme="majorBidi" w:hAnsiTheme="majorBidi" w:cstheme="majorBidi"/>
          <w:sz w:val="20"/>
          <w:szCs w:val="20"/>
        </w:rPr>
        <w:t xml:space="preserve"> (questions 1-</w:t>
      </w:r>
      <w:r w:rsidR="00331833">
        <w:rPr>
          <w:rFonts w:asciiTheme="majorBidi" w:hAnsiTheme="majorBidi" w:cstheme="majorBidi"/>
          <w:sz w:val="20"/>
          <w:szCs w:val="20"/>
        </w:rPr>
        <w:t>7</w:t>
      </w:r>
      <w:r w:rsidR="00B43074">
        <w:rPr>
          <w:rFonts w:asciiTheme="majorBidi" w:hAnsiTheme="majorBidi" w:cstheme="majorBidi"/>
          <w:sz w:val="20"/>
          <w:szCs w:val="20"/>
        </w:rPr>
        <w:t>), patients’</w:t>
      </w:r>
      <w:r w:rsidR="00331833">
        <w:rPr>
          <w:rFonts w:asciiTheme="majorBidi" w:hAnsiTheme="majorBidi" w:cstheme="majorBidi"/>
          <w:sz w:val="20"/>
          <w:szCs w:val="20"/>
        </w:rPr>
        <w:t xml:space="preserve"> attitude toward biosimilars (questions 8-11), and concerns and questions to their </w:t>
      </w:r>
      <w:r w:rsidR="004100C9">
        <w:rPr>
          <w:rFonts w:asciiTheme="majorBidi" w:hAnsiTheme="majorBidi" w:cstheme="majorBidi"/>
          <w:sz w:val="20"/>
          <w:szCs w:val="20"/>
        </w:rPr>
        <w:t>HCPs</w:t>
      </w:r>
      <w:r w:rsidR="00331833">
        <w:rPr>
          <w:rFonts w:asciiTheme="majorBidi" w:hAnsiTheme="majorBidi" w:cstheme="majorBidi"/>
          <w:sz w:val="20"/>
          <w:szCs w:val="20"/>
        </w:rPr>
        <w:t xml:space="preserve"> in case of switching (question 12), could be success</w:t>
      </w:r>
      <w:r w:rsidR="00B43074">
        <w:rPr>
          <w:rFonts w:asciiTheme="majorBidi" w:hAnsiTheme="majorBidi" w:cstheme="majorBidi"/>
          <w:sz w:val="20"/>
          <w:szCs w:val="20"/>
        </w:rPr>
        <w:t>ful</w:t>
      </w:r>
      <w:r w:rsidR="00331833">
        <w:rPr>
          <w:rFonts w:asciiTheme="majorBidi" w:hAnsiTheme="majorBidi" w:cstheme="majorBidi"/>
          <w:sz w:val="20"/>
          <w:szCs w:val="20"/>
        </w:rPr>
        <w:t xml:space="preserve">ly addressed. </w:t>
      </w:r>
    </w:p>
    <w:p w:rsidR="00711EBB" w:rsidRPr="00D76895" w:rsidRDefault="00EC7C85" w:rsidP="001159E2">
      <w:pPr>
        <w:jc w:val="both"/>
        <w:rPr>
          <w:rFonts w:asciiTheme="majorBidi" w:hAnsiTheme="majorBidi" w:cstheme="majorBidi"/>
          <w:sz w:val="20"/>
          <w:szCs w:val="20"/>
        </w:rPr>
      </w:pPr>
      <w:r w:rsidRPr="00D76895">
        <w:rPr>
          <w:rFonts w:asciiTheme="majorBidi" w:hAnsiTheme="majorBidi" w:cstheme="majorBidi"/>
          <w:sz w:val="20"/>
          <w:szCs w:val="20"/>
        </w:rPr>
        <w:t>A</w:t>
      </w:r>
      <w:r w:rsidR="00D43B8B" w:rsidRPr="00D76895">
        <w:rPr>
          <w:rFonts w:asciiTheme="majorBidi" w:hAnsiTheme="majorBidi" w:cstheme="majorBidi"/>
          <w:sz w:val="20"/>
          <w:szCs w:val="20"/>
        </w:rPr>
        <w:t xml:space="preserve"> questionnaire </w:t>
      </w:r>
      <w:r w:rsidR="00C454C9" w:rsidRPr="00D76895">
        <w:rPr>
          <w:rFonts w:asciiTheme="majorBidi" w:hAnsiTheme="majorBidi" w:cstheme="majorBidi"/>
          <w:sz w:val="20"/>
          <w:szCs w:val="20"/>
        </w:rPr>
        <w:t xml:space="preserve">comprising 12 questions </w:t>
      </w:r>
      <w:r w:rsidR="00D43B8B" w:rsidRPr="00D76895">
        <w:rPr>
          <w:rFonts w:asciiTheme="majorBidi" w:hAnsiTheme="majorBidi" w:cstheme="majorBidi"/>
          <w:sz w:val="20"/>
          <w:szCs w:val="20"/>
        </w:rPr>
        <w:t xml:space="preserve">was designed using an electronic website (Survey Monkey). </w:t>
      </w:r>
      <w:r w:rsidRPr="00D76895">
        <w:rPr>
          <w:rFonts w:asciiTheme="majorBidi" w:hAnsiTheme="majorBidi" w:cstheme="majorBidi"/>
          <w:sz w:val="20"/>
          <w:szCs w:val="20"/>
        </w:rPr>
        <w:t xml:space="preserve">All the questions were closed </w:t>
      </w:r>
      <w:proofErr w:type="gramStart"/>
      <w:r w:rsidR="00C454C9" w:rsidRPr="00D76895">
        <w:rPr>
          <w:rFonts w:asciiTheme="majorBidi" w:hAnsiTheme="majorBidi" w:cstheme="majorBidi"/>
          <w:sz w:val="20"/>
          <w:szCs w:val="20"/>
        </w:rPr>
        <w:t>multiple choice</w:t>
      </w:r>
      <w:proofErr w:type="gramEnd"/>
      <w:r w:rsidR="00C454C9" w:rsidRPr="00D76895">
        <w:rPr>
          <w:rFonts w:asciiTheme="majorBidi" w:hAnsiTheme="majorBidi" w:cstheme="majorBidi"/>
          <w:sz w:val="20"/>
          <w:szCs w:val="20"/>
        </w:rPr>
        <w:t xml:space="preserve"> questions (MCQ)</w:t>
      </w:r>
      <w:r w:rsidRPr="00D76895">
        <w:rPr>
          <w:rFonts w:asciiTheme="majorBidi" w:hAnsiTheme="majorBidi" w:cstheme="majorBidi"/>
          <w:sz w:val="20"/>
          <w:szCs w:val="20"/>
        </w:rPr>
        <w:t xml:space="preserve"> with the exception of question </w:t>
      </w:r>
      <w:r w:rsidR="00C454C9" w:rsidRPr="00D76895">
        <w:rPr>
          <w:rFonts w:asciiTheme="majorBidi" w:hAnsiTheme="majorBidi" w:cstheme="majorBidi"/>
          <w:sz w:val="20"/>
          <w:szCs w:val="20"/>
        </w:rPr>
        <w:t>12</w:t>
      </w:r>
      <w:r w:rsidRPr="00D76895">
        <w:rPr>
          <w:rFonts w:asciiTheme="majorBidi" w:hAnsiTheme="majorBidi" w:cstheme="majorBidi"/>
          <w:sz w:val="20"/>
          <w:szCs w:val="20"/>
        </w:rPr>
        <w:t xml:space="preserve"> which was </w:t>
      </w:r>
      <w:r w:rsidR="00C454C9" w:rsidRPr="00D76895">
        <w:rPr>
          <w:rFonts w:asciiTheme="majorBidi" w:hAnsiTheme="majorBidi" w:cstheme="majorBidi"/>
          <w:sz w:val="20"/>
          <w:szCs w:val="20"/>
        </w:rPr>
        <w:t>an open</w:t>
      </w:r>
      <w:r w:rsidRPr="00D76895">
        <w:rPr>
          <w:rFonts w:asciiTheme="majorBidi" w:hAnsiTheme="majorBidi" w:cstheme="majorBidi"/>
          <w:sz w:val="20"/>
          <w:szCs w:val="20"/>
        </w:rPr>
        <w:t xml:space="preserve"> question. </w:t>
      </w:r>
      <w:r w:rsidR="00D43B8B" w:rsidRPr="00D76895">
        <w:rPr>
          <w:rFonts w:asciiTheme="majorBidi" w:hAnsiTheme="majorBidi" w:cstheme="majorBidi"/>
          <w:sz w:val="20"/>
          <w:szCs w:val="20"/>
        </w:rPr>
        <w:t xml:space="preserve">Questions were developed to explore knowledge, understanding and opinions towards biosimilars. The survey was piloted on a small number of lay individuals </w:t>
      </w:r>
      <w:r w:rsidR="00AE61F8">
        <w:rPr>
          <w:rFonts w:asciiTheme="majorBidi" w:hAnsiTheme="majorBidi" w:cstheme="majorBidi"/>
          <w:sz w:val="20"/>
          <w:szCs w:val="20"/>
        </w:rPr>
        <w:t>(</w:t>
      </w:r>
      <w:bookmarkStart w:id="3" w:name="_Hlk487547967"/>
      <w:r w:rsidR="00AE61F8" w:rsidRPr="00AE61F8">
        <w:rPr>
          <w:rFonts w:asciiTheme="majorBidi" w:hAnsiTheme="majorBidi" w:cstheme="majorBidi"/>
          <w:sz w:val="20"/>
          <w:szCs w:val="20"/>
        </w:rPr>
        <w:t>the Primary Care user group</w:t>
      </w:r>
      <w:r w:rsidR="00AE61F8">
        <w:rPr>
          <w:rFonts w:asciiTheme="majorBidi" w:hAnsiTheme="majorBidi" w:cstheme="majorBidi"/>
          <w:sz w:val="20"/>
          <w:szCs w:val="20"/>
        </w:rPr>
        <w:t xml:space="preserve"> at Keele University</w:t>
      </w:r>
      <w:bookmarkEnd w:id="3"/>
      <w:r w:rsidR="00AE61F8" w:rsidRPr="00AE61F8">
        <w:rPr>
          <w:rFonts w:asciiTheme="majorBidi" w:hAnsiTheme="majorBidi" w:cstheme="majorBidi"/>
          <w:sz w:val="20"/>
          <w:szCs w:val="20"/>
        </w:rPr>
        <w:t>)</w:t>
      </w:r>
      <w:r w:rsidR="00AE61F8">
        <w:rPr>
          <w:rFonts w:asciiTheme="majorBidi" w:hAnsiTheme="majorBidi" w:cstheme="majorBidi"/>
          <w:sz w:val="20"/>
          <w:szCs w:val="20"/>
        </w:rPr>
        <w:t xml:space="preserve"> </w:t>
      </w:r>
      <w:r w:rsidR="00D43B8B" w:rsidRPr="00D76895">
        <w:rPr>
          <w:rFonts w:asciiTheme="majorBidi" w:hAnsiTheme="majorBidi" w:cstheme="majorBidi"/>
          <w:sz w:val="20"/>
          <w:szCs w:val="20"/>
        </w:rPr>
        <w:t xml:space="preserve">and revised appropriately to eliminate redundancy and difficult or ambiguous questions. </w:t>
      </w:r>
      <w:r w:rsidR="00C454C9" w:rsidRPr="00D76895">
        <w:rPr>
          <w:rFonts w:asciiTheme="majorBidi" w:hAnsiTheme="majorBidi" w:cstheme="majorBidi"/>
          <w:sz w:val="20"/>
          <w:szCs w:val="20"/>
        </w:rPr>
        <w:t xml:space="preserve">The questionnaire did not ask for any </w:t>
      </w:r>
      <w:r w:rsidR="00D43B8B" w:rsidRPr="00D76895">
        <w:rPr>
          <w:rFonts w:asciiTheme="majorBidi" w:hAnsiTheme="majorBidi" w:cstheme="majorBidi"/>
          <w:sz w:val="20"/>
          <w:szCs w:val="20"/>
        </w:rPr>
        <w:t>personal identifying information.</w:t>
      </w:r>
    </w:p>
    <w:p w:rsidR="00711EBB" w:rsidRPr="00D76895" w:rsidRDefault="00711EBB" w:rsidP="001159E2">
      <w:pPr>
        <w:jc w:val="both"/>
        <w:rPr>
          <w:rFonts w:asciiTheme="majorBidi" w:hAnsiTheme="majorBidi" w:cstheme="majorBidi"/>
          <w:sz w:val="20"/>
          <w:szCs w:val="20"/>
        </w:rPr>
      </w:pPr>
      <w:r w:rsidRPr="00D76895">
        <w:rPr>
          <w:rFonts w:asciiTheme="majorBidi" w:hAnsiTheme="majorBidi" w:cstheme="majorBidi"/>
          <w:sz w:val="20"/>
          <w:szCs w:val="20"/>
        </w:rPr>
        <w:t xml:space="preserve">The survey responses to </w:t>
      </w:r>
      <w:r w:rsidR="00CE2F9C" w:rsidRPr="00D76895">
        <w:rPr>
          <w:rFonts w:asciiTheme="majorBidi" w:hAnsiTheme="majorBidi" w:cstheme="majorBidi"/>
          <w:sz w:val="20"/>
          <w:szCs w:val="20"/>
        </w:rPr>
        <w:t>close</w:t>
      </w:r>
      <w:r w:rsidR="00C454C9" w:rsidRPr="00D76895">
        <w:rPr>
          <w:rFonts w:asciiTheme="majorBidi" w:hAnsiTheme="majorBidi" w:cstheme="majorBidi"/>
          <w:sz w:val="20"/>
          <w:szCs w:val="20"/>
        </w:rPr>
        <w:t>d MCQs</w:t>
      </w:r>
      <w:r w:rsidRPr="00D76895">
        <w:rPr>
          <w:rFonts w:asciiTheme="majorBidi" w:hAnsiTheme="majorBidi" w:cstheme="majorBidi"/>
          <w:sz w:val="20"/>
          <w:szCs w:val="20"/>
        </w:rPr>
        <w:t xml:space="preserve"> </w:t>
      </w:r>
      <w:r w:rsidR="00EC7C85" w:rsidRPr="00D76895">
        <w:rPr>
          <w:rFonts w:asciiTheme="majorBidi" w:hAnsiTheme="majorBidi" w:cstheme="majorBidi"/>
          <w:sz w:val="20"/>
          <w:szCs w:val="20"/>
        </w:rPr>
        <w:t xml:space="preserve">(1-11) </w:t>
      </w:r>
      <w:r w:rsidR="00BF3D2D" w:rsidRPr="00D76895">
        <w:rPr>
          <w:rFonts w:asciiTheme="majorBidi" w:hAnsiTheme="majorBidi" w:cstheme="majorBidi"/>
          <w:sz w:val="20"/>
          <w:szCs w:val="20"/>
        </w:rPr>
        <w:t>were</w:t>
      </w:r>
      <w:r w:rsidR="00C454C9" w:rsidRPr="00D76895">
        <w:rPr>
          <w:rFonts w:asciiTheme="majorBidi" w:hAnsiTheme="majorBidi" w:cstheme="majorBidi"/>
          <w:sz w:val="20"/>
          <w:szCs w:val="20"/>
        </w:rPr>
        <w:t xml:space="preserve"> collated and</w:t>
      </w:r>
      <w:r w:rsidRPr="00D76895">
        <w:rPr>
          <w:rFonts w:asciiTheme="majorBidi" w:hAnsiTheme="majorBidi" w:cstheme="majorBidi"/>
          <w:sz w:val="20"/>
          <w:szCs w:val="20"/>
        </w:rPr>
        <w:t xml:space="preserve"> summarised as numb</w:t>
      </w:r>
      <w:r w:rsidR="00BF3D2D" w:rsidRPr="00D76895">
        <w:rPr>
          <w:rFonts w:asciiTheme="majorBidi" w:hAnsiTheme="majorBidi" w:cstheme="majorBidi"/>
          <w:sz w:val="20"/>
          <w:szCs w:val="20"/>
        </w:rPr>
        <w:t>er and percentage of responding</w:t>
      </w:r>
      <w:r w:rsidRPr="00D76895">
        <w:rPr>
          <w:rFonts w:asciiTheme="majorBidi" w:hAnsiTheme="majorBidi" w:cstheme="majorBidi"/>
          <w:sz w:val="20"/>
          <w:szCs w:val="20"/>
        </w:rPr>
        <w:t xml:space="preserve"> </w:t>
      </w:r>
      <w:r w:rsidR="00C454C9" w:rsidRPr="00D76895">
        <w:rPr>
          <w:rFonts w:asciiTheme="majorBidi" w:hAnsiTheme="majorBidi" w:cstheme="majorBidi"/>
          <w:sz w:val="20"/>
          <w:szCs w:val="20"/>
        </w:rPr>
        <w:t xml:space="preserve">patients </w:t>
      </w:r>
      <w:r w:rsidRPr="00D76895">
        <w:rPr>
          <w:rFonts w:asciiTheme="majorBidi" w:hAnsiTheme="majorBidi" w:cstheme="majorBidi"/>
          <w:sz w:val="20"/>
          <w:szCs w:val="20"/>
        </w:rPr>
        <w:t>using Survey Monkey and Microsoft Excel 2013.</w:t>
      </w:r>
      <w:r w:rsidR="00EC7C85" w:rsidRPr="00D76895">
        <w:rPr>
          <w:rFonts w:asciiTheme="majorBidi" w:hAnsiTheme="majorBidi" w:cstheme="majorBidi"/>
          <w:sz w:val="20"/>
          <w:szCs w:val="20"/>
        </w:rPr>
        <w:t xml:space="preserve"> </w:t>
      </w:r>
      <w:r w:rsidR="00C454C9" w:rsidRPr="00D76895">
        <w:rPr>
          <w:rFonts w:asciiTheme="majorBidi" w:hAnsiTheme="majorBidi" w:cstheme="majorBidi"/>
          <w:sz w:val="20"/>
          <w:szCs w:val="20"/>
        </w:rPr>
        <w:t>The o</w:t>
      </w:r>
      <w:r w:rsidR="00CE2F9C" w:rsidRPr="00D76895">
        <w:rPr>
          <w:rFonts w:asciiTheme="majorBidi" w:hAnsiTheme="majorBidi" w:cstheme="majorBidi"/>
          <w:sz w:val="20"/>
          <w:szCs w:val="20"/>
        </w:rPr>
        <w:t>pen question (12) was analysed by t</w:t>
      </w:r>
      <w:r w:rsidR="00EC7C85" w:rsidRPr="00D76895">
        <w:rPr>
          <w:rFonts w:asciiTheme="majorBidi" w:hAnsiTheme="majorBidi" w:cstheme="majorBidi"/>
          <w:sz w:val="20"/>
          <w:szCs w:val="20"/>
        </w:rPr>
        <w:t xml:space="preserve">hematic </w:t>
      </w:r>
      <w:r w:rsidR="00234B9E" w:rsidRPr="00D76895">
        <w:rPr>
          <w:rFonts w:asciiTheme="majorBidi" w:hAnsiTheme="majorBidi" w:cstheme="majorBidi"/>
          <w:sz w:val="20"/>
          <w:szCs w:val="20"/>
        </w:rPr>
        <w:t>analysis</w:t>
      </w:r>
      <w:r w:rsidR="00CE2F9C" w:rsidRPr="00D76895">
        <w:rPr>
          <w:rFonts w:asciiTheme="majorBidi" w:hAnsiTheme="majorBidi" w:cstheme="majorBidi"/>
          <w:sz w:val="20"/>
          <w:szCs w:val="20"/>
        </w:rPr>
        <w:t>.</w:t>
      </w:r>
      <w:r w:rsidR="000D3348">
        <w:rPr>
          <w:rFonts w:asciiTheme="majorBidi" w:hAnsiTheme="majorBidi" w:cstheme="majorBidi"/>
          <w:sz w:val="20"/>
          <w:szCs w:val="20"/>
        </w:rPr>
        <w:t xml:space="preserve"> </w:t>
      </w:r>
      <w:bookmarkStart w:id="4" w:name="_Hlk487626076"/>
      <w:r w:rsidR="000D3348" w:rsidRPr="000D3348">
        <w:rPr>
          <w:rFonts w:asciiTheme="majorBidi" w:hAnsiTheme="majorBidi" w:cstheme="majorBidi"/>
          <w:sz w:val="20"/>
          <w:szCs w:val="20"/>
        </w:rPr>
        <w:t xml:space="preserve">t-test </w:t>
      </w:r>
      <w:r w:rsidR="000D3348">
        <w:rPr>
          <w:rFonts w:asciiTheme="majorBidi" w:hAnsiTheme="majorBidi" w:cstheme="majorBidi"/>
          <w:sz w:val="20"/>
          <w:szCs w:val="20"/>
        </w:rPr>
        <w:t xml:space="preserve">analysis used to test the difference in the </w:t>
      </w:r>
      <w:r w:rsidR="000D3348" w:rsidRPr="000D3348">
        <w:rPr>
          <w:rFonts w:asciiTheme="majorBidi" w:hAnsiTheme="majorBidi" w:cstheme="majorBidi"/>
          <w:sz w:val="20"/>
          <w:szCs w:val="20"/>
        </w:rPr>
        <w:t>percent</w:t>
      </w:r>
      <w:r w:rsidR="000D3348">
        <w:rPr>
          <w:rFonts w:asciiTheme="majorBidi" w:hAnsiTheme="majorBidi" w:cstheme="majorBidi"/>
          <w:sz w:val="20"/>
          <w:szCs w:val="20"/>
        </w:rPr>
        <w:t xml:space="preserve">ages </w:t>
      </w:r>
      <w:r w:rsidR="000D3348" w:rsidRPr="000D3348">
        <w:rPr>
          <w:rFonts w:asciiTheme="majorBidi" w:hAnsiTheme="majorBidi" w:cstheme="majorBidi"/>
          <w:sz w:val="20"/>
          <w:szCs w:val="20"/>
        </w:rPr>
        <w:t>between</w:t>
      </w:r>
      <w:r w:rsidR="000D3348">
        <w:rPr>
          <w:rFonts w:asciiTheme="majorBidi" w:hAnsiTheme="majorBidi" w:cstheme="majorBidi"/>
          <w:sz w:val="20"/>
          <w:szCs w:val="20"/>
        </w:rPr>
        <w:t xml:space="preserve"> participants on originator biologics and participants on biosimilars.</w:t>
      </w:r>
      <w:bookmarkEnd w:id="4"/>
    </w:p>
    <w:p w:rsidR="00D31C9C" w:rsidRPr="00D76895" w:rsidRDefault="00EC7C85" w:rsidP="001159E2">
      <w:pPr>
        <w:pStyle w:val="ListParagraph"/>
        <w:numPr>
          <w:ilvl w:val="0"/>
          <w:numId w:val="9"/>
        </w:numPr>
        <w:jc w:val="both"/>
        <w:rPr>
          <w:rFonts w:asciiTheme="majorBidi" w:hAnsiTheme="majorBidi" w:cstheme="majorBidi"/>
          <w:b/>
          <w:bCs/>
          <w:sz w:val="20"/>
          <w:szCs w:val="20"/>
        </w:rPr>
      </w:pPr>
      <w:r w:rsidRPr="00D76895">
        <w:rPr>
          <w:rFonts w:asciiTheme="majorBidi" w:hAnsiTheme="majorBidi" w:cstheme="majorBidi"/>
          <w:b/>
          <w:bCs/>
          <w:sz w:val="20"/>
          <w:szCs w:val="20"/>
        </w:rPr>
        <w:t>Results</w:t>
      </w:r>
    </w:p>
    <w:p w:rsidR="001159E2" w:rsidRPr="00D76895" w:rsidRDefault="001159E2" w:rsidP="001159E2">
      <w:pPr>
        <w:pStyle w:val="ListParagraph"/>
        <w:numPr>
          <w:ilvl w:val="1"/>
          <w:numId w:val="9"/>
        </w:numPr>
        <w:jc w:val="both"/>
        <w:rPr>
          <w:rFonts w:asciiTheme="majorBidi" w:hAnsiTheme="majorBidi" w:cstheme="majorBidi"/>
          <w:sz w:val="20"/>
          <w:szCs w:val="20"/>
        </w:rPr>
      </w:pPr>
      <w:r w:rsidRPr="00D76895">
        <w:rPr>
          <w:rFonts w:asciiTheme="majorBidi" w:hAnsiTheme="majorBidi" w:cstheme="majorBidi"/>
          <w:sz w:val="20"/>
          <w:szCs w:val="20"/>
        </w:rPr>
        <w:t>Participants</w:t>
      </w:r>
    </w:p>
    <w:p w:rsidR="00CB186F" w:rsidRPr="00D76895" w:rsidRDefault="00CE2F9C" w:rsidP="00A3535B">
      <w:pPr>
        <w:jc w:val="both"/>
        <w:rPr>
          <w:rFonts w:asciiTheme="majorBidi" w:hAnsiTheme="majorBidi" w:cstheme="majorBidi"/>
          <w:sz w:val="20"/>
          <w:szCs w:val="20"/>
        </w:rPr>
      </w:pPr>
      <w:r w:rsidRPr="00D76895">
        <w:rPr>
          <w:rFonts w:asciiTheme="majorBidi" w:hAnsiTheme="majorBidi" w:cstheme="majorBidi"/>
          <w:sz w:val="20"/>
          <w:szCs w:val="20"/>
        </w:rPr>
        <w:t xml:space="preserve">A total 182 patients participated in this survey and responses were evenly distributed </w:t>
      </w:r>
      <w:r w:rsidR="00F3291C" w:rsidRPr="00D76895">
        <w:rPr>
          <w:rFonts w:asciiTheme="majorBidi" w:hAnsiTheme="majorBidi" w:cstheme="majorBidi"/>
          <w:sz w:val="20"/>
          <w:szCs w:val="20"/>
        </w:rPr>
        <w:t>(</w:t>
      </w:r>
      <w:r w:rsidR="00702DE1" w:rsidRPr="00D76895">
        <w:rPr>
          <w:rFonts w:asciiTheme="majorBidi" w:hAnsiTheme="majorBidi" w:cstheme="majorBidi"/>
          <w:sz w:val="20"/>
          <w:szCs w:val="20"/>
        </w:rPr>
        <w:t>50%</w:t>
      </w:r>
      <w:r w:rsidR="00F3291C" w:rsidRPr="00D76895">
        <w:rPr>
          <w:rFonts w:asciiTheme="majorBidi" w:hAnsiTheme="majorBidi" w:cstheme="majorBidi"/>
          <w:sz w:val="20"/>
          <w:szCs w:val="20"/>
        </w:rPr>
        <w:t xml:space="preserve">:50%) between </w:t>
      </w:r>
      <w:r w:rsidR="001159E2" w:rsidRPr="00D76895">
        <w:rPr>
          <w:rFonts w:asciiTheme="majorBidi" w:hAnsiTheme="majorBidi" w:cstheme="majorBidi"/>
          <w:sz w:val="20"/>
          <w:szCs w:val="20"/>
        </w:rPr>
        <w:t>AS</w:t>
      </w:r>
      <w:r w:rsidR="00702DE1" w:rsidRPr="00D76895">
        <w:rPr>
          <w:rFonts w:asciiTheme="majorBidi" w:hAnsiTheme="majorBidi" w:cstheme="majorBidi"/>
          <w:sz w:val="20"/>
          <w:szCs w:val="20"/>
        </w:rPr>
        <w:t xml:space="preserve"> </w:t>
      </w:r>
      <w:r w:rsidR="00F3291C" w:rsidRPr="00D76895">
        <w:rPr>
          <w:rFonts w:asciiTheme="majorBidi" w:hAnsiTheme="majorBidi" w:cstheme="majorBidi"/>
          <w:sz w:val="20"/>
          <w:szCs w:val="20"/>
        </w:rPr>
        <w:t xml:space="preserve">patients and </w:t>
      </w:r>
      <w:r w:rsidR="001159E2" w:rsidRPr="00D76895">
        <w:rPr>
          <w:rFonts w:asciiTheme="majorBidi" w:hAnsiTheme="majorBidi" w:cstheme="majorBidi"/>
          <w:sz w:val="20"/>
          <w:szCs w:val="20"/>
        </w:rPr>
        <w:t>RA</w:t>
      </w:r>
      <w:r w:rsidR="00F3291C" w:rsidRPr="00D76895">
        <w:rPr>
          <w:rFonts w:asciiTheme="majorBidi" w:hAnsiTheme="majorBidi" w:cstheme="majorBidi"/>
          <w:sz w:val="20"/>
          <w:szCs w:val="20"/>
        </w:rPr>
        <w:t xml:space="preserve"> patients. The majority of AS and RA patients (71%) and (73%) respectively were on etanercept. </w:t>
      </w:r>
      <w:r w:rsidR="00C454C9" w:rsidRPr="00D76895">
        <w:rPr>
          <w:rFonts w:asciiTheme="majorBidi" w:hAnsiTheme="majorBidi" w:cstheme="majorBidi"/>
          <w:sz w:val="20"/>
          <w:szCs w:val="20"/>
        </w:rPr>
        <w:t xml:space="preserve">A </w:t>
      </w:r>
      <w:r w:rsidR="006A6ACA">
        <w:rPr>
          <w:rFonts w:asciiTheme="majorBidi" w:hAnsiTheme="majorBidi" w:cstheme="majorBidi"/>
          <w:sz w:val="20"/>
          <w:szCs w:val="20"/>
        </w:rPr>
        <w:t>significantly h</w:t>
      </w:r>
      <w:r w:rsidR="00425FD6" w:rsidRPr="00D76895">
        <w:rPr>
          <w:rFonts w:asciiTheme="majorBidi" w:hAnsiTheme="majorBidi" w:cstheme="majorBidi"/>
          <w:sz w:val="20"/>
          <w:szCs w:val="20"/>
        </w:rPr>
        <w:t xml:space="preserve">igher percentage of </w:t>
      </w:r>
      <w:r w:rsidR="00E5683E" w:rsidRPr="00D76895">
        <w:rPr>
          <w:rFonts w:asciiTheme="majorBidi" w:hAnsiTheme="majorBidi" w:cstheme="majorBidi"/>
          <w:sz w:val="20"/>
          <w:szCs w:val="20"/>
        </w:rPr>
        <w:t>participants</w:t>
      </w:r>
      <w:r w:rsidR="00C454C9" w:rsidRPr="00D76895">
        <w:rPr>
          <w:rFonts w:asciiTheme="majorBidi" w:hAnsiTheme="majorBidi" w:cstheme="majorBidi"/>
          <w:sz w:val="20"/>
          <w:szCs w:val="20"/>
        </w:rPr>
        <w:t xml:space="preserve"> </w:t>
      </w:r>
      <w:r w:rsidR="00133DC4" w:rsidRPr="00D76895">
        <w:rPr>
          <w:rFonts w:asciiTheme="majorBidi" w:hAnsiTheme="majorBidi" w:cstheme="majorBidi"/>
          <w:sz w:val="20"/>
          <w:szCs w:val="20"/>
        </w:rPr>
        <w:t>(</w:t>
      </w:r>
      <w:r w:rsidR="005E597A" w:rsidRPr="00D76895">
        <w:rPr>
          <w:rFonts w:asciiTheme="majorBidi" w:hAnsiTheme="majorBidi" w:cstheme="majorBidi"/>
          <w:sz w:val="20"/>
          <w:szCs w:val="20"/>
        </w:rPr>
        <w:t>4</w:t>
      </w:r>
      <w:r w:rsidR="005E597A">
        <w:rPr>
          <w:rFonts w:asciiTheme="majorBidi" w:hAnsiTheme="majorBidi" w:cstheme="majorBidi"/>
          <w:sz w:val="20"/>
          <w:szCs w:val="20"/>
        </w:rPr>
        <w:t>1</w:t>
      </w:r>
      <w:r w:rsidR="00133DC4" w:rsidRPr="00D76895">
        <w:rPr>
          <w:rFonts w:asciiTheme="majorBidi" w:hAnsiTheme="majorBidi" w:cstheme="majorBidi"/>
          <w:sz w:val="20"/>
          <w:szCs w:val="20"/>
        </w:rPr>
        <w:t xml:space="preserve">%) </w:t>
      </w:r>
      <w:r w:rsidR="002C7992" w:rsidRPr="002C7992">
        <w:rPr>
          <w:rFonts w:asciiTheme="majorBidi" w:hAnsiTheme="majorBidi" w:cstheme="majorBidi"/>
          <w:sz w:val="20"/>
          <w:szCs w:val="20"/>
        </w:rPr>
        <w:t>(</w:t>
      </w:r>
      <w:proofErr w:type="gramStart"/>
      <w:r w:rsidR="002C7992">
        <w:rPr>
          <w:rFonts w:asciiTheme="majorBidi" w:hAnsiTheme="majorBidi" w:cstheme="majorBidi"/>
          <w:sz w:val="20"/>
          <w:szCs w:val="20"/>
        </w:rPr>
        <w:t>p</w:t>
      </w:r>
      <w:proofErr w:type="gramEnd"/>
      <w:r w:rsidR="002C7992" w:rsidRPr="002C7992">
        <w:rPr>
          <w:rFonts w:asciiTheme="majorBidi" w:hAnsiTheme="majorBidi" w:cstheme="majorBidi"/>
          <w:sz w:val="20"/>
          <w:szCs w:val="20"/>
        </w:rPr>
        <w:t xml:space="preserve">&lt; </w:t>
      </w:r>
      <w:r w:rsidR="002C7992">
        <w:rPr>
          <w:rFonts w:asciiTheme="majorBidi" w:hAnsiTheme="majorBidi" w:cstheme="majorBidi"/>
          <w:sz w:val="20"/>
          <w:szCs w:val="20"/>
        </w:rPr>
        <w:t>0</w:t>
      </w:r>
      <w:r w:rsidR="002C7992" w:rsidRPr="002C7992">
        <w:rPr>
          <w:rFonts w:asciiTheme="majorBidi" w:hAnsiTheme="majorBidi" w:cstheme="majorBidi"/>
          <w:sz w:val="20"/>
          <w:szCs w:val="20"/>
        </w:rPr>
        <w:t>.05)</w:t>
      </w:r>
      <w:r w:rsidR="002C7992">
        <w:rPr>
          <w:rFonts w:asciiTheme="majorBidi" w:hAnsiTheme="majorBidi" w:cstheme="majorBidi"/>
          <w:sz w:val="20"/>
          <w:szCs w:val="20"/>
        </w:rPr>
        <w:t xml:space="preserve"> </w:t>
      </w:r>
      <w:r w:rsidR="00133DC4" w:rsidRPr="00D76895">
        <w:rPr>
          <w:rFonts w:asciiTheme="majorBidi" w:hAnsiTheme="majorBidi" w:cstheme="majorBidi"/>
          <w:sz w:val="20"/>
          <w:szCs w:val="20"/>
        </w:rPr>
        <w:t xml:space="preserve">were on </w:t>
      </w:r>
      <w:r w:rsidR="00425FD6" w:rsidRPr="00D76895">
        <w:rPr>
          <w:rFonts w:asciiTheme="majorBidi" w:hAnsiTheme="majorBidi" w:cstheme="majorBidi"/>
          <w:sz w:val="20"/>
          <w:szCs w:val="20"/>
        </w:rPr>
        <w:t>etanercept biosimilar (Benepali</w:t>
      </w:r>
      <w:r w:rsidR="008F42AE" w:rsidRPr="008F42AE">
        <w:rPr>
          <w:rFonts w:asciiTheme="majorBidi" w:hAnsiTheme="majorBidi" w:cstheme="majorBidi"/>
          <w:sz w:val="20"/>
          <w:szCs w:val="20"/>
          <w:vertAlign w:val="superscript"/>
        </w:rPr>
        <w:t>®</w:t>
      </w:r>
      <w:r w:rsidR="00425FD6" w:rsidRPr="00D76895">
        <w:rPr>
          <w:rFonts w:asciiTheme="majorBidi" w:hAnsiTheme="majorBidi" w:cstheme="majorBidi"/>
          <w:sz w:val="20"/>
          <w:szCs w:val="20"/>
        </w:rPr>
        <w:t xml:space="preserve">) </w:t>
      </w:r>
      <w:r w:rsidR="00133DC4" w:rsidRPr="00D76895">
        <w:rPr>
          <w:rFonts w:asciiTheme="majorBidi" w:hAnsiTheme="majorBidi" w:cstheme="majorBidi"/>
          <w:sz w:val="20"/>
          <w:szCs w:val="20"/>
        </w:rPr>
        <w:t xml:space="preserve">compared to </w:t>
      </w:r>
      <w:r w:rsidR="008F42AE" w:rsidRPr="00D76895">
        <w:rPr>
          <w:rFonts w:asciiTheme="majorBidi" w:hAnsiTheme="majorBidi" w:cstheme="majorBidi"/>
          <w:sz w:val="20"/>
          <w:szCs w:val="20"/>
        </w:rPr>
        <w:t>(24%)</w:t>
      </w:r>
      <w:r w:rsidR="008F42AE">
        <w:rPr>
          <w:rFonts w:asciiTheme="majorBidi" w:hAnsiTheme="majorBidi" w:cstheme="majorBidi"/>
          <w:sz w:val="20"/>
          <w:szCs w:val="20"/>
        </w:rPr>
        <w:t xml:space="preserve"> on</w:t>
      </w:r>
      <w:r w:rsidR="008F42AE" w:rsidRPr="00D76895">
        <w:rPr>
          <w:rFonts w:asciiTheme="majorBidi" w:hAnsiTheme="majorBidi" w:cstheme="majorBidi"/>
          <w:sz w:val="20"/>
          <w:szCs w:val="20"/>
        </w:rPr>
        <w:t xml:space="preserve"> </w:t>
      </w:r>
      <w:r w:rsidR="00425FD6" w:rsidRPr="00D76895">
        <w:rPr>
          <w:rFonts w:asciiTheme="majorBidi" w:hAnsiTheme="majorBidi" w:cstheme="majorBidi"/>
          <w:sz w:val="20"/>
          <w:szCs w:val="20"/>
        </w:rPr>
        <w:t>infliximab biosimilars (Remsima</w:t>
      </w:r>
      <w:r w:rsidR="008F42AE" w:rsidRPr="008F42AE">
        <w:rPr>
          <w:rFonts w:asciiTheme="majorBidi" w:hAnsiTheme="majorBidi" w:cstheme="majorBidi"/>
          <w:sz w:val="20"/>
          <w:szCs w:val="20"/>
          <w:vertAlign w:val="superscript"/>
        </w:rPr>
        <w:t>®</w:t>
      </w:r>
      <w:r w:rsidR="00425FD6" w:rsidRPr="00D76895">
        <w:rPr>
          <w:rFonts w:asciiTheme="majorBidi" w:hAnsiTheme="majorBidi" w:cstheme="majorBidi"/>
          <w:sz w:val="20"/>
          <w:szCs w:val="20"/>
        </w:rPr>
        <w:t xml:space="preserve"> and Inflectra</w:t>
      </w:r>
      <w:r w:rsidR="008F42AE" w:rsidRPr="008F42AE">
        <w:rPr>
          <w:rFonts w:asciiTheme="majorBidi" w:hAnsiTheme="majorBidi" w:cstheme="majorBidi"/>
          <w:sz w:val="20"/>
          <w:szCs w:val="20"/>
          <w:vertAlign w:val="superscript"/>
        </w:rPr>
        <w:t>®</w:t>
      </w:r>
      <w:r w:rsidR="00425FD6" w:rsidRPr="00D76895">
        <w:rPr>
          <w:rFonts w:asciiTheme="majorBidi" w:hAnsiTheme="majorBidi" w:cstheme="majorBidi"/>
          <w:sz w:val="20"/>
          <w:szCs w:val="20"/>
        </w:rPr>
        <w:t>) (Table 1).</w:t>
      </w:r>
    </w:p>
    <w:p w:rsidR="00A3535B" w:rsidRDefault="00A3535B" w:rsidP="00A3535B">
      <w:pPr>
        <w:pStyle w:val="Caption"/>
        <w:keepNext/>
      </w:pPr>
      <w:r>
        <w:t xml:space="preserve">Table </w:t>
      </w:r>
      <w:r>
        <w:fldChar w:fldCharType="begin"/>
      </w:r>
      <w:r>
        <w:instrText xml:space="preserve"> SEQ Table \* ARABIC </w:instrText>
      </w:r>
      <w:r>
        <w:fldChar w:fldCharType="separate"/>
      </w:r>
      <w:r>
        <w:rPr>
          <w:noProof/>
        </w:rPr>
        <w:t>1</w:t>
      </w:r>
      <w:r>
        <w:fldChar w:fldCharType="end"/>
      </w:r>
      <w:r w:rsidRPr="00EF25C6">
        <w:t xml:space="preserve"> Participants distribution</w:t>
      </w:r>
    </w:p>
    <w:tbl>
      <w:tblPr>
        <w:tblStyle w:val="TableGrid"/>
        <w:tblW w:w="8995" w:type="dxa"/>
        <w:tblLook w:val="04A0" w:firstRow="1" w:lastRow="0" w:firstColumn="1" w:lastColumn="0" w:noHBand="0" w:noVBand="1"/>
      </w:tblPr>
      <w:tblGrid>
        <w:gridCol w:w="2875"/>
        <w:gridCol w:w="2970"/>
        <w:gridCol w:w="3150"/>
      </w:tblGrid>
      <w:tr w:rsidR="00D76895" w:rsidRPr="00D76895" w:rsidTr="00856A7E">
        <w:trPr>
          <w:trHeight w:val="285"/>
        </w:trPr>
        <w:tc>
          <w:tcPr>
            <w:tcW w:w="2875" w:type="dxa"/>
            <w:noWrap/>
            <w:hideMark/>
          </w:tcPr>
          <w:p w:rsidR="009F7AA4" w:rsidRPr="00D76895" w:rsidRDefault="009F7AA4" w:rsidP="001159E2">
            <w:pPr>
              <w:jc w:val="both"/>
              <w:rPr>
                <w:rFonts w:asciiTheme="minorBidi" w:hAnsiTheme="minorBidi" w:cstheme="minorBidi"/>
                <w:sz w:val="18"/>
                <w:szCs w:val="18"/>
              </w:rPr>
            </w:pPr>
          </w:p>
        </w:tc>
        <w:tc>
          <w:tcPr>
            <w:tcW w:w="2970" w:type="dxa"/>
            <w:noWrap/>
            <w:hideMark/>
          </w:tcPr>
          <w:p w:rsidR="0025640D" w:rsidRPr="00D76895" w:rsidRDefault="00425FD6" w:rsidP="001159E2">
            <w:pPr>
              <w:jc w:val="both"/>
              <w:rPr>
                <w:rFonts w:asciiTheme="minorBidi" w:hAnsiTheme="minorBidi" w:cstheme="minorBidi"/>
                <w:sz w:val="18"/>
                <w:szCs w:val="18"/>
              </w:rPr>
            </w:pPr>
            <w:r w:rsidRPr="00D76895">
              <w:rPr>
                <w:rFonts w:asciiTheme="minorBidi" w:hAnsiTheme="minorBidi" w:cstheme="minorBidi"/>
                <w:sz w:val="18"/>
                <w:szCs w:val="18"/>
              </w:rPr>
              <w:t>Ankylosing s</w:t>
            </w:r>
            <w:r w:rsidR="009F7AA4" w:rsidRPr="00D76895">
              <w:rPr>
                <w:rFonts w:asciiTheme="minorBidi" w:hAnsiTheme="minorBidi" w:cstheme="minorBidi"/>
                <w:sz w:val="18"/>
                <w:szCs w:val="18"/>
              </w:rPr>
              <w:t>pondylitis</w:t>
            </w:r>
            <w:r w:rsidRPr="00D76895">
              <w:rPr>
                <w:rFonts w:asciiTheme="minorBidi" w:hAnsiTheme="minorBidi" w:cstheme="minorBidi"/>
                <w:sz w:val="18"/>
                <w:szCs w:val="18"/>
              </w:rPr>
              <w:t xml:space="preserve"> patients (</w:t>
            </w:r>
            <w:r w:rsidR="0025640D" w:rsidRPr="00D76895">
              <w:rPr>
                <w:rFonts w:asciiTheme="minorBidi" w:hAnsiTheme="minorBidi" w:cstheme="minorBidi"/>
                <w:sz w:val="18"/>
                <w:szCs w:val="18"/>
              </w:rPr>
              <w:t>N=91</w:t>
            </w:r>
            <w:r w:rsidRPr="00D76895">
              <w:rPr>
                <w:rFonts w:asciiTheme="minorBidi" w:hAnsiTheme="minorBidi" w:cstheme="minorBidi"/>
                <w:sz w:val="18"/>
                <w:szCs w:val="18"/>
              </w:rPr>
              <w:t>)</w:t>
            </w:r>
          </w:p>
        </w:tc>
        <w:tc>
          <w:tcPr>
            <w:tcW w:w="3150" w:type="dxa"/>
            <w:noWrap/>
            <w:hideMark/>
          </w:tcPr>
          <w:p w:rsidR="0025640D" w:rsidRPr="00D76895" w:rsidRDefault="009F7AA4" w:rsidP="001159E2">
            <w:pPr>
              <w:jc w:val="both"/>
              <w:rPr>
                <w:rFonts w:asciiTheme="minorBidi" w:hAnsiTheme="minorBidi" w:cstheme="minorBidi"/>
                <w:sz w:val="18"/>
                <w:szCs w:val="18"/>
              </w:rPr>
            </w:pPr>
            <w:r w:rsidRPr="00D76895">
              <w:rPr>
                <w:rFonts w:asciiTheme="minorBidi" w:hAnsiTheme="minorBidi" w:cstheme="minorBidi"/>
                <w:sz w:val="18"/>
                <w:szCs w:val="18"/>
              </w:rPr>
              <w:t>Rheumatoid arthritis</w:t>
            </w:r>
            <w:r w:rsidR="00425FD6" w:rsidRPr="00D76895">
              <w:rPr>
                <w:rFonts w:asciiTheme="minorBidi" w:hAnsiTheme="minorBidi" w:cstheme="minorBidi"/>
                <w:sz w:val="18"/>
                <w:szCs w:val="18"/>
              </w:rPr>
              <w:t xml:space="preserve"> patients (</w:t>
            </w:r>
            <w:r w:rsidR="0025640D" w:rsidRPr="00D76895">
              <w:rPr>
                <w:rFonts w:asciiTheme="minorBidi" w:hAnsiTheme="minorBidi" w:cstheme="minorBidi"/>
                <w:sz w:val="18"/>
                <w:szCs w:val="18"/>
              </w:rPr>
              <w:t>N=91</w:t>
            </w:r>
            <w:r w:rsidR="00425FD6" w:rsidRPr="00D76895">
              <w:rPr>
                <w:rFonts w:asciiTheme="minorBidi" w:hAnsiTheme="minorBidi" w:cstheme="minorBidi"/>
                <w:sz w:val="18"/>
                <w:szCs w:val="18"/>
              </w:rPr>
              <w:t>)</w:t>
            </w:r>
          </w:p>
        </w:tc>
      </w:tr>
      <w:tr w:rsidR="00D76895" w:rsidRPr="00D76895" w:rsidTr="000702EC">
        <w:trPr>
          <w:trHeight w:val="285"/>
        </w:trPr>
        <w:tc>
          <w:tcPr>
            <w:tcW w:w="2875" w:type="dxa"/>
            <w:vMerge w:val="restart"/>
            <w:noWrap/>
            <w:hideMark/>
          </w:tcPr>
          <w:p w:rsidR="00415144" w:rsidRPr="00D76895" w:rsidRDefault="00415144" w:rsidP="001159E2">
            <w:pPr>
              <w:jc w:val="both"/>
              <w:rPr>
                <w:rFonts w:asciiTheme="minorBidi" w:hAnsiTheme="minorBidi" w:cstheme="minorBidi"/>
                <w:sz w:val="18"/>
                <w:szCs w:val="18"/>
              </w:rPr>
            </w:pPr>
            <w:r w:rsidRPr="00D76895">
              <w:rPr>
                <w:rFonts w:asciiTheme="minorBidi" w:hAnsiTheme="minorBidi" w:cstheme="minorBidi"/>
                <w:sz w:val="18"/>
                <w:szCs w:val="18"/>
              </w:rPr>
              <w:t>Infliximab</w:t>
            </w:r>
          </w:p>
          <w:p w:rsidR="000702EC" w:rsidRPr="00D76895" w:rsidRDefault="000702EC" w:rsidP="001159E2">
            <w:pPr>
              <w:jc w:val="both"/>
              <w:rPr>
                <w:rFonts w:asciiTheme="minorBidi" w:hAnsiTheme="minorBidi" w:cstheme="minorBidi"/>
                <w:sz w:val="18"/>
                <w:szCs w:val="18"/>
              </w:rPr>
            </w:pPr>
          </w:p>
          <w:p w:rsidR="00415144" w:rsidRPr="00D76895" w:rsidRDefault="00415144" w:rsidP="001159E2">
            <w:pPr>
              <w:pStyle w:val="ListParagraph"/>
              <w:numPr>
                <w:ilvl w:val="0"/>
                <w:numId w:val="2"/>
              </w:numPr>
              <w:jc w:val="both"/>
              <w:rPr>
                <w:rFonts w:asciiTheme="minorBidi" w:hAnsiTheme="minorBidi" w:cstheme="minorBidi"/>
                <w:sz w:val="18"/>
                <w:szCs w:val="18"/>
              </w:rPr>
            </w:pPr>
            <w:r w:rsidRPr="00D76895">
              <w:rPr>
                <w:rFonts w:asciiTheme="minorBidi" w:hAnsiTheme="minorBidi" w:cstheme="minorBidi"/>
                <w:sz w:val="18"/>
                <w:szCs w:val="18"/>
              </w:rPr>
              <w:t>Remicade</w:t>
            </w:r>
            <w:r w:rsidR="008F42AE" w:rsidRPr="008F42AE">
              <w:rPr>
                <w:rFonts w:asciiTheme="minorBidi" w:hAnsiTheme="minorBidi" w:cstheme="minorBidi"/>
                <w:sz w:val="18"/>
                <w:szCs w:val="18"/>
                <w:vertAlign w:val="superscript"/>
              </w:rPr>
              <w:t>®</w:t>
            </w:r>
          </w:p>
          <w:p w:rsidR="00415144" w:rsidRPr="00D76895" w:rsidRDefault="00415144" w:rsidP="001159E2">
            <w:pPr>
              <w:pStyle w:val="ListParagraph"/>
              <w:numPr>
                <w:ilvl w:val="0"/>
                <w:numId w:val="2"/>
              </w:numPr>
              <w:jc w:val="both"/>
              <w:rPr>
                <w:rFonts w:asciiTheme="minorBidi" w:hAnsiTheme="minorBidi" w:cstheme="minorBidi"/>
                <w:sz w:val="18"/>
                <w:szCs w:val="18"/>
              </w:rPr>
            </w:pPr>
            <w:r w:rsidRPr="00D76895">
              <w:rPr>
                <w:rFonts w:asciiTheme="minorBidi" w:hAnsiTheme="minorBidi" w:cstheme="minorBidi"/>
                <w:sz w:val="18"/>
                <w:szCs w:val="18"/>
              </w:rPr>
              <w:t>Remsima</w:t>
            </w:r>
            <w:r w:rsidR="008F42AE" w:rsidRPr="008F42AE">
              <w:rPr>
                <w:rFonts w:asciiTheme="minorBidi" w:hAnsiTheme="minorBidi" w:cstheme="minorBidi"/>
                <w:sz w:val="18"/>
                <w:szCs w:val="18"/>
                <w:vertAlign w:val="superscript"/>
              </w:rPr>
              <w:t>®</w:t>
            </w:r>
            <w:r w:rsidRPr="00D76895">
              <w:rPr>
                <w:rFonts w:asciiTheme="minorBidi" w:hAnsiTheme="minorBidi" w:cstheme="minorBidi"/>
                <w:sz w:val="18"/>
                <w:szCs w:val="18"/>
              </w:rPr>
              <w:t xml:space="preserve"> and Inflectra</w:t>
            </w:r>
            <w:r w:rsidR="008F42AE" w:rsidRPr="008F42AE">
              <w:rPr>
                <w:rFonts w:asciiTheme="minorBidi" w:hAnsiTheme="minorBidi" w:cstheme="minorBidi"/>
                <w:sz w:val="18"/>
                <w:szCs w:val="18"/>
                <w:vertAlign w:val="superscript"/>
              </w:rPr>
              <w:t>®</w:t>
            </w:r>
          </w:p>
        </w:tc>
        <w:tc>
          <w:tcPr>
            <w:tcW w:w="2970" w:type="dxa"/>
            <w:noWrap/>
            <w:hideMark/>
          </w:tcPr>
          <w:p w:rsidR="00415144" w:rsidRPr="00D76895" w:rsidRDefault="00415144" w:rsidP="001159E2">
            <w:pPr>
              <w:jc w:val="both"/>
              <w:rPr>
                <w:rFonts w:asciiTheme="minorBidi" w:hAnsiTheme="minorBidi" w:cstheme="minorBidi"/>
                <w:sz w:val="18"/>
                <w:szCs w:val="18"/>
              </w:rPr>
            </w:pPr>
            <w:r w:rsidRPr="00D76895">
              <w:rPr>
                <w:rFonts w:asciiTheme="minorBidi" w:hAnsiTheme="minorBidi" w:cstheme="minorBidi"/>
                <w:sz w:val="18"/>
                <w:szCs w:val="18"/>
              </w:rPr>
              <w:t>26</w:t>
            </w:r>
            <w:r w:rsidR="00270956" w:rsidRPr="00D76895">
              <w:rPr>
                <w:rFonts w:asciiTheme="minorBidi" w:hAnsiTheme="minorBidi" w:cstheme="minorBidi"/>
                <w:sz w:val="18"/>
                <w:szCs w:val="18"/>
              </w:rPr>
              <w:t xml:space="preserve"> (28.6%)</w:t>
            </w:r>
          </w:p>
        </w:tc>
        <w:tc>
          <w:tcPr>
            <w:tcW w:w="3150" w:type="dxa"/>
            <w:noWrap/>
            <w:hideMark/>
          </w:tcPr>
          <w:p w:rsidR="00415144" w:rsidRPr="00D76895" w:rsidRDefault="00415144" w:rsidP="001159E2">
            <w:pPr>
              <w:jc w:val="both"/>
              <w:rPr>
                <w:rFonts w:asciiTheme="minorBidi" w:hAnsiTheme="minorBidi" w:cstheme="minorBidi"/>
                <w:sz w:val="18"/>
                <w:szCs w:val="18"/>
              </w:rPr>
            </w:pPr>
            <w:r w:rsidRPr="00D76895">
              <w:rPr>
                <w:rFonts w:asciiTheme="minorBidi" w:hAnsiTheme="minorBidi" w:cstheme="minorBidi"/>
                <w:sz w:val="18"/>
                <w:szCs w:val="18"/>
              </w:rPr>
              <w:t>24</w:t>
            </w:r>
            <w:r w:rsidR="00270956" w:rsidRPr="00D76895">
              <w:rPr>
                <w:rFonts w:asciiTheme="minorBidi" w:hAnsiTheme="minorBidi" w:cstheme="minorBidi"/>
                <w:sz w:val="18"/>
                <w:szCs w:val="18"/>
              </w:rPr>
              <w:t xml:space="preserve"> (26.4%)</w:t>
            </w:r>
          </w:p>
        </w:tc>
      </w:tr>
      <w:tr w:rsidR="00F3291C" w:rsidRPr="00D76895" w:rsidTr="000702EC">
        <w:trPr>
          <w:trHeight w:val="580"/>
        </w:trPr>
        <w:tc>
          <w:tcPr>
            <w:tcW w:w="2875" w:type="dxa"/>
            <w:vMerge/>
            <w:noWrap/>
            <w:hideMark/>
          </w:tcPr>
          <w:p w:rsidR="00F3291C" w:rsidRPr="00D76895" w:rsidRDefault="00F3291C" w:rsidP="001159E2">
            <w:pPr>
              <w:jc w:val="both"/>
              <w:rPr>
                <w:rFonts w:asciiTheme="minorBidi" w:hAnsiTheme="minorBidi" w:cstheme="minorBidi"/>
                <w:sz w:val="18"/>
                <w:szCs w:val="18"/>
              </w:rPr>
            </w:pPr>
          </w:p>
        </w:tc>
        <w:tc>
          <w:tcPr>
            <w:tcW w:w="2970" w:type="dxa"/>
            <w:noWrap/>
            <w:vAlign w:val="bottom"/>
            <w:hideMark/>
          </w:tcPr>
          <w:p w:rsidR="00F3291C" w:rsidRPr="00D76895" w:rsidRDefault="00F3291C" w:rsidP="001159E2">
            <w:pPr>
              <w:jc w:val="both"/>
              <w:rPr>
                <w:rFonts w:asciiTheme="minorBidi" w:hAnsiTheme="minorBidi" w:cstheme="minorBidi"/>
                <w:sz w:val="18"/>
                <w:szCs w:val="18"/>
              </w:rPr>
            </w:pPr>
            <w:r w:rsidRPr="00D76895">
              <w:rPr>
                <w:rFonts w:asciiTheme="minorBidi" w:hAnsiTheme="minorBidi" w:cstheme="minorBidi"/>
                <w:sz w:val="18"/>
                <w:szCs w:val="18"/>
              </w:rPr>
              <w:t>21 (81%)</w:t>
            </w:r>
          </w:p>
          <w:p w:rsidR="00F3291C" w:rsidRPr="00D76895" w:rsidRDefault="00F3291C" w:rsidP="001159E2">
            <w:pPr>
              <w:jc w:val="both"/>
              <w:rPr>
                <w:rFonts w:asciiTheme="minorBidi" w:hAnsiTheme="minorBidi" w:cstheme="minorBidi"/>
                <w:sz w:val="18"/>
                <w:szCs w:val="18"/>
              </w:rPr>
            </w:pPr>
            <w:r w:rsidRPr="00D76895">
              <w:rPr>
                <w:rFonts w:asciiTheme="minorBidi" w:hAnsiTheme="minorBidi" w:cstheme="minorBidi"/>
                <w:sz w:val="18"/>
                <w:szCs w:val="18"/>
              </w:rPr>
              <w:t>5 (19%)</w:t>
            </w:r>
          </w:p>
        </w:tc>
        <w:tc>
          <w:tcPr>
            <w:tcW w:w="3150" w:type="dxa"/>
            <w:noWrap/>
            <w:vAlign w:val="bottom"/>
            <w:hideMark/>
          </w:tcPr>
          <w:p w:rsidR="00F3291C" w:rsidRPr="00D76895" w:rsidRDefault="00F3291C" w:rsidP="001159E2">
            <w:pPr>
              <w:jc w:val="both"/>
              <w:rPr>
                <w:rFonts w:asciiTheme="minorBidi" w:hAnsiTheme="minorBidi" w:cstheme="minorBidi"/>
                <w:sz w:val="18"/>
                <w:szCs w:val="18"/>
              </w:rPr>
            </w:pPr>
            <w:r w:rsidRPr="00D76895">
              <w:rPr>
                <w:rFonts w:asciiTheme="minorBidi" w:hAnsiTheme="minorBidi" w:cstheme="minorBidi"/>
                <w:sz w:val="18"/>
                <w:szCs w:val="18"/>
              </w:rPr>
              <w:t>17 (</w:t>
            </w:r>
            <w:r w:rsidR="00425FD6" w:rsidRPr="00D76895">
              <w:rPr>
                <w:rFonts w:asciiTheme="minorBidi" w:hAnsiTheme="minorBidi" w:cstheme="minorBidi"/>
                <w:sz w:val="18"/>
                <w:szCs w:val="18"/>
              </w:rPr>
              <w:t>71</w:t>
            </w:r>
            <w:r w:rsidRPr="00D76895">
              <w:rPr>
                <w:rFonts w:asciiTheme="minorBidi" w:hAnsiTheme="minorBidi" w:cstheme="minorBidi"/>
                <w:sz w:val="18"/>
                <w:szCs w:val="18"/>
              </w:rPr>
              <w:t>%)</w:t>
            </w:r>
          </w:p>
          <w:p w:rsidR="00F3291C" w:rsidRPr="00D76895" w:rsidRDefault="00F3291C" w:rsidP="001159E2">
            <w:pPr>
              <w:jc w:val="both"/>
              <w:rPr>
                <w:rFonts w:asciiTheme="minorBidi" w:hAnsiTheme="minorBidi" w:cstheme="minorBidi"/>
                <w:sz w:val="18"/>
                <w:szCs w:val="18"/>
              </w:rPr>
            </w:pPr>
            <w:r w:rsidRPr="00D76895">
              <w:rPr>
                <w:rFonts w:asciiTheme="minorBidi" w:hAnsiTheme="minorBidi" w:cstheme="minorBidi"/>
                <w:sz w:val="18"/>
                <w:szCs w:val="18"/>
              </w:rPr>
              <w:t>7 (</w:t>
            </w:r>
            <w:r w:rsidR="00425FD6" w:rsidRPr="00D76895">
              <w:rPr>
                <w:rFonts w:asciiTheme="minorBidi" w:hAnsiTheme="minorBidi" w:cstheme="minorBidi"/>
                <w:sz w:val="18"/>
                <w:szCs w:val="18"/>
              </w:rPr>
              <w:t>29</w:t>
            </w:r>
            <w:r w:rsidRPr="00D76895">
              <w:rPr>
                <w:rFonts w:asciiTheme="minorBidi" w:hAnsiTheme="minorBidi" w:cstheme="minorBidi"/>
                <w:sz w:val="18"/>
                <w:szCs w:val="18"/>
              </w:rPr>
              <w:t>%)</w:t>
            </w:r>
          </w:p>
        </w:tc>
      </w:tr>
      <w:tr w:rsidR="00A92C61" w:rsidRPr="00D76895" w:rsidTr="00A92C61">
        <w:trPr>
          <w:trHeight w:val="251"/>
        </w:trPr>
        <w:tc>
          <w:tcPr>
            <w:tcW w:w="2875" w:type="dxa"/>
            <w:vMerge w:val="restart"/>
            <w:noWrap/>
          </w:tcPr>
          <w:p w:rsidR="00A92C61" w:rsidRPr="00D76895" w:rsidRDefault="00A92C61" w:rsidP="00A92C61">
            <w:pPr>
              <w:jc w:val="both"/>
              <w:rPr>
                <w:rFonts w:asciiTheme="minorBidi" w:hAnsiTheme="minorBidi" w:cstheme="minorBidi"/>
                <w:sz w:val="18"/>
                <w:szCs w:val="18"/>
              </w:rPr>
            </w:pPr>
            <w:r w:rsidRPr="00D76895">
              <w:rPr>
                <w:rFonts w:asciiTheme="minorBidi" w:hAnsiTheme="minorBidi" w:cstheme="minorBidi"/>
                <w:sz w:val="18"/>
                <w:szCs w:val="18"/>
              </w:rPr>
              <w:t>Etanercept</w:t>
            </w:r>
          </w:p>
          <w:p w:rsidR="00A92C61" w:rsidRPr="00D76895" w:rsidRDefault="00A92C61" w:rsidP="00A92C61">
            <w:pPr>
              <w:jc w:val="both"/>
              <w:rPr>
                <w:rFonts w:asciiTheme="minorBidi" w:hAnsiTheme="minorBidi" w:cstheme="minorBidi"/>
                <w:sz w:val="18"/>
                <w:szCs w:val="18"/>
              </w:rPr>
            </w:pPr>
          </w:p>
          <w:p w:rsidR="00A92C61" w:rsidRPr="00D76895" w:rsidRDefault="00A92C61" w:rsidP="00A92C61">
            <w:pPr>
              <w:pStyle w:val="ListParagraph"/>
              <w:numPr>
                <w:ilvl w:val="0"/>
                <w:numId w:val="1"/>
              </w:numPr>
              <w:jc w:val="both"/>
              <w:rPr>
                <w:rFonts w:asciiTheme="minorBidi" w:hAnsiTheme="minorBidi" w:cstheme="minorBidi"/>
                <w:sz w:val="18"/>
                <w:szCs w:val="18"/>
              </w:rPr>
            </w:pPr>
            <w:r w:rsidRPr="00D76895">
              <w:rPr>
                <w:rFonts w:asciiTheme="minorBidi" w:hAnsiTheme="minorBidi" w:cstheme="minorBidi"/>
                <w:sz w:val="18"/>
                <w:szCs w:val="18"/>
              </w:rPr>
              <w:t>Enbrel</w:t>
            </w:r>
            <w:r w:rsidRPr="008F42AE">
              <w:rPr>
                <w:rFonts w:asciiTheme="minorBidi" w:hAnsiTheme="minorBidi" w:cstheme="minorBidi"/>
                <w:sz w:val="18"/>
                <w:szCs w:val="18"/>
                <w:vertAlign w:val="superscript"/>
              </w:rPr>
              <w:t>®</w:t>
            </w:r>
          </w:p>
          <w:p w:rsidR="00A92C61" w:rsidRPr="00A92C61" w:rsidRDefault="00A92C61" w:rsidP="00A92C61">
            <w:pPr>
              <w:pStyle w:val="ListParagraph"/>
              <w:numPr>
                <w:ilvl w:val="0"/>
                <w:numId w:val="1"/>
              </w:numPr>
              <w:jc w:val="both"/>
              <w:rPr>
                <w:rFonts w:asciiTheme="minorBidi" w:hAnsiTheme="minorBidi" w:cstheme="minorBidi"/>
                <w:sz w:val="18"/>
                <w:szCs w:val="18"/>
              </w:rPr>
            </w:pPr>
            <w:r w:rsidRPr="00A92C61">
              <w:rPr>
                <w:rFonts w:asciiTheme="minorBidi" w:hAnsiTheme="minorBidi" w:cstheme="minorBidi"/>
                <w:sz w:val="18"/>
                <w:szCs w:val="18"/>
              </w:rPr>
              <w:t>Benepali</w:t>
            </w:r>
            <w:r w:rsidRPr="00A92C61">
              <w:rPr>
                <w:rFonts w:asciiTheme="minorBidi" w:hAnsiTheme="minorBidi" w:cstheme="minorBidi"/>
                <w:sz w:val="18"/>
                <w:szCs w:val="18"/>
                <w:vertAlign w:val="superscript"/>
              </w:rPr>
              <w:t>®</w:t>
            </w:r>
          </w:p>
        </w:tc>
        <w:tc>
          <w:tcPr>
            <w:tcW w:w="2970" w:type="dxa"/>
            <w:noWrap/>
          </w:tcPr>
          <w:p w:rsidR="00A92C61" w:rsidRPr="00D76895" w:rsidRDefault="00A92C61" w:rsidP="00A92C61">
            <w:pPr>
              <w:jc w:val="both"/>
              <w:rPr>
                <w:rFonts w:asciiTheme="minorBidi" w:hAnsiTheme="minorBidi" w:cstheme="minorBidi"/>
                <w:sz w:val="18"/>
                <w:szCs w:val="18"/>
              </w:rPr>
            </w:pPr>
            <w:r w:rsidRPr="00D76895">
              <w:rPr>
                <w:rFonts w:asciiTheme="minorBidi" w:hAnsiTheme="minorBidi" w:cstheme="minorBidi"/>
                <w:sz w:val="18"/>
                <w:szCs w:val="18"/>
              </w:rPr>
              <w:t>65 (71.4%)</w:t>
            </w:r>
          </w:p>
        </w:tc>
        <w:tc>
          <w:tcPr>
            <w:tcW w:w="3150" w:type="dxa"/>
            <w:noWrap/>
          </w:tcPr>
          <w:p w:rsidR="00A92C61" w:rsidRPr="00D76895" w:rsidRDefault="00A92C61" w:rsidP="00A92C61">
            <w:pPr>
              <w:jc w:val="both"/>
              <w:rPr>
                <w:rFonts w:asciiTheme="minorBidi" w:hAnsiTheme="minorBidi" w:cstheme="minorBidi"/>
                <w:sz w:val="18"/>
                <w:szCs w:val="18"/>
              </w:rPr>
            </w:pPr>
            <w:r w:rsidRPr="00D76895">
              <w:rPr>
                <w:rFonts w:asciiTheme="minorBidi" w:hAnsiTheme="minorBidi" w:cstheme="minorBidi"/>
                <w:sz w:val="18"/>
                <w:szCs w:val="18"/>
              </w:rPr>
              <w:t>67 (73.6%)</w:t>
            </w:r>
          </w:p>
        </w:tc>
      </w:tr>
      <w:tr w:rsidR="00A92C61" w:rsidRPr="00D76895" w:rsidTr="000702EC">
        <w:trPr>
          <w:trHeight w:val="580"/>
        </w:trPr>
        <w:tc>
          <w:tcPr>
            <w:tcW w:w="2875" w:type="dxa"/>
            <w:vMerge/>
            <w:noWrap/>
          </w:tcPr>
          <w:p w:rsidR="00A92C61" w:rsidRPr="00D76895" w:rsidRDefault="00A92C61" w:rsidP="00A92C61">
            <w:pPr>
              <w:jc w:val="both"/>
              <w:rPr>
                <w:rFonts w:asciiTheme="minorBidi" w:hAnsiTheme="minorBidi" w:cstheme="minorBidi"/>
                <w:sz w:val="18"/>
                <w:szCs w:val="18"/>
              </w:rPr>
            </w:pPr>
          </w:p>
        </w:tc>
        <w:tc>
          <w:tcPr>
            <w:tcW w:w="2970" w:type="dxa"/>
            <w:noWrap/>
            <w:vAlign w:val="bottom"/>
          </w:tcPr>
          <w:p w:rsidR="00A92C61" w:rsidRPr="00D76895" w:rsidRDefault="00A92C61" w:rsidP="00A92C61">
            <w:pPr>
              <w:jc w:val="both"/>
              <w:rPr>
                <w:rFonts w:asciiTheme="minorBidi" w:hAnsiTheme="minorBidi" w:cstheme="minorBidi"/>
                <w:sz w:val="18"/>
                <w:szCs w:val="18"/>
              </w:rPr>
            </w:pPr>
            <w:r w:rsidRPr="00D76895">
              <w:rPr>
                <w:rFonts w:asciiTheme="minorBidi" w:hAnsiTheme="minorBidi" w:cstheme="minorBidi"/>
                <w:sz w:val="18"/>
                <w:szCs w:val="18"/>
              </w:rPr>
              <w:t>40 (61.5%)</w:t>
            </w:r>
          </w:p>
          <w:p w:rsidR="00A92C61" w:rsidRPr="00D76895" w:rsidRDefault="00A92C61" w:rsidP="00A92C61">
            <w:pPr>
              <w:jc w:val="both"/>
              <w:rPr>
                <w:rFonts w:asciiTheme="minorBidi" w:hAnsiTheme="minorBidi" w:cstheme="minorBidi"/>
                <w:sz w:val="18"/>
                <w:szCs w:val="18"/>
              </w:rPr>
            </w:pPr>
            <w:r w:rsidRPr="00D76895">
              <w:rPr>
                <w:rFonts w:asciiTheme="minorBidi" w:hAnsiTheme="minorBidi" w:cstheme="minorBidi"/>
                <w:sz w:val="18"/>
                <w:szCs w:val="18"/>
              </w:rPr>
              <w:t>25(38.5%)</w:t>
            </w:r>
          </w:p>
        </w:tc>
        <w:tc>
          <w:tcPr>
            <w:tcW w:w="3150" w:type="dxa"/>
            <w:noWrap/>
            <w:vAlign w:val="bottom"/>
          </w:tcPr>
          <w:p w:rsidR="00A92C61" w:rsidRPr="00D76895" w:rsidRDefault="00A92C61" w:rsidP="00A92C61">
            <w:pPr>
              <w:jc w:val="both"/>
              <w:rPr>
                <w:rFonts w:asciiTheme="minorBidi" w:hAnsiTheme="minorBidi" w:cstheme="minorBidi"/>
                <w:sz w:val="18"/>
                <w:szCs w:val="18"/>
              </w:rPr>
            </w:pPr>
            <w:r w:rsidRPr="00D76895">
              <w:rPr>
                <w:rFonts w:asciiTheme="minorBidi" w:hAnsiTheme="minorBidi" w:cstheme="minorBidi"/>
                <w:sz w:val="18"/>
                <w:szCs w:val="18"/>
              </w:rPr>
              <w:t>39 (</w:t>
            </w:r>
            <w:r w:rsidR="00582485" w:rsidRPr="00D76895">
              <w:rPr>
                <w:rFonts w:asciiTheme="minorBidi" w:hAnsiTheme="minorBidi" w:cstheme="minorBidi"/>
                <w:sz w:val="18"/>
                <w:szCs w:val="18"/>
              </w:rPr>
              <w:t>5</w:t>
            </w:r>
            <w:r w:rsidR="00582485">
              <w:rPr>
                <w:rFonts w:asciiTheme="minorBidi" w:hAnsiTheme="minorBidi" w:cstheme="minorBidi"/>
                <w:sz w:val="18"/>
                <w:szCs w:val="18"/>
              </w:rPr>
              <w:t>7</w:t>
            </w:r>
            <w:r w:rsidRPr="00D76895">
              <w:rPr>
                <w:rFonts w:asciiTheme="minorBidi" w:hAnsiTheme="minorBidi" w:cstheme="minorBidi"/>
                <w:sz w:val="18"/>
                <w:szCs w:val="18"/>
              </w:rPr>
              <w:t>%)</w:t>
            </w:r>
          </w:p>
          <w:p w:rsidR="00A92C61" w:rsidRPr="00D76895" w:rsidRDefault="00582485" w:rsidP="00A92C61">
            <w:pPr>
              <w:jc w:val="both"/>
              <w:rPr>
                <w:rFonts w:asciiTheme="minorBidi" w:hAnsiTheme="minorBidi" w:cstheme="minorBidi"/>
                <w:sz w:val="18"/>
                <w:szCs w:val="18"/>
              </w:rPr>
            </w:pPr>
            <w:r w:rsidRPr="00D76895">
              <w:rPr>
                <w:rFonts w:asciiTheme="minorBidi" w:hAnsiTheme="minorBidi" w:cstheme="minorBidi"/>
                <w:sz w:val="18"/>
                <w:szCs w:val="18"/>
              </w:rPr>
              <w:t>2</w:t>
            </w:r>
            <w:r>
              <w:rPr>
                <w:rFonts w:asciiTheme="minorBidi" w:hAnsiTheme="minorBidi" w:cstheme="minorBidi"/>
                <w:sz w:val="18"/>
                <w:szCs w:val="18"/>
              </w:rPr>
              <w:t>9</w:t>
            </w:r>
            <w:r w:rsidRPr="00D76895">
              <w:rPr>
                <w:rFonts w:asciiTheme="minorBidi" w:hAnsiTheme="minorBidi" w:cstheme="minorBidi"/>
                <w:sz w:val="18"/>
                <w:szCs w:val="18"/>
              </w:rPr>
              <w:t xml:space="preserve"> </w:t>
            </w:r>
            <w:r w:rsidR="00A92C61" w:rsidRPr="00D76895">
              <w:rPr>
                <w:rFonts w:asciiTheme="minorBidi" w:hAnsiTheme="minorBidi" w:cstheme="minorBidi"/>
                <w:sz w:val="18"/>
                <w:szCs w:val="18"/>
              </w:rPr>
              <w:t>(</w:t>
            </w:r>
            <w:r w:rsidRPr="00D76895">
              <w:rPr>
                <w:rFonts w:asciiTheme="minorBidi" w:hAnsiTheme="minorBidi" w:cstheme="minorBidi"/>
                <w:sz w:val="18"/>
                <w:szCs w:val="18"/>
              </w:rPr>
              <w:t>4</w:t>
            </w:r>
            <w:r>
              <w:rPr>
                <w:rFonts w:asciiTheme="minorBidi" w:hAnsiTheme="minorBidi" w:cstheme="minorBidi"/>
                <w:sz w:val="18"/>
                <w:szCs w:val="18"/>
              </w:rPr>
              <w:t>3</w:t>
            </w:r>
            <w:r w:rsidR="00A92C61" w:rsidRPr="00D76895">
              <w:rPr>
                <w:rFonts w:asciiTheme="minorBidi" w:hAnsiTheme="minorBidi" w:cstheme="minorBidi"/>
                <w:sz w:val="18"/>
                <w:szCs w:val="18"/>
              </w:rPr>
              <w:t>%)</w:t>
            </w:r>
          </w:p>
        </w:tc>
      </w:tr>
    </w:tbl>
    <w:p w:rsidR="005F42AE" w:rsidRPr="00D76895" w:rsidRDefault="005F42AE" w:rsidP="001159E2">
      <w:pPr>
        <w:jc w:val="both"/>
        <w:rPr>
          <w:rFonts w:asciiTheme="majorBidi" w:hAnsiTheme="majorBidi" w:cstheme="majorBidi"/>
          <w:sz w:val="20"/>
          <w:szCs w:val="20"/>
        </w:rPr>
      </w:pPr>
    </w:p>
    <w:p w:rsidR="00A34074" w:rsidRPr="00D76895" w:rsidRDefault="006F0788" w:rsidP="001159E2">
      <w:pPr>
        <w:pStyle w:val="Normal1"/>
        <w:spacing w:after="0" w:line="240" w:lineRule="auto"/>
        <w:jc w:val="both"/>
        <w:rPr>
          <w:rFonts w:ascii="Times New Roman" w:eastAsia="Cambria" w:hAnsi="Times New Roman" w:cs="Times New Roman"/>
          <w:color w:val="auto"/>
          <w:sz w:val="20"/>
          <w:szCs w:val="20"/>
          <w:lang w:val="en-GB"/>
        </w:rPr>
      </w:pPr>
      <w:r w:rsidRPr="00D76895">
        <w:rPr>
          <w:rFonts w:ascii="Times New Roman" w:eastAsia="Cambria" w:hAnsi="Times New Roman" w:cs="Times New Roman"/>
          <w:color w:val="auto"/>
          <w:sz w:val="20"/>
          <w:szCs w:val="20"/>
          <w:lang w:val="en-GB"/>
        </w:rPr>
        <w:t>All survey participants (</w:t>
      </w:r>
      <w:r w:rsidR="00C3297D" w:rsidRPr="00D76895">
        <w:rPr>
          <w:rFonts w:ascii="Times New Roman" w:eastAsia="Cambria" w:hAnsi="Times New Roman" w:cs="Times New Roman"/>
          <w:color w:val="auto"/>
          <w:sz w:val="20"/>
          <w:szCs w:val="20"/>
          <w:lang w:val="en-GB"/>
        </w:rPr>
        <w:t>patients on originator biological</w:t>
      </w:r>
      <w:r w:rsidRPr="00D76895">
        <w:rPr>
          <w:rFonts w:ascii="Times New Roman" w:eastAsia="Cambria" w:hAnsi="Times New Roman" w:cs="Times New Roman"/>
          <w:color w:val="auto"/>
          <w:sz w:val="20"/>
          <w:szCs w:val="20"/>
          <w:lang w:val="en-GB"/>
        </w:rPr>
        <w:t xml:space="preserve"> and biosimilars) were aware that the medicine they use</w:t>
      </w:r>
      <w:r w:rsidR="00571BCE">
        <w:rPr>
          <w:rFonts w:ascii="Times New Roman" w:eastAsia="Cambria" w:hAnsi="Times New Roman" w:cs="Times New Roman"/>
          <w:color w:val="auto"/>
          <w:sz w:val="20"/>
          <w:szCs w:val="20"/>
          <w:lang w:val="en-GB"/>
        </w:rPr>
        <w:t>d (</w:t>
      </w:r>
      <w:r w:rsidR="00A92C61">
        <w:rPr>
          <w:rFonts w:ascii="Times New Roman" w:eastAsia="Cambria" w:hAnsi="Times New Roman" w:cs="Times New Roman"/>
          <w:color w:val="auto"/>
          <w:sz w:val="20"/>
          <w:szCs w:val="20"/>
          <w:lang w:val="en-GB"/>
        </w:rPr>
        <w:t xml:space="preserve">infliximab </w:t>
      </w:r>
      <w:r w:rsidR="00571BCE">
        <w:rPr>
          <w:rFonts w:ascii="Times New Roman" w:eastAsia="Cambria" w:hAnsi="Times New Roman" w:cs="Times New Roman"/>
          <w:color w:val="auto"/>
          <w:sz w:val="20"/>
          <w:szCs w:val="20"/>
          <w:lang w:val="en-GB"/>
        </w:rPr>
        <w:t xml:space="preserve">or </w:t>
      </w:r>
      <w:r w:rsidR="00A92C61">
        <w:rPr>
          <w:rFonts w:ascii="Times New Roman" w:eastAsia="Cambria" w:hAnsi="Times New Roman" w:cs="Times New Roman"/>
          <w:color w:val="auto"/>
          <w:sz w:val="20"/>
          <w:szCs w:val="20"/>
          <w:lang w:val="en-GB"/>
        </w:rPr>
        <w:t>etanercept</w:t>
      </w:r>
      <w:r w:rsidR="00571BCE">
        <w:rPr>
          <w:rFonts w:ascii="Times New Roman" w:eastAsia="Cambria" w:hAnsi="Times New Roman" w:cs="Times New Roman"/>
          <w:color w:val="auto"/>
          <w:sz w:val="20"/>
          <w:szCs w:val="20"/>
          <w:lang w:val="en-GB"/>
        </w:rPr>
        <w:t>) wa</w:t>
      </w:r>
      <w:r w:rsidRPr="00D76895">
        <w:rPr>
          <w:rFonts w:ascii="Times New Roman" w:eastAsia="Cambria" w:hAnsi="Times New Roman" w:cs="Times New Roman"/>
          <w:color w:val="auto"/>
          <w:sz w:val="20"/>
          <w:szCs w:val="20"/>
          <w:lang w:val="en-GB"/>
        </w:rPr>
        <w:t xml:space="preserve">s </w:t>
      </w:r>
      <w:r w:rsidR="00571BCE">
        <w:rPr>
          <w:rFonts w:ascii="Times New Roman" w:eastAsia="Cambria" w:hAnsi="Times New Roman" w:cs="Times New Roman"/>
          <w:color w:val="auto"/>
          <w:sz w:val="20"/>
          <w:szCs w:val="20"/>
          <w:lang w:val="en-GB"/>
        </w:rPr>
        <w:t xml:space="preserve">a </w:t>
      </w:r>
      <w:r w:rsidRPr="00D76895">
        <w:rPr>
          <w:rFonts w:ascii="Times New Roman" w:eastAsia="Cambria" w:hAnsi="Times New Roman" w:cs="Times New Roman"/>
          <w:color w:val="auto"/>
          <w:sz w:val="20"/>
          <w:szCs w:val="20"/>
          <w:lang w:val="en-GB"/>
        </w:rPr>
        <w:t xml:space="preserve">biological medicine. </w:t>
      </w:r>
      <w:r w:rsidR="00F139EB">
        <w:rPr>
          <w:rFonts w:ascii="Times New Roman" w:eastAsia="Cambria" w:hAnsi="Times New Roman" w:cs="Times New Roman"/>
          <w:color w:val="auto"/>
          <w:sz w:val="20"/>
          <w:szCs w:val="20"/>
          <w:lang w:val="en-GB"/>
        </w:rPr>
        <w:t>The percentage of pa</w:t>
      </w:r>
      <w:r w:rsidR="0090421B">
        <w:rPr>
          <w:rFonts w:ascii="Times New Roman" w:eastAsia="Cambria" w:hAnsi="Times New Roman" w:cs="Times New Roman"/>
          <w:color w:val="auto"/>
          <w:sz w:val="20"/>
          <w:szCs w:val="20"/>
          <w:lang w:val="en-GB"/>
        </w:rPr>
        <w:t>rticipant</w:t>
      </w:r>
      <w:r w:rsidR="00F139EB">
        <w:rPr>
          <w:rFonts w:ascii="Times New Roman" w:eastAsia="Cambria" w:hAnsi="Times New Roman" w:cs="Times New Roman"/>
          <w:color w:val="auto"/>
          <w:sz w:val="20"/>
          <w:szCs w:val="20"/>
          <w:lang w:val="en-GB"/>
        </w:rPr>
        <w:t>s who knew that biosimilar versions of their branded biological medication existed was significantly higher among pa</w:t>
      </w:r>
      <w:r w:rsidR="0090421B">
        <w:rPr>
          <w:rFonts w:ascii="Times New Roman" w:eastAsia="Cambria" w:hAnsi="Times New Roman" w:cs="Times New Roman"/>
          <w:color w:val="auto"/>
          <w:sz w:val="20"/>
          <w:szCs w:val="20"/>
          <w:lang w:val="en-GB"/>
        </w:rPr>
        <w:t>rticipan</w:t>
      </w:r>
      <w:r w:rsidR="00F139EB">
        <w:rPr>
          <w:rFonts w:ascii="Times New Roman" w:eastAsia="Cambria" w:hAnsi="Times New Roman" w:cs="Times New Roman"/>
          <w:color w:val="auto"/>
          <w:sz w:val="20"/>
          <w:szCs w:val="20"/>
          <w:lang w:val="en-GB"/>
        </w:rPr>
        <w:t>ts on biosimilars (83%) than in pa</w:t>
      </w:r>
      <w:r w:rsidR="0090421B">
        <w:rPr>
          <w:rFonts w:ascii="Times New Roman" w:eastAsia="Cambria" w:hAnsi="Times New Roman" w:cs="Times New Roman"/>
          <w:color w:val="auto"/>
          <w:sz w:val="20"/>
          <w:szCs w:val="20"/>
          <w:lang w:val="en-GB"/>
        </w:rPr>
        <w:t>rticipants</w:t>
      </w:r>
      <w:r w:rsidR="00F139EB">
        <w:rPr>
          <w:rFonts w:ascii="Times New Roman" w:eastAsia="Cambria" w:hAnsi="Times New Roman" w:cs="Times New Roman"/>
          <w:color w:val="auto"/>
          <w:sz w:val="20"/>
          <w:szCs w:val="20"/>
          <w:lang w:val="en-GB"/>
        </w:rPr>
        <w:t xml:space="preserve"> on originator biologics (60%) (</w:t>
      </w:r>
      <w:r w:rsidR="00F139EB" w:rsidRPr="00F139EB">
        <w:rPr>
          <w:rFonts w:ascii="Times New Roman" w:eastAsia="Cambria" w:hAnsi="Times New Roman" w:cs="Times New Roman"/>
          <w:color w:val="auto"/>
          <w:sz w:val="20"/>
          <w:szCs w:val="20"/>
          <w:lang w:val="en-GB"/>
        </w:rPr>
        <w:t>p&lt; 0.0</w:t>
      </w:r>
      <w:r w:rsidR="00F139EB">
        <w:rPr>
          <w:rFonts w:ascii="Times New Roman" w:eastAsia="Cambria" w:hAnsi="Times New Roman" w:cs="Times New Roman"/>
          <w:color w:val="auto"/>
          <w:sz w:val="20"/>
          <w:szCs w:val="20"/>
          <w:lang w:val="en-GB"/>
        </w:rPr>
        <w:t>01</w:t>
      </w:r>
      <w:r w:rsidR="00F139EB" w:rsidRPr="00F139EB">
        <w:rPr>
          <w:rFonts w:ascii="Times New Roman" w:eastAsia="Cambria" w:hAnsi="Times New Roman" w:cs="Times New Roman"/>
          <w:color w:val="auto"/>
          <w:sz w:val="20"/>
          <w:szCs w:val="20"/>
          <w:lang w:val="en-GB"/>
        </w:rPr>
        <w:t>)</w:t>
      </w:r>
      <w:r w:rsidR="00F139EB">
        <w:rPr>
          <w:rFonts w:ascii="Times New Roman" w:eastAsia="Cambria" w:hAnsi="Times New Roman" w:cs="Times New Roman"/>
          <w:color w:val="auto"/>
          <w:sz w:val="20"/>
          <w:szCs w:val="20"/>
          <w:lang w:val="en-GB"/>
        </w:rPr>
        <w:t xml:space="preserve">. </w:t>
      </w:r>
      <w:r w:rsidR="00D411B4" w:rsidRPr="00D76895">
        <w:rPr>
          <w:rFonts w:ascii="Times New Roman" w:eastAsia="Cambria" w:hAnsi="Times New Roman" w:cs="Times New Roman"/>
          <w:color w:val="auto"/>
          <w:sz w:val="20"/>
          <w:szCs w:val="20"/>
          <w:lang w:val="en-GB"/>
        </w:rPr>
        <w:t xml:space="preserve">The majority </w:t>
      </w:r>
      <w:r w:rsidRPr="00D76895">
        <w:rPr>
          <w:rFonts w:ascii="Times New Roman" w:eastAsia="Cambria" w:hAnsi="Times New Roman" w:cs="Times New Roman"/>
          <w:color w:val="auto"/>
          <w:sz w:val="20"/>
          <w:szCs w:val="20"/>
          <w:lang w:val="en-GB"/>
        </w:rPr>
        <w:t xml:space="preserve">of </w:t>
      </w:r>
      <w:r w:rsidR="00E5683E" w:rsidRPr="00D76895">
        <w:rPr>
          <w:rFonts w:ascii="Times New Roman" w:eastAsia="Cambria" w:hAnsi="Times New Roman" w:cs="Times New Roman"/>
          <w:color w:val="auto"/>
          <w:sz w:val="20"/>
          <w:szCs w:val="20"/>
          <w:lang w:val="en-GB"/>
        </w:rPr>
        <w:t>participants</w:t>
      </w:r>
      <w:r w:rsidR="00C3297D" w:rsidRPr="00D76895">
        <w:rPr>
          <w:rFonts w:ascii="Times New Roman" w:eastAsia="Cambria" w:hAnsi="Times New Roman" w:cs="Times New Roman"/>
          <w:color w:val="auto"/>
          <w:sz w:val="20"/>
          <w:szCs w:val="20"/>
          <w:lang w:val="en-GB"/>
        </w:rPr>
        <w:t xml:space="preserve"> on </w:t>
      </w:r>
      <w:r w:rsidRPr="00D76895">
        <w:rPr>
          <w:rFonts w:ascii="Times New Roman" w:eastAsia="Cambria" w:hAnsi="Times New Roman" w:cs="Times New Roman"/>
          <w:color w:val="auto"/>
          <w:sz w:val="20"/>
          <w:szCs w:val="20"/>
          <w:lang w:val="en-GB"/>
        </w:rPr>
        <w:t xml:space="preserve">biosimilars (80%), thought biosimilars were similar copies of biological medicines, </w:t>
      </w:r>
      <w:r w:rsidR="00D411B4" w:rsidRPr="00D76895">
        <w:rPr>
          <w:rFonts w:ascii="Times New Roman" w:eastAsia="Cambria" w:hAnsi="Times New Roman" w:cs="Times New Roman"/>
          <w:color w:val="auto"/>
          <w:sz w:val="20"/>
          <w:szCs w:val="20"/>
          <w:lang w:val="en-GB"/>
        </w:rPr>
        <w:t xml:space="preserve">15% </w:t>
      </w:r>
      <w:r w:rsidRPr="00D76895">
        <w:rPr>
          <w:rFonts w:ascii="Times New Roman" w:eastAsia="Cambria" w:hAnsi="Times New Roman" w:cs="Times New Roman"/>
          <w:color w:val="auto"/>
          <w:sz w:val="20"/>
          <w:szCs w:val="20"/>
          <w:lang w:val="en-GB"/>
        </w:rPr>
        <w:t xml:space="preserve">thought they were </w:t>
      </w:r>
      <w:r w:rsidR="00D411B4" w:rsidRPr="00D76895">
        <w:rPr>
          <w:rFonts w:ascii="Times New Roman" w:eastAsia="Cambria" w:hAnsi="Times New Roman" w:cs="Times New Roman"/>
          <w:color w:val="auto"/>
          <w:sz w:val="20"/>
          <w:szCs w:val="20"/>
          <w:lang w:val="en-GB"/>
        </w:rPr>
        <w:t>an identical copy of a biological medicine</w:t>
      </w:r>
      <w:r w:rsidRPr="00D76895">
        <w:rPr>
          <w:rFonts w:ascii="Times New Roman" w:eastAsia="Cambria" w:hAnsi="Times New Roman" w:cs="Times New Roman"/>
          <w:color w:val="auto"/>
          <w:sz w:val="20"/>
          <w:szCs w:val="20"/>
          <w:lang w:val="en-GB"/>
        </w:rPr>
        <w:t xml:space="preserve">, </w:t>
      </w:r>
      <w:r w:rsidR="00133DC4" w:rsidRPr="00D76895">
        <w:rPr>
          <w:rFonts w:ascii="Times New Roman" w:eastAsia="Cambria" w:hAnsi="Times New Roman" w:cs="Times New Roman"/>
          <w:color w:val="auto"/>
          <w:sz w:val="20"/>
          <w:szCs w:val="20"/>
          <w:lang w:val="en-GB"/>
        </w:rPr>
        <w:t xml:space="preserve">and </w:t>
      </w:r>
      <w:r w:rsidR="00D411B4" w:rsidRPr="00D76895">
        <w:rPr>
          <w:rFonts w:ascii="Times New Roman" w:eastAsia="Cambria" w:hAnsi="Times New Roman" w:cs="Times New Roman"/>
          <w:color w:val="auto"/>
          <w:sz w:val="20"/>
          <w:szCs w:val="20"/>
          <w:lang w:val="en-GB"/>
        </w:rPr>
        <w:t>5</w:t>
      </w:r>
      <w:r w:rsidRPr="00D76895">
        <w:rPr>
          <w:rFonts w:ascii="Times New Roman" w:eastAsia="Cambria" w:hAnsi="Times New Roman" w:cs="Times New Roman"/>
          <w:color w:val="auto"/>
          <w:sz w:val="20"/>
          <w:szCs w:val="20"/>
          <w:lang w:val="en-GB"/>
        </w:rPr>
        <w:t>% thought they were</w:t>
      </w:r>
      <w:r w:rsidR="00571BCE">
        <w:rPr>
          <w:rFonts w:ascii="Times New Roman" w:eastAsia="Cambria" w:hAnsi="Times New Roman" w:cs="Times New Roman"/>
          <w:color w:val="auto"/>
          <w:sz w:val="20"/>
          <w:szCs w:val="20"/>
          <w:lang w:val="en-GB"/>
        </w:rPr>
        <w:t xml:space="preserve"> a</w:t>
      </w:r>
      <w:r w:rsidRPr="00D76895">
        <w:rPr>
          <w:rFonts w:ascii="Times New Roman" w:eastAsia="Cambria" w:hAnsi="Times New Roman" w:cs="Times New Roman"/>
          <w:color w:val="auto"/>
          <w:sz w:val="20"/>
          <w:szCs w:val="20"/>
          <w:lang w:val="en-GB"/>
        </w:rPr>
        <w:t xml:space="preserve"> new </w:t>
      </w:r>
      <w:r w:rsidR="00D411B4" w:rsidRPr="00D76895">
        <w:rPr>
          <w:rFonts w:ascii="Times New Roman" w:eastAsia="Cambria" w:hAnsi="Times New Roman" w:cs="Times New Roman"/>
          <w:color w:val="auto"/>
          <w:sz w:val="20"/>
          <w:szCs w:val="20"/>
          <w:lang w:val="en-GB"/>
        </w:rPr>
        <w:t>brand of a biological medicine</w:t>
      </w:r>
      <w:r w:rsidRPr="00D76895">
        <w:rPr>
          <w:rFonts w:ascii="Times New Roman" w:eastAsia="Cambria" w:hAnsi="Times New Roman" w:cs="Times New Roman"/>
          <w:color w:val="auto"/>
          <w:sz w:val="20"/>
          <w:szCs w:val="20"/>
          <w:lang w:val="en-GB"/>
        </w:rPr>
        <w:t xml:space="preserve"> (Table 2).</w:t>
      </w:r>
      <w:r w:rsidR="00E16B52">
        <w:rPr>
          <w:rFonts w:ascii="Times New Roman" w:eastAsia="Cambria" w:hAnsi="Times New Roman" w:cs="Times New Roman"/>
          <w:color w:val="auto"/>
          <w:sz w:val="20"/>
          <w:szCs w:val="20"/>
          <w:lang w:val="en-GB"/>
        </w:rPr>
        <w:t xml:space="preserve"> </w:t>
      </w:r>
    </w:p>
    <w:p w:rsidR="00A34074" w:rsidRPr="00D76895" w:rsidRDefault="00A34074" w:rsidP="001159E2">
      <w:pPr>
        <w:pStyle w:val="Normal1"/>
        <w:spacing w:after="0" w:line="240" w:lineRule="auto"/>
        <w:jc w:val="both"/>
        <w:rPr>
          <w:rFonts w:ascii="Times New Roman" w:eastAsia="Cambria" w:hAnsi="Times New Roman" w:cs="Times New Roman"/>
          <w:color w:val="auto"/>
          <w:sz w:val="20"/>
          <w:szCs w:val="20"/>
          <w:lang w:val="en-GB"/>
        </w:rPr>
      </w:pPr>
    </w:p>
    <w:p w:rsidR="00A3535B" w:rsidRDefault="00A3535B" w:rsidP="00A3535B">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w:t>
      </w:r>
      <w:r w:rsidRPr="002B5673">
        <w:t>Participants</w:t>
      </w:r>
      <w:r w:rsidRPr="002B5673">
        <w:t>’</w:t>
      </w:r>
      <w:r w:rsidRPr="002B5673">
        <w:t xml:space="preserve"> knowledge and awareness</w:t>
      </w:r>
    </w:p>
    <w:tbl>
      <w:tblPr>
        <w:tblStyle w:val="TableGrid"/>
        <w:tblW w:w="9014" w:type="dxa"/>
        <w:tblLayout w:type="fixed"/>
        <w:tblLook w:val="04A0" w:firstRow="1" w:lastRow="0" w:firstColumn="1" w:lastColumn="0" w:noHBand="0" w:noVBand="1"/>
      </w:tblPr>
      <w:tblGrid>
        <w:gridCol w:w="2268"/>
        <w:gridCol w:w="4140"/>
        <w:gridCol w:w="1417"/>
        <w:gridCol w:w="1189"/>
      </w:tblGrid>
      <w:tr w:rsidR="00D76895" w:rsidRPr="00D76895" w:rsidTr="00EF3E70">
        <w:trPr>
          <w:trHeight w:val="222"/>
        </w:trPr>
        <w:tc>
          <w:tcPr>
            <w:tcW w:w="2268" w:type="dxa"/>
          </w:tcPr>
          <w:p w:rsidR="005F42AE" w:rsidRPr="00D76895" w:rsidRDefault="005F42AE" w:rsidP="001159E2">
            <w:pPr>
              <w:pStyle w:val="Normal1"/>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t>Question</w:t>
            </w:r>
          </w:p>
        </w:tc>
        <w:tc>
          <w:tcPr>
            <w:tcW w:w="4140" w:type="dxa"/>
          </w:tcPr>
          <w:p w:rsidR="005F42AE" w:rsidRPr="00D76895" w:rsidRDefault="005F42AE" w:rsidP="001159E2">
            <w:pPr>
              <w:pStyle w:val="Body"/>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t>Answer</w:t>
            </w:r>
          </w:p>
        </w:tc>
        <w:tc>
          <w:tcPr>
            <w:tcW w:w="1417" w:type="dxa"/>
          </w:tcPr>
          <w:p w:rsidR="005F42AE" w:rsidRPr="00D76895" w:rsidRDefault="0088646E" w:rsidP="001159E2">
            <w:pPr>
              <w:pStyle w:val="Body"/>
              <w:jc w:val="both"/>
              <w:rPr>
                <w:rFonts w:asciiTheme="minorBidi" w:eastAsia="Cambria" w:hAnsiTheme="minorBidi" w:cstheme="minorBidi"/>
                <w:color w:val="auto"/>
                <w:sz w:val="18"/>
                <w:szCs w:val="18"/>
                <w:lang w:val="en-GB"/>
              </w:rPr>
            </w:pPr>
            <w:r w:rsidRPr="00D76895">
              <w:rPr>
                <w:rFonts w:asciiTheme="minorBidi" w:eastAsia="Cambria" w:hAnsiTheme="minorBidi" w:cstheme="minorBidi"/>
                <w:color w:val="auto"/>
                <w:sz w:val="18"/>
                <w:szCs w:val="18"/>
                <w:lang w:val="en-GB"/>
              </w:rPr>
              <w:t xml:space="preserve">Participants </w:t>
            </w:r>
            <w:r w:rsidR="00BF3D2D" w:rsidRPr="00D76895">
              <w:rPr>
                <w:rFonts w:asciiTheme="minorBidi" w:eastAsia="Cambria" w:hAnsiTheme="minorBidi" w:cstheme="minorBidi"/>
                <w:color w:val="auto"/>
                <w:sz w:val="18"/>
                <w:szCs w:val="18"/>
                <w:lang w:val="en-GB"/>
              </w:rPr>
              <w:t>on o</w:t>
            </w:r>
            <w:r w:rsidR="00856A7E" w:rsidRPr="00D76895">
              <w:rPr>
                <w:rFonts w:asciiTheme="minorBidi" w:eastAsia="Cambria" w:hAnsiTheme="minorBidi" w:cstheme="minorBidi"/>
                <w:color w:val="auto"/>
                <w:sz w:val="18"/>
                <w:szCs w:val="18"/>
                <w:lang w:val="en-GB"/>
              </w:rPr>
              <w:t>riginator</w:t>
            </w:r>
            <w:r w:rsidR="00EF3E70">
              <w:rPr>
                <w:rFonts w:asciiTheme="minorBidi" w:eastAsia="Cambria" w:hAnsiTheme="minorBidi" w:cstheme="minorBidi"/>
                <w:color w:val="auto"/>
                <w:sz w:val="18"/>
                <w:szCs w:val="18"/>
                <w:lang w:val="en-GB"/>
              </w:rPr>
              <w:t xml:space="preserve"> biologic</w:t>
            </w:r>
          </w:p>
        </w:tc>
        <w:tc>
          <w:tcPr>
            <w:tcW w:w="1189" w:type="dxa"/>
          </w:tcPr>
          <w:p w:rsidR="005F42AE" w:rsidRPr="00D76895" w:rsidRDefault="0088646E" w:rsidP="001159E2">
            <w:pPr>
              <w:pStyle w:val="Body"/>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t xml:space="preserve">Participants </w:t>
            </w:r>
            <w:r w:rsidR="00BF3D2D" w:rsidRPr="00D76895">
              <w:rPr>
                <w:rFonts w:asciiTheme="minorBidi" w:eastAsia="Cambria" w:hAnsiTheme="minorBidi" w:cstheme="minorBidi"/>
                <w:color w:val="auto"/>
                <w:sz w:val="18"/>
                <w:szCs w:val="18"/>
                <w:lang w:val="en-GB"/>
              </w:rPr>
              <w:t>on</w:t>
            </w:r>
            <w:r w:rsidR="00BF3D2D" w:rsidRPr="00D76895">
              <w:rPr>
                <w:rFonts w:asciiTheme="minorBidi" w:hAnsiTheme="minorBidi" w:cstheme="minorBidi"/>
                <w:color w:val="auto"/>
                <w:sz w:val="18"/>
                <w:szCs w:val="18"/>
                <w:lang w:val="en-GB"/>
              </w:rPr>
              <w:t xml:space="preserve"> b</w:t>
            </w:r>
            <w:r w:rsidR="008F42AE">
              <w:rPr>
                <w:rFonts w:asciiTheme="minorBidi" w:hAnsiTheme="minorBidi" w:cstheme="minorBidi"/>
                <w:color w:val="auto"/>
                <w:sz w:val="18"/>
                <w:szCs w:val="18"/>
                <w:lang w:val="en-GB"/>
              </w:rPr>
              <w:t>iosimilars</w:t>
            </w:r>
          </w:p>
        </w:tc>
      </w:tr>
      <w:tr w:rsidR="00D76895" w:rsidRPr="00D76895" w:rsidTr="00EF3E70">
        <w:trPr>
          <w:trHeight w:val="222"/>
        </w:trPr>
        <w:tc>
          <w:tcPr>
            <w:tcW w:w="2268" w:type="dxa"/>
            <w:vMerge w:val="restart"/>
          </w:tcPr>
          <w:p w:rsidR="005F42AE" w:rsidRPr="00D76895" w:rsidRDefault="006F0788" w:rsidP="001159E2">
            <w:pPr>
              <w:pStyle w:val="Normal1"/>
              <w:jc w:val="both"/>
              <w:rPr>
                <w:rFonts w:asciiTheme="minorBidi" w:eastAsia="Cambria" w:hAnsiTheme="minorBidi" w:cstheme="minorBidi"/>
                <w:color w:val="auto"/>
                <w:sz w:val="18"/>
                <w:szCs w:val="18"/>
                <w:lang w:val="en-GB"/>
              </w:rPr>
            </w:pPr>
            <w:r w:rsidRPr="00D76895">
              <w:rPr>
                <w:rFonts w:asciiTheme="minorBidi" w:eastAsia="Cambria" w:hAnsiTheme="minorBidi" w:cstheme="minorBidi"/>
                <w:color w:val="auto"/>
                <w:sz w:val="18"/>
                <w:szCs w:val="18"/>
                <w:lang w:val="en-GB"/>
              </w:rPr>
              <w:t>Did you know that etanercept or infliximab is a biological medicine?</w:t>
            </w:r>
          </w:p>
        </w:tc>
        <w:tc>
          <w:tcPr>
            <w:tcW w:w="4140" w:type="dxa"/>
          </w:tcPr>
          <w:p w:rsidR="005F42AE" w:rsidRPr="00D76895" w:rsidRDefault="005F42AE" w:rsidP="001159E2">
            <w:pPr>
              <w:pStyle w:val="Body"/>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t>Yes</w:t>
            </w:r>
          </w:p>
        </w:tc>
        <w:tc>
          <w:tcPr>
            <w:tcW w:w="1417" w:type="dxa"/>
          </w:tcPr>
          <w:p w:rsidR="005F42AE" w:rsidRPr="00D76895" w:rsidRDefault="000702EC" w:rsidP="001159E2">
            <w:pPr>
              <w:pStyle w:val="Body"/>
              <w:jc w:val="both"/>
              <w:rPr>
                <w:rFonts w:asciiTheme="minorBidi" w:hAnsiTheme="minorBidi" w:cstheme="minorBidi"/>
                <w:color w:val="auto"/>
                <w:sz w:val="18"/>
                <w:szCs w:val="18"/>
                <w:lang w:val="en-GB"/>
              </w:rPr>
            </w:pPr>
            <w:r w:rsidRPr="00D76895">
              <w:rPr>
                <w:rFonts w:asciiTheme="minorBidi" w:hAnsiTheme="minorBidi" w:cstheme="minorBidi"/>
                <w:color w:val="auto"/>
                <w:sz w:val="18"/>
                <w:szCs w:val="18"/>
                <w:lang w:val="en-GB"/>
              </w:rPr>
              <w:t>116 (100%)</w:t>
            </w:r>
          </w:p>
        </w:tc>
        <w:tc>
          <w:tcPr>
            <w:tcW w:w="1189" w:type="dxa"/>
          </w:tcPr>
          <w:p w:rsidR="005F42AE" w:rsidRPr="00D76895" w:rsidRDefault="000702EC" w:rsidP="001159E2">
            <w:pPr>
              <w:pStyle w:val="Body"/>
              <w:jc w:val="both"/>
              <w:rPr>
                <w:rFonts w:asciiTheme="minorBidi" w:hAnsiTheme="minorBidi" w:cstheme="minorBidi"/>
                <w:color w:val="auto"/>
                <w:sz w:val="18"/>
                <w:szCs w:val="18"/>
                <w:lang w:val="en-GB"/>
              </w:rPr>
            </w:pPr>
            <w:r w:rsidRPr="00D76895">
              <w:rPr>
                <w:rFonts w:asciiTheme="minorBidi" w:hAnsiTheme="minorBidi" w:cstheme="minorBidi"/>
                <w:color w:val="auto"/>
                <w:sz w:val="18"/>
                <w:szCs w:val="18"/>
                <w:lang w:val="en-GB"/>
              </w:rPr>
              <w:t>66 (100%)</w:t>
            </w:r>
          </w:p>
        </w:tc>
      </w:tr>
      <w:tr w:rsidR="00D76895" w:rsidRPr="00D76895" w:rsidTr="00EF3E70">
        <w:trPr>
          <w:trHeight w:val="222"/>
        </w:trPr>
        <w:tc>
          <w:tcPr>
            <w:tcW w:w="2268" w:type="dxa"/>
            <w:vMerge/>
          </w:tcPr>
          <w:p w:rsidR="005F42AE" w:rsidRPr="00D76895" w:rsidRDefault="005F42AE" w:rsidP="001159E2">
            <w:pPr>
              <w:pStyle w:val="Normal1"/>
              <w:jc w:val="both"/>
              <w:rPr>
                <w:rFonts w:asciiTheme="minorBidi" w:eastAsia="Cambria" w:hAnsiTheme="minorBidi" w:cstheme="minorBidi"/>
                <w:color w:val="auto"/>
                <w:sz w:val="18"/>
                <w:szCs w:val="18"/>
                <w:lang w:val="en-GB"/>
              </w:rPr>
            </w:pPr>
          </w:p>
        </w:tc>
        <w:tc>
          <w:tcPr>
            <w:tcW w:w="4140" w:type="dxa"/>
          </w:tcPr>
          <w:p w:rsidR="005F42AE" w:rsidRPr="00D76895" w:rsidRDefault="005F42AE" w:rsidP="001159E2">
            <w:pPr>
              <w:pStyle w:val="Body"/>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t>No</w:t>
            </w:r>
          </w:p>
        </w:tc>
        <w:tc>
          <w:tcPr>
            <w:tcW w:w="1417" w:type="dxa"/>
          </w:tcPr>
          <w:p w:rsidR="005F42AE" w:rsidRPr="00D76895" w:rsidRDefault="000702EC" w:rsidP="001159E2">
            <w:pPr>
              <w:pStyle w:val="Body"/>
              <w:jc w:val="both"/>
              <w:rPr>
                <w:rFonts w:asciiTheme="minorBidi" w:hAnsiTheme="minorBidi" w:cstheme="minorBidi"/>
                <w:color w:val="auto"/>
                <w:sz w:val="18"/>
                <w:szCs w:val="18"/>
                <w:lang w:val="en-GB"/>
              </w:rPr>
            </w:pPr>
            <w:r w:rsidRPr="00D76895">
              <w:rPr>
                <w:rFonts w:asciiTheme="minorBidi" w:hAnsiTheme="minorBidi" w:cstheme="minorBidi"/>
                <w:color w:val="auto"/>
                <w:sz w:val="18"/>
                <w:szCs w:val="18"/>
                <w:lang w:val="en-GB"/>
              </w:rPr>
              <w:t>0 (0%)</w:t>
            </w:r>
          </w:p>
        </w:tc>
        <w:tc>
          <w:tcPr>
            <w:tcW w:w="1189" w:type="dxa"/>
          </w:tcPr>
          <w:p w:rsidR="005F42AE" w:rsidRPr="00D76895" w:rsidRDefault="000702EC" w:rsidP="001159E2">
            <w:pPr>
              <w:pStyle w:val="Body"/>
              <w:jc w:val="both"/>
              <w:rPr>
                <w:rFonts w:asciiTheme="minorBidi" w:hAnsiTheme="minorBidi" w:cstheme="minorBidi"/>
                <w:color w:val="auto"/>
                <w:sz w:val="18"/>
                <w:szCs w:val="18"/>
                <w:lang w:val="en-GB"/>
              </w:rPr>
            </w:pPr>
            <w:r w:rsidRPr="00D76895">
              <w:rPr>
                <w:rFonts w:asciiTheme="minorBidi" w:hAnsiTheme="minorBidi" w:cstheme="minorBidi"/>
                <w:color w:val="auto"/>
                <w:sz w:val="18"/>
                <w:szCs w:val="18"/>
                <w:lang w:val="en-GB"/>
              </w:rPr>
              <w:t>0 (0%)</w:t>
            </w:r>
          </w:p>
        </w:tc>
      </w:tr>
      <w:tr w:rsidR="00D76895" w:rsidRPr="00D76895" w:rsidTr="00EF3E70">
        <w:trPr>
          <w:trHeight w:val="222"/>
        </w:trPr>
        <w:tc>
          <w:tcPr>
            <w:tcW w:w="2268" w:type="dxa"/>
            <w:vMerge w:val="restart"/>
          </w:tcPr>
          <w:p w:rsidR="005F42AE" w:rsidRPr="00D76895" w:rsidRDefault="006F0788" w:rsidP="001159E2">
            <w:pPr>
              <w:pStyle w:val="Normal1"/>
              <w:jc w:val="both"/>
              <w:rPr>
                <w:rFonts w:asciiTheme="minorBidi" w:eastAsia="Cambria" w:hAnsiTheme="minorBidi" w:cstheme="minorBidi"/>
                <w:color w:val="auto"/>
                <w:sz w:val="18"/>
                <w:szCs w:val="18"/>
                <w:lang w:val="en-GB"/>
              </w:rPr>
            </w:pPr>
            <w:r w:rsidRPr="00D76895">
              <w:rPr>
                <w:rFonts w:asciiTheme="minorBidi" w:eastAsia="Cambria" w:hAnsiTheme="minorBidi" w:cstheme="minorBidi"/>
                <w:color w:val="auto"/>
                <w:sz w:val="18"/>
                <w:szCs w:val="18"/>
                <w:lang w:val="en-GB"/>
              </w:rPr>
              <w:t>Did you know there is a biosimilar etanercept or infliximab?</w:t>
            </w:r>
          </w:p>
        </w:tc>
        <w:tc>
          <w:tcPr>
            <w:tcW w:w="4140" w:type="dxa"/>
          </w:tcPr>
          <w:p w:rsidR="005F42AE" w:rsidRPr="00D76895" w:rsidRDefault="005F42AE" w:rsidP="001159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Bidi" w:eastAsia="Cambria" w:hAnsiTheme="minorBidi" w:cstheme="minorBidi"/>
                <w:color w:val="auto"/>
                <w:sz w:val="18"/>
                <w:szCs w:val="18"/>
                <w:lang w:val="en-GB"/>
              </w:rPr>
            </w:pPr>
            <w:r w:rsidRPr="00D76895">
              <w:rPr>
                <w:rFonts w:asciiTheme="minorBidi" w:eastAsia="Cambria" w:hAnsiTheme="minorBidi" w:cstheme="minorBidi"/>
                <w:color w:val="auto"/>
                <w:sz w:val="18"/>
                <w:szCs w:val="18"/>
                <w:lang w:val="en-GB"/>
              </w:rPr>
              <w:t>Yes</w:t>
            </w:r>
          </w:p>
        </w:tc>
        <w:tc>
          <w:tcPr>
            <w:tcW w:w="1417" w:type="dxa"/>
          </w:tcPr>
          <w:p w:rsidR="005F42AE" w:rsidRPr="00D76895" w:rsidRDefault="000702EC" w:rsidP="001159E2">
            <w:pPr>
              <w:pStyle w:val="Body"/>
              <w:jc w:val="both"/>
              <w:rPr>
                <w:rFonts w:asciiTheme="minorBidi" w:hAnsiTheme="minorBidi" w:cstheme="minorBidi"/>
                <w:color w:val="auto"/>
                <w:sz w:val="18"/>
                <w:szCs w:val="18"/>
                <w:lang w:val="en-GB"/>
              </w:rPr>
            </w:pPr>
            <w:r w:rsidRPr="00D76895">
              <w:rPr>
                <w:rFonts w:asciiTheme="minorBidi" w:hAnsiTheme="minorBidi" w:cstheme="minorBidi"/>
                <w:color w:val="auto"/>
                <w:sz w:val="18"/>
                <w:szCs w:val="18"/>
                <w:lang w:val="en-GB"/>
              </w:rPr>
              <w:t>70 (60%)</w:t>
            </w:r>
          </w:p>
        </w:tc>
        <w:tc>
          <w:tcPr>
            <w:tcW w:w="1189" w:type="dxa"/>
          </w:tcPr>
          <w:p w:rsidR="005F42AE" w:rsidRPr="00D76895" w:rsidRDefault="000702EC" w:rsidP="001159E2">
            <w:pPr>
              <w:pStyle w:val="Body"/>
              <w:jc w:val="both"/>
              <w:rPr>
                <w:rFonts w:asciiTheme="minorBidi" w:hAnsiTheme="minorBidi" w:cstheme="minorBidi"/>
                <w:color w:val="auto"/>
                <w:sz w:val="18"/>
                <w:szCs w:val="18"/>
                <w:lang w:val="en-GB"/>
              </w:rPr>
            </w:pPr>
            <w:r w:rsidRPr="00D76895">
              <w:rPr>
                <w:rFonts w:asciiTheme="minorBidi" w:hAnsiTheme="minorBidi" w:cstheme="minorBidi"/>
                <w:color w:val="auto"/>
                <w:sz w:val="18"/>
                <w:szCs w:val="18"/>
                <w:lang w:val="en-GB"/>
              </w:rPr>
              <w:t>55 (83%)</w:t>
            </w:r>
          </w:p>
        </w:tc>
      </w:tr>
      <w:tr w:rsidR="00D76895" w:rsidRPr="00D76895" w:rsidTr="00EF3E70">
        <w:trPr>
          <w:trHeight w:val="222"/>
        </w:trPr>
        <w:tc>
          <w:tcPr>
            <w:tcW w:w="2268" w:type="dxa"/>
            <w:vMerge/>
          </w:tcPr>
          <w:p w:rsidR="005F42AE" w:rsidRPr="00D76895" w:rsidRDefault="005F42AE" w:rsidP="001159E2">
            <w:pPr>
              <w:pStyle w:val="Normal1"/>
              <w:jc w:val="both"/>
              <w:rPr>
                <w:rFonts w:asciiTheme="minorBidi" w:eastAsia="Cambria" w:hAnsiTheme="minorBidi" w:cstheme="minorBidi"/>
                <w:color w:val="auto"/>
                <w:sz w:val="18"/>
                <w:szCs w:val="18"/>
                <w:lang w:val="en-GB"/>
              </w:rPr>
            </w:pPr>
          </w:p>
        </w:tc>
        <w:tc>
          <w:tcPr>
            <w:tcW w:w="4140" w:type="dxa"/>
          </w:tcPr>
          <w:p w:rsidR="005F42AE" w:rsidRPr="00D76895" w:rsidRDefault="005F42AE" w:rsidP="001159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Bidi" w:eastAsia="Cambria" w:hAnsiTheme="minorBidi" w:cstheme="minorBidi"/>
                <w:color w:val="auto"/>
                <w:sz w:val="18"/>
                <w:szCs w:val="18"/>
                <w:lang w:val="en-GB"/>
              </w:rPr>
            </w:pPr>
            <w:r w:rsidRPr="00D76895">
              <w:rPr>
                <w:rFonts w:asciiTheme="minorBidi" w:eastAsia="Cambria" w:hAnsiTheme="minorBidi" w:cstheme="minorBidi"/>
                <w:color w:val="auto"/>
                <w:sz w:val="18"/>
                <w:szCs w:val="18"/>
                <w:lang w:val="en-GB"/>
              </w:rPr>
              <w:t>No</w:t>
            </w:r>
          </w:p>
        </w:tc>
        <w:tc>
          <w:tcPr>
            <w:tcW w:w="1417" w:type="dxa"/>
          </w:tcPr>
          <w:p w:rsidR="005F42AE" w:rsidRPr="00D76895" w:rsidRDefault="000702EC" w:rsidP="001159E2">
            <w:pPr>
              <w:pStyle w:val="Body"/>
              <w:jc w:val="both"/>
              <w:rPr>
                <w:rFonts w:asciiTheme="minorBidi" w:hAnsiTheme="minorBidi" w:cstheme="minorBidi"/>
                <w:color w:val="auto"/>
                <w:sz w:val="18"/>
                <w:szCs w:val="18"/>
                <w:lang w:val="en-GB"/>
              </w:rPr>
            </w:pPr>
            <w:r w:rsidRPr="00D76895">
              <w:rPr>
                <w:rFonts w:asciiTheme="minorBidi" w:hAnsiTheme="minorBidi" w:cstheme="minorBidi"/>
                <w:color w:val="auto"/>
                <w:sz w:val="18"/>
                <w:szCs w:val="18"/>
                <w:lang w:val="en-GB"/>
              </w:rPr>
              <w:t>46 (40%)</w:t>
            </w:r>
          </w:p>
        </w:tc>
        <w:tc>
          <w:tcPr>
            <w:tcW w:w="1189" w:type="dxa"/>
          </w:tcPr>
          <w:p w:rsidR="005F42AE" w:rsidRPr="00D76895" w:rsidRDefault="000702EC" w:rsidP="001159E2">
            <w:pPr>
              <w:pStyle w:val="Body"/>
              <w:jc w:val="both"/>
              <w:rPr>
                <w:rFonts w:asciiTheme="minorBidi" w:hAnsiTheme="minorBidi" w:cstheme="minorBidi"/>
                <w:color w:val="auto"/>
                <w:sz w:val="18"/>
                <w:szCs w:val="18"/>
                <w:lang w:val="en-GB"/>
              </w:rPr>
            </w:pPr>
            <w:r w:rsidRPr="00D76895">
              <w:rPr>
                <w:rFonts w:asciiTheme="minorBidi" w:hAnsiTheme="minorBidi" w:cstheme="minorBidi"/>
                <w:color w:val="auto"/>
                <w:sz w:val="18"/>
                <w:szCs w:val="18"/>
                <w:lang w:val="en-GB"/>
              </w:rPr>
              <w:t>11 (17%)</w:t>
            </w:r>
          </w:p>
        </w:tc>
      </w:tr>
      <w:tr w:rsidR="00D76895" w:rsidRPr="00D76895" w:rsidTr="00EF3E70">
        <w:trPr>
          <w:trHeight w:val="222"/>
        </w:trPr>
        <w:tc>
          <w:tcPr>
            <w:tcW w:w="2268" w:type="dxa"/>
            <w:vMerge w:val="restart"/>
          </w:tcPr>
          <w:p w:rsidR="00856A7E" w:rsidRPr="00D76895" w:rsidRDefault="00856A7E" w:rsidP="001159E2">
            <w:pPr>
              <w:pStyle w:val="Normal1"/>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t xml:space="preserve">What do you think </w:t>
            </w:r>
            <w:r w:rsidRPr="00D76895">
              <w:rPr>
                <w:rFonts w:asciiTheme="minorBidi" w:eastAsia="Cambria" w:hAnsiTheme="minorBidi" w:cstheme="minorBidi"/>
                <w:color w:val="auto"/>
                <w:sz w:val="18"/>
                <w:szCs w:val="18"/>
                <w:lang w:val="en-GB"/>
              </w:rPr>
              <w:lastRenderedPageBreak/>
              <w:t>biosimilar is?</w:t>
            </w:r>
          </w:p>
        </w:tc>
        <w:tc>
          <w:tcPr>
            <w:tcW w:w="4140" w:type="dxa"/>
          </w:tcPr>
          <w:p w:rsidR="00856A7E" w:rsidRPr="00D76895" w:rsidRDefault="00856A7E" w:rsidP="001159E2">
            <w:pPr>
              <w:pStyle w:val="Body"/>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lastRenderedPageBreak/>
              <w:t>A new brand of a biological medicine</w:t>
            </w:r>
          </w:p>
        </w:tc>
        <w:tc>
          <w:tcPr>
            <w:tcW w:w="1417" w:type="dxa"/>
            <w:vAlign w:val="center"/>
          </w:tcPr>
          <w:p w:rsidR="00856A7E" w:rsidRPr="00D76895" w:rsidRDefault="00856A7E" w:rsidP="001159E2">
            <w:pPr>
              <w:jc w:val="both"/>
              <w:rPr>
                <w:rFonts w:asciiTheme="minorBidi" w:hAnsiTheme="minorBidi" w:cstheme="minorBidi"/>
                <w:sz w:val="18"/>
                <w:szCs w:val="18"/>
              </w:rPr>
            </w:pPr>
            <w:r w:rsidRPr="00D76895">
              <w:rPr>
                <w:rFonts w:asciiTheme="minorBidi" w:hAnsiTheme="minorBidi" w:cstheme="minorBidi"/>
                <w:sz w:val="18"/>
                <w:szCs w:val="18"/>
              </w:rPr>
              <w:t>15 (13%)</w:t>
            </w:r>
          </w:p>
        </w:tc>
        <w:tc>
          <w:tcPr>
            <w:tcW w:w="1189" w:type="dxa"/>
            <w:vAlign w:val="center"/>
          </w:tcPr>
          <w:p w:rsidR="00856A7E" w:rsidRPr="00D76895" w:rsidRDefault="00856A7E" w:rsidP="001159E2">
            <w:pPr>
              <w:jc w:val="both"/>
              <w:rPr>
                <w:rFonts w:asciiTheme="minorBidi" w:hAnsiTheme="minorBidi" w:cstheme="minorBidi"/>
                <w:sz w:val="18"/>
                <w:szCs w:val="18"/>
              </w:rPr>
            </w:pPr>
            <w:r w:rsidRPr="00D76895">
              <w:rPr>
                <w:rFonts w:asciiTheme="minorBidi" w:hAnsiTheme="minorBidi" w:cstheme="minorBidi"/>
                <w:sz w:val="18"/>
                <w:szCs w:val="18"/>
              </w:rPr>
              <w:t>3 (5%)</w:t>
            </w:r>
          </w:p>
        </w:tc>
      </w:tr>
      <w:tr w:rsidR="00D76895" w:rsidRPr="00D76895" w:rsidTr="00EF3E70">
        <w:trPr>
          <w:trHeight w:val="222"/>
        </w:trPr>
        <w:tc>
          <w:tcPr>
            <w:tcW w:w="2268" w:type="dxa"/>
            <w:vMerge/>
          </w:tcPr>
          <w:p w:rsidR="00856A7E" w:rsidRPr="00D76895" w:rsidRDefault="00856A7E" w:rsidP="001159E2">
            <w:pPr>
              <w:jc w:val="both"/>
              <w:rPr>
                <w:rFonts w:asciiTheme="minorBidi" w:hAnsiTheme="minorBidi" w:cstheme="minorBidi"/>
                <w:sz w:val="18"/>
                <w:szCs w:val="18"/>
              </w:rPr>
            </w:pPr>
          </w:p>
        </w:tc>
        <w:tc>
          <w:tcPr>
            <w:tcW w:w="4140" w:type="dxa"/>
          </w:tcPr>
          <w:p w:rsidR="00856A7E" w:rsidRPr="00D76895" w:rsidRDefault="00856A7E" w:rsidP="001159E2">
            <w:pPr>
              <w:pStyle w:val="Body"/>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t>An identical copy of a biological medicine</w:t>
            </w:r>
          </w:p>
        </w:tc>
        <w:tc>
          <w:tcPr>
            <w:tcW w:w="1417" w:type="dxa"/>
            <w:vAlign w:val="center"/>
          </w:tcPr>
          <w:p w:rsidR="00856A7E" w:rsidRPr="00D76895" w:rsidRDefault="00856A7E" w:rsidP="001159E2">
            <w:pPr>
              <w:jc w:val="both"/>
              <w:rPr>
                <w:rFonts w:asciiTheme="minorBidi" w:hAnsiTheme="minorBidi" w:cstheme="minorBidi"/>
                <w:sz w:val="18"/>
                <w:szCs w:val="18"/>
              </w:rPr>
            </w:pPr>
            <w:r w:rsidRPr="00D76895">
              <w:rPr>
                <w:rFonts w:asciiTheme="minorBidi" w:hAnsiTheme="minorBidi" w:cstheme="minorBidi"/>
                <w:sz w:val="18"/>
                <w:szCs w:val="18"/>
              </w:rPr>
              <w:t>25 (21%)</w:t>
            </w:r>
          </w:p>
        </w:tc>
        <w:tc>
          <w:tcPr>
            <w:tcW w:w="1189" w:type="dxa"/>
            <w:vAlign w:val="center"/>
          </w:tcPr>
          <w:p w:rsidR="00856A7E" w:rsidRPr="00D76895" w:rsidRDefault="00856A7E" w:rsidP="001159E2">
            <w:pPr>
              <w:jc w:val="both"/>
              <w:rPr>
                <w:rFonts w:asciiTheme="minorBidi" w:hAnsiTheme="minorBidi" w:cstheme="minorBidi"/>
                <w:sz w:val="18"/>
                <w:szCs w:val="18"/>
              </w:rPr>
            </w:pPr>
            <w:r w:rsidRPr="00D76895">
              <w:rPr>
                <w:rFonts w:asciiTheme="minorBidi" w:hAnsiTheme="minorBidi" w:cstheme="minorBidi"/>
                <w:sz w:val="18"/>
                <w:szCs w:val="18"/>
              </w:rPr>
              <w:t>10 (15%)</w:t>
            </w:r>
          </w:p>
        </w:tc>
      </w:tr>
      <w:tr w:rsidR="00EF3E70" w:rsidRPr="00D76895" w:rsidTr="00EF3E70">
        <w:trPr>
          <w:trHeight w:val="377"/>
        </w:trPr>
        <w:tc>
          <w:tcPr>
            <w:tcW w:w="2268" w:type="dxa"/>
            <w:vMerge/>
          </w:tcPr>
          <w:p w:rsidR="00856A7E" w:rsidRPr="00D76895" w:rsidRDefault="00856A7E" w:rsidP="001159E2">
            <w:pPr>
              <w:jc w:val="both"/>
              <w:rPr>
                <w:rFonts w:asciiTheme="minorBidi" w:hAnsiTheme="minorBidi" w:cstheme="minorBidi"/>
                <w:sz w:val="18"/>
                <w:szCs w:val="18"/>
              </w:rPr>
            </w:pPr>
          </w:p>
        </w:tc>
        <w:tc>
          <w:tcPr>
            <w:tcW w:w="4140" w:type="dxa"/>
          </w:tcPr>
          <w:p w:rsidR="00856A7E" w:rsidRPr="00D76895" w:rsidRDefault="00856A7E" w:rsidP="001159E2">
            <w:pPr>
              <w:pStyle w:val="Body"/>
              <w:jc w:val="both"/>
              <w:rPr>
                <w:rFonts w:asciiTheme="minorBidi" w:hAnsiTheme="minorBidi" w:cstheme="minorBidi"/>
                <w:color w:val="auto"/>
                <w:sz w:val="18"/>
                <w:szCs w:val="18"/>
                <w:lang w:val="en-GB"/>
              </w:rPr>
            </w:pPr>
            <w:r w:rsidRPr="00D76895">
              <w:rPr>
                <w:rFonts w:asciiTheme="minorBidi" w:eastAsia="Cambria" w:hAnsiTheme="minorBidi" w:cstheme="minorBidi"/>
                <w:color w:val="auto"/>
                <w:sz w:val="18"/>
                <w:szCs w:val="18"/>
                <w:lang w:val="en-GB"/>
              </w:rPr>
              <w:t>A similar but not identical copy of a biological medicine</w:t>
            </w:r>
          </w:p>
        </w:tc>
        <w:tc>
          <w:tcPr>
            <w:tcW w:w="1417" w:type="dxa"/>
            <w:vAlign w:val="center"/>
          </w:tcPr>
          <w:p w:rsidR="00856A7E" w:rsidRPr="00D76895" w:rsidRDefault="00856A7E" w:rsidP="001159E2">
            <w:pPr>
              <w:jc w:val="both"/>
              <w:rPr>
                <w:rFonts w:asciiTheme="minorBidi" w:hAnsiTheme="minorBidi" w:cstheme="minorBidi"/>
                <w:sz w:val="18"/>
                <w:szCs w:val="18"/>
              </w:rPr>
            </w:pPr>
            <w:r w:rsidRPr="00D76895">
              <w:rPr>
                <w:rFonts w:asciiTheme="minorBidi" w:hAnsiTheme="minorBidi" w:cstheme="minorBidi"/>
                <w:sz w:val="18"/>
                <w:szCs w:val="18"/>
              </w:rPr>
              <w:t>7</w:t>
            </w:r>
            <w:r w:rsidR="000702EC" w:rsidRPr="00D76895">
              <w:rPr>
                <w:rFonts w:asciiTheme="minorBidi" w:hAnsiTheme="minorBidi" w:cstheme="minorBidi"/>
                <w:sz w:val="18"/>
                <w:szCs w:val="18"/>
              </w:rPr>
              <w:t>6</w:t>
            </w:r>
            <w:r w:rsidRPr="00D76895">
              <w:rPr>
                <w:rFonts w:asciiTheme="minorBidi" w:hAnsiTheme="minorBidi" w:cstheme="minorBidi"/>
                <w:sz w:val="18"/>
                <w:szCs w:val="18"/>
              </w:rPr>
              <w:t xml:space="preserve"> (66%)</w:t>
            </w:r>
          </w:p>
        </w:tc>
        <w:tc>
          <w:tcPr>
            <w:tcW w:w="1189" w:type="dxa"/>
            <w:vAlign w:val="center"/>
          </w:tcPr>
          <w:p w:rsidR="00856A7E" w:rsidRPr="00D76895" w:rsidRDefault="00856A7E" w:rsidP="001159E2">
            <w:pPr>
              <w:jc w:val="both"/>
              <w:rPr>
                <w:rFonts w:asciiTheme="minorBidi" w:hAnsiTheme="minorBidi" w:cstheme="minorBidi"/>
                <w:sz w:val="18"/>
                <w:szCs w:val="18"/>
              </w:rPr>
            </w:pPr>
            <w:r w:rsidRPr="00D76895">
              <w:rPr>
                <w:rFonts w:asciiTheme="minorBidi" w:hAnsiTheme="minorBidi" w:cstheme="minorBidi"/>
                <w:sz w:val="18"/>
                <w:szCs w:val="18"/>
              </w:rPr>
              <w:t>5</w:t>
            </w:r>
            <w:r w:rsidR="000702EC" w:rsidRPr="00D76895">
              <w:rPr>
                <w:rFonts w:asciiTheme="minorBidi" w:hAnsiTheme="minorBidi" w:cstheme="minorBidi"/>
                <w:sz w:val="18"/>
                <w:szCs w:val="18"/>
              </w:rPr>
              <w:t>3</w:t>
            </w:r>
            <w:r w:rsidRPr="00D76895">
              <w:rPr>
                <w:rFonts w:asciiTheme="minorBidi" w:hAnsiTheme="minorBidi" w:cstheme="minorBidi"/>
                <w:sz w:val="18"/>
                <w:szCs w:val="18"/>
              </w:rPr>
              <w:t xml:space="preserve"> (80%)</w:t>
            </w:r>
          </w:p>
        </w:tc>
      </w:tr>
    </w:tbl>
    <w:p w:rsidR="00041FBD" w:rsidRPr="00D76895" w:rsidRDefault="00041FBD" w:rsidP="001159E2">
      <w:pPr>
        <w:jc w:val="both"/>
        <w:rPr>
          <w:rFonts w:asciiTheme="majorBidi" w:hAnsiTheme="majorBidi" w:cstheme="majorBidi"/>
          <w:sz w:val="20"/>
          <w:szCs w:val="20"/>
        </w:rPr>
      </w:pPr>
    </w:p>
    <w:p w:rsidR="0002004F" w:rsidRPr="00D76895" w:rsidRDefault="00DE2FED" w:rsidP="001159E2">
      <w:pPr>
        <w:pStyle w:val="ListParagraph"/>
        <w:numPr>
          <w:ilvl w:val="1"/>
          <w:numId w:val="9"/>
        </w:numPr>
        <w:jc w:val="both"/>
        <w:rPr>
          <w:rFonts w:asciiTheme="majorBidi" w:hAnsiTheme="majorBidi" w:cstheme="majorBidi"/>
          <w:sz w:val="20"/>
          <w:szCs w:val="20"/>
        </w:rPr>
      </w:pPr>
      <w:r w:rsidRPr="00D76895">
        <w:rPr>
          <w:rFonts w:asciiTheme="majorBidi" w:hAnsiTheme="majorBidi" w:cstheme="majorBidi"/>
          <w:sz w:val="20"/>
          <w:szCs w:val="20"/>
        </w:rPr>
        <w:t xml:space="preserve">Confidence in biosimilars and doctor’s decision </w:t>
      </w:r>
    </w:p>
    <w:p w:rsidR="00E547BC" w:rsidRPr="00D76895" w:rsidRDefault="00E5683E" w:rsidP="0077498B">
      <w:pPr>
        <w:jc w:val="both"/>
        <w:rPr>
          <w:rFonts w:asciiTheme="majorBidi" w:hAnsiTheme="majorBidi" w:cstheme="majorBidi"/>
          <w:sz w:val="20"/>
          <w:szCs w:val="20"/>
        </w:rPr>
      </w:pPr>
      <w:r w:rsidRPr="00D76895">
        <w:rPr>
          <w:rFonts w:asciiTheme="majorBidi" w:hAnsiTheme="majorBidi" w:cstheme="majorBidi"/>
          <w:sz w:val="20"/>
          <w:szCs w:val="20"/>
        </w:rPr>
        <w:t>Participants</w:t>
      </w:r>
      <w:r w:rsidR="00C3297D" w:rsidRPr="00D76895">
        <w:rPr>
          <w:rFonts w:asciiTheme="majorBidi" w:hAnsiTheme="majorBidi" w:cstheme="majorBidi"/>
          <w:sz w:val="20"/>
          <w:szCs w:val="20"/>
        </w:rPr>
        <w:t xml:space="preserve"> on biosimilars had greater </w:t>
      </w:r>
      <w:r w:rsidR="00DE2FED" w:rsidRPr="00D76895">
        <w:rPr>
          <w:rFonts w:asciiTheme="majorBidi" w:hAnsiTheme="majorBidi" w:cstheme="majorBidi"/>
          <w:sz w:val="20"/>
          <w:szCs w:val="20"/>
        </w:rPr>
        <w:t xml:space="preserve">confidence in biosimilars </w:t>
      </w:r>
      <w:r w:rsidR="00E547BC" w:rsidRPr="00D76895">
        <w:rPr>
          <w:rFonts w:asciiTheme="majorBidi" w:hAnsiTheme="majorBidi" w:cstheme="majorBidi"/>
          <w:sz w:val="20"/>
          <w:szCs w:val="20"/>
        </w:rPr>
        <w:t xml:space="preserve">to be as effective as </w:t>
      </w:r>
      <w:r w:rsidR="00C3297D" w:rsidRPr="00D76895">
        <w:rPr>
          <w:rFonts w:asciiTheme="majorBidi" w:hAnsiTheme="majorBidi" w:cstheme="majorBidi"/>
          <w:sz w:val="20"/>
          <w:szCs w:val="20"/>
        </w:rPr>
        <w:t xml:space="preserve">the </w:t>
      </w:r>
      <w:r w:rsidR="00E547BC" w:rsidRPr="00D76895">
        <w:rPr>
          <w:rFonts w:asciiTheme="majorBidi" w:hAnsiTheme="majorBidi" w:cstheme="majorBidi"/>
          <w:sz w:val="20"/>
          <w:szCs w:val="20"/>
        </w:rPr>
        <w:t xml:space="preserve">originator </w:t>
      </w:r>
      <w:r w:rsidR="00A92C61">
        <w:rPr>
          <w:rFonts w:asciiTheme="majorBidi" w:hAnsiTheme="majorBidi" w:cstheme="majorBidi"/>
          <w:sz w:val="20"/>
          <w:szCs w:val="20"/>
        </w:rPr>
        <w:t xml:space="preserve">biologics </w:t>
      </w:r>
      <w:r w:rsidR="00E547BC" w:rsidRPr="00D76895">
        <w:rPr>
          <w:rFonts w:asciiTheme="majorBidi" w:hAnsiTheme="majorBidi" w:cstheme="majorBidi"/>
          <w:sz w:val="20"/>
          <w:szCs w:val="20"/>
        </w:rPr>
        <w:t>and in</w:t>
      </w:r>
      <w:r w:rsidR="00DE2FED" w:rsidRPr="00D76895">
        <w:rPr>
          <w:rFonts w:asciiTheme="majorBidi" w:hAnsiTheme="majorBidi" w:cstheme="majorBidi"/>
          <w:sz w:val="20"/>
          <w:szCs w:val="20"/>
        </w:rPr>
        <w:t xml:space="preserve"> </w:t>
      </w:r>
      <w:r w:rsidR="00C3297D" w:rsidRPr="00D76895">
        <w:rPr>
          <w:rFonts w:asciiTheme="majorBidi" w:hAnsiTheme="majorBidi" w:cstheme="majorBidi"/>
          <w:sz w:val="20"/>
          <w:szCs w:val="20"/>
        </w:rPr>
        <w:t xml:space="preserve">their </w:t>
      </w:r>
      <w:r w:rsidR="00E547BC" w:rsidRPr="00D76895">
        <w:rPr>
          <w:rFonts w:asciiTheme="majorBidi" w:hAnsiTheme="majorBidi" w:cstheme="majorBidi"/>
          <w:sz w:val="20"/>
          <w:szCs w:val="20"/>
        </w:rPr>
        <w:t>doctor’s</w:t>
      </w:r>
      <w:r w:rsidR="00DE2FED" w:rsidRPr="00D76895">
        <w:rPr>
          <w:rFonts w:asciiTheme="majorBidi" w:hAnsiTheme="majorBidi" w:cstheme="majorBidi"/>
          <w:sz w:val="20"/>
          <w:szCs w:val="20"/>
        </w:rPr>
        <w:t xml:space="preserve"> decis</w:t>
      </w:r>
      <w:r w:rsidR="00E547BC" w:rsidRPr="00D76895">
        <w:rPr>
          <w:rFonts w:asciiTheme="majorBidi" w:hAnsiTheme="majorBidi" w:cstheme="majorBidi"/>
          <w:sz w:val="20"/>
          <w:szCs w:val="20"/>
        </w:rPr>
        <w:t>ion</w:t>
      </w:r>
      <w:r w:rsidR="00DE2FED" w:rsidRPr="00D76895">
        <w:rPr>
          <w:rFonts w:asciiTheme="majorBidi" w:hAnsiTheme="majorBidi" w:cstheme="majorBidi"/>
          <w:sz w:val="20"/>
          <w:szCs w:val="20"/>
        </w:rPr>
        <w:t xml:space="preserve"> </w:t>
      </w:r>
      <w:r w:rsidR="00E547BC" w:rsidRPr="00D76895">
        <w:rPr>
          <w:rFonts w:asciiTheme="majorBidi" w:hAnsiTheme="majorBidi" w:cstheme="majorBidi"/>
          <w:sz w:val="20"/>
          <w:szCs w:val="20"/>
        </w:rPr>
        <w:t>to initiate and/or to switch to biosimilars</w:t>
      </w:r>
      <w:r w:rsidR="00DE2FED" w:rsidRPr="00D76895">
        <w:rPr>
          <w:rFonts w:asciiTheme="majorBidi" w:hAnsiTheme="majorBidi" w:cstheme="majorBidi"/>
          <w:sz w:val="20"/>
          <w:szCs w:val="20"/>
        </w:rPr>
        <w:t xml:space="preserve"> than in </w:t>
      </w:r>
      <w:r w:rsidRPr="00D76895">
        <w:rPr>
          <w:rFonts w:asciiTheme="majorBidi" w:hAnsiTheme="majorBidi" w:cstheme="majorBidi"/>
          <w:sz w:val="20"/>
          <w:szCs w:val="20"/>
        </w:rPr>
        <w:t>participants</w:t>
      </w:r>
      <w:r w:rsidR="00C3297D" w:rsidRPr="00D76895">
        <w:rPr>
          <w:rFonts w:asciiTheme="majorBidi" w:hAnsiTheme="majorBidi" w:cstheme="majorBidi"/>
          <w:sz w:val="20"/>
          <w:szCs w:val="20"/>
        </w:rPr>
        <w:t xml:space="preserve"> on </w:t>
      </w:r>
      <w:r w:rsidR="00DE2FED" w:rsidRPr="00D76895">
        <w:rPr>
          <w:rFonts w:asciiTheme="majorBidi" w:hAnsiTheme="majorBidi" w:cstheme="majorBidi"/>
          <w:sz w:val="20"/>
          <w:szCs w:val="20"/>
        </w:rPr>
        <w:t xml:space="preserve">originator </w:t>
      </w:r>
      <w:r w:rsidR="00A92C61">
        <w:rPr>
          <w:rFonts w:asciiTheme="majorBidi" w:hAnsiTheme="majorBidi" w:cstheme="majorBidi"/>
          <w:sz w:val="20"/>
          <w:szCs w:val="20"/>
        </w:rPr>
        <w:t>biologics</w:t>
      </w:r>
      <w:r w:rsidR="00C3297D" w:rsidRPr="00D76895">
        <w:rPr>
          <w:rFonts w:asciiTheme="majorBidi" w:hAnsiTheme="majorBidi" w:cstheme="majorBidi"/>
          <w:sz w:val="20"/>
          <w:szCs w:val="20"/>
        </w:rPr>
        <w:t xml:space="preserve"> </w:t>
      </w:r>
      <w:r w:rsidR="00DE2FED" w:rsidRPr="00D76895">
        <w:rPr>
          <w:rFonts w:asciiTheme="majorBidi" w:hAnsiTheme="majorBidi" w:cstheme="majorBidi"/>
          <w:sz w:val="20"/>
          <w:szCs w:val="20"/>
        </w:rPr>
        <w:t>(Fig</w:t>
      </w:r>
      <w:r w:rsidR="00803B3D">
        <w:rPr>
          <w:rFonts w:asciiTheme="majorBidi" w:hAnsiTheme="majorBidi" w:cstheme="majorBidi"/>
          <w:sz w:val="20"/>
          <w:szCs w:val="20"/>
        </w:rPr>
        <w:t>.</w:t>
      </w:r>
      <w:r w:rsidR="00DE2FED" w:rsidRPr="00D76895">
        <w:rPr>
          <w:rFonts w:asciiTheme="majorBidi" w:hAnsiTheme="majorBidi" w:cstheme="majorBidi"/>
          <w:sz w:val="20"/>
          <w:szCs w:val="20"/>
        </w:rPr>
        <w:t xml:space="preserve"> 1).</w:t>
      </w:r>
    </w:p>
    <w:p w:rsidR="00E547BC" w:rsidRPr="00D76895" w:rsidRDefault="00E547BC" w:rsidP="001159E2">
      <w:pPr>
        <w:pStyle w:val="ListParagraph"/>
        <w:numPr>
          <w:ilvl w:val="1"/>
          <w:numId w:val="9"/>
        </w:numPr>
        <w:jc w:val="both"/>
        <w:rPr>
          <w:rFonts w:asciiTheme="majorBidi" w:hAnsiTheme="majorBidi" w:cstheme="majorBidi"/>
          <w:sz w:val="20"/>
          <w:szCs w:val="20"/>
        </w:rPr>
      </w:pPr>
      <w:r w:rsidRPr="00D76895">
        <w:rPr>
          <w:rFonts w:asciiTheme="majorBidi" w:hAnsiTheme="majorBidi" w:cstheme="majorBidi"/>
          <w:sz w:val="20"/>
          <w:szCs w:val="20"/>
        </w:rPr>
        <w:t>Biosimilars safety and efficacy</w:t>
      </w:r>
    </w:p>
    <w:p w:rsidR="0077498B" w:rsidRDefault="0088646E" w:rsidP="0077498B">
      <w:pPr>
        <w:jc w:val="both"/>
        <w:rPr>
          <w:rFonts w:asciiTheme="majorBidi" w:hAnsiTheme="majorBidi" w:cstheme="majorBidi"/>
          <w:sz w:val="20"/>
          <w:szCs w:val="20"/>
        </w:rPr>
      </w:pPr>
      <w:r w:rsidRPr="00D76895">
        <w:rPr>
          <w:rFonts w:asciiTheme="majorBidi" w:hAnsiTheme="majorBidi" w:cstheme="majorBidi"/>
          <w:sz w:val="20"/>
          <w:szCs w:val="20"/>
        </w:rPr>
        <w:t>Most</w:t>
      </w:r>
      <w:r w:rsidR="00E547BC" w:rsidRPr="00D76895">
        <w:rPr>
          <w:rFonts w:asciiTheme="majorBidi" w:hAnsiTheme="majorBidi" w:cstheme="majorBidi"/>
          <w:sz w:val="20"/>
          <w:szCs w:val="20"/>
        </w:rPr>
        <w:t xml:space="preserve"> </w:t>
      </w:r>
      <w:r w:rsidR="00E5683E" w:rsidRPr="00D76895">
        <w:rPr>
          <w:rFonts w:asciiTheme="majorBidi" w:hAnsiTheme="majorBidi" w:cstheme="majorBidi"/>
          <w:sz w:val="20"/>
          <w:szCs w:val="20"/>
        </w:rPr>
        <w:t>participants</w:t>
      </w:r>
      <w:r w:rsidR="00C3297D" w:rsidRPr="00D76895">
        <w:rPr>
          <w:rFonts w:asciiTheme="majorBidi" w:hAnsiTheme="majorBidi" w:cstheme="majorBidi"/>
          <w:sz w:val="20"/>
          <w:szCs w:val="20"/>
        </w:rPr>
        <w:t xml:space="preserve"> on </w:t>
      </w:r>
      <w:r w:rsidR="00E547BC" w:rsidRPr="00D76895">
        <w:rPr>
          <w:rFonts w:asciiTheme="majorBidi" w:hAnsiTheme="majorBidi" w:cstheme="majorBidi"/>
          <w:sz w:val="20"/>
          <w:szCs w:val="20"/>
        </w:rPr>
        <w:t xml:space="preserve">biosimilars </w:t>
      </w:r>
      <w:r w:rsidR="006E66E0" w:rsidRPr="00D76895">
        <w:rPr>
          <w:rFonts w:asciiTheme="majorBidi" w:hAnsiTheme="majorBidi" w:cstheme="majorBidi"/>
          <w:sz w:val="20"/>
          <w:szCs w:val="20"/>
        </w:rPr>
        <w:t>(</w:t>
      </w:r>
      <w:r w:rsidR="00F71752" w:rsidRPr="00D76895">
        <w:rPr>
          <w:rFonts w:asciiTheme="majorBidi" w:hAnsiTheme="majorBidi" w:cstheme="majorBidi"/>
          <w:sz w:val="20"/>
          <w:szCs w:val="20"/>
        </w:rPr>
        <w:t>7</w:t>
      </w:r>
      <w:r w:rsidR="00F71752">
        <w:rPr>
          <w:rFonts w:asciiTheme="majorBidi" w:hAnsiTheme="majorBidi" w:cstheme="majorBidi"/>
          <w:sz w:val="20"/>
          <w:szCs w:val="20"/>
        </w:rPr>
        <w:t>2</w:t>
      </w:r>
      <w:r w:rsidR="006E66E0" w:rsidRPr="00D76895">
        <w:rPr>
          <w:rFonts w:asciiTheme="majorBidi" w:hAnsiTheme="majorBidi" w:cstheme="majorBidi"/>
          <w:sz w:val="20"/>
          <w:szCs w:val="20"/>
        </w:rPr>
        <w:t xml:space="preserve">%) </w:t>
      </w:r>
      <w:r w:rsidR="00E547BC" w:rsidRPr="00D76895">
        <w:rPr>
          <w:rFonts w:asciiTheme="majorBidi" w:hAnsiTheme="majorBidi" w:cstheme="majorBidi"/>
          <w:sz w:val="20"/>
          <w:szCs w:val="20"/>
        </w:rPr>
        <w:t xml:space="preserve">thought </w:t>
      </w:r>
      <w:r w:rsidR="006E66E0" w:rsidRPr="00D76895">
        <w:rPr>
          <w:rFonts w:asciiTheme="majorBidi" w:hAnsiTheme="majorBidi" w:cstheme="majorBidi"/>
          <w:sz w:val="20"/>
          <w:szCs w:val="20"/>
        </w:rPr>
        <w:t xml:space="preserve">biosimilars were as safe and effective as </w:t>
      </w:r>
      <w:r w:rsidR="005D635A">
        <w:rPr>
          <w:rFonts w:asciiTheme="majorBidi" w:hAnsiTheme="majorBidi" w:cstheme="majorBidi"/>
          <w:sz w:val="20"/>
          <w:szCs w:val="20"/>
        </w:rPr>
        <w:t xml:space="preserve">the </w:t>
      </w:r>
      <w:r w:rsidR="006E66E0" w:rsidRPr="00D76895">
        <w:rPr>
          <w:rFonts w:asciiTheme="majorBidi" w:hAnsiTheme="majorBidi" w:cstheme="majorBidi"/>
          <w:sz w:val="20"/>
          <w:szCs w:val="20"/>
        </w:rPr>
        <w:t xml:space="preserve">originator. In contrast, </w:t>
      </w:r>
      <w:r w:rsidR="00F71752">
        <w:rPr>
          <w:rFonts w:asciiTheme="majorBidi" w:hAnsiTheme="majorBidi" w:cstheme="majorBidi"/>
          <w:sz w:val="20"/>
          <w:szCs w:val="20"/>
        </w:rPr>
        <w:t>45%</w:t>
      </w:r>
      <w:r w:rsidR="005D635A">
        <w:rPr>
          <w:rFonts w:asciiTheme="majorBidi" w:hAnsiTheme="majorBidi" w:cstheme="majorBidi"/>
          <w:sz w:val="20"/>
          <w:szCs w:val="20"/>
        </w:rPr>
        <w:t xml:space="preserve"> of p</w:t>
      </w:r>
      <w:r w:rsidR="00E5683E" w:rsidRPr="00D76895">
        <w:rPr>
          <w:rFonts w:asciiTheme="majorBidi" w:hAnsiTheme="majorBidi" w:cstheme="majorBidi"/>
          <w:sz w:val="20"/>
          <w:szCs w:val="20"/>
        </w:rPr>
        <w:t xml:space="preserve">articipants on </w:t>
      </w:r>
      <w:r w:rsidR="005D635A">
        <w:rPr>
          <w:rFonts w:asciiTheme="majorBidi" w:hAnsiTheme="majorBidi" w:cstheme="majorBidi"/>
          <w:sz w:val="20"/>
          <w:szCs w:val="20"/>
        </w:rPr>
        <w:t>the</w:t>
      </w:r>
      <w:r w:rsidR="005D635A" w:rsidRPr="00D76895">
        <w:rPr>
          <w:rFonts w:asciiTheme="majorBidi" w:hAnsiTheme="majorBidi" w:cstheme="majorBidi"/>
          <w:sz w:val="20"/>
          <w:szCs w:val="20"/>
        </w:rPr>
        <w:t xml:space="preserve"> </w:t>
      </w:r>
      <w:r w:rsidR="006E66E0" w:rsidRPr="00D76895">
        <w:rPr>
          <w:rFonts w:asciiTheme="majorBidi" w:hAnsiTheme="majorBidi" w:cstheme="majorBidi"/>
          <w:sz w:val="20"/>
          <w:szCs w:val="20"/>
        </w:rPr>
        <w:t>originator</w:t>
      </w:r>
      <w:r w:rsidR="009F6FEC" w:rsidRPr="00D76895">
        <w:rPr>
          <w:rFonts w:asciiTheme="majorBidi" w:hAnsiTheme="majorBidi" w:cstheme="majorBidi"/>
          <w:sz w:val="20"/>
          <w:szCs w:val="20"/>
        </w:rPr>
        <w:t xml:space="preserve"> </w:t>
      </w:r>
      <w:r w:rsidR="00E5683E" w:rsidRPr="00D76895">
        <w:rPr>
          <w:rFonts w:asciiTheme="majorBidi" w:hAnsiTheme="majorBidi" w:cstheme="majorBidi"/>
          <w:sz w:val="20"/>
          <w:szCs w:val="20"/>
        </w:rPr>
        <w:t>biologic</w:t>
      </w:r>
      <w:r w:rsidR="00A92C61">
        <w:rPr>
          <w:rFonts w:asciiTheme="majorBidi" w:hAnsiTheme="majorBidi" w:cstheme="majorBidi"/>
          <w:sz w:val="20"/>
          <w:szCs w:val="20"/>
        </w:rPr>
        <w:t>s</w:t>
      </w:r>
      <w:r w:rsidR="00E5683E" w:rsidRPr="00D76895">
        <w:rPr>
          <w:rFonts w:asciiTheme="majorBidi" w:hAnsiTheme="majorBidi" w:cstheme="majorBidi"/>
          <w:sz w:val="20"/>
          <w:szCs w:val="20"/>
        </w:rPr>
        <w:t xml:space="preserve"> </w:t>
      </w:r>
      <w:r w:rsidR="009F6FEC" w:rsidRPr="00D76895">
        <w:rPr>
          <w:rFonts w:asciiTheme="majorBidi" w:hAnsiTheme="majorBidi" w:cstheme="majorBidi"/>
          <w:sz w:val="20"/>
          <w:szCs w:val="20"/>
        </w:rPr>
        <w:t xml:space="preserve">thought that biosimilars were less safe and </w:t>
      </w:r>
      <w:r w:rsidR="00F71752">
        <w:rPr>
          <w:rFonts w:asciiTheme="majorBidi" w:hAnsiTheme="majorBidi" w:cstheme="majorBidi"/>
          <w:sz w:val="20"/>
          <w:szCs w:val="20"/>
        </w:rPr>
        <w:t xml:space="preserve">60% </w:t>
      </w:r>
      <w:r w:rsidR="00F71752" w:rsidRPr="00F71752">
        <w:rPr>
          <w:rFonts w:asciiTheme="majorBidi" w:hAnsiTheme="majorBidi" w:cstheme="majorBidi"/>
          <w:sz w:val="20"/>
          <w:szCs w:val="20"/>
        </w:rPr>
        <w:t xml:space="preserve">of participants on the originator biologics thought that biosimilars were </w:t>
      </w:r>
      <w:r w:rsidR="00F71752">
        <w:rPr>
          <w:rFonts w:asciiTheme="majorBidi" w:hAnsiTheme="majorBidi" w:cstheme="majorBidi"/>
          <w:sz w:val="20"/>
          <w:szCs w:val="20"/>
        </w:rPr>
        <w:t xml:space="preserve">less </w:t>
      </w:r>
      <w:r w:rsidR="009F6FEC" w:rsidRPr="00D76895">
        <w:rPr>
          <w:rFonts w:asciiTheme="majorBidi" w:hAnsiTheme="majorBidi" w:cstheme="majorBidi"/>
          <w:sz w:val="20"/>
          <w:szCs w:val="20"/>
        </w:rPr>
        <w:t>effect</w:t>
      </w:r>
      <w:r w:rsidR="004954B8">
        <w:rPr>
          <w:rFonts w:asciiTheme="majorBidi" w:hAnsiTheme="majorBidi" w:cstheme="majorBidi"/>
          <w:sz w:val="20"/>
          <w:szCs w:val="20"/>
        </w:rPr>
        <w:t xml:space="preserve">ive than originator </w:t>
      </w:r>
      <w:r w:rsidR="00A92C61">
        <w:rPr>
          <w:rFonts w:asciiTheme="majorBidi" w:hAnsiTheme="majorBidi" w:cstheme="majorBidi"/>
          <w:sz w:val="20"/>
          <w:szCs w:val="20"/>
        </w:rPr>
        <w:t xml:space="preserve">biologics </w:t>
      </w:r>
      <w:r w:rsidR="004954B8">
        <w:rPr>
          <w:rFonts w:asciiTheme="majorBidi" w:hAnsiTheme="majorBidi" w:cstheme="majorBidi"/>
          <w:sz w:val="20"/>
          <w:szCs w:val="20"/>
        </w:rPr>
        <w:t>(Fig</w:t>
      </w:r>
      <w:r w:rsidR="00364E36">
        <w:rPr>
          <w:rFonts w:asciiTheme="majorBidi" w:hAnsiTheme="majorBidi" w:cstheme="majorBidi"/>
          <w:sz w:val="20"/>
          <w:szCs w:val="20"/>
        </w:rPr>
        <w:t>.</w:t>
      </w:r>
      <w:r w:rsidR="004954B8">
        <w:rPr>
          <w:rFonts w:asciiTheme="majorBidi" w:hAnsiTheme="majorBidi" w:cstheme="majorBidi"/>
          <w:sz w:val="20"/>
          <w:szCs w:val="20"/>
        </w:rPr>
        <w:t xml:space="preserve"> 2).</w:t>
      </w:r>
    </w:p>
    <w:p w:rsidR="00637EA1" w:rsidRPr="0077498B" w:rsidRDefault="00637EA1" w:rsidP="0077498B">
      <w:pPr>
        <w:pStyle w:val="ListParagraph"/>
        <w:numPr>
          <w:ilvl w:val="1"/>
          <w:numId w:val="9"/>
        </w:numPr>
        <w:jc w:val="both"/>
        <w:rPr>
          <w:rFonts w:asciiTheme="majorBidi" w:hAnsiTheme="majorBidi" w:cstheme="majorBidi"/>
          <w:sz w:val="20"/>
          <w:szCs w:val="20"/>
        </w:rPr>
      </w:pPr>
      <w:r w:rsidRPr="0077498B">
        <w:rPr>
          <w:rFonts w:asciiTheme="majorBidi" w:hAnsiTheme="majorBidi" w:cstheme="majorBidi"/>
          <w:sz w:val="20"/>
          <w:szCs w:val="20"/>
        </w:rPr>
        <w:t>Switching to biosimilars</w:t>
      </w:r>
    </w:p>
    <w:p w:rsidR="00637EA1" w:rsidRPr="00D76895" w:rsidRDefault="00F139EB" w:rsidP="0077498B">
      <w:pPr>
        <w:jc w:val="both"/>
        <w:rPr>
          <w:rFonts w:asciiTheme="majorBidi" w:hAnsiTheme="majorBidi" w:cstheme="majorBidi"/>
          <w:sz w:val="20"/>
          <w:szCs w:val="20"/>
        </w:rPr>
      </w:pPr>
      <w:r>
        <w:rPr>
          <w:rFonts w:asciiTheme="majorBidi" w:hAnsiTheme="majorBidi" w:cstheme="majorBidi"/>
          <w:sz w:val="20"/>
          <w:szCs w:val="20"/>
        </w:rPr>
        <w:t xml:space="preserve">A significantly higher percentage of </w:t>
      </w:r>
      <w:r w:rsidR="00E5683E" w:rsidRPr="00D76895">
        <w:rPr>
          <w:rFonts w:asciiTheme="majorBidi" w:hAnsiTheme="majorBidi" w:cstheme="majorBidi"/>
          <w:sz w:val="20"/>
          <w:szCs w:val="20"/>
        </w:rPr>
        <w:t xml:space="preserve">participants on </w:t>
      </w:r>
      <w:r w:rsidR="00637EA1" w:rsidRPr="00D76895">
        <w:rPr>
          <w:rFonts w:asciiTheme="majorBidi" w:hAnsiTheme="majorBidi" w:cstheme="majorBidi"/>
          <w:sz w:val="20"/>
          <w:szCs w:val="20"/>
        </w:rPr>
        <w:t xml:space="preserve">biosimilars (74%) were comfortable and open to switching to other </w:t>
      </w:r>
      <w:proofErr w:type="spellStart"/>
      <w:r w:rsidR="00637EA1" w:rsidRPr="00D76895">
        <w:rPr>
          <w:rFonts w:asciiTheme="majorBidi" w:hAnsiTheme="majorBidi" w:cstheme="majorBidi"/>
          <w:sz w:val="20"/>
          <w:szCs w:val="20"/>
        </w:rPr>
        <w:t>biosimilars</w:t>
      </w:r>
      <w:proofErr w:type="spellEnd"/>
      <w:r w:rsidR="000D3348">
        <w:rPr>
          <w:rFonts w:asciiTheme="majorBidi" w:hAnsiTheme="majorBidi" w:cstheme="majorBidi"/>
          <w:sz w:val="20"/>
          <w:szCs w:val="20"/>
        </w:rPr>
        <w:t xml:space="preserve"> than</w:t>
      </w:r>
      <w:r w:rsidR="00637EA1" w:rsidRPr="00D76895">
        <w:rPr>
          <w:rFonts w:asciiTheme="majorBidi" w:hAnsiTheme="majorBidi" w:cstheme="majorBidi"/>
          <w:sz w:val="20"/>
          <w:szCs w:val="20"/>
        </w:rPr>
        <w:t xml:space="preserve"> </w:t>
      </w:r>
      <w:r w:rsidR="000D3348" w:rsidRPr="00D76895">
        <w:rPr>
          <w:rFonts w:asciiTheme="majorBidi" w:hAnsiTheme="majorBidi" w:cstheme="majorBidi"/>
          <w:sz w:val="20"/>
          <w:szCs w:val="20"/>
        </w:rPr>
        <w:t>participants on originator biologic</w:t>
      </w:r>
      <w:r w:rsidR="000D3348">
        <w:rPr>
          <w:rFonts w:asciiTheme="majorBidi" w:hAnsiTheme="majorBidi" w:cstheme="majorBidi"/>
          <w:sz w:val="20"/>
          <w:szCs w:val="20"/>
        </w:rPr>
        <w:t>s</w:t>
      </w:r>
      <w:r w:rsidR="000D3348" w:rsidRPr="00D76895">
        <w:rPr>
          <w:rFonts w:asciiTheme="majorBidi" w:hAnsiTheme="majorBidi" w:cstheme="majorBidi"/>
          <w:sz w:val="20"/>
          <w:szCs w:val="20"/>
        </w:rPr>
        <w:t xml:space="preserve"> </w:t>
      </w:r>
      <w:r w:rsidR="000D3348">
        <w:rPr>
          <w:rFonts w:asciiTheme="majorBidi" w:hAnsiTheme="majorBidi" w:cstheme="majorBidi"/>
          <w:sz w:val="20"/>
          <w:szCs w:val="20"/>
        </w:rPr>
        <w:t>(</w:t>
      </w:r>
      <w:r w:rsidR="00637EA1" w:rsidRPr="00D76895">
        <w:rPr>
          <w:rFonts w:asciiTheme="majorBidi" w:hAnsiTheme="majorBidi" w:cstheme="majorBidi"/>
          <w:sz w:val="20"/>
          <w:szCs w:val="20"/>
        </w:rPr>
        <w:t>28%</w:t>
      </w:r>
      <w:r w:rsidR="000D3348">
        <w:rPr>
          <w:rFonts w:asciiTheme="majorBidi" w:hAnsiTheme="majorBidi" w:cstheme="majorBidi"/>
          <w:sz w:val="20"/>
          <w:szCs w:val="20"/>
        </w:rPr>
        <w:t>)</w:t>
      </w:r>
      <w:r w:rsidR="00637EA1" w:rsidRPr="00D76895">
        <w:rPr>
          <w:rFonts w:asciiTheme="majorBidi" w:hAnsiTheme="majorBidi" w:cstheme="majorBidi"/>
          <w:sz w:val="20"/>
          <w:szCs w:val="20"/>
        </w:rPr>
        <w:t xml:space="preserve"> </w:t>
      </w:r>
      <w:r w:rsidR="000D3348" w:rsidRPr="000D3348">
        <w:rPr>
          <w:rFonts w:asciiTheme="majorBidi" w:hAnsiTheme="majorBidi" w:cstheme="majorBidi"/>
          <w:sz w:val="20"/>
          <w:szCs w:val="20"/>
        </w:rPr>
        <w:t>(</w:t>
      </w:r>
      <w:proofErr w:type="gramStart"/>
      <w:r w:rsidR="000D3348" w:rsidRPr="000D3348">
        <w:rPr>
          <w:rFonts w:asciiTheme="majorBidi" w:hAnsiTheme="majorBidi" w:cstheme="majorBidi"/>
          <w:sz w:val="20"/>
          <w:szCs w:val="20"/>
        </w:rPr>
        <w:t>p</w:t>
      </w:r>
      <w:proofErr w:type="gramEnd"/>
      <w:r w:rsidR="000D3348" w:rsidRPr="000D3348">
        <w:rPr>
          <w:rFonts w:asciiTheme="majorBidi" w:hAnsiTheme="majorBidi" w:cstheme="majorBidi"/>
          <w:sz w:val="20"/>
          <w:szCs w:val="20"/>
        </w:rPr>
        <w:t>&lt; 0.001)</w:t>
      </w:r>
      <w:r w:rsidR="000D3348">
        <w:rPr>
          <w:rFonts w:asciiTheme="majorBidi" w:hAnsiTheme="majorBidi" w:cstheme="majorBidi"/>
          <w:sz w:val="20"/>
          <w:szCs w:val="20"/>
        </w:rPr>
        <w:t xml:space="preserve"> </w:t>
      </w:r>
      <w:proofErr w:type="gramStart"/>
      <w:r w:rsidR="00637EA1" w:rsidRPr="00D76895">
        <w:rPr>
          <w:rFonts w:asciiTheme="majorBidi" w:hAnsiTheme="majorBidi" w:cstheme="majorBidi"/>
          <w:sz w:val="20"/>
          <w:szCs w:val="20"/>
        </w:rPr>
        <w:t>(Fig</w:t>
      </w:r>
      <w:r w:rsidR="00364E36">
        <w:rPr>
          <w:rFonts w:asciiTheme="majorBidi" w:hAnsiTheme="majorBidi" w:cstheme="majorBidi"/>
          <w:sz w:val="20"/>
          <w:szCs w:val="20"/>
        </w:rPr>
        <w:t>.</w:t>
      </w:r>
      <w:r w:rsidR="00637EA1" w:rsidRPr="00D76895">
        <w:rPr>
          <w:rFonts w:asciiTheme="majorBidi" w:hAnsiTheme="majorBidi" w:cstheme="majorBidi"/>
          <w:sz w:val="20"/>
          <w:szCs w:val="20"/>
        </w:rPr>
        <w:t xml:space="preserve"> </w:t>
      </w:r>
      <w:r w:rsidR="00F27C4B" w:rsidRPr="00D76895">
        <w:rPr>
          <w:rFonts w:asciiTheme="majorBidi" w:hAnsiTheme="majorBidi" w:cstheme="majorBidi"/>
          <w:sz w:val="20"/>
          <w:szCs w:val="20"/>
        </w:rPr>
        <w:t>3</w:t>
      </w:r>
      <w:r w:rsidR="00637EA1" w:rsidRPr="00D76895">
        <w:rPr>
          <w:rFonts w:asciiTheme="majorBidi" w:hAnsiTheme="majorBidi" w:cstheme="majorBidi"/>
          <w:sz w:val="20"/>
          <w:szCs w:val="20"/>
        </w:rPr>
        <w:t>).</w:t>
      </w:r>
      <w:proofErr w:type="gramEnd"/>
    </w:p>
    <w:p w:rsidR="001B56AC" w:rsidRPr="00D76895" w:rsidRDefault="001B56AC" w:rsidP="001159E2">
      <w:pPr>
        <w:pStyle w:val="ListParagraph"/>
        <w:numPr>
          <w:ilvl w:val="1"/>
          <w:numId w:val="9"/>
        </w:numPr>
        <w:jc w:val="both"/>
        <w:rPr>
          <w:rFonts w:asciiTheme="majorBidi" w:hAnsiTheme="majorBidi" w:cstheme="majorBidi"/>
          <w:sz w:val="20"/>
          <w:szCs w:val="20"/>
        </w:rPr>
      </w:pPr>
      <w:r w:rsidRPr="00D76895">
        <w:rPr>
          <w:rFonts w:asciiTheme="majorBidi" w:hAnsiTheme="majorBidi" w:cstheme="majorBidi"/>
          <w:sz w:val="20"/>
          <w:szCs w:val="20"/>
        </w:rPr>
        <w:t>Cost of biosimilars</w:t>
      </w:r>
    </w:p>
    <w:p w:rsidR="00FC1C03" w:rsidRPr="00D76895" w:rsidRDefault="001B56AC" w:rsidP="0077498B">
      <w:pPr>
        <w:jc w:val="both"/>
        <w:rPr>
          <w:rFonts w:asciiTheme="majorBidi" w:hAnsiTheme="majorBidi" w:cstheme="majorBidi"/>
          <w:sz w:val="20"/>
          <w:szCs w:val="20"/>
        </w:rPr>
      </w:pPr>
      <w:r w:rsidRPr="00D76895">
        <w:rPr>
          <w:rFonts w:asciiTheme="majorBidi" w:hAnsiTheme="majorBidi" w:cstheme="majorBidi"/>
          <w:sz w:val="20"/>
          <w:szCs w:val="20"/>
        </w:rPr>
        <w:t xml:space="preserve">58% of </w:t>
      </w:r>
      <w:r w:rsidR="009C584E" w:rsidRPr="00D76895">
        <w:rPr>
          <w:rFonts w:asciiTheme="majorBidi" w:hAnsiTheme="majorBidi" w:cstheme="majorBidi"/>
          <w:sz w:val="20"/>
          <w:szCs w:val="20"/>
        </w:rPr>
        <w:t xml:space="preserve">participants on </w:t>
      </w:r>
      <w:r w:rsidRPr="00D76895">
        <w:rPr>
          <w:rFonts w:asciiTheme="majorBidi" w:hAnsiTheme="majorBidi" w:cstheme="majorBidi"/>
          <w:sz w:val="20"/>
          <w:szCs w:val="20"/>
        </w:rPr>
        <w:t>biosimilars thought that using less expensive biosimilars would result in more patients be</w:t>
      </w:r>
      <w:r w:rsidR="005D635A">
        <w:rPr>
          <w:rFonts w:asciiTheme="majorBidi" w:hAnsiTheme="majorBidi" w:cstheme="majorBidi"/>
          <w:sz w:val="20"/>
          <w:szCs w:val="20"/>
        </w:rPr>
        <w:t>ing</w:t>
      </w:r>
      <w:r w:rsidR="00A92C61">
        <w:rPr>
          <w:rFonts w:asciiTheme="majorBidi" w:hAnsiTheme="majorBidi" w:cstheme="majorBidi"/>
          <w:sz w:val="20"/>
          <w:szCs w:val="20"/>
        </w:rPr>
        <w:t xml:space="preserve"> treated with biological medicines</w:t>
      </w:r>
      <w:r w:rsidRPr="00D76895">
        <w:rPr>
          <w:rFonts w:asciiTheme="majorBidi" w:hAnsiTheme="majorBidi" w:cstheme="majorBidi"/>
          <w:sz w:val="20"/>
          <w:szCs w:val="20"/>
        </w:rPr>
        <w:t xml:space="preserve"> and 82% thought that biosimilars </w:t>
      </w:r>
      <w:r w:rsidR="005D635A">
        <w:rPr>
          <w:rFonts w:asciiTheme="majorBidi" w:hAnsiTheme="majorBidi" w:cstheme="majorBidi"/>
          <w:sz w:val="20"/>
          <w:szCs w:val="20"/>
        </w:rPr>
        <w:t xml:space="preserve">would </w:t>
      </w:r>
      <w:r w:rsidRPr="00D76895">
        <w:rPr>
          <w:rFonts w:asciiTheme="majorBidi" w:hAnsiTheme="majorBidi" w:cstheme="majorBidi"/>
          <w:sz w:val="20"/>
          <w:szCs w:val="20"/>
        </w:rPr>
        <w:t>help sav</w:t>
      </w:r>
      <w:r w:rsidR="005D635A">
        <w:rPr>
          <w:rFonts w:asciiTheme="majorBidi" w:hAnsiTheme="majorBidi" w:cstheme="majorBidi"/>
          <w:sz w:val="20"/>
          <w:szCs w:val="20"/>
        </w:rPr>
        <w:t xml:space="preserve">e </w:t>
      </w:r>
      <w:r w:rsidRPr="00D76895">
        <w:rPr>
          <w:rFonts w:asciiTheme="majorBidi" w:hAnsiTheme="majorBidi" w:cstheme="majorBidi"/>
          <w:sz w:val="20"/>
          <w:szCs w:val="20"/>
        </w:rPr>
        <w:t xml:space="preserve">money </w:t>
      </w:r>
      <w:r w:rsidR="005D635A">
        <w:rPr>
          <w:rFonts w:asciiTheme="majorBidi" w:hAnsiTheme="majorBidi" w:cstheme="majorBidi"/>
          <w:sz w:val="20"/>
          <w:szCs w:val="20"/>
        </w:rPr>
        <w:t>for</w:t>
      </w:r>
      <w:r w:rsidRPr="00D76895">
        <w:rPr>
          <w:rFonts w:asciiTheme="majorBidi" w:hAnsiTheme="majorBidi" w:cstheme="majorBidi"/>
          <w:sz w:val="20"/>
          <w:szCs w:val="20"/>
        </w:rPr>
        <w:t xml:space="preserve"> the NHS. In contrast, 54% of </w:t>
      </w:r>
      <w:r w:rsidR="009C584E" w:rsidRPr="00D76895">
        <w:rPr>
          <w:rFonts w:asciiTheme="majorBidi" w:hAnsiTheme="majorBidi" w:cstheme="majorBidi"/>
          <w:sz w:val="20"/>
          <w:szCs w:val="20"/>
        </w:rPr>
        <w:t xml:space="preserve">participants on </w:t>
      </w:r>
      <w:r w:rsidR="0088646E" w:rsidRPr="00D76895">
        <w:rPr>
          <w:rFonts w:asciiTheme="majorBidi" w:hAnsiTheme="majorBidi" w:cstheme="majorBidi"/>
          <w:sz w:val="20"/>
          <w:szCs w:val="20"/>
        </w:rPr>
        <w:t>originator</w:t>
      </w:r>
      <w:r w:rsidRPr="00D76895">
        <w:rPr>
          <w:rFonts w:asciiTheme="majorBidi" w:hAnsiTheme="majorBidi" w:cstheme="majorBidi"/>
          <w:sz w:val="20"/>
          <w:szCs w:val="20"/>
        </w:rPr>
        <w:t xml:space="preserve"> </w:t>
      </w:r>
      <w:r w:rsidR="009C584E" w:rsidRPr="00D76895">
        <w:rPr>
          <w:rFonts w:asciiTheme="majorBidi" w:hAnsiTheme="majorBidi" w:cstheme="majorBidi"/>
          <w:sz w:val="20"/>
          <w:szCs w:val="20"/>
        </w:rPr>
        <w:t>biologic</w:t>
      </w:r>
      <w:r w:rsidR="00A92C61">
        <w:rPr>
          <w:rFonts w:asciiTheme="majorBidi" w:hAnsiTheme="majorBidi" w:cstheme="majorBidi"/>
          <w:sz w:val="20"/>
          <w:szCs w:val="20"/>
        </w:rPr>
        <w:t>s</w:t>
      </w:r>
      <w:r w:rsidR="009C584E" w:rsidRPr="00D76895">
        <w:rPr>
          <w:rFonts w:asciiTheme="majorBidi" w:hAnsiTheme="majorBidi" w:cstheme="majorBidi"/>
          <w:sz w:val="20"/>
          <w:szCs w:val="20"/>
        </w:rPr>
        <w:t xml:space="preserve"> </w:t>
      </w:r>
      <w:r w:rsidRPr="00D76895">
        <w:rPr>
          <w:rFonts w:asciiTheme="majorBidi" w:hAnsiTheme="majorBidi" w:cstheme="majorBidi"/>
          <w:sz w:val="20"/>
          <w:szCs w:val="20"/>
        </w:rPr>
        <w:t>thought that cost of treatment should not be considered when prescribing bio</w:t>
      </w:r>
      <w:r w:rsidR="00A92C61">
        <w:rPr>
          <w:rFonts w:asciiTheme="majorBidi" w:hAnsiTheme="majorBidi" w:cstheme="majorBidi"/>
          <w:sz w:val="20"/>
          <w:szCs w:val="20"/>
        </w:rPr>
        <w:t>logical medicines</w:t>
      </w:r>
      <w:r w:rsidRPr="00D76895">
        <w:rPr>
          <w:rFonts w:asciiTheme="majorBidi" w:hAnsiTheme="majorBidi" w:cstheme="majorBidi"/>
          <w:sz w:val="20"/>
          <w:szCs w:val="20"/>
        </w:rPr>
        <w:t xml:space="preserve"> (Fig</w:t>
      </w:r>
      <w:r w:rsidR="00803B3D">
        <w:rPr>
          <w:rFonts w:asciiTheme="majorBidi" w:hAnsiTheme="majorBidi" w:cstheme="majorBidi"/>
          <w:sz w:val="20"/>
          <w:szCs w:val="20"/>
        </w:rPr>
        <w:t>.</w:t>
      </w:r>
      <w:r w:rsidRPr="00D76895">
        <w:rPr>
          <w:rFonts w:asciiTheme="majorBidi" w:hAnsiTheme="majorBidi" w:cstheme="majorBidi"/>
          <w:sz w:val="20"/>
          <w:szCs w:val="20"/>
        </w:rPr>
        <w:t xml:space="preserve"> </w:t>
      </w:r>
      <w:r w:rsidR="00F27C4B" w:rsidRPr="00D76895">
        <w:rPr>
          <w:rFonts w:asciiTheme="majorBidi" w:hAnsiTheme="majorBidi" w:cstheme="majorBidi"/>
          <w:sz w:val="20"/>
          <w:szCs w:val="20"/>
        </w:rPr>
        <w:t>4</w:t>
      </w:r>
      <w:r w:rsidRPr="00D76895">
        <w:rPr>
          <w:rFonts w:asciiTheme="majorBidi" w:hAnsiTheme="majorBidi" w:cstheme="majorBidi"/>
          <w:sz w:val="20"/>
          <w:szCs w:val="20"/>
        </w:rPr>
        <w:t xml:space="preserve">). </w:t>
      </w:r>
    </w:p>
    <w:p w:rsidR="008F4CB7" w:rsidRPr="00D76895" w:rsidRDefault="005C0F18" w:rsidP="005C0F18">
      <w:pPr>
        <w:pStyle w:val="ListParagraph"/>
        <w:numPr>
          <w:ilvl w:val="1"/>
          <w:numId w:val="9"/>
        </w:numPr>
        <w:jc w:val="both"/>
        <w:rPr>
          <w:rFonts w:asciiTheme="majorBidi" w:hAnsiTheme="majorBidi" w:cstheme="majorBidi"/>
          <w:sz w:val="20"/>
          <w:szCs w:val="20"/>
        </w:rPr>
      </w:pPr>
      <w:r w:rsidRPr="00D76895">
        <w:rPr>
          <w:rFonts w:asciiTheme="majorBidi" w:hAnsiTheme="majorBidi" w:cstheme="majorBidi"/>
          <w:sz w:val="20"/>
          <w:szCs w:val="20"/>
        </w:rPr>
        <w:t>Patients concerns and queries</w:t>
      </w:r>
    </w:p>
    <w:p w:rsidR="00AA5AF7" w:rsidRPr="00D76895" w:rsidRDefault="009C584E" w:rsidP="00346F8C">
      <w:pPr>
        <w:jc w:val="both"/>
        <w:rPr>
          <w:rFonts w:asciiTheme="majorBidi" w:hAnsiTheme="majorBidi" w:cstheme="majorBidi"/>
          <w:sz w:val="20"/>
          <w:szCs w:val="20"/>
        </w:rPr>
      </w:pPr>
      <w:r w:rsidRPr="00D76895">
        <w:rPr>
          <w:rFonts w:asciiTheme="majorBidi" w:hAnsiTheme="majorBidi" w:cstheme="majorBidi"/>
          <w:sz w:val="20"/>
          <w:szCs w:val="20"/>
        </w:rPr>
        <w:t>T</w:t>
      </w:r>
      <w:r w:rsidR="001E5062" w:rsidRPr="00D76895">
        <w:rPr>
          <w:rFonts w:asciiTheme="majorBidi" w:hAnsiTheme="majorBidi" w:cstheme="majorBidi"/>
          <w:sz w:val="20"/>
          <w:szCs w:val="20"/>
        </w:rPr>
        <w:t xml:space="preserve">he </w:t>
      </w:r>
      <w:r w:rsidRPr="00D76895">
        <w:rPr>
          <w:rFonts w:asciiTheme="majorBidi" w:hAnsiTheme="majorBidi" w:cstheme="majorBidi"/>
          <w:sz w:val="20"/>
          <w:szCs w:val="20"/>
        </w:rPr>
        <w:t xml:space="preserve">open </w:t>
      </w:r>
      <w:r w:rsidR="001E5062" w:rsidRPr="00D76895">
        <w:rPr>
          <w:rFonts w:asciiTheme="majorBidi" w:hAnsiTheme="majorBidi" w:cstheme="majorBidi"/>
          <w:sz w:val="20"/>
          <w:szCs w:val="20"/>
        </w:rPr>
        <w:t xml:space="preserve">question of what would be your main question(s) if your healthcare professional wanted to switch you from branded </w:t>
      </w:r>
      <w:r w:rsidR="00A92C61" w:rsidRPr="00D76895">
        <w:rPr>
          <w:rFonts w:asciiTheme="majorBidi" w:hAnsiTheme="majorBidi" w:cstheme="majorBidi"/>
          <w:sz w:val="20"/>
          <w:szCs w:val="20"/>
        </w:rPr>
        <w:t>infliximab/</w:t>
      </w:r>
      <w:r w:rsidR="001E5062" w:rsidRPr="00D76895">
        <w:rPr>
          <w:rFonts w:asciiTheme="majorBidi" w:hAnsiTheme="majorBidi" w:cstheme="majorBidi"/>
          <w:sz w:val="20"/>
          <w:szCs w:val="20"/>
        </w:rPr>
        <w:t xml:space="preserve">etanercept to biosimilar </w:t>
      </w:r>
      <w:r w:rsidR="00A92C61" w:rsidRPr="00A92C61">
        <w:rPr>
          <w:rFonts w:asciiTheme="majorBidi" w:hAnsiTheme="majorBidi" w:cstheme="majorBidi"/>
          <w:sz w:val="20"/>
          <w:szCs w:val="20"/>
        </w:rPr>
        <w:t>infliximab/etanercept</w:t>
      </w:r>
      <w:r w:rsidR="001E5062" w:rsidRPr="00D76895">
        <w:rPr>
          <w:rFonts w:asciiTheme="majorBidi" w:hAnsiTheme="majorBidi" w:cstheme="majorBidi"/>
          <w:sz w:val="20"/>
          <w:szCs w:val="20"/>
        </w:rPr>
        <w:t xml:space="preserve">, </w:t>
      </w:r>
      <w:r w:rsidR="007113A0" w:rsidRPr="00D76895">
        <w:rPr>
          <w:rFonts w:asciiTheme="majorBidi" w:hAnsiTheme="majorBidi" w:cstheme="majorBidi"/>
          <w:sz w:val="20"/>
          <w:szCs w:val="20"/>
        </w:rPr>
        <w:t>elicited some similarities in the groups bu</w:t>
      </w:r>
      <w:r w:rsidR="004954B8">
        <w:rPr>
          <w:rFonts w:asciiTheme="majorBidi" w:hAnsiTheme="majorBidi" w:cstheme="majorBidi"/>
          <w:sz w:val="20"/>
          <w:szCs w:val="20"/>
        </w:rPr>
        <w:t xml:space="preserve">t also some clear differences. </w:t>
      </w:r>
      <w:r w:rsidR="007113A0" w:rsidRPr="00D76895">
        <w:rPr>
          <w:rFonts w:asciiTheme="majorBidi" w:hAnsiTheme="majorBidi" w:cstheme="majorBidi"/>
          <w:sz w:val="20"/>
          <w:szCs w:val="20"/>
        </w:rPr>
        <w:t>More participants on biosimilars wanted to know about side effects and safety, whereas more part</w:t>
      </w:r>
      <w:r w:rsidR="0069189C">
        <w:rPr>
          <w:rFonts w:asciiTheme="majorBidi" w:hAnsiTheme="majorBidi" w:cstheme="majorBidi"/>
          <w:sz w:val="20"/>
          <w:szCs w:val="20"/>
        </w:rPr>
        <w:t>icipants on originator biologic</w:t>
      </w:r>
      <w:r w:rsidR="00A92C61">
        <w:rPr>
          <w:rFonts w:asciiTheme="majorBidi" w:hAnsiTheme="majorBidi" w:cstheme="majorBidi"/>
          <w:sz w:val="20"/>
          <w:szCs w:val="20"/>
        </w:rPr>
        <w:t>s</w:t>
      </w:r>
      <w:r w:rsidR="007113A0" w:rsidRPr="00D76895">
        <w:rPr>
          <w:rFonts w:asciiTheme="majorBidi" w:hAnsiTheme="majorBidi" w:cstheme="majorBidi"/>
          <w:sz w:val="20"/>
          <w:szCs w:val="20"/>
        </w:rPr>
        <w:t xml:space="preserve"> wa</w:t>
      </w:r>
      <w:r w:rsidR="00AF0141">
        <w:rPr>
          <w:rFonts w:asciiTheme="majorBidi" w:hAnsiTheme="majorBidi" w:cstheme="majorBidi"/>
          <w:sz w:val="20"/>
          <w:szCs w:val="20"/>
        </w:rPr>
        <w:t>nted more evidence from trials.</w:t>
      </w:r>
      <w:r w:rsidR="007113A0" w:rsidRPr="00D76895">
        <w:rPr>
          <w:rFonts w:asciiTheme="majorBidi" w:hAnsiTheme="majorBidi" w:cstheme="majorBidi"/>
          <w:sz w:val="20"/>
          <w:szCs w:val="20"/>
        </w:rPr>
        <w:t xml:space="preserve"> Similar proportions in both groups wanted to ask about </w:t>
      </w:r>
      <w:r w:rsidR="005D635A">
        <w:rPr>
          <w:rFonts w:asciiTheme="majorBidi" w:hAnsiTheme="majorBidi" w:cstheme="majorBidi"/>
          <w:sz w:val="20"/>
          <w:szCs w:val="20"/>
        </w:rPr>
        <w:t xml:space="preserve">the </w:t>
      </w:r>
      <w:r w:rsidR="007113A0" w:rsidRPr="00D76895">
        <w:rPr>
          <w:rFonts w:asciiTheme="majorBidi" w:hAnsiTheme="majorBidi" w:cstheme="majorBidi"/>
          <w:sz w:val="20"/>
          <w:szCs w:val="20"/>
        </w:rPr>
        <w:t>reasons for switching and</w:t>
      </w:r>
      <w:r w:rsidR="005D635A">
        <w:rPr>
          <w:rFonts w:asciiTheme="majorBidi" w:hAnsiTheme="majorBidi" w:cstheme="majorBidi"/>
          <w:sz w:val="20"/>
          <w:szCs w:val="20"/>
        </w:rPr>
        <w:t xml:space="preserve"> if they</w:t>
      </w:r>
      <w:r w:rsidR="007113A0" w:rsidRPr="00D76895">
        <w:rPr>
          <w:rFonts w:asciiTheme="majorBidi" w:hAnsiTheme="majorBidi" w:cstheme="majorBidi"/>
          <w:sz w:val="20"/>
          <w:szCs w:val="20"/>
        </w:rPr>
        <w:t xml:space="preserve"> could switch b</w:t>
      </w:r>
      <w:r w:rsidR="004954B8">
        <w:rPr>
          <w:rFonts w:asciiTheme="majorBidi" w:hAnsiTheme="majorBidi" w:cstheme="majorBidi"/>
          <w:sz w:val="20"/>
          <w:szCs w:val="20"/>
        </w:rPr>
        <w:t>ack.</w:t>
      </w:r>
      <w:r w:rsidR="007113A0" w:rsidRPr="00D76895">
        <w:rPr>
          <w:rFonts w:asciiTheme="majorBidi" w:hAnsiTheme="majorBidi" w:cstheme="majorBidi"/>
          <w:sz w:val="20"/>
          <w:szCs w:val="20"/>
        </w:rPr>
        <w:t xml:space="preserve"> </w:t>
      </w:r>
      <w:r w:rsidR="00500754">
        <w:rPr>
          <w:rFonts w:asciiTheme="majorBidi" w:hAnsiTheme="majorBidi" w:cstheme="majorBidi"/>
          <w:sz w:val="20"/>
          <w:szCs w:val="20"/>
        </w:rPr>
        <w:t>A</w:t>
      </w:r>
      <w:r w:rsidR="007113A0" w:rsidRPr="00D76895">
        <w:rPr>
          <w:rFonts w:asciiTheme="majorBidi" w:hAnsiTheme="majorBidi" w:cstheme="majorBidi"/>
          <w:sz w:val="20"/>
          <w:szCs w:val="20"/>
        </w:rPr>
        <w:t xml:space="preserve"> small percentage </w:t>
      </w:r>
      <w:r w:rsidR="00500754">
        <w:rPr>
          <w:rFonts w:asciiTheme="majorBidi" w:hAnsiTheme="majorBidi" w:cstheme="majorBidi"/>
          <w:sz w:val="20"/>
          <w:szCs w:val="20"/>
        </w:rPr>
        <w:t xml:space="preserve">of those on the originator biologic </w:t>
      </w:r>
      <w:r w:rsidR="007113A0" w:rsidRPr="00D76895">
        <w:rPr>
          <w:rFonts w:asciiTheme="majorBidi" w:hAnsiTheme="majorBidi" w:cstheme="majorBidi"/>
          <w:sz w:val="20"/>
          <w:szCs w:val="20"/>
        </w:rPr>
        <w:t xml:space="preserve">had </w:t>
      </w:r>
      <w:r w:rsidR="00500754">
        <w:rPr>
          <w:rFonts w:asciiTheme="majorBidi" w:hAnsiTheme="majorBidi" w:cstheme="majorBidi"/>
          <w:sz w:val="20"/>
          <w:szCs w:val="20"/>
        </w:rPr>
        <w:t xml:space="preserve">been switched to a biosimilar, had </w:t>
      </w:r>
      <w:r w:rsidR="007113A0" w:rsidRPr="00D76895">
        <w:rPr>
          <w:rFonts w:asciiTheme="majorBidi" w:hAnsiTheme="majorBidi" w:cstheme="majorBidi"/>
          <w:sz w:val="20"/>
          <w:szCs w:val="20"/>
        </w:rPr>
        <w:t xml:space="preserve">a </w:t>
      </w:r>
      <w:r w:rsidR="0088646E" w:rsidRPr="00D76895">
        <w:rPr>
          <w:rFonts w:asciiTheme="majorBidi" w:hAnsiTheme="majorBidi" w:cstheme="majorBidi"/>
          <w:sz w:val="20"/>
          <w:szCs w:val="20"/>
        </w:rPr>
        <w:t>bad experience</w:t>
      </w:r>
      <w:r w:rsidR="00500754">
        <w:rPr>
          <w:rFonts w:asciiTheme="majorBidi" w:hAnsiTheme="majorBidi" w:cstheme="majorBidi"/>
          <w:sz w:val="20"/>
          <w:szCs w:val="20"/>
        </w:rPr>
        <w:t>,</w:t>
      </w:r>
      <w:r w:rsidR="0088646E" w:rsidRPr="00D76895">
        <w:rPr>
          <w:rFonts w:asciiTheme="majorBidi" w:hAnsiTheme="majorBidi" w:cstheme="majorBidi"/>
          <w:sz w:val="20"/>
          <w:szCs w:val="20"/>
        </w:rPr>
        <w:t xml:space="preserve"> after switching</w:t>
      </w:r>
      <w:r w:rsidR="00500754">
        <w:rPr>
          <w:rFonts w:asciiTheme="majorBidi" w:hAnsiTheme="majorBidi" w:cstheme="majorBidi"/>
          <w:sz w:val="20"/>
          <w:szCs w:val="20"/>
        </w:rPr>
        <w:t xml:space="preserve"> and were switched back</w:t>
      </w:r>
      <w:r w:rsidR="0088646E" w:rsidRPr="00D76895">
        <w:rPr>
          <w:rFonts w:asciiTheme="majorBidi" w:hAnsiTheme="majorBidi" w:cstheme="majorBidi"/>
          <w:sz w:val="20"/>
          <w:szCs w:val="20"/>
        </w:rPr>
        <w:t>.</w:t>
      </w:r>
      <w:r w:rsidR="007113A0" w:rsidRPr="00D76895">
        <w:rPr>
          <w:rFonts w:asciiTheme="majorBidi" w:hAnsiTheme="majorBidi" w:cstheme="majorBidi"/>
          <w:sz w:val="20"/>
          <w:szCs w:val="20"/>
        </w:rPr>
        <w:t xml:space="preserve"> </w:t>
      </w:r>
      <w:r w:rsidR="00A92C61">
        <w:rPr>
          <w:rFonts w:asciiTheme="majorBidi" w:hAnsiTheme="majorBidi" w:cstheme="majorBidi"/>
          <w:sz w:val="20"/>
          <w:szCs w:val="20"/>
        </w:rPr>
        <w:t>None of</w:t>
      </w:r>
      <w:r w:rsidR="00500754">
        <w:rPr>
          <w:rFonts w:asciiTheme="majorBidi" w:hAnsiTheme="majorBidi" w:cstheme="majorBidi"/>
          <w:sz w:val="20"/>
          <w:szCs w:val="20"/>
        </w:rPr>
        <w:t xml:space="preserve"> the participants currently on a biosimilar </w:t>
      </w:r>
      <w:r w:rsidR="007113A0" w:rsidRPr="00D76895">
        <w:rPr>
          <w:rFonts w:asciiTheme="majorBidi" w:hAnsiTheme="majorBidi" w:cstheme="majorBidi"/>
          <w:sz w:val="20"/>
          <w:szCs w:val="20"/>
        </w:rPr>
        <w:t xml:space="preserve">had a bad experience </w:t>
      </w:r>
      <w:r w:rsidR="00500754">
        <w:rPr>
          <w:rFonts w:asciiTheme="majorBidi" w:hAnsiTheme="majorBidi" w:cstheme="majorBidi"/>
          <w:sz w:val="20"/>
          <w:szCs w:val="20"/>
        </w:rPr>
        <w:t xml:space="preserve">when </w:t>
      </w:r>
      <w:r w:rsidR="007113A0" w:rsidRPr="00D76895">
        <w:rPr>
          <w:rFonts w:asciiTheme="majorBidi" w:hAnsiTheme="majorBidi" w:cstheme="majorBidi"/>
          <w:sz w:val="20"/>
          <w:szCs w:val="20"/>
        </w:rPr>
        <w:t xml:space="preserve">switching and a small but significant proportion had </w:t>
      </w:r>
      <w:r w:rsidR="0088646E" w:rsidRPr="00D76895">
        <w:rPr>
          <w:rFonts w:asciiTheme="majorBidi" w:hAnsiTheme="majorBidi" w:cstheme="majorBidi"/>
          <w:sz w:val="20"/>
          <w:szCs w:val="20"/>
        </w:rPr>
        <w:t xml:space="preserve">switched without any concerns </w:t>
      </w:r>
      <w:r w:rsidR="00AA5AF7" w:rsidRPr="00D76895">
        <w:rPr>
          <w:rFonts w:asciiTheme="majorBidi" w:hAnsiTheme="majorBidi" w:cstheme="majorBidi"/>
          <w:sz w:val="20"/>
          <w:szCs w:val="20"/>
        </w:rPr>
        <w:t>(Table 3).</w:t>
      </w:r>
    </w:p>
    <w:p w:rsidR="00A3535B" w:rsidRDefault="00A3535B" w:rsidP="00A3535B">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w:t>
      </w:r>
      <w:r w:rsidRPr="00B37FC3">
        <w:t xml:space="preserve">Responses to the questions </w:t>
      </w:r>
      <w:r w:rsidRPr="00B37FC3">
        <w:t>“</w:t>
      </w:r>
      <w:r w:rsidRPr="00B37FC3">
        <w:t>What would be your main question(s) if your healthcare professional wanted to switch you from originator biologic to a biosimilar?</w:t>
      </w:r>
      <w:r w:rsidRPr="00B37FC3">
        <w:t>”</w:t>
      </w:r>
    </w:p>
    <w:tbl>
      <w:tblPr>
        <w:tblStyle w:val="TableGrid"/>
        <w:tblW w:w="9350" w:type="dxa"/>
        <w:tblLook w:val="04A0" w:firstRow="1" w:lastRow="0" w:firstColumn="1" w:lastColumn="0" w:noHBand="0" w:noVBand="1"/>
      </w:tblPr>
      <w:tblGrid>
        <w:gridCol w:w="1975"/>
        <w:gridCol w:w="1463"/>
        <w:gridCol w:w="1440"/>
        <w:gridCol w:w="4472"/>
      </w:tblGrid>
      <w:tr w:rsidR="00D76895" w:rsidRPr="00D76895" w:rsidTr="00D825F7">
        <w:trPr>
          <w:trHeight w:val="285"/>
        </w:trPr>
        <w:tc>
          <w:tcPr>
            <w:tcW w:w="1975" w:type="dxa"/>
            <w:noWrap/>
          </w:tcPr>
          <w:p w:rsidR="002D72FC" w:rsidRPr="00D76895" w:rsidRDefault="002D72FC" w:rsidP="001159E2">
            <w:pPr>
              <w:jc w:val="both"/>
              <w:rPr>
                <w:rFonts w:asciiTheme="minorBidi" w:hAnsiTheme="minorBidi" w:cstheme="minorBidi"/>
                <w:sz w:val="18"/>
                <w:szCs w:val="18"/>
              </w:rPr>
            </w:pPr>
            <w:r w:rsidRPr="00D76895">
              <w:rPr>
                <w:rFonts w:asciiTheme="minorBidi" w:hAnsiTheme="minorBidi" w:cstheme="minorBidi"/>
                <w:sz w:val="18"/>
                <w:szCs w:val="18"/>
              </w:rPr>
              <w:t>Category</w:t>
            </w:r>
          </w:p>
        </w:tc>
        <w:tc>
          <w:tcPr>
            <w:tcW w:w="1463" w:type="dxa"/>
            <w:noWrap/>
          </w:tcPr>
          <w:p w:rsidR="00BC5473" w:rsidRPr="00D76895" w:rsidRDefault="00D825F7" w:rsidP="001159E2">
            <w:pPr>
              <w:jc w:val="both"/>
              <w:rPr>
                <w:rFonts w:asciiTheme="minorBidi" w:hAnsiTheme="minorBidi" w:cstheme="minorBidi"/>
                <w:sz w:val="18"/>
                <w:szCs w:val="18"/>
              </w:rPr>
            </w:pPr>
            <w:r>
              <w:rPr>
                <w:rFonts w:asciiTheme="minorBidi" w:hAnsiTheme="minorBidi" w:cstheme="minorBidi"/>
                <w:sz w:val="18"/>
                <w:szCs w:val="18"/>
              </w:rPr>
              <w:t>Participants on o</w:t>
            </w:r>
            <w:r w:rsidR="00CE1B8F" w:rsidRPr="00D76895">
              <w:rPr>
                <w:rFonts w:asciiTheme="minorBidi" w:hAnsiTheme="minorBidi" w:cstheme="minorBidi"/>
                <w:sz w:val="18"/>
                <w:szCs w:val="18"/>
              </w:rPr>
              <w:t xml:space="preserve">riginator </w:t>
            </w:r>
            <w:r>
              <w:rPr>
                <w:rFonts w:asciiTheme="minorBidi" w:hAnsiTheme="minorBidi" w:cstheme="minorBidi"/>
                <w:sz w:val="18"/>
                <w:szCs w:val="18"/>
              </w:rPr>
              <w:t>biologic</w:t>
            </w:r>
            <w:r w:rsidR="0088646E" w:rsidRPr="00D76895">
              <w:rPr>
                <w:rFonts w:asciiTheme="minorBidi" w:hAnsiTheme="minorBidi" w:cstheme="minorBidi"/>
                <w:sz w:val="18"/>
                <w:szCs w:val="18"/>
              </w:rPr>
              <w:t xml:space="preserve"> </w:t>
            </w:r>
            <w:r w:rsidR="003C5888" w:rsidRPr="00D76895">
              <w:rPr>
                <w:rFonts w:asciiTheme="minorBidi" w:hAnsiTheme="minorBidi" w:cstheme="minorBidi"/>
                <w:sz w:val="18"/>
                <w:szCs w:val="18"/>
              </w:rPr>
              <w:t>N=96</w:t>
            </w:r>
            <w:r w:rsidR="00CE1B8F" w:rsidRPr="00D76895">
              <w:rPr>
                <w:rFonts w:asciiTheme="minorBidi" w:hAnsiTheme="minorBidi" w:cstheme="minorBidi"/>
                <w:sz w:val="18"/>
                <w:szCs w:val="18"/>
              </w:rPr>
              <w:t xml:space="preserve"> </w:t>
            </w:r>
          </w:p>
          <w:p w:rsidR="002D72FC" w:rsidRPr="00D76895" w:rsidRDefault="002D72FC" w:rsidP="001159E2">
            <w:pPr>
              <w:jc w:val="both"/>
              <w:rPr>
                <w:rFonts w:asciiTheme="minorBidi" w:hAnsiTheme="minorBidi" w:cstheme="minorBidi"/>
                <w:sz w:val="18"/>
                <w:szCs w:val="18"/>
              </w:rPr>
            </w:pPr>
            <w:r w:rsidRPr="00D76895">
              <w:rPr>
                <w:rFonts w:asciiTheme="minorBidi" w:hAnsiTheme="minorBidi" w:cstheme="minorBidi"/>
                <w:sz w:val="18"/>
                <w:szCs w:val="18"/>
              </w:rPr>
              <w:t>N (%)</w:t>
            </w:r>
          </w:p>
        </w:tc>
        <w:tc>
          <w:tcPr>
            <w:tcW w:w="1440" w:type="dxa"/>
          </w:tcPr>
          <w:p w:rsidR="00BC5473" w:rsidRPr="00D76895" w:rsidRDefault="00D825F7" w:rsidP="001159E2">
            <w:pPr>
              <w:jc w:val="both"/>
              <w:rPr>
                <w:rFonts w:asciiTheme="minorBidi" w:hAnsiTheme="minorBidi" w:cstheme="minorBidi"/>
                <w:sz w:val="18"/>
                <w:szCs w:val="18"/>
              </w:rPr>
            </w:pPr>
            <w:r>
              <w:rPr>
                <w:rFonts w:asciiTheme="minorBidi" w:hAnsiTheme="minorBidi" w:cstheme="minorBidi"/>
                <w:sz w:val="18"/>
                <w:szCs w:val="18"/>
              </w:rPr>
              <w:t>Participants on biosimilars</w:t>
            </w:r>
            <w:r w:rsidR="00CE1B8F" w:rsidRPr="00D76895">
              <w:rPr>
                <w:rFonts w:asciiTheme="minorBidi" w:hAnsiTheme="minorBidi" w:cstheme="minorBidi"/>
                <w:sz w:val="18"/>
                <w:szCs w:val="18"/>
              </w:rPr>
              <w:t xml:space="preserve"> </w:t>
            </w:r>
            <w:r w:rsidR="003C5888" w:rsidRPr="00D76895">
              <w:rPr>
                <w:rFonts w:asciiTheme="minorBidi" w:hAnsiTheme="minorBidi" w:cstheme="minorBidi"/>
                <w:sz w:val="18"/>
                <w:szCs w:val="18"/>
              </w:rPr>
              <w:t>N= 59</w:t>
            </w:r>
          </w:p>
          <w:p w:rsidR="002D72FC" w:rsidRPr="00D76895" w:rsidRDefault="00CE1B8F" w:rsidP="001159E2">
            <w:pPr>
              <w:jc w:val="both"/>
              <w:rPr>
                <w:rFonts w:asciiTheme="minorBidi" w:hAnsiTheme="minorBidi" w:cstheme="minorBidi"/>
                <w:sz w:val="18"/>
                <w:szCs w:val="18"/>
              </w:rPr>
            </w:pPr>
            <w:r w:rsidRPr="00D76895">
              <w:rPr>
                <w:rFonts w:asciiTheme="minorBidi" w:hAnsiTheme="minorBidi" w:cstheme="minorBidi"/>
                <w:sz w:val="18"/>
                <w:szCs w:val="18"/>
              </w:rPr>
              <w:t>N (%)</w:t>
            </w:r>
          </w:p>
        </w:tc>
        <w:tc>
          <w:tcPr>
            <w:tcW w:w="4472" w:type="dxa"/>
          </w:tcPr>
          <w:p w:rsidR="002D72FC" w:rsidRPr="00D76895" w:rsidRDefault="002D72FC" w:rsidP="001159E2">
            <w:pPr>
              <w:jc w:val="both"/>
              <w:rPr>
                <w:rFonts w:asciiTheme="minorBidi" w:hAnsiTheme="minorBidi" w:cstheme="minorBidi"/>
                <w:sz w:val="18"/>
                <w:szCs w:val="18"/>
              </w:rPr>
            </w:pPr>
            <w:r w:rsidRPr="00D76895">
              <w:rPr>
                <w:rFonts w:asciiTheme="minorBidi" w:hAnsiTheme="minorBidi" w:cstheme="minorBidi"/>
                <w:sz w:val="18"/>
                <w:szCs w:val="18"/>
              </w:rPr>
              <w:t>Examples</w:t>
            </w:r>
          </w:p>
        </w:tc>
      </w:tr>
      <w:tr w:rsidR="00D76895" w:rsidRPr="00D76895" w:rsidTr="00D825F7">
        <w:trPr>
          <w:trHeight w:val="285"/>
        </w:trPr>
        <w:tc>
          <w:tcPr>
            <w:tcW w:w="1975" w:type="dxa"/>
            <w:noWrap/>
          </w:tcPr>
          <w:p w:rsidR="005C0F18" w:rsidRPr="00D76895" w:rsidRDefault="005C0F18" w:rsidP="005C0F18">
            <w:pPr>
              <w:jc w:val="both"/>
              <w:rPr>
                <w:rFonts w:asciiTheme="minorBidi" w:hAnsiTheme="minorBidi" w:cstheme="minorBidi"/>
                <w:sz w:val="18"/>
                <w:szCs w:val="18"/>
              </w:rPr>
            </w:pPr>
            <w:r w:rsidRPr="00D76895">
              <w:rPr>
                <w:rFonts w:asciiTheme="minorBidi" w:hAnsiTheme="minorBidi" w:cstheme="minorBidi"/>
                <w:sz w:val="18"/>
                <w:szCs w:val="18"/>
              </w:rPr>
              <w:t>Side effect and effectiveness</w:t>
            </w:r>
          </w:p>
        </w:tc>
        <w:tc>
          <w:tcPr>
            <w:tcW w:w="1463" w:type="dxa"/>
            <w:noWrap/>
          </w:tcPr>
          <w:p w:rsidR="005C0F18" w:rsidRPr="00D76895" w:rsidRDefault="005C0F18" w:rsidP="005C0F18">
            <w:pPr>
              <w:jc w:val="both"/>
              <w:rPr>
                <w:rFonts w:asciiTheme="minorBidi" w:hAnsiTheme="minorBidi" w:cstheme="minorBidi"/>
                <w:sz w:val="18"/>
                <w:szCs w:val="18"/>
              </w:rPr>
            </w:pPr>
            <w:r w:rsidRPr="00D76895">
              <w:rPr>
                <w:rFonts w:asciiTheme="minorBidi" w:hAnsiTheme="minorBidi" w:cstheme="minorBidi"/>
                <w:sz w:val="18"/>
                <w:szCs w:val="18"/>
              </w:rPr>
              <w:t>25 (26%)</w:t>
            </w:r>
          </w:p>
        </w:tc>
        <w:tc>
          <w:tcPr>
            <w:tcW w:w="1440" w:type="dxa"/>
          </w:tcPr>
          <w:p w:rsidR="005C0F18" w:rsidRPr="00D76895" w:rsidRDefault="005C0F18" w:rsidP="005C0F18">
            <w:pPr>
              <w:jc w:val="both"/>
              <w:rPr>
                <w:rFonts w:asciiTheme="minorBidi" w:hAnsiTheme="minorBidi" w:cstheme="minorBidi"/>
                <w:sz w:val="18"/>
                <w:szCs w:val="18"/>
              </w:rPr>
            </w:pPr>
            <w:r w:rsidRPr="00D76895">
              <w:rPr>
                <w:rFonts w:asciiTheme="minorBidi" w:hAnsiTheme="minorBidi" w:cstheme="minorBidi"/>
                <w:sz w:val="18"/>
                <w:szCs w:val="18"/>
              </w:rPr>
              <w:t>2</w:t>
            </w:r>
            <w:r w:rsidR="007E76AF" w:rsidRPr="00D76895">
              <w:rPr>
                <w:rFonts w:asciiTheme="minorBidi" w:hAnsiTheme="minorBidi" w:cstheme="minorBidi"/>
                <w:sz w:val="18"/>
                <w:szCs w:val="18"/>
              </w:rPr>
              <w:t>2</w:t>
            </w:r>
            <w:r w:rsidRPr="00D76895">
              <w:rPr>
                <w:rFonts w:asciiTheme="minorBidi" w:hAnsiTheme="minorBidi" w:cstheme="minorBidi"/>
                <w:sz w:val="18"/>
                <w:szCs w:val="18"/>
              </w:rPr>
              <w:t xml:space="preserve"> (</w:t>
            </w:r>
            <w:r w:rsidR="007E76AF" w:rsidRPr="00D76895">
              <w:rPr>
                <w:rFonts w:asciiTheme="minorBidi" w:hAnsiTheme="minorBidi" w:cstheme="minorBidi"/>
                <w:sz w:val="18"/>
                <w:szCs w:val="18"/>
              </w:rPr>
              <w:t>37</w:t>
            </w:r>
            <w:r w:rsidRPr="00D76895">
              <w:rPr>
                <w:rFonts w:asciiTheme="minorBidi" w:hAnsiTheme="minorBidi" w:cstheme="minorBidi"/>
                <w:sz w:val="18"/>
                <w:szCs w:val="18"/>
              </w:rPr>
              <w:t>%)</w:t>
            </w:r>
          </w:p>
        </w:tc>
        <w:tc>
          <w:tcPr>
            <w:tcW w:w="4472" w:type="dxa"/>
          </w:tcPr>
          <w:p w:rsidR="005C0F18" w:rsidRPr="00D76895" w:rsidRDefault="005C0F18" w:rsidP="005C0F18">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I would want to know about possible side effects, risks &amp; known effectiveness</w:t>
            </w:r>
          </w:p>
          <w:p w:rsidR="005C0F18" w:rsidRPr="00D76895" w:rsidRDefault="005C0F18" w:rsidP="005C0F18">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Is it as effective? Are there any different side effects?</w:t>
            </w:r>
          </w:p>
          <w:p w:rsidR="005C0F18" w:rsidRPr="00D76895" w:rsidRDefault="005C0F18" w:rsidP="005C0F18">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Would it work and reduce my pain as well as the branded infliximab?</w:t>
            </w:r>
          </w:p>
        </w:tc>
      </w:tr>
      <w:tr w:rsidR="00D76895" w:rsidRPr="00D76895" w:rsidTr="00D825F7">
        <w:trPr>
          <w:trHeight w:val="285"/>
        </w:trPr>
        <w:tc>
          <w:tcPr>
            <w:tcW w:w="1975" w:type="dxa"/>
            <w:noWrap/>
          </w:tcPr>
          <w:p w:rsidR="005C0F18" w:rsidRPr="00D76895" w:rsidRDefault="005C0F18" w:rsidP="005C0F18">
            <w:pPr>
              <w:jc w:val="both"/>
              <w:rPr>
                <w:rFonts w:asciiTheme="minorBidi" w:hAnsiTheme="minorBidi" w:cstheme="minorBidi"/>
                <w:sz w:val="18"/>
                <w:szCs w:val="18"/>
              </w:rPr>
            </w:pPr>
            <w:r w:rsidRPr="00D76895">
              <w:rPr>
                <w:rFonts w:asciiTheme="minorBidi" w:hAnsiTheme="minorBidi" w:cstheme="minorBidi"/>
                <w:sz w:val="18"/>
                <w:szCs w:val="18"/>
              </w:rPr>
              <w:t>More evidence from clinical trials on biosimilars</w:t>
            </w:r>
          </w:p>
        </w:tc>
        <w:tc>
          <w:tcPr>
            <w:tcW w:w="1463" w:type="dxa"/>
            <w:noWrap/>
          </w:tcPr>
          <w:p w:rsidR="005C0F18" w:rsidRPr="00D76895" w:rsidRDefault="005C0F18" w:rsidP="005C0F18">
            <w:pPr>
              <w:jc w:val="both"/>
              <w:rPr>
                <w:rFonts w:asciiTheme="minorBidi" w:hAnsiTheme="minorBidi" w:cstheme="minorBidi"/>
                <w:sz w:val="18"/>
                <w:szCs w:val="18"/>
              </w:rPr>
            </w:pPr>
            <w:r w:rsidRPr="00D76895">
              <w:rPr>
                <w:rFonts w:asciiTheme="minorBidi" w:hAnsiTheme="minorBidi" w:cstheme="minorBidi"/>
                <w:sz w:val="18"/>
                <w:szCs w:val="18"/>
              </w:rPr>
              <w:t>31 (32%)</w:t>
            </w:r>
          </w:p>
        </w:tc>
        <w:tc>
          <w:tcPr>
            <w:tcW w:w="1440" w:type="dxa"/>
          </w:tcPr>
          <w:p w:rsidR="005C0F18" w:rsidRPr="00D76895" w:rsidRDefault="00556E93" w:rsidP="005C0F18">
            <w:pPr>
              <w:jc w:val="both"/>
              <w:rPr>
                <w:rFonts w:asciiTheme="minorBidi" w:hAnsiTheme="minorBidi" w:cstheme="minorBidi"/>
                <w:sz w:val="18"/>
                <w:szCs w:val="18"/>
              </w:rPr>
            </w:pPr>
            <w:r w:rsidRPr="00D76895">
              <w:rPr>
                <w:rFonts w:asciiTheme="minorBidi" w:hAnsiTheme="minorBidi" w:cstheme="minorBidi"/>
                <w:sz w:val="18"/>
                <w:szCs w:val="18"/>
              </w:rPr>
              <w:t>8</w:t>
            </w:r>
            <w:r w:rsidR="005C0F18" w:rsidRPr="00D76895">
              <w:rPr>
                <w:rFonts w:asciiTheme="minorBidi" w:hAnsiTheme="minorBidi" w:cstheme="minorBidi"/>
                <w:sz w:val="18"/>
                <w:szCs w:val="18"/>
              </w:rPr>
              <w:t xml:space="preserve"> (1</w:t>
            </w:r>
            <w:r w:rsidRPr="00D76895">
              <w:rPr>
                <w:rFonts w:asciiTheme="minorBidi" w:hAnsiTheme="minorBidi" w:cstheme="minorBidi"/>
                <w:sz w:val="18"/>
                <w:szCs w:val="18"/>
              </w:rPr>
              <w:t>3</w:t>
            </w:r>
            <w:r w:rsidR="005C0F18" w:rsidRPr="00D76895">
              <w:rPr>
                <w:rFonts w:asciiTheme="minorBidi" w:hAnsiTheme="minorBidi" w:cstheme="minorBidi"/>
                <w:sz w:val="18"/>
                <w:szCs w:val="18"/>
              </w:rPr>
              <w:t>%)</w:t>
            </w:r>
          </w:p>
        </w:tc>
        <w:tc>
          <w:tcPr>
            <w:tcW w:w="4472" w:type="dxa"/>
          </w:tcPr>
          <w:p w:rsidR="005C0F18" w:rsidRPr="00D76895" w:rsidRDefault="005C0F18" w:rsidP="005C0F18">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Results and evidence based feedback from patient</w:t>
            </w:r>
            <w:r w:rsidR="004954B8">
              <w:rPr>
                <w:rFonts w:asciiTheme="minorBidi" w:hAnsiTheme="minorBidi" w:cstheme="minorBidi"/>
                <w:sz w:val="18"/>
                <w:szCs w:val="18"/>
              </w:rPr>
              <w:t xml:space="preserve"> trials. </w:t>
            </w:r>
            <w:r w:rsidRPr="00D76895">
              <w:rPr>
                <w:rFonts w:asciiTheme="minorBidi" w:hAnsiTheme="minorBidi" w:cstheme="minorBidi"/>
                <w:sz w:val="18"/>
                <w:szCs w:val="18"/>
              </w:rPr>
              <w:t>Without this, I'd be reluctant to switch</w:t>
            </w:r>
          </w:p>
          <w:p w:rsidR="005C0F18" w:rsidRPr="00D76895" w:rsidRDefault="005C0F18" w:rsidP="005C0F18">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What is the difference in safety, side effects, has it been vigorously tested and with how many people, is it as effective, what if it stops working?</w:t>
            </w:r>
          </w:p>
          <w:p w:rsidR="005C0F18" w:rsidRPr="00D76895" w:rsidRDefault="005C0F18" w:rsidP="005C0F18">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 xml:space="preserve">Does it work exactly the same, does it have the </w:t>
            </w:r>
            <w:r w:rsidRPr="00D76895">
              <w:rPr>
                <w:rFonts w:asciiTheme="minorBidi" w:hAnsiTheme="minorBidi" w:cstheme="minorBidi"/>
                <w:sz w:val="18"/>
                <w:szCs w:val="18"/>
              </w:rPr>
              <w:lastRenderedPageBreak/>
              <w:t>same side effects, how many people who swap find it doesn't work for them.</w:t>
            </w:r>
          </w:p>
        </w:tc>
      </w:tr>
      <w:tr w:rsidR="00D76895" w:rsidRPr="00D76895" w:rsidTr="00D825F7">
        <w:trPr>
          <w:trHeight w:val="285"/>
        </w:trPr>
        <w:tc>
          <w:tcPr>
            <w:tcW w:w="1975" w:type="dxa"/>
            <w:noWrap/>
          </w:tcPr>
          <w:p w:rsidR="005C0F18" w:rsidRPr="00D76895" w:rsidRDefault="005C0F18" w:rsidP="005C0F18">
            <w:pPr>
              <w:jc w:val="both"/>
              <w:rPr>
                <w:rFonts w:asciiTheme="minorBidi" w:hAnsiTheme="minorBidi" w:cstheme="minorBidi"/>
                <w:sz w:val="18"/>
                <w:szCs w:val="18"/>
              </w:rPr>
            </w:pPr>
            <w:r w:rsidRPr="00D76895">
              <w:rPr>
                <w:rFonts w:asciiTheme="minorBidi" w:hAnsiTheme="minorBidi" w:cstheme="minorBidi"/>
                <w:sz w:val="18"/>
                <w:szCs w:val="18"/>
              </w:rPr>
              <w:lastRenderedPageBreak/>
              <w:t xml:space="preserve">Reasons </w:t>
            </w:r>
            <w:r w:rsidR="00500754">
              <w:rPr>
                <w:rFonts w:asciiTheme="minorBidi" w:hAnsiTheme="minorBidi" w:cstheme="minorBidi"/>
                <w:sz w:val="18"/>
                <w:szCs w:val="18"/>
              </w:rPr>
              <w:t xml:space="preserve">for </w:t>
            </w:r>
            <w:r w:rsidRPr="00D76895">
              <w:rPr>
                <w:rFonts w:asciiTheme="minorBidi" w:hAnsiTheme="minorBidi" w:cstheme="minorBidi"/>
                <w:sz w:val="18"/>
                <w:szCs w:val="18"/>
              </w:rPr>
              <w:t>switching</w:t>
            </w:r>
          </w:p>
        </w:tc>
        <w:tc>
          <w:tcPr>
            <w:tcW w:w="1463" w:type="dxa"/>
            <w:noWrap/>
          </w:tcPr>
          <w:p w:rsidR="005C0F18" w:rsidRPr="00D76895" w:rsidRDefault="005C0F18" w:rsidP="005C0F18">
            <w:pPr>
              <w:jc w:val="both"/>
              <w:rPr>
                <w:rFonts w:asciiTheme="minorBidi" w:hAnsiTheme="minorBidi" w:cstheme="minorBidi"/>
                <w:sz w:val="18"/>
                <w:szCs w:val="18"/>
              </w:rPr>
            </w:pPr>
            <w:r w:rsidRPr="00D76895">
              <w:rPr>
                <w:rFonts w:asciiTheme="minorBidi" w:hAnsiTheme="minorBidi" w:cstheme="minorBidi"/>
                <w:sz w:val="18"/>
                <w:szCs w:val="18"/>
              </w:rPr>
              <w:t>19 (20%)</w:t>
            </w:r>
          </w:p>
        </w:tc>
        <w:tc>
          <w:tcPr>
            <w:tcW w:w="1440" w:type="dxa"/>
          </w:tcPr>
          <w:p w:rsidR="005C0F18" w:rsidRPr="00D76895" w:rsidRDefault="005C0F18" w:rsidP="005C0F18">
            <w:pPr>
              <w:jc w:val="both"/>
              <w:rPr>
                <w:rFonts w:asciiTheme="minorBidi" w:hAnsiTheme="minorBidi" w:cstheme="minorBidi"/>
                <w:sz w:val="18"/>
                <w:szCs w:val="18"/>
              </w:rPr>
            </w:pPr>
            <w:r w:rsidRPr="00D76895">
              <w:rPr>
                <w:rFonts w:asciiTheme="minorBidi" w:hAnsiTheme="minorBidi" w:cstheme="minorBidi"/>
                <w:sz w:val="18"/>
                <w:szCs w:val="18"/>
              </w:rPr>
              <w:t>9 (15%)</w:t>
            </w:r>
          </w:p>
        </w:tc>
        <w:tc>
          <w:tcPr>
            <w:tcW w:w="4472" w:type="dxa"/>
          </w:tcPr>
          <w:p w:rsidR="005C0F18" w:rsidRPr="00D76895" w:rsidRDefault="005C0F18" w:rsidP="005C0F18">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Why when it is working perfectly well</w:t>
            </w:r>
          </w:p>
          <w:p w:rsidR="005C0F18" w:rsidRPr="00D76895" w:rsidRDefault="005C0F18" w:rsidP="005C0F18">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Why change from one that works and has a long-trusted safety record.</w:t>
            </w:r>
          </w:p>
          <w:p w:rsidR="00E50A57" w:rsidRPr="00D76895" w:rsidRDefault="00E50A57" w:rsidP="00E50A57">
            <w:pPr>
              <w:pStyle w:val="ListParagraph"/>
              <w:numPr>
                <w:ilvl w:val="0"/>
                <w:numId w:val="8"/>
              </w:numPr>
              <w:jc w:val="both"/>
              <w:rPr>
                <w:rFonts w:asciiTheme="minorBidi" w:hAnsiTheme="minorBidi" w:cstheme="minorBidi"/>
                <w:sz w:val="18"/>
                <w:szCs w:val="18"/>
              </w:rPr>
            </w:pPr>
            <w:r w:rsidRPr="00D76895">
              <w:rPr>
                <w:rFonts w:asciiTheme="minorBidi" w:hAnsiTheme="minorBidi" w:cstheme="minorBidi"/>
                <w:sz w:val="18"/>
                <w:szCs w:val="18"/>
              </w:rPr>
              <w:t xml:space="preserve">Why? I would be angry, as I've been using etanercept for 12 years </w:t>
            </w:r>
            <w:r w:rsidR="007E76AF" w:rsidRPr="00D76895">
              <w:rPr>
                <w:rFonts w:asciiTheme="minorBidi" w:hAnsiTheme="minorBidi" w:cstheme="minorBidi"/>
                <w:sz w:val="18"/>
                <w:szCs w:val="18"/>
              </w:rPr>
              <w:t>.</w:t>
            </w:r>
            <w:r w:rsidRPr="00D76895">
              <w:rPr>
                <w:rFonts w:asciiTheme="minorBidi" w:hAnsiTheme="minorBidi" w:cstheme="minorBidi"/>
                <w:sz w:val="18"/>
                <w:szCs w:val="18"/>
              </w:rPr>
              <w:t>..why change something that works just to save money</w:t>
            </w:r>
            <w:r w:rsidR="00C12D9C" w:rsidRPr="00D76895">
              <w:rPr>
                <w:rFonts w:asciiTheme="minorBidi" w:hAnsiTheme="minorBidi" w:cstheme="minorBidi"/>
                <w:sz w:val="18"/>
                <w:szCs w:val="18"/>
              </w:rPr>
              <w:t>?</w:t>
            </w:r>
          </w:p>
        </w:tc>
      </w:tr>
      <w:tr w:rsidR="00D76895" w:rsidRPr="00D76895" w:rsidTr="00D825F7">
        <w:trPr>
          <w:trHeight w:val="285"/>
        </w:trPr>
        <w:tc>
          <w:tcPr>
            <w:tcW w:w="1975" w:type="dxa"/>
            <w:noWrap/>
          </w:tcPr>
          <w:p w:rsidR="002D72FC" w:rsidRPr="00D76895" w:rsidRDefault="002D72FC" w:rsidP="001159E2">
            <w:pPr>
              <w:jc w:val="both"/>
              <w:rPr>
                <w:rFonts w:asciiTheme="minorBidi" w:hAnsiTheme="minorBidi" w:cstheme="minorBidi"/>
                <w:sz w:val="18"/>
                <w:szCs w:val="18"/>
              </w:rPr>
            </w:pPr>
            <w:r w:rsidRPr="00D76895">
              <w:rPr>
                <w:rFonts w:asciiTheme="minorBidi" w:hAnsiTheme="minorBidi" w:cstheme="minorBidi"/>
                <w:sz w:val="18"/>
                <w:szCs w:val="18"/>
              </w:rPr>
              <w:t xml:space="preserve">Switching back to originator </w:t>
            </w:r>
          </w:p>
        </w:tc>
        <w:tc>
          <w:tcPr>
            <w:tcW w:w="1463" w:type="dxa"/>
            <w:noWrap/>
          </w:tcPr>
          <w:p w:rsidR="002D72FC" w:rsidRPr="00D76895" w:rsidRDefault="00CE1B8F" w:rsidP="001159E2">
            <w:pPr>
              <w:jc w:val="both"/>
              <w:rPr>
                <w:rFonts w:asciiTheme="minorBidi" w:hAnsiTheme="minorBidi" w:cstheme="minorBidi"/>
                <w:sz w:val="18"/>
                <w:szCs w:val="18"/>
              </w:rPr>
            </w:pPr>
            <w:r w:rsidRPr="00D76895">
              <w:rPr>
                <w:rFonts w:asciiTheme="minorBidi" w:hAnsiTheme="minorBidi" w:cstheme="minorBidi"/>
                <w:sz w:val="18"/>
                <w:szCs w:val="18"/>
              </w:rPr>
              <w:t>1</w:t>
            </w:r>
            <w:r w:rsidR="002D72FC" w:rsidRPr="00D76895">
              <w:rPr>
                <w:rFonts w:asciiTheme="minorBidi" w:hAnsiTheme="minorBidi" w:cstheme="minorBidi"/>
                <w:sz w:val="18"/>
                <w:szCs w:val="18"/>
              </w:rPr>
              <w:t>6 (1</w:t>
            </w:r>
            <w:r w:rsidRPr="00D76895">
              <w:rPr>
                <w:rFonts w:asciiTheme="minorBidi" w:hAnsiTheme="minorBidi" w:cstheme="minorBidi"/>
                <w:sz w:val="18"/>
                <w:szCs w:val="18"/>
              </w:rPr>
              <w:t>3</w:t>
            </w:r>
            <w:r w:rsidR="002D72FC" w:rsidRPr="00D76895">
              <w:rPr>
                <w:rFonts w:asciiTheme="minorBidi" w:hAnsiTheme="minorBidi" w:cstheme="minorBidi"/>
                <w:sz w:val="18"/>
                <w:szCs w:val="18"/>
              </w:rPr>
              <w:t>%)</w:t>
            </w:r>
          </w:p>
        </w:tc>
        <w:tc>
          <w:tcPr>
            <w:tcW w:w="1440" w:type="dxa"/>
          </w:tcPr>
          <w:p w:rsidR="002D72FC" w:rsidRPr="00D76895" w:rsidRDefault="00CE1B8F" w:rsidP="001159E2">
            <w:pPr>
              <w:jc w:val="both"/>
              <w:rPr>
                <w:rFonts w:asciiTheme="minorBidi" w:hAnsiTheme="minorBidi" w:cstheme="minorBidi"/>
                <w:sz w:val="18"/>
                <w:szCs w:val="18"/>
              </w:rPr>
            </w:pPr>
            <w:r w:rsidRPr="00D76895">
              <w:rPr>
                <w:rFonts w:asciiTheme="minorBidi" w:hAnsiTheme="minorBidi" w:cstheme="minorBidi"/>
                <w:sz w:val="18"/>
                <w:szCs w:val="18"/>
              </w:rPr>
              <w:t>10 (1</w:t>
            </w:r>
            <w:r w:rsidR="00556E93" w:rsidRPr="00D76895">
              <w:rPr>
                <w:rFonts w:asciiTheme="minorBidi" w:hAnsiTheme="minorBidi" w:cstheme="minorBidi"/>
                <w:sz w:val="18"/>
                <w:szCs w:val="18"/>
              </w:rPr>
              <w:t>7</w:t>
            </w:r>
            <w:r w:rsidR="00707E4F" w:rsidRPr="00D76895">
              <w:rPr>
                <w:rFonts w:asciiTheme="minorBidi" w:hAnsiTheme="minorBidi" w:cstheme="minorBidi"/>
                <w:sz w:val="18"/>
                <w:szCs w:val="18"/>
              </w:rPr>
              <w:t>%</w:t>
            </w:r>
            <w:r w:rsidRPr="00D76895">
              <w:rPr>
                <w:rFonts w:asciiTheme="minorBidi" w:hAnsiTheme="minorBidi" w:cstheme="minorBidi"/>
                <w:sz w:val="18"/>
                <w:szCs w:val="18"/>
              </w:rPr>
              <w:t>)</w:t>
            </w:r>
          </w:p>
        </w:tc>
        <w:tc>
          <w:tcPr>
            <w:tcW w:w="4472" w:type="dxa"/>
          </w:tcPr>
          <w:p w:rsidR="002D72FC" w:rsidRPr="00D76895" w:rsidRDefault="002D72FC" w:rsidP="001159E2">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Can I switch back to a branded etanercept if at any stage in the future I feel the biosimilar is becoming or has become less effective?</w:t>
            </w:r>
          </w:p>
          <w:p w:rsidR="002D72FC" w:rsidRPr="00D76895" w:rsidRDefault="002D72FC" w:rsidP="001159E2">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Can I switch back if biosimilar had no effect on my condition, or a lesser effect?</w:t>
            </w:r>
          </w:p>
          <w:p w:rsidR="00E50A57" w:rsidRPr="00D76895" w:rsidRDefault="00E50A57" w:rsidP="00E50A57">
            <w:pPr>
              <w:pStyle w:val="ListParagraph"/>
              <w:numPr>
                <w:ilvl w:val="0"/>
                <w:numId w:val="8"/>
              </w:numPr>
              <w:jc w:val="both"/>
              <w:rPr>
                <w:rFonts w:asciiTheme="minorBidi" w:hAnsiTheme="minorBidi" w:cstheme="minorBidi"/>
                <w:sz w:val="18"/>
                <w:szCs w:val="18"/>
              </w:rPr>
            </w:pPr>
            <w:r w:rsidRPr="00D76895">
              <w:rPr>
                <w:rFonts w:asciiTheme="minorBidi" w:hAnsiTheme="minorBidi" w:cstheme="minorBidi"/>
                <w:sz w:val="18"/>
                <w:szCs w:val="18"/>
              </w:rPr>
              <w:t>Will I be able to swap back if I don't get the same result?</w:t>
            </w:r>
          </w:p>
        </w:tc>
      </w:tr>
      <w:tr w:rsidR="00D76895" w:rsidRPr="00D76895" w:rsidTr="00D825F7">
        <w:trPr>
          <w:trHeight w:val="285"/>
        </w:trPr>
        <w:tc>
          <w:tcPr>
            <w:tcW w:w="1975" w:type="dxa"/>
            <w:noWrap/>
          </w:tcPr>
          <w:p w:rsidR="002D72FC" w:rsidRPr="00D76895" w:rsidRDefault="00707E4F" w:rsidP="001159E2">
            <w:pPr>
              <w:jc w:val="both"/>
              <w:rPr>
                <w:rFonts w:asciiTheme="minorBidi" w:hAnsiTheme="minorBidi" w:cstheme="minorBidi"/>
                <w:sz w:val="18"/>
                <w:szCs w:val="18"/>
              </w:rPr>
            </w:pPr>
            <w:r w:rsidRPr="00D76895">
              <w:rPr>
                <w:rFonts w:asciiTheme="minorBidi" w:hAnsiTheme="minorBidi" w:cstheme="minorBidi"/>
                <w:sz w:val="18"/>
                <w:szCs w:val="18"/>
              </w:rPr>
              <w:t xml:space="preserve">Switched without </w:t>
            </w:r>
            <w:r w:rsidR="00CE1B8F" w:rsidRPr="00D76895">
              <w:rPr>
                <w:rFonts w:asciiTheme="minorBidi" w:hAnsiTheme="minorBidi" w:cstheme="minorBidi"/>
                <w:sz w:val="18"/>
                <w:szCs w:val="18"/>
              </w:rPr>
              <w:t>concerns</w:t>
            </w:r>
          </w:p>
        </w:tc>
        <w:tc>
          <w:tcPr>
            <w:tcW w:w="1463" w:type="dxa"/>
            <w:noWrap/>
          </w:tcPr>
          <w:p w:rsidR="002D72FC" w:rsidRPr="00D76895" w:rsidRDefault="00500754" w:rsidP="001159E2">
            <w:pPr>
              <w:jc w:val="both"/>
              <w:rPr>
                <w:rFonts w:asciiTheme="minorBidi" w:hAnsiTheme="minorBidi" w:cstheme="minorBidi"/>
                <w:sz w:val="18"/>
                <w:szCs w:val="18"/>
              </w:rPr>
            </w:pPr>
            <w:r>
              <w:rPr>
                <w:rFonts w:asciiTheme="minorBidi" w:hAnsiTheme="minorBidi" w:cstheme="minorBidi"/>
                <w:sz w:val="18"/>
                <w:szCs w:val="18"/>
              </w:rPr>
              <w:t>Not applicable</w:t>
            </w:r>
          </w:p>
        </w:tc>
        <w:tc>
          <w:tcPr>
            <w:tcW w:w="1440" w:type="dxa"/>
          </w:tcPr>
          <w:p w:rsidR="002D72FC" w:rsidRPr="00D76895" w:rsidRDefault="00556E93" w:rsidP="001159E2">
            <w:pPr>
              <w:jc w:val="both"/>
              <w:rPr>
                <w:rFonts w:asciiTheme="minorBidi" w:hAnsiTheme="minorBidi" w:cstheme="minorBidi"/>
                <w:sz w:val="18"/>
                <w:szCs w:val="18"/>
              </w:rPr>
            </w:pPr>
            <w:r w:rsidRPr="00D76895">
              <w:rPr>
                <w:rFonts w:asciiTheme="minorBidi" w:hAnsiTheme="minorBidi" w:cstheme="minorBidi"/>
                <w:sz w:val="18"/>
                <w:szCs w:val="18"/>
              </w:rPr>
              <w:t>10</w:t>
            </w:r>
            <w:r w:rsidR="00707E4F" w:rsidRPr="00D76895">
              <w:rPr>
                <w:rFonts w:asciiTheme="minorBidi" w:hAnsiTheme="minorBidi" w:cstheme="minorBidi"/>
                <w:sz w:val="18"/>
                <w:szCs w:val="18"/>
              </w:rPr>
              <w:t xml:space="preserve"> (1</w:t>
            </w:r>
            <w:r w:rsidRPr="00D76895">
              <w:rPr>
                <w:rFonts w:asciiTheme="minorBidi" w:hAnsiTheme="minorBidi" w:cstheme="minorBidi"/>
                <w:sz w:val="18"/>
                <w:szCs w:val="18"/>
              </w:rPr>
              <w:t>7</w:t>
            </w:r>
            <w:r w:rsidR="00707E4F" w:rsidRPr="00D76895">
              <w:rPr>
                <w:rFonts w:asciiTheme="minorBidi" w:hAnsiTheme="minorBidi" w:cstheme="minorBidi"/>
                <w:sz w:val="18"/>
                <w:szCs w:val="18"/>
              </w:rPr>
              <w:t>%)</w:t>
            </w:r>
          </w:p>
        </w:tc>
        <w:tc>
          <w:tcPr>
            <w:tcW w:w="4472" w:type="dxa"/>
          </w:tcPr>
          <w:p w:rsidR="002D72FC" w:rsidRPr="00D76895" w:rsidRDefault="002D72FC" w:rsidP="001159E2">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I have switched and to date it somewhat works</w:t>
            </w:r>
          </w:p>
          <w:p w:rsidR="002D72FC" w:rsidRPr="00D76895" w:rsidRDefault="002D72FC" w:rsidP="001159E2">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My doctor switched me and I did not notice any difference</w:t>
            </w:r>
          </w:p>
          <w:p w:rsidR="00E50A57" w:rsidRPr="00D76895" w:rsidRDefault="00E50A57" w:rsidP="00E50A57">
            <w:pPr>
              <w:pStyle w:val="ListParagraph"/>
              <w:numPr>
                <w:ilvl w:val="0"/>
                <w:numId w:val="8"/>
              </w:numPr>
              <w:jc w:val="both"/>
              <w:rPr>
                <w:rFonts w:asciiTheme="minorBidi" w:hAnsiTheme="minorBidi" w:cstheme="minorBidi"/>
                <w:sz w:val="18"/>
                <w:szCs w:val="18"/>
              </w:rPr>
            </w:pPr>
            <w:r w:rsidRPr="00D76895">
              <w:rPr>
                <w:rFonts w:asciiTheme="minorBidi" w:hAnsiTheme="minorBidi" w:cstheme="minorBidi"/>
                <w:sz w:val="18"/>
                <w:szCs w:val="18"/>
              </w:rPr>
              <w:t>I have been switched to Remsima, my disease still controlled.</w:t>
            </w:r>
          </w:p>
        </w:tc>
      </w:tr>
      <w:tr w:rsidR="00D76895" w:rsidRPr="00D76895" w:rsidTr="00D825F7">
        <w:trPr>
          <w:trHeight w:val="285"/>
        </w:trPr>
        <w:tc>
          <w:tcPr>
            <w:tcW w:w="1975" w:type="dxa"/>
            <w:noWrap/>
            <w:hideMark/>
          </w:tcPr>
          <w:p w:rsidR="002D72FC" w:rsidRPr="00D76895" w:rsidRDefault="002D72FC" w:rsidP="001159E2">
            <w:pPr>
              <w:jc w:val="both"/>
              <w:rPr>
                <w:rFonts w:asciiTheme="minorBidi" w:hAnsiTheme="minorBidi" w:cstheme="minorBidi"/>
                <w:sz w:val="18"/>
                <w:szCs w:val="18"/>
              </w:rPr>
            </w:pPr>
            <w:r w:rsidRPr="00D76895">
              <w:rPr>
                <w:rFonts w:asciiTheme="minorBidi" w:hAnsiTheme="minorBidi" w:cstheme="minorBidi"/>
                <w:sz w:val="18"/>
                <w:szCs w:val="18"/>
              </w:rPr>
              <w:t>Bad experience with biosimilars after switching</w:t>
            </w:r>
          </w:p>
        </w:tc>
        <w:tc>
          <w:tcPr>
            <w:tcW w:w="1463" w:type="dxa"/>
            <w:noWrap/>
            <w:hideMark/>
          </w:tcPr>
          <w:p w:rsidR="002D72FC" w:rsidRPr="00D76895" w:rsidRDefault="002D72FC" w:rsidP="001159E2">
            <w:pPr>
              <w:jc w:val="both"/>
              <w:rPr>
                <w:rFonts w:asciiTheme="minorBidi" w:hAnsiTheme="minorBidi" w:cstheme="minorBidi"/>
                <w:sz w:val="18"/>
                <w:szCs w:val="18"/>
              </w:rPr>
            </w:pPr>
            <w:r w:rsidRPr="00D76895">
              <w:rPr>
                <w:rFonts w:asciiTheme="minorBidi" w:hAnsiTheme="minorBidi" w:cstheme="minorBidi"/>
                <w:sz w:val="18"/>
                <w:szCs w:val="18"/>
              </w:rPr>
              <w:t>5 (</w:t>
            </w:r>
            <w:r w:rsidR="00707E4F" w:rsidRPr="00D76895">
              <w:rPr>
                <w:rFonts w:asciiTheme="minorBidi" w:hAnsiTheme="minorBidi" w:cstheme="minorBidi"/>
                <w:sz w:val="18"/>
                <w:szCs w:val="18"/>
              </w:rPr>
              <w:t>5</w:t>
            </w:r>
            <w:r w:rsidRPr="00D76895">
              <w:rPr>
                <w:rFonts w:asciiTheme="minorBidi" w:hAnsiTheme="minorBidi" w:cstheme="minorBidi"/>
                <w:sz w:val="18"/>
                <w:szCs w:val="18"/>
              </w:rPr>
              <w:t>%)</w:t>
            </w:r>
          </w:p>
        </w:tc>
        <w:tc>
          <w:tcPr>
            <w:tcW w:w="1440" w:type="dxa"/>
          </w:tcPr>
          <w:p w:rsidR="002D72FC" w:rsidRPr="00D76895" w:rsidRDefault="00CE1B8F" w:rsidP="001159E2">
            <w:pPr>
              <w:jc w:val="both"/>
              <w:rPr>
                <w:rFonts w:asciiTheme="minorBidi" w:hAnsiTheme="minorBidi" w:cstheme="minorBidi"/>
                <w:sz w:val="18"/>
                <w:szCs w:val="18"/>
              </w:rPr>
            </w:pPr>
            <w:r w:rsidRPr="00D76895">
              <w:rPr>
                <w:rFonts w:asciiTheme="minorBidi" w:hAnsiTheme="minorBidi" w:cstheme="minorBidi"/>
                <w:sz w:val="18"/>
                <w:szCs w:val="18"/>
              </w:rPr>
              <w:t>0</w:t>
            </w:r>
            <w:r w:rsidR="00707E4F" w:rsidRPr="00D76895">
              <w:rPr>
                <w:rFonts w:asciiTheme="minorBidi" w:hAnsiTheme="minorBidi" w:cstheme="minorBidi"/>
                <w:sz w:val="18"/>
                <w:szCs w:val="18"/>
              </w:rPr>
              <w:t xml:space="preserve"> (0%)</w:t>
            </w:r>
          </w:p>
        </w:tc>
        <w:tc>
          <w:tcPr>
            <w:tcW w:w="4472" w:type="dxa"/>
          </w:tcPr>
          <w:p w:rsidR="002D72FC" w:rsidRPr="00D76895" w:rsidRDefault="002D72FC" w:rsidP="001159E2">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I have previously been switched from Enbrel to Ben</w:t>
            </w:r>
            <w:r w:rsidR="00C12D9C" w:rsidRPr="00D76895">
              <w:rPr>
                <w:rFonts w:asciiTheme="minorBidi" w:hAnsiTheme="minorBidi" w:cstheme="minorBidi"/>
                <w:sz w:val="18"/>
                <w:szCs w:val="18"/>
              </w:rPr>
              <w:t>e</w:t>
            </w:r>
            <w:r w:rsidRPr="00D76895">
              <w:rPr>
                <w:rFonts w:asciiTheme="minorBidi" w:hAnsiTheme="minorBidi" w:cstheme="minorBidi"/>
                <w:sz w:val="18"/>
                <w:szCs w:val="18"/>
              </w:rPr>
              <w:t xml:space="preserve">pali which resulted in nausea, fever and feeling dizzy after the first injection. After 8 weeks, I was switched back onto Enbrel and have had no further issues since. </w:t>
            </w:r>
          </w:p>
          <w:p w:rsidR="002D72FC" w:rsidRPr="00D76895" w:rsidRDefault="002D72FC" w:rsidP="001159E2">
            <w:pPr>
              <w:pStyle w:val="ListParagraph"/>
              <w:numPr>
                <w:ilvl w:val="0"/>
                <w:numId w:val="8"/>
              </w:numPr>
              <w:ind w:left="339"/>
              <w:jc w:val="both"/>
              <w:rPr>
                <w:rFonts w:asciiTheme="minorBidi" w:hAnsiTheme="minorBidi" w:cstheme="minorBidi"/>
                <w:sz w:val="18"/>
                <w:szCs w:val="18"/>
              </w:rPr>
            </w:pPr>
            <w:r w:rsidRPr="00D76895">
              <w:rPr>
                <w:rFonts w:asciiTheme="minorBidi" w:hAnsiTheme="minorBidi" w:cstheme="minorBidi"/>
                <w:sz w:val="18"/>
                <w:szCs w:val="18"/>
              </w:rPr>
              <w:t>I tried Benepali and it did not work for me, my symptoms came back worse than ever and in more joints, I have had to switch back.</w:t>
            </w:r>
          </w:p>
          <w:p w:rsidR="00E50A57" w:rsidRPr="00D76895" w:rsidRDefault="00E50A57" w:rsidP="00E50A57">
            <w:pPr>
              <w:pStyle w:val="ListParagraph"/>
              <w:numPr>
                <w:ilvl w:val="0"/>
                <w:numId w:val="8"/>
              </w:numPr>
              <w:jc w:val="both"/>
              <w:rPr>
                <w:rFonts w:asciiTheme="minorBidi" w:hAnsiTheme="minorBidi" w:cstheme="minorBidi"/>
                <w:sz w:val="18"/>
                <w:szCs w:val="18"/>
              </w:rPr>
            </w:pPr>
            <w:r w:rsidRPr="00D76895">
              <w:rPr>
                <w:rFonts w:asciiTheme="minorBidi" w:hAnsiTheme="minorBidi" w:cstheme="minorBidi"/>
                <w:sz w:val="18"/>
                <w:szCs w:val="18"/>
              </w:rPr>
              <w:t xml:space="preserve">When I switched to </w:t>
            </w:r>
            <w:r w:rsidR="00C12D9C" w:rsidRPr="00D76895">
              <w:rPr>
                <w:rFonts w:asciiTheme="minorBidi" w:hAnsiTheme="minorBidi" w:cstheme="minorBidi"/>
                <w:sz w:val="18"/>
                <w:szCs w:val="18"/>
              </w:rPr>
              <w:t>B</w:t>
            </w:r>
            <w:r w:rsidRPr="00D76895">
              <w:rPr>
                <w:rFonts w:asciiTheme="minorBidi" w:hAnsiTheme="minorBidi" w:cstheme="minorBidi"/>
                <w:sz w:val="18"/>
                <w:szCs w:val="18"/>
              </w:rPr>
              <w:t>enepali, side effects increased</w:t>
            </w:r>
          </w:p>
        </w:tc>
      </w:tr>
    </w:tbl>
    <w:p w:rsidR="00AA5AF7" w:rsidRPr="00D76895" w:rsidRDefault="00AA5AF7" w:rsidP="001159E2">
      <w:pPr>
        <w:jc w:val="both"/>
        <w:rPr>
          <w:rFonts w:asciiTheme="majorBidi" w:hAnsiTheme="majorBidi" w:cstheme="majorBidi"/>
          <w:sz w:val="20"/>
          <w:szCs w:val="20"/>
        </w:rPr>
        <w:sectPr w:rsidR="00AA5AF7" w:rsidRPr="00D76895" w:rsidSect="00FC1C03">
          <w:footerReference w:type="default" r:id="rId10"/>
          <w:type w:val="continuous"/>
          <w:pgSz w:w="12240" w:h="15840"/>
          <w:pgMar w:top="1440" w:right="1440" w:bottom="1440" w:left="1440" w:header="720" w:footer="720" w:gutter="0"/>
          <w:cols w:space="720"/>
          <w:docGrid w:linePitch="360"/>
        </w:sectPr>
      </w:pPr>
    </w:p>
    <w:p w:rsidR="00AA5AF7" w:rsidRPr="00186CE8" w:rsidRDefault="00AA5AF7" w:rsidP="003C5888">
      <w:pPr>
        <w:pStyle w:val="ListParagraph"/>
        <w:numPr>
          <w:ilvl w:val="0"/>
          <w:numId w:val="9"/>
        </w:numPr>
        <w:jc w:val="both"/>
        <w:rPr>
          <w:rFonts w:asciiTheme="majorBidi" w:hAnsiTheme="majorBidi" w:cstheme="majorBidi"/>
          <w:b/>
          <w:bCs/>
          <w:sz w:val="20"/>
          <w:szCs w:val="20"/>
        </w:rPr>
      </w:pPr>
      <w:r w:rsidRPr="00186CE8">
        <w:rPr>
          <w:rFonts w:asciiTheme="majorBidi" w:hAnsiTheme="majorBidi" w:cstheme="majorBidi"/>
          <w:b/>
          <w:bCs/>
          <w:sz w:val="20"/>
          <w:szCs w:val="20"/>
        </w:rPr>
        <w:lastRenderedPageBreak/>
        <w:t>Discussion</w:t>
      </w:r>
    </w:p>
    <w:p w:rsidR="00E06325" w:rsidRPr="00D76895" w:rsidRDefault="00EE22E2" w:rsidP="0088646E">
      <w:pPr>
        <w:jc w:val="both"/>
        <w:rPr>
          <w:rFonts w:asciiTheme="majorBidi" w:hAnsiTheme="majorBidi" w:cstheme="majorBidi"/>
          <w:sz w:val="20"/>
          <w:szCs w:val="20"/>
        </w:rPr>
      </w:pPr>
      <w:r>
        <w:rPr>
          <w:rFonts w:asciiTheme="majorBidi" w:hAnsiTheme="majorBidi" w:cstheme="majorBidi"/>
          <w:sz w:val="20"/>
          <w:szCs w:val="20"/>
        </w:rPr>
        <w:t>A</w:t>
      </w:r>
      <w:r w:rsidR="00293216" w:rsidRPr="00D76895">
        <w:rPr>
          <w:rFonts w:asciiTheme="majorBidi" w:hAnsiTheme="majorBidi" w:cstheme="majorBidi"/>
          <w:sz w:val="20"/>
          <w:szCs w:val="20"/>
        </w:rPr>
        <w:t xml:space="preserve">lmost three quarters </w:t>
      </w:r>
      <w:r w:rsidR="00A50B1B" w:rsidRPr="00D76895">
        <w:rPr>
          <w:rFonts w:asciiTheme="majorBidi" w:hAnsiTheme="majorBidi" w:cstheme="majorBidi"/>
          <w:sz w:val="20"/>
          <w:szCs w:val="20"/>
        </w:rPr>
        <w:t xml:space="preserve">of the </w:t>
      </w:r>
      <w:r w:rsidR="00293216" w:rsidRPr="00D76895">
        <w:rPr>
          <w:rFonts w:asciiTheme="majorBidi" w:hAnsiTheme="majorBidi" w:cstheme="majorBidi"/>
          <w:sz w:val="20"/>
          <w:szCs w:val="20"/>
        </w:rPr>
        <w:t xml:space="preserve">participants </w:t>
      </w:r>
      <w:r w:rsidR="00A50B1B" w:rsidRPr="00D76895">
        <w:rPr>
          <w:rFonts w:asciiTheme="majorBidi" w:hAnsiTheme="majorBidi" w:cstheme="majorBidi"/>
          <w:sz w:val="20"/>
          <w:szCs w:val="20"/>
        </w:rPr>
        <w:t>were on etanercept. This is not surprising due to the preferred method of administration of etanercept (</w:t>
      </w:r>
      <w:r w:rsidR="007E45EA" w:rsidRPr="00D76895">
        <w:rPr>
          <w:rFonts w:asciiTheme="majorBidi" w:hAnsiTheme="majorBidi" w:cstheme="majorBidi"/>
          <w:sz w:val="20"/>
          <w:szCs w:val="20"/>
        </w:rPr>
        <w:t>self-administration</w:t>
      </w:r>
      <w:r w:rsidR="00A50B1B" w:rsidRPr="00D76895">
        <w:rPr>
          <w:rFonts w:asciiTheme="majorBidi" w:hAnsiTheme="majorBidi" w:cstheme="majorBidi"/>
          <w:sz w:val="20"/>
          <w:szCs w:val="20"/>
        </w:rPr>
        <w:t xml:space="preserve"> by subcutaneous injections or pen injectors</w:t>
      </w:r>
      <w:r w:rsidR="00293216" w:rsidRPr="00D76895">
        <w:rPr>
          <w:rFonts w:asciiTheme="majorBidi" w:hAnsiTheme="majorBidi" w:cstheme="majorBidi"/>
          <w:sz w:val="20"/>
          <w:szCs w:val="20"/>
        </w:rPr>
        <w:t xml:space="preserve"> at home</w:t>
      </w:r>
      <w:r w:rsidR="00A50B1B" w:rsidRPr="00D76895">
        <w:rPr>
          <w:rFonts w:asciiTheme="majorBidi" w:hAnsiTheme="majorBidi" w:cstheme="majorBidi"/>
          <w:sz w:val="20"/>
          <w:szCs w:val="20"/>
        </w:rPr>
        <w:t xml:space="preserve">) compared to intravenous </w:t>
      </w:r>
      <w:r w:rsidR="007E45EA" w:rsidRPr="00D76895">
        <w:rPr>
          <w:rFonts w:asciiTheme="majorBidi" w:hAnsiTheme="majorBidi" w:cstheme="majorBidi"/>
          <w:sz w:val="20"/>
          <w:szCs w:val="20"/>
        </w:rPr>
        <w:t xml:space="preserve">infusion of infliximab </w:t>
      </w:r>
      <w:r w:rsidR="00293216" w:rsidRPr="00D76895">
        <w:rPr>
          <w:rFonts w:asciiTheme="majorBidi" w:hAnsiTheme="majorBidi" w:cstheme="majorBidi"/>
          <w:sz w:val="20"/>
          <w:szCs w:val="20"/>
        </w:rPr>
        <w:t>in a hospital setting</w:t>
      </w:r>
      <w:r w:rsidR="007E45EA" w:rsidRPr="00D76895">
        <w:rPr>
          <w:rFonts w:asciiTheme="majorBidi" w:hAnsiTheme="majorBidi" w:cstheme="majorBidi"/>
          <w:sz w:val="20"/>
          <w:szCs w:val="20"/>
        </w:rPr>
        <w:t xml:space="preserve">. This finding was in line with other studies that showed </w:t>
      </w:r>
      <w:r w:rsidR="003927AD" w:rsidRPr="00D76895">
        <w:rPr>
          <w:rFonts w:asciiTheme="majorBidi" w:hAnsiTheme="majorBidi" w:cstheme="majorBidi"/>
          <w:sz w:val="20"/>
          <w:szCs w:val="20"/>
        </w:rPr>
        <w:t xml:space="preserve">etanercept and adalimumab were the market dominant </w:t>
      </w:r>
      <w:r w:rsidR="00293216" w:rsidRPr="00D76895">
        <w:rPr>
          <w:rFonts w:asciiTheme="majorBidi" w:hAnsiTheme="majorBidi" w:cstheme="majorBidi"/>
          <w:sz w:val="20"/>
          <w:szCs w:val="20"/>
        </w:rPr>
        <w:t>anti</w:t>
      </w:r>
      <w:r w:rsidR="004B7455">
        <w:rPr>
          <w:rFonts w:asciiTheme="majorBidi" w:hAnsiTheme="majorBidi" w:cstheme="majorBidi"/>
          <w:sz w:val="20"/>
          <w:szCs w:val="20"/>
        </w:rPr>
        <w:t>-</w:t>
      </w:r>
      <w:r w:rsidR="00293216" w:rsidRPr="00D76895">
        <w:rPr>
          <w:rFonts w:asciiTheme="majorBidi" w:hAnsiTheme="majorBidi" w:cstheme="majorBidi"/>
          <w:sz w:val="20"/>
          <w:szCs w:val="20"/>
        </w:rPr>
        <w:t xml:space="preserve">TNF biologics </w:t>
      </w:r>
      <w:r w:rsidR="003927AD" w:rsidRPr="00D76895">
        <w:rPr>
          <w:rFonts w:asciiTheme="majorBidi" w:hAnsiTheme="majorBidi" w:cstheme="majorBidi"/>
          <w:sz w:val="20"/>
          <w:szCs w:val="20"/>
        </w:rPr>
        <w:t xml:space="preserve">in rheumatology </w:t>
      </w:r>
      <w:proofErr w:type="gramStart"/>
      <w:r w:rsidR="003927AD" w:rsidRPr="00D76895">
        <w:rPr>
          <w:rFonts w:asciiTheme="majorBidi" w:hAnsiTheme="majorBidi" w:cstheme="majorBidi"/>
          <w:sz w:val="20"/>
          <w:szCs w:val="20"/>
        </w:rPr>
        <w:t>[</w:t>
      </w:r>
      <w:r w:rsidR="002B7316" w:rsidRPr="00D76895">
        <w:rPr>
          <w:rFonts w:asciiTheme="majorBidi" w:hAnsiTheme="majorBidi" w:cstheme="majorBidi"/>
          <w:sz w:val="20"/>
          <w:szCs w:val="20"/>
        </w:rPr>
        <w:t xml:space="preserve"> 9</w:t>
      </w:r>
      <w:proofErr w:type="gramEnd"/>
      <w:r w:rsidR="002B7316" w:rsidRPr="00D76895">
        <w:rPr>
          <w:rFonts w:asciiTheme="majorBidi" w:hAnsiTheme="majorBidi" w:cstheme="majorBidi"/>
          <w:sz w:val="20"/>
          <w:szCs w:val="20"/>
        </w:rPr>
        <w:t>,</w:t>
      </w:r>
      <w:r w:rsidR="003927AD" w:rsidRPr="00D76895">
        <w:rPr>
          <w:rFonts w:asciiTheme="majorBidi" w:hAnsiTheme="majorBidi" w:cstheme="majorBidi"/>
          <w:sz w:val="20"/>
          <w:szCs w:val="20"/>
        </w:rPr>
        <w:t xml:space="preserve"> </w:t>
      </w:r>
      <w:r w:rsidR="00567E62" w:rsidRPr="00D76895">
        <w:rPr>
          <w:rFonts w:asciiTheme="majorBidi" w:hAnsiTheme="majorBidi" w:cstheme="majorBidi"/>
          <w:sz w:val="20"/>
          <w:szCs w:val="20"/>
        </w:rPr>
        <w:t>1</w:t>
      </w:r>
      <w:r w:rsidR="00567E62">
        <w:rPr>
          <w:rFonts w:asciiTheme="majorBidi" w:hAnsiTheme="majorBidi" w:cstheme="majorBidi"/>
          <w:sz w:val="20"/>
          <w:szCs w:val="20"/>
        </w:rPr>
        <w:t>5</w:t>
      </w:r>
      <w:r w:rsidR="003927AD" w:rsidRPr="00D76895">
        <w:rPr>
          <w:rFonts w:asciiTheme="majorBidi" w:hAnsiTheme="majorBidi" w:cstheme="majorBidi"/>
          <w:sz w:val="20"/>
          <w:szCs w:val="20"/>
        </w:rPr>
        <w:t>].</w:t>
      </w:r>
      <w:r w:rsidR="007E45EA" w:rsidRPr="00D76895">
        <w:rPr>
          <w:rFonts w:asciiTheme="majorBidi" w:hAnsiTheme="majorBidi" w:cstheme="majorBidi"/>
          <w:sz w:val="20"/>
          <w:szCs w:val="20"/>
        </w:rPr>
        <w:t xml:space="preserve"> </w:t>
      </w:r>
      <w:r w:rsidR="00293216" w:rsidRPr="00D76895">
        <w:rPr>
          <w:rFonts w:asciiTheme="majorBidi" w:hAnsiTheme="majorBidi" w:cstheme="majorBidi"/>
          <w:sz w:val="20"/>
          <w:szCs w:val="20"/>
        </w:rPr>
        <w:t>T</w:t>
      </w:r>
      <w:r w:rsidR="00522219" w:rsidRPr="00D76895">
        <w:rPr>
          <w:rFonts w:asciiTheme="majorBidi" w:hAnsiTheme="majorBidi" w:cstheme="majorBidi"/>
          <w:sz w:val="20"/>
          <w:szCs w:val="20"/>
        </w:rPr>
        <w:t>he</w:t>
      </w:r>
      <w:r w:rsidR="003927AD" w:rsidRPr="00D76895">
        <w:rPr>
          <w:rFonts w:asciiTheme="majorBidi" w:hAnsiTheme="majorBidi" w:cstheme="majorBidi"/>
          <w:sz w:val="20"/>
          <w:szCs w:val="20"/>
        </w:rPr>
        <w:t xml:space="preserve"> </w:t>
      </w:r>
      <w:r w:rsidR="00522219" w:rsidRPr="00D76895">
        <w:rPr>
          <w:rFonts w:asciiTheme="majorBidi" w:hAnsiTheme="majorBidi" w:cstheme="majorBidi"/>
          <w:sz w:val="20"/>
          <w:szCs w:val="20"/>
        </w:rPr>
        <w:t xml:space="preserve">uptake of </w:t>
      </w:r>
      <w:r w:rsidR="003927AD" w:rsidRPr="00D76895">
        <w:rPr>
          <w:rFonts w:asciiTheme="majorBidi" w:hAnsiTheme="majorBidi" w:cstheme="majorBidi"/>
          <w:sz w:val="20"/>
          <w:szCs w:val="20"/>
        </w:rPr>
        <w:t>biosimilar</w:t>
      </w:r>
      <w:r w:rsidR="00522219" w:rsidRPr="00D76895">
        <w:rPr>
          <w:rFonts w:asciiTheme="majorBidi" w:hAnsiTheme="majorBidi" w:cstheme="majorBidi"/>
          <w:sz w:val="20"/>
          <w:szCs w:val="20"/>
        </w:rPr>
        <w:t>s was also higher among</w:t>
      </w:r>
      <w:r w:rsidR="003927AD" w:rsidRPr="00D76895">
        <w:rPr>
          <w:rFonts w:asciiTheme="majorBidi" w:hAnsiTheme="majorBidi" w:cstheme="majorBidi"/>
          <w:sz w:val="20"/>
          <w:szCs w:val="20"/>
        </w:rPr>
        <w:t xml:space="preserve"> </w:t>
      </w:r>
      <w:r w:rsidR="00293216" w:rsidRPr="00D76895">
        <w:rPr>
          <w:rFonts w:asciiTheme="majorBidi" w:hAnsiTheme="majorBidi" w:cstheme="majorBidi"/>
          <w:sz w:val="20"/>
          <w:szCs w:val="20"/>
        </w:rPr>
        <w:t xml:space="preserve">participants on </w:t>
      </w:r>
      <w:r w:rsidR="003927AD" w:rsidRPr="00D76895">
        <w:rPr>
          <w:rFonts w:asciiTheme="majorBidi" w:hAnsiTheme="majorBidi" w:cstheme="majorBidi"/>
          <w:sz w:val="20"/>
          <w:szCs w:val="20"/>
        </w:rPr>
        <w:t xml:space="preserve">etanercept </w:t>
      </w:r>
      <w:r w:rsidR="00522219" w:rsidRPr="00D76895">
        <w:rPr>
          <w:rFonts w:asciiTheme="majorBidi" w:hAnsiTheme="majorBidi" w:cstheme="majorBidi"/>
          <w:sz w:val="20"/>
          <w:szCs w:val="20"/>
        </w:rPr>
        <w:t xml:space="preserve">(40%) </w:t>
      </w:r>
      <w:r w:rsidR="003927AD" w:rsidRPr="00D76895">
        <w:rPr>
          <w:rFonts w:asciiTheme="majorBidi" w:hAnsiTheme="majorBidi" w:cstheme="majorBidi"/>
          <w:sz w:val="20"/>
          <w:szCs w:val="20"/>
        </w:rPr>
        <w:t xml:space="preserve">in comparison with </w:t>
      </w:r>
      <w:r w:rsidR="003E046D">
        <w:rPr>
          <w:rFonts w:asciiTheme="majorBidi" w:hAnsiTheme="majorBidi" w:cstheme="majorBidi"/>
          <w:sz w:val="20"/>
          <w:szCs w:val="20"/>
        </w:rPr>
        <w:t xml:space="preserve">those on </w:t>
      </w:r>
      <w:r w:rsidR="003927AD" w:rsidRPr="00D76895">
        <w:rPr>
          <w:rFonts w:asciiTheme="majorBidi" w:hAnsiTheme="majorBidi" w:cstheme="majorBidi"/>
          <w:sz w:val="20"/>
          <w:szCs w:val="20"/>
        </w:rPr>
        <w:t xml:space="preserve">infliximab </w:t>
      </w:r>
      <w:r w:rsidR="00522219" w:rsidRPr="00D76895">
        <w:rPr>
          <w:rFonts w:asciiTheme="majorBidi" w:hAnsiTheme="majorBidi" w:cstheme="majorBidi"/>
          <w:sz w:val="20"/>
          <w:szCs w:val="20"/>
        </w:rPr>
        <w:t>(24%)</w:t>
      </w:r>
      <w:r w:rsidR="003A5F4E" w:rsidRPr="00D76895">
        <w:rPr>
          <w:rFonts w:asciiTheme="majorBidi" w:hAnsiTheme="majorBidi" w:cstheme="majorBidi"/>
          <w:sz w:val="20"/>
          <w:szCs w:val="20"/>
        </w:rPr>
        <w:t xml:space="preserve"> which may also be due to the greater experience of rheumatologists with etanercept than infliximab and is in</w:t>
      </w:r>
      <w:r w:rsidR="003E3881">
        <w:rPr>
          <w:rFonts w:asciiTheme="majorBidi" w:hAnsiTheme="majorBidi" w:cstheme="majorBidi"/>
          <w:sz w:val="20"/>
          <w:szCs w:val="20"/>
        </w:rPr>
        <w:t xml:space="preserve"> line with our previous study on</w:t>
      </w:r>
      <w:r w:rsidR="003A5F4E" w:rsidRPr="00D76895">
        <w:rPr>
          <w:rFonts w:asciiTheme="majorBidi" w:hAnsiTheme="majorBidi" w:cstheme="majorBidi"/>
          <w:sz w:val="20"/>
          <w:szCs w:val="20"/>
        </w:rPr>
        <w:t xml:space="preserve"> </w:t>
      </w:r>
      <w:r w:rsidR="004100C9">
        <w:rPr>
          <w:rFonts w:asciiTheme="majorBidi" w:hAnsiTheme="majorBidi" w:cstheme="majorBidi"/>
          <w:sz w:val="20"/>
          <w:szCs w:val="20"/>
        </w:rPr>
        <w:t>HCPs</w:t>
      </w:r>
      <w:r w:rsidR="003A5F4E" w:rsidRPr="00D76895">
        <w:rPr>
          <w:rFonts w:asciiTheme="majorBidi" w:hAnsiTheme="majorBidi" w:cstheme="majorBidi"/>
          <w:sz w:val="20"/>
          <w:szCs w:val="20"/>
        </w:rPr>
        <w:t xml:space="preserve"> [</w:t>
      </w:r>
      <w:r w:rsidR="002B7316" w:rsidRPr="00D76895">
        <w:rPr>
          <w:rFonts w:asciiTheme="majorBidi" w:hAnsiTheme="majorBidi" w:cstheme="majorBidi"/>
          <w:sz w:val="20"/>
          <w:szCs w:val="20"/>
        </w:rPr>
        <w:t>9</w:t>
      </w:r>
      <w:r w:rsidR="003A5F4E" w:rsidRPr="00D76895">
        <w:rPr>
          <w:rFonts w:asciiTheme="majorBidi" w:hAnsiTheme="majorBidi" w:cstheme="majorBidi"/>
          <w:sz w:val="20"/>
          <w:szCs w:val="20"/>
        </w:rPr>
        <w:t>]</w:t>
      </w:r>
      <w:proofErr w:type="gramStart"/>
      <w:r w:rsidR="003A5F4E" w:rsidRPr="00D76895">
        <w:rPr>
          <w:rFonts w:asciiTheme="majorBidi" w:hAnsiTheme="majorBidi" w:cstheme="majorBidi"/>
          <w:sz w:val="20"/>
          <w:szCs w:val="20"/>
        </w:rPr>
        <w:t>.</w:t>
      </w:r>
      <w:r w:rsidR="002B7316" w:rsidRPr="00AF15EB">
        <w:rPr>
          <w:rFonts w:asciiTheme="majorBidi" w:hAnsiTheme="majorBidi" w:cstheme="majorBidi"/>
          <w:sz w:val="20"/>
          <w:szCs w:val="20"/>
        </w:rPr>
        <w:t>.</w:t>
      </w:r>
      <w:proofErr w:type="gramEnd"/>
      <w:r w:rsidR="006C2D79" w:rsidRPr="00AF15EB">
        <w:rPr>
          <w:rFonts w:asciiTheme="majorBidi" w:hAnsiTheme="majorBidi" w:cstheme="majorBidi"/>
          <w:sz w:val="20"/>
          <w:szCs w:val="20"/>
        </w:rPr>
        <w:t xml:space="preserve"> </w:t>
      </w:r>
      <w:r w:rsidR="008C6ABC">
        <w:rPr>
          <w:rFonts w:asciiTheme="majorBidi" w:hAnsiTheme="majorBidi" w:cstheme="majorBidi"/>
          <w:sz w:val="20"/>
          <w:szCs w:val="20"/>
        </w:rPr>
        <w:t xml:space="preserve">In </w:t>
      </w:r>
      <w:r w:rsidR="00B43074">
        <w:rPr>
          <w:rFonts w:asciiTheme="majorBidi" w:hAnsiTheme="majorBidi" w:cstheme="majorBidi"/>
          <w:sz w:val="20"/>
          <w:szCs w:val="20"/>
        </w:rPr>
        <w:t>April</w:t>
      </w:r>
      <w:r w:rsidR="008C6ABC">
        <w:rPr>
          <w:rFonts w:asciiTheme="majorBidi" w:hAnsiTheme="majorBidi" w:cstheme="majorBidi"/>
          <w:sz w:val="20"/>
          <w:szCs w:val="20"/>
        </w:rPr>
        <w:t xml:space="preserve"> 2017, t</w:t>
      </w:r>
      <w:r w:rsidR="008C6ABC" w:rsidRPr="008C6ABC">
        <w:rPr>
          <w:rFonts w:asciiTheme="majorBidi" w:hAnsiTheme="majorBidi" w:cstheme="majorBidi"/>
          <w:sz w:val="20"/>
          <w:szCs w:val="20"/>
        </w:rPr>
        <w:t xml:space="preserve">he NHS England Medicines Optimisation Dashboard </w:t>
      </w:r>
      <w:r w:rsidR="008C6ABC">
        <w:rPr>
          <w:rFonts w:asciiTheme="majorBidi" w:hAnsiTheme="majorBidi" w:cstheme="majorBidi"/>
          <w:sz w:val="20"/>
          <w:szCs w:val="20"/>
        </w:rPr>
        <w:t>report, indicate</w:t>
      </w:r>
      <w:r w:rsidR="00B43074">
        <w:rPr>
          <w:rFonts w:asciiTheme="majorBidi" w:hAnsiTheme="majorBidi" w:cstheme="majorBidi"/>
          <w:sz w:val="20"/>
          <w:szCs w:val="20"/>
        </w:rPr>
        <w:t>d</w:t>
      </w:r>
      <w:r w:rsidR="008C6ABC">
        <w:rPr>
          <w:rFonts w:asciiTheme="majorBidi" w:hAnsiTheme="majorBidi" w:cstheme="majorBidi"/>
          <w:sz w:val="20"/>
          <w:szCs w:val="20"/>
        </w:rPr>
        <w:t xml:space="preserve"> that</w:t>
      </w:r>
      <w:r w:rsidR="008C6ABC" w:rsidRPr="008C6ABC">
        <w:rPr>
          <w:rFonts w:asciiTheme="majorBidi" w:hAnsiTheme="majorBidi" w:cstheme="majorBidi"/>
          <w:sz w:val="20"/>
          <w:szCs w:val="20"/>
        </w:rPr>
        <w:t xml:space="preserve"> the median use of infliximab biosimilars as a proportion of all infliximab by hospital Trusts </w:t>
      </w:r>
      <w:r w:rsidR="008C6ABC">
        <w:rPr>
          <w:rFonts w:asciiTheme="majorBidi" w:hAnsiTheme="majorBidi" w:cstheme="majorBidi"/>
          <w:sz w:val="20"/>
          <w:szCs w:val="20"/>
        </w:rPr>
        <w:t>was</w:t>
      </w:r>
      <w:r w:rsidR="008C6ABC" w:rsidRPr="008C6ABC">
        <w:rPr>
          <w:rFonts w:asciiTheme="majorBidi" w:hAnsiTheme="majorBidi" w:cstheme="majorBidi"/>
          <w:sz w:val="20"/>
          <w:szCs w:val="20"/>
        </w:rPr>
        <w:t xml:space="preserve"> about 76%, and infliximab biosimilars use was more than 95% in 20 hospital Trusts. Similarly, the median use of etanercept biosimilar as a proportion of all etanercept is about 66%, and etanercept biosimilar use was more than 95% in 14 hospital Trusts</w:t>
      </w:r>
      <w:r w:rsidR="00567E62">
        <w:rPr>
          <w:rFonts w:asciiTheme="majorBidi" w:hAnsiTheme="majorBidi" w:cstheme="majorBidi"/>
          <w:sz w:val="20"/>
          <w:szCs w:val="20"/>
        </w:rPr>
        <w:t xml:space="preserve"> [16]</w:t>
      </w:r>
      <w:r w:rsidR="008C6ABC" w:rsidRPr="008C6ABC">
        <w:rPr>
          <w:rFonts w:asciiTheme="majorBidi" w:hAnsiTheme="majorBidi" w:cstheme="majorBidi"/>
          <w:sz w:val="20"/>
          <w:szCs w:val="20"/>
        </w:rPr>
        <w:t>.</w:t>
      </w:r>
    </w:p>
    <w:p w:rsidR="00744116" w:rsidRPr="00D76895" w:rsidRDefault="00EE22E2" w:rsidP="005200D3">
      <w:pPr>
        <w:jc w:val="both"/>
        <w:rPr>
          <w:rFonts w:asciiTheme="majorBidi" w:hAnsiTheme="majorBidi" w:cstheme="majorBidi"/>
          <w:sz w:val="20"/>
          <w:szCs w:val="20"/>
        </w:rPr>
      </w:pPr>
      <w:r>
        <w:rPr>
          <w:rFonts w:asciiTheme="majorBidi" w:hAnsiTheme="majorBidi" w:cstheme="majorBidi"/>
          <w:sz w:val="20"/>
          <w:szCs w:val="20"/>
        </w:rPr>
        <w:t>A</w:t>
      </w:r>
      <w:r w:rsidR="00E06325" w:rsidRPr="00D76895">
        <w:rPr>
          <w:rFonts w:asciiTheme="majorBidi" w:hAnsiTheme="majorBidi" w:cstheme="majorBidi"/>
          <w:sz w:val="20"/>
          <w:szCs w:val="20"/>
        </w:rPr>
        <w:t xml:space="preserve">ll AS and RA patients </w:t>
      </w:r>
      <w:r w:rsidR="00005603">
        <w:rPr>
          <w:rFonts w:asciiTheme="majorBidi" w:hAnsiTheme="majorBidi" w:cstheme="majorBidi"/>
          <w:sz w:val="20"/>
          <w:szCs w:val="20"/>
        </w:rPr>
        <w:t>on</w:t>
      </w:r>
      <w:r w:rsidR="00E06325" w:rsidRPr="00D76895">
        <w:rPr>
          <w:rFonts w:asciiTheme="majorBidi" w:hAnsiTheme="majorBidi" w:cstheme="majorBidi"/>
          <w:sz w:val="20"/>
          <w:szCs w:val="20"/>
        </w:rPr>
        <w:t xml:space="preserve"> originator</w:t>
      </w:r>
      <w:r w:rsidR="00005603">
        <w:rPr>
          <w:rFonts w:asciiTheme="majorBidi" w:hAnsiTheme="majorBidi" w:cstheme="majorBidi"/>
          <w:sz w:val="20"/>
          <w:szCs w:val="20"/>
        </w:rPr>
        <w:t xml:space="preserve"> biologic</w:t>
      </w:r>
      <w:r w:rsidR="00D14EF4">
        <w:rPr>
          <w:rFonts w:asciiTheme="majorBidi" w:hAnsiTheme="majorBidi" w:cstheme="majorBidi"/>
          <w:sz w:val="20"/>
          <w:szCs w:val="20"/>
        </w:rPr>
        <w:t>s</w:t>
      </w:r>
      <w:r w:rsidR="00E06325" w:rsidRPr="00D76895">
        <w:rPr>
          <w:rFonts w:asciiTheme="majorBidi" w:hAnsiTheme="majorBidi" w:cstheme="majorBidi"/>
          <w:sz w:val="20"/>
          <w:szCs w:val="20"/>
        </w:rPr>
        <w:t xml:space="preserve"> and biosimilars were aware of the biological nature of their medicine. </w:t>
      </w:r>
      <w:r w:rsidR="00E859CA" w:rsidRPr="00D76895">
        <w:rPr>
          <w:rFonts w:asciiTheme="majorBidi" w:hAnsiTheme="majorBidi" w:cstheme="majorBidi"/>
          <w:sz w:val="20"/>
          <w:szCs w:val="20"/>
        </w:rPr>
        <w:t>Similarly</w:t>
      </w:r>
      <w:r w:rsidR="00E06325" w:rsidRPr="00D76895">
        <w:rPr>
          <w:rFonts w:asciiTheme="majorBidi" w:hAnsiTheme="majorBidi" w:cstheme="majorBidi"/>
          <w:sz w:val="20"/>
          <w:szCs w:val="20"/>
        </w:rPr>
        <w:t xml:space="preserve">, the majority of </w:t>
      </w:r>
      <w:r w:rsidR="00064180" w:rsidRPr="00D76895">
        <w:rPr>
          <w:rFonts w:asciiTheme="majorBidi" w:hAnsiTheme="majorBidi" w:cstheme="majorBidi"/>
          <w:sz w:val="20"/>
          <w:szCs w:val="20"/>
        </w:rPr>
        <w:t xml:space="preserve">participants on </w:t>
      </w:r>
      <w:r w:rsidR="00E06325" w:rsidRPr="00D76895">
        <w:rPr>
          <w:rFonts w:asciiTheme="majorBidi" w:hAnsiTheme="majorBidi" w:cstheme="majorBidi"/>
          <w:sz w:val="20"/>
          <w:szCs w:val="20"/>
        </w:rPr>
        <w:t xml:space="preserve">biosimilars were </w:t>
      </w:r>
      <w:r w:rsidR="00E859CA" w:rsidRPr="00D76895">
        <w:rPr>
          <w:rFonts w:asciiTheme="majorBidi" w:hAnsiTheme="majorBidi" w:cstheme="majorBidi"/>
          <w:sz w:val="20"/>
          <w:szCs w:val="20"/>
        </w:rPr>
        <w:t>well</w:t>
      </w:r>
      <w:r w:rsidR="00E06325" w:rsidRPr="00D76895">
        <w:rPr>
          <w:rFonts w:asciiTheme="majorBidi" w:hAnsiTheme="majorBidi" w:cstheme="majorBidi"/>
          <w:sz w:val="20"/>
          <w:szCs w:val="20"/>
        </w:rPr>
        <w:t xml:space="preserve"> informed that they were </w:t>
      </w:r>
      <w:r w:rsidR="00E859CA" w:rsidRPr="00D76895">
        <w:rPr>
          <w:rFonts w:asciiTheme="majorBidi" w:hAnsiTheme="majorBidi" w:cstheme="majorBidi"/>
          <w:sz w:val="20"/>
          <w:szCs w:val="20"/>
        </w:rPr>
        <w:t>on a</w:t>
      </w:r>
      <w:r w:rsidR="00E06325" w:rsidRPr="00D76895">
        <w:rPr>
          <w:rFonts w:asciiTheme="majorBidi" w:hAnsiTheme="majorBidi" w:cstheme="majorBidi"/>
          <w:sz w:val="20"/>
          <w:szCs w:val="20"/>
        </w:rPr>
        <w:t xml:space="preserve"> biosimilar vers</w:t>
      </w:r>
      <w:r w:rsidR="00E859CA" w:rsidRPr="00D76895">
        <w:rPr>
          <w:rFonts w:asciiTheme="majorBidi" w:hAnsiTheme="majorBidi" w:cstheme="majorBidi"/>
          <w:sz w:val="20"/>
          <w:szCs w:val="20"/>
        </w:rPr>
        <w:t>ion of the biological medicine and understood correctly what biosimilar</w:t>
      </w:r>
      <w:r w:rsidR="00202A27" w:rsidRPr="00D76895">
        <w:rPr>
          <w:rFonts w:asciiTheme="majorBidi" w:hAnsiTheme="majorBidi" w:cstheme="majorBidi"/>
          <w:sz w:val="20"/>
          <w:szCs w:val="20"/>
        </w:rPr>
        <w:t>s were</w:t>
      </w:r>
      <w:r w:rsidR="00064180" w:rsidRPr="00D76895">
        <w:rPr>
          <w:rFonts w:asciiTheme="majorBidi" w:hAnsiTheme="majorBidi" w:cstheme="majorBidi"/>
          <w:sz w:val="20"/>
          <w:szCs w:val="20"/>
        </w:rPr>
        <w:t xml:space="preserve"> (Table 2)</w:t>
      </w:r>
      <w:r w:rsidR="00202A27" w:rsidRPr="00D76895">
        <w:rPr>
          <w:rFonts w:asciiTheme="majorBidi" w:hAnsiTheme="majorBidi" w:cstheme="majorBidi"/>
          <w:sz w:val="20"/>
          <w:szCs w:val="20"/>
        </w:rPr>
        <w:t xml:space="preserve">. This reflects patient education by </w:t>
      </w:r>
      <w:r w:rsidR="004100C9">
        <w:rPr>
          <w:rFonts w:asciiTheme="majorBidi" w:hAnsiTheme="majorBidi" w:cstheme="majorBidi"/>
          <w:sz w:val="20"/>
          <w:szCs w:val="20"/>
        </w:rPr>
        <w:t>HCPs</w:t>
      </w:r>
      <w:r w:rsidR="00202A27" w:rsidRPr="00D76895">
        <w:rPr>
          <w:rFonts w:asciiTheme="majorBidi" w:hAnsiTheme="majorBidi" w:cstheme="majorBidi"/>
          <w:sz w:val="20"/>
          <w:szCs w:val="20"/>
        </w:rPr>
        <w:t xml:space="preserve"> as an integral part of the management plan and the role of professional societies that provide further information about the disease and the treatment for patients</w:t>
      </w:r>
      <w:r w:rsidR="00464D81" w:rsidRPr="00D76895">
        <w:rPr>
          <w:rFonts w:asciiTheme="majorBidi" w:hAnsiTheme="majorBidi" w:cstheme="majorBidi"/>
          <w:sz w:val="20"/>
          <w:szCs w:val="20"/>
        </w:rPr>
        <w:t xml:space="preserve"> [</w:t>
      </w:r>
      <w:r w:rsidR="004100C9" w:rsidRPr="00D76895">
        <w:rPr>
          <w:rFonts w:asciiTheme="majorBidi" w:hAnsiTheme="majorBidi" w:cstheme="majorBidi"/>
          <w:sz w:val="20"/>
          <w:szCs w:val="20"/>
        </w:rPr>
        <w:t>1</w:t>
      </w:r>
      <w:r w:rsidR="004100C9">
        <w:rPr>
          <w:rFonts w:asciiTheme="majorBidi" w:hAnsiTheme="majorBidi" w:cstheme="majorBidi"/>
          <w:sz w:val="20"/>
          <w:szCs w:val="20"/>
        </w:rPr>
        <w:t>7</w:t>
      </w:r>
      <w:r w:rsidR="00464D81" w:rsidRPr="00D76895">
        <w:rPr>
          <w:rFonts w:asciiTheme="majorBidi" w:hAnsiTheme="majorBidi" w:cstheme="majorBidi"/>
          <w:sz w:val="20"/>
          <w:szCs w:val="20"/>
        </w:rPr>
        <w:t>]</w:t>
      </w:r>
      <w:r w:rsidR="00202A27" w:rsidRPr="00D76895">
        <w:rPr>
          <w:rFonts w:asciiTheme="majorBidi" w:hAnsiTheme="majorBidi" w:cstheme="majorBidi"/>
          <w:sz w:val="20"/>
          <w:szCs w:val="20"/>
        </w:rPr>
        <w:t>.</w:t>
      </w:r>
      <w:r w:rsidR="00307E36" w:rsidRPr="00D76895">
        <w:rPr>
          <w:rFonts w:asciiTheme="majorBidi" w:hAnsiTheme="majorBidi" w:cstheme="majorBidi"/>
          <w:sz w:val="20"/>
          <w:szCs w:val="20"/>
        </w:rPr>
        <w:t xml:space="preserve"> </w:t>
      </w:r>
      <w:r w:rsidR="00307E36" w:rsidRPr="00132DEB">
        <w:rPr>
          <w:rFonts w:asciiTheme="majorBidi" w:hAnsiTheme="majorBidi" w:cstheme="majorBidi"/>
          <w:color w:val="ED7D31" w:themeColor="accent2"/>
          <w:sz w:val="20"/>
          <w:szCs w:val="20"/>
        </w:rPr>
        <w:t>Interestingly, the level of knowledge and awareness of AS and RA patient</w:t>
      </w:r>
      <w:r w:rsidRPr="00132DEB">
        <w:rPr>
          <w:rFonts w:asciiTheme="majorBidi" w:hAnsiTheme="majorBidi" w:cstheme="majorBidi"/>
          <w:color w:val="ED7D31" w:themeColor="accent2"/>
          <w:sz w:val="20"/>
          <w:szCs w:val="20"/>
        </w:rPr>
        <w:t>s about biosimilars</w:t>
      </w:r>
      <w:r w:rsidR="00307E36" w:rsidRPr="00132DEB">
        <w:rPr>
          <w:rFonts w:asciiTheme="majorBidi" w:hAnsiTheme="majorBidi" w:cstheme="majorBidi"/>
          <w:color w:val="ED7D31" w:themeColor="accent2"/>
          <w:sz w:val="20"/>
          <w:szCs w:val="20"/>
        </w:rPr>
        <w:t xml:space="preserve"> w</w:t>
      </w:r>
      <w:r w:rsidRPr="00132DEB">
        <w:rPr>
          <w:rFonts w:asciiTheme="majorBidi" w:hAnsiTheme="majorBidi" w:cstheme="majorBidi"/>
          <w:color w:val="ED7D31" w:themeColor="accent2"/>
          <w:sz w:val="20"/>
          <w:szCs w:val="20"/>
        </w:rPr>
        <w:t xml:space="preserve">as </w:t>
      </w:r>
      <w:r w:rsidR="00307E36" w:rsidRPr="00132DEB">
        <w:rPr>
          <w:rFonts w:asciiTheme="majorBidi" w:hAnsiTheme="majorBidi" w:cstheme="majorBidi"/>
          <w:color w:val="ED7D31" w:themeColor="accent2"/>
          <w:sz w:val="20"/>
          <w:szCs w:val="20"/>
        </w:rPr>
        <w:t xml:space="preserve">higher than the level of knowledge and awareness of HCPs in </w:t>
      </w:r>
      <w:r w:rsidR="00C4315E" w:rsidRPr="00132DEB">
        <w:rPr>
          <w:rFonts w:asciiTheme="majorBidi" w:hAnsiTheme="majorBidi" w:cstheme="majorBidi"/>
          <w:color w:val="ED7D31" w:themeColor="accent2"/>
          <w:sz w:val="20"/>
          <w:szCs w:val="20"/>
        </w:rPr>
        <w:t xml:space="preserve">our </w:t>
      </w:r>
      <w:r w:rsidR="00307E36" w:rsidRPr="00132DEB">
        <w:rPr>
          <w:rFonts w:asciiTheme="majorBidi" w:hAnsiTheme="majorBidi" w:cstheme="majorBidi"/>
          <w:color w:val="ED7D31" w:themeColor="accent2"/>
          <w:sz w:val="20"/>
          <w:szCs w:val="20"/>
        </w:rPr>
        <w:t>previous study [</w:t>
      </w:r>
      <w:r w:rsidR="005200D3" w:rsidRPr="00132DEB">
        <w:rPr>
          <w:rFonts w:asciiTheme="majorBidi" w:hAnsiTheme="majorBidi" w:cstheme="majorBidi"/>
          <w:color w:val="ED7D31" w:themeColor="accent2"/>
          <w:sz w:val="20"/>
          <w:szCs w:val="20"/>
        </w:rPr>
        <w:t>9</w:t>
      </w:r>
      <w:r w:rsidR="00307E36" w:rsidRPr="00132DEB">
        <w:rPr>
          <w:rFonts w:asciiTheme="majorBidi" w:hAnsiTheme="majorBidi" w:cstheme="majorBidi"/>
          <w:color w:val="ED7D31" w:themeColor="accent2"/>
          <w:sz w:val="20"/>
          <w:szCs w:val="20"/>
        </w:rPr>
        <w:t xml:space="preserve">]. </w:t>
      </w:r>
      <w:r w:rsidR="00307E36" w:rsidRPr="00D76895">
        <w:rPr>
          <w:rFonts w:asciiTheme="majorBidi" w:hAnsiTheme="majorBidi" w:cstheme="majorBidi"/>
          <w:sz w:val="20"/>
          <w:szCs w:val="20"/>
        </w:rPr>
        <w:t xml:space="preserve">This may be due to the diversity of specialities </w:t>
      </w:r>
      <w:r w:rsidR="00064180" w:rsidRPr="00D76895">
        <w:rPr>
          <w:rFonts w:asciiTheme="majorBidi" w:hAnsiTheme="majorBidi" w:cstheme="majorBidi"/>
          <w:sz w:val="20"/>
          <w:szCs w:val="20"/>
        </w:rPr>
        <w:t xml:space="preserve">and types of </w:t>
      </w:r>
      <w:r w:rsidR="00307E36" w:rsidRPr="00D76895">
        <w:rPr>
          <w:rFonts w:asciiTheme="majorBidi" w:hAnsiTheme="majorBidi" w:cstheme="majorBidi"/>
          <w:sz w:val="20"/>
          <w:szCs w:val="20"/>
        </w:rPr>
        <w:t xml:space="preserve">HCPs </w:t>
      </w:r>
      <w:r w:rsidR="00064180" w:rsidRPr="00D76895">
        <w:rPr>
          <w:rFonts w:asciiTheme="majorBidi" w:hAnsiTheme="majorBidi" w:cstheme="majorBidi"/>
          <w:sz w:val="20"/>
          <w:szCs w:val="20"/>
        </w:rPr>
        <w:t xml:space="preserve">who </w:t>
      </w:r>
      <w:r w:rsidR="00307E36" w:rsidRPr="00D76895">
        <w:rPr>
          <w:rFonts w:asciiTheme="majorBidi" w:hAnsiTheme="majorBidi" w:cstheme="majorBidi"/>
          <w:sz w:val="20"/>
          <w:szCs w:val="20"/>
        </w:rPr>
        <w:t xml:space="preserve">participated in that survey (consultants, nurses and pharmacists) in gastroenterology, rheumatology, </w:t>
      </w:r>
      <w:r w:rsidR="005200D3" w:rsidRPr="00D76895">
        <w:rPr>
          <w:rFonts w:asciiTheme="majorBidi" w:hAnsiTheme="majorBidi" w:cstheme="majorBidi"/>
          <w:sz w:val="20"/>
          <w:szCs w:val="20"/>
        </w:rPr>
        <w:t>dermatology and diabetology,</w:t>
      </w:r>
      <w:r w:rsidR="00307E36" w:rsidRPr="00D76895">
        <w:rPr>
          <w:rFonts w:asciiTheme="majorBidi" w:hAnsiTheme="majorBidi" w:cstheme="majorBidi"/>
          <w:sz w:val="20"/>
          <w:szCs w:val="20"/>
        </w:rPr>
        <w:t xml:space="preserve"> </w:t>
      </w:r>
      <w:r w:rsidR="00064180" w:rsidRPr="00D76895">
        <w:rPr>
          <w:rFonts w:asciiTheme="majorBidi" w:hAnsiTheme="majorBidi" w:cstheme="majorBidi"/>
          <w:sz w:val="20"/>
          <w:szCs w:val="20"/>
        </w:rPr>
        <w:t xml:space="preserve">where </w:t>
      </w:r>
      <w:r w:rsidR="00307E36" w:rsidRPr="00D76895">
        <w:rPr>
          <w:rFonts w:asciiTheme="majorBidi" w:hAnsiTheme="majorBidi" w:cstheme="majorBidi"/>
          <w:sz w:val="20"/>
          <w:szCs w:val="20"/>
        </w:rPr>
        <w:t>contact with biologics and biosimilar</w:t>
      </w:r>
      <w:r w:rsidR="003E3881">
        <w:rPr>
          <w:rFonts w:asciiTheme="majorBidi" w:hAnsiTheme="majorBidi" w:cstheme="majorBidi"/>
          <w:sz w:val="20"/>
          <w:szCs w:val="20"/>
        </w:rPr>
        <w:t>s</w:t>
      </w:r>
      <w:r w:rsidR="00307E36" w:rsidRPr="00D76895">
        <w:rPr>
          <w:rFonts w:asciiTheme="majorBidi" w:hAnsiTheme="majorBidi" w:cstheme="majorBidi"/>
          <w:sz w:val="20"/>
          <w:szCs w:val="20"/>
        </w:rPr>
        <w:t xml:space="preserve"> </w:t>
      </w:r>
      <w:r w:rsidR="00064180" w:rsidRPr="00D76895">
        <w:rPr>
          <w:rFonts w:asciiTheme="majorBidi" w:hAnsiTheme="majorBidi" w:cstheme="majorBidi"/>
          <w:sz w:val="20"/>
          <w:szCs w:val="20"/>
        </w:rPr>
        <w:t xml:space="preserve">may have been less than </w:t>
      </w:r>
      <w:r w:rsidR="00307E36" w:rsidRPr="00D76895">
        <w:rPr>
          <w:rFonts w:asciiTheme="majorBidi" w:hAnsiTheme="majorBidi" w:cstheme="majorBidi"/>
          <w:sz w:val="20"/>
          <w:szCs w:val="20"/>
        </w:rPr>
        <w:t>AS and RA patients.</w:t>
      </w:r>
      <w:r w:rsidR="00556E93" w:rsidRPr="00D76895">
        <w:rPr>
          <w:rFonts w:asciiTheme="majorBidi" w:hAnsiTheme="majorBidi" w:cstheme="majorBidi"/>
          <w:sz w:val="20"/>
          <w:szCs w:val="20"/>
        </w:rPr>
        <w:t xml:space="preserve"> </w:t>
      </w:r>
      <w:r w:rsidR="00464D81" w:rsidRPr="00D76895">
        <w:rPr>
          <w:rFonts w:asciiTheme="majorBidi" w:hAnsiTheme="majorBidi" w:cstheme="majorBidi"/>
          <w:sz w:val="20"/>
          <w:szCs w:val="20"/>
        </w:rPr>
        <w:t xml:space="preserve">Despite this high awareness and understanding of biosimilars among </w:t>
      </w:r>
      <w:r w:rsidR="00064180" w:rsidRPr="00D76895">
        <w:rPr>
          <w:rFonts w:asciiTheme="majorBidi" w:hAnsiTheme="majorBidi" w:cstheme="majorBidi"/>
          <w:sz w:val="20"/>
          <w:szCs w:val="20"/>
        </w:rPr>
        <w:t xml:space="preserve">participants on </w:t>
      </w:r>
      <w:r w:rsidR="005200D3" w:rsidRPr="00D76895">
        <w:rPr>
          <w:rFonts w:asciiTheme="majorBidi" w:hAnsiTheme="majorBidi" w:cstheme="majorBidi"/>
          <w:sz w:val="20"/>
          <w:szCs w:val="20"/>
        </w:rPr>
        <w:t>biosimilars</w:t>
      </w:r>
      <w:r w:rsidR="00464D81" w:rsidRPr="00D76895">
        <w:rPr>
          <w:rFonts w:asciiTheme="majorBidi" w:hAnsiTheme="majorBidi" w:cstheme="majorBidi"/>
          <w:sz w:val="20"/>
          <w:szCs w:val="20"/>
        </w:rPr>
        <w:t xml:space="preserve">, more than one third of </w:t>
      </w:r>
      <w:r w:rsidR="00064180" w:rsidRPr="00D76895">
        <w:rPr>
          <w:rFonts w:asciiTheme="majorBidi" w:hAnsiTheme="majorBidi" w:cstheme="majorBidi"/>
          <w:sz w:val="20"/>
          <w:szCs w:val="20"/>
        </w:rPr>
        <w:t xml:space="preserve">patients on the </w:t>
      </w:r>
      <w:r w:rsidR="00464D81" w:rsidRPr="00D76895">
        <w:rPr>
          <w:rFonts w:asciiTheme="majorBidi" w:hAnsiTheme="majorBidi" w:cstheme="majorBidi"/>
          <w:sz w:val="20"/>
          <w:szCs w:val="20"/>
        </w:rPr>
        <w:t xml:space="preserve">originator </w:t>
      </w:r>
      <w:r w:rsidR="005200D3" w:rsidRPr="00D76895">
        <w:rPr>
          <w:rFonts w:asciiTheme="majorBidi" w:hAnsiTheme="majorBidi" w:cstheme="majorBidi"/>
          <w:sz w:val="20"/>
          <w:szCs w:val="20"/>
        </w:rPr>
        <w:t>biologic</w:t>
      </w:r>
      <w:r w:rsidR="00E41127">
        <w:rPr>
          <w:rFonts w:asciiTheme="majorBidi" w:hAnsiTheme="majorBidi" w:cstheme="majorBidi"/>
          <w:sz w:val="20"/>
          <w:szCs w:val="20"/>
        </w:rPr>
        <w:t>s</w:t>
      </w:r>
      <w:r w:rsidR="005200D3" w:rsidRPr="00D76895">
        <w:rPr>
          <w:rFonts w:asciiTheme="majorBidi" w:hAnsiTheme="majorBidi" w:cstheme="majorBidi"/>
          <w:sz w:val="20"/>
          <w:szCs w:val="20"/>
        </w:rPr>
        <w:t xml:space="preserve"> were not aware</w:t>
      </w:r>
      <w:r w:rsidR="00064180" w:rsidRPr="00D76895">
        <w:rPr>
          <w:rFonts w:asciiTheme="majorBidi" w:hAnsiTheme="majorBidi" w:cstheme="majorBidi"/>
          <w:sz w:val="20"/>
          <w:szCs w:val="20"/>
        </w:rPr>
        <w:t xml:space="preserve"> of </w:t>
      </w:r>
      <w:r w:rsidR="00464D81" w:rsidRPr="00D76895">
        <w:rPr>
          <w:rFonts w:asciiTheme="majorBidi" w:hAnsiTheme="majorBidi" w:cstheme="majorBidi"/>
          <w:sz w:val="20"/>
          <w:szCs w:val="20"/>
        </w:rPr>
        <w:t xml:space="preserve">the availability of </w:t>
      </w:r>
      <w:r w:rsidR="00EA53D8" w:rsidRPr="00D76895">
        <w:rPr>
          <w:rFonts w:asciiTheme="majorBidi" w:hAnsiTheme="majorBidi" w:cstheme="majorBidi"/>
          <w:sz w:val="20"/>
          <w:szCs w:val="20"/>
        </w:rPr>
        <w:t xml:space="preserve">a </w:t>
      </w:r>
      <w:r w:rsidR="005200D3" w:rsidRPr="00D76895">
        <w:rPr>
          <w:rFonts w:asciiTheme="majorBidi" w:hAnsiTheme="majorBidi" w:cstheme="majorBidi"/>
          <w:sz w:val="20"/>
          <w:szCs w:val="20"/>
        </w:rPr>
        <w:t>biosimilar version of their</w:t>
      </w:r>
      <w:r w:rsidR="00EA53D8" w:rsidRPr="00D76895">
        <w:rPr>
          <w:rFonts w:asciiTheme="majorBidi" w:hAnsiTheme="majorBidi" w:cstheme="majorBidi"/>
          <w:sz w:val="20"/>
          <w:szCs w:val="20"/>
        </w:rPr>
        <w:t xml:space="preserve"> medicine</w:t>
      </w:r>
      <w:r w:rsidR="00064180" w:rsidRPr="00D76895">
        <w:rPr>
          <w:rFonts w:asciiTheme="majorBidi" w:hAnsiTheme="majorBidi" w:cstheme="majorBidi"/>
          <w:sz w:val="20"/>
          <w:szCs w:val="20"/>
        </w:rPr>
        <w:t xml:space="preserve"> (Table 2)</w:t>
      </w:r>
      <w:r w:rsidR="00464D81" w:rsidRPr="00D76895">
        <w:rPr>
          <w:rFonts w:asciiTheme="majorBidi" w:hAnsiTheme="majorBidi" w:cstheme="majorBidi"/>
          <w:sz w:val="20"/>
          <w:szCs w:val="20"/>
        </w:rPr>
        <w:t>.</w:t>
      </w:r>
      <w:r w:rsidR="00202A27" w:rsidRPr="00D76895">
        <w:rPr>
          <w:rFonts w:asciiTheme="majorBidi" w:hAnsiTheme="majorBidi" w:cstheme="majorBidi"/>
          <w:sz w:val="20"/>
          <w:szCs w:val="20"/>
        </w:rPr>
        <w:t xml:space="preserve"> </w:t>
      </w:r>
      <w:r w:rsidR="00464D81" w:rsidRPr="00D76895">
        <w:rPr>
          <w:rFonts w:asciiTheme="majorBidi" w:hAnsiTheme="majorBidi" w:cstheme="majorBidi"/>
          <w:sz w:val="20"/>
          <w:szCs w:val="20"/>
        </w:rPr>
        <w:t xml:space="preserve">This may be due to the fact that </w:t>
      </w:r>
      <w:r w:rsidR="00744116" w:rsidRPr="00D76895">
        <w:rPr>
          <w:rFonts w:asciiTheme="majorBidi" w:hAnsiTheme="majorBidi" w:cstheme="majorBidi"/>
          <w:sz w:val="20"/>
          <w:szCs w:val="20"/>
        </w:rPr>
        <w:t xml:space="preserve">patients </w:t>
      </w:r>
      <w:r w:rsidR="00464D81" w:rsidRPr="00D76895">
        <w:rPr>
          <w:rFonts w:asciiTheme="majorBidi" w:hAnsiTheme="majorBidi" w:cstheme="majorBidi"/>
          <w:sz w:val="20"/>
          <w:szCs w:val="20"/>
        </w:rPr>
        <w:t xml:space="preserve">stabilised on their originator </w:t>
      </w:r>
      <w:r w:rsidR="00064180" w:rsidRPr="00D76895">
        <w:rPr>
          <w:rFonts w:asciiTheme="majorBidi" w:hAnsiTheme="majorBidi" w:cstheme="majorBidi"/>
          <w:sz w:val="20"/>
          <w:szCs w:val="20"/>
        </w:rPr>
        <w:t xml:space="preserve">biologic </w:t>
      </w:r>
      <w:r>
        <w:rPr>
          <w:rFonts w:asciiTheme="majorBidi" w:hAnsiTheme="majorBidi" w:cstheme="majorBidi"/>
          <w:sz w:val="20"/>
          <w:szCs w:val="20"/>
        </w:rPr>
        <w:t>had</w:t>
      </w:r>
      <w:r w:rsidR="00464D81" w:rsidRPr="00D76895">
        <w:rPr>
          <w:rFonts w:asciiTheme="majorBidi" w:hAnsiTheme="majorBidi" w:cstheme="majorBidi"/>
          <w:sz w:val="20"/>
          <w:szCs w:val="20"/>
        </w:rPr>
        <w:t xml:space="preserve"> not been offered a biosimilar</w:t>
      </w:r>
      <w:r w:rsidR="005200D3" w:rsidRPr="00D76895">
        <w:rPr>
          <w:rFonts w:asciiTheme="majorBidi" w:hAnsiTheme="majorBidi" w:cstheme="majorBidi"/>
          <w:sz w:val="20"/>
          <w:szCs w:val="20"/>
        </w:rPr>
        <w:t>.</w:t>
      </w:r>
      <w:r w:rsidR="00BE2612" w:rsidRPr="00D76895">
        <w:rPr>
          <w:rFonts w:asciiTheme="majorBidi" w:hAnsiTheme="majorBidi" w:cstheme="majorBidi"/>
          <w:sz w:val="20"/>
          <w:szCs w:val="20"/>
        </w:rPr>
        <w:t xml:space="preserve"> </w:t>
      </w:r>
      <w:r w:rsidR="00EA53D8" w:rsidRPr="00D76895">
        <w:rPr>
          <w:rFonts w:asciiTheme="majorBidi" w:hAnsiTheme="majorBidi" w:cstheme="majorBidi"/>
          <w:sz w:val="20"/>
          <w:szCs w:val="20"/>
        </w:rPr>
        <w:t>Our result</w:t>
      </w:r>
      <w:r w:rsidR="00EE4636">
        <w:rPr>
          <w:rFonts w:asciiTheme="majorBidi" w:hAnsiTheme="majorBidi" w:cstheme="majorBidi"/>
          <w:sz w:val="20"/>
          <w:szCs w:val="20"/>
        </w:rPr>
        <w:t>s</w:t>
      </w:r>
      <w:r w:rsidR="00EA53D8" w:rsidRPr="00D76895">
        <w:rPr>
          <w:rFonts w:asciiTheme="majorBidi" w:hAnsiTheme="majorBidi" w:cstheme="majorBidi"/>
          <w:sz w:val="20"/>
          <w:szCs w:val="20"/>
        </w:rPr>
        <w:t xml:space="preserve"> </w:t>
      </w:r>
      <w:r w:rsidR="00BE2612" w:rsidRPr="00D76895">
        <w:rPr>
          <w:rFonts w:asciiTheme="majorBidi" w:hAnsiTheme="majorBidi" w:cstheme="majorBidi"/>
          <w:sz w:val="20"/>
          <w:szCs w:val="20"/>
        </w:rPr>
        <w:t xml:space="preserve">also </w:t>
      </w:r>
      <w:r w:rsidR="00EA53D8" w:rsidRPr="00D76895">
        <w:rPr>
          <w:rFonts w:asciiTheme="majorBidi" w:hAnsiTheme="majorBidi" w:cstheme="majorBidi"/>
          <w:sz w:val="20"/>
          <w:szCs w:val="20"/>
        </w:rPr>
        <w:t>show</w:t>
      </w:r>
      <w:r w:rsidR="005200D3" w:rsidRPr="00D76895">
        <w:rPr>
          <w:rFonts w:asciiTheme="majorBidi" w:hAnsiTheme="majorBidi" w:cstheme="majorBidi"/>
          <w:sz w:val="20"/>
          <w:szCs w:val="20"/>
        </w:rPr>
        <w:t>ed</w:t>
      </w:r>
      <w:r w:rsidR="00EA53D8" w:rsidRPr="00D76895">
        <w:rPr>
          <w:rFonts w:asciiTheme="majorBidi" w:hAnsiTheme="majorBidi" w:cstheme="majorBidi"/>
          <w:sz w:val="20"/>
          <w:szCs w:val="20"/>
        </w:rPr>
        <w:t xml:space="preserve"> that UK AS and RA patients have a higher level of knowledge and awareness about biosimilars </w:t>
      </w:r>
      <w:proofErr w:type="gramStart"/>
      <w:r w:rsidR="00EA53D8" w:rsidRPr="00D76895">
        <w:rPr>
          <w:rFonts w:asciiTheme="majorBidi" w:hAnsiTheme="majorBidi" w:cstheme="majorBidi"/>
          <w:sz w:val="20"/>
          <w:szCs w:val="20"/>
        </w:rPr>
        <w:lastRenderedPageBreak/>
        <w:t>than US and European patients on biological medicine</w:t>
      </w:r>
      <w:r w:rsidR="00556E93" w:rsidRPr="00D76895">
        <w:rPr>
          <w:rFonts w:asciiTheme="majorBidi" w:hAnsiTheme="majorBidi" w:cstheme="majorBidi"/>
          <w:sz w:val="20"/>
          <w:szCs w:val="20"/>
        </w:rPr>
        <w:t xml:space="preserve"> and Crohn’s and ulcerative patients in Europe</w:t>
      </w:r>
      <w:r w:rsidR="007D0A3D">
        <w:rPr>
          <w:rFonts w:asciiTheme="majorBidi" w:hAnsiTheme="majorBidi" w:cstheme="majorBidi"/>
          <w:sz w:val="20"/>
          <w:szCs w:val="20"/>
        </w:rPr>
        <w:t>,</w:t>
      </w:r>
      <w:proofErr w:type="gramEnd"/>
      <w:r w:rsidR="00EA53D8" w:rsidRPr="00D76895">
        <w:rPr>
          <w:rFonts w:asciiTheme="majorBidi" w:hAnsiTheme="majorBidi" w:cstheme="majorBidi"/>
          <w:sz w:val="20"/>
          <w:szCs w:val="20"/>
        </w:rPr>
        <w:t xml:space="preserve"> </w:t>
      </w:r>
      <w:r w:rsidR="00064180" w:rsidRPr="00D76895">
        <w:rPr>
          <w:rFonts w:asciiTheme="majorBidi" w:hAnsiTheme="majorBidi" w:cstheme="majorBidi"/>
          <w:sz w:val="20"/>
          <w:szCs w:val="20"/>
        </w:rPr>
        <w:t>where up</w:t>
      </w:r>
      <w:r w:rsidR="005200D3" w:rsidRPr="00D76895">
        <w:rPr>
          <w:rFonts w:asciiTheme="majorBidi" w:hAnsiTheme="majorBidi" w:cstheme="majorBidi"/>
          <w:sz w:val="20"/>
          <w:szCs w:val="20"/>
        </w:rPr>
        <w:t xml:space="preserve"> </w:t>
      </w:r>
      <w:r w:rsidR="00064180" w:rsidRPr="00D76895">
        <w:rPr>
          <w:rFonts w:asciiTheme="majorBidi" w:hAnsiTheme="majorBidi" w:cstheme="majorBidi"/>
          <w:sz w:val="20"/>
          <w:szCs w:val="20"/>
        </w:rPr>
        <w:t>to 70% had not heard of a biosimilar</w:t>
      </w:r>
      <w:r w:rsidR="005200D3" w:rsidRPr="00D76895">
        <w:rPr>
          <w:rFonts w:asciiTheme="majorBidi" w:hAnsiTheme="majorBidi" w:cstheme="majorBidi"/>
          <w:sz w:val="20"/>
          <w:szCs w:val="20"/>
        </w:rPr>
        <w:t xml:space="preserve"> [</w:t>
      </w:r>
      <w:r w:rsidR="004100C9" w:rsidRPr="00D76895">
        <w:rPr>
          <w:rFonts w:asciiTheme="majorBidi" w:hAnsiTheme="majorBidi" w:cstheme="majorBidi"/>
          <w:sz w:val="20"/>
          <w:szCs w:val="20"/>
        </w:rPr>
        <w:t>1</w:t>
      </w:r>
      <w:r w:rsidR="004100C9">
        <w:rPr>
          <w:rFonts w:asciiTheme="majorBidi" w:hAnsiTheme="majorBidi" w:cstheme="majorBidi"/>
          <w:sz w:val="20"/>
          <w:szCs w:val="20"/>
        </w:rPr>
        <w:t>2</w:t>
      </w:r>
      <w:r w:rsidR="005200D3" w:rsidRPr="00D76895">
        <w:rPr>
          <w:rFonts w:asciiTheme="majorBidi" w:hAnsiTheme="majorBidi" w:cstheme="majorBidi"/>
          <w:sz w:val="20"/>
          <w:szCs w:val="20"/>
        </w:rPr>
        <w:t xml:space="preserve">, </w:t>
      </w:r>
      <w:r w:rsidR="004100C9" w:rsidRPr="00D76895">
        <w:rPr>
          <w:rFonts w:asciiTheme="majorBidi" w:hAnsiTheme="majorBidi" w:cstheme="majorBidi"/>
          <w:sz w:val="20"/>
          <w:szCs w:val="20"/>
        </w:rPr>
        <w:t>1</w:t>
      </w:r>
      <w:r w:rsidR="004100C9">
        <w:rPr>
          <w:rFonts w:asciiTheme="majorBidi" w:hAnsiTheme="majorBidi" w:cstheme="majorBidi"/>
          <w:sz w:val="20"/>
          <w:szCs w:val="20"/>
        </w:rPr>
        <w:t>8</w:t>
      </w:r>
      <w:r w:rsidR="005200D3" w:rsidRPr="00D76895">
        <w:rPr>
          <w:rFonts w:asciiTheme="majorBidi" w:hAnsiTheme="majorBidi" w:cstheme="majorBidi"/>
          <w:sz w:val="20"/>
          <w:szCs w:val="20"/>
        </w:rPr>
        <w:t>]</w:t>
      </w:r>
      <w:r w:rsidR="00064180" w:rsidRPr="00D76895">
        <w:rPr>
          <w:rFonts w:asciiTheme="majorBidi" w:hAnsiTheme="majorBidi" w:cstheme="majorBidi"/>
          <w:sz w:val="20"/>
          <w:szCs w:val="20"/>
        </w:rPr>
        <w:t xml:space="preserve">. </w:t>
      </w:r>
    </w:p>
    <w:p w:rsidR="003927AD" w:rsidRPr="00D76895" w:rsidRDefault="00EE4636" w:rsidP="007E3098">
      <w:pPr>
        <w:jc w:val="both"/>
        <w:rPr>
          <w:rFonts w:asciiTheme="majorBidi" w:hAnsiTheme="majorBidi" w:cstheme="majorBidi"/>
          <w:sz w:val="20"/>
          <w:szCs w:val="20"/>
        </w:rPr>
      </w:pPr>
      <w:r>
        <w:rPr>
          <w:rFonts w:asciiTheme="majorBidi" w:hAnsiTheme="majorBidi" w:cstheme="majorBidi"/>
          <w:sz w:val="20"/>
          <w:szCs w:val="20"/>
        </w:rPr>
        <w:t>P</w:t>
      </w:r>
      <w:r w:rsidR="00744116" w:rsidRPr="00D76895">
        <w:rPr>
          <w:rFonts w:asciiTheme="majorBidi" w:hAnsiTheme="majorBidi" w:cstheme="majorBidi"/>
          <w:sz w:val="20"/>
          <w:szCs w:val="20"/>
        </w:rPr>
        <w:t xml:space="preserve">atients </w:t>
      </w:r>
      <w:r w:rsidR="007D0A3D">
        <w:rPr>
          <w:rFonts w:asciiTheme="majorBidi" w:hAnsiTheme="majorBidi" w:cstheme="majorBidi"/>
          <w:sz w:val="20"/>
          <w:szCs w:val="20"/>
        </w:rPr>
        <w:t xml:space="preserve">on </w:t>
      </w:r>
      <w:r w:rsidR="00744116" w:rsidRPr="00D76895">
        <w:rPr>
          <w:rFonts w:asciiTheme="majorBidi" w:hAnsiTheme="majorBidi" w:cstheme="majorBidi"/>
          <w:sz w:val="20"/>
          <w:szCs w:val="20"/>
        </w:rPr>
        <w:t xml:space="preserve">biosimilars were </w:t>
      </w:r>
      <w:r w:rsidR="0084227E" w:rsidRPr="00D76895">
        <w:rPr>
          <w:rFonts w:asciiTheme="majorBidi" w:hAnsiTheme="majorBidi" w:cstheme="majorBidi"/>
          <w:sz w:val="20"/>
          <w:szCs w:val="20"/>
        </w:rPr>
        <w:t xml:space="preserve">more </w:t>
      </w:r>
      <w:r w:rsidR="00744116" w:rsidRPr="00D76895">
        <w:rPr>
          <w:rFonts w:asciiTheme="majorBidi" w:hAnsiTheme="majorBidi" w:cstheme="majorBidi"/>
          <w:sz w:val="20"/>
          <w:szCs w:val="20"/>
        </w:rPr>
        <w:t xml:space="preserve">confident in the efficacy and safety of </w:t>
      </w:r>
      <w:r w:rsidR="0084227E" w:rsidRPr="00D76895">
        <w:rPr>
          <w:rFonts w:asciiTheme="majorBidi" w:hAnsiTheme="majorBidi" w:cstheme="majorBidi"/>
          <w:sz w:val="20"/>
          <w:szCs w:val="20"/>
        </w:rPr>
        <w:t xml:space="preserve">biosimilars </w:t>
      </w:r>
      <w:r>
        <w:rPr>
          <w:rFonts w:asciiTheme="majorBidi" w:hAnsiTheme="majorBidi" w:cstheme="majorBidi"/>
          <w:sz w:val="20"/>
          <w:szCs w:val="20"/>
        </w:rPr>
        <w:t>and</w:t>
      </w:r>
      <w:r w:rsidR="00744116" w:rsidRPr="00D76895">
        <w:rPr>
          <w:rFonts w:asciiTheme="majorBidi" w:hAnsiTheme="majorBidi" w:cstheme="majorBidi"/>
          <w:sz w:val="20"/>
          <w:szCs w:val="20"/>
        </w:rPr>
        <w:t xml:space="preserve"> their doctors’ decision</w:t>
      </w:r>
      <w:r w:rsidR="00477C28" w:rsidRPr="00D76895">
        <w:rPr>
          <w:rFonts w:asciiTheme="majorBidi" w:hAnsiTheme="majorBidi" w:cstheme="majorBidi"/>
          <w:sz w:val="20"/>
          <w:szCs w:val="20"/>
        </w:rPr>
        <w:t xml:space="preserve"> </w:t>
      </w:r>
      <w:r>
        <w:rPr>
          <w:rFonts w:asciiTheme="majorBidi" w:hAnsiTheme="majorBidi" w:cstheme="majorBidi"/>
          <w:sz w:val="20"/>
          <w:szCs w:val="20"/>
        </w:rPr>
        <w:t>to</w:t>
      </w:r>
      <w:r w:rsidR="00477C28" w:rsidRPr="00D76895">
        <w:rPr>
          <w:rFonts w:asciiTheme="majorBidi" w:hAnsiTheme="majorBidi" w:cstheme="majorBidi"/>
          <w:sz w:val="20"/>
          <w:szCs w:val="20"/>
        </w:rPr>
        <w:t xml:space="preserve"> initiat</w:t>
      </w:r>
      <w:r>
        <w:rPr>
          <w:rFonts w:asciiTheme="majorBidi" w:hAnsiTheme="majorBidi" w:cstheme="majorBidi"/>
          <w:sz w:val="20"/>
          <w:szCs w:val="20"/>
        </w:rPr>
        <w:t xml:space="preserve">e </w:t>
      </w:r>
      <w:r w:rsidR="00477C28" w:rsidRPr="00D76895">
        <w:rPr>
          <w:rFonts w:asciiTheme="majorBidi" w:hAnsiTheme="majorBidi" w:cstheme="majorBidi"/>
          <w:sz w:val="20"/>
          <w:szCs w:val="20"/>
        </w:rPr>
        <w:t>or switch</w:t>
      </w:r>
      <w:r>
        <w:rPr>
          <w:rFonts w:asciiTheme="majorBidi" w:hAnsiTheme="majorBidi" w:cstheme="majorBidi"/>
          <w:sz w:val="20"/>
          <w:szCs w:val="20"/>
        </w:rPr>
        <w:t xml:space="preserve"> </w:t>
      </w:r>
      <w:r w:rsidR="00477C28" w:rsidRPr="00D76895">
        <w:rPr>
          <w:rFonts w:asciiTheme="majorBidi" w:hAnsiTheme="majorBidi" w:cstheme="majorBidi"/>
          <w:sz w:val="20"/>
          <w:szCs w:val="20"/>
        </w:rPr>
        <w:t>patients to biosimilars</w:t>
      </w:r>
      <w:r w:rsidR="0084227E" w:rsidRPr="00D76895">
        <w:rPr>
          <w:rFonts w:asciiTheme="majorBidi" w:hAnsiTheme="majorBidi" w:cstheme="majorBidi"/>
          <w:sz w:val="20"/>
          <w:szCs w:val="20"/>
        </w:rPr>
        <w:t xml:space="preserve"> than patients on </w:t>
      </w:r>
      <w:r>
        <w:rPr>
          <w:rFonts w:asciiTheme="majorBidi" w:hAnsiTheme="majorBidi" w:cstheme="majorBidi"/>
          <w:sz w:val="20"/>
          <w:szCs w:val="20"/>
        </w:rPr>
        <w:t xml:space="preserve">the </w:t>
      </w:r>
      <w:r w:rsidR="0084227E" w:rsidRPr="00D76895">
        <w:rPr>
          <w:rFonts w:asciiTheme="majorBidi" w:hAnsiTheme="majorBidi" w:cstheme="majorBidi"/>
          <w:sz w:val="20"/>
          <w:szCs w:val="20"/>
        </w:rPr>
        <w:t>originator</w:t>
      </w:r>
      <w:r w:rsidR="00BE2612" w:rsidRPr="00D76895">
        <w:rPr>
          <w:rFonts w:asciiTheme="majorBidi" w:hAnsiTheme="majorBidi" w:cstheme="majorBidi"/>
          <w:sz w:val="20"/>
          <w:szCs w:val="20"/>
        </w:rPr>
        <w:t xml:space="preserve"> </w:t>
      </w:r>
      <w:r w:rsidR="007D0A3D">
        <w:rPr>
          <w:rFonts w:asciiTheme="majorBidi" w:hAnsiTheme="majorBidi" w:cstheme="majorBidi"/>
          <w:sz w:val="20"/>
          <w:szCs w:val="20"/>
        </w:rPr>
        <w:t xml:space="preserve">biologic </w:t>
      </w:r>
      <w:r w:rsidR="00BE2612" w:rsidRPr="00D76895">
        <w:rPr>
          <w:rFonts w:asciiTheme="majorBidi" w:hAnsiTheme="majorBidi" w:cstheme="majorBidi"/>
          <w:sz w:val="20"/>
          <w:szCs w:val="20"/>
        </w:rPr>
        <w:t>(Fig</w:t>
      </w:r>
      <w:r w:rsidR="00803B3D">
        <w:rPr>
          <w:rFonts w:asciiTheme="majorBidi" w:hAnsiTheme="majorBidi" w:cstheme="majorBidi"/>
          <w:sz w:val="20"/>
          <w:szCs w:val="20"/>
        </w:rPr>
        <w:t>.</w:t>
      </w:r>
      <w:r w:rsidR="00BE2612" w:rsidRPr="00D76895">
        <w:rPr>
          <w:rFonts w:asciiTheme="majorBidi" w:hAnsiTheme="majorBidi" w:cstheme="majorBidi"/>
          <w:sz w:val="20"/>
          <w:szCs w:val="20"/>
        </w:rPr>
        <w:t xml:space="preserve"> 1</w:t>
      </w:r>
      <w:r w:rsidR="007E3098" w:rsidRPr="00D76895">
        <w:rPr>
          <w:rFonts w:asciiTheme="majorBidi" w:hAnsiTheme="majorBidi" w:cstheme="majorBidi"/>
          <w:sz w:val="20"/>
          <w:szCs w:val="20"/>
        </w:rPr>
        <w:t xml:space="preserve"> and</w:t>
      </w:r>
      <w:r w:rsidR="00BE2612" w:rsidRPr="00D76895">
        <w:rPr>
          <w:rFonts w:asciiTheme="majorBidi" w:hAnsiTheme="majorBidi" w:cstheme="majorBidi"/>
          <w:sz w:val="20"/>
          <w:szCs w:val="20"/>
        </w:rPr>
        <w:t xml:space="preserve"> 2)</w:t>
      </w:r>
      <w:r w:rsidR="00477C28" w:rsidRPr="00D76895">
        <w:rPr>
          <w:rFonts w:asciiTheme="majorBidi" w:hAnsiTheme="majorBidi" w:cstheme="majorBidi"/>
          <w:sz w:val="20"/>
          <w:szCs w:val="20"/>
        </w:rPr>
        <w:t xml:space="preserve">. </w:t>
      </w:r>
      <w:r>
        <w:rPr>
          <w:rFonts w:asciiTheme="majorBidi" w:hAnsiTheme="majorBidi" w:cstheme="majorBidi"/>
          <w:sz w:val="20"/>
          <w:szCs w:val="20"/>
        </w:rPr>
        <w:t>P</w:t>
      </w:r>
      <w:r w:rsidR="00186CE8" w:rsidRPr="00D76895">
        <w:rPr>
          <w:rFonts w:asciiTheme="majorBidi" w:hAnsiTheme="majorBidi" w:cstheme="majorBidi"/>
          <w:sz w:val="20"/>
          <w:szCs w:val="20"/>
        </w:rPr>
        <w:t xml:space="preserve">articipants on biosimilars </w:t>
      </w:r>
      <w:r>
        <w:rPr>
          <w:rFonts w:asciiTheme="majorBidi" w:hAnsiTheme="majorBidi" w:cstheme="majorBidi"/>
          <w:sz w:val="20"/>
          <w:szCs w:val="20"/>
        </w:rPr>
        <w:t>were more comfortable</w:t>
      </w:r>
      <w:r w:rsidR="00637EA1" w:rsidRPr="00D76895">
        <w:rPr>
          <w:rFonts w:asciiTheme="majorBidi" w:hAnsiTheme="majorBidi" w:cstheme="majorBidi"/>
          <w:sz w:val="20"/>
          <w:szCs w:val="20"/>
        </w:rPr>
        <w:t xml:space="preserve"> switching to other biosimilar than </w:t>
      </w:r>
      <w:r w:rsidR="00186CE8" w:rsidRPr="00D76895">
        <w:rPr>
          <w:rFonts w:asciiTheme="majorBidi" w:hAnsiTheme="majorBidi" w:cstheme="majorBidi"/>
          <w:sz w:val="20"/>
          <w:szCs w:val="20"/>
        </w:rPr>
        <w:t xml:space="preserve">participants on </w:t>
      </w:r>
      <w:r w:rsidR="00637EA1" w:rsidRPr="00D76895">
        <w:rPr>
          <w:rFonts w:asciiTheme="majorBidi" w:hAnsiTheme="majorBidi" w:cstheme="majorBidi"/>
          <w:sz w:val="20"/>
          <w:szCs w:val="20"/>
        </w:rPr>
        <w:t>originator</w:t>
      </w:r>
      <w:r w:rsidR="007D0A3D">
        <w:rPr>
          <w:rFonts w:asciiTheme="majorBidi" w:hAnsiTheme="majorBidi" w:cstheme="majorBidi"/>
          <w:sz w:val="20"/>
          <w:szCs w:val="20"/>
        </w:rPr>
        <w:t xml:space="preserve"> biologic</w:t>
      </w:r>
      <w:r w:rsidR="00637EA1" w:rsidRPr="00D76895">
        <w:rPr>
          <w:rFonts w:asciiTheme="majorBidi" w:hAnsiTheme="majorBidi" w:cstheme="majorBidi"/>
          <w:sz w:val="20"/>
          <w:szCs w:val="20"/>
        </w:rPr>
        <w:t>s (Fig</w:t>
      </w:r>
      <w:r w:rsidR="00803B3D">
        <w:rPr>
          <w:rFonts w:asciiTheme="majorBidi" w:hAnsiTheme="majorBidi" w:cstheme="majorBidi"/>
          <w:sz w:val="20"/>
          <w:szCs w:val="20"/>
        </w:rPr>
        <w:t>.</w:t>
      </w:r>
      <w:r w:rsidR="007E3098" w:rsidRPr="00D76895">
        <w:rPr>
          <w:rFonts w:asciiTheme="majorBidi" w:hAnsiTheme="majorBidi" w:cstheme="majorBidi"/>
          <w:sz w:val="20"/>
          <w:szCs w:val="20"/>
        </w:rPr>
        <w:t xml:space="preserve"> </w:t>
      </w:r>
      <w:r w:rsidR="00637EA1" w:rsidRPr="00D76895">
        <w:rPr>
          <w:rFonts w:asciiTheme="majorBidi" w:hAnsiTheme="majorBidi" w:cstheme="majorBidi"/>
          <w:sz w:val="20"/>
          <w:szCs w:val="20"/>
        </w:rPr>
        <w:t xml:space="preserve">3). </w:t>
      </w:r>
      <w:r w:rsidR="00477C28" w:rsidRPr="00D76895">
        <w:rPr>
          <w:rFonts w:asciiTheme="majorBidi" w:hAnsiTheme="majorBidi" w:cstheme="majorBidi"/>
          <w:sz w:val="20"/>
          <w:szCs w:val="20"/>
        </w:rPr>
        <w:t xml:space="preserve">This </w:t>
      </w:r>
      <w:r w:rsidR="006368D9" w:rsidRPr="00D76895">
        <w:rPr>
          <w:rFonts w:asciiTheme="majorBidi" w:hAnsiTheme="majorBidi" w:cstheme="majorBidi"/>
          <w:sz w:val="20"/>
          <w:szCs w:val="20"/>
        </w:rPr>
        <w:t xml:space="preserve">indicates </w:t>
      </w:r>
      <w:r w:rsidR="00BE2612" w:rsidRPr="00D76895">
        <w:rPr>
          <w:rFonts w:asciiTheme="majorBidi" w:hAnsiTheme="majorBidi" w:cstheme="majorBidi"/>
          <w:sz w:val="20"/>
          <w:szCs w:val="20"/>
        </w:rPr>
        <w:t xml:space="preserve">healthcare professional teams </w:t>
      </w:r>
      <w:r>
        <w:rPr>
          <w:rFonts w:asciiTheme="majorBidi" w:hAnsiTheme="majorBidi" w:cstheme="majorBidi"/>
          <w:sz w:val="20"/>
          <w:szCs w:val="20"/>
        </w:rPr>
        <w:t xml:space="preserve">have been successful in communicating with and educating </w:t>
      </w:r>
      <w:r w:rsidR="00BE2612" w:rsidRPr="00D76895">
        <w:rPr>
          <w:rFonts w:asciiTheme="majorBidi" w:hAnsiTheme="majorBidi" w:cstheme="majorBidi"/>
          <w:sz w:val="20"/>
          <w:szCs w:val="20"/>
        </w:rPr>
        <w:t>patients starting biosimilars</w:t>
      </w:r>
      <w:r>
        <w:rPr>
          <w:rFonts w:asciiTheme="majorBidi" w:hAnsiTheme="majorBidi" w:cstheme="majorBidi"/>
          <w:sz w:val="20"/>
          <w:szCs w:val="20"/>
        </w:rPr>
        <w:t>.</w:t>
      </w:r>
      <w:r w:rsidR="00BE2612" w:rsidRPr="00D76895">
        <w:rPr>
          <w:rFonts w:asciiTheme="majorBidi" w:hAnsiTheme="majorBidi" w:cstheme="majorBidi"/>
          <w:sz w:val="20"/>
          <w:szCs w:val="20"/>
        </w:rPr>
        <w:t xml:space="preserve"> </w:t>
      </w:r>
      <w:r w:rsidR="00E72299">
        <w:rPr>
          <w:rFonts w:asciiTheme="majorBidi" w:hAnsiTheme="majorBidi" w:cstheme="majorBidi"/>
          <w:sz w:val="20"/>
          <w:szCs w:val="20"/>
        </w:rPr>
        <w:t>The fact that no patients</w:t>
      </w:r>
      <w:r>
        <w:rPr>
          <w:rFonts w:asciiTheme="majorBidi" w:hAnsiTheme="majorBidi" w:cstheme="majorBidi"/>
          <w:sz w:val="20"/>
          <w:szCs w:val="20"/>
        </w:rPr>
        <w:t xml:space="preserve"> currently using </w:t>
      </w:r>
      <w:r w:rsidR="00BE2612" w:rsidRPr="00D76895">
        <w:rPr>
          <w:rFonts w:asciiTheme="majorBidi" w:hAnsiTheme="majorBidi" w:cstheme="majorBidi"/>
          <w:sz w:val="20"/>
          <w:szCs w:val="20"/>
        </w:rPr>
        <w:t>biosimilars</w:t>
      </w:r>
      <w:r>
        <w:rPr>
          <w:rFonts w:asciiTheme="majorBidi" w:hAnsiTheme="majorBidi" w:cstheme="majorBidi"/>
          <w:sz w:val="20"/>
          <w:szCs w:val="20"/>
        </w:rPr>
        <w:t xml:space="preserve"> </w:t>
      </w:r>
      <w:r w:rsidR="00BE2612" w:rsidRPr="00D76895">
        <w:rPr>
          <w:rFonts w:asciiTheme="majorBidi" w:hAnsiTheme="majorBidi" w:cstheme="majorBidi"/>
          <w:sz w:val="20"/>
          <w:szCs w:val="20"/>
        </w:rPr>
        <w:t xml:space="preserve">had a bad experience </w:t>
      </w:r>
      <w:r>
        <w:rPr>
          <w:rFonts w:asciiTheme="majorBidi" w:hAnsiTheme="majorBidi" w:cstheme="majorBidi"/>
          <w:sz w:val="20"/>
          <w:szCs w:val="20"/>
        </w:rPr>
        <w:t>when</w:t>
      </w:r>
      <w:r w:rsidR="00BE2612" w:rsidRPr="00D76895">
        <w:rPr>
          <w:rFonts w:asciiTheme="majorBidi" w:hAnsiTheme="majorBidi" w:cstheme="majorBidi"/>
          <w:sz w:val="20"/>
          <w:szCs w:val="20"/>
        </w:rPr>
        <w:t xml:space="preserve"> switching (Table 3)</w:t>
      </w:r>
      <w:r>
        <w:rPr>
          <w:rFonts w:asciiTheme="majorBidi" w:hAnsiTheme="majorBidi" w:cstheme="majorBidi"/>
          <w:sz w:val="20"/>
          <w:szCs w:val="20"/>
        </w:rPr>
        <w:t xml:space="preserve"> may also be a reflection of this support</w:t>
      </w:r>
      <w:r w:rsidR="0084227E" w:rsidRPr="00D76895">
        <w:rPr>
          <w:rFonts w:asciiTheme="majorBidi" w:hAnsiTheme="majorBidi" w:cstheme="majorBidi"/>
          <w:sz w:val="20"/>
          <w:szCs w:val="20"/>
        </w:rPr>
        <w:t xml:space="preserve">. </w:t>
      </w:r>
      <w:r w:rsidR="006A102B" w:rsidRPr="00D76895">
        <w:rPr>
          <w:rFonts w:asciiTheme="majorBidi" w:hAnsiTheme="majorBidi" w:cstheme="majorBidi"/>
          <w:sz w:val="20"/>
          <w:szCs w:val="20"/>
        </w:rPr>
        <w:t>This result was in line with Waller et al study which assessed the acceptance of biosimilars among RA and AS patients in Germany [1</w:t>
      </w:r>
      <w:r w:rsidR="00556E93" w:rsidRPr="00D76895">
        <w:rPr>
          <w:rFonts w:asciiTheme="majorBidi" w:hAnsiTheme="majorBidi" w:cstheme="majorBidi"/>
          <w:sz w:val="20"/>
          <w:szCs w:val="20"/>
        </w:rPr>
        <w:t>4</w:t>
      </w:r>
      <w:r w:rsidR="006A102B" w:rsidRPr="00D76895">
        <w:rPr>
          <w:rFonts w:asciiTheme="majorBidi" w:hAnsiTheme="majorBidi" w:cstheme="majorBidi"/>
          <w:sz w:val="20"/>
          <w:szCs w:val="20"/>
        </w:rPr>
        <w:t xml:space="preserve">]. </w:t>
      </w:r>
    </w:p>
    <w:p w:rsidR="00E82D2F" w:rsidRDefault="00EE4636" w:rsidP="00E82D2F">
      <w:pPr>
        <w:jc w:val="both"/>
        <w:rPr>
          <w:rFonts w:asciiTheme="majorBidi" w:hAnsiTheme="majorBidi" w:cstheme="majorBidi"/>
          <w:sz w:val="20"/>
          <w:szCs w:val="20"/>
        </w:rPr>
      </w:pPr>
      <w:r>
        <w:rPr>
          <w:rFonts w:asciiTheme="majorBidi" w:hAnsiTheme="majorBidi" w:cstheme="majorBidi"/>
          <w:sz w:val="20"/>
          <w:szCs w:val="20"/>
        </w:rPr>
        <w:t>P</w:t>
      </w:r>
      <w:r w:rsidR="00E55376" w:rsidRPr="00D76895">
        <w:rPr>
          <w:rFonts w:asciiTheme="majorBidi" w:hAnsiTheme="majorBidi" w:cstheme="majorBidi"/>
          <w:sz w:val="20"/>
          <w:szCs w:val="20"/>
        </w:rPr>
        <w:t xml:space="preserve">atients </w:t>
      </w:r>
      <w:r w:rsidR="007D0A3D">
        <w:rPr>
          <w:rFonts w:asciiTheme="majorBidi" w:hAnsiTheme="majorBidi" w:cstheme="majorBidi"/>
          <w:sz w:val="20"/>
          <w:szCs w:val="20"/>
        </w:rPr>
        <w:t>on</w:t>
      </w:r>
      <w:r w:rsidR="00E55376" w:rsidRPr="00D76895">
        <w:rPr>
          <w:rFonts w:asciiTheme="majorBidi" w:hAnsiTheme="majorBidi" w:cstheme="majorBidi"/>
          <w:sz w:val="20"/>
          <w:szCs w:val="20"/>
        </w:rPr>
        <w:t xml:space="preserve"> biosimilars </w:t>
      </w:r>
      <w:r w:rsidR="00E82D2F">
        <w:rPr>
          <w:rFonts w:asciiTheme="majorBidi" w:hAnsiTheme="majorBidi" w:cstheme="majorBidi"/>
          <w:sz w:val="20"/>
          <w:szCs w:val="20"/>
        </w:rPr>
        <w:t xml:space="preserve">appeared to better understand </w:t>
      </w:r>
      <w:r w:rsidR="00E55376" w:rsidRPr="00D76895">
        <w:rPr>
          <w:rFonts w:asciiTheme="majorBidi" w:hAnsiTheme="majorBidi" w:cstheme="majorBidi"/>
          <w:sz w:val="20"/>
          <w:szCs w:val="20"/>
        </w:rPr>
        <w:t xml:space="preserve">the reason </w:t>
      </w:r>
      <w:r w:rsidR="00186CE8">
        <w:rPr>
          <w:rFonts w:asciiTheme="majorBidi" w:hAnsiTheme="majorBidi" w:cstheme="majorBidi"/>
          <w:sz w:val="20"/>
          <w:szCs w:val="20"/>
        </w:rPr>
        <w:t>for prescribing</w:t>
      </w:r>
      <w:r w:rsidR="002A1D55" w:rsidRPr="00D76895">
        <w:rPr>
          <w:rFonts w:asciiTheme="majorBidi" w:hAnsiTheme="majorBidi" w:cstheme="majorBidi"/>
          <w:sz w:val="20"/>
          <w:szCs w:val="20"/>
        </w:rPr>
        <w:t xml:space="preserve"> </w:t>
      </w:r>
      <w:r w:rsidR="00E55376" w:rsidRPr="00D76895">
        <w:rPr>
          <w:rFonts w:asciiTheme="majorBidi" w:hAnsiTheme="majorBidi" w:cstheme="majorBidi"/>
          <w:sz w:val="20"/>
          <w:szCs w:val="20"/>
        </w:rPr>
        <w:t xml:space="preserve">biosimilars, </w:t>
      </w:r>
      <w:r w:rsidR="002A1D55" w:rsidRPr="00D76895">
        <w:rPr>
          <w:rFonts w:asciiTheme="majorBidi" w:hAnsiTheme="majorBidi" w:cstheme="majorBidi"/>
          <w:sz w:val="20"/>
          <w:szCs w:val="20"/>
        </w:rPr>
        <w:t>(</w:t>
      </w:r>
      <w:r w:rsidR="00E55376" w:rsidRPr="00D76895">
        <w:rPr>
          <w:rFonts w:asciiTheme="majorBidi" w:hAnsiTheme="majorBidi" w:cstheme="majorBidi"/>
          <w:sz w:val="20"/>
          <w:szCs w:val="20"/>
        </w:rPr>
        <w:t>i.e., cost saving</w:t>
      </w:r>
      <w:r w:rsidR="00FB024D" w:rsidRPr="00D76895">
        <w:rPr>
          <w:rFonts w:asciiTheme="majorBidi" w:hAnsiTheme="majorBidi" w:cstheme="majorBidi"/>
          <w:sz w:val="20"/>
          <w:szCs w:val="20"/>
        </w:rPr>
        <w:t xml:space="preserve"> to the NHS</w:t>
      </w:r>
      <w:r w:rsidR="00E55376" w:rsidRPr="00D76895">
        <w:rPr>
          <w:rFonts w:asciiTheme="majorBidi" w:hAnsiTheme="majorBidi" w:cstheme="majorBidi"/>
          <w:sz w:val="20"/>
          <w:szCs w:val="20"/>
        </w:rPr>
        <w:t>, from using less expensive biologics</w:t>
      </w:r>
      <w:r w:rsidR="002A1D55" w:rsidRPr="00D76895">
        <w:rPr>
          <w:rFonts w:asciiTheme="majorBidi" w:hAnsiTheme="majorBidi" w:cstheme="majorBidi"/>
          <w:sz w:val="20"/>
          <w:szCs w:val="20"/>
        </w:rPr>
        <w:t>) (Fig</w:t>
      </w:r>
      <w:r w:rsidR="00803B3D">
        <w:rPr>
          <w:rFonts w:asciiTheme="majorBidi" w:hAnsiTheme="majorBidi" w:cstheme="majorBidi"/>
          <w:sz w:val="20"/>
          <w:szCs w:val="20"/>
        </w:rPr>
        <w:t>.</w:t>
      </w:r>
      <w:r w:rsidR="002A1D55" w:rsidRPr="00D76895">
        <w:rPr>
          <w:rFonts w:asciiTheme="majorBidi" w:hAnsiTheme="majorBidi" w:cstheme="majorBidi"/>
          <w:sz w:val="20"/>
          <w:szCs w:val="20"/>
        </w:rPr>
        <w:t xml:space="preserve"> 4)</w:t>
      </w:r>
      <w:r w:rsidR="00186CE8">
        <w:rPr>
          <w:rFonts w:asciiTheme="majorBidi" w:hAnsiTheme="majorBidi" w:cstheme="majorBidi"/>
          <w:sz w:val="20"/>
          <w:szCs w:val="20"/>
        </w:rPr>
        <w:t>,</w:t>
      </w:r>
      <w:r w:rsidR="00E55376" w:rsidRPr="00D76895">
        <w:rPr>
          <w:rFonts w:asciiTheme="majorBidi" w:hAnsiTheme="majorBidi" w:cstheme="majorBidi"/>
          <w:sz w:val="20"/>
          <w:szCs w:val="20"/>
        </w:rPr>
        <w:t xml:space="preserve"> </w:t>
      </w:r>
      <w:r w:rsidR="002A1D55" w:rsidRPr="00D76895">
        <w:rPr>
          <w:rFonts w:asciiTheme="majorBidi" w:hAnsiTheme="majorBidi" w:cstheme="majorBidi"/>
          <w:sz w:val="20"/>
          <w:szCs w:val="20"/>
        </w:rPr>
        <w:t>w</w:t>
      </w:r>
      <w:r w:rsidR="00FB024D" w:rsidRPr="00D76895">
        <w:rPr>
          <w:rFonts w:asciiTheme="majorBidi" w:hAnsiTheme="majorBidi" w:cstheme="majorBidi"/>
          <w:sz w:val="20"/>
          <w:szCs w:val="20"/>
        </w:rPr>
        <w:t>hile</w:t>
      </w:r>
      <w:r w:rsidR="00186CE8">
        <w:rPr>
          <w:rFonts w:asciiTheme="majorBidi" w:hAnsiTheme="majorBidi" w:cstheme="majorBidi"/>
          <w:sz w:val="20"/>
          <w:szCs w:val="20"/>
        </w:rPr>
        <w:t>,</w:t>
      </w:r>
      <w:r w:rsidR="00FB024D" w:rsidRPr="00D76895">
        <w:rPr>
          <w:rFonts w:asciiTheme="majorBidi" w:hAnsiTheme="majorBidi" w:cstheme="majorBidi"/>
          <w:sz w:val="20"/>
          <w:szCs w:val="20"/>
        </w:rPr>
        <w:t xml:space="preserve"> </w:t>
      </w:r>
      <w:r w:rsidR="002A1D55" w:rsidRPr="00D76895">
        <w:rPr>
          <w:rFonts w:asciiTheme="majorBidi" w:hAnsiTheme="majorBidi" w:cstheme="majorBidi"/>
          <w:sz w:val="20"/>
          <w:szCs w:val="20"/>
        </w:rPr>
        <w:t xml:space="preserve">participants on </w:t>
      </w:r>
      <w:r w:rsidR="00FB024D" w:rsidRPr="00D76895">
        <w:rPr>
          <w:rFonts w:asciiTheme="majorBidi" w:hAnsiTheme="majorBidi" w:cstheme="majorBidi"/>
          <w:sz w:val="20"/>
          <w:szCs w:val="20"/>
        </w:rPr>
        <w:t xml:space="preserve">originator </w:t>
      </w:r>
      <w:r w:rsidR="002A1D55" w:rsidRPr="00D76895">
        <w:rPr>
          <w:rFonts w:asciiTheme="majorBidi" w:hAnsiTheme="majorBidi" w:cstheme="majorBidi"/>
          <w:sz w:val="20"/>
          <w:szCs w:val="20"/>
        </w:rPr>
        <w:t>biologic</w:t>
      </w:r>
      <w:r w:rsidR="007D0A3D">
        <w:rPr>
          <w:rFonts w:asciiTheme="majorBidi" w:hAnsiTheme="majorBidi" w:cstheme="majorBidi"/>
          <w:sz w:val="20"/>
          <w:szCs w:val="20"/>
        </w:rPr>
        <w:t>s</w:t>
      </w:r>
      <w:r w:rsidR="002A1D55" w:rsidRPr="00D76895">
        <w:rPr>
          <w:rFonts w:asciiTheme="majorBidi" w:hAnsiTheme="majorBidi" w:cstheme="majorBidi"/>
          <w:sz w:val="20"/>
          <w:szCs w:val="20"/>
        </w:rPr>
        <w:t xml:space="preserve"> </w:t>
      </w:r>
      <w:r w:rsidR="00FB024D" w:rsidRPr="00D76895">
        <w:rPr>
          <w:rFonts w:asciiTheme="majorBidi" w:hAnsiTheme="majorBidi" w:cstheme="majorBidi"/>
          <w:sz w:val="20"/>
          <w:szCs w:val="20"/>
        </w:rPr>
        <w:t>thought that cost should not be taken into account when prescribing biological</w:t>
      </w:r>
      <w:r w:rsidR="001D67B9" w:rsidRPr="00D76895">
        <w:rPr>
          <w:rFonts w:asciiTheme="majorBidi" w:hAnsiTheme="majorBidi" w:cstheme="majorBidi"/>
          <w:sz w:val="20"/>
          <w:szCs w:val="20"/>
        </w:rPr>
        <w:t xml:space="preserve"> </w:t>
      </w:r>
      <w:r w:rsidR="007D0A3D">
        <w:rPr>
          <w:rFonts w:asciiTheme="majorBidi" w:hAnsiTheme="majorBidi" w:cstheme="majorBidi"/>
          <w:sz w:val="20"/>
          <w:szCs w:val="20"/>
        </w:rPr>
        <w:t xml:space="preserve">medicines </w:t>
      </w:r>
      <w:r w:rsidR="001D67B9" w:rsidRPr="00D76895">
        <w:rPr>
          <w:rFonts w:asciiTheme="majorBidi" w:hAnsiTheme="majorBidi" w:cstheme="majorBidi"/>
          <w:sz w:val="20"/>
          <w:szCs w:val="20"/>
        </w:rPr>
        <w:t>(Fig</w:t>
      </w:r>
      <w:r w:rsidR="00803B3D">
        <w:rPr>
          <w:rFonts w:asciiTheme="majorBidi" w:hAnsiTheme="majorBidi" w:cstheme="majorBidi"/>
          <w:sz w:val="20"/>
          <w:szCs w:val="20"/>
        </w:rPr>
        <w:t>.</w:t>
      </w:r>
      <w:r w:rsidR="001D67B9" w:rsidRPr="00D76895">
        <w:rPr>
          <w:rFonts w:asciiTheme="majorBidi" w:hAnsiTheme="majorBidi" w:cstheme="majorBidi"/>
          <w:sz w:val="20"/>
          <w:szCs w:val="20"/>
        </w:rPr>
        <w:t xml:space="preserve"> </w:t>
      </w:r>
      <w:r w:rsidR="00637EA1" w:rsidRPr="00D76895">
        <w:rPr>
          <w:rFonts w:asciiTheme="majorBidi" w:hAnsiTheme="majorBidi" w:cstheme="majorBidi"/>
          <w:sz w:val="20"/>
          <w:szCs w:val="20"/>
        </w:rPr>
        <w:t>4</w:t>
      </w:r>
      <w:r w:rsidR="001D67B9" w:rsidRPr="00D76895">
        <w:rPr>
          <w:rFonts w:asciiTheme="majorBidi" w:hAnsiTheme="majorBidi" w:cstheme="majorBidi"/>
          <w:sz w:val="20"/>
          <w:szCs w:val="20"/>
        </w:rPr>
        <w:t>)</w:t>
      </w:r>
      <w:r w:rsidR="00FB024D" w:rsidRPr="00D76895">
        <w:rPr>
          <w:rFonts w:asciiTheme="majorBidi" w:hAnsiTheme="majorBidi" w:cstheme="majorBidi"/>
          <w:sz w:val="20"/>
          <w:szCs w:val="20"/>
        </w:rPr>
        <w:t xml:space="preserve">. </w:t>
      </w:r>
      <w:r w:rsidR="002A1D55" w:rsidRPr="00D76895">
        <w:rPr>
          <w:rFonts w:asciiTheme="majorBidi" w:hAnsiTheme="majorBidi" w:cstheme="majorBidi"/>
          <w:sz w:val="20"/>
          <w:szCs w:val="20"/>
        </w:rPr>
        <w:t>A European study of Crohn</w:t>
      </w:r>
      <w:r w:rsidR="00052E7C" w:rsidRPr="00D76895">
        <w:rPr>
          <w:rFonts w:asciiTheme="majorBidi" w:hAnsiTheme="majorBidi" w:cstheme="majorBidi"/>
          <w:sz w:val="20"/>
          <w:szCs w:val="20"/>
        </w:rPr>
        <w:t>’</w:t>
      </w:r>
      <w:r w:rsidR="002A1D55" w:rsidRPr="00D76895">
        <w:rPr>
          <w:rFonts w:asciiTheme="majorBidi" w:hAnsiTheme="majorBidi" w:cstheme="majorBidi"/>
          <w:sz w:val="20"/>
          <w:szCs w:val="20"/>
        </w:rPr>
        <w:t xml:space="preserve">s and </w:t>
      </w:r>
      <w:r w:rsidR="00052E7C" w:rsidRPr="00D76895">
        <w:rPr>
          <w:rFonts w:asciiTheme="majorBidi" w:hAnsiTheme="majorBidi" w:cstheme="majorBidi"/>
          <w:sz w:val="20"/>
          <w:szCs w:val="20"/>
        </w:rPr>
        <w:t>u</w:t>
      </w:r>
      <w:r w:rsidR="002A1D55" w:rsidRPr="00D76895">
        <w:rPr>
          <w:rFonts w:asciiTheme="majorBidi" w:hAnsiTheme="majorBidi" w:cstheme="majorBidi"/>
          <w:sz w:val="20"/>
          <w:szCs w:val="20"/>
        </w:rPr>
        <w:t xml:space="preserve">lcerative </w:t>
      </w:r>
      <w:r w:rsidR="00052E7C" w:rsidRPr="00D76895">
        <w:rPr>
          <w:rFonts w:asciiTheme="majorBidi" w:hAnsiTheme="majorBidi" w:cstheme="majorBidi"/>
          <w:sz w:val="20"/>
          <w:szCs w:val="20"/>
        </w:rPr>
        <w:t>c</w:t>
      </w:r>
      <w:r w:rsidR="002A1D55" w:rsidRPr="00D76895">
        <w:rPr>
          <w:rFonts w:asciiTheme="majorBidi" w:hAnsiTheme="majorBidi" w:cstheme="majorBidi"/>
          <w:sz w:val="20"/>
          <w:szCs w:val="20"/>
        </w:rPr>
        <w:t>olitis patients found a similar proportion felt that cost should not come before efficacy and safety, although this study did not differentiate between patients on originator biologic</w:t>
      </w:r>
      <w:r w:rsidR="007D0A3D">
        <w:rPr>
          <w:rFonts w:asciiTheme="majorBidi" w:hAnsiTheme="majorBidi" w:cstheme="majorBidi"/>
          <w:sz w:val="20"/>
          <w:szCs w:val="20"/>
        </w:rPr>
        <w:t>s</w:t>
      </w:r>
      <w:r w:rsidR="002A1D55" w:rsidRPr="00D76895">
        <w:rPr>
          <w:rFonts w:asciiTheme="majorBidi" w:hAnsiTheme="majorBidi" w:cstheme="majorBidi"/>
          <w:sz w:val="20"/>
          <w:szCs w:val="20"/>
        </w:rPr>
        <w:t xml:space="preserve"> and biosimilars </w:t>
      </w:r>
      <w:r w:rsidR="00052E7C" w:rsidRPr="00D76895">
        <w:rPr>
          <w:rFonts w:asciiTheme="majorBidi" w:hAnsiTheme="majorBidi" w:cstheme="majorBidi"/>
          <w:sz w:val="20"/>
          <w:szCs w:val="20"/>
        </w:rPr>
        <w:t>[</w:t>
      </w:r>
      <w:r w:rsidR="004100C9" w:rsidRPr="00D76895">
        <w:rPr>
          <w:rFonts w:asciiTheme="majorBidi" w:hAnsiTheme="majorBidi" w:cstheme="majorBidi"/>
          <w:sz w:val="20"/>
          <w:szCs w:val="20"/>
        </w:rPr>
        <w:t>1</w:t>
      </w:r>
      <w:r w:rsidR="004100C9">
        <w:rPr>
          <w:rFonts w:asciiTheme="majorBidi" w:hAnsiTheme="majorBidi" w:cstheme="majorBidi"/>
          <w:sz w:val="20"/>
          <w:szCs w:val="20"/>
        </w:rPr>
        <w:t>8</w:t>
      </w:r>
      <w:r w:rsidR="00052E7C" w:rsidRPr="00D76895">
        <w:rPr>
          <w:rFonts w:asciiTheme="majorBidi" w:hAnsiTheme="majorBidi" w:cstheme="majorBidi"/>
          <w:sz w:val="20"/>
          <w:szCs w:val="20"/>
        </w:rPr>
        <w:t>]</w:t>
      </w:r>
      <w:r w:rsidR="002A1D55" w:rsidRPr="00D76895">
        <w:rPr>
          <w:rFonts w:asciiTheme="majorBidi" w:hAnsiTheme="majorBidi" w:cstheme="majorBidi"/>
          <w:sz w:val="20"/>
          <w:szCs w:val="20"/>
        </w:rPr>
        <w:t>.</w:t>
      </w:r>
      <w:r w:rsidR="00052E7C" w:rsidRPr="00D76895">
        <w:rPr>
          <w:rFonts w:asciiTheme="majorBidi" w:hAnsiTheme="majorBidi" w:cstheme="majorBidi"/>
          <w:sz w:val="20"/>
          <w:szCs w:val="20"/>
        </w:rPr>
        <w:t xml:space="preserve"> </w:t>
      </w:r>
      <w:r w:rsidR="00FB024D" w:rsidRPr="00D76895">
        <w:rPr>
          <w:rFonts w:asciiTheme="majorBidi" w:hAnsiTheme="majorBidi" w:cstheme="majorBidi"/>
          <w:sz w:val="20"/>
          <w:szCs w:val="20"/>
        </w:rPr>
        <w:t>This may be due to the public misconception</w:t>
      </w:r>
      <w:r w:rsidR="00E82D2F">
        <w:rPr>
          <w:rFonts w:asciiTheme="majorBidi" w:hAnsiTheme="majorBidi" w:cstheme="majorBidi"/>
          <w:sz w:val="20"/>
          <w:szCs w:val="20"/>
        </w:rPr>
        <w:t>,</w:t>
      </w:r>
      <w:r w:rsidR="00FB024D" w:rsidRPr="00D76895">
        <w:rPr>
          <w:rFonts w:asciiTheme="majorBidi" w:hAnsiTheme="majorBidi" w:cstheme="majorBidi"/>
          <w:sz w:val="20"/>
          <w:szCs w:val="20"/>
        </w:rPr>
        <w:t xml:space="preserve"> </w:t>
      </w:r>
      <w:r w:rsidR="00E82D2F">
        <w:rPr>
          <w:rFonts w:asciiTheme="majorBidi" w:hAnsiTheme="majorBidi" w:cstheme="majorBidi"/>
          <w:sz w:val="20"/>
          <w:szCs w:val="20"/>
        </w:rPr>
        <w:t xml:space="preserve">previously found with generics </w:t>
      </w:r>
      <w:r w:rsidR="00FB024D" w:rsidRPr="00D76895">
        <w:rPr>
          <w:rFonts w:asciiTheme="majorBidi" w:hAnsiTheme="majorBidi" w:cstheme="majorBidi"/>
          <w:sz w:val="20"/>
          <w:szCs w:val="20"/>
        </w:rPr>
        <w:t>that less expensive medicines would be less effective</w:t>
      </w:r>
      <w:r w:rsidR="001D67B9" w:rsidRPr="00D76895">
        <w:rPr>
          <w:rFonts w:asciiTheme="majorBidi" w:hAnsiTheme="majorBidi" w:cstheme="majorBidi"/>
          <w:sz w:val="20"/>
          <w:szCs w:val="20"/>
        </w:rPr>
        <w:t xml:space="preserve"> [</w:t>
      </w:r>
      <w:r w:rsidR="004100C9" w:rsidRPr="00D76895">
        <w:rPr>
          <w:rFonts w:asciiTheme="majorBidi" w:hAnsiTheme="majorBidi" w:cstheme="majorBidi"/>
          <w:sz w:val="20"/>
          <w:szCs w:val="20"/>
        </w:rPr>
        <w:t>1</w:t>
      </w:r>
      <w:r w:rsidR="004100C9">
        <w:rPr>
          <w:rFonts w:asciiTheme="majorBidi" w:hAnsiTheme="majorBidi" w:cstheme="majorBidi"/>
          <w:sz w:val="20"/>
          <w:szCs w:val="20"/>
        </w:rPr>
        <w:t>9</w:t>
      </w:r>
      <w:r w:rsidR="001D67B9" w:rsidRPr="00D76895">
        <w:rPr>
          <w:rFonts w:asciiTheme="majorBidi" w:hAnsiTheme="majorBidi" w:cstheme="majorBidi"/>
          <w:sz w:val="20"/>
          <w:szCs w:val="20"/>
        </w:rPr>
        <w:t>]</w:t>
      </w:r>
      <w:r w:rsidR="00FB024D" w:rsidRPr="00D76895">
        <w:rPr>
          <w:rFonts w:asciiTheme="majorBidi" w:hAnsiTheme="majorBidi" w:cstheme="majorBidi"/>
          <w:sz w:val="20"/>
          <w:szCs w:val="20"/>
        </w:rPr>
        <w:t>.</w:t>
      </w:r>
      <w:r w:rsidR="001D67B9" w:rsidRPr="00D76895">
        <w:rPr>
          <w:rFonts w:asciiTheme="majorBidi" w:hAnsiTheme="majorBidi" w:cstheme="majorBidi"/>
          <w:sz w:val="20"/>
          <w:szCs w:val="20"/>
        </w:rPr>
        <w:t xml:space="preserve"> </w:t>
      </w:r>
    </w:p>
    <w:p w:rsidR="008D7AC8" w:rsidRDefault="001A56D5" w:rsidP="00E82D2F">
      <w:pPr>
        <w:jc w:val="both"/>
        <w:rPr>
          <w:rFonts w:asciiTheme="majorBidi" w:hAnsiTheme="majorBidi" w:cstheme="majorBidi"/>
          <w:sz w:val="20"/>
          <w:szCs w:val="20"/>
        </w:rPr>
      </w:pPr>
      <w:r w:rsidRPr="00D76895">
        <w:rPr>
          <w:rFonts w:asciiTheme="majorBidi" w:hAnsiTheme="majorBidi" w:cstheme="majorBidi"/>
          <w:sz w:val="20"/>
          <w:szCs w:val="20"/>
        </w:rPr>
        <w:t>Patients on originator biologic</w:t>
      </w:r>
      <w:r w:rsidR="007D0A3D">
        <w:rPr>
          <w:rFonts w:asciiTheme="majorBidi" w:hAnsiTheme="majorBidi" w:cstheme="majorBidi"/>
          <w:sz w:val="20"/>
          <w:szCs w:val="20"/>
        </w:rPr>
        <w:t>s</w:t>
      </w:r>
      <w:r w:rsidRPr="00D76895">
        <w:rPr>
          <w:rFonts w:asciiTheme="majorBidi" w:hAnsiTheme="majorBidi" w:cstheme="majorBidi"/>
          <w:sz w:val="20"/>
          <w:szCs w:val="20"/>
        </w:rPr>
        <w:t xml:space="preserve"> and those on biosimilars had similar levels of questions</w:t>
      </w:r>
      <w:r w:rsidR="00D30A1A" w:rsidRPr="00D76895">
        <w:rPr>
          <w:rFonts w:asciiTheme="majorBidi" w:hAnsiTheme="majorBidi" w:cstheme="majorBidi"/>
          <w:sz w:val="20"/>
          <w:szCs w:val="20"/>
        </w:rPr>
        <w:t xml:space="preserve"> </w:t>
      </w:r>
      <w:r w:rsidR="00556E93" w:rsidRPr="00D76895">
        <w:rPr>
          <w:rFonts w:asciiTheme="majorBidi" w:hAnsiTheme="majorBidi" w:cstheme="majorBidi"/>
          <w:sz w:val="20"/>
          <w:szCs w:val="20"/>
        </w:rPr>
        <w:t>about the side effect</w:t>
      </w:r>
      <w:r w:rsidRPr="00D76895">
        <w:rPr>
          <w:rFonts w:asciiTheme="majorBidi" w:hAnsiTheme="majorBidi" w:cstheme="majorBidi"/>
          <w:sz w:val="20"/>
          <w:szCs w:val="20"/>
        </w:rPr>
        <w:t>s</w:t>
      </w:r>
      <w:r w:rsidR="00556E93" w:rsidRPr="00D76895">
        <w:rPr>
          <w:rFonts w:asciiTheme="majorBidi" w:hAnsiTheme="majorBidi" w:cstheme="majorBidi"/>
          <w:sz w:val="20"/>
          <w:szCs w:val="20"/>
        </w:rPr>
        <w:t xml:space="preserve"> and effectiveness of biosimilars compared to the originator</w:t>
      </w:r>
      <w:r w:rsidR="007D0A3D">
        <w:rPr>
          <w:rFonts w:asciiTheme="majorBidi" w:hAnsiTheme="majorBidi" w:cstheme="majorBidi"/>
          <w:sz w:val="20"/>
          <w:szCs w:val="20"/>
        </w:rPr>
        <w:t xml:space="preserve"> biologics</w:t>
      </w:r>
      <w:r w:rsidR="00556E93" w:rsidRPr="00D76895">
        <w:rPr>
          <w:rFonts w:asciiTheme="majorBidi" w:hAnsiTheme="majorBidi" w:cstheme="majorBidi"/>
          <w:sz w:val="20"/>
          <w:szCs w:val="20"/>
        </w:rPr>
        <w:t>,</w:t>
      </w:r>
      <w:r w:rsidRPr="00D76895">
        <w:rPr>
          <w:rFonts w:asciiTheme="majorBidi" w:hAnsiTheme="majorBidi" w:cstheme="majorBidi"/>
          <w:sz w:val="20"/>
          <w:szCs w:val="20"/>
        </w:rPr>
        <w:t xml:space="preserve"> the reasons for switching, </w:t>
      </w:r>
      <w:r w:rsidR="00061D42" w:rsidRPr="00D76895">
        <w:rPr>
          <w:rFonts w:asciiTheme="majorBidi" w:hAnsiTheme="majorBidi" w:cstheme="majorBidi"/>
          <w:sz w:val="20"/>
          <w:szCs w:val="20"/>
        </w:rPr>
        <w:t xml:space="preserve">and the ability to switch back, </w:t>
      </w:r>
      <w:r w:rsidRPr="00D76895">
        <w:rPr>
          <w:rFonts w:asciiTheme="majorBidi" w:hAnsiTheme="majorBidi" w:cstheme="majorBidi"/>
          <w:sz w:val="20"/>
          <w:szCs w:val="20"/>
        </w:rPr>
        <w:t>whereas</w:t>
      </w:r>
      <w:r w:rsidR="0069189C">
        <w:rPr>
          <w:rFonts w:asciiTheme="majorBidi" w:hAnsiTheme="majorBidi" w:cstheme="majorBidi"/>
          <w:sz w:val="20"/>
          <w:szCs w:val="20"/>
        </w:rPr>
        <w:t>,</w:t>
      </w:r>
      <w:r w:rsidRPr="00D76895">
        <w:rPr>
          <w:rFonts w:asciiTheme="majorBidi" w:hAnsiTheme="majorBidi" w:cstheme="majorBidi"/>
          <w:sz w:val="20"/>
          <w:szCs w:val="20"/>
        </w:rPr>
        <w:t xml:space="preserve"> a higher proportion of participants</w:t>
      </w:r>
      <w:r w:rsidR="00052E7C" w:rsidRPr="00D76895">
        <w:rPr>
          <w:rFonts w:asciiTheme="majorBidi" w:hAnsiTheme="majorBidi" w:cstheme="majorBidi"/>
          <w:sz w:val="20"/>
          <w:szCs w:val="20"/>
        </w:rPr>
        <w:t xml:space="preserve"> on originator biologic wanted</w:t>
      </w:r>
      <w:r w:rsidR="00556E93" w:rsidRPr="00D76895">
        <w:rPr>
          <w:rFonts w:asciiTheme="majorBidi" w:hAnsiTheme="majorBidi" w:cstheme="majorBidi"/>
          <w:sz w:val="20"/>
          <w:szCs w:val="20"/>
        </w:rPr>
        <w:t xml:space="preserve"> more evidence from clinical trials on biosimilars</w:t>
      </w:r>
      <w:r w:rsidR="00061D42" w:rsidRPr="00D76895">
        <w:rPr>
          <w:rFonts w:asciiTheme="majorBidi" w:hAnsiTheme="majorBidi" w:cstheme="majorBidi"/>
          <w:sz w:val="20"/>
          <w:szCs w:val="20"/>
        </w:rPr>
        <w:t xml:space="preserve"> (Table 3)</w:t>
      </w:r>
      <w:r w:rsidR="0025343F" w:rsidRPr="00D76895">
        <w:rPr>
          <w:rFonts w:asciiTheme="majorBidi" w:hAnsiTheme="majorBidi" w:cstheme="majorBidi"/>
          <w:sz w:val="20"/>
          <w:szCs w:val="20"/>
        </w:rPr>
        <w:t xml:space="preserve">. </w:t>
      </w:r>
      <w:r w:rsidR="00D30A1A" w:rsidRPr="00D76895">
        <w:rPr>
          <w:rFonts w:asciiTheme="majorBidi" w:hAnsiTheme="majorBidi" w:cstheme="majorBidi"/>
          <w:sz w:val="20"/>
          <w:szCs w:val="20"/>
        </w:rPr>
        <w:t>Similar concerns had been reported by</w:t>
      </w:r>
      <w:r w:rsidR="00556E93" w:rsidRPr="00D76895">
        <w:rPr>
          <w:rFonts w:asciiTheme="majorBidi" w:hAnsiTheme="majorBidi" w:cstheme="majorBidi"/>
          <w:sz w:val="20"/>
          <w:szCs w:val="20"/>
        </w:rPr>
        <w:t xml:space="preserve"> </w:t>
      </w:r>
      <w:r w:rsidR="00D30A1A" w:rsidRPr="00D76895">
        <w:rPr>
          <w:rFonts w:asciiTheme="majorBidi" w:hAnsiTheme="majorBidi" w:cstheme="majorBidi"/>
          <w:sz w:val="20"/>
          <w:szCs w:val="20"/>
        </w:rPr>
        <w:t>Crohn’s ulcerative patients</w:t>
      </w:r>
      <w:r w:rsidR="00061D42" w:rsidRPr="00D76895">
        <w:rPr>
          <w:rFonts w:asciiTheme="majorBidi" w:hAnsiTheme="majorBidi" w:cstheme="majorBidi"/>
          <w:sz w:val="20"/>
          <w:szCs w:val="20"/>
        </w:rPr>
        <w:t>,</w:t>
      </w:r>
      <w:r w:rsidR="00D30A1A" w:rsidRPr="00D76895">
        <w:rPr>
          <w:rFonts w:asciiTheme="majorBidi" w:hAnsiTheme="majorBidi" w:cstheme="majorBidi"/>
          <w:sz w:val="20"/>
          <w:szCs w:val="20"/>
        </w:rPr>
        <w:t xml:space="preserve"> </w:t>
      </w:r>
      <w:r w:rsidR="00D76895">
        <w:rPr>
          <w:rFonts w:asciiTheme="majorBidi" w:hAnsiTheme="majorBidi" w:cstheme="majorBidi"/>
          <w:sz w:val="20"/>
          <w:szCs w:val="20"/>
        </w:rPr>
        <w:t>RA and A</w:t>
      </w:r>
      <w:r w:rsidR="00061D42" w:rsidRPr="00D76895">
        <w:rPr>
          <w:rFonts w:asciiTheme="majorBidi" w:hAnsiTheme="majorBidi" w:cstheme="majorBidi"/>
          <w:sz w:val="20"/>
          <w:szCs w:val="20"/>
        </w:rPr>
        <w:t xml:space="preserve">S patients </w:t>
      </w:r>
      <w:r w:rsidR="00D30A1A" w:rsidRPr="00D76895">
        <w:rPr>
          <w:rFonts w:asciiTheme="majorBidi" w:hAnsiTheme="majorBidi" w:cstheme="majorBidi"/>
          <w:sz w:val="20"/>
          <w:szCs w:val="20"/>
        </w:rPr>
        <w:t>in Europe [</w:t>
      </w:r>
      <w:r w:rsidR="004100C9" w:rsidRPr="00D76895">
        <w:rPr>
          <w:rFonts w:asciiTheme="majorBidi" w:hAnsiTheme="majorBidi" w:cstheme="majorBidi"/>
          <w:sz w:val="20"/>
          <w:szCs w:val="20"/>
        </w:rPr>
        <w:t>1</w:t>
      </w:r>
      <w:r w:rsidR="004100C9">
        <w:rPr>
          <w:rFonts w:asciiTheme="majorBidi" w:hAnsiTheme="majorBidi" w:cstheme="majorBidi"/>
          <w:sz w:val="20"/>
          <w:szCs w:val="20"/>
        </w:rPr>
        <w:t>8</w:t>
      </w:r>
      <w:r w:rsidR="00052E7C" w:rsidRPr="00D76895">
        <w:rPr>
          <w:rFonts w:asciiTheme="majorBidi" w:hAnsiTheme="majorBidi" w:cstheme="majorBidi"/>
          <w:sz w:val="20"/>
          <w:szCs w:val="20"/>
        </w:rPr>
        <w:t xml:space="preserve">, </w:t>
      </w:r>
      <w:r w:rsidR="00061D42" w:rsidRPr="00D76895">
        <w:rPr>
          <w:rFonts w:asciiTheme="majorBidi" w:hAnsiTheme="majorBidi" w:cstheme="majorBidi"/>
          <w:sz w:val="20"/>
          <w:szCs w:val="20"/>
        </w:rPr>
        <w:t>14</w:t>
      </w:r>
      <w:r w:rsidR="00D30A1A" w:rsidRPr="00D76895">
        <w:rPr>
          <w:rFonts w:asciiTheme="majorBidi" w:hAnsiTheme="majorBidi" w:cstheme="majorBidi"/>
          <w:sz w:val="20"/>
          <w:szCs w:val="20"/>
        </w:rPr>
        <w:t xml:space="preserve">]. </w:t>
      </w:r>
      <w:r w:rsidR="00061D42" w:rsidRPr="00D76895">
        <w:rPr>
          <w:rFonts w:asciiTheme="majorBidi" w:hAnsiTheme="majorBidi" w:cstheme="majorBidi"/>
          <w:sz w:val="20"/>
          <w:szCs w:val="20"/>
        </w:rPr>
        <w:t xml:space="preserve">In the latter </w:t>
      </w:r>
      <w:proofErr w:type="gramStart"/>
      <w:r w:rsidR="00061D42" w:rsidRPr="00D76895">
        <w:rPr>
          <w:rFonts w:asciiTheme="majorBidi" w:hAnsiTheme="majorBidi" w:cstheme="majorBidi"/>
          <w:sz w:val="20"/>
          <w:szCs w:val="20"/>
        </w:rPr>
        <w:t xml:space="preserve">study </w:t>
      </w:r>
      <w:r w:rsidR="00D76895">
        <w:rPr>
          <w:rFonts w:asciiTheme="majorBidi" w:hAnsiTheme="majorBidi" w:cstheme="majorBidi"/>
          <w:sz w:val="20"/>
          <w:szCs w:val="20"/>
        </w:rPr>
        <w:t>which</w:t>
      </w:r>
      <w:proofErr w:type="gramEnd"/>
      <w:r w:rsidR="00D76895">
        <w:rPr>
          <w:rFonts w:asciiTheme="majorBidi" w:hAnsiTheme="majorBidi" w:cstheme="majorBidi"/>
          <w:sz w:val="20"/>
          <w:szCs w:val="20"/>
        </w:rPr>
        <w:t xml:space="preserve"> was in RA and A</w:t>
      </w:r>
      <w:r w:rsidR="00061D42" w:rsidRPr="00D76895">
        <w:rPr>
          <w:rFonts w:asciiTheme="majorBidi" w:hAnsiTheme="majorBidi" w:cstheme="majorBidi"/>
          <w:sz w:val="20"/>
          <w:szCs w:val="20"/>
        </w:rPr>
        <w:t>S patients similar to our cohort, 36-41% felt they did not know enough about biosimilars</w:t>
      </w:r>
      <w:r w:rsidR="0097458A" w:rsidRPr="00D76895">
        <w:rPr>
          <w:rFonts w:asciiTheme="majorBidi" w:hAnsiTheme="majorBidi" w:cstheme="majorBidi"/>
          <w:sz w:val="20"/>
          <w:szCs w:val="20"/>
        </w:rPr>
        <w:t xml:space="preserve"> and</w:t>
      </w:r>
      <w:r w:rsidR="00061D42" w:rsidRPr="00D76895">
        <w:rPr>
          <w:rFonts w:asciiTheme="majorBidi" w:hAnsiTheme="majorBidi" w:cstheme="majorBidi"/>
          <w:sz w:val="20"/>
          <w:szCs w:val="20"/>
        </w:rPr>
        <w:t xml:space="preserve"> a higher proportion of patients on originator biologic had </w:t>
      </w:r>
      <w:r w:rsidR="00E82D2F">
        <w:rPr>
          <w:rFonts w:asciiTheme="majorBidi" w:hAnsiTheme="majorBidi" w:cstheme="majorBidi"/>
          <w:sz w:val="20"/>
          <w:szCs w:val="20"/>
        </w:rPr>
        <w:t xml:space="preserve">similar </w:t>
      </w:r>
      <w:r w:rsidR="00061D42" w:rsidRPr="00D76895">
        <w:rPr>
          <w:rFonts w:asciiTheme="majorBidi" w:hAnsiTheme="majorBidi" w:cstheme="majorBidi"/>
          <w:sz w:val="20"/>
          <w:szCs w:val="20"/>
        </w:rPr>
        <w:t>concerns</w:t>
      </w:r>
      <w:r w:rsidR="0097458A" w:rsidRPr="00D76895">
        <w:rPr>
          <w:rFonts w:asciiTheme="majorBidi" w:hAnsiTheme="majorBidi" w:cstheme="majorBidi"/>
          <w:sz w:val="20"/>
          <w:szCs w:val="20"/>
        </w:rPr>
        <w:t xml:space="preserve"> than those </w:t>
      </w:r>
      <w:r w:rsidR="00733688">
        <w:rPr>
          <w:rFonts w:asciiTheme="majorBidi" w:hAnsiTheme="majorBidi" w:cstheme="majorBidi"/>
          <w:sz w:val="20"/>
          <w:szCs w:val="20"/>
        </w:rPr>
        <w:t>identified in our study</w:t>
      </w:r>
      <w:r w:rsidR="0097458A" w:rsidRPr="00D76895">
        <w:rPr>
          <w:rFonts w:asciiTheme="majorBidi" w:hAnsiTheme="majorBidi" w:cstheme="majorBidi"/>
          <w:sz w:val="20"/>
          <w:szCs w:val="20"/>
        </w:rPr>
        <w:t>.</w:t>
      </w:r>
      <w:r w:rsidR="00061D42" w:rsidRPr="00D76895">
        <w:rPr>
          <w:rFonts w:asciiTheme="majorBidi" w:hAnsiTheme="majorBidi" w:cstheme="majorBidi"/>
          <w:sz w:val="20"/>
          <w:szCs w:val="20"/>
        </w:rPr>
        <w:t xml:space="preserve"> </w:t>
      </w:r>
      <w:r w:rsidR="00B83B1C">
        <w:rPr>
          <w:rFonts w:asciiTheme="majorBidi" w:hAnsiTheme="majorBidi" w:cstheme="majorBidi"/>
          <w:sz w:val="20"/>
          <w:szCs w:val="20"/>
        </w:rPr>
        <w:t xml:space="preserve">Both group of patients surveyed felt </w:t>
      </w:r>
      <w:r w:rsidR="007511E2" w:rsidRPr="00D76895">
        <w:rPr>
          <w:rFonts w:asciiTheme="majorBidi" w:hAnsiTheme="majorBidi" w:cstheme="majorBidi"/>
          <w:sz w:val="20"/>
          <w:szCs w:val="20"/>
        </w:rPr>
        <w:t xml:space="preserve">that more clinical trials on switching to biosimilars, pharmacovigilance studies and continuous education for HCPs </w:t>
      </w:r>
      <w:r w:rsidR="00B83B1C">
        <w:rPr>
          <w:rFonts w:asciiTheme="majorBidi" w:hAnsiTheme="majorBidi" w:cstheme="majorBidi"/>
          <w:sz w:val="20"/>
          <w:szCs w:val="20"/>
        </w:rPr>
        <w:t>would</w:t>
      </w:r>
      <w:r w:rsidR="007511E2" w:rsidRPr="00D76895">
        <w:rPr>
          <w:rFonts w:asciiTheme="majorBidi" w:hAnsiTheme="majorBidi" w:cstheme="majorBidi"/>
          <w:sz w:val="20"/>
          <w:szCs w:val="20"/>
        </w:rPr>
        <w:t xml:space="preserve"> alleviate and answer patients con</w:t>
      </w:r>
      <w:r w:rsidR="00052E7C" w:rsidRPr="00D76895">
        <w:rPr>
          <w:rFonts w:asciiTheme="majorBidi" w:hAnsiTheme="majorBidi" w:cstheme="majorBidi"/>
          <w:sz w:val="20"/>
          <w:szCs w:val="20"/>
        </w:rPr>
        <w:t>cerns and queries. This</w:t>
      </w:r>
      <w:r w:rsidR="007511E2" w:rsidRPr="00D76895">
        <w:rPr>
          <w:rFonts w:asciiTheme="majorBidi" w:hAnsiTheme="majorBidi" w:cstheme="majorBidi"/>
          <w:sz w:val="20"/>
          <w:szCs w:val="20"/>
        </w:rPr>
        <w:t xml:space="preserve"> </w:t>
      </w:r>
      <w:r w:rsidR="0097458A" w:rsidRPr="00D76895">
        <w:rPr>
          <w:rFonts w:asciiTheme="majorBidi" w:hAnsiTheme="majorBidi" w:cstheme="majorBidi"/>
          <w:sz w:val="20"/>
          <w:szCs w:val="20"/>
        </w:rPr>
        <w:t xml:space="preserve">has already been </w:t>
      </w:r>
      <w:r w:rsidR="007511E2" w:rsidRPr="00D76895">
        <w:rPr>
          <w:rFonts w:asciiTheme="majorBidi" w:hAnsiTheme="majorBidi" w:cstheme="majorBidi"/>
          <w:sz w:val="20"/>
          <w:szCs w:val="20"/>
        </w:rPr>
        <w:t xml:space="preserve">identified by the British Society of </w:t>
      </w:r>
      <w:proofErr w:type="gramStart"/>
      <w:r w:rsidR="007511E2" w:rsidRPr="00D76895">
        <w:rPr>
          <w:rFonts w:asciiTheme="majorBidi" w:hAnsiTheme="majorBidi" w:cstheme="majorBidi"/>
          <w:sz w:val="20"/>
          <w:szCs w:val="20"/>
        </w:rPr>
        <w:t xml:space="preserve">Rheumatology which </w:t>
      </w:r>
      <w:r w:rsidR="0097458A" w:rsidRPr="00D76895">
        <w:rPr>
          <w:rFonts w:asciiTheme="majorBidi" w:hAnsiTheme="majorBidi" w:cstheme="majorBidi"/>
          <w:sz w:val="20"/>
          <w:szCs w:val="20"/>
        </w:rPr>
        <w:t xml:space="preserve">has </w:t>
      </w:r>
      <w:r w:rsidR="00B83B1C">
        <w:rPr>
          <w:rFonts w:asciiTheme="majorBidi" w:hAnsiTheme="majorBidi" w:cstheme="majorBidi"/>
          <w:sz w:val="20"/>
          <w:szCs w:val="20"/>
        </w:rPr>
        <w:t>requested more clinical data before they will</w:t>
      </w:r>
      <w:r w:rsidR="00482D08" w:rsidRPr="00D76895">
        <w:rPr>
          <w:rFonts w:asciiTheme="majorBidi" w:hAnsiTheme="majorBidi" w:cstheme="majorBidi"/>
          <w:sz w:val="20"/>
          <w:szCs w:val="20"/>
        </w:rPr>
        <w:t xml:space="preserve"> </w:t>
      </w:r>
      <w:r w:rsidR="007511E2" w:rsidRPr="00D76895">
        <w:rPr>
          <w:rFonts w:asciiTheme="majorBidi" w:hAnsiTheme="majorBidi" w:cstheme="majorBidi"/>
          <w:sz w:val="20"/>
          <w:szCs w:val="20"/>
        </w:rPr>
        <w:t xml:space="preserve">recommend </w:t>
      </w:r>
      <w:r w:rsidR="00482D08" w:rsidRPr="00D76895">
        <w:rPr>
          <w:rFonts w:asciiTheme="majorBidi" w:hAnsiTheme="majorBidi" w:cstheme="majorBidi"/>
          <w:sz w:val="20"/>
          <w:szCs w:val="20"/>
        </w:rPr>
        <w:t>switching</w:t>
      </w:r>
      <w:proofErr w:type="gramEnd"/>
      <w:r w:rsidR="00482D08" w:rsidRPr="00D76895">
        <w:rPr>
          <w:rFonts w:asciiTheme="majorBidi" w:hAnsiTheme="majorBidi" w:cstheme="majorBidi"/>
          <w:sz w:val="20"/>
          <w:szCs w:val="20"/>
        </w:rPr>
        <w:t xml:space="preserve"> and </w:t>
      </w:r>
      <w:r w:rsidR="0097458A" w:rsidRPr="00D76895">
        <w:rPr>
          <w:rFonts w:asciiTheme="majorBidi" w:hAnsiTheme="majorBidi" w:cstheme="majorBidi"/>
          <w:sz w:val="20"/>
          <w:szCs w:val="20"/>
        </w:rPr>
        <w:t xml:space="preserve">close </w:t>
      </w:r>
      <w:r w:rsidR="00482D08" w:rsidRPr="00D76895">
        <w:rPr>
          <w:rFonts w:asciiTheme="majorBidi" w:hAnsiTheme="majorBidi" w:cstheme="majorBidi"/>
          <w:sz w:val="20"/>
          <w:szCs w:val="20"/>
        </w:rPr>
        <w:t xml:space="preserve">monitoring of patients </w:t>
      </w:r>
      <w:r w:rsidR="0097458A" w:rsidRPr="00D76895">
        <w:rPr>
          <w:rFonts w:asciiTheme="majorBidi" w:hAnsiTheme="majorBidi" w:cstheme="majorBidi"/>
          <w:sz w:val="20"/>
          <w:szCs w:val="20"/>
        </w:rPr>
        <w:t xml:space="preserve">switched </w:t>
      </w:r>
      <w:r w:rsidR="00482D08" w:rsidRPr="00D76895">
        <w:rPr>
          <w:rFonts w:asciiTheme="majorBidi" w:hAnsiTheme="majorBidi" w:cstheme="majorBidi"/>
          <w:sz w:val="20"/>
          <w:szCs w:val="20"/>
        </w:rPr>
        <w:t>to biosimilars for non-clinical reasons to ensure efficacy and safety</w:t>
      </w:r>
      <w:r w:rsidR="00354D76" w:rsidRPr="00D76895">
        <w:rPr>
          <w:rFonts w:asciiTheme="majorBidi" w:hAnsiTheme="majorBidi" w:cstheme="majorBidi"/>
          <w:sz w:val="20"/>
          <w:szCs w:val="20"/>
        </w:rPr>
        <w:t xml:space="preserve"> </w:t>
      </w:r>
      <w:r w:rsidR="0025343F" w:rsidRPr="00D76895">
        <w:rPr>
          <w:rFonts w:asciiTheme="majorBidi" w:hAnsiTheme="majorBidi" w:cstheme="majorBidi"/>
          <w:sz w:val="20"/>
          <w:szCs w:val="20"/>
        </w:rPr>
        <w:t>[</w:t>
      </w:r>
      <w:r w:rsidR="004100C9">
        <w:rPr>
          <w:rFonts w:asciiTheme="majorBidi" w:hAnsiTheme="majorBidi" w:cstheme="majorBidi"/>
          <w:sz w:val="20"/>
          <w:szCs w:val="20"/>
        </w:rPr>
        <w:t>20</w:t>
      </w:r>
      <w:r w:rsidR="0025343F" w:rsidRPr="00D76895">
        <w:rPr>
          <w:rFonts w:asciiTheme="majorBidi" w:hAnsiTheme="majorBidi" w:cstheme="majorBidi"/>
          <w:sz w:val="20"/>
          <w:szCs w:val="20"/>
        </w:rPr>
        <w:t>]</w:t>
      </w:r>
      <w:r w:rsidR="00482D08" w:rsidRPr="00D76895">
        <w:rPr>
          <w:rFonts w:asciiTheme="majorBidi" w:hAnsiTheme="majorBidi" w:cstheme="majorBidi"/>
          <w:sz w:val="20"/>
          <w:szCs w:val="20"/>
        </w:rPr>
        <w:t>.</w:t>
      </w:r>
      <w:r w:rsidR="007511E2" w:rsidRPr="00D76895">
        <w:rPr>
          <w:rFonts w:asciiTheme="majorBidi" w:hAnsiTheme="majorBidi" w:cstheme="majorBidi"/>
          <w:sz w:val="20"/>
          <w:szCs w:val="20"/>
        </w:rPr>
        <w:t xml:space="preserve"> </w:t>
      </w:r>
    </w:p>
    <w:p w:rsidR="0025343F" w:rsidRPr="00186CE8" w:rsidRDefault="0025343F" w:rsidP="00186CE8">
      <w:pPr>
        <w:pStyle w:val="ListParagraph"/>
        <w:numPr>
          <w:ilvl w:val="0"/>
          <w:numId w:val="9"/>
        </w:numPr>
        <w:jc w:val="both"/>
        <w:rPr>
          <w:rFonts w:asciiTheme="majorBidi" w:hAnsiTheme="majorBidi" w:cstheme="majorBidi"/>
          <w:b/>
          <w:bCs/>
          <w:sz w:val="20"/>
          <w:szCs w:val="20"/>
        </w:rPr>
      </w:pPr>
      <w:r w:rsidRPr="00D76895">
        <w:rPr>
          <w:rFonts w:asciiTheme="majorBidi" w:hAnsiTheme="majorBidi" w:cstheme="majorBidi"/>
          <w:sz w:val="20"/>
          <w:szCs w:val="20"/>
        </w:rPr>
        <w:t xml:space="preserve">The strength of this study </w:t>
      </w:r>
      <w:r w:rsidR="0097458A" w:rsidRPr="00D76895">
        <w:rPr>
          <w:rFonts w:asciiTheme="majorBidi" w:hAnsiTheme="majorBidi" w:cstheme="majorBidi"/>
          <w:sz w:val="20"/>
          <w:szCs w:val="20"/>
        </w:rPr>
        <w:t xml:space="preserve">is </w:t>
      </w:r>
      <w:r w:rsidRPr="00D76895">
        <w:rPr>
          <w:rFonts w:asciiTheme="majorBidi" w:hAnsiTheme="majorBidi" w:cstheme="majorBidi"/>
          <w:sz w:val="20"/>
          <w:szCs w:val="20"/>
        </w:rPr>
        <w:t xml:space="preserve">that </w:t>
      </w:r>
      <w:r w:rsidR="0097458A" w:rsidRPr="00D76895">
        <w:rPr>
          <w:rFonts w:asciiTheme="majorBidi" w:hAnsiTheme="majorBidi" w:cstheme="majorBidi"/>
          <w:sz w:val="20"/>
          <w:szCs w:val="20"/>
        </w:rPr>
        <w:t xml:space="preserve">it is the first study in </w:t>
      </w:r>
      <w:r w:rsidR="007D0A3D">
        <w:rPr>
          <w:rFonts w:asciiTheme="majorBidi" w:hAnsiTheme="majorBidi" w:cstheme="majorBidi"/>
          <w:sz w:val="20"/>
          <w:szCs w:val="20"/>
        </w:rPr>
        <w:t xml:space="preserve">a </w:t>
      </w:r>
      <w:r w:rsidR="0097458A" w:rsidRPr="00D76895">
        <w:rPr>
          <w:rFonts w:asciiTheme="majorBidi" w:hAnsiTheme="majorBidi" w:cstheme="majorBidi"/>
          <w:sz w:val="20"/>
          <w:szCs w:val="20"/>
        </w:rPr>
        <w:t>UK c</w:t>
      </w:r>
      <w:r w:rsidR="00354D76" w:rsidRPr="00D76895">
        <w:rPr>
          <w:rFonts w:asciiTheme="majorBidi" w:hAnsiTheme="majorBidi" w:cstheme="majorBidi"/>
          <w:sz w:val="20"/>
          <w:szCs w:val="20"/>
        </w:rPr>
        <w:t>ohort of patients on anti</w:t>
      </w:r>
      <w:r w:rsidR="004B7455">
        <w:rPr>
          <w:rFonts w:asciiTheme="majorBidi" w:hAnsiTheme="majorBidi" w:cstheme="majorBidi"/>
          <w:sz w:val="20"/>
          <w:szCs w:val="20"/>
        </w:rPr>
        <w:t>-</w:t>
      </w:r>
      <w:r w:rsidR="00354D76" w:rsidRPr="00D76895">
        <w:rPr>
          <w:rFonts w:asciiTheme="majorBidi" w:hAnsiTheme="majorBidi" w:cstheme="majorBidi"/>
          <w:sz w:val="20"/>
          <w:szCs w:val="20"/>
        </w:rPr>
        <w:t xml:space="preserve">TNFs </w:t>
      </w:r>
      <w:r w:rsidRPr="00D76895">
        <w:rPr>
          <w:rFonts w:asciiTheme="majorBidi" w:hAnsiTheme="majorBidi" w:cstheme="majorBidi"/>
          <w:sz w:val="20"/>
          <w:szCs w:val="20"/>
        </w:rPr>
        <w:t xml:space="preserve">to compare and contrast </w:t>
      </w:r>
      <w:r w:rsidR="0097458A" w:rsidRPr="00D76895">
        <w:rPr>
          <w:rFonts w:asciiTheme="majorBidi" w:hAnsiTheme="majorBidi" w:cstheme="majorBidi"/>
          <w:sz w:val="20"/>
          <w:szCs w:val="20"/>
        </w:rPr>
        <w:t xml:space="preserve">the attitudes of patients on </w:t>
      </w:r>
      <w:r w:rsidR="00D83F15" w:rsidRPr="00D76895">
        <w:rPr>
          <w:rFonts w:asciiTheme="majorBidi" w:hAnsiTheme="majorBidi" w:cstheme="majorBidi"/>
          <w:sz w:val="20"/>
          <w:szCs w:val="20"/>
        </w:rPr>
        <w:t xml:space="preserve">originator </w:t>
      </w:r>
      <w:r w:rsidR="0097458A" w:rsidRPr="00D76895">
        <w:rPr>
          <w:rFonts w:asciiTheme="majorBidi" w:hAnsiTheme="majorBidi" w:cstheme="majorBidi"/>
          <w:sz w:val="20"/>
          <w:szCs w:val="20"/>
        </w:rPr>
        <w:t>biologic</w:t>
      </w:r>
      <w:r w:rsidR="007D0A3D">
        <w:rPr>
          <w:rFonts w:asciiTheme="majorBidi" w:hAnsiTheme="majorBidi" w:cstheme="majorBidi"/>
          <w:sz w:val="20"/>
          <w:szCs w:val="20"/>
        </w:rPr>
        <w:t>s</w:t>
      </w:r>
      <w:r w:rsidR="0097458A" w:rsidRPr="00D76895">
        <w:rPr>
          <w:rFonts w:asciiTheme="majorBidi" w:hAnsiTheme="majorBidi" w:cstheme="majorBidi"/>
          <w:sz w:val="20"/>
          <w:szCs w:val="20"/>
        </w:rPr>
        <w:t xml:space="preserve"> to those on biosimilars.</w:t>
      </w:r>
      <w:r w:rsidR="00354D76" w:rsidRPr="00D76895">
        <w:rPr>
          <w:rFonts w:asciiTheme="majorBidi" w:hAnsiTheme="majorBidi" w:cstheme="majorBidi"/>
          <w:sz w:val="20"/>
          <w:szCs w:val="20"/>
        </w:rPr>
        <w:t xml:space="preserve"> </w:t>
      </w:r>
      <w:r w:rsidR="00D83F15" w:rsidRPr="00D76895">
        <w:rPr>
          <w:rFonts w:asciiTheme="majorBidi" w:hAnsiTheme="majorBidi" w:cstheme="majorBidi"/>
          <w:sz w:val="20"/>
          <w:szCs w:val="20"/>
        </w:rPr>
        <w:t>Our study has some limitations</w:t>
      </w:r>
      <w:r w:rsidRPr="00D76895">
        <w:rPr>
          <w:rFonts w:asciiTheme="majorBidi" w:hAnsiTheme="majorBidi" w:cstheme="majorBidi"/>
          <w:sz w:val="20"/>
          <w:szCs w:val="20"/>
        </w:rPr>
        <w:t xml:space="preserve">, </w:t>
      </w:r>
      <w:r w:rsidR="0097458A" w:rsidRPr="00D76895">
        <w:rPr>
          <w:rFonts w:asciiTheme="majorBidi" w:hAnsiTheme="majorBidi" w:cstheme="majorBidi"/>
          <w:sz w:val="20"/>
          <w:szCs w:val="20"/>
        </w:rPr>
        <w:t xml:space="preserve">since </w:t>
      </w:r>
      <w:r w:rsidRPr="00D76895">
        <w:rPr>
          <w:rFonts w:asciiTheme="majorBidi" w:hAnsiTheme="majorBidi" w:cstheme="majorBidi"/>
          <w:sz w:val="20"/>
          <w:szCs w:val="20"/>
        </w:rPr>
        <w:t xml:space="preserve">it was not possible to calculate the response rate as the total number of members of the </w:t>
      </w:r>
      <w:r w:rsidR="007D0A3D">
        <w:rPr>
          <w:rFonts w:asciiTheme="majorBidi" w:hAnsiTheme="majorBidi" w:cstheme="majorBidi"/>
          <w:sz w:val="20"/>
          <w:szCs w:val="20"/>
        </w:rPr>
        <w:t>N</w:t>
      </w:r>
      <w:r w:rsidR="00D83F15" w:rsidRPr="00D76895">
        <w:rPr>
          <w:rFonts w:asciiTheme="majorBidi" w:hAnsiTheme="majorBidi" w:cstheme="majorBidi"/>
          <w:sz w:val="20"/>
          <w:szCs w:val="20"/>
        </w:rPr>
        <w:t xml:space="preserve">ational </w:t>
      </w:r>
      <w:r w:rsidR="007D0A3D">
        <w:rPr>
          <w:rFonts w:asciiTheme="majorBidi" w:hAnsiTheme="majorBidi" w:cstheme="majorBidi"/>
          <w:sz w:val="20"/>
          <w:szCs w:val="20"/>
        </w:rPr>
        <w:t>R</w:t>
      </w:r>
      <w:r w:rsidR="00D83F15" w:rsidRPr="00D76895">
        <w:rPr>
          <w:rFonts w:asciiTheme="majorBidi" w:hAnsiTheme="majorBidi" w:cstheme="majorBidi"/>
          <w:sz w:val="20"/>
          <w:szCs w:val="20"/>
        </w:rPr>
        <w:t xml:space="preserve">heumatoid </w:t>
      </w:r>
      <w:r w:rsidR="007D0A3D">
        <w:rPr>
          <w:rFonts w:asciiTheme="majorBidi" w:hAnsiTheme="majorBidi" w:cstheme="majorBidi"/>
          <w:sz w:val="20"/>
          <w:szCs w:val="20"/>
        </w:rPr>
        <w:t>A</w:t>
      </w:r>
      <w:r w:rsidR="00D83F15" w:rsidRPr="00D76895">
        <w:rPr>
          <w:rFonts w:asciiTheme="majorBidi" w:hAnsiTheme="majorBidi" w:cstheme="majorBidi"/>
          <w:sz w:val="20"/>
          <w:szCs w:val="20"/>
        </w:rPr>
        <w:t xml:space="preserve">rthritis </w:t>
      </w:r>
      <w:r w:rsidR="007D0A3D">
        <w:rPr>
          <w:rFonts w:asciiTheme="majorBidi" w:hAnsiTheme="majorBidi" w:cstheme="majorBidi"/>
          <w:sz w:val="20"/>
          <w:szCs w:val="20"/>
        </w:rPr>
        <w:t>S</w:t>
      </w:r>
      <w:r w:rsidR="00D83F15" w:rsidRPr="00D76895">
        <w:rPr>
          <w:rFonts w:asciiTheme="majorBidi" w:hAnsiTheme="majorBidi" w:cstheme="majorBidi"/>
          <w:sz w:val="20"/>
          <w:szCs w:val="20"/>
        </w:rPr>
        <w:t xml:space="preserve">ociety and </w:t>
      </w:r>
      <w:r w:rsidR="007D0A3D">
        <w:rPr>
          <w:rFonts w:asciiTheme="majorBidi" w:hAnsiTheme="majorBidi" w:cstheme="majorBidi"/>
          <w:sz w:val="20"/>
          <w:szCs w:val="20"/>
        </w:rPr>
        <w:t>N</w:t>
      </w:r>
      <w:r w:rsidR="00D83F15" w:rsidRPr="00D76895">
        <w:rPr>
          <w:rFonts w:asciiTheme="majorBidi" w:hAnsiTheme="majorBidi" w:cstheme="majorBidi"/>
          <w:sz w:val="20"/>
          <w:szCs w:val="20"/>
        </w:rPr>
        <w:t xml:space="preserve">ational </w:t>
      </w:r>
      <w:r w:rsidR="007D0A3D">
        <w:rPr>
          <w:rFonts w:asciiTheme="majorBidi" w:hAnsiTheme="majorBidi" w:cstheme="majorBidi"/>
          <w:sz w:val="20"/>
          <w:szCs w:val="20"/>
        </w:rPr>
        <w:t>A</w:t>
      </w:r>
      <w:r w:rsidR="00D83F15" w:rsidRPr="00D76895">
        <w:rPr>
          <w:rFonts w:asciiTheme="majorBidi" w:hAnsiTheme="majorBidi" w:cstheme="majorBidi"/>
          <w:sz w:val="20"/>
          <w:szCs w:val="20"/>
        </w:rPr>
        <w:t xml:space="preserve">nkylosing </w:t>
      </w:r>
      <w:r w:rsidR="007D0A3D">
        <w:rPr>
          <w:rFonts w:asciiTheme="majorBidi" w:hAnsiTheme="majorBidi" w:cstheme="majorBidi"/>
          <w:sz w:val="20"/>
          <w:szCs w:val="20"/>
        </w:rPr>
        <w:t>S</w:t>
      </w:r>
      <w:r w:rsidR="00D83F15" w:rsidRPr="00D76895">
        <w:rPr>
          <w:rFonts w:asciiTheme="majorBidi" w:hAnsiTheme="majorBidi" w:cstheme="majorBidi"/>
          <w:sz w:val="20"/>
          <w:szCs w:val="20"/>
        </w:rPr>
        <w:t xml:space="preserve">pondylitis </w:t>
      </w:r>
      <w:r w:rsidR="007D0A3D">
        <w:rPr>
          <w:rFonts w:asciiTheme="majorBidi" w:hAnsiTheme="majorBidi" w:cstheme="majorBidi"/>
          <w:sz w:val="20"/>
          <w:szCs w:val="20"/>
        </w:rPr>
        <w:t>S</w:t>
      </w:r>
      <w:r w:rsidR="00D83F15" w:rsidRPr="00D76895">
        <w:rPr>
          <w:rFonts w:asciiTheme="majorBidi" w:hAnsiTheme="majorBidi" w:cstheme="majorBidi"/>
          <w:sz w:val="20"/>
          <w:szCs w:val="20"/>
        </w:rPr>
        <w:t xml:space="preserve">ociety </w:t>
      </w:r>
      <w:r w:rsidRPr="00D76895">
        <w:rPr>
          <w:rFonts w:asciiTheme="majorBidi" w:hAnsiTheme="majorBidi" w:cstheme="majorBidi"/>
          <w:sz w:val="20"/>
          <w:szCs w:val="20"/>
        </w:rPr>
        <w:t>are confidential</w:t>
      </w:r>
      <w:r w:rsidR="00661511">
        <w:rPr>
          <w:rFonts w:asciiTheme="majorBidi" w:hAnsiTheme="majorBidi" w:cstheme="majorBidi"/>
          <w:sz w:val="20"/>
          <w:szCs w:val="20"/>
        </w:rPr>
        <w:t xml:space="preserve">. </w:t>
      </w:r>
      <w:r w:rsidR="006F0623">
        <w:rPr>
          <w:rFonts w:asciiTheme="majorBidi" w:hAnsiTheme="majorBidi" w:cstheme="majorBidi"/>
          <w:sz w:val="20"/>
          <w:szCs w:val="20"/>
        </w:rPr>
        <w:t xml:space="preserve">Despite the fact that </w:t>
      </w:r>
      <w:r w:rsidR="006F0623" w:rsidRPr="00073E70">
        <w:rPr>
          <w:rFonts w:asciiTheme="majorBidi" w:hAnsiTheme="majorBidi" w:cstheme="majorBidi"/>
          <w:sz w:val="20"/>
          <w:szCs w:val="20"/>
        </w:rPr>
        <w:t xml:space="preserve">web </w:t>
      </w:r>
      <w:r w:rsidR="00661511">
        <w:rPr>
          <w:rFonts w:asciiTheme="majorBidi" w:hAnsiTheme="majorBidi" w:cstheme="majorBidi"/>
          <w:sz w:val="20"/>
          <w:szCs w:val="20"/>
        </w:rPr>
        <w:t xml:space="preserve">(Facebook) </w:t>
      </w:r>
      <w:r w:rsidR="006F0623" w:rsidRPr="00073E70">
        <w:rPr>
          <w:rFonts w:asciiTheme="majorBidi" w:hAnsiTheme="majorBidi" w:cstheme="majorBidi"/>
          <w:sz w:val="20"/>
          <w:szCs w:val="20"/>
        </w:rPr>
        <w:t>community is not a</w:t>
      </w:r>
      <w:r w:rsidR="006F0623">
        <w:rPr>
          <w:rFonts w:asciiTheme="majorBidi" w:hAnsiTheme="majorBidi" w:cstheme="majorBidi"/>
          <w:sz w:val="20"/>
          <w:szCs w:val="20"/>
        </w:rPr>
        <w:t xml:space="preserve"> </w:t>
      </w:r>
      <w:r w:rsidR="006F0623" w:rsidRPr="00073E70">
        <w:rPr>
          <w:rFonts w:asciiTheme="majorBidi" w:hAnsiTheme="majorBidi" w:cstheme="majorBidi"/>
          <w:sz w:val="20"/>
          <w:szCs w:val="20"/>
        </w:rPr>
        <w:t>representative sample of the whole population,</w:t>
      </w:r>
      <w:r w:rsidR="006F0623">
        <w:rPr>
          <w:rFonts w:asciiTheme="majorBidi" w:hAnsiTheme="majorBidi" w:cstheme="majorBidi"/>
          <w:sz w:val="20"/>
          <w:szCs w:val="20"/>
        </w:rPr>
        <w:t xml:space="preserve"> </w:t>
      </w:r>
      <w:r w:rsidR="006F0623" w:rsidRPr="00073E70">
        <w:rPr>
          <w:rFonts w:asciiTheme="majorBidi" w:hAnsiTheme="majorBidi" w:cstheme="majorBidi"/>
          <w:sz w:val="20"/>
          <w:szCs w:val="20"/>
        </w:rPr>
        <w:t>and results obtained with questionnaires</w:t>
      </w:r>
      <w:r w:rsidR="006F0623">
        <w:rPr>
          <w:rFonts w:asciiTheme="majorBidi" w:hAnsiTheme="majorBidi" w:cstheme="majorBidi"/>
          <w:sz w:val="20"/>
          <w:szCs w:val="20"/>
        </w:rPr>
        <w:t xml:space="preserve"> </w:t>
      </w:r>
      <w:r w:rsidR="006F0623" w:rsidRPr="00073E70">
        <w:rPr>
          <w:rFonts w:asciiTheme="majorBidi" w:hAnsiTheme="majorBidi" w:cstheme="majorBidi"/>
          <w:sz w:val="20"/>
          <w:szCs w:val="20"/>
        </w:rPr>
        <w:t>on the web are biased towards self</w:t>
      </w:r>
      <w:r w:rsidR="006F0623">
        <w:rPr>
          <w:rFonts w:asciiTheme="majorBidi" w:hAnsiTheme="majorBidi" w:cstheme="majorBidi"/>
          <w:sz w:val="20"/>
          <w:szCs w:val="20"/>
        </w:rPr>
        <w:t>-</w:t>
      </w:r>
      <w:r w:rsidR="006F0623" w:rsidRPr="00073E70">
        <w:rPr>
          <w:rFonts w:asciiTheme="majorBidi" w:hAnsiTheme="majorBidi" w:cstheme="majorBidi"/>
          <w:sz w:val="20"/>
          <w:szCs w:val="20"/>
        </w:rPr>
        <w:t>selection</w:t>
      </w:r>
      <w:r w:rsidR="006F0623">
        <w:rPr>
          <w:rFonts w:asciiTheme="majorBidi" w:hAnsiTheme="majorBidi" w:cstheme="majorBidi"/>
          <w:sz w:val="20"/>
          <w:szCs w:val="20"/>
        </w:rPr>
        <w:t>,</w:t>
      </w:r>
      <w:r w:rsidR="00661511">
        <w:rPr>
          <w:rFonts w:asciiTheme="majorBidi" w:hAnsiTheme="majorBidi" w:cstheme="majorBidi"/>
          <w:sz w:val="20"/>
          <w:szCs w:val="20"/>
        </w:rPr>
        <w:t xml:space="preserve"> </w:t>
      </w:r>
      <w:r w:rsidR="006F0623">
        <w:rPr>
          <w:rFonts w:asciiTheme="majorBidi" w:hAnsiTheme="majorBidi" w:cstheme="majorBidi"/>
          <w:sz w:val="20"/>
          <w:szCs w:val="20"/>
        </w:rPr>
        <w:t>o</w:t>
      </w:r>
      <w:r w:rsidR="00E9388A" w:rsidRPr="00E9388A">
        <w:rPr>
          <w:rFonts w:asciiTheme="majorBidi" w:hAnsiTheme="majorBidi" w:cstheme="majorBidi"/>
          <w:sz w:val="20"/>
          <w:szCs w:val="20"/>
        </w:rPr>
        <w:t xml:space="preserve">pinions surveyed were those of </w:t>
      </w:r>
      <w:r w:rsidR="000002EC">
        <w:rPr>
          <w:rFonts w:asciiTheme="majorBidi" w:hAnsiTheme="majorBidi" w:cstheme="majorBidi"/>
          <w:sz w:val="20"/>
          <w:szCs w:val="20"/>
        </w:rPr>
        <w:t xml:space="preserve">patients </w:t>
      </w:r>
      <w:r w:rsidR="006F0623">
        <w:rPr>
          <w:rFonts w:asciiTheme="majorBidi" w:hAnsiTheme="majorBidi" w:cstheme="majorBidi"/>
          <w:sz w:val="20"/>
          <w:szCs w:val="20"/>
        </w:rPr>
        <w:t xml:space="preserve">who were members of these specialised associations and </w:t>
      </w:r>
      <w:r w:rsidR="004B7455">
        <w:rPr>
          <w:rFonts w:asciiTheme="majorBidi" w:hAnsiTheme="majorBidi" w:cstheme="majorBidi"/>
          <w:sz w:val="20"/>
          <w:szCs w:val="20"/>
        </w:rPr>
        <w:t>on biological medicines (infliximab and etanercept)</w:t>
      </w:r>
      <w:r w:rsidR="00E9388A" w:rsidRPr="00E9388A">
        <w:rPr>
          <w:rFonts w:asciiTheme="majorBidi" w:hAnsiTheme="majorBidi" w:cstheme="majorBidi"/>
          <w:sz w:val="20"/>
          <w:szCs w:val="20"/>
        </w:rPr>
        <w:t xml:space="preserve"> only which potentially could lead to bias, but we believe this unlikely as there are no advantage or disadvantages to the individual as a result of negative or positive results to the survey.</w:t>
      </w:r>
      <w:r w:rsidR="00E16B52">
        <w:rPr>
          <w:rFonts w:asciiTheme="majorBidi" w:hAnsiTheme="majorBidi" w:cstheme="majorBidi"/>
          <w:sz w:val="20"/>
          <w:szCs w:val="20"/>
        </w:rPr>
        <w:t xml:space="preserve"> Despite the fact that patients who have been switched to biosimilars had mentioned that in the open question, but it was not known the exact number of </w:t>
      </w:r>
      <w:r w:rsidR="006A2068">
        <w:rPr>
          <w:rFonts w:asciiTheme="majorBidi" w:hAnsiTheme="majorBidi" w:cstheme="majorBidi"/>
          <w:sz w:val="20"/>
          <w:szCs w:val="20"/>
        </w:rPr>
        <w:t xml:space="preserve">patients </w:t>
      </w:r>
      <w:r w:rsidR="006A2068" w:rsidRPr="00E16B52">
        <w:rPr>
          <w:rFonts w:asciiTheme="majorBidi" w:hAnsiTheme="majorBidi" w:cstheme="majorBidi"/>
          <w:sz w:val="20"/>
          <w:szCs w:val="20"/>
        </w:rPr>
        <w:t xml:space="preserve">on biosimilars </w:t>
      </w:r>
      <w:r w:rsidR="006A2068">
        <w:rPr>
          <w:rFonts w:asciiTheme="majorBidi" w:hAnsiTheme="majorBidi" w:cstheme="majorBidi"/>
          <w:sz w:val="20"/>
          <w:szCs w:val="20"/>
        </w:rPr>
        <w:t xml:space="preserve">who were </w:t>
      </w:r>
      <w:r w:rsidR="00E16B52" w:rsidRPr="00E16B52">
        <w:rPr>
          <w:rFonts w:asciiTheme="majorBidi" w:hAnsiTheme="majorBidi" w:cstheme="majorBidi"/>
          <w:sz w:val="20"/>
          <w:szCs w:val="20"/>
        </w:rPr>
        <w:t>new</w:t>
      </w:r>
      <w:r w:rsidR="00E16B52">
        <w:rPr>
          <w:rFonts w:asciiTheme="majorBidi" w:hAnsiTheme="majorBidi" w:cstheme="majorBidi"/>
          <w:sz w:val="20"/>
          <w:szCs w:val="20"/>
        </w:rPr>
        <w:t xml:space="preserve"> users or</w:t>
      </w:r>
      <w:r w:rsidR="00E16B52" w:rsidRPr="00E16B52">
        <w:rPr>
          <w:rFonts w:asciiTheme="majorBidi" w:hAnsiTheme="majorBidi" w:cstheme="majorBidi"/>
          <w:sz w:val="20"/>
          <w:szCs w:val="20"/>
        </w:rPr>
        <w:t xml:space="preserve"> ha</w:t>
      </w:r>
      <w:r w:rsidR="00E16B52">
        <w:rPr>
          <w:rFonts w:asciiTheme="majorBidi" w:hAnsiTheme="majorBidi" w:cstheme="majorBidi"/>
          <w:sz w:val="20"/>
          <w:szCs w:val="20"/>
        </w:rPr>
        <w:t>ve been</w:t>
      </w:r>
      <w:r w:rsidR="00E16B52" w:rsidRPr="00E16B52">
        <w:rPr>
          <w:rFonts w:asciiTheme="majorBidi" w:hAnsiTheme="majorBidi" w:cstheme="majorBidi"/>
          <w:sz w:val="20"/>
          <w:szCs w:val="20"/>
        </w:rPr>
        <w:t xml:space="preserve"> switched from the originator</w:t>
      </w:r>
      <w:r w:rsidR="006A2068">
        <w:rPr>
          <w:rFonts w:asciiTheme="majorBidi" w:hAnsiTheme="majorBidi" w:cstheme="majorBidi"/>
          <w:sz w:val="20"/>
          <w:szCs w:val="20"/>
        </w:rPr>
        <w:t>.</w:t>
      </w:r>
      <w:r w:rsidR="00E16B52">
        <w:rPr>
          <w:rFonts w:asciiTheme="majorBidi" w:hAnsiTheme="majorBidi" w:cstheme="majorBidi"/>
          <w:sz w:val="20"/>
          <w:szCs w:val="20"/>
        </w:rPr>
        <w:t xml:space="preserve"> </w:t>
      </w:r>
      <w:r w:rsidRPr="00186CE8">
        <w:rPr>
          <w:rFonts w:asciiTheme="majorBidi" w:hAnsiTheme="majorBidi" w:cstheme="majorBidi"/>
          <w:b/>
          <w:bCs/>
          <w:sz w:val="20"/>
          <w:szCs w:val="20"/>
        </w:rPr>
        <w:t>Conclusion</w:t>
      </w:r>
    </w:p>
    <w:p w:rsidR="00E635C4" w:rsidRDefault="00442620" w:rsidP="00800A92">
      <w:pPr>
        <w:jc w:val="both"/>
        <w:rPr>
          <w:rFonts w:asciiTheme="majorBidi" w:hAnsiTheme="majorBidi" w:cstheme="majorBidi"/>
          <w:sz w:val="20"/>
          <w:szCs w:val="20"/>
        </w:rPr>
      </w:pPr>
      <w:r w:rsidRPr="00442620">
        <w:rPr>
          <w:rFonts w:asciiTheme="majorBidi" w:hAnsiTheme="majorBidi" w:cstheme="majorBidi"/>
          <w:sz w:val="20"/>
          <w:szCs w:val="20"/>
        </w:rPr>
        <w:t xml:space="preserve">Within this survey of </w:t>
      </w:r>
      <w:r w:rsidR="0025343F" w:rsidRPr="00D76895">
        <w:rPr>
          <w:rFonts w:asciiTheme="majorBidi" w:hAnsiTheme="majorBidi" w:cstheme="majorBidi"/>
          <w:sz w:val="20"/>
          <w:szCs w:val="20"/>
        </w:rPr>
        <w:t xml:space="preserve">UK </w:t>
      </w:r>
      <w:r>
        <w:rPr>
          <w:rFonts w:asciiTheme="majorBidi" w:hAnsiTheme="majorBidi" w:cstheme="majorBidi"/>
          <w:sz w:val="20"/>
          <w:szCs w:val="20"/>
        </w:rPr>
        <w:t>patients</w:t>
      </w:r>
      <w:r w:rsidRPr="00D76895">
        <w:rPr>
          <w:rFonts w:asciiTheme="majorBidi" w:hAnsiTheme="majorBidi" w:cstheme="majorBidi"/>
          <w:sz w:val="20"/>
          <w:szCs w:val="20"/>
        </w:rPr>
        <w:t xml:space="preserve"> </w:t>
      </w:r>
      <w:r>
        <w:rPr>
          <w:rFonts w:asciiTheme="majorBidi" w:hAnsiTheme="majorBidi" w:cstheme="majorBidi"/>
          <w:sz w:val="20"/>
          <w:szCs w:val="20"/>
        </w:rPr>
        <w:t xml:space="preserve">with </w:t>
      </w:r>
      <w:r w:rsidR="00D83F15" w:rsidRPr="00D76895">
        <w:rPr>
          <w:rFonts w:asciiTheme="majorBidi" w:hAnsiTheme="majorBidi" w:cstheme="majorBidi"/>
          <w:sz w:val="20"/>
          <w:szCs w:val="20"/>
        </w:rPr>
        <w:t>AS and RA</w:t>
      </w:r>
      <w:r w:rsidR="0025343F" w:rsidRPr="00D76895">
        <w:rPr>
          <w:rFonts w:asciiTheme="majorBidi" w:hAnsiTheme="majorBidi" w:cstheme="majorBidi"/>
          <w:sz w:val="20"/>
          <w:szCs w:val="20"/>
        </w:rPr>
        <w:t xml:space="preserve"> </w:t>
      </w:r>
      <w:r w:rsidR="00D83F15" w:rsidRPr="00D76895">
        <w:rPr>
          <w:rFonts w:asciiTheme="majorBidi" w:hAnsiTheme="majorBidi" w:cstheme="majorBidi"/>
          <w:sz w:val="20"/>
          <w:szCs w:val="20"/>
        </w:rPr>
        <w:t xml:space="preserve">knowledge and </w:t>
      </w:r>
      <w:r w:rsidR="0025343F" w:rsidRPr="00D76895">
        <w:rPr>
          <w:rFonts w:asciiTheme="majorBidi" w:hAnsiTheme="majorBidi" w:cstheme="majorBidi"/>
          <w:sz w:val="20"/>
          <w:szCs w:val="20"/>
        </w:rPr>
        <w:t>understanding of biosimilars</w:t>
      </w:r>
      <w:r w:rsidRPr="00442620">
        <w:rPr>
          <w:rFonts w:asciiTheme="majorBidi" w:hAnsiTheme="majorBidi" w:cstheme="majorBidi"/>
          <w:sz w:val="20"/>
          <w:szCs w:val="20"/>
        </w:rPr>
        <w:t xml:space="preserve"> </w:t>
      </w:r>
      <w:r>
        <w:rPr>
          <w:rFonts w:asciiTheme="majorBidi" w:hAnsiTheme="majorBidi" w:cstheme="majorBidi"/>
          <w:sz w:val="20"/>
          <w:szCs w:val="20"/>
        </w:rPr>
        <w:t xml:space="preserve">was </w:t>
      </w:r>
      <w:r w:rsidRPr="00D76895">
        <w:rPr>
          <w:rFonts w:asciiTheme="majorBidi" w:hAnsiTheme="majorBidi" w:cstheme="majorBidi"/>
          <w:sz w:val="20"/>
          <w:szCs w:val="20"/>
        </w:rPr>
        <w:t>good</w:t>
      </w:r>
      <w:r w:rsidR="00D83F15" w:rsidRPr="00D76895">
        <w:rPr>
          <w:rFonts w:asciiTheme="majorBidi" w:hAnsiTheme="majorBidi" w:cstheme="majorBidi"/>
          <w:sz w:val="20"/>
          <w:szCs w:val="20"/>
        </w:rPr>
        <w:t>.</w:t>
      </w:r>
      <w:r w:rsidR="0025343F" w:rsidRPr="00D76895">
        <w:rPr>
          <w:rFonts w:asciiTheme="majorBidi" w:hAnsiTheme="majorBidi" w:cstheme="majorBidi"/>
          <w:sz w:val="20"/>
          <w:szCs w:val="20"/>
        </w:rPr>
        <w:t xml:space="preserve"> </w:t>
      </w:r>
      <w:r w:rsidR="00066D1E" w:rsidRPr="00D76895">
        <w:rPr>
          <w:rFonts w:asciiTheme="majorBidi" w:hAnsiTheme="majorBidi" w:cstheme="majorBidi"/>
          <w:sz w:val="20"/>
          <w:szCs w:val="20"/>
        </w:rPr>
        <w:t>Pa</w:t>
      </w:r>
      <w:r w:rsidR="003E046D">
        <w:rPr>
          <w:rFonts w:asciiTheme="majorBidi" w:hAnsiTheme="majorBidi" w:cstheme="majorBidi"/>
          <w:sz w:val="20"/>
          <w:szCs w:val="20"/>
        </w:rPr>
        <w:t xml:space="preserve">tients </w:t>
      </w:r>
      <w:r w:rsidR="00066D1E" w:rsidRPr="00D76895">
        <w:rPr>
          <w:rFonts w:asciiTheme="majorBidi" w:hAnsiTheme="majorBidi" w:cstheme="majorBidi"/>
          <w:sz w:val="20"/>
          <w:szCs w:val="20"/>
        </w:rPr>
        <w:t>on b</w:t>
      </w:r>
      <w:r w:rsidR="00D83F15" w:rsidRPr="00D76895">
        <w:rPr>
          <w:rFonts w:asciiTheme="majorBidi" w:hAnsiTheme="majorBidi" w:cstheme="majorBidi"/>
          <w:sz w:val="20"/>
          <w:szCs w:val="20"/>
        </w:rPr>
        <w:t>iosimilars were more confident and positive</w:t>
      </w:r>
      <w:r w:rsidR="00BA082B" w:rsidRPr="00D76895">
        <w:rPr>
          <w:rFonts w:asciiTheme="majorBidi" w:hAnsiTheme="majorBidi" w:cstheme="majorBidi"/>
          <w:sz w:val="20"/>
          <w:szCs w:val="20"/>
        </w:rPr>
        <w:t xml:space="preserve"> about biosimilars safety, efficacy and switching</w:t>
      </w:r>
      <w:r w:rsidR="00800A92">
        <w:rPr>
          <w:rFonts w:asciiTheme="majorBidi" w:hAnsiTheme="majorBidi" w:cstheme="majorBidi"/>
          <w:sz w:val="20"/>
          <w:szCs w:val="20"/>
        </w:rPr>
        <w:t xml:space="preserve">, </w:t>
      </w:r>
      <w:r w:rsidR="00800A92" w:rsidRPr="00800A92">
        <w:rPr>
          <w:rFonts w:asciiTheme="majorBidi" w:hAnsiTheme="majorBidi" w:cstheme="majorBidi"/>
          <w:sz w:val="20"/>
          <w:szCs w:val="20"/>
        </w:rPr>
        <w:t>whereas</w:t>
      </w:r>
      <w:r w:rsidR="00800A92">
        <w:rPr>
          <w:rFonts w:asciiTheme="majorBidi" w:hAnsiTheme="majorBidi" w:cstheme="majorBidi"/>
          <w:sz w:val="20"/>
          <w:szCs w:val="20"/>
        </w:rPr>
        <w:t>,</w:t>
      </w:r>
      <w:r w:rsidR="00800A92" w:rsidRPr="00800A92">
        <w:rPr>
          <w:rFonts w:asciiTheme="majorBidi" w:hAnsiTheme="majorBidi" w:cstheme="majorBidi"/>
          <w:sz w:val="20"/>
          <w:szCs w:val="20"/>
        </w:rPr>
        <w:t xml:space="preserve"> participants on </w:t>
      </w:r>
      <w:r w:rsidR="00066D1E" w:rsidRPr="00D76895">
        <w:rPr>
          <w:rFonts w:asciiTheme="majorBidi" w:hAnsiTheme="majorBidi" w:cstheme="majorBidi"/>
          <w:sz w:val="20"/>
          <w:szCs w:val="20"/>
        </w:rPr>
        <w:t>o</w:t>
      </w:r>
      <w:r w:rsidR="00BA082B" w:rsidRPr="00D76895">
        <w:rPr>
          <w:rFonts w:asciiTheme="majorBidi" w:hAnsiTheme="majorBidi" w:cstheme="majorBidi"/>
          <w:sz w:val="20"/>
          <w:szCs w:val="20"/>
        </w:rPr>
        <w:t xml:space="preserve">riginator </w:t>
      </w:r>
      <w:r w:rsidR="00E2059A">
        <w:rPr>
          <w:rFonts w:asciiTheme="majorBidi" w:hAnsiTheme="majorBidi" w:cstheme="majorBidi"/>
          <w:sz w:val="20"/>
          <w:szCs w:val="20"/>
        </w:rPr>
        <w:t>biologic</w:t>
      </w:r>
      <w:r w:rsidR="007D0A3D">
        <w:rPr>
          <w:rFonts w:asciiTheme="majorBidi" w:hAnsiTheme="majorBidi" w:cstheme="majorBidi"/>
          <w:sz w:val="20"/>
          <w:szCs w:val="20"/>
        </w:rPr>
        <w:t>s</w:t>
      </w:r>
      <w:r w:rsidR="00BA082B" w:rsidRPr="00D76895">
        <w:rPr>
          <w:rFonts w:asciiTheme="majorBidi" w:hAnsiTheme="majorBidi" w:cstheme="majorBidi"/>
          <w:sz w:val="20"/>
          <w:szCs w:val="20"/>
        </w:rPr>
        <w:t xml:space="preserve"> were more reluctant to switch to biosimilars. Evidence from clinical trials and information about the safety and efficacy and the possibility of switching back were the main </w:t>
      </w:r>
      <w:r w:rsidR="00066D1E" w:rsidRPr="00D76895">
        <w:rPr>
          <w:rFonts w:asciiTheme="majorBidi" w:hAnsiTheme="majorBidi" w:cstheme="majorBidi"/>
          <w:sz w:val="20"/>
          <w:szCs w:val="20"/>
        </w:rPr>
        <w:t xml:space="preserve">questions participants had about </w:t>
      </w:r>
      <w:r w:rsidR="00354D76" w:rsidRPr="00D76895">
        <w:rPr>
          <w:rFonts w:asciiTheme="majorBidi" w:hAnsiTheme="majorBidi" w:cstheme="majorBidi"/>
          <w:sz w:val="20"/>
          <w:szCs w:val="20"/>
        </w:rPr>
        <w:t>biosimilars.</w:t>
      </w:r>
      <w:r w:rsidR="00BA082B" w:rsidRPr="00D76895">
        <w:rPr>
          <w:rFonts w:asciiTheme="majorBidi" w:hAnsiTheme="majorBidi" w:cstheme="majorBidi"/>
          <w:sz w:val="20"/>
          <w:szCs w:val="20"/>
        </w:rPr>
        <w:t xml:space="preserve"> </w:t>
      </w:r>
      <w:r w:rsidR="00800A92" w:rsidRPr="00800A92">
        <w:rPr>
          <w:rFonts w:asciiTheme="majorBidi" w:hAnsiTheme="majorBidi" w:cstheme="majorBidi"/>
          <w:sz w:val="20"/>
          <w:szCs w:val="20"/>
        </w:rPr>
        <w:t>More communication and reassurance of the patient by healthcare professional teams and further involvement in the decision-making concerning biosimilars were required to increase biosimilars acceptance.</w:t>
      </w:r>
      <w:r w:rsidR="00800A92">
        <w:rPr>
          <w:rFonts w:asciiTheme="majorBidi" w:hAnsiTheme="majorBidi" w:cstheme="majorBidi"/>
          <w:sz w:val="20"/>
          <w:szCs w:val="20"/>
        </w:rPr>
        <w:t xml:space="preserve"> </w:t>
      </w:r>
      <w:r w:rsidR="00066D1E" w:rsidRPr="00D76895">
        <w:rPr>
          <w:rFonts w:asciiTheme="majorBidi" w:hAnsiTheme="majorBidi" w:cstheme="majorBidi"/>
          <w:sz w:val="20"/>
          <w:szCs w:val="20"/>
        </w:rPr>
        <w:t>Our results are similar to other European patient studies but provide more detail on the attitudes of patients already on a biosimilar and those on originator biologic.</w:t>
      </w:r>
    </w:p>
    <w:p w:rsidR="00E635C4" w:rsidRDefault="00E635C4" w:rsidP="00800A92">
      <w:pPr>
        <w:jc w:val="both"/>
        <w:rPr>
          <w:rFonts w:ascii="Arial" w:hAnsi="Arial" w:cs="Arial"/>
          <w:color w:val="666666"/>
          <w:sz w:val="18"/>
          <w:szCs w:val="18"/>
          <w:shd w:val="clear" w:color="auto" w:fill="FFFFFF"/>
        </w:rPr>
      </w:pPr>
    </w:p>
    <w:p w:rsidR="00E635C4" w:rsidRPr="00E635C4" w:rsidRDefault="00E635C4" w:rsidP="00800A92">
      <w:pPr>
        <w:jc w:val="both"/>
        <w:rPr>
          <w:rFonts w:asciiTheme="majorBidi" w:hAnsiTheme="majorBidi" w:cstheme="majorBidi"/>
          <w:b/>
          <w:bCs/>
          <w:sz w:val="20"/>
          <w:szCs w:val="20"/>
        </w:rPr>
      </w:pPr>
      <w:r w:rsidRPr="00E635C4">
        <w:rPr>
          <w:rFonts w:asciiTheme="majorBidi" w:hAnsiTheme="majorBidi" w:cstheme="majorBidi"/>
          <w:b/>
          <w:bCs/>
          <w:sz w:val="20"/>
          <w:szCs w:val="20"/>
        </w:rPr>
        <w:lastRenderedPageBreak/>
        <w:t xml:space="preserve">Compliance with </w:t>
      </w:r>
      <w:r w:rsidR="007811CF">
        <w:rPr>
          <w:rFonts w:asciiTheme="majorBidi" w:hAnsiTheme="majorBidi" w:cstheme="majorBidi"/>
          <w:b/>
          <w:bCs/>
          <w:sz w:val="20"/>
          <w:szCs w:val="20"/>
        </w:rPr>
        <w:t>e</w:t>
      </w:r>
      <w:r w:rsidRPr="00E635C4">
        <w:rPr>
          <w:rFonts w:asciiTheme="majorBidi" w:hAnsiTheme="majorBidi" w:cstheme="majorBidi"/>
          <w:b/>
          <w:bCs/>
          <w:sz w:val="20"/>
          <w:szCs w:val="20"/>
        </w:rPr>
        <w:t xml:space="preserve">thical </w:t>
      </w:r>
      <w:r w:rsidR="007811CF">
        <w:rPr>
          <w:rFonts w:asciiTheme="majorBidi" w:hAnsiTheme="majorBidi" w:cstheme="majorBidi"/>
          <w:b/>
          <w:bCs/>
          <w:sz w:val="20"/>
          <w:szCs w:val="20"/>
        </w:rPr>
        <w:t>s</w:t>
      </w:r>
      <w:r w:rsidRPr="00E635C4">
        <w:rPr>
          <w:rFonts w:asciiTheme="majorBidi" w:hAnsiTheme="majorBidi" w:cstheme="majorBidi"/>
          <w:b/>
          <w:bCs/>
          <w:sz w:val="20"/>
          <w:szCs w:val="20"/>
        </w:rPr>
        <w:t>tandards</w:t>
      </w:r>
    </w:p>
    <w:p w:rsidR="00E635C4" w:rsidRDefault="00E635C4" w:rsidP="00800A92">
      <w:pPr>
        <w:jc w:val="both"/>
        <w:rPr>
          <w:rFonts w:asciiTheme="majorBidi" w:hAnsiTheme="majorBidi" w:cstheme="majorBidi"/>
          <w:sz w:val="20"/>
          <w:szCs w:val="20"/>
        </w:rPr>
      </w:pPr>
      <w:r w:rsidRPr="00E635C4">
        <w:rPr>
          <w:rFonts w:asciiTheme="majorBidi" w:hAnsiTheme="majorBidi" w:cstheme="majorBidi"/>
          <w:b/>
          <w:bCs/>
          <w:sz w:val="20"/>
          <w:szCs w:val="20"/>
        </w:rPr>
        <w:t>Funding:</w:t>
      </w:r>
      <w:r w:rsidRPr="00E635C4">
        <w:rPr>
          <w:rFonts w:asciiTheme="majorBidi" w:hAnsiTheme="majorBidi" w:cstheme="majorBidi"/>
          <w:sz w:val="20"/>
          <w:szCs w:val="20"/>
        </w:rPr>
        <w:t> This study was</w:t>
      </w:r>
      <w:r w:rsidRPr="00D76895">
        <w:rPr>
          <w:rFonts w:asciiTheme="majorBidi" w:hAnsiTheme="majorBidi" w:cstheme="majorBidi"/>
          <w:sz w:val="20"/>
          <w:szCs w:val="20"/>
        </w:rPr>
        <w:t xml:space="preserve"> </w:t>
      </w:r>
      <w:r w:rsidRPr="00E635C4">
        <w:rPr>
          <w:rFonts w:asciiTheme="majorBidi" w:hAnsiTheme="majorBidi" w:cstheme="majorBidi"/>
          <w:sz w:val="20"/>
          <w:szCs w:val="20"/>
        </w:rPr>
        <w:t>not funded by any organisation and the researchers are independent of any funding bodies.</w:t>
      </w:r>
    </w:p>
    <w:p w:rsidR="00E635C4" w:rsidRDefault="00E635C4" w:rsidP="00800A92">
      <w:pPr>
        <w:jc w:val="both"/>
        <w:rPr>
          <w:rFonts w:asciiTheme="majorBidi" w:hAnsiTheme="majorBidi" w:cstheme="majorBidi"/>
          <w:sz w:val="20"/>
          <w:szCs w:val="20"/>
        </w:rPr>
      </w:pPr>
      <w:r w:rsidRPr="00E635C4">
        <w:rPr>
          <w:rFonts w:asciiTheme="majorBidi" w:hAnsiTheme="majorBidi" w:cstheme="majorBidi"/>
          <w:b/>
          <w:bCs/>
          <w:sz w:val="20"/>
          <w:szCs w:val="20"/>
        </w:rPr>
        <w:t>Conflict of Interest:</w:t>
      </w:r>
      <w:r w:rsidRPr="00E635C4">
        <w:rPr>
          <w:rFonts w:asciiTheme="majorBidi" w:hAnsiTheme="majorBidi" w:cstheme="majorBidi"/>
          <w:sz w:val="20"/>
          <w:szCs w:val="20"/>
        </w:rPr>
        <w:t xml:space="preserve"> </w:t>
      </w:r>
      <w:r>
        <w:rPr>
          <w:rFonts w:asciiTheme="majorBidi" w:hAnsiTheme="majorBidi" w:cstheme="majorBidi"/>
          <w:sz w:val="20"/>
          <w:szCs w:val="20"/>
        </w:rPr>
        <w:t>Mohammed I Aladul, Raymond W Fitzpatrick</w:t>
      </w:r>
      <w:r w:rsidRPr="00E635C4">
        <w:rPr>
          <w:rFonts w:asciiTheme="majorBidi" w:hAnsiTheme="majorBidi" w:cstheme="majorBidi"/>
          <w:sz w:val="20"/>
          <w:szCs w:val="20"/>
        </w:rPr>
        <w:t>, Stephen R Chapman declare that they have no conflict of interest.</w:t>
      </w:r>
    </w:p>
    <w:p w:rsidR="007811CF" w:rsidRDefault="00E635C4" w:rsidP="00800A92">
      <w:pPr>
        <w:jc w:val="both"/>
        <w:rPr>
          <w:rFonts w:asciiTheme="majorBidi" w:hAnsiTheme="majorBidi" w:cstheme="majorBidi"/>
          <w:sz w:val="20"/>
          <w:szCs w:val="20"/>
        </w:rPr>
      </w:pPr>
      <w:r w:rsidRPr="00E635C4">
        <w:rPr>
          <w:rFonts w:asciiTheme="majorBidi" w:hAnsiTheme="majorBidi" w:cstheme="majorBidi"/>
          <w:b/>
          <w:bCs/>
          <w:sz w:val="20"/>
          <w:szCs w:val="20"/>
        </w:rPr>
        <w:t>Informed consent:</w:t>
      </w:r>
      <w:r w:rsidRPr="00E635C4">
        <w:rPr>
          <w:rFonts w:asciiTheme="majorBidi" w:hAnsiTheme="majorBidi" w:cstheme="majorBidi"/>
          <w:sz w:val="20"/>
          <w:szCs w:val="20"/>
        </w:rPr>
        <w:t xml:space="preserve"> </w:t>
      </w:r>
      <w:r>
        <w:rPr>
          <w:rFonts w:asciiTheme="majorBidi" w:hAnsiTheme="majorBidi" w:cstheme="majorBidi"/>
          <w:sz w:val="20"/>
          <w:szCs w:val="20"/>
        </w:rPr>
        <w:t>Electronic i</w:t>
      </w:r>
      <w:r w:rsidRPr="00E635C4">
        <w:rPr>
          <w:rFonts w:asciiTheme="majorBidi" w:hAnsiTheme="majorBidi" w:cstheme="majorBidi"/>
          <w:sz w:val="20"/>
          <w:szCs w:val="20"/>
        </w:rPr>
        <w:t xml:space="preserve">nformed consent was obtained from all individual participants included </w:t>
      </w:r>
      <w:r>
        <w:rPr>
          <w:rFonts w:asciiTheme="majorBidi" w:hAnsiTheme="majorBidi" w:cstheme="majorBidi"/>
          <w:sz w:val="20"/>
          <w:szCs w:val="20"/>
        </w:rPr>
        <w:t>in the study.</w:t>
      </w:r>
    </w:p>
    <w:p w:rsidR="002F2686" w:rsidRDefault="007811CF" w:rsidP="00800A92">
      <w:pPr>
        <w:jc w:val="both"/>
        <w:rPr>
          <w:rFonts w:asciiTheme="majorBidi" w:hAnsiTheme="majorBidi" w:cstheme="majorBidi"/>
          <w:sz w:val="20"/>
          <w:szCs w:val="20"/>
        </w:rPr>
      </w:pPr>
      <w:r w:rsidRPr="007811CF">
        <w:rPr>
          <w:rFonts w:asciiTheme="majorBidi" w:hAnsiTheme="majorBidi" w:cstheme="majorBidi"/>
          <w:b/>
          <w:bCs/>
          <w:sz w:val="20"/>
          <w:szCs w:val="20"/>
        </w:rPr>
        <w:t>Ethical approval:</w:t>
      </w:r>
      <w:r w:rsidRPr="007811CF">
        <w:rPr>
          <w:rFonts w:asciiTheme="majorBidi" w:hAnsiTheme="majorBidi" w:cstheme="majorBidi"/>
          <w:sz w:val="20"/>
          <w:szCs w:val="20"/>
        </w:rPr>
        <w:t xml:space="preserve"> This study approved by the Ethics Review Panel at Keele University (Ref. ERP393)</w:t>
      </w:r>
      <w:r>
        <w:rPr>
          <w:rFonts w:asciiTheme="majorBidi" w:hAnsiTheme="majorBidi" w:cstheme="majorBidi"/>
          <w:sz w:val="20"/>
          <w:szCs w:val="20"/>
        </w:rPr>
        <w:t>.</w:t>
      </w:r>
      <w:r w:rsidRPr="007811CF">
        <w:rPr>
          <w:rFonts w:asciiTheme="majorBidi" w:hAnsiTheme="majorBidi" w:cstheme="majorBidi"/>
          <w:sz w:val="20"/>
          <w:szCs w:val="20"/>
        </w:rPr>
        <w:t xml:space="preserve"> </w:t>
      </w:r>
    </w:p>
    <w:p w:rsidR="00DD1EAB" w:rsidRDefault="002F2686" w:rsidP="00800A92">
      <w:pPr>
        <w:jc w:val="both"/>
        <w:rPr>
          <w:rFonts w:asciiTheme="majorBidi" w:hAnsiTheme="majorBidi" w:cstheme="majorBidi"/>
          <w:sz w:val="20"/>
          <w:szCs w:val="20"/>
        </w:rPr>
      </w:pPr>
      <w:r w:rsidRPr="002F2686">
        <w:rPr>
          <w:rFonts w:asciiTheme="majorBidi" w:hAnsiTheme="majorBidi" w:cstheme="majorBidi"/>
          <w:b/>
          <w:bCs/>
          <w:sz w:val="20"/>
          <w:szCs w:val="20"/>
        </w:rPr>
        <w:t>Contributors:</w:t>
      </w:r>
      <w:r w:rsidRPr="002F2686">
        <w:rPr>
          <w:rFonts w:asciiTheme="majorBidi" w:hAnsiTheme="majorBidi" w:cstheme="majorBidi"/>
          <w:sz w:val="20"/>
          <w:szCs w:val="20"/>
        </w:rPr>
        <w:t xml:space="preserve"> All authors have contributed to this study and all authors reviewed and approved the final version of the manuscript. MIA participated in the study design, data collection, and interpretation of results, prepared the manuscript draft, and performed all analytical testing and manuscript review. RWF participated in the study design, interpreted the results and reviewed the manuscript and corrected the final version of the manuscript. SRC designed the study, interpreted the results and reviewed the manuscript and corrected the final version of the manuscript. </w:t>
      </w:r>
      <w:r w:rsidR="00DD1EAB" w:rsidRPr="00D76895">
        <w:rPr>
          <w:rFonts w:asciiTheme="majorBidi" w:hAnsiTheme="majorBidi" w:cstheme="majorBidi"/>
          <w:sz w:val="20"/>
          <w:szCs w:val="20"/>
        </w:rPr>
        <w:br w:type="page"/>
      </w:r>
    </w:p>
    <w:p w:rsidR="00012F19" w:rsidRPr="002F2686" w:rsidRDefault="004F4C75" w:rsidP="001159E2">
      <w:pPr>
        <w:jc w:val="both"/>
        <w:rPr>
          <w:rFonts w:asciiTheme="majorBidi" w:hAnsiTheme="majorBidi" w:cstheme="majorBidi"/>
          <w:b/>
          <w:bCs/>
          <w:sz w:val="20"/>
          <w:szCs w:val="20"/>
        </w:rPr>
      </w:pPr>
      <w:r w:rsidRPr="002F2686">
        <w:rPr>
          <w:rFonts w:asciiTheme="majorBidi" w:hAnsiTheme="majorBidi" w:cstheme="majorBidi"/>
          <w:b/>
          <w:bCs/>
          <w:sz w:val="20"/>
          <w:szCs w:val="20"/>
        </w:rPr>
        <w:lastRenderedPageBreak/>
        <w:t>References</w:t>
      </w:r>
    </w:p>
    <w:p w:rsidR="009C5C40" w:rsidRPr="00D76895" w:rsidRDefault="009C5C40" w:rsidP="009C5C40">
      <w:pPr>
        <w:pStyle w:val="ListParagraph"/>
        <w:numPr>
          <w:ilvl w:val="0"/>
          <w:numId w:val="10"/>
        </w:numPr>
        <w:jc w:val="both"/>
        <w:rPr>
          <w:rFonts w:asciiTheme="majorBidi" w:hAnsiTheme="majorBidi" w:cstheme="majorBidi"/>
          <w:sz w:val="20"/>
          <w:szCs w:val="20"/>
        </w:rPr>
      </w:pPr>
      <w:proofErr w:type="spellStart"/>
      <w:r w:rsidRPr="00D76895">
        <w:rPr>
          <w:rFonts w:asciiTheme="majorBidi" w:hAnsiTheme="majorBidi" w:cstheme="majorBidi"/>
          <w:sz w:val="20"/>
          <w:szCs w:val="20"/>
        </w:rPr>
        <w:t>Salaffi</w:t>
      </w:r>
      <w:proofErr w:type="spellEnd"/>
      <w:r w:rsidRPr="00D76895">
        <w:rPr>
          <w:rFonts w:asciiTheme="majorBidi" w:hAnsiTheme="majorBidi" w:cstheme="majorBidi"/>
          <w:sz w:val="20"/>
          <w:szCs w:val="20"/>
        </w:rPr>
        <w:t xml:space="preserve"> F, </w:t>
      </w:r>
      <w:proofErr w:type="spellStart"/>
      <w:r w:rsidRPr="00D76895">
        <w:rPr>
          <w:rFonts w:asciiTheme="majorBidi" w:hAnsiTheme="majorBidi" w:cstheme="majorBidi"/>
          <w:sz w:val="20"/>
          <w:szCs w:val="20"/>
        </w:rPr>
        <w:t>Carotti</w:t>
      </w:r>
      <w:proofErr w:type="spellEnd"/>
      <w:r w:rsidRPr="00D76895">
        <w:rPr>
          <w:rFonts w:asciiTheme="majorBidi" w:hAnsiTheme="majorBidi" w:cstheme="majorBidi"/>
          <w:sz w:val="20"/>
          <w:szCs w:val="20"/>
        </w:rPr>
        <w:t xml:space="preserve"> M, </w:t>
      </w:r>
      <w:proofErr w:type="spellStart"/>
      <w:r w:rsidRPr="00D76895">
        <w:rPr>
          <w:rFonts w:asciiTheme="majorBidi" w:hAnsiTheme="majorBidi" w:cstheme="majorBidi"/>
          <w:sz w:val="20"/>
          <w:szCs w:val="20"/>
        </w:rPr>
        <w:t>Gasparini</w:t>
      </w:r>
      <w:proofErr w:type="spellEnd"/>
      <w:r w:rsidRPr="00D76895">
        <w:rPr>
          <w:rFonts w:asciiTheme="majorBidi" w:hAnsiTheme="majorBidi" w:cstheme="majorBidi"/>
          <w:sz w:val="20"/>
          <w:szCs w:val="20"/>
        </w:rPr>
        <w:t xml:space="preserve"> S, </w:t>
      </w:r>
      <w:proofErr w:type="spellStart"/>
      <w:r w:rsidRPr="00D76895">
        <w:rPr>
          <w:rFonts w:asciiTheme="majorBidi" w:hAnsiTheme="majorBidi" w:cstheme="majorBidi"/>
          <w:sz w:val="20"/>
          <w:szCs w:val="20"/>
        </w:rPr>
        <w:t>Intorcia</w:t>
      </w:r>
      <w:proofErr w:type="spellEnd"/>
      <w:r w:rsidRPr="00D76895">
        <w:rPr>
          <w:rFonts w:asciiTheme="majorBidi" w:hAnsiTheme="majorBidi" w:cstheme="majorBidi"/>
          <w:sz w:val="20"/>
          <w:szCs w:val="20"/>
        </w:rPr>
        <w:t xml:space="preserve"> M, Grassi W. The health-related quality of life in rheumatoid arthritis, ankylosing spondylitis, and psoriatic arthritis: a comparison with a selected sample of healthy people. Health and quality of life outcomes. 2009;7(1):25.</w:t>
      </w:r>
      <w:r w:rsidRPr="00D76895">
        <w:rPr>
          <w:rFonts w:asciiTheme="majorBidi" w:hAnsiTheme="majorBidi" w:cstheme="majorBidi" w:hint="cs"/>
          <w:sz w:val="20"/>
          <w:szCs w:val="20"/>
          <w:rtl/>
        </w:rPr>
        <w:t xml:space="preserve"> </w:t>
      </w:r>
      <w:r w:rsidRPr="00D76895">
        <w:rPr>
          <w:rFonts w:asciiTheme="majorBidi" w:hAnsiTheme="majorBidi" w:cstheme="majorBidi" w:hint="eastAsia"/>
          <w:sz w:val="20"/>
          <w:szCs w:val="20"/>
          <w:rtl/>
        </w:rPr>
        <w:t>‏</w:t>
      </w:r>
    </w:p>
    <w:p w:rsidR="009C5C40" w:rsidRPr="00D76895" w:rsidRDefault="009C5C40" w:rsidP="009C5C40">
      <w:pPr>
        <w:pStyle w:val="ListParagraph"/>
        <w:numPr>
          <w:ilvl w:val="0"/>
          <w:numId w:val="10"/>
        </w:numPr>
        <w:jc w:val="both"/>
        <w:rPr>
          <w:rFonts w:asciiTheme="majorBidi" w:hAnsiTheme="majorBidi" w:cstheme="majorBidi"/>
          <w:sz w:val="20"/>
          <w:szCs w:val="20"/>
        </w:rPr>
      </w:pPr>
      <w:proofErr w:type="spellStart"/>
      <w:r w:rsidRPr="00D76895">
        <w:rPr>
          <w:rFonts w:asciiTheme="majorBidi" w:hAnsiTheme="majorBidi" w:cstheme="majorBidi"/>
          <w:sz w:val="20"/>
          <w:szCs w:val="20"/>
        </w:rPr>
        <w:t>Smolen</w:t>
      </w:r>
      <w:proofErr w:type="spellEnd"/>
      <w:r w:rsidRPr="00D76895">
        <w:rPr>
          <w:rFonts w:asciiTheme="majorBidi" w:hAnsiTheme="majorBidi" w:cstheme="majorBidi"/>
          <w:sz w:val="20"/>
          <w:szCs w:val="20"/>
        </w:rPr>
        <w:t xml:space="preserve"> JS, </w:t>
      </w:r>
      <w:proofErr w:type="spellStart"/>
      <w:r w:rsidRPr="00D76895">
        <w:rPr>
          <w:rFonts w:asciiTheme="majorBidi" w:hAnsiTheme="majorBidi" w:cstheme="majorBidi"/>
          <w:sz w:val="20"/>
          <w:szCs w:val="20"/>
        </w:rPr>
        <w:t>Aletaha</w:t>
      </w:r>
      <w:proofErr w:type="spellEnd"/>
      <w:r w:rsidRPr="00D76895">
        <w:rPr>
          <w:rFonts w:asciiTheme="majorBidi" w:hAnsiTheme="majorBidi" w:cstheme="majorBidi"/>
          <w:sz w:val="20"/>
          <w:szCs w:val="20"/>
        </w:rPr>
        <w:t xml:space="preserve"> D, </w:t>
      </w:r>
      <w:proofErr w:type="spellStart"/>
      <w:r w:rsidRPr="00D76895">
        <w:rPr>
          <w:rFonts w:asciiTheme="majorBidi" w:hAnsiTheme="majorBidi" w:cstheme="majorBidi"/>
          <w:sz w:val="20"/>
          <w:szCs w:val="20"/>
        </w:rPr>
        <w:t>Koeller</w:t>
      </w:r>
      <w:proofErr w:type="spellEnd"/>
      <w:r w:rsidRPr="00D76895">
        <w:rPr>
          <w:rFonts w:asciiTheme="majorBidi" w:hAnsiTheme="majorBidi" w:cstheme="majorBidi"/>
          <w:sz w:val="20"/>
          <w:szCs w:val="20"/>
        </w:rPr>
        <w:t xml:space="preserve"> M, Weisman MH, Emery P. New therapies for treatment of rheumatoid arthritis. The Lancet. 2007;370(9602):1861-1874.</w:t>
      </w:r>
      <w:r w:rsidRPr="00D76895">
        <w:rPr>
          <w:rFonts w:asciiTheme="majorBidi" w:hAnsiTheme="majorBidi" w:hint="cs"/>
          <w:sz w:val="20"/>
          <w:szCs w:val="20"/>
          <w:rtl/>
        </w:rPr>
        <w:t xml:space="preserve"> </w:t>
      </w:r>
      <w:r w:rsidRPr="00D76895">
        <w:rPr>
          <w:rFonts w:asciiTheme="majorBidi" w:hAnsiTheme="majorBidi" w:hint="eastAsia"/>
          <w:sz w:val="20"/>
          <w:szCs w:val="20"/>
          <w:rtl/>
        </w:rPr>
        <w:t>‏</w:t>
      </w:r>
    </w:p>
    <w:p w:rsidR="009C5C40" w:rsidRPr="00D76895" w:rsidRDefault="009C5C40" w:rsidP="009C5C40">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 xml:space="preserve">Van der </w:t>
      </w:r>
      <w:proofErr w:type="spellStart"/>
      <w:r w:rsidRPr="00D76895">
        <w:rPr>
          <w:rFonts w:asciiTheme="majorBidi" w:hAnsiTheme="majorBidi" w:cstheme="majorBidi"/>
          <w:sz w:val="20"/>
          <w:szCs w:val="20"/>
        </w:rPr>
        <w:t>Kooij</w:t>
      </w:r>
      <w:proofErr w:type="spellEnd"/>
      <w:r w:rsidRPr="00D76895">
        <w:rPr>
          <w:rFonts w:asciiTheme="majorBidi" w:hAnsiTheme="majorBidi" w:cstheme="majorBidi"/>
          <w:sz w:val="20"/>
          <w:szCs w:val="20"/>
        </w:rPr>
        <w:t xml:space="preserve"> SM, de </w:t>
      </w:r>
      <w:proofErr w:type="spellStart"/>
      <w:r w:rsidRPr="00D76895">
        <w:rPr>
          <w:rFonts w:asciiTheme="majorBidi" w:hAnsiTheme="majorBidi" w:cstheme="majorBidi"/>
          <w:sz w:val="20"/>
          <w:szCs w:val="20"/>
        </w:rPr>
        <w:t>Vries‐Bouwstra</w:t>
      </w:r>
      <w:proofErr w:type="spellEnd"/>
      <w:r w:rsidRPr="00D76895">
        <w:rPr>
          <w:rFonts w:asciiTheme="majorBidi" w:hAnsiTheme="majorBidi" w:cstheme="majorBidi"/>
          <w:sz w:val="20"/>
          <w:szCs w:val="20"/>
        </w:rPr>
        <w:t xml:space="preserve"> JK, </w:t>
      </w:r>
      <w:proofErr w:type="spellStart"/>
      <w:r w:rsidRPr="00D76895">
        <w:rPr>
          <w:rFonts w:asciiTheme="majorBidi" w:hAnsiTheme="majorBidi" w:cstheme="majorBidi"/>
          <w:sz w:val="20"/>
          <w:szCs w:val="20"/>
        </w:rPr>
        <w:t>Goekoop‐Ruiterman</w:t>
      </w:r>
      <w:proofErr w:type="spellEnd"/>
      <w:r w:rsidRPr="00D76895">
        <w:rPr>
          <w:rFonts w:asciiTheme="majorBidi" w:hAnsiTheme="majorBidi" w:cstheme="majorBidi"/>
          <w:sz w:val="20"/>
          <w:szCs w:val="20"/>
        </w:rPr>
        <w:t xml:space="preserve"> YP, </w:t>
      </w:r>
      <w:proofErr w:type="spellStart"/>
      <w:r w:rsidRPr="00D76895">
        <w:rPr>
          <w:rFonts w:asciiTheme="majorBidi" w:hAnsiTheme="majorBidi" w:cstheme="majorBidi"/>
          <w:sz w:val="20"/>
          <w:szCs w:val="20"/>
        </w:rPr>
        <w:t>Ewals</w:t>
      </w:r>
      <w:proofErr w:type="spellEnd"/>
      <w:r w:rsidRPr="00D76895">
        <w:rPr>
          <w:rFonts w:asciiTheme="majorBidi" w:hAnsiTheme="majorBidi" w:cstheme="majorBidi"/>
          <w:sz w:val="20"/>
          <w:szCs w:val="20"/>
        </w:rPr>
        <w:t xml:space="preserve"> JA, Han KH, Hazes JM, </w:t>
      </w:r>
      <w:proofErr w:type="spellStart"/>
      <w:r w:rsidRPr="00D76895">
        <w:rPr>
          <w:rFonts w:asciiTheme="majorBidi" w:hAnsiTheme="majorBidi" w:cstheme="majorBidi"/>
          <w:sz w:val="20"/>
          <w:szCs w:val="20"/>
        </w:rPr>
        <w:t>Kerstens</w:t>
      </w:r>
      <w:proofErr w:type="spellEnd"/>
      <w:r w:rsidRPr="00D76895">
        <w:rPr>
          <w:rFonts w:asciiTheme="majorBidi" w:hAnsiTheme="majorBidi" w:cstheme="majorBidi"/>
          <w:sz w:val="20"/>
          <w:szCs w:val="20"/>
        </w:rPr>
        <w:t xml:space="preserve"> PJ, </w:t>
      </w:r>
      <w:proofErr w:type="spellStart"/>
      <w:r w:rsidRPr="00D76895">
        <w:rPr>
          <w:rFonts w:asciiTheme="majorBidi" w:hAnsiTheme="majorBidi" w:cstheme="majorBidi"/>
          <w:sz w:val="20"/>
          <w:szCs w:val="20"/>
        </w:rPr>
        <w:t>Peeters</w:t>
      </w:r>
      <w:proofErr w:type="spellEnd"/>
      <w:r w:rsidRPr="00D76895">
        <w:rPr>
          <w:rFonts w:asciiTheme="majorBidi" w:hAnsiTheme="majorBidi" w:cstheme="majorBidi"/>
          <w:sz w:val="20"/>
          <w:szCs w:val="20"/>
        </w:rPr>
        <w:t xml:space="preserve"> AJ, van </w:t>
      </w:r>
      <w:proofErr w:type="spellStart"/>
      <w:r w:rsidRPr="00D76895">
        <w:rPr>
          <w:rFonts w:asciiTheme="majorBidi" w:hAnsiTheme="majorBidi" w:cstheme="majorBidi"/>
          <w:sz w:val="20"/>
          <w:szCs w:val="20"/>
        </w:rPr>
        <w:t>Zeben</w:t>
      </w:r>
      <w:proofErr w:type="spellEnd"/>
      <w:r w:rsidRPr="00D76895">
        <w:rPr>
          <w:rFonts w:asciiTheme="majorBidi" w:hAnsiTheme="majorBidi" w:cstheme="majorBidi"/>
          <w:sz w:val="20"/>
          <w:szCs w:val="20"/>
        </w:rPr>
        <w:t xml:space="preserve"> D, </w:t>
      </w:r>
      <w:proofErr w:type="spellStart"/>
      <w:r w:rsidRPr="00D76895">
        <w:rPr>
          <w:rFonts w:asciiTheme="majorBidi" w:hAnsiTheme="majorBidi" w:cstheme="majorBidi"/>
          <w:sz w:val="20"/>
          <w:szCs w:val="20"/>
        </w:rPr>
        <w:t>Breedveld</w:t>
      </w:r>
      <w:proofErr w:type="spellEnd"/>
      <w:r w:rsidRPr="00D76895">
        <w:rPr>
          <w:rFonts w:asciiTheme="majorBidi" w:hAnsiTheme="majorBidi" w:cstheme="majorBidi"/>
          <w:sz w:val="20"/>
          <w:szCs w:val="20"/>
        </w:rPr>
        <w:t xml:space="preserve"> FC, Huizinga TW, </w:t>
      </w:r>
      <w:proofErr w:type="spellStart"/>
      <w:r w:rsidRPr="00D76895">
        <w:rPr>
          <w:rFonts w:asciiTheme="majorBidi" w:hAnsiTheme="majorBidi" w:cstheme="majorBidi"/>
          <w:sz w:val="20"/>
          <w:szCs w:val="20"/>
        </w:rPr>
        <w:t>Dijkmans</w:t>
      </w:r>
      <w:proofErr w:type="spellEnd"/>
      <w:r w:rsidRPr="00D76895">
        <w:rPr>
          <w:rFonts w:asciiTheme="majorBidi" w:hAnsiTheme="majorBidi" w:cstheme="majorBidi"/>
          <w:sz w:val="20"/>
          <w:szCs w:val="20"/>
        </w:rPr>
        <w:t xml:space="preserve"> BA, </w:t>
      </w:r>
      <w:proofErr w:type="spellStart"/>
      <w:r w:rsidRPr="00D76895">
        <w:rPr>
          <w:rFonts w:asciiTheme="majorBidi" w:hAnsiTheme="majorBidi" w:cstheme="majorBidi"/>
          <w:sz w:val="20"/>
          <w:szCs w:val="20"/>
        </w:rPr>
        <w:t>Allaart</w:t>
      </w:r>
      <w:proofErr w:type="spellEnd"/>
      <w:r w:rsidRPr="00D76895">
        <w:rPr>
          <w:rFonts w:asciiTheme="majorBidi" w:hAnsiTheme="majorBidi" w:cstheme="majorBidi"/>
          <w:sz w:val="20"/>
          <w:szCs w:val="20"/>
        </w:rPr>
        <w:t xml:space="preserve"> CF. Patient‐reported outcomes in a randomized trial comparing four different treatment strategies in recent‐onset rheumatoid arthritis. Arthritis Care &amp; Research. 2009</w:t>
      </w:r>
      <w:proofErr w:type="gramStart"/>
      <w:r w:rsidRPr="00D76895">
        <w:rPr>
          <w:rFonts w:asciiTheme="majorBidi" w:hAnsiTheme="majorBidi" w:cstheme="majorBidi"/>
          <w:sz w:val="20"/>
          <w:szCs w:val="20"/>
        </w:rPr>
        <w:t>;61</w:t>
      </w:r>
      <w:proofErr w:type="gramEnd"/>
      <w:r w:rsidRPr="00D76895">
        <w:rPr>
          <w:rFonts w:asciiTheme="majorBidi" w:hAnsiTheme="majorBidi" w:cstheme="majorBidi"/>
          <w:sz w:val="20"/>
          <w:szCs w:val="20"/>
        </w:rPr>
        <w:t>(1):4-12.</w:t>
      </w:r>
      <w:r w:rsidRPr="00D76895">
        <w:rPr>
          <w:rFonts w:asciiTheme="majorBidi" w:hAnsiTheme="majorBidi"/>
          <w:sz w:val="20"/>
          <w:szCs w:val="20"/>
          <w:rtl/>
        </w:rPr>
        <w:t>‏</w:t>
      </w:r>
      <w:r w:rsidRPr="00D76895">
        <w:rPr>
          <w:rFonts w:asciiTheme="majorBidi" w:hAnsiTheme="majorBidi"/>
          <w:sz w:val="20"/>
          <w:szCs w:val="20"/>
        </w:rPr>
        <w:t xml:space="preserve"> </w:t>
      </w:r>
      <w:proofErr w:type="gramStart"/>
      <w:r w:rsidRPr="00D76895">
        <w:rPr>
          <w:rFonts w:asciiTheme="majorBidi" w:hAnsiTheme="majorBidi"/>
          <w:sz w:val="20"/>
          <w:szCs w:val="20"/>
        </w:rPr>
        <w:t>doi:10.1002</w:t>
      </w:r>
      <w:proofErr w:type="gramEnd"/>
      <w:r w:rsidRPr="00D76895">
        <w:rPr>
          <w:rFonts w:asciiTheme="majorBidi" w:hAnsiTheme="majorBidi"/>
          <w:sz w:val="20"/>
          <w:szCs w:val="20"/>
        </w:rPr>
        <w:t>/art.24367</w:t>
      </w:r>
    </w:p>
    <w:p w:rsidR="009C5C40" w:rsidRPr="00D76895" w:rsidRDefault="009C5C40" w:rsidP="009C5C40">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 xml:space="preserve">Health and Social Care Information Centre. Prescribing Costs in Hospitals and the Community England 2014-15. 2015. </w:t>
      </w:r>
      <w:hyperlink r:id="rId11" w:history="1">
        <w:r w:rsidR="00362DD0" w:rsidRPr="00D76895">
          <w:rPr>
            <w:rStyle w:val="Hyperlink"/>
            <w:rFonts w:asciiTheme="majorBidi" w:hAnsiTheme="majorBidi" w:cstheme="majorBidi"/>
            <w:color w:val="auto"/>
            <w:sz w:val="20"/>
            <w:szCs w:val="20"/>
          </w:rPr>
          <w:t>http://content.digital.nhs.uk/catalogue/PUB18973/hosp-pres-eng-201415-report.pdf</w:t>
        </w:r>
      </w:hyperlink>
      <w:r w:rsidR="00362DD0" w:rsidRPr="00D76895">
        <w:rPr>
          <w:rFonts w:asciiTheme="majorBidi" w:hAnsiTheme="majorBidi" w:cstheme="majorBidi"/>
          <w:sz w:val="20"/>
          <w:szCs w:val="20"/>
        </w:rPr>
        <w:t>. Accessed 30 May 2017.</w:t>
      </w:r>
    </w:p>
    <w:p w:rsidR="009C5C40" w:rsidRPr="00D76895" w:rsidRDefault="009C5C40" w:rsidP="009C5C40">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 xml:space="preserve">Azevedo VF, Galli N, </w:t>
      </w:r>
      <w:proofErr w:type="spellStart"/>
      <w:r w:rsidRPr="00D76895">
        <w:rPr>
          <w:rFonts w:asciiTheme="majorBidi" w:hAnsiTheme="majorBidi" w:cstheme="majorBidi"/>
          <w:sz w:val="20"/>
          <w:szCs w:val="20"/>
        </w:rPr>
        <w:t>Kleinfelder</w:t>
      </w:r>
      <w:proofErr w:type="spellEnd"/>
      <w:r w:rsidRPr="00D76895">
        <w:rPr>
          <w:rFonts w:asciiTheme="majorBidi" w:hAnsiTheme="majorBidi" w:cstheme="majorBidi"/>
          <w:sz w:val="20"/>
          <w:szCs w:val="20"/>
        </w:rPr>
        <w:t xml:space="preserve"> A, </w:t>
      </w:r>
      <w:proofErr w:type="spellStart"/>
      <w:r w:rsidRPr="00D76895">
        <w:rPr>
          <w:rFonts w:asciiTheme="majorBidi" w:hAnsiTheme="majorBidi" w:cstheme="majorBidi"/>
          <w:sz w:val="20"/>
          <w:szCs w:val="20"/>
        </w:rPr>
        <w:t>D’Ippolito</w:t>
      </w:r>
      <w:proofErr w:type="spellEnd"/>
      <w:r w:rsidRPr="00D76895">
        <w:rPr>
          <w:rFonts w:asciiTheme="majorBidi" w:hAnsiTheme="majorBidi" w:cstheme="majorBidi"/>
          <w:sz w:val="20"/>
          <w:szCs w:val="20"/>
        </w:rPr>
        <w:t xml:space="preserve"> J, </w:t>
      </w:r>
      <w:proofErr w:type="spellStart"/>
      <w:r w:rsidRPr="00D76895">
        <w:rPr>
          <w:rFonts w:asciiTheme="majorBidi" w:hAnsiTheme="majorBidi" w:cstheme="majorBidi"/>
          <w:sz w:val="20"/>
          <w:szCs w:val="20"/>
        </w:rPr>
        <w:t>Urbano</w:t>
      </w:r>
      <w:proofErr w:type="spellEnd"/>
      <w:r w:rsidRPr="00D76895">
        <w:rPr>
          <w:rFonts w:asciiTheme="majorBidi" w:hAnsiTheme="majorBidi" w:cstheme="majorBidi"/>
          <w:sz w:val="20"/>
          <w:szCs w:val="20"/>
        </w:rPr>
        <w:t xml:space="preserve"> PC. Etanercept biosimilars. Rheumatology international. 2015;35(2):197-209.</w:t>
      </w:r>
      <w:r w:rsidRPr="00D76895">
        <w:rPr>
          <w:rFonts w:asciiTheme="majorBidi" w:hAnsiTheme="majorBidi" w:hint="cs"/>
          <w:sz w:val="20"/>
          <w:szCs w:val="20"/>
          <w:rtl/>
        </w:rPr>
        <w:t xml:space="preserve"> </w:t>
      </w:r>
      <w:r w:rsidRPr="00D76895">
        <w:rPr>
          <w:rFonts w:asciiTheme="majorBidi" w:hAnsiTheme="majorBidi" w:hint="eastAsia"/>
          <w:sz w:val="20"/>
          <w:szCs w:val="20"/>
          <w:rtl/>
        </w:rPr>
        <w:t>‏</w:t>
      </w:r>
    </w:p>
    <w:p w:rsidR="00362DD0" w:rsidRPr="00D76895" w:rsidRDefault="00362DD0" w:rsidP="00362DD0">
      <w:pPr>
        <w:pStyle w:val="ListParagraph"/>
        <w:numPr>
          <w:ilvl w:val="0"/>
          <w:numId w:val="10"/>
        </w:numPr>
        <w:jc w:val="both"/>
        <w:rPr>
          <w:rFonts w:asciiTheme="majorBidi" w:hAnsiTheme="majorBidi" w:cstheme="majorBidi"/>
          <w:sz w:val="20"/>
          <w:szCs w:val="20"/>
        </w:rPr>
      </w:pPr>
      <w:r w:rsidRPr="00D76895">
        <w:rPr>
          <w:rFonts w:ascii="Times New Roman" w:eastAsia="Cambria"/>
          <w:sz w:val="20"/>
          <w:szCs w:val="20"/>
        </w:rPr>
        <w:t>European Medicine Agency. European public assessment reports.</w:t>
      </w:r>
      <w:r w:rsidR="00BF3D2D" w:rsidRPr="00D76895">
        <w:rPr>
          <w:rFonts w:ascii="Times New Roman" w:eastAsia="Cambria"/>
          <w:sz w:val="20"/>
          <w:szCs w:val="20"/>
        </w:rPr>
        <w:t xml:space="preserve"> (2017).</w:t>
      </w:r>
      <w:r w:rsidRPr="00D76895">
        <w:t xml:space="preserve"> </w:t>
      </w:r>
      <w:hyperlink r:id="rId12" w:history="1">
        <w:r w:rsidRPr="00D76895">
          <w:rPr>
            <w:rStyle w:val="Hyperlink"/>
            <w:rFonts w:ascii="Times New Roman" w:eastAsia="Cambria"/>
            <w:color w:val="auto"/>
            <w:sz w:val="20"/>
            <w:szCs w:val="20"/>
          </w:rPr>
          <w:t>http://www.ema.europa.eu/ema/index.jsp?curl=pages/medicines/landing/epar_search.jsp&amp;mid=WC0b01ac058001d124&amp;searchTab=searchByAuthType&amp;keyword=Enter%20keywords&amp;searchType=name&amp;alreadyLoaded=true&amp;status=Authorised&amp;jsenabled=false&amp;searchGenericType=biosimilars&amp;orderBy=authDate&amp;pageNo=1</w:t>
        </w:r>
      </w:hyperlink>
      <w:r w:rsidRPr="00D76895">
        <w:rPr>
          <w:rFonts w:ascii="Times New Roman" w:eastAsia="Cambria"/>
          <w:sz w:val="20"/>
          <w:szCs w:val="20"/>
        </w:rPr>
        <w:t>. Accessed 8 J</w:t>
      </w:r>
      <w:r w:rsidR="00E72299">
        <w:rPr>
          <w:rFonts w:ascii="Times New Roman" w:eastAsia="Cambria"/>
          <w:sz w:val="20"/>
          <w:szCs w:val="20"/>
        </w:rPr>
        <w:t>un</w:t>
      </w:r>
      <w:r w:rsidRPr="00D76895">
        <w:rPr>
          <w:rFonts w:ascii="Times New Roman" w:eastAsia="Cambria"/>
          <w:sz w:val="20"/>
          <w:szCs w:val="20"/>
        </w:rPr>
        <w:t xml:space="preserve"> 2017</w:t>
      </w:r>
      <w:r w:rsidR="00E72299">
        <w:rPr>
          <w:rFonts w:ascii="Times New Roman" w:eastAsia="Cambria"/>
          <w:sz w:val="20"/>
          <w:szCs w:val="20"/>
        </w:rPr>
        <w:t>.</w:t>
      </w:r>
    </w:p>
    <w:p w:rsidR="009C5C40" w:rsidRPr="00D76895" w:rsidRDefault="009C5C40" w:rsidP="009C5C40">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Aladul M, Fitzpatrick R, Chapman S. CP-024 Factors affecting uptake of biosimilars. European Journal of Hospital Pharmacists. 2017</w:t>
      </w:r>
      <w:proofErr w:type="gramStart"/>
      <w:r w:rsidRPr="00D76895">
        <w:rPr>
          <w:rFonts w:asciiTheme="majorBidi" w:hAnsiTheme="majorBidi" w:cstheme="majorBidi"/>
          <w:sz w:val="20"/>
          <w:szCs w:val="20"/>
        </w:rPr>
        <w:t>;24:A10</w:t>
      </w:r>
      <w:proofErr w:type="gramEnd"/>
      <w:r w:rsidRPr="00D76895">
        <w:rPr>
          <w:rFonts w:asciiTheme="majorBidi" w:hAnsiTheme="majorBidi" w:cstheme="majorBidi"/>
          <w:sz w:val="20"/>
          <w:szCs w:val="20"/>
        </w:rPr>
        <w:t>-A11.</w:t>
      </w:r>
      <w:r w:rsidRPr="00D76895">
        <w:t xml:space="preserve"> </w:t>
      </w:r>
      <w:r w:rsidRPr="00D76895">
        <w:rPr>
          <w:rFonts w:asciiTheme="majorBidi" w:hAnsiTheme="majorBidi" w:cstheme="majorBidi"/>
          <w:sz w:val="20"/>
          <w:szCs w:val="20"/>
        </w:rPr>
        <w:t>http://dx.doi.org/10.1136/ejhpharm-2017-000640.23</w:t>
      </w:r>
      <w:r w:rsidR="00E72299">
        <w:rPr>
          <w:rFonts w:asciiTheme="majorBidi" w:hAnsiTheme="majorBidi" w:cstheme="majorBidi"/>
          <w:sz w:val="20"/>
          <w:szCs w:val="20"/>
        </w:rPr>
        <w:t>.</w:t>
      </w:r>
    </w:p>
    <w:p w:rsidR="000D5F40" w:rsidRPr="000D5F40" w:rsidRDefault="000D5F40" w:rsidP="000D5F40">
      <w:pPr>
        <w:pStyle w:val="ListParagraph"/>
        <w:numPr>
          <w:ilvl w:val="0"/>
          <w:numId w:val="10"/>
        </w:numPr>
        <w:jc w:val="both"/>
        <w:rPr>
          <w:rFonts w:asciiTheme="majorBidi" w:hAnsiTheme="majorBidi" w:cstheme="majorBidi"/>
          <w:sz w:val="20"/>
          <w:szCs w:val="20"/>
        </w:rPr>
      </w:pPr>
      <w:r w:rsidRPr="000D5F40">
        <w:rPr>
          <w:rFonts w:asciiTheme="majorBidi" w:hAnsiTheme="majorBidi" w:cstheme="majorBidi"/>
          <w:sz w:val="20"/>
          <w:szCs w:val="20"/>
        </w:rPr>
        <w:t xml:space="preserve">IMS Institute. Delivering on the </w:t>
      </w:r>
      <w:r>
        <w:rPr>
          <w:rFonts w:asciiTheme="majorBidi" w:hAnsiTheme="majorBidi" w:cstheme="majorBidi"/>
          <w:sz w:val="20"/>
          <w:szCs w:val="20"/>
        </w:rPr>
        <w:t>p</w:t>
      </w:r>
      <w:r w:rsidRPr="000D5F40">
        <w:rPr>
          <w:rFonts w:asciiTheme="majorBidi" w:hAnsiTheme="majorBidi" w:cstheme="majorBidi"/>
          <w:sz w:val="20"/>
          <w:szCs w:val="20"/>
        </w:rPr>
        <w:t xml:space="preserve">otential of </w:t>
      </w:r>
      <w:r>
        <w:rPr>
          <w:rFonts w:asciiTheme="majorBidi" w:hAnsiTheme="majorBidi" w:cstheme="majorBidi"/>
          <w:sz w:val="20"/>
          <w:szCs w:val="20"/>
        </w:rPr>
        <w:t>b</w:t>
      </w:r>
      <w:r w:rsidRPr="00132DEB">
        <w:rPr>
          <w:rFonts w:asciiTheme="majorBidi" w:hAnsiTheme="majorBidi" w:cstheme="majorBidi"/>
          <w:sz w:val="20"/>
          <w:szCs w:val="20"/>
        </w:rPr>
        <w:t xml:space="preserve">iosimilar </w:t>
      </w:r>
      <w:r>
        <w:rPr>
          <w:rFonts w:asciiTheme="majorBidi" w:hAnsiTheme="majorBidi" w:cstheme="majorBidi"/>
          <w:sz w:val="20"/>
          <w:szCs w:val="20"/>
        </w:rPr>
        <w:t>m</w:t>
      </w:r>
      <w:r w:rsidRPr="00132DEB">
        <w:rPr>
          <w:rFonts w:asciiTheme="majorBidi" w:hAnsiTheme="majorBidi" w:cstheme="majorBidi"/>
          <w:sz w:val="20"/>
          <w:szCs w:val="20"/>
        </w:rPr>
        <w:t>edicines</w:t>
      </w:r>
      <w:r>
        <w:rPr>
          <w:rFonts w:asciiTheme="majorBidi" w:hAnsiTheme="majorBidi" w:cstheme="majorBidi"/>
          <w:sz w:val="20"/>
          <w:szCs w:val="20"/>
        </w:rPr>
        <w:t>:</w:t>
      </w:r>
      <w:r w:rsidRPr="000D5F40">
        <w:rPr>
          <w:rFonts w:asciiTheme="majorBidi" w:hAnsiTheme="majorBidi" w:cstheme="majorBidi"/>
          <w:sz w:val="20"/>
          <w:szCs w:val="20"/>
        </w:rPr>
        <w:t xml:space="preserve"> </w:t>
      </w:r>
      <w:r>
        <w:rPr>
          <w:rFonts w:asciiTheme="majorBidi" w:hAnsiTheme="majorBidi" w:cstheme="majorBidi"/>
          <w:sz w:val="20"/>
          <w:szCs w:val="20"/>
        </w:rPr>
        <w:t>t</w:t>
      </w:r>
      <w:r w:rsidRPr="000D5F40">
        <w:rPr>
          <w:rFonts w:asciiTheme="majorBidi" w:hAnsiTheme="majorBidi" w:cstheme="majorBidi"/>
          <w:sz w:val="20"/>
          <w:szCs w:val="20"/>
        </w:rPr>
        <w:t xml:space="preserve">he </w:t>
      </w:r>
      <w:r>
        <w:rPr>
          <w:rFonts w:asciiTheme="majorBidi" w:hAnsiTheme="majorBidi" w:cstheme="majorBidi"/>
          <w:sz w:val="20"/>
          <w:szCs w:val="20"/>
        </w:rPr>
        <w:t>r</w:t>
      </w:r>
      <w:r w:rsidRPr="000D5F40">
        <w:rPr>
          <w:rFonts w:asciiTheme="majorBidi" w:hAnsiTheme="majorBidi" w:cstheme="majorBidi"/>
          <w:sz w:val="20"/>
          <w:szCs w:val="20"/>
        </w:rPr>
        <w:t xml:space="preserve">ole of </w:t>
      </w:r>
      <w:r>
        <w:rPr>
          <w:rFonts w:asciiTheme="majorBidi" w:hAnsiTheme="majorBidi" w:cstheme="majorBidi"/>
          <w:sz w:val="20"/>
          <w:szCs w:val="20"/>
        </w:rPr>
        <w:t>f</w:t>
      </w:r>
      <w:r w:rsidRPr="000D5F40">
        <w:rPr>
          <w:rFonts w:asciiTheme="majorBidi" w:hAnsiTheme="majorBidi" w:cstheme="majorBidi"/>
          <w:sz w:val="20"/>
          <w:szCs w:val="20"/>
        </w:rPr>
        <w:t xml:space="preserve">unctioning </w:t>
      </w:r>
      <w:r>
        <w:rPr>
          <w:rFonts w:asciiTheme="majorBidi" w:hAnsiTheme="majorBidi" w:cstheme="majorBidi"/>
          <w:sz w:val="20"/>
          <w:szCs w:val="20"/>
        </w:rPr>
        <w:t>c</w:t>
      </w:r>
      <w:r w:rsidRPr="000D5F40">
        <w:rPr>
          <w:rFonts w:asciiTheme="majorBidi" w:hAnsiTheme="majorBidi" w:cstheme="majorBidi"/>
          <w:sz w:val="20"/>
          <w:szCs w:val="20"/>
        </w:rPr>
        <w:t xml:space="preserve">ompetitive </w:t>
      </w:r>
      <w:r>
        <w:rPr>
          <w:rFonts w:asciiTheme="majorBidi" w:hAnsiTheme="majorBidi" w:cstheme="majorBidi"/>
          <w:sz w:val="20"/>
          <w:szCs w:val="20"/>
        </w:rPr>
        <w:t>m</w:t>
      </w:r>
      <w:r w:rsidRPr="000D5F40">
        <w:rPr>
          <w:rFonts w:asciiTheme="majorBidi" w:hAnsiTheme="majorBidi" w:cstheme="majorBidi"/>
          <w:sz w:val="20"/>
          <w:szCs w:val="20"/>
        </w:rPr>
        <w:t>arkets</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2016. </w:t>
      </w:r>
      <w:hyperlink r:id="rId13" w:history="1">
        <w:r w:rsidRPr="00CC0DB8">
          <w:rPr>
            <w:rStyle w:val="Hyperlink"/>
            <w:rFonts w:asciiTheme="majorBidi" w:hAnsiTheme="majorBidi" w:cstheme="majorBidi"/>
            <w:sz w:val="20"/>
            <w:szCs w:val="20"/>
          </w:rPr>
          <w:t>http://www.imshealth.com/files/web/IMSH%20Institute/Healthcare%20Briefs/Documents/IMS_Institute_Biosimilar_Brief_March_2016.pdf</w:t>
        </w:r>
      </w:hyperlink>
      <w:r>
        <w:rPr>
          <w:rFonts w:asciiTheme="majorBidi" w:hAnsiTheme="majorBidi" w:cstheme="majorBidi"/>
          <w:sz w:val="20"/>
          <w:szCs w:val="20"/>
        </w:rPr>
        <w:t xml:space="preserve"> Accessed 11 Jul 2017.</w:t>
      </w:r>
      <w:proofErr w:type="gramEnd"/>
    </w:p>
    <w:p w:rsidR="009C5C40" w:rsidRPr="00D76895" w:rsidRDefault="00173E7C" w:rsidP="00173E7C">
      <w:pPr>
        <w:pStyle w:val="ListParagraph"/>
        <w:numPr>
          <w:ilvl w:val="0"/>
          <w:numId w:val="10"/>
        </w:numPr>
        <w:jc w:val="both"/>
        <w:rPr>
          <w:rFonts w:asciiTheme="majorBidi" w:hAnsiTheme="majorBidi" w:cstheme="majorBidi"/>
          <w:sz w:val="20"/>
          <w:szCs w:val="20"/>
        </w:rPr>
      </w:pPr>
      <w:r w:rsidRPr="00173E7C">
        <w:rPr>
          <w:rFonts w:asciiTheme="majorBidi" w:hAnsiTheme="majorBidi" w:cstheme="majorBidi"/>
          <w:sz w:val="20"/>
          <w:szCs w:val="20"/>
        </w:rPr>
        <w:t>Chapman SR, Fitzpatrick RW, Aladul MI. Knowledge, attitude and practice of healthcare professionals towards infliximab and insulin glargine biosimilars: result of a UK web-based survey. BMJ Open</w:t>
      </w:r>
      <w:r>
        <w:rPr>
          <w:rFonts w:asciiTheme="majorBidi" w:hAnsiTheme="majorBidi" w:cstheme="majorBidi"/>
          <w:sz w:val="20"/>
          <w:szCs w:val="20"/>
        </w:rPr>
        <w:t xml:space="preserve">. </w:t>
      </w:r>
      <w:r w:rsidRPr="00173E7C">
        <w:rPr>
          <w:rFonts w:asciiTheme="majorBidi" w:hAnsiTheme="majorBidi" w:cstheme="majorBidi"/>
          <w:sz w:val="20"/>
          <w:szCs w:val="20"/>
        </w:rPr>
        <w:t>2017;0</w:t>
      </w:r>
      <w:proofErr w:type="gramStart"/>
      <w:r w:rsidRPr="00173E7C">
        <w:rPr>
          <w:rFonts w:asciiTheme="majorBidi" w:hAnsiTheme="majorBidi" w:cstheme="majorBidi"/>
          <w:sz w:val="20"/>
          <w:szCs w:val="20"/>
        </w:rPr>
        <w:t>:e016730</w:t>
      </w:r>
      <w:proofErr w:type="gramEnd"/>
      <w:r w:rsidRPr="00173E7C">
        <w:rPr>
          <w:rFonts w:asciiTheme="majorBidi" w:hAnsiTheme="majorBidi" w:cstheme="majorBidi"/>
          <w:sz w:val="20"/>
          <w:szCs w:val="20"/>
        </w:rPr>
        <w:t>. doi:10.1136/bmjopen-2017-016730</w:t>
      </w:r>
      <w:r w:rsidR="009C5C40" w:rsidRPr="00D76895">
        <w:rPr>
          <w:rFonts w:asciiTheme="majorBidi" w:hAnsiTheme="majorBidi" w:cstheme="majorBidi"/>
          <w:sz w:val="20"/>
          <w:szCs w:val="20"/>
        </w:rPr>
        <w:t>.</w:t>
      </w:r>
    </w:p>
    <w:p w:rsidR="00BF3D2D" w:rsidRPr="00D76895" w:rsidRDefault="00BF3D2D" w:rsidP="00BF3D2D">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 xml:space="preserve">Nota I, </w:t>
      </w:r>
      <w:proofErr w:type="spellStart"/>
      <w:r w:rsidRPr="00D76895">
        <w:rPr>
          <w:rFonts w:asciiTheme="majorBidi" w:hAnsiTheme="majorBidi" w:cstheme="majorBidi"/>
          <w:sz w:val="20"/>
          <w:szCs w:val="20"/>
        </w:rPr>
        <w:t>Drossaert</w:t>
      </w:r>
      <w:proofErr w:type="spellEnd"/>
      <w:r w:rsidRPr="00D76895">
        <w:rPr>
          <w:rFonts w:asciiTheme="majorBidi" w:hAnsiTheme="majorBidi" w:cstheme="majorBidi"/>
          <w:sz w:val="20"/>
          <w:szCs w:val="20"/>
        </w:rPr>
        <w:t xml:space="preserve"> CH, </w:t>
      </w:r>
      <w:proofErr w:type="spellStart"/>
      <w:r w:rsidRPr="00D76895">
        <w:rPr>
          <w:rFonts w:asciiTheme="majorBidi" w:hAnsiTheme="majorBidi" w:cstheme="majorBidi"/>
          <w:sz w:val="20"/>
          <w:szCs w:val="20"/>
        </w:rPr>
        <w:t>Taal</w:t>
      </w:r>
      <w:proofErr w:type="spellEnd"/>
      <w:r w:rsidRPr="00D76895">
        <w:rPr>
          <w:rFonts w:asciiTheme="majorBidi" w:hAnsiTheme="majorBidi" w:cstheme="majorBidi"/>
          <w:sz w:val="20"/>
          <w:szCs w:val="20"/>
        </w:rPr>
        <w:t xml:space="preserve"> E, </w:t>
      </w:r>
      <w:proofErr w:type="spellStart"/>
      <w:r w:rsidRPr="00D76895">
        <w:rPr>
          <w:rFonts w:asciiTheme="majorBidi" w:hAnsiTheme="majorBidi" w:cstheme="majorBidi"/>
          <w:sz w:val="20"/>
          <w:szCs w:val="20"/>
        </w:rPr>
        <w:t>Vonkeman</w:t>
      </w:r>
      <w:proofErr w:type="spellEnd"/>
      <w:r w:rsidRPr="00D76895">
        <w:rPr>
          <w:rFonts w:asciiTheme="majorBidi" w:hAnsiTheme="majorBidi" w:cstheme="majorBidi"/>
          <w:sz w:val="20"/>
          <w:szCs w:val="20"/>
        </w:rPr>
        <w:t xml:space="preserve"> HE, van de </w:t>
      </w:r>
      <w:proofErr w:type="spellStart"/>
      <w:r w:rsidRPr="00D76895">
        <w:rPr>
          <w:rFonts w:asciiTheme="majorBidi" w:hAnsiTheme="majorBidi" w:cstheme="majorBidi"/>
          <w:sz w:val="20"/>
          <w:szCs w:val="20"/>
        </w:rPr>
        <w:t>Laar</w:t>
      </w:r>
      <w:proofErr w:type="spellEnd"/>
      <w:r w:rsidRPr="00D76895">
        <w:rPr>
          <w:rFonts w:asciiTheme="majorBidi" w:hAnsiTheme="majorBidi" w:cstheme="majorBidi"/>
          <w:sz w:val="20"/>
          <w:szCs w:val="20"/>
        </w:rPr>
        <w:t xml:space="preserve"> MA. (2014). Patient participation in decisions about disease modifying anti-rheumatic drugs: a cross-sectional survey.</w:t>
      </w:r>
      <w:r w:rsidRPr="00D76895">
        <w:rPr>
          <w:rFonts w:asciiTheme="majorBidi" w:hAnsiTheme="majorBidi" w:cstheme="majorBidi"/>
        </w:rPr>
        <w:t> </w:t>
      </w:r>
      <w:r w:rsidRPr="00D76895">
        <w:rPr>
          <w:rFonts w:asciiTheme="majorBidi" w:hAnsiTheme="majorBidi" w:cstheme="majorBidi"/>
          <w:sz w:val="20"/>
          <w:szCs w:val="20"/>
        </w:rPr>
        <w:t>BMC musculoskeletal disorders. 2014;15(1):</w:t>
      </w:r>
      <w:r w:rsidR="00E72299" w:rsidRPr="00D76895">
        <w:rPr>
          <w:rFonts w:asciiTheme="majorBidi" w:hAnsiTheme="majorBidi" w:cstheme="majorBidi"/>
          <w:sz w:val="20"/>
          <w:szCs w:val="20"/>
        </w:rPr>
        <w:t>333.</w:t>
      </w:r>
      <w:r w:rsidR="00E72299" w:rsidRPr="00D76895">
        <w:rPr>
          <w:rFonts w:asciiTheme="majorBidi" w:hAnsiTheme="majorBidi" w:cstheme="majorBidi" w:hint="cs"/>
          <w:sz w:val="20"/>
          <w:szCs w:val="20"/>
          <w:rtl/>
        </w:rPr>
        <w:t xml:space="preserve"> </w:t>
      </w:r>
      <w:r w:rsidR="00E72299" w:rsidRPr="00D76895">
        <w:rPr>
          <w:rFonts w:asciiTheme="majorBidi" w:hAnsiTheme="majorBidi" w:cstheme="majorBidi" w:hint="eastAsia"/>
          <w:sz w:val="20"/>
          <w:szCs w:val="20"/>
          <w:rtl/>
        </w:rPr>
        <w:t>‏</w:t>
      </w:r>
    </w:p>
    <w:p w:rsidR="00BF3D2D" w:rsidRPr="00D76895" w:rsidRDefault="00BF3D2D" w:rsidP="00BF3D2D">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 xml:space="preserve">NHS England. What is a Biosimilar Medicine? 2015. </w:t>
      </w:r>
      <w:hyperlink r:id="rId14" w:history="1">
        <w:r w:rsidRPr="00D76895">
          <w:rPr>
            <w:rStyle w:val="Hyperlink"/>
            <w:rFonts w:asciiTheme="majorBidi" w:hAnsiTheme="majorBidi" w:cstheme="majorBidi"/>
            <w:color w:val="auto"/>
            <w:sz w:val="20"/>
            <w:szCs w:val="20"/>
          </w:rPr>
          <w:t>https://www.england.nhs.uk/wp-content/uploads/2015/09/biosimilar-guide.pdf</w:t>
        </w:r>
      </w:hyperlink>
      <w:r w:rsidRPr="00D76895">
        <w:rPr>
          <w:rFonts w:asciiTheme="majorBidi" w:hAnsiTheme="majorBidi" w:cstheme="majorBidi"/>
          <w:sz w:val="20"/>
          <w:szCs w:val="20"/>
        </w:rPr>
        <w:t>. Accessed 30 M</w:t>
      </w:r>
      <w:r w:rsidR="00E72299">
        <w:rPr>
          <w:rFonts w:asciiTheme="majorBidi" w:hAnsiTheme="majorBidi" w:cstheme="majorBidi"/>
          <w:sz w:val="20"/>
          <w:szCs w:val="20"/>
        </w:rPr>
        <w:t>ay</w:t>
      </w:r>
      <w:r w:rsidRPr="00D76895">
        <w:rPr>
          <w:rFonts w:asciiTheme="majorBidi" w:hAnsiTheme="majorBidi" w:cstheme="majorBidi"/>
          <w:sz w:val="20"/>
          <w:szCs w:val="20"/>
        </w:rPr>
        <w:t xml:space="preserve"> 2017.</w:t>
      </w:r>
    </w:p>
    <w:p w:rsidR="00BE2800" w:rsidRDefault="00BE2800" w:rsidP="00BC4FD6">
      <w:pPr>
        <w:pStyle w:val="ListParagraph"/>
        <w:numPr>
          <w:ilvl w:val="0"/>
          <w:numId w:val="10"/>
        </w:numPr>
        <w:rPr>
          <w:rFonts w:asciiTheme="majorBidi" w:hAnsiTheme="majorBidi" w:cstheme="majorBidi"/>
          <w:sz w:val="20"/>
          <w:szCs w:val="20"/>
        </w:rPr>
      </w:pPr>
      <w:r w:rsidRPr="00D76895">
        <w:rPr>
          <w:rFonts w:asciiTheme="majorBidi" w:hAnsiTheme="majorBidi" w:cstheme="majorBidi"/>
          <w:sz w:val="20"/>
          <w:szCs w:val="20"/>
        </w:rPr>
        <w:t>Jacobs I, Singh E, Sewell KL, AL-Sabbagh A, Shane LG. Patient attitudes and understanding about biosimilars: an international cross-sectional survey. Patient preference and adherence. 2016</w:t>
      </w:r>
      <w:proofErr w:type="gramStart"/>
      <w:r w:rsidRPr="00D76895">
        <w:rPr>
          <w:rFonts w:asciiTheme="majorBidi" w:hAnsiTheme="majorBidi" w:cstheme="majorBidi"/>
          <w:sz w:val="20"/>
          <w:szCs w:val="20"/>
        </w:rPr>
        <w:t>;10:937</w:t>
      </w:r>
      <w:proofErr w:type="gramEnd"/>
      <w:r w:rsidRPr="00D76895">
        <w:rPr>
          <w:rFonts w:asciiTheme="majorBidi" w:hAnsiTheme="majorBidi" w:cstheme="majorBidi"/>
          <w:sz w:val="20"/>
          <w:szCs w:val="20"/>
        </w:rPr>
        <w:t>.</w:t>
      </w:r>
    </w:p>
    <w:p w:rsidR="000002EC" w:rsidRPr="00D76895" w:rsidRDefault="000002EC" w:rsidP="000002EC">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 xml:space="preserve">Sullivan E, Piercy J, Waller J, Black CM, </w:t>
      </w:r>
      <w:proofErr w:type="spellStart"/>
      <w:r w:rsidRPr="00D76895">
        <w:rPr>
          <w:rFonts w:asciiTheme="majorBidi" w:hAnsiTheme="majorBidi" w:cstheme="majorBidi"/>
          <w:sz w:val="20"/>
          <w:szCs w:val="20"/>
        </w:rPr>
        <w:t>Kachroo</w:t>
      </w:r>
      <w:proofErr w:type="spellEnd"/>
      <w:r w:rsidRPr="00D76895">
        <w:rPr>
          <w:rFonts w:asciiTheme="majorBidi" w:hAnsiTheme="majorBidi" w:cstheme="majorBidi"/>
          <w:sz w:val="20"/>
          <w:szCs w:val="20"/>
        </w:rPr>
        <w:t xml:space="preserve"> S. Assessing gastroenterologist and patient acceptance of biosimilars in ulcerative colitis and Crohn's disease across Germany. </w:t>
      </w:r>
      <w:proofErr w:type="spellStart"/>
      <w:r w:rsidRPr="00D76895">
        <w:rPr>
          <w:rFonts w:asciiTheme="majorBidi" w:hAnsiTheme="majorBidi" w:cstheme="majorBidi"/>
          <w:sz w:val="20"/>
          <w:szCs w:val="20"/>
        </w:rPr>
        <w:t>PloS</w:t>
      </w:r>
      <w:proofErr w:type="spellEnd"/>
      <w:r w:rsidRPr="00D76895">
        <w:rPr>
          <w:rFonts w:asciiTheme="majorBidi" w:hAnsiTheme="majorBidi" w:cstheme="majorBidi"/>
          <w:sz w:val="20"/>
          <w:szCs w:val="20"/>
        </w:rPr>
        <w:t xml:space="preserve"> one. 2017</w:t>
      </w:r>
      <w:proofErr w:type="gramStart"/>
      <w:r w:rsidRPr="00D76895">
        <w:rPr>
          <w:rFonts w:asciiTheme="majorBidi" w:hAnsiTheme="majorBidi" w:cstheme="majorBidi"/>
          <w:sz w:val="20"/>
          <w:szCs w:val="20"/>
        </w:rPr>
        <w:t>;12</w:t>
      </w:r>
      <w:proofErr w:type="gramEnd"/>
      <w:r w:rsidRPr="00D76895">
        <w:rPr>
          <w:rFonts w:asciiTheme="majorBidi" w:hAnsiTheme="majorBidi" w:cstheme="majorBidi"/>
          <w:sz w:val="20"/>
          <w:szCs w:val="20"/>
        </w:rPr>
        <w:t>(4):e0175826.</w:t>
      </w:r>
      <w:r w:rsidRPr="00D76895">
        <w:rPr>
          <w:rFonts w:asciiTheme="majorBidi" w:hAnsiTheme="majorBidi" w:hint="cs"/>
          <w:sz w:val="20"/>
          <w:szCs w:val="20"/>
          <w:rtl/>
        </w:rPr>
        <w:t xml:space="preserve"> </w:t>
      </w:r>
      <w:r w:rsidRPr="00D76895">
        <w:rPr>
          <w:rFonts w:asciiTheme="majorBidi" w:hAnsiTheme="majorBidi" w:hint="eastAsia"/>
          <w:sz w:val="20"/>
          <w:szCs w:val="20"/>
          <w:rtl/>
        </w:rPr>
        <w:t>‏</w:t>
      </w:r>
    </w:p>
    <w:p w:rsidR="000002EC" w:rsidRPr="00D76895" w:rsidRDefault="000002EC" w:rsidP="000002EC">
      <w:pPr>
        <w:pStyle w:val="ListParagraph"/>
        <w:numPr>
          <w:ilvl w:val="0"/>
          <w:numId w:val="10"/>
        </w:numPr>
        <w:rPr>
          <w:rFonts w:asciiTheme="majorBidi" w:hAnsiTheme="majorBidi" w:cstheme="majorBidi"/>
          <w:sz w:val="20"/>
          <w:szCs w:val="20"/>
        </w:rPr>
      </w:pPr>
      <w:r w:rsidRPr="00D76895">
        <w:rPr>
          <w:rFonts w:asciiTheme="majorBidi" w:hAnsiTheme="majorBidi" w:cstheme="majorBidi"/>
          <w:sz w:val="20"/>
          <w:szCs w:val="20"/>
        </w:rPr>
        <w:t xml:space="preserve">Waller J, Sullivan E, Piercy J, Black CM, </w:t>
      </w:r>
      <w:proofErr w:type="spellStart"/>
      <w:r w:rsidRPr="00D76895">
        <w:rPr>
          <w:rFonts w:asciiTheme="majorBidi" w:hAnsiTheme="majorBidi" w:cstheme="majorBidi"/>
          <w:sz w:val="20"/>
          <w:szCs w:val="20"/>
        </w:rPr>
        <w:t>Kachroo</w:t>
      </w:r>
      <w:proofErr w:type="spellEnd"/>
      <w:r w:rsidRPr="00D76895">
        <w:rPr>
          <w:rFonts w:asciiTheme="majorBidi" w:hAnsiTheme="majorBidi" w:cstheme="majorBidi"/>
          <w:sz w:val="20"/>
          <w:szCs w:val="20"/>
        </w:rPr>
        <w:t xml:space="preserve"> S. Assessing physician and patient acceptance of infliximab biosimilars in rheumatoid arthritis, ankylosing </w:t>
      </w:r>
      <w:proofErr w:type="spellStart"/>
      <w:r w:rsidRPr="00D76895">
        <w:rPr>
          <w:rFonts w:asciiTheme="majorBidi" w:hAnsiTheme="majorBidi" w:cstheme="majorBidi"/>
          <w:sz w:val="20"/>
          <w:szCs w:val="20"/>
        </w:rPr>
        <w:t>spondyloarthritis</w:t>
      </w:r>
      <w:proofErr w:type="spellEnd"/>
      <w:r w:rsidRPr="00D76895">
        <w:rPr>
          <w:rFonts w:asciiTheme="majorBidi" w:hAnsiTheme="majorBidi" w:cstheme="majorBidi"/>
          <w:sz w:val="20"/>
          <w:szCs w:val="20"/>
        </w:rPr>
        <w:t xml:space="preserve"> and psoriatic arthritis across Germany. Patient preference and adherence. 2017</w:t>
      </w:r>
      <w:proofErr w:type="gramStart"/>
      <w:r w:rsidRPr="00D76895">
        <w:rPr>
          <w:rFonts w:asciiTheme="majorBidi" w:hAnsiTheme="majorBidi" w:cstheme="majorBidi"/>
          <w:sz w:val="20"/>
          <w:szCs w:val="20"/>
        </w:rPr>
        <w:t>;11:519</w:t>
      </w:r>
      <w:proofErr w:type="gramEnd"/>
      <w:r w:rsidRPr="00D76895">
        <w:rPr>
          <w:rFonts w:asciiTheme="majorBidi" w:hAnsiTheme="majorBidi" w:cstheme="majorBidi"/>
          <w:sz w:val="20"/>
          <w:szCs w:val="20"/>
        </w:rPr>
        <w:t>.</w:t>
      </w:r>
      <w:r w:rsidRPr="00D76895">
        <w:rPr>
          <w:rFonts w:asciiTheme="majorBidi" w:hAnsiTheme="majorBidi" w:hint="cs"/>
          <w:sz w:val="20"/>
          <w:szCs w:val="20"/>
          <w:rtl/>
        </w:rPr>
        <w:t xml:space="preserve"> </w:t>
      </w:r>
    </w:p>
    <w:p w:rsidR="00BC4FD6" w:rsidRPr="006368D9" w:rsidRDefault="00BC4FD6" w:rsidP="00BC4FD6">
      <w:pPr>
        <w:pStyle w:val="ListParagraph"/>
        <w:numPr>
          <w:ilvl w:val="0"/>
          <w:numId w:val="10"/>
        </w:numPr>
        <w:rPr>
          <w:rFonts w:asciiTheme="majorBidi" w:hAnsiTheme="majorBidi" w:cstheme="majorBidi"/>
          <w:sz w:val="20"/>
          <w:szCs w:val="20"/>
        </w:rPr>
      </w:pPr>
      <w:r w:rsidRPr="006368D9">
        <w:rPr>
          <w:rFonts w:asciiTheme="majorBidi" w:hAnsiTheme="majorBidi" w:cstheme="majorBidi"/>
          <w:sz w:val="20"/>
          <w:szCs w:val="20"/>
        </w:rPr>
        <w:t>PMLiVE. Brand leaders in RA will lose market share,</w:t>
      </w:r>
      <w:r w:rsidR="004954B8">
        <w:rPr>
          <w:rFonts w:asciiTheme="majorBidi" w:hAnsiTheme="majorBidi" w:cstheme="majorBidi"/>
          <w:sz w:val="20"/>
          <w:szCs w:val="20"/>
        </w:rPr>
        <w:t xml:space="preserve"> predict rheumatologists. 2013.</w:t>
      </w:r>
      <w:r w:rsidRPr="006368D9">
        <w:rPr>
          <w:rFonts w:asciiTheme="majorBidi" w:hAnsiTheme="majorBidi" w:cstheme="majorBidi"/>
          <w:sz w:val="20"/>
          <w:szCs w:val="20"/>
        </w:rPr>
        <w:t xml:space="preserve"> </w:t>
      </w:r>
      <w:hyperlink r:id="rId15" w:history="1">
        <w:r w:rsidR="006459FE" w:rsidRPr="007351F5">
          <w:rPr>
            <w:rStyle w:val="Hyperlink"/>
            <w:rFonts w:asciiTheme="majorBidi" w:hAnsiTheme="majorBidi" w:cstheme="majorBidi"/>
            <w:sz w:val="20"/>
            <w:szCs w:val="20"/>
          </w:rPr>
          <w:t>http://www.pmlive.com/pmhub/healthcare_market_research/109066_the_research_partnership/white_papers_and_resources/brand_leaders_in_ra_will_lose_market_share,_predict_rheumatologists</w:t>
        </w:r>
      </w:hyperlink>
      <w:r w:rsidR="006459FE">
        <w:rPr>
          <w:rFonts w:asciiTheme="majorBidi" w:hAnsiTheme="majorBidi" w:cstheme="majorBidi"/>
          <w:sz w:val="20"/>
          <w:szCs w:val="20"/>
        </w:rPr>
        <w:t xml:space="preserve">. </w:t>
      </w:r>
      <w:r w:rsidRPr="006368D9">
        <w:rPr>
          <w:rFonts w:asciiTheme="majorBidi" w:hAnsiTheme="majorBidi" w:cstheme="majorBidi"/>
          <w:sz w:val="20"/>
          <w:szCs w:val="20"/>
        </w:rPr>
        <w:t xml:space="preserve">Accessed </w:t>
      </w:r>
      <w:r w:rsidR="006459FE">
        <w:rPr>
          <w:rFonts w:asciiTheme="majorBidi" w:hAnsiTheme="majorBidi" w:cstheme="majorBidi"/>
          <w:sz w:val="20"/>
          <w:szCs w:val="20"/>
        </w:rPr>
        <w:t xml:space="preserve">4 </w:t>
      </w:r>
      <w:r w:rsidRPr="006368D9">
        <w:rPr>
          <w:rFonts w:asciiTheme="majorBidi" w:hAnsiTheme="majorBidi" w:cstheme="majorBidi"/>
          <w:sz w:val="20"/>
          <w:szCs w:val="20"/>
        </w:rPr>
        <w:t>A</w:t>
      </w:r>
      <w:r w:rsidR="00E72299">
        <w:rPr>
          <w:rFonts w:asciiTheme="majorBidi" w:hAnsiTheme="majorBidi" w:cstheme="majorBidi"/>
          <w:sz w:val="20"/>
          <w:szCs w:val="20"/>
        </w:rPr>
        <w:t>pr</w:t>
      </w:r>
      <w:r w:rsidRPr="006368D9">
        <w:rPr>
          <w:rFonts w:asciiTheme="majorBidi" w:hAnsiTheme="majorBidi" w:cstheme="majorBidi"/>
          <w:sz w:val="20"/>
          <w:szCs w:val="20"/>
        </w:rPr>
        <w:t xml:space="preserve"> 2017.</w:t>
      </w:r>
    </w:p>
    <w:p w:rsidR="00567E62" w:rsidRDefault="00567E62" w:rsidP="006459FE">
      <w:pPr>
        <w:pStyle w:val="ListParagraph"/>
        <w:numPr>
          <w:ilvl w:val="0"/>
          <w:numId w:val="10"/>
        </w:numPr>
        <w:jc w:val="both"/>
        <w:rPr>
          <w:rFonts w:asciiTheme="majorBidi" w:hAnsiTheme="majorBidi" w:cstheme="majorBidi"/>
          <w:sz w:val="20"/>
          <w:szCs w:val="20"/>
        </w:rPr>
      </w:pPr>
      <w:r>
        <w:rPr>
          <w:rFonts w:asciiTheme="majorBidi" w:hAnsiTheme="majorBidi" w:cstheme="majorBidi"/>
          <w:sz w:val="20"/>
          <w:szCs w:val="20"/>
        </w:rPr>
        <w:t xml:space="preserve">Medicine Optimisation Dashboard. </w:t>
      </w:r>
      <w:proofErr w:type="gramStart"/>
      <w:r>
        <w:rPr>
          <w:rFonts w:asciiTheme="majorBidi" w:hAnsiTheme="majorBidi" w:cstheme="majorBidi"/>
          <w:sz w:val="20"/>
          <w:szCs w:val="20"/>
        </w:rPr>
        <w:t xml:space="preserve">2017. </w:t>
      </w:r>
      <w:hyperlink r:id="rId16" w:history="1">
        <w:r w:rsidR="004100C9" w:rsidRPr="00853474">
          <w:rPr>
            <w:rStyle w:val="Hyperlink"/>
            <w:rFonts w:asciiTheme="majorBidi" w:hAnsiTheme="majorBidi" w:cstheme="majorBidi"/>
            <w:sz w:val="20"/>
            <w:szCs w:val="20"/>
          </w:rPr>
          <w:t>https://apps.nhsbsa.nhs.uk/MOD/AtlasTrustsMedsOp/atlas.html</w:t>
        </w:r>
      </w:hyperlink>
      <w:r w:rsidR="004100C9">
        <w:rPr>
          <w:rFonts w:asciiTheme="majorBidi" w:hAnsiTheme="majorBidi" w:cstheme="majorBidi"/>
          <w:sz w:val="20"/>
          <w:szCs w:val="20"/>
        </w:rPr>
        <w:t xml:space="preserve"> Accessed 11 Jul 2017.</w:t>
      </w:r>
      <w:proofErr w:type="gramEnd"/>
      <w:r w:rsidRPr="00D76895">
        <w:rPr>
          <w:rFonts w:asciiTheme="majorBidi" w:hAnsiTheme="majorBidi" w:cstheme="majorBidi"/>
          <w:sz w:val="20"/>
          <w:szCs w:val="20"/>
        </w:rPr>
        <w:t xml:space="preserve"> </w:t>
      </w:r>
    </w:p>
    <w:p w:rsidR="006459FE" w:rsidRPr="00D76895" w:rsidRDefault="006459FE" w:rsidP="006459FE">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Lyons BA. Selecting and evaluating sources of patient education materials. In: Muma RD, Lyons BA, editors. Patient education: a practical approach. Jones &amp; Bartlett Publishers.</w:t>
      </w:r>
      <w:r w:rsidRPr="00D76895">
        <w:rPr>
          <w:rFonts w:asciiTheme="majorBidi" w:hAnsiTheme="majorBidi" w:hint="cs"/>
          <w:sz w:val="20"/>
          <w:szCs w:val="20"/>
          <w:rtl/>
        </w:rPr>
        <w:t xml:space="preserve"> </w:t>
      </w:r>
      <w:r w:rsidRPr="00D76895">
        <w:rPr>
          <w:rFonts w:asciiTheme="majorBidi" w:hAnsiTheme="majorBidi" w:hint="eastAsia"/>
          <w:sz w:val="20"/>
          <w:szCs w:val="20"/>
          <w:rtl/>
        </w:rPr>
        <w:t>‏</w:t>
      </w:r>
      <w:r w:rsidRPr="00D76895">
        <w:rPr>
          <w:rFonts w:asciiTheme="majorBidi" w:hAnsiTheme="majorBidi" w:cstheme="majorBidi"/>
          <w:sz w:val="20"/>
          <w:szCs w:val="20"/>
        </w:rPr>
        <w:t>2011.pp 10-14.</w:t>
      </w:r>
    </w:p>
    <w:p w:rsidR="007E3098" w:rsidRPr="00D76895" w:rsidRDefault="007E3098" w:rsidP="007E3098">
      <w:pPr>
        <w:pStyle w:val="ListParagraph"/>
        <w:numPr>
          <w:ilvl w:val="0"/>
          <w:numId w:val="10"/>
        </w:numPr>
        <w:jc w:val="both"/>
        <w:rPr>
          <w:rFonts w:asciiTheme="majorBidi" w:hAnsiTheme="majorBidi" w:cstheme="majorBidi"/>
          <w:sz w:val="20"/>
          <w:szCs w:val="20"/>
        </w:rPr>
      </w:pPr>
      <w:proofErr w:type="spellStart"/>
      <w:r w:rsidRPr="00D76895">
        <w:rPr>
          <w:rFonts w:asciiTheme="majorBidi" w:hAnsiTheme="majorBidi" w:cstheme="majorBidi"/>
          <w:sz w:val="20"/>
          <w:szCs w:val="20"/>
        </w:rPr>
        <w:lastRenderedPageBreak/>
        <w:t>Peyrin-Biroulet</w:t>
      </w:r>
      <w:proofErr w:type="spellEnd"/>
      <w:r w:rsidRPr="00D76895">
        <w:rPr>
          <w:rFonts w:asciiTheme="majorBidi" w:hAnsiTheme="majorBidi" w:cstheme="majorBidi"/>
          <w:sz w:val="20"/>
          <w:szCs w:val="20"/>
        </w:rPr>
        <w:t xml:space="preserve"> L, </w:t>
      </w:r>
      <w:proofErr w:type="spellStart"/>
      <w:r w:rsidRPr="00D76895">
        <w:rPr>
          <w:rFonts w:asciiTheme="majorBidi" w:hAnsiTheme="majorBidi" w:cstheme="majorBidi"/>
          <w:sz w:val="20"/>
          <w:szCs w:val="20"/>
        </w:rPr>
        <w:t>Lönnfors</w:t>
      </w:r>
      <w:proofErr w:type="spellEnd"/>
      <w:r w:rsidRPr="00D76895">
        <w:rPr>
          <w:rFonts w:asciiTheme="majorBidi" w:hAnsiTheme="majorBidi" w:cstheme="majorBidi"/>
          <w:sz w:val="20"/>
          <w:szCs w:val="20"/>
        </w:rPr>
        <w:t xml:space="preserve"> S, Roblin X, </w:t>
      </w:r>
      <w:proofErr w:type="spellStart"/>
      <w:r w:rsidRPr="00D76895">
        <w:rPr>
          <w:rFonts w:asciiTheme="majorBidi" w:hAnsiTheme="majorBidi" w:cstheme="majorBidi"/>
          <w:sz w:val="20"/>
          <w:szCs w:val="20"/>
        </w:rPr>
        <w:t>Danese</w:t>
      </w:r>
      <w:proofErr w:type="spellEnd"/>
      <w:r w:rsidRPr="00D76895">
        <w:rPr>
          <w:rFonts w:asciiTheme="majorBidi" w:hAnsiTheme="majorBidi" w:cstheme="majorBidi"/>
          <w:sz w:val="20"/>
          <w:szCs w:val="20"/>
        </w:rPr>
        <w:t xml:space="preserve"> S, </w:t>
      </w:r>
      <w:proofErr w:type="spellStart"/>
      <w:r w:rsidRPr="00D76895">
        <w:rPr>
          <w:rFonts w:asciiTheme="majorBidi" w:hAnsiTheme="majorBidi" w:cstheme="majorBidi"/>
          <w:sz w:val="20"/>
          <w:szCs w:val="20"/>
        </w:rPr>
        <w:t>Avedano</w:t>
      </w:r>
      <w:proofErr w:type="spellEnd"/>
      <w:r w:rsidRPr="00D76895">
        <w:rPr>
          <w:rFonts w:asciiTheme="majorBidi" w:hAnsiTheme="majorBidi" w:cstheme="majorBidi"/>
          <w:sz w:val="20"/>
          <w:szCs w:val="20"/>
        </w:rPr>
        <w:t xml:space="preserve"> L. Patient perspectives on biosimilars: a survey by the European Federation of Crohn’s and Ulcerative Colitis Associations. Journal of Crohn's and Colitis. 2017;11(1):128-133.</w:t>
      </w:r>
      <w:r w:rsidRPr="00D76895">
        <w:rPr>
          <w:rFonts w:asciiTheme="majorBidi" w:hAnsiTheme="majorBidi" w:hint="cs"/>
          <w:sz w:val="20"/>
          <w:szCs w:val="20"/>
          <w:rtl/>
        </w:rPr>
        <w:t xml:space="preserve"> </w:t>
      </w:r>
      <w:r w:rsidRPr="00D76895">
        <w:rPr>
          <w:rFonts w:asciiTheme="majorBidi" w:hAnsiTheme="majorBidi" w:hint="eastAsia"/>
          <w:sz w:val="20"/>
          <w:szCs w:val="20"/>
          <w:rtl/>
        </w:rPr>
        <w:t>‏</w:t>
      </w:r>
    </w:p>
    <w:p w:rsidR="007E3098" w:rsidRPr="00D76895" w:rsidRDefault="007E3098" w:rsidP="007E3098">
      <w:pPr>
        <w:pStyle w:val="ListParagraph"/>
        <w:numPr>
          <w:ilvl w:val="0"/>
          <w:numId w:val="10"/>
        </w:numPr>
        <w:rPr>
          <w:rFonts w:asciiTheme="majorBidi" w:hAnsiTheme="majorBidi" w:cstheme="majorBidi"/>
          <w:sz w:val="20"/>
          <w:szCs w:val="20"/>
        </w:rPr>
      </w:pPr>
      <w:r w:rsidRPr="00D76895">
        <w:rPr>
          <w:rFonts w:asciiTheme="majorBidi" w:hAnsiTheme="majorBidi" w:hint="eastAsia"/>
          <w:sz w:val="20"/>
          <w:szCs w:val="20"/>
          <w:rtl/>
        </w:rPr>
        <w:t>‏</w:t>
      </w:r>
      <w:r w:rsidR="00052E7C" w:rsidRPr="00D76895">
        <w:rPr>
          <w:rFonts w:asciiTheme="majorBidi" w:hAnsiTheme="majorBidi" w:cstheme="majorBidi"/>
          <w:sz w:val="20"/>
          <w:szCs w:val="20"/>
        </w:rPr>
        <w:t>Dunne SS, Dunne CP. What do people really think of generic medicines? A systematic review and critical appraisal of literature on stakeholder perceptions of generic drugs. BMC medicine. 2015;13(1):173.</w:t>
      </w:r>
    </w:p>
    <w:p w:rsidR="00DE4C19" w:rsidRDefault="009C5C40" w:rsidP="009C5C40">
      <w:pPr>
        <w:pStyle w:val="ListParagraph"/>
        <w:numPr>
          <w:ilvl w:val="0"/>
          <w:numId w:val="10"/>
        </w:numPr>
        <w:jc w:val="both"/>
        <w:rPr>
          <w:rFonts w:asciiTheme="majorBidi" w:hAnsiTheme="majorBidi" w:cstheme="majorBidi"/>
          <w:sz w:val="20"/>
          <w:szCs w:val="20"/>
        </w:rPr>
      </w:pPr>
      <w:r w:rsidRPr="00D76895">
        <w:rPr>
          <w:rFonts w:asciiTheme="majorBidi" w:hAnsiTheme="majorBidi" w:cstheme="majorBidi"/>
          <w:sz w:val="20"/>
          <w:szCs w:val="20"/>
        </w:rPr>
        <w:t>The British Society of Rheumatology. British Society for Rheumatology Position statement on biosimilar medicines (Revised January 2017). 2017.</w:t>
      </w:r>
      <w:r w:rsidR="00E72299">
        <w:rPr>
          <w:rFonts w:asciiTheme="majorBidi" w:hAnsiTheme="majorBidi" w:cstheme="majorBidi"/>
          <w:sz w:val="20"/>
          <w:szCs w:val="20"/>
        </w:rPr>
        <w:t xml:space="preserve"> </w:t>
      </w:r>
      <w:hyperlink r:id="rId17" w:history="1">
        <w:r w:rsidRPr="00D76895">
          <w:rPr>
            <w:rStyle w:val="Hyperlink"/>
            <w:rFonts w:asciiTheme="majorBidi" w:hAnsiTheme="majorBidi" w:cstheme="majorBidi"/>
            <w:color w:val="auto"/>
            <w:sz w:val="20"/>
            <w:szCs w:val="20"/>
          </w:rPr>
          <w:t>http://www.nras.org.uk/data/files/revised_bsr_biosimilars_position_statement_jan_2017.pdf</w:t>
        </w:r>
      </w:hyperlink>
      <w:r w:rsidR="00E72299">
        <w:rPr>
          <w:rStyle w:val="Hyperlink"/>
          <w:rFonts w:asciiTheme="majorBidi" w:hAnsiTheme="majorBidi" w:cstheme="majorBidi"/>
          <w:color w:val="auto"/>
          <w:sz w:val="20"/>
          <w:szCs w:val="20"/>
        </w:rPr>
        <w:t>.</w:t>
      </w:r>
      <w:r w:rsidRPr="00D76895">
        <w:rPr>
          <w:rFonts w:asciiTheme="majorBidi" w:hAnsiTheme="majorBidi" w:cstheme="majorBidi"/>
          <w:sz w:val="20"/>
          <w:szCs w:val="20"/>
        </w:rPr>
        <w:t xml:space="preserve"> Accessed 1 J</w:t>
      </w:r>
      <w:r w:rsidR="00E72299">
        <w:rPr>
          <w:rFonts w:asciiTheme="majorBidi" w:hAnsiTheme="majorBidi" w:cstheme="majorBidi"/>
          <w:sz w:val="20"/>
          <w:szCs w:val="20"/>
        </w:rPr>
        <w:t>un</w:t>
      </w:r>
      <w:r w:rsidR="00354D76" w:rsidRPr="00D76895">
        <w:rPr>
          <w:rFonts w:asciiTheme="majorBidi" w:hAnsiTheme="majorBidi" w:cstheme="majorBidi"/>
          <w:sz w:val="20"/>
          <w:szCs w:val="20"/>
        </w:rPr>
        <w:t xml:space="preserve"> 2017</w:t>
      </w:r>
      <w:r w:rsidRPr="00D76895">
        <w:rPr>
          <w:rFonts w:asciiTheme="majorBidi" w:hAnsiTheme="majorBidi" w:cstheme="majorBidi"/>
          <w:sz w:val="20"/>
          <w:szCs w:val="20"/>
        </w:rPr>
        <w:t>.</w:t>
      </w:r>
    </w:p>
    <w:p w:rsidR="00DE4C19" w:rsidRDefault="00DE4C19">
      <w:pPr>
        <w:rPr>
          <w:rFonts w:asciiTheme="majorBidi" w:hAnsiTheme="majorBidi" w:cstheme="majorBidi"/>
          <w:sz w:val="20"/>
          <w:szCs w:val="20"/>
        </w:rPr>
      </w:pPr>
      <w:r>
        <w:rPr>
          <w:rFonts w:asciiTheme="majorBidi" w:hAnsiTheme="majorBidi" w:cstheme="majorBidi"/>
          <w:sz w:val="20"/>
          <w:szCs w:val="20"/>
        </w:rPr>
        <w:br w:type="page"/>
      </w:r>
    </w:p>
    <w:p w:rsidR="00556E93" w:rsidRDefault="00DE4C19" w:rsidP="00DE4C19">
      <w:pPr>
        <w:jc w:val="both"/>
        <w:rPr>
          <w:rFonts w:asciiTheme="majorBidi" w:hAnsiTheme="majorBidi" w:cstheme="majorBidi"/>
          <w:sz w:val="20"/>
          <w:szCs w:val="20"/>
        </w:rPr>
      </w:pPr>
      <w:r w:rsidRPr="00DE4C19">
        <w:rPr>
          <w:rFonts w:asciiTheme="majorBidi" w:hAnsiTheme="majorBidi" w:cstheme="majorBidi"/>
          <w:b/>
          <w:bCs/>
          <w:sz w:val="20"/>
          <w:szCs w:val="20"/>
        </w:rPr>
        <w:lastRenderedPageBreak/>
        <w:t>Fig. 1</w:t>
      </w:r>
      <w:r w:rsidRPr="00D76895">
        <w:rPr>
          <w:rFonts w:asciiTheme="majorBidi" w:hAnsiTheme="majorBidi" w:cstheme="majorBidi"/>
          <w:sz w:val="20"/>
          <w:szCs w:val="20"/>
        </w:rPr>
        <w:t xml:space="preserve"> Participants responses when asked about their confidence in biosimilar efficacy and in doctor’s decision on initiating and/or switching to biosimilar</w:t>
      </w:r>
    </w:p>
    <w:p w:rsidR="00DE4C19" w:rsidRDefault="00DE4C19" w:rsidP="00DE4C19">
      <w:pPr>
        <w:jc w:val="both"/>
        <w:rPr>
          <w:rFonts w:asciiTheme="majorBidi" w:hAnsiTheme="majorBidi" w:cstheme="majorBidi"/>
          <w:sz w:val="20"/>
          <w:szCs w:val="20"/>
        </w:rPr>
      </w:pPr>
      <w:r w:rsidRPr="00DE4C19">
        <w:rPr>
          <w:rFonts w:asciiTheme="majorBidi" w:hAnsiTheme="majorBidi" w:cstheme="majorBidi"/>
          <w:b/>
          <w:bCs/>
          <w:sz w:val="20"/>
          <w:szCs w:val="20"/>
        </w:rPr>
        <w:t>Fig. 2</w:t>
      </w:r>
      <w:r w:rsidRPr="00D76895">
        <w:rPr>
          <w:sz w:val="20"/>
          <w:szCs w:val="20"/>
        </w:rPr>
        <w:t xml:space="preserve"> </w:t>
      </w:r>
      <w:r w:rsidRPr="00D76895">
        <w:rPr>
          <w:rFonts w:asciiTheme="majorBidi" w:hAnsiTheme="majorBidi" w:cstheme="majorBidi"/>
          <w:sz w:val="20"/>
          <w:szCs w:val="20"/>
        </w:rPr>
        <w:t>Participants responses when asked about their understanding with regard to biosimilar safety and efficacy</w:t>
      </w:r>
    </w:p>
    <w:p w:rsidR="00DE4C19" w:rsidRPr="00D76895" w:rsidRDefault="00DE4C19" w:rsidP="00DE4C19">
      <w:pPr>
        <w:jc w:val="both"/>
        <w:rPr>
          <w:rFonts w:asciiTheme="majorBidi" w:hAnsiTheme="majorBidi" w:cstheme="majorBidi"/>
          <w:sz w:val="20"/>
          <w:szCs w:val="20"/>
        </w:rPr>
      </w:pPr>
      <w:r w:rsidRPr="00DE4C19">
        <w:rPr>
          <w:rFonts w:asciiTheme="majorBidi" w:hAnsiTheme="majorBidi" w:cstheme="majorBidi"/>
          <w:b/>
          <w:bCs/>
          <w:sz w:val="20"/>
          <w:szCs w:val="20"/>
        </w:rPr>
        <w:t>Fig. 3</w:t>
      </w:r>
      <w:r w:rsidRPr="00D76895">
        <w:rPr>
          <w:sz w:val="20"/>
          <w:szCs w:val="20"/>
        </w:rPr>
        <w:t xml:space="preserve"> </w:t>
      </w:r>
      <w:r w:rsidRPr="00D76895">
        <w:rPr>
          <w:rFonts w:asciiTheme="majorBidi" w:hAnsiTheme="majorBidi" w:cstheme="majorBidi"/>
          <w:sz w:val="20"/>
          <w:szCs w:val="20"/>
        </w:rPr>
        <w:t>Participants responses when asked “How would you feel about being switched to a less expensive biosimilar?”</w:t>
      </w:r>
    </w:p>
    <w:p w:rsidR="00DE4C19" w:rsidRPr="00DE4C19" w:rsidRDefault="00DE4C19" w:rsidP="00DE4C19">
      <w:pPr>
        <w:jc w:val="both"/>
        <w:rPr>
          <w:rFonts w:asciiTheme="majorBidi" w:hAnsiTheme="majorBidi" w:cstheme="majorBidi"/>
          <w:sz w:val="20"/>
          <w:szCs w:val="20"/>
        </w:rPr>
      </w:pPr>
      <w:r w:rsidRPr="00DE4C19">
        <w:rPr>
          <w:rFonts w:asciiTheme="majorBidi" w:hAnsiTheme="majorBidi" w:cstheme="majorBidi"/>
          <w:b/>
          <w:bCs/>
          <w:sz w:val="20"/>
          <w:szCs w:val="20"/>
        </w:rPr>
        <w:t>Fig. 4</w:t>
      </w:r>
      <w:r w:rsidRPr="00D76895">
        <w:rPr>
          <w:rFonts w:asciiTheme="majorBidi" w:hAnsiTheme="majorBidi" w:cstheme="majorBidi"/>
          <w:sz w:val="20"/>
          <w:szCs w:val="20"/>
        </w:rPr>
        <w:t xml:space="preserve"> Participants responses when asked about the impact</w:t>
      </w:r>
      <w:r>
        <w:rPr>
          <w:rFonts w:asciiTheme="majorBidi" w:hAnsiTheme="majorBidi" w:cstheme="majorBidi"/>
          <w:sz w:val="20"/>
          <w:szCs w:val="20"/>
        </w:rPr>
        <w:t xml:space="preserve"> of less expensive biosimilars</w:t>
      </w:r>
    </w:p>
    <w:bookmarkEnd w:id="1"/>
    <w:sectPr w:rsidR="00DE4C19" w:rsidRPr="00DE4C19" w:rsidSect="00FC1C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27" w:rsidRDefault="00DF5E27" w:rsidP="00813237">
      <w:pPr>
        <w:spacing w:after="0" w:line="240" w:lineRule="auto"/>
      </w:pPr>
      <w:r>
        <w:separator/>
      </w:r>
    </w:p>
  </w:endnote>
  <w:endnote w:type="continuationSeparator" w:id="0">
    <w:p w:rsidR="00DF5E27" w:rsidRDefault="00DF5E27" w:rsidP="0081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964484"/>
      <w:docPartObj>
        <w:docPartGallery w:val="Page Numbers (Bottom of Page)"/>
        <w:docPartUnique/>
      </w:docPartObj>
    </w:sdtPr>
    <w:sdtEndPr>
      <w:rPr>
        <w:noProof/>
      </w:rPr>
    </w:sdtEndPr>
    <w:sdtContent>
      <w:p w:rsidR="00331833" w:rsidRDefault="00331833">
        <w:pPr>
          <w:pStyle w:val="Footer"/>
          <w:jc w:val="center"/>
        </w:pPr>
        <w:r>
          <w:fldChar w:fldCharType="begin"/>
        </w:r>
        <w:r>
          <w:instrText xml:space="preserve"> PAGE   \* MERGEFORMAT </w:instrText>
        </w:r>
        <w:r>
          <w:fldChar w:fldCharType="separate"/>
        </w:r>
        <w:r w:rsidR="00457F08">
          <w:rPr>
            <w:noProof/>
          </w:rPr>
          <w:t>6</w:t>
        </w:r>
        <w:r>
          <w:rPr>
            <w:noProof/>
          </w:rPr>
          <w:fldChar w:fldCharType="end"/>
        </w:r>
      </w:p>
    </w:sdtContent>
  </w:sdt>
  <w:p w:rsidR="00331833" w:rsidRDefault="003318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27" w:rsidRDefault="00DF5E27" w:rsidP="00813237">
      <w:pPr>
        <w:spacing w:after="0" w:line="240" w:lineRule="auto"/>
      </w:pPr>
      <w:r>
        <w:separator/>
      </w:r>
    </w:p>
  </w:footnote>
  <w:footnote w:type="continuationSeparator" w:id="0">
    <w:p w:rsidR="00DF5E27" w:rsidRDefault="00DF5E27" w:rsidP="0081323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092"/>
    <w:multiLevelType w:val="hybridMultilevel"/>
    <w:tmpl w:val="BCE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405D3"/>
    <w:multiLevelType w:val="hybridMultilevel"/>
    <w:tmpl w:val="1B50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73716"/>
    <w:multiLevelType w:val="hybridMultilevel"/>
    <w:tmpl w:val="0104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63449C"/>
    <w:multiLevelType w:val="hybridMultilevel"/>
    <w:tmpl w:val="BBD8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16D5B"/>
    <w:multiLevelType w:val="hybridMultilevel"/>
    <w:tmpl w:val="53320B8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nsid w:val="0D5649FC"/>
    <w:multiLevelType w:val="hybridMultilevel"/>
    <w:tmpl w:val="2BFA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C47D67"/>
    <w:multiLevelType w:val="hybridMultilevel"/>
    <w:tmpl w:val="4A4E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A3D4C"/>
    <w:multiLevelType w:val="multilevel"/>
    <w:tmpl w:val="D8560606"/>
    <w:lvl w:ilvl="0">
      <w:start w:val="1"/>
      <w:numFmt w:val="decimal"/>
      <w:lvlText w:val="%1."/>
      <w:lvlJc w:val="left"/>
      <w:pPr>
        <w:ind w:left="360" w:hanging="360"/>
      </w:pPr>
      <w:rPr>
        <w:rFonts w:hint="default"/>
        <w:b/>
        <w:bCs/>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22D19BF"/>
    <w:multiLevelType w:val="hybridMultilevel"/>
    <w:tmpl w:val="B44A212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9">
    <w:nsid w:val="4DE45F20"/>
    <w:multiLevelType w:val="hybridMultilevel"/>
    <w:tmpl w:val="44FE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D8449E"/>
    <w:multiLevelType w:val="hybridMultilevel"/>
    <w:tmpl w:val="5262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E73643"/>
    <w:multiLevelType w:val="hybridMultilevel"/>
    <w:tmpl w:val="4B22CB48"/>
    <w:lvl w:ilvl="0" w:tplc="F9F0F4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95652A"/>
    <w:multiLevelType w:val="hybridMultilevel"/>
    <w:tmpl w:val="27A0A2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544791B"/>
    <w:multiLevelType w:val="hybridMultilevel"/>
    <w:tmpl w:val="94AA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13"/>
  </w:num>
  <w:num w:numId="6">
    <w:abstractNumId w:val="9"/>
  </w:num>
  <w:num w:numId="7">
    <w:abstractNumId w:val="6"/>
  </w:num>
  <w:num w:numId="8">
    <w:abstractNumId w:val="10"/>
  </w:num>
  <w:num w:numId="9">
    <w:abstractNumId w:val="7"/>
  </w:num>
  <w:num w:numId="10">
    <w:abstractNumId w:val="11"/>
  </w:num>
  <w:num w:numId="11">
    <w:abstractNumId w:val="3"/>
  </w:num>
  <w:num w:numId="12">
    <w:abstractNumId w:val="5"/>
  </w:num>
  <w:num w:numId="13">
    <w:abstractNumId w:val="2"/>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mmed Aladul">
    <w15:presenceInfo w15:providerId="None" w15:userId="Mohammed Alad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61"/>
    <w:rsid w:val="000002EC"/>
    <w:rsid w:val="000045A2"/>
    <w:rsid w:val="00005603"/>
    <w:rsid w:val="0000763A"/>
    <w:rsid w:val="00012F19"/>
    <w:rsid w:val="0002004F"/>
    <w:rsid w:val="00036836"/>
    <w:rsid w:val="00041FBD"/>
    <w:rsid w:val="000422C1"/>
    <w:rsid w:val="00052E7C"/>
    <w:rsid w:val="00054249"/>
    <w:rsid w:val="00055900"/>
    <w:rsid w:val="000607B5"/>
    <w:rsid w:val="00060A4B"/>
    <w:rsid w:val="00061D42"/>
    <w:rsid w:val="00064180"/>
    <w:rsid w:val="00066D1E"/>
    <w:rsid w:val="000702EC"/>
    <w:rsid w:val="00073E70"/>
    <w:rsid w:val="0008450A"/>
    <w:rsid w:val="00091748"/>
    <w:rsid w:val="000A1634"/>
    <w:rsid w:val="000B6A9D"/>
    <w:rsid w:val="000C744C"/>
    <w:rsid w:val="000D3348"/>
    <w:rsid w:val="000D5F40"/>
    <w:rsid w:val="000E3315"/>
    <w:rsid w:val="000F52A2"/>
    <w:rsid w:val="00103DED"/>
    <w:rsid w:val="001054AE"/>
    <w:rsid w:val="001128A4"/>
    <w:rsid w:val="001159E2"/>
    <w:rsid w:val="00124443"/>
    <w:rsid w:val="00132DB6"/>
    <w:rsid w:val="00132DEB"/>
    <w:rsid w:val="00133DC4"/>
    <w:rsid w:val="00137389"/>
    <w:rsid w:val="00141735"/>
    <w:rsid w:val="00146B7F"/>
    <w:rsid w:val="001532AB"/>
    <w:rsid w:val="00173E7C"/>
    <w:rsid w:val="00176798"/>
    <w:rsid w:val="00186CE8"/>
    <w:rsid w:val="00192334"/>
    <w:rsid w:val="001A56D5"/>
    <w:rsid w:val="001B56AC"/>
    <w:rsid w:val="001C3E41"/>
    <w:rsid w:val="001D5467"/>
    <w:rsid w:val="001D67B9"/>
    <w:rsid w:val="001E5062"/>
    <w:rsid w:val="001F48C2"/>
    <w:rsid w:val="00202A27"/>
    <w:rsid w:val="00234B9E"/>
    <w:rsid w:val="0025343F"/>
    <w:rsid w:val="0025640D"/>
    <w:rsid w:val="00270956"/>
    <w:rsid w:val="00277FF6"/>
    <w:rsid w:val="00293216"/>
    <w:rsid w:val="002A1D55"/>
    <w:rsid w:val="002B464A"/>
    <w:rsid w:val="002B7316"/>
    <w:rsid w:val="002C7992"/>
    <w:rsid w:val="002D2853"/>
    <w:rsid w:val="002D72FC"/>
    <w:rsid w:val="002E25C5"/>
    <w:rsid w:val="002E2B12"/>
    <w:rsid w:val="002F2686"/>
    <w:rsid w:val="00307E36"/>
    <w:rsid w:val="00322330"/>
    <w:rsid w:val="00325570"/>
    <w:rsid w:val="00325E2D"/>
    <w:rsid w:val="00331833"/>
    <w:rsid w:val="00346F8C"/>
    <w:rsid w:val="00354D76"/>
    <w:rsid w:val="00362DD0"/>
    <w:rsid w:val="00364E36"/>
    <w:rsid w:val="00383378"/>
    <w:rsid w:val="00390AFA"/>
    <w:rsid w:val="003927AD"/>
    <w:rsid w:val="00395536"/>
    <w:rsid w:val="003A2D17"/>
    <w:rsid w:val="003A5F4E"/>
    <w:rsid w:val="003C5888"/>
    <w:rsid w:val="003D7398"/>
    <w:rsid w:val="003E0361"/>
    <w:rsid w:val="003E046D"/>
    <w:rsid w:val="003E04E0"/>
    <w:rsid w:val="003E3881"/>
    <w:rsid w:val="004100C9"/>
    <w:rsid w:val="00410399"/>
    <w:rsid w:val="00412786"/>
    <w:rsid w:val="00415144"/>
    <w:rsid w:val="00425FD6"/>
    <w:rsid w:val="00442620"/>
    <w:rsid w:val="0044396C"/>
    <w:rsid w:val="00457ABB"/>
    <w:rsid w:val="00457F08"/>
    <w:rsid w:val="0046311D"/>
    <w:rsid w:val="00464D81"/>
    <w:rsid w:val="00477C28"/>
    <w:rsid w:val="00482D08"/>
    <w:rsid w:val="00490F60"/>
    <w:rsid w:val="004954B8"/>
    <w:rsid w:val="00497EF2"/>
    <w:rsid w:val="004A0AB4"/>
    <w:rsid w:val="004B503B"/>
    <w:rsid w:val="004B7455"/>
    <w:rsid w:val="004B7F5C"/>
    <w:rsid w:val="004D67E0"/>
    <w:rsid w:val="004E267E"/>
    <w:rsid w:val="004F4C75"/>
    <w:rsid w:val="0050057A"/>
    <w:rsid w:val="00500754"/>
    <w:rsid w:val="005200D3"/>
    <w:rsid w:val="00522219"/>
    <w:rsid w:val="00535F9B"/>
    <w:rsid w:val="005501B5"/>
    <w:rsid w:val="00556E93"/>
    <w:rsid w:val="00565222"/>
    <w:rsid w:val="00565257"/>
    <w:rsid w:val="00567E62"/>
    <w:rsid w:val="00571BCE"/>
    <w:rsid w:val="00582485"/>
    <w:rsid w:val="005C0F18"/>
    <w:rsid w:val="005D3F92"/>
    <w:rsid w:val="005D5755"/>
    <w:rsid w:val="005D635A"/>
    <w:rsid w:val="005E2A20"/>
    <w:rsid w:val="005E3F33"/>
    <w:rsid w:val="005E597A"/>
    <w:rsid w:val="005F42AE"/>
    <w:rsid w:val="005F7A46"/>
    <w:rsid w:val="006368D9"/>
    <w:rsid w:val="00637EA1"/>
    <w:rsid w:val="006459FE"/>
    <w:rsid w:val="00661511"/>
    <w:rsid w:val="00664EB7"/>
    <w:rsid w:val="00677DD3"/>
    <w:rsid w:val="0068701E"/>
    <w:rsid w:val="0069189C"/>
    <w:rsid w:val="006A102B"/>
    <w:rsid w:val="006A2068"/>
    <w:rsid w:val="006A6ACA"/>
    <w:rsid w:val="006B213D"/>
    <w:rsid w:val="006B365B"/>
    <w:rsid w:val="006B6CDD"/>
    <w:rsid w:val="006C2D79"/>
    <w:rsid w:val="006C7D2D"/>
    <w:rsid w:val="006E4319"/>
    <w:rsid w:val="006E66E0"/>
    <w:rsid w:val="006E7832"/>
    <w:rsid w:val="006F0623"/>
    <w:rsid w:val="006F0788"/>
    <w:rsid w:val="00702AC1"/>
    <w:rsid w:val="00702DE1"/>
    <w:rsid w:val="007074B9"/>
    <w:rsid w:val="00707E4F"/>
    <w:rsid w:val="007113A0"/>
    <w:rsid w:val="00711EBB"/>
    <w:rsid w:val="00722239"/>
    <w:rsid w:val="007247E4"/>
    <w:rsid w:val="00730A3D"/>
    <w:rsid w:val="00731D9F"/>
    <w:rsid w:val="00733688"/>
    <w:rsid w:val="00744116"/>
    <w:rsid w:val="007461B7"/>
    <w:rsid w:val="00746929"/>
    <w:rsid w:val="007511E2"/>
    <w:rsid w:val="007661D6"/>
    <w:rsid w:val="0077498B"/>
    <w:rsid w:val="007811CF"/>
    <w:rsid w:val="00787BA3"/>
    <w:rsid w:val="007A476A"/>
    <w:rsid w:val="007D0A3D"/>
    <w:rsid w:val="007D1E15"/>
    <w:rsid w:val="007E3098"/>
    <w:rsid w:val="007E3A1A"/>
    <w:rsid w:val="007E45EA"/>
    <w:rsid w:val="007E76AF"/>
    <w:rsid w:val="00800A92"/>
    <w:rsid w:val="00803B3D"/>
    <w:rsid w:val="00813237"/>
    <w:rsid w:val="0084227E"/>
    <w:rsid w:val="00856A7E"/>
    <w:rsid w:val="00860556"/>
    <w:rsid w:val="00880A39"/>
    <w:rsid w:val="0088646E"/>
    <w:rsid w:val="008C24B7"/>
    <w:rsid w:val="008C6ABC"/>
    <w:rsid w:val="008D7AC8"/>
    <w:rsid w:val="008F42AE"/>
    <w:rsid w:val="008F4CB7"/>
    <w:rsid w:val="0090421B"/>
    <w:rsid w:val="00933DD2"/>
    <w:rsid w:val="0097458A"/>
    <w:rsid w:val="00987C19"/>
    <w:rsid w:val="009A1724"/>
    <w:rsid w:val="009A4EAD"/>
    <w:rsid w:val="009B7A7F"/>
    <w:rsid w:val="009C501F"/>
    <w:rsid w:val="009C584E"/>
    <w:rsid w:val="009C5C40"/>
    <w:rsid w:val="009C7C58"/>
    <w:rsid w:val="009D138C"/>
    <w:rsid w:val="009E7A14"/>
    <w:rsid w:val="009F4B18"/>
    <w:rsid w:val="009F6FEC"/>
    <w:rsid w:val="009F7AA4"/>
    <w:rsid w:val="00A03FA0"/>
    <w:rsid w:val="00A21A85"/>
    <w:rsid w:val="00A34074"/>
    <w:rsid w:val="00A3535B"/>
    <w:rsid w:val="00A44866"/>
    <w:rsid w:val="00A50B1B"/>
    <w:rsid w:val="00A55F50"/>
    <w:rsid w:val="00A77277"/>
    <w:rsid w:val="00A91A51"/>
    <w:rsid w:val="00A92C61"/>
    <w:rsid w:val="00A94A82"/>
    <w:rsid w:val="00AA5AF7"/>
    <w:rsid w:val="00AE50A6"/>
    <w:rsid w:val="00AE61F8"/>
    <w:rsid w:val="00AF0141"/>
    <w:rsid w:val="00AF0988"/>
    <w:rsid w:val="00AF15EB"/>
    <w:rsid w:val="00B00AD7"/>
    <w:rsid w:val="00B033C2"/>
    <w:rsid w:val="00B1206C"/>
    <w:rsid w:val="00B43074"/>
    <w:rsid w:val="00B47C34"/>
    <w:rsid w:val="00B619A5"/>
    <w:rsid w:val="00B83B1C"/>
    <w:rsid w:val="00B87584"/>
    <w:rsid w:val="00B87E12"/>
    <w:rsid w:val="00B97356"/>
    <w:rsid w:val="00BA082B"/>
    <w:rsid w:val="00BC4FD6"/>
    <w:rsid w:val="00BC5473"/>
    <w:rsid w:val="00BE2612"/>
    <w:rsid w:val="00BE2800"/>
    <w:rsid w:val="00BF0887"/>
    <w:rsid w:val="00BF3D2D"/>
    <w:rsid w:val="00BF48C8"/>
    <w:rsid w:val="00BF6BAF"/>
    <w:rsid w:val="00C05F6C"/>
    <w:rsid w:val="00C06308"/>
    <w:rsid w:val="00C12D9C"/>
    <w:rsid w:val="00C240E5"/>
    <w:rsid w:val="00C257A6"/>
    <w:rsid w:val="00C30746"/>
    <w:rsid w:val="00C3297D"/>
    <w:rsid w:val="00C4315E"/>
    <w:rsid w:val="00C454C9"/>
    <w:rsid w:val="00C54670"/>
    <w:rsid w:val="00C83494"/>
    <w:rsid w:val="00C8711C"/>
    <w:rsid w:val="00C910E7"/>
    <w:rsid w:val="00CB0DE1"/>
    <w:rsid w:val="00CB186F"/>
    <w:rsid w:val="00CD20EF"/>
    <w:rsid w:val="00CE1B8F"/>
    <w:rsid w:val="00CE2F9C"/>
    <w:rsid w:val="00CE3724"/>
    <w:rsid w:val="00CE64E1"/>
    <w:rsid w:val="00D00E83"/>
    <w:rsid w:val="00D0280D"/>
    <w:rsid w:val="00D14EF4"/>
    <w:rsid w:val="00D30A1A"/>
    <w:rsid w:val="00D31C9C"/>
    <w:rsid w:val="00D411B4"/>
    <w:rsid w:val="00D4281F"/>
    <w:rsid w:val="00D43B8B"/>
    <w:rsid w:val="00D56C85"/>
    <w:rsid w:val="00D76895"/>
    <w:rsid w:val="00D825F7"/>
    <w:rsid w:val="00D83F15"/>
    <w:rsid w:val="00D87B7A"/>
    <w:rsid w:val="00D962C8"/>
    <w:rsid w:val="00DA245B"/>
    <w:rsid w:val="00DB2857"/>
    <w:rsid w:val="00DD1EAB"/>
    <w:rsid w:val="00DE07B7"/>
    <w:rsid w:val="00DE2FED"/>
    <w:rsid w:val="00DE36CD"/>
    <w:rsid w:val="00DE4C19"/>
    <w:rsid w:val="00DE7161"/>
    <w:rsid w:val="00DF5E27"/>
    <w:rsid w:val="00E05382"/>
    <w:rsid w:val="00E06325"/>
    <w:rsid w:val="00E16B52"/>
    <w:rsid w:val="00E2059A"/>
    <w:rsid w:val="00E41127"/>
    <w:rsid w:val="00E50A57"/>
    <w:rsid w:val="00E53D84"/>
    <w:rsid w:val="00E547BC"/>
    <w:rsid w:val="00E55376"/>
    <w:rsid w:val="00E5683E"/>
    <w:rsid w:val="00E635C4"/>
    <w:rsid w:val="00E72299"/>
    <w:rsid w:val="00E82D2F"/>
    <w:rsid w:val="00E859CA"/>
    <w:rsid w:val="00E86C26"/>
    <w:rsid w:val="00E9388A"/>
    <w:rsid w:val="00EA42A6"/>
    <w:rsid w:val="00EA53D8"/>
    <w:rsid w:val="00EB4C95"/>
    <w:rsid w:val="00EC7C85"/>
    <w:rsid w:val="00EE22E2"/>
    <w:rsid w:val="00EE2901"/>
    <w:rsid w:val="00EE4636"/>
    <w:rsid w:val="00EF3E70"/>
    <w:rsid w:val="00F06CEA"/>
    <w:rsid w:val="00F10571"/>
    <w:rsid w:val="00F139EB"/>
    <w:rsid w:val="00F21124"/>
    <w:rsid w:val="00F27C4B"/>
    <w:rsid w:val="00F31DC5"/>
    <w:rsid w:val="00F323B2"/>
    <w:rsid w:val="00F3291C"/>
    <w:rsid w:val="00F354DB"/>
    <w:rsid w:val="00F41205"/>
    <w:rsid w:val="00F52C42"/>
    <w:rsid w:val="00F67DC1"/>
    <w:rsid w:val="00F71752"/>
    <w:rsid w:val="00F7260A"/>
    <w:rsid w:val="00F80EFE"/>
    <w:rsid w:val="00F840F4"/>
    <w:rsid w:val="00F96C9B"/>
    <w:rsid w:val="00FB024D"/>
    <w:rsid w:val="00FB04F9"/>
    <w:rsid w:val="00FC0844"/>
    <w:rsid w:val="00FC1C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ion-arrow">
    <w:name w:val="action-arrow"/>
    <w:basedOn w:val="DefaultParagraphFont"/>
    <w:rsid w:val="0008450A"/>
  </w:style>
  <w:style w:type="character" w:styleId="Hyperlink">
    <w:name w:val="Hyperlink"/>
    <w:basedOn w:val="DefaultParagraphFont"/>
    <w:uiPriority w:val="99"/>
    <w:unhideWhenUsed/>
    <w:rsid w:val="0008450A"/>
    <w:rPr>
      <w:color w:val="0000FF"/>
      <w:u w:val="single"/>
    </w:rPr>
  </w:style>
  <w:style w:type="paragraph" w:styleId="ListParagraph">
    <w:name w:val="List Paragraph"/>
    <w:basedOn w:val="Normal"/>
    <w:uiPriority w:val="34"/>
    <w:qFormat/>
    <w:rsid w:val="00415144"/>
    <w:pPr>
      <w:ind w:left="720"/>
      <w:contextualSpacing/>
    </w:pPr>
  </w:style>
  <w:style w:type="character" w:customStyle="1" w:styleId="apple-converted-space">
    <w:name w:val="apple-converted-space"/>
    <w:basedOn w:val="DefaultParagraphFont"/>
    <w:rsid w:val="004F4C75"/>
  </w:style>
  <w:style w:type="character" w:customStyle="1" w:styleId="Mention1">
    <w:name w:val="Mention1"/>
    <w:basedOn w:val="DefaultParagraphFont"/>
    <w:uiPriority w:val="99"/>
    <w:semiHidden/>
    <w:unhideWhenUsed/>
    <w:rsid w:val="008C24B7"/>
    <w:rPr>
      <w:color w:val="2B579A"/>
      <w:shd w:val="clear" w:color="auto" w:fill="E6E6E6"/>
    </w:rPr>
  </w:style>
  <w:style w:type="paragraph" w:customStyle="1" w:styleId="Body">
    <w:name w:val="Body"/>
    <w:rsid w:val="005F42AE"/>
    <w:pPr>
      <w:widowControl w:val="0"/>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Normal1">
    <w:name w:val="Normal1"/>
    <w:rsid w:val="005F42AE"/>
    <w:pPr>
      <w:widowControl w:val="0"/>
      <w:pBdr>
        <w:top w:val="nil"/>
        <w:left w:val="nil"/>
        <w:bottom w:val="nil"/>
        <w:right w:val="nil"/>
        <w:between w:val="nil"/>
        <w:bar w:val="nil"/>
      </w:pBdr>
    </w:pPr>
    <w:rPr>
      <w:rFonts w:ascii="Calibri" w:eastAsia="Calibri" w:hAnsi="Calibri" w:cs="Calibri"/>
      <w:color w:val="000000"/>
      <w:u w:color="000000"/>
      <w:bdr w:val="nil"/>
      <w:lang w:val="en-US"/>
    </w:rPr>
  </w:style>
  <w:style w:type="table" w:customStyle="1" w:styleId="TableGridLight1">
    <w:name w:val="Table Grid Light1"/>
    <w:basedOn w:val="TableNormal"/>
    <w:uiPriority w:val="40"/>
    <w:rsid w:val="005F42A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6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25"/>
    <w:rPr>
      <w:rFonts w:ascii="Segoe UI" w:hAnsi="Segoe UI" w:cs="Segoe UI"/>
      <w:sz w:val="18"/>
      <w:szCs w:val="18"/>
    </w:rPr>
  </w:style>
  <w:style w:type="character" w:customStyle="1" w:styleId="Mention">
    <w:name w:val="Mention"/>
    <w:basedOn w:val="DefaultParagraphFont"/>
    <w:uiPriority w:val="99"/>
    <w:semiHidden/>
    <w:unhideWhenUsed/>
    <w:rsid w:val="00362DD0"/>
    <w:rPr>
      <w:color w:val="2B579A"/>
      <w:shd w:val="clear" w:color="auto" w:fill="E6E6E6"/>
    </w:rPr>
  </w:style>
  <w:style w:type="paragraph" w:styleId="Caption">
    <w:name w:val="caption"/>
    <w:basedOn w:val="Normal"/>
    <w:next w:val="Normal"/>
    <w:uiPriority w:val="35"/>
    <w:unhideWhenUsed/>
    <w:qFormat/>
    <w:rsid w:val="00A3535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1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237"/>
  </w:style>
  <w:style w:type="paragraph" w:styleId="Footer">
    <w:name w:val="footer"/>
    <w:basedOn w:val="Normal"/>
    <w:link w:val="FooterChar"/>
    <w:uiPriority w:val="99"/>
    <w:unhideWhenUsed/>
    <w:rsid w:val="00813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237"/>
  </w:style>
  <w:style w:type="character" w:styleId="Strong">
    <w:name w:val="Strong"/>
    <w:basedOn w:val="DefaultParagraphFont"/>
    <w:uiPriority w:val="22"/>
    <w:qFormat/>
    <w:rsid w:val="00E635C4"/>
    <w:rPr>
      <w:b/>
      <w:bCs/>
    </w:rPr>
  </w:style>
  <w:style w:type="character" w:customStyle="1" w:styleId="UnresolvedMention">
    <w:name w:val="Unresolved Mention"/>
    <w:basedOn w:val="DefaultParagraphFont"/>
    <w:uiPriority w:val="99"/>
    <w:semiHidden/>
    <w:unhideWhenUsed/>
    <w:rsid w:val="000D5F40"/>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ion-arrow">
    <w:name w:val="action-arrow"/>
    <w:basedOn w:val="DefaultParagraphFont"/>
    <w:rsid w:val="0008450A"/>
  </w:style>
  <w:style w:type="character" w:styleId="Hyperlink">
    <w:name w:val="Hyperlink"/>
    <w:basedOn w:val="DefaultParagraphFont"/>
    <w:uiPriority w:val="99"/>
    <w:unhideWhenUsed/>
    <w:rsid w:val="0008450A"/>
    <w:rPr>
      <w:color w:val="0000FF"/>
      <w:u w:val="single"/>
    </w:rPr>
  </w:style>
  <w:style w:type="paragraph" w:styleId="ListParagraph">
    <w:name w:val="List Paragraph"/>
    <w:basedOn w:val="Normal"/>
    <w:uiPriority w:val="34"/>
    <w:qFormat/>
    <w:rsid w:val="00415144"/>
    <w:pPr>
      <w:ind w:left="720"/>
      <w:contextualSpacing/>
    </w:pPr>
  </w:style>
  <w:style w:type="character" w:customStyle="1" w:styleId="apple-converted-space">
    <w:name w:val="apple-converted-space"/>
    <w:basedOn w:val="DefaultParagraphFont"/>
    <w:rsid w:val="004F4C75"/>
  </w:style>
  <w:style w:type="character" w:customStyle="1" w:styleId="Mention1">
    <w:name w:val="Mention1"/>
    <w:basedOn w:val="DefaultParagraphFont"/>
    <w:uiPriority w:val="99"/>
    <w:semiHidden/>
    <w:unhideWhenUsed/>
    <w:rsid w:val="008C24B7"/>
    <w:rPr>
      <w:color w:val="2B579A"/>
      <w:shd w:val="clear" w:color="auto" w:fill="E6E6E6"/>
    </w:rPr>
  </w:style>
  <w:style w:type="paragraph" w:customStyle="1" w:styleId="Body">
    <w:name w:val="Body"/>
    <w:rsid w:val="005F42AE"/>
    <w:pPr>
      <w:widowControl w:val="0"/>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Normal1">
    <w:name w:val="Normal1"/>
    <w:rsid w:val="005F42AE"/>
    <w:pPr>
      <w:widowControl w:val="0"/>
      <w:pBdr>
        <w:top w:val="nil"/>
        <w:left w:val="nil"/>
        <w:bottom w:val="nil"/>
        <w:right w:val="nil"/>
        <w:between w:val="nil"/>
        <w:bar w:val="nil"/>
      </w:pBdr>
    </w:pPr>
    <w:rPr>
      <w:rFonts w:ascii="Calibri" w:eastAsia="Calibri" w:hAnsi="Calibri" w:cs="Calibri"/>
      <w:color w:val="000000"/>
      <w:u w:color="000000"/>
      <w:bdr w:val="nil"/>
      <w:lang w:val="en-US"/>
    </w:rPr>
  </w:style>
  <w:style w:type="table" w:customStyle="1" w:styleId="TableGridLight1">
    <w:name w:val="Table Grid Light1"/>
    <w:basedOn w:val="TableNormal"/>
    <w:uiPriority w:val="40"/>
    <w:rsid w:val="005F42A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6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25"/>
    <w:rPr>
      <w:rFonts w:ascii="Segoe UI" w:hAnsi="Segoe UI" w:cs="Segoe UI"/>
      <w:sz w:val="18"/>
      <w:szCs w:val="18"/>
    </w:rPr>
  </w:style>
  <w:style w:type="character" w:customStyle="1" w:styleId="Mention">
    <w:name w:val="Mention"/>
    <w:basedOn w:val="DefaultParagraphFont"/>
    <w:uiPriority w:val="99"/>
    <w:semiHidden/>
    <w:unhideWhenUsed/>
    <w:rsid w:val="00362DD0"/>
    <w:rPr>
      <w:color w:val="2B579A"/>
      <w:shd w:val="clear" w:color="auto" w:fill="E6E6E6"/>
    </w:rPr>
  </w:style>
  <w:style w:type="paragraph" w:styleId="Caption">
    <w:name w:val="caption"/>
    <w:basedOn w:val="Normal"/>
    <w:next w:val="Normal"/>
    <w:uiPriority w:val="35"/>
    <w:unhideWhenUsed/>
    <w:qFormat/>
    <w:rsid w:val="00A3535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1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237"/>
  </w:style>
  <w:style w:type="paragraph" w:styleId="Footer">
    <w:name w:val="footer"/>
    <w:basedOn w:val="Normal"/>
    <w:link w:val="FooterChar"/>
    <w:uiPriority w:val="99"/>
    <w:unhideWhenUsed/>
    <w:rsid w:val="00813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237"/>
  </w:style>
  <w:style w:type="character" w:styleId="Strong">
    <w:name w:val="Strong"/>
    <w:basedOn w:val="DefaultParagraphFont"/>
    <w:uiPriority w:val="22"/>
    <w:qFormat/>
    <w:rsid w:val="00E635C4"/>
    <w:rPr>
      <w:b/>
      <w:bCs/>
    </w:rPr>
  </w:style>
  <w:style w:type="character" w:customStyle="1" w:styleId="UnresolvedMention">
    <w:name w:val="Unresolved Mention"/>
    <w:basedOn w:val="DefaultParagraphFont"/>
    <w:uiPriority w:val="99"/>
    <w:semiHidden/>
    <w:unhideWhenUsed/>
    <w:rsid w:val="000D5F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1376">
      <w:bodyDiv w:val="1"/>
      <w:marLeft w:val="0"/>
      <w:marRight w:val="0"/>
      <w:marTop w:val="0"/>
      <w:marBottom w:val="0"/>
      <w:divBdr>
        <w:top w:val="none" w:sz="0" w:space="0" w:color="auto"/>
        <w:left w:val="none" w:sz="0" w:space="0" w:color="auto"/>
        <w:bottom w:val="none" w:sz="0" w:space="0" w:color="auto"/>
        <w:right w:val="none" w:sz="0" w:space="0" w:color="auto"/>
      </w:divBdr>
    </w:div>
    <w:div w:id="364136545">
      <w:bodyDiv w:val="1"/>
      <w:marLeft w:val="0"/>
      <w:marRight w:val="0"/>
      <w:marTop w:val="0"/>
      <w:marBottom w:val="0"/>
      <w:divBdr>
        <w:top w:val="none" w:sz="0" w:space="0" w:color="auto"/>
        <w:left w:val="none" w:sz="0" w:space="0" w:color="auto"/>
        <w:bottom w:val="none" w:sz="0" w:space="0" w:color="auto"/>
        <w:right w:val="none" w:sz="0" w:space="0" w:color="auto"/>
      </w:divBdr>
    </w:div>
    <w:div w:id="620649245">
      <w:bodyDiv w:val="1"/>
      <w:marLeft w:val="0"/>
      <w:marRight w:val="0"/>
      <w:marTop w:val="0"/>
      <w:marBottom w:val="0"/>
      <w:divBdr>
        <w:top w:val="none" w:sz="0" w:space="0" w:color="auto"/>
        <w:left w:val="none" w:sz="0" w:space="0" w:color="auto"/>
        <w:bottom w:val="none" w:sz="0" w:space="0" w:color="auto"/>
        <w:right w:val="none" w:sz="0" w:space="0" w:color="auto"/>
      </w:divBdr>
    </w:div>
    <w:div w:id="628128636">
      <w:bodyDiv w:val="1"/>
      <w:marLeft w:val="0"/>
      <w:marRight w:val="0"/>
      <w:marTop w:val="0"/>
      <w:marBottom w:val="0"/>
      <w:divBdr>
        <w:top w:val="none" w:sz="0" w:space="0" w:color="auto"/>
        <w:left w:val="none" w:sz="0" w:space="0" w:color="auto"/>
        <w:bottom w:val="none" w:sz="0" w:space="0" w:color="auto"/>
        <w:right w:val="none" w:sz="0" w:space="0" w:color="auto"/>
      </w:divBdr>
    </w:div>
    <w:div w:id="727537155">
      <w:bodyDiv w:val="1"/>
      <w:marLeft w:val="0"/>
      <w:marRight w:val="0"/>
      <w:marTop w:val="0"/>
      <w:marBottom w:val="0"/>
      <w:divBdr>
        <w:top w:val="none" w:sz="0" w:space="0" w:color="auto"/>
        <w:left w:val="none" w:sz="0" w:space="0" w:color="auto"/>
        <w:bottom w:val="none" w:sz="0" w:space="0" w:color="auto"/>
        <w:right w:val="none" w:sz="0" w:space="0" w:color="auto"/>
      </w:divBdr>
    </w:div>
    <w:div w:id="871966569">
      <w:bodyDiv w:val="1"/>
      <w:marLeft w:val="0"/>
      <w:marRight w:val="0"/>
      <w:marTop w:val="0"/>
      <w:marBottom w:val="0"/>
      <w:divBdr>
        <w:top w:val="none" w:sz="0" w:space="0" w:color="auto"/>
        <w:left w:val="none" w:sz="0" w:space="0" w:color="auto"/>
        <w:bottom w:val="none" w:sz="0" w:space="0" w:color="auto"/>
        <w:right w:val="none" w:sz="0" w:space="0" w:color="auto"/>
      </w:divBdr>
    </w:div>
    <w:div w:id="931740192">
      <w:bodyDiv w:val="1"/>
      <w:marLeft w:val="0"/>
      <w:marRight w:val="0"/>
      <w:marTop w:val="0"/>
      <w:marBottom w:val="0"/>
      <w:divBdr>
        <w:top w:val="none" w:sz="0" w:space="0" w:color="auto"/>
        <w:left w:val="none" w:sz="0" w:space="0" w:color="auto"/>
        <w:bottom w:val="none" w:sz="0" w:space="0" w:color="auto"/>
        <w:right w:val="none" w:sz="0" w:space="0" w:color="auto"/>
      </w:divBdr>
    </w:div>
    <w:div w:id="950933443">
      <w:bodyDiv w:val="1"/>
      <w:marLeft w:val="0"/>
      <w:marRight w:val="0"/>
      <w:marTop w:val="0"/>
      <w:marBottom w:val="0"/>
      <w:divBdr>
        <w:top w:val="none" w:sz="0" w:space="0" w:color="auto"/>
        <w:left w:val="none" w:sz="0" w:space="0" w:color="auto"/>
        <w:bottom w:val="none" w:sz="0" w:space="0" w:color="auto"/>
        <w:right w:val="none" w:sz="0" w:space="0" w:color="auto"/>
      </w:divBdr>
    </w:div>
    <w:div w:id="957688713">
      <w:bodyDiv w:val="1"/>
      <w:marLeft w:val="0"/>
      <w:marRight w:val="0"/>
      <w:marTop w:val="0"/>
      <w:marBottom w:val="0"/>
      <w:divBdr>
        <w:top w:val="none" w:sz="0" w:space="0" w:color="auto"/>
        <w:left w:val="none" w:sz="0" w:space="0" w:color="auto"/>
        <w:bottom w:val="none" w:sz="0" w:space="0" w:color="auto"/>
        <w:right w:val="none" w:sz="0" w:space="0" w:color="auto"/>
      </w:divBdr>
    </w:div>
    <w:div w:id="1032463309">
      <w:bodyDiv w:val="1"/>
      <w:marLeft w:val="0"/>
      <w:marRight w:val="0"/>
      <w:marTop w:val="0"/>
      <w:marBottom w:val="0"/>
      <w:divBdr>
        <w:top w:val="none" w:sz="0" w:space="0" w:color="auto"/>
        <w:left w:val="none" w:sz="0" w:space="0" w:color="auto"/>
        <w:bottom w:val="none" w:sz="0" w:space="0" w:color="auto"/>
        <w:right w:val="none" w:sz="0" w:space="0" w:color="auto"/>
      </w:divBdr>
    </w:div>
    <w:div w:id="1116673861">
      <w:bodyDiv w:val="1"/>
      <w:marLeft w:val="0"/>
      <w:marRight w:val="0"/>
      <w:marTop w:val="0"/>
      <w:marBottom w:val="0"/>
      <w:divBdr>
        <w:top w:val="none" w:sz="0" w:space="0" w:color="auto"/>
        <w:left w:val="none" w:sz="0" w:space="0" w:color="auto"/>
        <w:bottom w:val="none" w:sz="0" w:space="0" w:color="auto"/>
        <w:right w:val="none" w:sz="0" w:space="0" w:color="auto"/>
      </w:divBdr>
    </w:div>
    <w:div w:id="1209218004">
      <w:bodyDiv w:val="1"/>
      <w:marLeft w:val="0"/>
      <w:marRight w:val="0"/>
      <w:marTop w:val="0"/>
      <w:marBottom w:val="0"/>
      <w:divBdr>
        <w:top w:val="none" w:sz="0" w:space="0" w:color="auto"/>
        <w:left w:val="none" w:sz="0" w:space="0" w:color="auto"/>
        <w:bottom w:val="none" w:sz="0" w:space="0" w:color="auto"/>
        <w:right w:val="none" w:sz="0" w:space="0" w:color="auto"/>
      </w:divBdr>
    </w:div>
    <w:div w:id="1365251171">
      <w:bodyDiv w:val="1"/>
      <w:marLeft w:val="0"/>
      <w:marRight w:val="0"/>
      <w:marTop w:val="0"/>
      <w:marBottom w:val="0"/>
      <w:divBdr>
        <w:top w:val="none" w:sz="0" w:space="0" w:color="auto"/>
        <w:left w:val="none" w:sz="0" w:space="0" w:color="auto"/>
        <w:bottom w:val="none" w:sz="0" w:space="0" w:color="auto"/>
        <w:right w:val="none" w:sz="0" w:space="0" w:color="auto"/>
      </w:divBdr>
    </w:div>
    <w:div w:id="1532642199">
      <w:bodyDiv w:val="1"/>
      <w:marLeft w:val="0"/>
      <w:marRight w:val="0"/>
      <w:marTop w:val="0"/>
      <w:marBottom w:val="0"/>
      <w:divBdr>
        <w:top w:val="none" w:sz="0" w:space="0" w:color="auto"/>
        <w:left w:val="none" w:sz="0" w:space="0" w:color="auto"/>
        <w:bottom w:val="none" w:sz="0" w:space="0" w:color="auto"/>
        <w:right w:val="none" w:sz="0" w:space="0" w:color="auto"/>
      </w:divBdr>
    </w:div>
    <w:div w:id="1614315234">
      <w:bodyDiv w:val="1"/>
      <w:marLeft w:val="0"/>
      <w:marRight w:val="0"/>
      <w:marTop w:val="0"/>
      <w:marBottom w:val="0"/>
      <w:divBdr>
        <w:top w:val="none" w:sz="0" w:space="0" w:color="auto"/>
        <w:left w:val="none" w:sz="0" w:space="0" w:color="auto"/>
        <w:bottom w:val="none" w:sz="0" w:space="0" w:color="auto"/>
        <w:right w:val="none" w:sz="0" w:space="0" w:color="auto"/>
      </w:divBdr>
    </w:div>
    <w:div w:id="1930657288">
      <w:bodyDiv w:val="1"/>
      <w:marLeft w:val="0"/>
      <w:marRight w:val="0"/>
      <w:marTop w:val="0"/>
      <w:marBottom w:val="0"/>
      <w:divBdr>
        <w:top w:val="none" w:sz="0" w:space="0" w:color="auto"/>
        <w:left w:val="none" w:sz="0" w:space="0" w:color="auto"/>
        <w:bottom w:val="none" w:sz="0" w:space="0" w:color="auto"/>
        <w:right w:val="none" w:sz="0" w:space="0" w:color="auto"/>
      </w:divBdr>
    </w:div>
    <w:div w:id="2032486263">
      <w:bodyDiv w:val="1"/>
      <w:marLeft w:val="0"/>
      <w:marRight w:val="0"/>
      <w:marTop w:val="0"/>
      <w:marBottom w:val="0"/>
      <w:divBdr>
        <w:top w:val="none" w:sz="0" w:space="0" w:color="auto"/>
        <w:left w:val="none" w:sz="0" w:space="0" w:color="auto"/>
        <w:bottom w:val="none" w:sz="0" w:space="0" w:color="auto"/>
        <w:right w:val="none" w:sz="0" w:space="0" w:color="auto"/>
      </w:divBdr>
      <w:divsChild>
        <w:div w:id="571551840">
          <w:marLeft w:val="0"/>
          <w:marRight w:val="0"/>
          <w:marTop w:val="0"/>
          <w:marBottom w:val="0"/>
          <w:divBdr>
            <w:top w:val="none" w:sz="0" w:space="0" w:color="auto"/>
            <w:left w:val="none" w:sz="0" w:space="0" w:color="auto"/>
            <w:bottom w:val="none" w:sz="0" w:space="0" w:color="auto"/>
            <w:right w:val="none" w:sz="0" w:space="0" w:color="auto"/>
          </w:divBdr>
          <w:divsChild>
            <w:div w:id="1284380558">
              <w:marLeft w:val="0"/>
              <w:marRight w:val="0"/>
              <w:marTop w:val="0"/>
              <w:marBottom w:val="0"/>
              <w:divBdr>
                <w:top w:val="none" w:sz="0" w:space="0" w:color="auto"/>
                <w:left w:val="none" w:sz="0" w:space="0" w:color="auto"/>
                <w:bottom w:val="none" w:sz="0" w:space="0" w:color="auto"/>
                <w:right w:val="none" w:sz="0" w:space="0" w:color="auto"/>
              </w:divBdr>
              <w:divsChild>
                <w:div w:id="4608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00608">
          <w:marLeft w:val="0"/>
          <w:marRight w:val="150"/>
          <w:marTop w:val="0"/>
          <w:marBottom w:val="0"/>
          <w:divBdr>
            <w:top w:val="none" w:sz="0" w:space="0" w:color="auto"/>
            <w:left w:val="none" w:sz="0" w:space="0" w:color="auto"/>
            <w:bottom w:val="none" w:sz="0" w:space="0" w:color="auto"/>
            <w:right w:val="none" w:sz="0" w:space="0" w:color="auto"/>
          </w:divBdr>
        </w:div>
        <w:div w:id="970280691">
          <w:marLeft w:val="0"/>
          <w:marRight w:val="0"/>
          <w:marTop w:val="0"/>
          <w:marBottom w:val="0"/>
          <w:divBdr>
            <w:top w:val="none" w:sz="0" w:space="0" w:color="auto"/>
            <w:left w:val="none" w:sz="0" w:space="0" w:color="auto"/>
            <w:bottom w:val="none" w:sz="0" w:space="0" w:color="auto"/>
            <w:right w:val="none" w:sz="0" w:space="0" w:color="auto"/>
          </w:divBdr>
        </w:div>
        <w:div w:id="561331873">
          <w:marLeft w:val="0"/>
          <w:marRight w:val="0"/>
          <w:marTop w:val="0"/>
          <w:marBottom w:val="0"/>
          <w:divBdr>
            <w:top w:val="none" w:sz="0" w:space="0" w:color="auto"/>
            <w:left w:val="none" w:sz="0" w:space="0" w:color="auto"/>
            <w:bottom w:val="none" w:sz="0" w:space="0" w:color="auto"/>
            <w:right w:val="none" w:sz="0" w:space="0" w:color="auto"/>
          </w:divBdr>
          <w:divsChild>
            <w:div w:id="1929998355">
              <w:marLeft w:val="0"/>
              <w:marRight w:val="0"/>
              <w:marTop w:val="0"/>
              <w:marBottom w:val="0"/>
              <w:divBdr>
                <w:top w:val="none" w:sz="0" w:space="0" w:color="auto"/>
                <w:left w:val="none" w:sz="0" w:space="0" w:color="auto"/>
                <w:bottom w:val="none" w:sz="0" w:space="0" w:color="auto"/>
                <w:right w:val="none" w:sz="0" w:space="0" w:color="auto"/>
              </w:divBdr>
              <w:divsChild>
                <w:div w:id="18434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772">
          <w:marLeft w:val="0"/>
          <w:marRight w:val="150"/>
          <w:marTop w:val="0"/>
          <w:marBottom w:val="0"/>
          <w:divBdr>
            <w:top w:val="none" w:sz="0" w:space="0" w:color="auto"/>
            <w:left w:val="none" w:sz="0" w:space="0" w:color="auto"/>
            <w:bottom w:val="none" w:sz="0" w:space="0" w:color="auto"/>
            <w:right w:val="none" w:sz="0" w:space="0" w:color="auto"/>
          </w:divBdr>
        </w:div>
        <w:div w:id="1679236230">
          <w:marLeft w:val="0"/>
          <w:marRight w:val="0"/>
          <w:marTop w:val="0"/>
          <w:marBottom w:val="0"/>
          <w:divBdr>
            <w:top w:val="none" w:sz="0" w:space="0" w:color="auto"/>
            <w:left w:val="none" w:sz="0" w:space="0" w:color="auto"/>
            <w:bottom w:val="none" w:sz="0" w:space="0" w:color="auto"/>
            <w:right w:val="none" w:sz="0" w:space="0" w:color="auto"/>
          </w:divBdr>
        </w:div>
        <w:div w:id="1180193197">
          <w:marLeft w:val="0"/>
          <w:marRight w:val="0"/>
          <w:marTop w:val="0"/>
          <w:marBottom w:val="0"/>
          <w:divBdr>
            <w:top w:val="none" w:sz="0" w:space="0" w:color="auto"/>
            <w:left w:val="none" w:sz="0" w:space="0" w:color="auto"/>
            <w:bottom w:val="none" w:sz="0" w:space="0" w:color="auto"/>
            <w:right w:val="none" w:sz="0" w:space="0" w:color="auto"/>
          </w:divBdr>
          <w:divsChild>
            <w:div w:id="1228415394">
              <w:marLeft w:val="0"/>
              <w:marRight w:val="0"/>
              <w:marTop w:val="0"/>
              <w:marBottom w:val="0"/>
              <w:divBdr>
                <w:top w:val="none" w:sz="0" w:space="0" w:color="auto"/>
                <w:left w:val="none" w:sz="0" w:space="0" w:color="auto"/>
                <w:bottom w:val="none" w:sz="0" w:space="0" w:color="auto"/>
                <w:right w:val="none" w:sz="0" w:space="0" w:color="auto"/>
              </w:divBdr>
              <w:divsChild>
                <w:div w:id="1522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1818">
          <w:marLeft w:val="0"/>
          <w:marRight w:val="150"/>
          <w:marTop w:val="0"/>
          <w:marBottom w:val="0"/>
          <w:divBdr>
            <w:top w:val="none" w:sz="0" w:space="0" w:color="auto"/>
            <w:left w:val="none" w:sz="0" w:space="0" w:color="auto"/>
            <w:bottom w:val="none" w:sz="0" w:space="0" w:color="auto"/>
            <w:right w:val="none" w:sz="0" w:space="0" w:color="auto"/>
          </w:divBdr>
        </w:div>
        <w:div w:id="1660184508">
          <w:marLeft w:val="0"/>
          <w:marRight w:val="0"/>
          <w:marTop w:val="0"/>
          <w:marBottom w:val="0"/>
          <w:divBdr>
            <w:top w:val="none" w:sz="0" w:space="0" w:color="auto"/>
            <w:left w:val="none" w:sz="0" w:space="0" w:color="auto"/>
            <w:bottom w:val="none" w:sz="0" w:space="0" w:color="auto"/>
            <w:right w:val="none" w:sz="0" w:space="0" w:color="auto"/>
          </w:divBdr>
        </w:div>
        <w:div w:id="105538466">
          <w:marLeft w:val="0"/>
          <w:marRight w:val="0"/>
          <w:marTop w:val="0"/>
          <w:marBottom w:val="0"/>
          <w:divBdr>
            <w:top w:val="none" w:sz="0" w:space="0" w:color="auto"/>
            <w:left w:val="none" w:sz="0" w:space="0" w:color="auto"/>
            <w:bottom w:val="none" w:sz="0" w:space="0" w:color="auto"/>
            <w:right w:val="none" w:sz="0" w:space="0" w:color="auto"/>
          </w:divBdr>
          <w:divsChild>
            <w:div w:id="1438210081">
              <w:marLeft w:val="0"/>
              <w:marRight w:val="0"/>
              <w:marTop w:val="0"/>
              <w:marBottom w:val="0"/>
              <w:divBdr>
                <w:top w:val="none" w:sz="0" w:space="0" w:color="auto"/>
                <w:left w:val="none" w:sz="0" w:space="0" w:color="auto"/>
                <w:bottom w:val="none" w:sz="0" w:space="0" w:color="auto"/>
                <w:right w:val="none" w:sz="0" w:space="0" w:color="auto"/>
              </w:divBdr>
              <w:divsChild>
                <w:div w:id="1200433216">
                  <w:marLeft w:val="150"/>
                  <w:marRight w:val="0"/>
                  <w:marTop w:val="0"/>
                  <w:marBottom w:val="0"/>
                  <w:divBdr>
                    <w:top w:val="none" w:sz="0" w:space="0" w:color="auto"/>
                    <w:left w:val="none" w:sz="0" w:space="0" w:color="auto"/>
                    <w:bottom w:val="none" w:sz="0" w:space="0" w:color="auto"/>
                    <w:right w:val="none" w:sz="0" w:space="0" w:color="auto"/>
                  </w:divBdr>
                </w:div>
                <w:div w:id="11721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r.chapman@keele.ac.uk" TargetMode="External"/><Relationship Id="rId20" Type="http://schemas.microsoft.com/office/2011/relationships/people" Target="people.xml"/><Relationship Id="rId10" Type="http://schemas.openxmlformats.org/officeDocument/2006/relationships/footer" Target="footer1.xml"/><Relationship Id="rId11" Type="http://schemas.openxmlformats.org/officeDocument/2006/relationships/hyperlink" Target="http://content.digital.nhs.uk/catalogue/PUB18973/hosp-pres-eng-201415-report.pdf" TargetMode="External"/><Relationship Id="rId12" Type="http://schemas.openxmlformats.org/officeDocument/2006/relationships/hyperlink" Target="http://www.ema.europa.eu/ema/index.jsp?curl=pages/medicines/landing/epar_search.jsp&amp;mid=WC0b01ac058001d124&amp;searchTab=searchByAuthType&amp;keyword=Enter%20keywords&amp;searchType=name&amp;alreadyLoaded=true&amp;status=Authorised&amp;jsenabled=false&amp;searchGenericType=biosimilars&amp;orderBy=authDate&amp;pageNo=1" TargetMode="External"/><Relationship Id="rId13" Type="http://schemas.openxmlformats.org/officeDocument/2006/relationships/hyperlink" Target="http://www.imshealth.com/files/web/IMSH%20Institute/Healthcare%20Briefs/Documents/IMS_Institute_Biosimilar_Brief_March_2016.pdf" TargetMode="External"/><Relationship Id="rId14" Type="http://schemas.openxmlformats.org/officeDocument/2006/relationships/hyperlink" Target="https://www.england.nhs.uk/wp-content/uploads/2015/09/biosimilar-guide.pdf" TargetMode="External"/><Relationship Id="rId15" Type="http://schemas.openxmlformats.org/officeDocument/2006/relationships/hyperlink" Target="http://www.pmlive.com/pmhub/healthcare_market_research/109066_the_research_partnership/white_papers_and_resources/brand_leaders_in_ra_will_lose_market_share,_predict_rheumatologists" TargetMode="External"/><Relationship Id="rId16" Type="http://schemas.openxmlformats.org/officeDocument/2006/relationships/hyperlink" Target="https://apps.nhsbsa.nhs.uk/MOD/AtlasTrustsMedsOp/atlas.html" TargetMode="External"/><Relationship Id="rId17" Type="http://schemas.openxmlformats.org/officeDocument/2006/relationships/hyperlink" Target="http://www.nras.org.uk/data/files/revised_bsr_biosimilars_position_statement_jan_2017.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494D-4446-C94C-84A2-ADA2D11E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4578</Words>
  <Characters>26101</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al-adul</dc:creator>
  <cp:lastModifiedBy>Stephen Chapman</cp:lastModifiedBy>
  <cp:revision>2</cp:revision>
  <cp:lastPrinted>2017-05-31T13:28:00Z</cp:lastPrinted>
  <dcterms:created xsi:type="dcterms:W3CDTF">2017-07-24T12:38:00Z</dcterms:created>
  <dcterms:modified xsi:type="dcterms:W3CDTF">2017-07-24T12:38:00Z</dcterms:modified>
</cp:coreProperties>
</file>