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A02C8" w14:textId="77777777" w:rsidR="00581EDD" w:rsidRDefault="00581EDD" w:rsidP="005F2D31">
      <w:pPr>
        <w:pStyle w:val="TopicCode"/>
      </w:pPr>
      <w:r>
        <w:t>2260; 1779</w:t>
      </w:r>
    </w:p>
    <w:p w14:paraId="3C4982FB" w14:textId="77777777" w:rsidR="00581EDD" w:rsidRDefault="00581EDD" w:rsidP="005F2D31">
      <w:pPr>
        <w:pStyle w:val="SeriesTitle"/>
      </w:pPr>
      <w:r>
        <w:t>State of the Art Review</w:t>
      </w:r>
    </w:p>
    <w:p w14:paraId="6B32A63B" w14:textId="77777777" w:rsidR="00581EDD" w:rsidRDefault="00581EDD" w:rsidP="005F2D31">
      <w:pPr>
        <w:pStyle w:val="ArticleTitle"/>
      </w:pPr>
      <w:r>
        <w:t>Diabetes detection in women with gestational diabetes and polycystic ovarian syndrome</w:t>
      </w:r>
    </w:p>
    <w:p w14:paraId="1120177A" w14:textId="77777777" w:rsidR="00581EDD" w:rsidRDefault="00581EDD" w:rsidP="005F2D31">
      <w:pPr>
        <w:pStyle w:val="Author"/>
      </w:pPr>
      <w:r>
        <w:t>Fahmy Hanna,</w:t>
      </w:r>
      <w:r>
        <w:rPr>
          <w:vertAlign w:val="superscript"/>
        </w:rPr>
        <w:t>1,2</w:t>
      </w:r>
      <w:r w:rsidR="00F910F7">
        <w:rPr>
          <w:vertAlign w:val="superscript"/>
        </w:rPr>
        <w:t>, 3</w:t>
      </w:r>
      <w:r w:rsidR="00F910F7">
        <w:t xml:space="preserve"> </w:t>
      </w:r>
      <w:r w:rsidR="00770C15">
        <w:t>p</w:t>
      </w:r>
      <w:r w:rsidR="00F910F7">
        <w:t>rofessor</w:t>
      </w:r>
      <w:r>
        <w:t>, Pensee Wu,</w:t>
      </w:r>
      <w:r>
        <w:rPr>
          <w:vertAlign w:val="superscript"/>
        </w:rPr>
        <w:t>3,4,5</w:t>
      </w:r>
      <w:r>
        <w:t xml:space="preserve"> senior lecturer, Adrian Heald,</w:t>
      </w:r>
      <w:r>
        <w:rPr>
          <w:vertAlign w:val="superscript"/>
        </w:rPr>
        <w:t>6,7</w:t>
      </w:r>
      <w:r>
        <w:t xml:space="preserve"> consultant physician, Anthony Fryer,</w:t>
      </w:r>
      <w:r>
        <w:rPr>
          <w:vertAlign w:val="superscript"/>
        </w:rPr>
        <w:t xml:space="preserve">3 </w:t>
      </w:r>
      <w:r>
        <w:t>professor</w:t>
      </w:r>
    </w:p>
    <w:p w14:paraId="1731687B" w14:textId="77777777" w:rsidR="00581EDD" w:rsidRPr="00DD7BFF" w:rsidRDefault="00581EDD" w:rsidP="005F2D31">
      <w:pPr>
        <w:pStyle w:val="Address"/>
      </w:pPr>
      <w:r>
        <w:rPr>
          <w:vertAlign w:val="superscript"/>
        </w:rPr>
        <w:t>1</w:t>
      </w:r>
      <w:r>
        <w:t xml:space="preserve">Department of Diabetes and Endocrinology, University Hospitals of North Midlands NHS Trust, Stoke-on-Trent, Staffordshire, </w:t>
      </w:r>
      <w:r w:rsidRPr="00DD7BFF">
        <w:t>UK</w:t>
      </w:r>
    </w:p>
    <w:p w14:paraId="5D820342" w14:textId="056EBAD6" w:rsidR="00581EDD" w:rsidRDefault="00581EDD" w:rsidP="005F2D31">
      <w:pPr>
        <w:pStyle w:val="Address"/>
      </w:pPr>
      <w:r w:rsidRPr="00DD7BFF">
        <w:rPr>
          <w:vertAlign w:val="superscript"/>
        </w:rPr>
        <w:t>2</w:t>
      </w:r>
      <w:r w:rsidRPr="00DD7BFF">
        <w:t xml:space="preserve">Centre for Health </w:t>
      </w:r>
      <w:r w:rsidR="00DD7BFF">
        <w:t>and</w:t>
      </w:r>
      <w:r w:rsidRPr="00DD7BFF">
        <w:t xml:space="preserve"> Development, Staffordshire University, Staffordshire UK</w:t>
      </w:r>
    </w:p>
    <w:p w14:paraId="5FC3ED3E" w14:textId="77777777" w:rsidR="00581EDD" w:rsidRDefault="00581EDD" w:rsidP="005F2D31">
      <w:pPr>
        <w:pStyle w:val="Address"/>
      </w:pPr>
      <w:r>
        <w:rPr>
          <w:vertAlign w:val="superscript"/>
        </w:rPr>
        <w:t>3</w:t>
      </w:r>
      <w:r>
        <w:t>School of Medicine, Keele University, Keele, Staffordshire, UK</w:t>
      </w:r>
    </w:p>
    <w:p w14:paraId="7A713D6F" w14:textId="04026250" w:rsidR="00581EDD" w:rsidRDefault="00581EDD" w:rsidP="005F2D31">
      <w:pPr>
        <w:pStyle w:val="Address"/>
      </w:pPr>
      <w:r>
        <w:rPr>
          <w:vertAlign w:val="superscript"/>
        </w:rPr>
        <w:t>4</w:t>
      </w:r>
      <w:r>
        <w:t xml:space="preserve">Department of Obstetrics </w:t>
      </w:r>
      <w:r w:rsidR="00DD7BFF">
        <w:t>and</w:t>
      </w:r>
      <w:r>
        <w:t xml:space="preserve"> Gynaecology, University Hospitals of North Midlands NHS Trust, Stoke-on-Trent, Staffordshire, UK</w:t>
      </w:r>
    </w:p>
    <w:p w14:paraId="654ECA53" w14:textId="77777777" w:rsidR="00581EDD" w:rsidRDefault="00581EDD" w:rsidP="005F2D31">
      <w:pPr>
        <w:pStyle w:val="Address"/>
      </w:pPr>
      <w:r>
        <w:rPr>
          <w:vertAlign w:val="superscript"/>
        </w:rPr>
        <w:t>5</w:t>
      </w:r>
      <w:r>
        <w:t>Department of Obstetrics and Gynecology, College of Medicine, National Cheng Kung University, Tainan, Taiwan</w:t>
      </w:r>
    </w:p>
    <w:p w14:paraId="1AB4CDDD" w14:textId="77777777" w:rsidR="00581EDD" w:rsidRDefault="00581EDD" w:rsidP="005F2D31">
      <w:pPr>
        <w:pStyle w:val="Address"/>
      </w:pPr>
      <w:r>
        <w:rPr>
          <w:vertAlign w:val="superscript"/>
        </w:rPr>
        <w:t>6</w:t>
      </w:r>
      <w:r>
        <w:t>Department of Diabetes and Endocrinology, Salford Royal NHS Foundation Trust, Salford, UK</w:t>
      </w:r>
    </w:p>
    <w:p w14:paraId="254A467E" w14:textId="77777777" w:rsidR="00581EDD" w:rsidRDefault="00581EDD" w:rsidP="005F2D31">
      <w:pPr>
        <w:pStyle w:val="Address"/>
      </w:pPr>
      <w:r>
        <w:rPr>
          <w:vertAlign w:val="superscript"/>
        </w:rPr>
        <w:t>7</w:t>
      </w:r>
      <w:r>
        <w:t>The School of Medicine and Manchester Academic Health Sciences Centre, The University of Manchester, Manchester, UK</w:t>
      </w:r>
    </w:p>
    <w:p w14:paraId="2D7F13E2" w14:textId="77777777" w:rsidR="00581EDD" w:rsidRDefault="00581EDD" w:rsidP="005F2D31">
      <w:pPr>
        <w:pStyle w:val="Correspdent"/>
      </w:pPr>
      <w:r>
        <w:t xml:space="preserve">Correspondence to: AA Fryer </w:t>
      </w:r>
      <w:r>
        <w:rPr>
          <w:u w:val="single"/>
        </w:rPr>
        <w:t>a.a.fryer@keele.ac.uk</w:t>
      </w:r>
    </w:p>
    <w:p w14:paraId="7F2AA335" w14:textId="77777777" w:rsidR="00581EDD" w:rsidRDefault="00581EDD" w:rsidP="005F2D31">
      <w:pPr>
        <w:pStyle w:val="MoreInfo"/>
      </w:pPr>
      <w:r>
        <w:t>Series explanation: State of the Art Reviews are commissioned on the basis of their relevance to academics and specialists in the US and internationally. For this reason they are written predominantly by US authors</w:t>
      </w:r>
    </w:p>
    <w:p w14:paraId="21C42DDA" w14:textId="77777777" w:rsidR="00581EDD" w:rsidRDefault="00581EDD" w:rsidP="005F2D31">
      <w:pPr>
        <w:pStyle w:val="AbstractTitle"/>
      </w:pPr>
      <w:r>
        <w:t>Abstract</w:t>
      </w:r>
    </w:p>
    <w:p w14:paraId="7E1FD8F0" w14:textId="77777777" w:rsidR="00581EDD" w:rsidRDefault="00581EDD" w:rsidP="005F2D31">
      <w:pPr>
        <w:pStyle w:val="AbstractPara"/>
      </w:pPr>
      <w:r>
        <w:t>Gestational diabetes mellitus (GDM) and polycystic ovarian syndrome (PCOS) represent two of the highest risk factors for development of type 2 diabetes mellitus in young women. As these increasingly common conditions generally affect younger women, early detection of dysgly</w:t>
      </w:r>
      <w:r w:rsidRPr="00AE1B03">
        <w:t>c</w:t>
      </w:r>
      <w:r w:rsidR="00113130" w:rsidRPr="00F910F7">
        <w:t>e</w:t>
      </w:r>
      <w:r w:rsidRPr="00AE1B03">
        <w:t>mia</w:t>
      </w:r>
      <w:r>
        <w:t xml:space="preserve"> is key if preventative measures are to be effective. While international guidance recommends screening for </w:t>
      </w:r>
      <w:r w:rsidR="00C8797C">
        <w:t>type 2 diabetes</w:t>
      </w:r>
      <w:r>
        <w:t>, current screening strategies suffer from significant challenges.</w:t>
      </w:r>
    </w:p>
    <w:p w14:paraId="26D259BD" w14:textId="77777777" w:rsidR="00581EDD" w:rsidRDefault="00581EDD" w:rsidP="005F2D31">
      <w:pPr>
        <w:pStyle w:val="AbstractPara"/>
      </w:pPr>
      <w:r>
        <w:t>First, guidance lacks consensus in defining which tests to use and frequency of monitoring, thereby sending mixed messages to healthcare professionals.</w:t>
      </w:r>
    </w:p>
    <w:p w14:paraId="6EC96686" w14:textId="77777777" w:rsidR="00581EDD" w:rsidRDefault="00581EDD" w:rsidP="005F2D31">
      <w:pPr>
        <w:pStyle w:val="AbstractPara"/>
      </w:pPr>
      <w:r>
        <w:t>Second, conformity to guidance is poor</w:t>
      </w:r>
      <w:r w:rsidR="00713BEC">
        <w:t>,</w:t>
      </w:r>
      <w:r>
        <w:t xml:space="preserve"> with only a minority of women having tests at the recommended frequency (where specified). Approaches to improve </w:t>
      </w:r>
      <w:r w:rsidR="00713BEC">
        <w:t>conformity</w:t>
      </w:r>
      <w:r>
        <w:t xml:space="preserve"> have focused on healthcare</w:t>
      </w:r>
      <w:r w:rsidR="00F910F7">
        <w:t>-</w:t>
      </w:r>
      <w:r>
        <w:t>related factors (largely technology</w:t>
      </w:r>
      <w:r w:rsidR="00F910F7">
        <w:t>-</w:t>
      </w:r>
      <w:r>
        <w:t>driven reminder systems), but patient factors such as convenience and clear messaging around risk have been neglected.</w:t>
      </w:r>
    </w:p>
    <w:p w14:paraId="3F6F0BBB" w14:textId="77777777" w:rsidR="00F910F7" w:rsidRDefault="00581EDD" w:rsidP="005F2D31">
      <w:pPr>
        <w:pStyle w:val="AbstractPara"/>
      </w:pPr>
      <w:r>
        <w:t>Third, and most critically, current screening strategies are too generic and rely on tests that become abnormal far too late in the trajectory towards dysglyc</w:t>
      </w:r>
      <w:r w:rsidR="00113130">
        <w:t>e</w:t>
      </w:r>
      <w:r>
        <w:t xml:space="preserve">mia to offer opportunities for effective preventative measures. Risk factors </w:t>
      </w:r>
      <w:r w:rsidR="00F77057">
        <w:t>show</w:t>
      </w:r>
      <w:r w:rsidR="00882502">
        <w:t xml:space="preserve"> </w:t>
      </w:r>
      <w:r>
        <w:t>wide inter</w:t>
      </w:r>
      <w:r w:rsidR="00F910F7">
        <w:t>-</w:t>
      </w:r>
      <w:r>
        <w:t xml:space="preserve">individual variation, and insulin sensitivity and </w:t>
      </w:r>
      <w:r w:rsidR="00FC5D74">
        <w:t>β cell</w:t>
      </w:r>
      <w:r>
        <w:t xml:space="preserve"> function are often abnormal </w:t>
      </w:r>
      <w:r w:rsidR="00F910F7">
        <w:t xml:space="preserve">during pre-diabetes stage, </w:t>
      </w:r>
      <w:r>
        <w:t xml:space="preserve">well before frank </w:t>
      </w:r>
      <w:r w:rsidR="00EA3F13">
        <w:t>diabetes</w:t>
      </w:r>
      <w:r w:rsidR="00F910F7">
        <w:t>.</w:t>
      </w:r>
    </w:p>
    <w:p w14:paraId="2221D1E3" w14:textId="77777777" w:rsidR="00581EDD" w:rsidRDefault="00586129" w:rsidP="005F2D31">
      <w:pPr>
        <w:pStyle w:val="AbstractPara"/>
      </w:pPr>
      <w:r>
        <w:t>N</w:t>
      </w:r>
      <w:r w:rsidR="00581EDD">
        <w:t>ew, consistent</w:t>
      </w:r>
      <w:r w:rsidR="00C8797C">
        <w:t>,</w:t>
      </w:r>
      <w:r w:rsidR="00581EDD">
        <w:t xml:space="preserve"> targeted screening strategies are required that incorporate early, prevention</w:t>
      </w:r>
      <w:r w:rsidR="00F910F7">
        <w:t>-</w:t>
      </w:r>
      <w:r w:rsidR="00581EDD">
        <w:t>focused testing and personalised risk stratification.</w:t>
      </w:r>
    </w:p>
    <w:p w14:paraId="067DB9D9" w14:textId="77777777" w:rsidR="00581EDD" w:rsidRDefault="00581EDD" w:rsidP="005F2D31">
      <w:pPr>
        <w:pStyle w:val="HeadA"/>
      </w:pPr>
      <w:r>
        <w:lastRenderedPageBreak/>
        <w:t>Introduction</w:t>
      </w:r>
    </w:p>
    <w:p w14:paraId="204F7F25" w14:textId="77777777" w:rsidR="00581EDD" w:rsidRDefault="00581EDD" w:rsidP="005F2D31">
      <w:pPr>
        <w:pStyle w:val="Para"/>
      </w:pPr>
      <w:r>
        <w:t xml:space="preserve">Gestational </w:t>
      </w:r>
      <w:r w:rsidR="00C8797C">
        <w:t xml:space="preserve">diabetes mellitus </w:t>
      </w:r>
      <w:r>
        <w:t>(</w:t>
      </w:r>
      <w:r w:rsidR="00C8797C">
        <w:t>GDM</w:t>
      </w:r>
      <w:r>
        <w:t xml:space="preserve">) and </w:t>
      </w:r>
      <w:r w:rsidR="00C8797C">
        <w:t xml:space="preserve">polycystic ovary syndrome </w:t>
      </w:r>
      <w:r>
        <w:t xml:space="preserve">(PCOS) </w:t>
      </w:r>
      <w:r w:rsidR="00FC5D74">
        <w:t xml:space="preserve">are </w:t>
      </w:r>
      <w:r>
        <w:t>two of the most common metabolic conditions affecting women of reproductive age</w:t>
      </w:r>
      <w:r w:rsidR="00FC5D74">
        <w:t>.</w:t>
      </w:r>
      <w:r>
        <w:rPr>
          <w:vertAlign w:val="superscript"/>
        </w:rPr>
        <w:t>1,2</w:t>
      </w:r>
      <w:r>
        <w:t xml:space="preserve"> Both </w:t>
      </w:r>
      <w:r w:rsidR="00F910F7">
        <w:t xml:space="preserve">conditions </w:t>
      </w:r>
      <w:r>
        <w:t>are risk factors for future metabolic and cardiovascular abnormalities,</w:t>
      </w:r>
      <w:r>
        <w:rPr>
          <w:vertAlign w:val="superscript"/>
        </w:rPr>
        <w:t>3,4</w:t>
      </w:r>
      <w:r>
        <w:t xml:space="preserve"> especially type 2 diabetes. This </w:t>
      </w:r>
      <w:r w:rsidR="004225A7">
        <w:t xml:space="preserve">prevalence </w:t>
      </w:r>
      <w:r>
        <w:t>highlights the importance of sustained dysglyc</w:t>
      </w:r>
      <w:r w:rsidR="00113130">
        <w:t>e</w:t>
      </w:r>
      <w:r>
        <w:t xml:space="preserve">mia monitoring and early intervention in young, generally healthy </w:t>
      </w:r>
      <w:r w:rsidR="00713BEC">
        <w:t>women</w:t>
      </w:r>
      <w:r>
        <w:t>.</w:t>
      </w:r>
    </w:p>
    <w:p w14:paraId="24CD6298" w14:textId="77777777" w:rsidR="00581EDD" w:rsidRDefault="00581EDD" w:rsidP="005F2D31">
      <w:pPr>
        <w:pStyle w:val="Para"/>
      </w:pPr>
      <w:r>
        <w:t>This review summarises available screening guidance, highlights the challenges to implementing existing screening programs</w:t>
      </w:r>
      <w:r w:rsidR="00FC5D74">
        <w:t>,</w:t>
      </w:r>
      <w:r>
        <w:t xml:space="preserve"> and offers suggestions on how adherence to guidance could be improved. We examine the underlying pathophysiology of these two conditions, highlighting their similarities and illustrating how an understanding of insulin resistance and </w:t>
      </w:r>
      <w:r w:rsidR="00FC5D74">
        <w:t>β cell</w:t>
      </w:r>
      <w:r>
        <w:t xml:space="preserve"> function provides insight into alternative approaches to monitoring. We illustrate how this knowledge of pathophysiology exposes the limitations in current screening strategies and propose a new approach to earlier detection of glyc</w:t>
      </w:r>
      <w:r w:rsidR="00113130">
        <w:t>e</w:t>
      </w:r>
      <w:r>
        <w:t xml:space="preserve">mic irregularities, where intervention can have more meaningful impact on </w:t>
      </w:r>
      <w:r w:rsidR="00C8797C">
        <w:t>type 2 diabetes</w:t>
      </w:r>
      <w:r>
        <w:t xml:space="preserve"> prevention.</w:t>
      </w:r>
    </w:p>
    <w:p w14:paraId="764C24E0" w14:textId="77777777" w:rsidR="00581EDD" w:rsidRDefault="00581EDD" w:rsidP="005F2D31">
      <w:pPr>
        <w:pStyle w:val="Para"/>
      </w:pPr>
      <w:r>
        <w:t>The review is aimed at hospital specialists and community</w:t>
      </w:r>
      <w:r w:rsidR="00F77057">
        <w:t>-</w:t>
      </w:r>
      <w:r>
        <w:t xml:space="preserve">based generalists </w:t>
      </w:r>
      <w:r w:rsidR="00586129">
        <w:t xml:space="preserve">working </w:t>
      </w:r>
      <w:r>
        <w:t xml:space="preserve">in diabetes screening and management (diabetologists, endocrinologists, general practitioners, </w:t>
      </w:r>
      <w:r w:rsidR="00713BEC">
        <w:t xml:space="preserve">and </w:t>
      </w:r>
      <w:r>
        <w:t>community</w:t>
      </w:r>
      <w:r w:rsidR="00F910F7">
        <w:t>-</w:t>
      </w:r>
      <w:r w:rsidR="00586129">
        <w:t>based</w:t>
      </w:r>
      <w:r>
        <w:t xml:space="preserve"> and hospital</w:t>
      </w:r>
      <w:r w:rsidR="00F910F7">
        <w:t>-</w:t>
      </w:r>
      <w:r>
        <w:t>based diabetes nurse specialists), as well as those providing obstetrics and gyn</w:t>
      </w:r>
      <w:r w:rsidR="00113130">
        <w:t>e</w:t>
      </w:r>
      <w:r>
        <w:t>cology services.</w:t>
      </w:r>
    </w:p>
    <w:p w14:paraId="622FA666" w14:textId="77777777" w:rsidR="00581EDD" w:rsidRDefault="00581EDD" w:rsidP="005F2D31">
      <w:pPr>
        <w:pStyle w:val="HeadA"/>
      </w:pPr>
      <w:r>
        <w:t>Sources and selection criteria</w:t>
      </w:r>
    </w:p>
    <w:p w14:paraId="590F8F2A" w14:textId="77777777" w:rsidR="00581EDD" w:rsidRDefault="00581EDD" w:rsidP="005F2D31">
      <w:pPr>
        <w:pStyle w:val="Para"/>
      </w:pPr>
      <w:r>
        <w:t xml:space="preserve">We searched PubMed and Medline databases for studies published between January 2002 and July 2022 using the terms (along with their associated derivatives) </w:t>
      </w:r>
      <w:r w:rsidR="005B29B0">
        <w:t>“</w:t>
      </w:r>
      <w:r>
        <w:t>gestational diabetes</w:t>
      </w:r>
      <w:r w:rsidR="005B29B0">
        <w:t>”</w:t>
      </w:r>
      <w:r>
        <w:t xml:space="preserve"> and </w:t>
      </w:r>
      <w:r w:rsidR="005B29B0">
        <w:t>“</w:t>
      </w:r>
      <w:r>
        <w:t>polycystic ovary syndrome</w:t>
      </w:r>
      <w:r w:rsidR="005B29B0">
        <w:t>”</w:t>
      </w:r>
      <w:r>
        <w:t xml:space="preserve"> separately with: (i) </w:t>
      </w:r>
      <w:r w:rsidR="00586129">
        <w:t>“</w:t>
      </w:r>
      <w:r>
        <w:t>epidemiology</w:t>
      </w:r>
      <w:r w:rsidR="005B29B0">
        <w:t>”</w:t>
      </w:r>
      <w:r>
        <w:t xml:space="preserve">, </w:t>
      </w:r>
      <w:r w:rsidR="00586129">
        <w:t>“</w:t>
      </w:r>
      <w:r>
        <w:t>prevalence</w:t>
      </w:r>
      <w:r w:rsidR="005B29B0">
        <w:t>”</w:t>
      </w:r>
      <w:r>
        <w:t xml:space="preserve">, </w:t>
      </w:r>
      <w:r w:rsidR="00586129">
        <w:t>“</w:t>
      </w:r>
      <w:r>
        <w:t>incidence</w:t>
      </w:r>
      <w:r w:rsidR="005B29B0">
        <w:t>”</w:t>
      </w:r>
      <w:r w:rsidR="00713BEC">
        <w:t>,</w:t>
      </w:r>
      <w:r>
        <w:t xml:space="preserve"> and </w:t>
      </w:r>
      <w:r w:rsidR="00586129">
        <w:t>“</w:t>
      </w:r>
      <w:r>
        <w:t>type 2 diabetes</w:t>
      </w:r>
      <w:r w:rsidR="005B29B0">
        <w:t>”</w:t>
      </w:r>
      <w:r>
        <w:t xml:space="preserve"> for the background section, (ii) </w:t>
      </w:r>
      <w:r w:rsidR="00586129">
        <w:t>“</w:t>
      </w:r>
      <w:r>
        <w:t>type 2 diabetes</w:t>
      </w:r>
      <w:r w:rsidR="005B29B0">
        <w:t>”</w:t>
      </w:r>
      <w:r>
        <w:t xml:space="preserve"> with </w:t>
      </w:r>
      <w:r w:rsidR="00586129">
        <w:t>“</w:t>
      </w:r>
      <w:r>
        <w:t>risk factors</w:t>
      </w:r>
      <w:r w:rsidR="005B29B0">
        <w:t>”</w:t>
      </w:r>
      <w:r>
        <w:t xml:space="preserve">, </w:t>
      </w:r>
      <w:r w:rsidR="00586129">
        <w:t>“</w:t>
      </w:r>
      <w:r>
        <w:t>screening</w:t>
      </w:r>
      <w:r w:rsidR="005B29B0">
        <w:t>”</w:t>
      </w:r>
      <w:r w:rsidR="00713BEC">
        <w:t>,</w:t>
      </w:r>
      <w:r>
        <w:t xml:space="preserve"> and </w:t>
      </w:r>
      <w:r w:rsidR="00586129">
        <w:t>“</w:t>
      </w:r>
      <w:r>
        <w:t>postnatal</w:t>
      </w:r>
      <w:r w:rsidR="005B29B0">
        <w:t>”</w:t>
      </w:r>
      <w:r>
        <w:t xml:space="preserve"> or </w:t>
      </w:r>
      <w:r w:rsidR="00586129">
        <w:t>“</w:t>
      </w:r>
      <w:r>
        <w:t>postpartum</w:t>
      </w:r>
      <w:r w:rsidR="005B29B0">
        <w:t>”</w:t>
      </w:r>
      <w:r>
        <w:t xml:space="preserve"> for the risk factors and screening section, (iii) </w:t>
      </w:r>
      <w:r w:rsidR="00586129">
        <w:t>“</w:t>
      </w:r>
      <w:r>
        <w:t>guidelines</w:t>
      </w:r>
      <w:r w:rsidR="005B29B0">
        <w:t>”</w:t>
      </w:r>
      <w:r>
        <w:t xml:space="preserve"> or </w:t>
      </w:r>
      <w:r w:rsidR="00586129">
        <w:t>“</w:t>
      </w:r>
      <w:r>
        <w:t>guidance</w:t>
      </w:r>
      <w:r w:rsidR="005B29B0">
        <w:t>”</w:t>
      </w:r>
      <w:r>
        <w:t xml:space="preserve"> for the guidelines section, (iv) </w:t>
      </w:r>
      <w:r w:rsidR="00586129">
        <w:t>“</w:t>
      </w:r>
      <w:r>
        <w:t>insulin resistance</w:t>
      </w:r>
      <w:r w:rsidR="005B29B0">
        <w:t>”</w:t>
      </w:r>
      <w:r>
        <w:t xml:space="preserve"> and </w:t>
      </w:r>
      <w:r w:rsidR="00586129">
        <w:t>“</w:t>
      </w:r>
      <w:r>
        <w:t>islet cell function</w:t>
      </w:r>
      <w:r w:rsidR="005B29B0">
        <w:t>”</w:t>
      </w:r>
      <w:r>
        <w:t xml:space="preserve"> for the pathophysiology section. Earlier references were included where </w:t>
      </w:r>
      <w:r w:rsidR="00A77C6E">
        <w:t>we saw</w:t>
      </w:r>
      <w:r>
        <w:t xml:space="preserve"> a strong case for their inclusion. Priority was given on the basis of quality (systematic reviews and meta-analyses, random</w:t>
      </w:r>
      <w:r w:rsidR="005B29B0">
        <w:t>ize</w:t>
      </w:r>
      <w:r>
        <w:t>d controlled trials, size of study) and direct relevance to the topic. References cited by, or themselves citing, key publications were explored where relevant. We also examined relevant international professional guidelines.</w:t>
      </w:r>
    </w:p>
    <w:p w14:paraId="44F41E9E" w14:textId="77777777" w:rsidR="00581EDD" w:rsidRDefault="00581EDD" w:rsidP="005F2D31">
      <w:pPr>
        <w:pStyle w:val="HeadA"/>
      </w:pPr>
      <w:r>
        <w:t>Epidemiology</w:t>
      </w:r>
    </w:p>
    <w:p w14:paraId="64475D80" w14:textId="77777777" w:rsidR="00581EDD" w:rsidRDefault="00581EDD" w:rsidP="005F2D31">
      <w:pPr>
        <w:pStyle w:val="Para"/>
      </w:pPr>
      <w:r>
        <w:lastRenderedPageBreak/>
        <w:t xml:space="preserve">The </w:t>
      </w:r>
      <w:r w:rsidR="00F533CA">
        <w:t>incidence of gestational diabetes mellitus and PCOS, as well as diabetes mellitus itself, is rising globally, and together represents</w:t>
      </w:r>
      <w:r>
        <w:t xml:space="preserve"> a major public health challenge. </w:t>
      </w:r>
      <w:r w:rsidR="00E24595">
        <w:t>G</w:t>
      </w:r>
      <w:r w:rsidR="00C8797C">
        <w:t>estational diabetes mellitus</w:t>
      </w:r>
      <w:r>
        <w:t xml:space="preserve"> and PCOS, which collectively affect up to 20% of generally young women, are two of the most significant risk factors for the future development of </w:t>
      </w:r>
      <w:r w:rsidR="00C8797C">
        <w:t>type 2 diabetes</w:t>
      </w:r>
      <w:r>
        <w:t>.</w:t>
      </w:r>
      <w:r>
        <w:rPr>
          <w:vertAlign w:val="superscript"/>
        </w:rPr>
        <w:t>5,6</w:t>
      </w:r>
    </w:p>
    <w:p w14:paraId="20DAE9FE" w14:textId="77777777" w:rsidR="00581EDD" w:rsidRDefault="00581EDD" w:rsidP="005F2D31">
      <w:pPr>
        <w:pStyle w:val="HeadB"/>
      </w:pPr>
      <w:r>
        <w:t>Diabetes mellitus</w:t>
      </w:r>
    </w:p>
    <w:p w14:paraId="094F7DBC" w14:textId="77777777" w:rsidR="00581EDD" w:rsidRDefault="00581EDD" w:rsidP="005F2D31">
      <w:pPr>
        <w:pStyle w:val="Para"/>
      </w:pPr>
      <w:r>
        <w:t xml:space="preserve">Globally, </w:t>
      </w:r>
      <w:r w:rsidR="00E24595">
        <w:t xml:space="preserve">about </w:t>
      </w:r>
      <w:r>
        <w:t>537 million adults are living with diabetes,</w:t>
      </w:r>
      <w:r>
        <w:rPr>
          <w:vertAlign w:val="superscript"/>
        </w:rPr>
        <w:t>7</w:t>
      </w:r>
      <w:r>
        <w:t xml:space="preserve"> with 86% affected by </w:t>
      </w:r>
      <w:r w:rsidR="00C8797C">
        <w:t>type 2 diabetes</w:t>
      </w:r>
      <w:r>
        <w:t>.</w:t>
      </w:r>
      <w:r>
        <w:rPr>
          <w:vertAlign w:val="superscript"/>
        </w:rPr>
        <w:t xml:space="preserve">8 </w:t>
      </w:r>
      <w:r>
        <w:t>Diabetes is a cause of premature death both directly and through its associated complications.</w:t>
      </w:r>
      <w:r>
        <w:rPr>
          <w:vertAlign w:val="superscript"/>
        </w:rPr>
        <w:t>3,9-12</w:t>
      </w:r>
      <w:r>
        <w:t xml:space="preserve"> </w:t>
      </w:r>
      <w:r w:rsidR="0058084F">
        <w:t>About</w:t>
      </w:r>
      <w:r>
        <w:t xml:space="preserve"> £15bn</w:t>
      </w:r>
      <w:r w:rsidR="00364A1E">
        <w:t xml:space="preserve"> (€17.4bn; $18.6bn)</w:t>
      </w:r>
      <w:r>
        <w:t xml:space="preserve"> is spent on diabetes annually in the UK (</w:t>
      </w:r>
      <w:r w:rsidR="00AE440C">
        <w:t xml:space="preserve">roughly </w:t>
      </w:r>
      <w:r>
        <w:t>10% of the National Health Service budget), 80% of which is spent on treating complications.</w:t>
      </w:r>
      <w:r>
        <w:rPr>
          <w:vertAlign w:val="superscript"/>
        </w:rPr>
        <w:t>13</w:t>
      </w:r>
    </w:p>
    <w:p w14:paraId="49973B36" w14:textId="77777777" w:rsidR="00581EDD" w:rsidRDefault="00AE440C" w:rsidP="005F2D31">
      <w:pPr>
        <w:pStyle w:val="HeadB"/>
      </w:pPr>
      <w:r>
        <w:t>G</w:t>
      </w:r>
      <w:r w:rsidR="00C8797C">
        <w:t>estational diabetes mellitus</w:t>
      </w:r>
    </w:p>
    <w:p w14:paraId="49C75D02" w14:textId="77777777" w:rsidR="00581EDD" w:rsidRDefault="00AE440C" w:rsidP="005F2D31">
      <w:pPr>
        <w:pStyle w:val="Para"/>
      </w:pPr>
      <w:r>
        <w:t>G</w:t>
      </w:r>
      <w:r w:rsidR="00C8797C">
        <w:t>estational diabetes mellitus</w:t>
      </w:r>
      <w:r w:rsidR="00581EDD">
        <w:t xml:space="preserve"> affects 4-10% of pregnancies worldwide</w:t>
      </w:r>
      <w:r>
        <w:t>.</w:t>
      </w:r>
      <w:r w:rsidR="00581EDD">
        <w:rPr>
          <w:vertAlign w:val="superscript"/>
        </w:rPr>
        <w:t>5</w:t>
      </w:r>
      <w:r w:rsidR="00581EDD">
        <w:t xml:space="preserve"> Its prevalence is reported to have increased by 10-100% in several ethnic groups in the last 20 years,</w:t>
      </w:r>
      <w:r w:rsidR="00581EDD">
        <w:rPr>
          <w:vertAlign w:val="superscript"/>
        </w:rPr>
        <w:t>14</w:t>
      </w:r>
      <w:r w:rsidR="00581EDD">
        <w:t xml:space="preserve"> reaching 12.9% in North Africa followed by Southeast Asia, Western Pacific, and South and Central America (11.7%, 11.7%</w:t>
      </w:r>
      <w:r w:rsidR="002F61C7">
        <w:t>,</w:t>
      </w:r>
      <w:r w:rsidR="00581EDD">
        <w:t xml:space="preserve"> and 11.2%, respectively).</w:t>
      </w:r>
      <w:r w:rsidR="00581EDD">
        <w:rPr>
          <w:vertAlign w:val="superscript"/>
        </w:rPr>
        <w:t>15</w:t>
      </w:r>
    </w:p>
    <w:p w14:paraId="00480021" w14:textId="77777777" w:rsidR="00581EDD" w:rsidRDefault="00581EDD" w:rsidP="005F2D31">
      <w:pPr>
        <w:pStyle w:val="HeadB"/>
      </w:pPr>
      <w:r>
        <w:t>PCOS</w:t>
      </w:r>
    </w:p>
    <w:p w14:paraId="6539A2C4" w14:textId="77777777" w:rsidR="00581EDD" w:rsidRDefault="00581EDD" w:rsidP="005F2D31">
      <w:pPr>
        <w:pStyle w:val="Para"/>
      </w:pPr>
      <w:r>
        <w:t xml:space="preserve">PCOS is one of the </w:t>
      </w:r>
      <w:r w:rsidR="002F61C7">
        <w:t xml:space="preserve">most </w:t>
      </w:r>
      <w:r>
        <w:t>common endocrine disorders in women of reproductive age with a global prevalence between 7-12%,</w:t>
      </w:r>
      <w:r>
        <w:rPr>
          <w:vertAlign w:val="superscript"/>
        </w:rPr>
        <w:t>6</w:t>
      </w:r>
      <w:r>
        <w:t xml:space="preserve"> depending on the diagnostic criteria used. It has been suggested that up to 70% of women with PCOS remain undiagnosed.</w:t>
      </w:r>
      <w:r>
        <w:rPr>
          <w:vertAlign w:val="superscript"/>
        </w:rPr>
        <w:t>16</w:t>
      </w:r>
      <w:r>
        <w:t xml:space="preserve"> Prevalence is higher in women with type 1 diabetes (24%)</w:t>
      </w:r>
      <w:r>
        <w:rPr>
          <w:vertAlign w:val="superscript"/>
        </w:rPr>
        <w:t>17</w:t>
      </w:r>
      <w:r>
        <w:t xml:space="preserve"> and in girls with p</w:t>
      </w:r>
      <w:r w:rsidR="00113130">
        <w:t>e</w:t>
      </w:r>
      <w:r>
        <w:t>diatric type 2 diabetes (20%),</w:t>
      </w:r>
      <w:r>
        <w:rPr>
          <w:vertAlign w:val="superscript"/>
        </w:rPr>
        <w:t>18</w:t>
      </w:r>
      <w:r>
        <w:t xml:space="preserve"> compared with the general population. PCOS has increased in the last decade in China, rising to 7.8% in women aged 20-49</w:t>
      </w:r>
      <w:r w:rsidR="00D26345">
        <w:t>,</w:t>
      </w:r>
      <w:r>
        <w:t xml:space="preserve"> with 24 million women of reproductive age affected in China alone.</w:t>
      </w:r>
      <w:r>
        <w:rPr>
          <w:vertAlign w:val="superscript"/>
        </w:rPr>
        <w:t>19</w:t>
      </w:r>
    </w:p>
    <w:p w14:paraId="6F261C8F" w14:textId="77777777" w:rsidR="00581EDD" w:rsidRDefault="00581EDD" w:rsidP="005F2D31">
      <w:pPr>
        <w:pStyle w:val="HeadA"/>
      </w:pPr>
      <w:r>
        <w:t xml:space="preserve">Risk factors for </w:t>
      </w:r>
      <w:r w:rsidR="00C8797C">
        <w:t>type 2 diabetes</w:t>
      </w:r>
    </w:p>
    <w:p w14:paraId="24227CA2" w14:textId="77777777" w:rsidR="00581EDD" w:rsidRDefault="00581EDD" w:rsidP="005F2D31">
      <w:pPr>
        <w:pStyle w:val="Para"/>
      </w:pPr>
      <w:r>
        <w:t xml:space="preserve">Of the risk factors for </w:t>
      </w:r>
      <w:r w:rsidR="00C8797C">
        <w:t>type 2 diabetes</w:t>
      </w:r>
      <w:r>
        <w:t xml:space="preserve"> used in the Q-Diabetes 2018 risk prediction algorithm, </w:t>
      </w:r>
      <w:r w:rsidR="00C8797C">
        <w:t>gestational diabetes mellitus</w:t>
      </w:r>
      <w:r>
        <w:t xml:space="preserve"> and PCOS represent two of the largest in terms of adjusted hazard ratio.</w:t>
      </w:r>
      <w:r>
        <w:rPr>
          <w:vertAlign w:val="superscript"/>
        </w:rPr>
        <w:t>20</w:t>
      </w:r>
      <w:r>
        <w:t xml:space="preserve"> The fact that they both affect otherwise generally healthy young women suggests that strategies for early detection and treatment </w:t>
      </w:r>
      <w:r w:rsidR="00113130">
        <w:t>could</w:t>
      </w:r>
      <w:r>
        <w:t xml:space="preserve"> be particularly important in these groups.</w:t>
      </w:r>
    </w:p>
    <w:p w14:paraId="5A140EDE" w14:textId="77777777" w:rsidR="00581EDD" w:rsidRDefault="00581EDD" w:rsidP="005F2D31">
      <w:pPr>
        <w:pStyle w:val="Para"/>
      </w:pPr>
      <w:r>
        <w:t xml:space="preserve">Adherence to screening recommendations for </w:t>
      </w:r>
      <w:r w:rsidR="00C8797C">
        <w:t>type 2 diabetes</w:t>
      </w:r>
      <w:r>
        <w:t xml:space="preserve"> is poor. Furthermore, screening strategies recommended in international guidance generally focus on detecting overt diabetes or pre-diabetes, and </w:t>
      </w:r>
      <w:r w:rsidR="00D26345">
        <w:t xml:space="preserve">could, </w:t>
      </w:r>
      <w:r>
        <w:t>therefore</w:t>
      </w:r>
      <w:r w:rsidR="00D26345">
        <w:t>,</w:t>
      </w:r>
      <w:r>
        <w:t xml:space="preserve"> be too late to allow instigation of </w:t>
      </w:r>
      <w:r>
        <w:lastRenderedPageBreak/>
        <w:t>preventative interventions. Therefore, opportunities for early detection and delay of onset of diabetes or its complications are potentially being missed at a significant cost to healthcare systems and society.</w:t>
      </w:r>
    </w:p>
    <w:p w14:paraId="4E8B4772" w14:textId="77777777" w:rsidR="00581EDD" w:rsidRDefault="002F61C7" w:rsidP="005F2D31">
      <w:pPr>
        <w:pStyle w:val="HeadB"/>
      </w:pPr>
      <w:r>
        <w:t>G</w:t>
      </w:r>
      <w:r w:rsidR="00C8797C">
        <w:t>estational diabetes mellitus</w:t>
      </w:r>
      <w:r w:rsidR="00581EDD">
        <w:t xml:space="preserve"> </w:t>
      </w:r>
      <w:r>
        <w:t>and</w:t>
      </w:r>
      <w:r w:rsidR="00581EDD">
        <w:t xml:space="preserve"> diabetes risk</w:t>
      </w:r>
    </w:p>
    <w:p w14:paraId="5040B05D" w14:textId="77777777" w:rsidR="00581EDD" w:rsidRDefault="00581EDD" w:rsidP="005F2D31">
      <w:pPr>
        <w:pStyle w:val="Para"/>
      </w:pPr>
      <w:r>
        <w:t xml:space="preserve">Women with </w:t>
      </w:r>
      <w:r w:rsidR="00C8797C">
        <w:t>gestational diabetes mellitus</w:t>
      </w:r>
      <w:r>
        <w:t xml:space="preserve"> have a 20</w:t>
      </w:r>
      <w:r w:rsidR="00713BEC">
        <w:t>-</w:t>
      </w:r>
      <w:r>
        <w:t xml:space="preserve">70% risk of developing </w:t>
      </w:r>
      <w:r w:rsidR="00C8797C">
        <w:t>type 2 diabetes</w:t>
      </w:r>
      <w:r>
        <w:t xml:space="preserve"> within the first decade following delivery.</w:t>
      </w:r>
      <w:r>
        <w:rPr>
          <w:vertAlign w:val="superscript"/>
        </w:rPr>
        <w:t>1</w:t>
      </w:r>
      <w:r>
        <w:t xml:space="preserve"> A recent meta-analysis suggested a 9.5-fold increase in overall relative risk for </w:t>
      </w:r>
      <w:r w:rsidR="00C8797C">
        <w:t>type 2 diabetes</w:t>
      </w:r>
      <w:r>
        <w:t xml:space="preserve"> compared </w:t>
      </w:r>
      <w:r w:rsidR="002F61C7">
        <w:t>with</w:t>
      </w:r>
      <w:r>
        <w:t xml:space="preserve"> women without </w:t>
      </w:r>
      <w:r w:rsidR="00C8797C">
        <w:t>gestational diabetes mellitus</w:t>
      </w:r>
      <w:r>
        <w:t>.</w:t>
      </w:r>
      <w:r>
        <w:rPr>
          <w:vertAlign w:val="superscript"/>
        </w:rPr>
        <w:t>21</w:t>
      </w:r>
      <w:r>
        <w:t xml:space="preserve"> A large prospective cohort study showed </w:t>
      </w:r>
      <w:r w:rsidR="00C8797C">
        <w:t>gestational diabetes mellitus</w:t>
      </w:r>
      <w:r>
        <w:t xml:space="preserve"> was associated with a 3.9-fold risk of </w:t>
      </w:r>
      <w:r w:rsidR="00C8797C">
        <w:t>type 2 diabetes</w:t>
      </w:r>
      <w:r>
        <w:t xml:space="preserve"> within 6-15 years after an affected pregnancy.</w:t>
      </w:r>
      <w:r>
        <w:rPr>
          <w:vertAlign w:val="superscript"/>
        </w:rPr>
        <w:t>22</w:t>
      </w:r>
    </w:p>
    <w:p w14:paraId="5CBAB25B" w14:textId="77777777" w:rsidR="00581EDD" w:rsidRDefault="00581EDD" w:rsidP="005F2D31">
      <w:pPr>
        <w:pStyle w:val="Para"/>
        <w:rPr>
          <w:vertAlign w:val="superscript"/>
        </w:rPr>
      </w:pPr>
      <w:r>
        <w:t xml:space="preserve">Risk factors for progression from </w:t>
      </w:r>
      <w:r w:rsidR="00C8797C">
        <w:t>gestational diabetes mellitus</w:t>
      </w:r>
      <w:r>
        <w:t xml:space="preserve"> to </w:t>
      </w:r>
      <w:r w:rsidR="00C8797C">
        <w:t>type 2 diabetes</w:t>
      </w:r>
      <w:r>
        <w:t xml:space="preserve"> include pregnancy</w:t>
      </w:r>
      <w:r w:rsidR="00F533CA">
        <w:t>-specific [</w:t>
      </w:r>
      <w:r>
        <w:t xml:space="preserve">hypertensive disorders of pregnancy, preterm delivery, early gestational age at onset of </w:t>
      </w:r>
      <w:r w:rsidR="00C8797C">
        <w:t>gestational diabetes mellitus</w:t>
      </w:r>
      <w:r>
        <w:t xml:space="preserve"> </w:t>
      </w:r>
      <w:r w:rsidR="00EA3F13">
        <w:t>(</w:t>
      </w:r>
      <w:r>
        <w:t xml:space="preserve">though the latter </w:t>
      </w:r>
      <w:r w:rsidR="00113130">
        <w:t>could</w:t>
      </w:r>
      <w:r>
        <w:t xml:space="preserve"> reflect early detection of pre-existing dysglyc</w:t>
      </w:r>
      <w:r w:rsidR="00113130">
        <w:t>e</w:t>
      </w:r>
      <w:r>
        <w:t>mia</w:t>
      </w:r>
      <w:r w:rsidR="00EA3F13">
        <w:t>)</w:t>
      </w:r>
      <w:r w:rsidR="00F533CA">
        <w:t>]</w:t>
      </w:r>
      <w:r>
        <w:t xml:space="preserve"> and generic risk factors for diabetes (raised body mass index, non-white ethnicity, family history of diabetes) (</w:t>
      </w:r>
      <w:r w:rsidR="00EA3F13">
        <w:t>f</w:t>
      </w:r>
      <w:r>
        <w:t>ig 1).</w:t>
      </w:r>
      <w:r>
        <w:rPr>
          <w:vertAlign w:val="superscript"/>
        </w:rPr>
        <w:t>23</w:t>
      </w:r>
    </w:p>
    <w:p w14:paraId="13DC6CDD" w14:textId="77777777" w:rsidR="00545960" w:rsidRDefault="00545960" w:rsidP="00545960">
      <w:pPr>
        <w:pStyle w:val="Para"/>
        <w:ind w:firstLine="0"/>
      </w:pPr>
    </w:p>
    <w:p w14:paraId="552D4C1B" w14:textId="46CCFDDC" w:rsidR="00581EDD" w:rsidRDefault="00581EDD" w:rsidP="005F2D31">
      <w:pPr>
        <w:pStyle w:val="HeadB"/>
      </w:pPr>
      <w:r>
        <w:t xml:space="preserve">PCOS </w:t>
      </w:r>
      <w:r w:rsidR="00EA3F13">
        <w:t xml:space="preserve">and </w:t>
      </w:r>
      <w:r>
        <w:t>diabetes risk</w:t>
      </w:r>
    </w:p>
    <w:p w14:paraId="45CD780F" w14:textId="77777777" w:rsidR="00581EDD" w:rsidRDefault="00581EDD" w:rsidP="005F2D31">
      <w:pPr>
        <w:pStyle w:val="Para"/>
      </w:pPr>
      <w:r>
        <w:t xml:space="preserve">Studies have suggested that PCOS is a risk factor for the development of </w:t>
      </w:r>
      <w:r w:rsidR="00C8797C">
        <w:t>gestational diabetes mellitus</w:t>
      </w:r>
      <w:r>
        <w:t>.</w:t>
      </w:r>
      <w:r>
        <w:rPr>
          <w:vertAlign w:val="superscript"/>
        </w:rPr>
        <w:t>24</w:t>
      </w:r>
      <w:r>
        <w:t xml:space="preserve"> </w:t>
      </w:r>
      <w:r w:rsidR="00F77057">
        <w:t>Two m</w:t>
      </w:r>
      <w:r>
        <w:t>eta-analyses have shown that PCOS imparts a 2</w:t>
      </w:r>
      <w:r w:rsidR="00EA3F13">
        <w:t xml:space="preserve"> to </w:t>
      </w:r>
      <w:r>
        <w:t xml:space="preserve">3-fold greater risk of developing both </w:t>
      </w:r>
      <w:r w:rsidR="00C8797C">
        <w:t>gestational diabetes mellitus</w:t>
      </w:r>
      <w:r>
        <w:t xml:space="preserve"> </w:t>
      </w:r>
      <w:r w:rsidR="00EA3F13">
        <w:t>(odds ratio</w:t>
      </w:r>
      <w:r>
        <w:t xml:space="preserve"> 2.89, 95% </w:t>
      </w:r>
      <w:r w:rsidR="00EA3F13">
        <w:t>confidence interval</w:t>
      </w:r>
      <w:r>
        <w:t xml:space="preserve"> 1.68</w:t>
      </w:r>
      <w:r w:rsidR="00EA3F13">
        <w:t xml:space="preserve"> to </w:t>
      </w:r>
      <w:r w:rsidR="00F533CA">
        <w:t xml:space="preserve">4.98 </w:t>
      </w:r>
      <w:r w:rsidR="00F533CA" w:rsidRPr="00F533CA">
        <w:rPr>
          <w:vertAlign w:val="superscript"/>
        </w:rPr>
        <w:t>24</w:t>
      </w:r>
      <w:r w:rsidR="00F533CA">
        <w:t xml:space="preserve"> and with a random-effects model, </w:t>
      </w:r>
      <w:r w:rsidR="00EA3F13">
        <w:t>odds ratio</w:t>
      </w:r>
      <w:r>
        <w:t xml:space="preserve"> 2.02, 95</w:t>
      </w:r>
      <w:r w:rsidR="00EA3F13">
        <w:t>% confidence interval</w:t>
      </w:r>
      <w:r>
        <w:t xml:space="preserve"> 1.74</w:t>
      </w:r>
      <w:r w:rsidR="00EA3F13">
        <w:t xml:space="preserve"> to </w:t>
      </w:r>
      <w:r>
        <w:t>2.34</w:t>
      </w:r>
      <w:r w:rsidR="00F533CA">
        <w:t xml:space="preserve"> </w:t>
      </w:r>
      <w:r w:rsidR="00F533CA" w:rsidRPr="00F533CA">
        <w:rPr>
          <w:vertAlign w:val="superscript"/>
        </w:rPr>
        <w:t>25</w:t>
      </w:r>
      <w:r w:rsidR="00F533CA">
        <w:t xml:space="preserve">. PCOS imparted higher risk for </w:t>
      </w:r>
      <w:r w:rsidR="00C8797C">
        <w:t>type 2 diabetes</w:t>
      </w:r>
      <w:r>
        <w:t xml:space="preserve"> </w:t>
      </w:r>
      <w:r w:rsidR="00EA3F13">
        <w:t>(odds ratio</w:t>
      </w:r>
      <w:r>
        <w:t xml:space="preserve"> 2.87, 95</w:t>
      </w:r>
      <w:r w:rsidR="00EA3F13">
        <w:t>% confidence interval</w:t>
      </w:r>
      <w:r>
        <w:t xml:space="preserve"> 1.44</w:t>
      </w:r>
      <w:r w:rsidR="00EA3F13">
        <w:t xml:space="preserve"> to </w:t>
      </w:r>
      <w:r>
        <w:t>5.72).</w:t>
      </w:r>
      <w:r w:rsidR="00F533CA">
        <w:rPr>
          <w:vertAlign w:val="superscript"/>
        </w:rPr>
        <w:t>2</w:t>
      </w:r>
      <w:r>
        <w:t xml:space="preserve"> A recent longitudinal study showed that 19% of women with PCOS developed </w:t>
      </w:r>
      <w:r w:rsidR="00C8797C">
        <w:t>type 2 diabetes</w:t>
      </w:r>
      <w:r w:rsidR="00EA3F13">
        <w:t>,</w:t>
      </w:r>
      <w:r>
        <w:t xml:space="preserve"> </w:t>
      </w:r>
      <w:r w:rsidR="00EA3F13">
        <w:t>compared with</w:t>
      </w:r>
      <w:r>
        <w:t xml:space="preserve"> 1% of women without PCOS over 24</w:t>
      </w:r>
      <w:r w:rsidR="00EA3F13">
        <w:t xml:space="preserve"> </w:t>
      </w:r>
      <w:r>
        <w:t>year</w:t>
      </w:r>
      <w:r w:rsidR="00EA3F13">
        <w:t>s of</w:t>
      </w:r>
      <w:r>
        <w:t xml:space="preserve"> follow-up.</w:t>
      </w:r>
      <w:r>
        <w:rPr>
          <w:vertAlign w:val="superscript"/>
        </w:rPr>
        <w:t>27</w:t>
      </w:r>
      <w:r>
        <w:t xml:space="preserve"> However, this</w:t>
      </w:r>
      <w:r w:rsidR="00F533CA">
        <w:t xml:space="preserve"> risk</w:t>
      </w:r>
      <w:r w:rsidR="00EA3F13">
        <w:t xml:space="preserve"> </w:t>
      </w:r>
      <w:r w:rsidR="00EA3F13" w:rsidRPr="00B856D9">
        <w:rPr>
          <w:b/>
        </w:rPr>
        <w:t>[</w:t>
      </w:r>
      <w:r w:rsidR="00EA3F13">
        <w:t xml:space="preserve">could </w:t>
      </w:r>
      <w:r>
        <w:t xml:space="preserve">be </w:t>
      </w:r>
      <w:r w:rsidR="00F533CA">
        <w:t xml:space="preserve">partly </w:t>
      </w:r>
      <w:r>
        <w:t>dependent on the PCOS phenotype.</w:t>
      </w:r>
      <w:r>
        <w:rPr>
          <w:vertAlign w:val="superscript"/>
        </w:rPr>
        <w:t>28</w:t>
      </w:r>
      <w:r>
        <w:t xml:space="preserve"> Most studies on </w:t>
      </w:r>
      <w:r w:rsidR="00C8797C">
        <w:t>gestational diabetes mellitus</w:t>
      </w:r>
      <w:r>
        <w:t xml:space="preserve"> risk in women with PCOS have been conducted in cohorts comprising largely obese populations of women with PCOS or in high</w:t>
      </w:r>
      <w:r w:rsidR="00EA3F13">
        <w:t xml:space="preserve"> </w:t>
      </w:r>
      <w:r>
        <w:t>risk groups (eg</w:t>
      </w:r>
      <w:r w:rsidR="00EA3F13">
        <w:t>,</w:t>
      </w:r>
      <w:r>
        <w:t xml:space="preserve"> after fertility treatment). However, some smaller studies have shown no significant differences between PCOS and non-PCOS groups in terms of </w:t>
      </w:r>
      <w:r w:rsidR="00C8797C">
        <w:t>gestational diabetes mellitus</w:t>
      </w:r>
      <w:r>
        <w:t xml:space="preserve"> risk after long</w:t>
      </w:r>
      <w:r w:rsidR="00EA3F13">
        <w:t xml:space="preserve"> </w:t>
      </w:r>
      <w:r>
        <w:t>term follow-up</w:t>
      </w:r>
      <w:r w:rsidR="00EA3F13">
        <w:t>,</w:t>
      </w:r>
      <w:r>
        <w:rPr>
          <w:vertAlign w:val="superscript"/>
        </w:rPr>
        <w:t>29,30</w:t>
      </w:r>
      <w:r>
        <w:t xml:space="preserve"> while a larger prospective cohort study has shown that PCOS </w:t>
      </w:r>
      <w:r w:rsidR="00EA3F13">
        <w:t xml:space="preserve">might </w:t>
      </w:r>
      <w:r>
        <w:t xml:space="preserve">not be an independent risk factor for </w:t>
      </w:r>
      <w:r w:rsidR="00C8797C">
        <w:t>gestational diabetes mellitus</w:t>
      </w:r>
      <w:r>
        <w:t xml:space="preserve"> (rather</w:t>
      </w:r>
      <w:r w:rsidR="00EA3F13">
        <w:t>,</w:t>
      </w:r>
      <w:r>
        <w:t xml:space="preserve"> </w:t>
      </w:r>
      <w:r w:rsidR="00EA3F13">
        <w:t xml:space="preserve">PCOS </w:t>
      </w:r>
      <w:r>
        <w:t>share</w:t>
      </w:r>
      <w:r w:rsidR="00EA3F13">
        <w:t>s</w:t>
      </w:r>
      <w:r>
        <w:t xml:space="preserve"> risk factors with </w:t>
      </w:r>
      <w:r w:rsidR="00C8797C">
        <w:t>gestational diabetes mellitus</w:t>
      </w:r>
      <w:r>
        <w:t>).</w:t>
      </w:r>
      <w:r>
        <w:rPr>
          <w:vertAlign w:val="superscript"/>
        </w:rPr>
        <w:t>31</w:t>
      </w:r>
    </w:p>
    <w:p w14:paraId="7683AAFE" w14:textId="77777777" w:rsidR="00581EDD" w:rsidRDefault="00581EDD" w:rsidP="005F2D31">
      <w:pPr>
        <w:pStyle w:val="Para"/>
      </w:pPr>
      <w:r>
        <w:lastRenderedPageBreak/>
        <w:t xml:space="preserve">It appears that risk factors for progression to </w:t>
      </w:r>
      <w:r w:rsidR="00C8797C">
        <w:t>type 2 diabetes</w:t>
      </w:r>
      <w:r>
        <w:t xml:space="preserve"> in PCOS mirror those generic factors seen in </w:t>
      </w:r>
      <w:r w:rsidR="00C8797C">
        <w:t>gestational diabetes mellitus</w:t>
      </w:r>
      <w:r>
        <w:t xml:space="preserve"> (eg</w:t>
      </w:r>
      <w:r w:rsidR="00EA3F13">
        <w:t>,</w:t>
      </w:r>
      <w:r>
        <w:t xml:space="preserve"> high </w:t>
      </w:r>
      <w:r w:rsidR="00EA3F13">
        <w:t>body mass index</w:t>
      </w:r>
      <w:r>
        <w:t xml:space="preserve">, family history of </w:t>
      </w:r>
      <w:r w:rsidR="00C8797C">
        <w:t>type 2 diabetes</w:t>
      </w:r>
      <w:r>
        <w:t xml:space="preserve">, non-white ethnicity) but </w:t>
      </w:r>
      <w:r w:rsidR="00EA3F13">
        <w:t xml:space="preserve">might </w:t>
      </w:r>
      <w:r>
        <w:t xml:space="preserve">also include </w:t>
      </w:r>
      <w:r w:rsidR="00EA3F13">
        <w:t xml:space="preserve">factors specific to </w:t>
      </w:r>
      <w:r>
        <w:t xml:space="preserve">PCOS such as hyperandrogenism </w:t>
      </w:r>
      <w:r w:rsidR="00EA3F13">
        <w:t>(fig</w:t>
      </w:r>
      <w:r>
        <w:t xml:space="preserve"> 1).</w:t>
      </w:r>
      <w:r>
        <w:rPr>
          <w:vertAlign w:val="superscript"/>
        </w:rPr>
        <w:t>32</w:t>
      </w:r>
      <w:r>
        <w:t xml:space="preserve"> These risk factors could form the basis of prediction models for </w:t>
      </w:r>
      <w:r w:rsidR="00C8797C">
        <w:t>type 2 diabetes</w:t>
      </w:r>
      <w:r>
        <w:t xml:space="preserve"> in women with PCOS.</w:t>
      </w:r>
      <w:r>
        <w:rPr>
          <w:vertAlign w:val="superscript"/>
        </w:rPr>
        <w:t>32-34</w:t>
      </w:r>
    </w:p>
    <w:p w14:paraId="3443C06B" w14:textId="77777777" w:rsidR="00581EDD" w:rsidRDefault="00581EDD" w:rsidP="005F2D31">
      <w:pPr>
        <w:pStyle w:val="HeadA"/>
      </w:pPr>
      <w:r>
        <w:t>Pathophysiology</w:t>
      </w:r>
    </w:p>
    <w:p w14:paraId="2639A350" w14:textId="77777777" w:rsidR="00581EDD" w:rsidRDefault="00581EDD" w:rsidP="005F2D31">
      <w:pPr>
        <w:pStyle w:val="Para"/>
      </w:pPr>
      <w:r>
        <w:t xml:space="preserve">The high risk of developing </w:t>
      </w:r>
      <w:r w:rsidR="00C8797C">
        <w:t>type 2 diabetes</w:t>
      </w:r>
      <w:r>
        <w:t xml:space="preserve"> in both </w:t>
      </w:r>
      <w:r w:rsidR="00C8797C">
        <w:t>gestational diabetes mellitus</w:t>
      </w:r>
      <w:r>
        <w:t xml:space="preserve"> and PCOS is secondary to the interplay between insulin resistance and </w:t>
      </w:r>
      <w:r w:rsidR="00FC5D74">
        <w:t>β cell</w:t>
      </w:r>
      <w:r>
        <w:t xml:space="preserve"> function </w:t>
      </w:r>
      <w:r w:rsidR="00EA3F13">
        <w:t>(fig</w:t>
      </w:r>
      <w:r>
        <w:t xml:space="preserve"> 1). Changes in these aspects over time predate the development of frank diabetes, and can be reversed, or at least delayed, by appropriate intervention.</w:t>
      </w:r>
    </w:p>
    <w:p w14:paraId="0C3AF0C2" w14:textId="77777777" w:rsidR="00581EDD" w:rsidRDefault="00581EDD" w:rsidP="005F2D31">
      <w:pPr>
        <w:pStyle w:val="HeadB"/>
      </w:pPr>
      <w:r>
        <w:t xml:space="preserve">Insulin secretion and resistance in </w:t>
      </w:r>
      <w:r w:rsidR="00C8797C">
        <w:t>gestational diabetes mellitus</w:t>
      </w:r>
    </w:p>
    <w:p w14:paraId="4C32FAE6" w14:textId="77777777" w:rsidR="00581EDD" w:rsidRDefault="00581EDD" w:rsidP="005F2D31">
      <w:pPr>
        <w:pStyle w:val="Para"/>
      </w:pPr>
      <w:r>
        <w:t xml:space="preserve">During normal gestation, increased metabolic demand, secondary to reduced insulin sensitivity, is counterbalanced by </w:t>
      </w:r>
      <w:r w:rsidR="00FC5D74">
        <w:t>β cell</w:t>
      </w:r>
      <w:r>
        <w:t xml:space="preserve"> hypertrophy and hyperplasia. The increased insulin secretion ensures that the glucose levels do not increase excessively </w:t>
      </w:r>
      <w:r w:rsidR="00EA3F13">
        <w:t>(fig</w:t>
      </w:r>
      <w:r>
        <w:t xml:space="preserve"> 2a). After delivery, with the return of insulin sensitivity to normal, </w:t>
      </w:r>
      <w:r w:rsidR="00FC5D74">
        <w:t>β cell</w:t>
      </w:r>
      <w:r>
        <w:t xml:space="preserve"> function returns to baseline.</w:t>
      </w:r>
    </w:p>
    <w:p w14:paraId="7CA01A3B" w14:textId="77777777" w:rsidR="00581EDD" w:rsidRDefault="00581EDD" w:rsidP="005F2D31">
      <w:pPr>
        <w:pStyle w:val="Para"/>
      </w:pPr>
      <w:r>
        <w:t>The hyperglyc</w:t>
      </w:r>
      <w:r w:rsidR="00113130">
        <w:t>e</w:t>
      </w:r>
      <w:r>
        <w:t xml:space="preserve">mia seen in </w:t>
      </w:r>
      <w:r w:rsidR="00C8797C">
        <w:t>gestational diabetes mellitus</w:t>
      </w:r>
      <w:r>
        <w:t xml:space="preserve">, however, results from </w:t>
      </w:r>
      <w:r w:rsidR="00FC5D74">
        <w:t>β cell</w:t>
      </w:r>
      <w:r>
        <w:t xml:space="preserve"> dysfunction on a background of chronic insulin resistance </w:t>
      </w:r>
      <w:r w:rsidR="00EA3F13">
        <w:t>(fig</w:t>
      </w:r>
      <w:r>
        <w:t xml:space="preserve"> 2b). The underlying mechanisms behind these are described below.</w:t>
      </w:r>
    </w:p>
    <w:p w14:paraId="251B56C0" w14:textId="77777777" w:rsidR="00581EDD" w:rsidRDefault="00FC5D74" w:rsidP="005F2D31">
      <w:pPr>
        <w:pStyle w:val="HeadC"/>
      </w:pPr>
      <w:r>
        <w:t>β cell</w:t>
      </w:r>
      <w:r w:rsidR="00581EDD">
        <w:t xml:space="preserve"> dysfunction in </w:t>
      </w:r>
      <w:r w:rsidR="00C8797C">
        <w:t>gestational diabetes mellitus</w:t>
      </w:r>
    </w:p>
    <w:p w14:paraId="24DBCD68" w14:textId="77777777" w:rsidR="00581EDD" w:rsidRDefault="00581EDD" w:rsidP="005F2D31">
      <w:pPr>
        <w:pStyle w:val="Para"/>
      </w:pPr>
      <w:r>
        <w:t>Genome</w:t>
      </w:r>
      <w:r w:rsidR="00F533CA">
        <w:t>-</w:t>
      </w:r>
      <w:r>
        <w:t xml:space="preserve">wide association studies have shown that many susceptibility genes identified for </w:t>
      </w:r>
      <w:r w:rsidR="00C8797C">
        <w:t>gestational diabetes mellitus</w:t>
      </w:r>
      <w:r>
        <w:t xml:space="preserve"> are related to </w:t>
      </w:r>
      <w:r w:rsidR="00FC5D74">
        <w:t>β cell</w:t>
      </w:r>
      <w:r>
        <w:t xml:space="preserve"> function, primarily via effects on insulin secretion and islet cell proliferation.</w:t>
      </w:r>
      <w:r>
        <w:rPr>
          <w:vertAlign w:val="superscript"/>
        </w:rPr>
        <w:t>35,36</w:t>
      </w:r>
      <w:r>
        <w:t xml:space="preserve"> A recent meta-analysis suggest</w:t>
      </w:r>
      <w:r w:rsidR="00D20128">
        <w:t>ed</w:t>
      </w:r>
      <w:r>
        <w:t xml:space="preserve"> that </w:t>
      </w:r>
      <w:r w:rsidR="00C8797C">
        <w:t>gestational diabetes mellitus</w:t>
      </w:r>
      <w:r>
        <w:t xml:space="preserve"> and </w:t>
      </w:r>
      <w:r w:rsidR="00C8797C">
        <w:t>type 2 diabetes</w:t>
      </w:r>
      <w:r>
        <w:t xml:space="preserve"> have a common underlying pathophysiology, with relatively few loci specific to glucose regulation in pregnancy.</w:t>
      </w:r>
      <w:r>
        <w:rPr>
          <w:vertAlign w:val="superscript"/>
        </w:rPr>
        <w:t>37</w:t>
      </w:r>
    </w:p>
    <w:p w14:paraId="1F63D777" w14:textId="77777777" w:rsidR="00581EDD" w:rsidRDefault="00581EDD" w:rsidP="005F2D31">
      <w:pPr>
        <w:pStyle w:val="Para"/>
      </w:pPr>
      <w:r>
        <w:t xml:space="preserve">The insulin resistance of gestation overburdens the </w:t>
      </w:r>
      <w:r w:rsidR="00FC5D74">
        <w:t>β cell</w:t>
      </w:r>
      <w:r>
        <w:t>s to produce more insulin, eventually failing to maintain the secretion to keep the glucose levels from rising. If untreated, systemic hyperglyc</w:t>
      </w:r>
      <w:r w:rsidR="00113130">
        <w:t>e</w:t>
      </w:r>
      <w:r>
        <w:t xml:space="preserve">mia directly contributes to </w:t>
      </w:r>
      <w:r w:rsidR="00FC5D74">
        <w:t>β cell</w:t>
      </w:r>
      <w:r>
        <w:t xml:space="preserve"> failure (termed </w:t>
      </w:r>
      <w:r w:rsidR="00D20128">
        <w:t>g</w:t>
      </w:r>
      <w:r>
        <w:t>lucotoxicity), causing a vicious cycle of hyperglyc</w:t>
      </w:r>
      <w:r w:rsidR="00113130">
        <w:t>e</w:t>
      </w:r>
      <w:r>
        <w:t>mia in the setting of insulin resistance</w:t>
      </w:r>
      <w:r w:rsidR="00D20128">
        <w:t>,</w:t>
      </w:r>
      <w:r>
        <w:t xml:space="preserve"> resulting in further aggravation of </w:t>
      </w:r>
      <w:r w:rsidR="00FC5D74">
        <w:t>β cell</w:t>
      </w:r>
      <w:r>
        <w:t xml:space="preserve"> dysfunction with eventual decompensation.</w:t>
      </w:r>
      <w:r>
        <w:rPr>
          <w:vertAlign w:val="superscript"/>
        </w:rPr>
        <w:t xml:space="preserve">38 </w:t>
      </w:r>
      <w:r>
        <w:t xml:space="preserve">Glucotoxicity is thought to lead to </w:t>
      </w:r>
      <w:r w:rsidR="00FC5D74">
        <w:t>β cell</w:t>
      </w:r>
      <w:r>
        <w:t xml:space="preserve"> apoptosis, with </w:t>
      </w:r>
      <w:r w:rsidR="00D20128">
        <w:t xml:space="preserve">patients with </w:t>
      </w:r>
      <w:r w:rsidR="00C8797C">
        <w:t>type 2 diabetes</w:t>
      </w:r>
      <w:r>
        <w:t xml:space="preserve"> </w:t>
      </w:r>
      <w:r w:rsidR="00D20128">
        <w:t xml:space="preserve">showing </w:t>
      </w:r>
      <w:r>
        <w:t xml:space="preserve">40-60% </w:t>
      </w:r>
      <w:r w:rsidR="00D20128">
        <w:t>reduction</w:t>
      </w:r>
      <w:r w:rsidR="00D20128" w:rsidDel="00FC5D74">
        <w:t xml:space="preserve"> </w:t>
      </w:r>
      <w:r w:rsidR="00D20128">
        <w:t xml:space="preserve">in </w:t>
      </w:r>
      <w:r w:rsidR="00FC5D74">
        <w:t>β cell</w:t>
      </w:r>
      <w:r w:rsidR="00D20128">
        <w:t>s</w:t>
      </w:r>
      <w:r>
        <w:t>.</w:t>
      </w:r>
      <w:r>
        <w:rPr>
          <w:vertAlign w:val="superscript"/>
        </w:rPr>
        <w:t>38</w:t>
      </w:r>
    </w:p>
    <w:p w14:paraId="544DAB0C" w14:textId="77777777" w:rsidR="00581EDD" w:rsidRDefault="00581EDD" w:rsidP="005F2D31">
      <w:pPr>
        <w:pStyle w:val="HeadC"/>
      </w:pPr>
      <w:r>
        <w:t xml:space="preserve">Chronic insulin resistance in </w:t>
      </w:r>
      <w:r w:rsidR="00C8797C">
        <w:t>gestational diabetes mellitus</w:t>
      </w:r>
    </w:p>
    <w:p w14:paraId="42A7DBC1" w14:textId="77777777" w:rsidR="00581EDD" w:rsidRDefault="00581EDD" w:rsidP="005F2D31">
      <w:pPr>
        <w:pStyle w:val="Para"/>
      </w:pPr>
      <w:r>
        <w:lastRenderedPageBreak/>
        <w:t xml:space="preserve">While several additional susceptibility genes </w:t>
      </w:r>
      <w:r w:rsidR="00A77C6E">
        <w:t xml:space="preserve">are known </w:t>
      </w:r>
      <w:r>
        <w:t xml:space="preserve">for </w:t>
      </w:r>
      <w:r w:rsidR="00C8797C">
        <w:t>gestational diabetes mellitus</w:t>
      </w:r>
      <w:r>
        <w:t xml:space="preserve"> associated with insulin resistance,</w:t>
      </w:r>
      <w:r>
        <w:rPr>
          <w:vertAlign w:val="superscript"/>
        </w:rPr>
        <w:t>36</w:t>
      </w:r>
      <w:r>
        <w:t xml:space="preserve"> a key component of the cellular mechanism of insulin resistance is failure of insulin signalling, resulting in suboptimal plasma membrane translocation of </w:t>
      </w:r>
      <w:r w:rsidR="00D20128">
        <w:t xml:space="preserve">glucose transporter </w:t>
      </w:r>
      <w:r>
        <w:t xml:space="preserve">4 (GLUT4). </w:t>
      </w:r>
      <w:r w:rsidR="00EA3F13">
        <w:t>Compared with</w:t>
      </w:r>
      <w:r>
        <w:t xml:space="preserve"> normal pregnancy, the rate of insulin</w:t>
      </w:r>
      <w:r w:rsidR="00400F67">
        <w:t>-</w:t>
      </w:r>
      <w:r>
        <w:t xml:space="preserve">stimulated glucose uptake in </w:t>
      </w:r>
      <w:r w:rsidR="00C8797C">
        <w:t>gestational diabetes mellitus</w:t>
      </w:r>
      <w:r>
        <w:t xml:space="preserve"> is reduced by 54%.</w:t>
      </w:r>
      <w:r>
        <w:rPr>
          <w:vertAlign w:val="superscript"/>
        </w:rPr>
        <w:t>39</w:t>
      </w:r>
      <w:r>
        <w:t xml:space="preserve"> Reduced GLUT4 translocation did not appear to be secondary to insulin receptor abundance</w:t>
      </w:r>
      <w:r w:rsidR="00D20128">
        <w:t>,</w:t>
      </w:r>
      <w:r>
        <w:t xml:space="preserve"> but in </w:t>
      </w:r>
      <w:r w:rsidR="00C8797C">
        <w:t>gestational diabetes mellitus</w:t>
      </w:r>
      <w:r>
        <w:t xml:space="preserve"> </w:t>
      </w:r>
      <w:r w:rsidR="00D20128">
        <w:t xml:space="preserve">was found </w:t>
      </w:r>
      <w:r>
        <w:t xml:space="preserve">to be </w:t>
      </w:r>
      <w:r w:rsidR="00D20128">
        <w:t>a result of</w:t>
      </w:r>
      <w:r>
        <w:t xml:space="preserve"> other molecular mechanisms</w:t>
      </w:r>
      <w:r w:rsidR="00D20128">
        <w:t>. These mechanisms include</w:t>
      </w:r>
      <w:r>
        <w:t xml:space="preserve"> altered expression or phosphorylation of downstream insulin signalling regulators</w:t>
      </w:r>
      <w:r w:rsidR="00D20128">
        <w:t xml:space="preserve"> (</w:t>
      </w:r>
      <w:r>
        <w:t>including phosphatidylinositol 3-kinase (PI3K) and insulin receptor substrate (IRS)-1</w:t>
      </w:r>
      <w:r w:rsidR="00D20128">
        <w:t>), and a</w:t>
      </w:r>
      <w:r>
        <w:t xml:space="preserve"> reduced tyrosine or enhanced serine/threonine phosphorylation of the insulin receptor, dampening insulin downstream signalling.</w:t>
      </w:r>
      <w:r>
        <w:rPr>
          <w:vertAlign w:val="superscript"/>
        </w:rPr>
        <w:t>39,40</w:t>
      </w:r>
      <w:r>
        <w:t xml:space="preserve"> Unlike normal gestation, these molecular changes persist after pregnancy,</w:t>
      </w:r>
      <w:r>
        <w:rPr>
          <w:vertAlign w:val="superscript"/>
        </w:rPr>
        <w:t>41</w:t>
      </w:r>
      <w:r>
        <w:t xml:space="preserve"> perpetuating the future risk for </w:t>
      </w:r>
      <w:r w:rsidR="00C8797C">
        <w:t>type 2 diabetes</w:t>
      </w:r>
      <w:r>
        <w:t>.</w:t>
      </w:r>
    </w:p>
    <w:p w14:paraId="3CA64046" w14:textId="77777777" w:rsidR="00581EDD" w:rsidRDefault="00581EDD" w:rsidP="005F2D31">
      <w:pPr>
        <w:pStyle w:val="HeadB"/>
      </w:pPr>
      <w:r>
        <w:t>Insulin resistance and secretion in PCOS</w:t>
      </w:r>
    </w:p>
    <w:p w14:paraId="50FC8A01" w14:textId="77777777" w:rsidR="00581EDD" w:rsidRDefault="00581EDD" w:rsidP="005F2D31">
      <w:pPr>
        <w:pStyle w:val="Para"/>
      </w:pPr>
      <w:r>
        <w:t xml:space="preserve">While the underpinning factors giving rise to </w:t>
      </w:r>
      <w:r w:rsidR="00C8797C">
        <w:t>gestational diabetes mellitus</w:t>
      </w:r>
      <w:r>
        <w:t xml:space="preserve"> and PCOS</w:t>
      </w:r>
      <w:r w:rsidR="00A77C6E">
        <w:t xml:space="preserve"> are different</w:t>
      </w:r>
      <w:r>
        <w:t xml:space="preserve">, insulin resistance and </w:t>
      </w:r>
      <w:r w:rsidR="00FC5D74">
        <w:t>β cell</w:t>
      </w:r>
      <w:r>
        <w:t xml:space="preserve"> function </w:t>
      </w:r>
      <w:r w:rsidR="00D20128">
        <w:t>overlap</w:t>
      </w:r>
      <w:r>
        <w:t xml:space="preserve"> significan</w:t>
      </w:r>
      <w:r w:rsidR="00D20128">
        <w:t>tly</w:t>
      </w:r>
      <w:r>
        <w:t xml:space="preserve">. This </w:t>
      </w:r>
      <w:r w:rsidR="00364A1E">
        <w:t xml:space="preserve">overlap </w:t>
      </w:r>
      <w:r>
        <w:t xml:space="preserve">is illustrated by the increased risk of </w:t>
      </w:r>
      <w:r w:rsidR="00C8797C">
        <w:t>gestational diabetes mellitus</w:t>
      </w:r>
      <w:r w:rsidR="00D20128">
        <w:t xml:space="preserve"> </w:t>
      </w:r>
      <w:r>
        <w:t>in women with PCOS</w:t>
      </w:r>
      <w:r w:rsidR="00D20128">
        <w:t>,</w:t>
      </w:r>
      <w:r>
        <w:t xml:space="preserve"> and vice versa.</w:t>
      </w:r>
      <w:r>
        <w:rPr>
          <w:vertAlign w:val="superscript"/>
        </w:rPr>
        <w:t>42,43</w:t>
      </w:r>
      <w:r>
        <w:t xml:space="preserve"> Insulin resistance and </w:t>
      </w:r>
      <w:r w:rsidR="00FC5D74">
        <w:t>β cell</w:t>
      </w:r>
      <w:r>
        <w:t xml:space="preserve"> function m</w:t>
      </w:r>
      <w:r w:rsidR="00D20128">
        <w:t>ight</w:t>
      </w:r>
      <w:r>
        <w:t xml:space="preserve"> show differences in their origin in women with PCOS, but their end result is similar.</w:t>
      </w:r>
    </w:p>
    <w:p w14:paraId="03473AA2" w14:textId="77777777" w:rsidR="00581EDD" w:rsidRDefault="00581EDD" w:rsidP="005F2D31">
      <w:pPr>
        <w:pStyle w:val="HeadC"/>
      </w:pPr>
      <w:r>
        <w:t>Chronic insulin resistance in PCOS</w:t>
      </w:r>
    </w:p>
    <w:p w14:paraId="5EA10C67" w14:textId="77777777" w:rsidR="00581EDD" w:rsidRDefault="00581EDD" w:rsidP="005F2D31">
      <w:pPr>
        <w:pStyle w:val="Para"/>
      </w:pPr>
      <w:r>
        <w:t xml:space="preserve">Insulin resistance was initially shown in both lean and obese women with PCOS, though this </w:t>
      </w:r>
      <w:r w:rsidR="00364A1E">
        <w:t xml:space="preserve">finding </w:t>
      </w:r>
      <w:r>
        <w:t>was based on PCOS defined as oligomenorrh</w:t>
      </w:r>
      <w:r w:rsidR="00113130">
        <w:t>e</w:t>
      </w:r>
      <w:r>
        <w:t>a or anovulation.</w:t>
      </w:r>
      <w:r>
        <w:rPr>
          <w:vertAlign w:val="superscript"/>
        </w:rPr>
        <w:t>44,45</w:t>
      </w:r>
      <w:r>
        <w:t xml:space="preserve"> Subsequently, it has been observed that </w:t>
      </w:r>
      <w:r w:rsidR="00D20128">
        <w:t xml:space="preserve">women </w:t>
      </w:r>
      <w:r>
        <w:t xml:space="preserve">who had polycystic ovaries </w:t>
      </w:r>
      <w:r w:rsidR="00D20128">
        <w:t>also had</w:t>
      </w:r>
      <w:r>
        <w:t xml:space="preserve"> insulin resistance.</w:t>
      </w:r>
      <w:r>
        <w:rPr>
          <w:vertAlign w:val="superscript"/>
        </w:rPr>
        <w:t>46</w:t>
      </w:r>
    </w:p>
    <w:p w14:paraId="6365A40F" w14:textId="77777777" w:rsidR="00581EDD" w:rsidRDefault="00581EDD" w:rsidP="005F2D31">
      <w:pPr>
        <w:pStyle w:val="Para"/>
      </w:pPr>
      <w:r>
        <w:t>The major defect in insulin action in PCOS is a post-binding defect, where increased inhibitory serine phosphorylation of the insulin receptor affects insulin</w:t>
      </w:r>
      <w:r w:rsidR="00400F67">
        <w:t>-</w:t>
      </w:r>
      <w:r>
        <w:t>mediated glucose uptake in both skeletal muscles</w:t>
      </w:r>
      <w:r>
        <w:rPr>
          <w:vertAlign w:val="superscript"/>
        </w:rPr>
        <w:t>47</w:t>
      </w:r>
      <w:r>
        <w:t xml:space="preserve"> and adipose tissue.</w:t>
      </w:r>
      <w:r>
        <w:rPr>
          <w:vertAlign w:val="superscript"/>
        </w:rPr>
        <w:t>44</w:t>
      </w:r>
      <w:r>
        <w:t xml:space="preserve"> Furthermore, selective insulin resistance, restricted to the metabolic effects of insulin, has also been noted in ovarian granulosa</w:t>
      </w:r>
      <w:r w:rsidR="007F0573">
        <w:t xml:space="preserve"> </w:t>
      </w:r>
      <w:r>
        <w:t>lutein cells</w:t>
      </w:r>
      <w:r>
        <w:rPr>
          <w:vertAlign w:val="superscript"/>
        </w:rPr>
        <w:t>45</w:t>
      </w:r>
      <w:r>
        <w:t xml:space="preserve"> and skin fibroblasts.</w:t>
      </w:r>
      <w:r>
        <w:rPr>
          <w:vertAlign w:val="superscript"/>
        </w:rPr>
        <w:t>48</w:t>
      </w:r>
    </w:p>
    <w:p w14:paraId="4D53BFB8" w14:textId="77777777" w:rsidR="00581EDD" w:rsidRDefault="00A77C6E" w:rsidP="005F2D31">
      <w:pPr>
        <w:pStyle w:val="Para"/>
      </w:pPr>
      <w:r>
        <w:t>F</w:t>
      </w:r>
      <w:r w:rsidR="00581EDD">
        <w:t>ewer genome</w:t>
      </w:r>
      <w:r w:rsidR="004B301F">
        <w:t>-</w:t>
      </w:r>
      <w:r w:rsidR="00581EDD">
        <w:t>wide association studies to identify susceptibility genes for diabetes in PCOS</w:t>
      </w:r>
      <w:r>
        <w:t xml:space="preserve"> have been done</w:t>
      </w:r>
      <w:r w:rsidR="00581EDD">
        <w:t xml:space="preserve">, though studies have highlighted genes </w:t>
      </w:r>
      <w:r w:rsidR="007F0573">
        <w:t xml:space="preserve">associated with diabetes </w:t>
      </w:r>
      <w:r w:rsidR="00581EDD">
        <w:t>among those associated with susceptibility for PCOS itself.</w:t>
      </w:r>
      <w:r w:rsidR="00581EDD">
        <w:rPr>
          <w:vertAlign w:val="superscript"/>
        </w:rPr>
        <w:t>49</w:t>
      </w:r>
      <w:r w:rsidR="00581EDD">
        <w:t xml:space="preserve"> Whatever the molecular causes, the cellular effect on phosphorylation pathways </w:t>
      </w:r>
      <w:r w:rsidR="00882502">
        <w:t>show</w:t>
      </w:r>
      <w:r w:rsidR="00581EDD">
        <w:t xml:space="preserve">s overlap with </w:t>
      </w:r>
      <w:r w:rsidR="00C8797C">
        <w:t>gestational diabetes mellitus</w:t>
      </w:r>
      <w:r w:rsidR="00581EDD">
        <w:t xml:space="preserve">. While pancreatic </w:t>
      </w:r>
      <w:r w:rsidR="00FC5D74">
        <w:t>β cell</w:t>
      </w:r>
      <w:r w:rsidR="00581EDD">
        <w:t xml:space="preserve">s are able to increase insulin production in </w:t>
      </w:r>
      <w:r w:rsidR="007F0573">
        <w:t xml:space="preserve">response to </w:t>
      </w:r>
      <w:r w:rsidR="00581EDD">
        <w:lastRenderedPageBreak/>
        <w:t>underlying insulin resistance, individuals with PCOS remain euglyc</w:t>
      </w:r>
      <w:r w:rsidR="00113130">
        <w:t>e</w:t>
      </w:r>
      <w:r w:rsidR="00581EDD">
        <w:t xml:space="preserve">mic. However, when the </w:t>
      </w:r>
      <w:r w:rsidR="00FC5D74">
        <w:t>β cell</w:t>
      </w:r>
      <w:r w:rsidR="00581EDD">
        <w:t>s fail to maintain adequate insulin secretion, dysglyc</w:t>
      </w:r>
      <w:r w:rsidR="00113130">
        <w:t>e</w:t>
      </w:r>
      <w:r w:rsidR="00581EDD">
        <w:t>mia develops.</w:t>
      </w:r>
      <w:r w:rsidR="00581EDD">
        <w:rPr>
          <w:vertAlign w:val="superscript"/>
        </w:rPr>
        <w:t>50</w:t>
      </w:r>
    </w:p>
    <w:p w14:paraId="20EEE1BE" w14:textId="77777777" w:rsidR="00581EDD" w:rsidRDefault="00FC5D74" w:rsidP="005F2D31">
      <w:pPr>
        <w:pStyle w:val="HeadC"/>
      </w:pPr>
      <w:r>
        <w:t>β cell</w:t>
      </w:r>
      <w:r w:rsidR="00581EDD">
        <w:t xml:space="preserve"> dysfunction in PCOS</w:t>
      </w:r>
    </w:p>
    <w:p w14:paraId="0756FF15" w14:textId="77777777" w:rsidR="00581EDD" w:rsidRDefault="00581EDD" w:rsidP="005F2D31">
      <w:pPr>
        <w:pStyle w:val="Para"/>
      </w:pPr>
      <w:r>
        <w:t xml:space="preserve">The post-meal insulin secretory response is reduced in women with PCOS, particularly in those with first degree relatives with </w:t>
      </w:r>
      <w:r w:rsidR="00C8797C">
        <w:t>type 2 diabetes</w:t>
      </w:r>
      <w:r>
        <w:t>, indicating that they are at higher risk of deteriorating glucose tolerance.</w:t>
      </w:r>
      <w:r>
        <w:rPr>
          <w:vertAlign w:val="superscript"/>
        </w:rPr>
        <w:t>51,52</w:t>
      </w:r>
      <w:r>
        <w:t xml:space="preserve"> The importance of insulin resistance and </w:t>
      </w:r>
      <w:r w:rsidR="00FC5D74">
        <w:t>β cell</w:t>
      </w:r>
      <w:r>
        <w:t xml:space="preserve"> function is further supported by studies showing that the </w:t>
      </w:r>
      <w:r w:rsidR="00EB482E">
        <w:t xml:space="preserve">disposition index </w:t>
      </w:r>
      <w:r>
        <w:t>, a marker of both insulin resistance and secretion, is reduced in PCOS women (both lean and obese) compared with weight</w:t>
      </w:r>
      <w:r w:rsidR="00EB482E">
        <w:t xml:space="preserve"> </w:t>
      </w:r>
      <w:r>
        <w:t>matched controls.</w:t>
      </w:r>
      <w:r>
        <w:rPr>
          <w:vertAlign w:val="superscript"/>
        </w:rPr>
        <w:t>53</w:t>
      </w:r>
      <w:r>
        <w:t xml:space="preserve"> Importantly, this defect has been </w:t>
      </w:r>
      <w:r w:rsidR="00882502">
        <w:t>shown</w:t>
      </w:r>
      <w:r>
        <w:t xml:space="preserve"> in adolescent girls with PCOS, illustrating that changes are apparent at a very early stage.</w:t>
      </w:r>
      <w:r>
        <w:rPr>
          <w:vertAlign w:val="superscript"/>
        </w:rPr>
        <w:t xml:space="preserve">54 </w:t>
      </w:r>
      <w:r>
        <w:t>Collectively, these findings indicate defective glucose</w:t>
      </w:r>
      <w:r w:rsidR="004B301F">
        <w:t>-</w:t>
      </w:r>
      <w:r>
        <w:t xml:space="preserve">stimulated insulin secretion in PCOS, independent of </w:t>
      </w:r>
      <w:r w:rsidR="00EB482E">
        <w:t>body mass index</w:t>
      </w:r>
      <w:r>
        <w:t>, with potential inherited components.</w:t>
      </w:r>
    </w:p>
    <w:p w14:paraId="2F847FED" w14:textId="77777777" w:rsidR="00581EDD" w:rsidRDefault="00581EDD" w:rsidP="005F2D31">
      <w:pPr>
        <w:pStyle w:val="Para"/>
      </w:pPr>
      <w:r>
        <w:t>The high prevalence of dysglyc</w:t>
      </w:r>
      <w:r w:rsidR="00113130">
        <w:t>e</w:t>
      </w:r>
      <w:r>
        <w:t>mia in women with PCOS argues for the coexistence of defective insulin secretion in addition to the insulin resistance, both of which need to be considered to capture the accurate glycometabolic status.</w:t>
      </w:r>
      <w:r>
        <w:rPr>
          <w:vertAlign w:val="superscript"/>
        </w:rPr>
        <w:t xml:space="preserve">55 </w:t>
      </w:r>
      <w:r>
        <w:t>The current strategy for diabetes screening in PCOS using traditional markers of dysglyc</w:t>
      </w:r>
      <w:r w:rsidR="00113130">
        <w:t>e</w:t>
      </w:r>
      <w:r>
        <w:t>mia appears to be too little, too late.</w:t>
      </w:r>
    </w:p>
    <w:p w14:paraId="092C82E3" w14:textId="77777777" w:rsidR="00581EDD" w:rsidRDefault="00581EDD" w:rsidP="005F2D31">
      <w:pPr>
        <w:pStyle w:val="HeadB"/>
      </w:pPr>
      <w:r>
        <w:t xml:space="preserve">The interaction between insulin resistance and </w:t>
      </w:r>
      <w:r w:rsidR="00FC5D74">
        <w:t>β cell</w:t>
      </w:r>
      <w:r>
        <w:t xml:space="preserve"> function in PCOS and </w:t>
      </w:r>
      <w:r w:rsidR="00C8797C">
        <w:t>gestational diabetes mellitus</w:t>
      </w:r>
    </w:p>
    <w:p w14:paraId="0BA60580" w14:textId="77777777" w:rsidR="00581EDD" w:rsidRDefault="00581EDD" w:rsidP="005F2D31">
      <w:pPr>
        <w:pStyle w:val="Para"/>
      </w:pPr>
      <w:r>
        <w:t>Insulin secretion (</w:t>
      </w:r>
      <w:r w:rsidR="00FC5D74">
        <w:t>β cell</w:t>
      </w:r>
      <w:r>
        <w:t xml:space="preserve"> function) interacts with insulin sensitivity throughout all stages from normality to the development of </w:t>
      </w:r>
      <w:r w:rsidR="00C8797C">
        <w:t>type 2 diabetes</w:t>
      </w:r>
      <w:r>
        <w:t xml:space="preserve">. This interaction is not linear and has been described as </w:t>
      </w:r>
      <w:r w:rsidR="00EB482E">
        <w:t>h</w:t>
      </w:r>
      <w:r>
        <w:t xml:space="preserve">yperbolic </w:t>
      </w:r>
      <w:r w:rsidR="00EA3F13">
        <w:t>(fig</w:t>
      </w:r>
      <w:r>
        <w:t xml:space="preserve"> 3),</w:t>
      </w:r>
      <w:r>
        <w:rPr>
          <w:vertAlign w:val="superscript"/>
        </w:rPr>
        <w:t>56</w:t>
      </w:r>
      <w:r>
        <w:t xml:space="preserve"> resulting in a more rapid deterioration in glucose regulation once a critical threshold is reached. Acknowledging this </w:t>
      </w:r>
      <w:r w:rsidR="00AE1B03">
        <w:t xml:space="preserve">association </w:t>
      </w:r>
      <w:r>
        <w:t>is critical to understanding and hence detecting the progression of glyc</w:t>
      </w:r>
      <w:r w:rsidR="00113130">
        <w:t>e</w:t>
      </w:r>
      <w:r>
        <w:t>mic dysregulation. To date, we have been limited by tests that become measurably abnormal too late in the progression (</w:t>
      </w:r>
      <w:r w:rsidR="00EB482E">
        <w:t>s</w:t>
      </w:r>
      <w:r>
        <w:t xml:space="preserve">tage 2 in </w:t>
      </w:r>
      <w:r w:rsidR="00EB482E">
        <w:t>f</w:t>
      </w:r>
      <w:r>
        <w:t>ig 3). We therefore need new tools that link insulin sensitivity with insulin reserve.</w:t>
      </w:r>
    </w:p>
    <w:p w14:paraId="24576590" w14:textId="77777777" w:rsidR="00581EDD" w:rsidRDefault="00581EDD" w:rsidP="005F2D31">
      <w:pPr>
        <w:pStyle w:val="HeadB"/>
      </w:pPr>
      <w:r>
        <w:t xml:space="preserve">Disposition </w:t>
      </w:r>
      <w:r w:rsidR="00EB482E">
        <w:t>i</w:t>
      </w:r>
      <w:r>
        <w:t>ndex and alternative measures of insulin reserve and sensitivity</w:t>
      </w:r>
    </w:p>
    <w:p w14:paraId="47E00261" w14:textId="77777777" w:rsidR="00581EDD" w:rsidRDefault="00581EDD" w:rsidP="005F2D31">
      <w:pPr>
        <w:pStyle w:val="Para"/>
      </w:pPr>
      <w:r>
        <w:t xml:space="preserve">Use of the </w:t>
      </w:r>
      <w:r w:rsidR="00EB482E">
        <w:t xml:space="preserve">minimal model </w:t>
      </w:r>
      <w:r>
        <w:t xml:space="preserve">intravenous glucose tolerance test (IVGTT) allows the simultaneous calculation of the acute insulin response together with the insulin </w:t>
      </w:r>
      <w:r w:rsidR="00EB482E">
        <w:t>sensitivity index</w:t>
      </w:r>
      <w:r>
        <w:t xml:space="preserve">; the first as a surrogate of early insulin secretion and the second as a reflection of systemic insulin sensitivity. The </w:t>
      </w:r>
      <w:r w:rsidR="00EB482E">
        <w:t>disposition index</w:t>
      </w:r>
      <w:r>
        <w:t xml:space="preserve"> is the product of </w:t>
      </w:r>
      <w:r w:rsidR="00326215">
        <w:t>the acute insulin response</w:t>
      </w:r>
      <w:r w:rsidRPr="004B301F">
        <w:rPr>
          <w:highlight w:val="yellow"/>
        </w:rPr>
        <w:t xml:space="preserve"> </w:t>
      </w:r>
      <w:r w:rsidRPr="00326215">
        <w:t xml:space="preserve">and </w:t>
      </w:r>
      <w:r w:rsidR="00326215" w:rsidRPr="00326215">
        <w:t>the insulin sensitivity index</w:t>
      </w:r>
      <w:r w:rsidRPr="00326215">
        <w:t>.</w:t>
      </w:r>
    </w:p>
    <w:p w14:paraId="77C81E7F" w14:textId="5D22DA2F" w:rsidR="00581EDD" w:rsidRDefault="00581EDD" w:rsidP="005F2D31">
      <w:pPr>
        <w:pStyle w:val="Para"/>
      </w:pPr>
      <w:r>
        <w:lastRenderedPageBreak/>
        <w:t xml:space="preserve">The </w:t>
      </w:r>
      <w:r w:rsidR="00EB482E">
        <w:t>disposition index</w:t>
      </w:r>
      <w:r>
        <w:t xml:space="preserve"> was noted to be constant for individuals with the same degree of glucose tolerance.</w:t>
      </w:r>
      <w:r>
        <w:rPr>
          <w:vertAlign w:val="superscript"/>
        </w:rPr>
        <w:t>57,58</w:t>
      </w:r>
      <w:r w:rsidR="00EB482E">
        <w:rPr>
          <w:vertAlign w:val="superscript"/>
        </w:rPr>
        <w:t xml:space="preserve"> </w:t>
      </w:r>
      <w:r>
        <w:t xml:space="preserve">It enables accurate evaluation of the </w:t>
      </w:r>
      <w:r w:rsidR="00FC5D74">
        <w:t>β cell</w:t>
      </w:r>
      <w:r>
        <w:t xml:space="preserve"> function</w:t>
      </w:r>
      <w:r w:rsidR="004B301F">
        <w:t>, taking into account the</w:t>
      </w:r>
      <w:r>
        <w:t xml:space="preserve"> insulin sensitivity</w:t>
      </w:r>
      <w:r w:rsidR="004B301F">
        <w:t xml:space="preserve">, </w:t>
      </w:r>
      <w:r>
        <w:t xml:space="preserve">rather than if insulin secretion was used in isolation. In </w:t>
      </w:r>
      <w:r w:rsidR="00EB482E">
        <w:t xml:space="preserve">response to </w:t>
      </w:r>
      <w:r>
        <w:t xml:space="preserve">insulin resistance, so long </w:t>
      </w:r>
      <w:r w:rsidR="00EB482E">
        <w:t xml:space="preserve">as </w:t>
      </w:r>
      <w:r>
        <w:t>the compensation is adequate (ie</w:t>
      </w:r>
      <w:r w:rsidR="00EB482E">
        <w:t>,</w:t>
      </w:r>
      <w:r>
        <w:t xml:space="preserve"> normal </w:t>
      </w:r>
      <w:r w:rsidR="00EB482E">
        <w:t>disposition index</w:t>
      </w:r>
      <w:r>
        <w:t>), glucose tolerance remains normal.</w:t>
      </w:r>
      <w:r>
        <w:rPr>
          <w:vertAlign w:val="superscript"/>
        </w:rPr>
        <w:t>59</w:t>
      </w:r>
      <w:r>
        <w:t xml:space="preserve"> However, once the </w:t>
      </w:r>
      <w:r w:rsidR="00EB482E">
        <w:t>disposition index</w:t>
      </w:r>
      <w:r>
        <w:t xml:space="preserve"> drops, glucose intolerance develops, followed by frank diabetes. This</w:t>
      </w:r>
      <w:r w:rsidR="00364A1E">
        <w:t xml:space="preserve"> intolerance</w:t>
      </w:r>
      <w:r>
        <w:t xml:space="preserve"> has been </w:t>
      </w:r>
      <w:r w:rsidR="00882502">
        <w:t>shown</w:t>
      </w:r>
      <w:r>
        <w:t xml:space="preserve"> in obesity</w:t>
      </w:r>
      <w:r>
        <w:rPr>
          <w:vertAlign w:val="superscript"/>
        </w:rPr>
        <w:t>60</w:t>
      </w:r>
      <w:r>
        <w:t xml:space="preserve"> and in people treated with glucocorticoids.</w:t>
      </w:r>
      <w:r>
        <w:rPr>
          <w:vertAlign w:val="superscript"/>
        </w:rPr>
        <w:t>61</w:t>
      </w:r>
    </w:p>
    <w:p w14:paraId="5346F77B" w14:textId="77777777" w:rsidR="00581EDD" w:rsidRDefault="00581EDD" w:rsidP="005F2D31">
      <w:pPr>
        <w:pStyle w:val="Para"/>
      </w:pPr>
      <w:r>
        <w:t xml:space="preserve">Further work attempted to use the </w:t>
      </w:r>
      <w:r w:rsidR="00EB482E">
        <w:t>disposition index</w:t>
      </w:r>
      <w:r>
        <w:t xml:space="preserve"> concept with oral glucose tolerance test instead of the more complex IVGTT, enabling its more widespread use as a tool for investigating the balance between insulin sensitivity and </w:t>
      </w:r>
      <w:r w:rsidR="00FC5D74">
        <w:t>β cell</w:t>
      </w:r>
      <w:r>
        <w:t xml:space="preserve"> function. This work led to the creation of the </w:t>
      </w:r>
      <w:r w:rsidR="00EB482E">
        <w:t xml:space="preserve">insulin secretion sensitivity index </w:t>
      </w:r>
      <w:r>
        <w:t xml:space="preserve">2 (ISSI2), which was developed with the oral glucose tolerance test (OGTT), replicating the principles of, and significantly correlating with, the </w:t>
      </w:r>
      <w:r w:rsidR="00EB482E">
        <w:t>disposition index</w:t>
      </w:r>
      <w:r>
        <w:t>.</w:t>
      </w:r>
      <w:r>
        <w:rPr>
          <w:vertAlign w:val="superscript"/>
        </w:rPr>
        <w:t xml:space="preserve">58 </w:t>
      </w:r>
      <w:r>
        <w:t>If dysglyc</w:t>
      </w:r>
      <w:r w:rsidR="00113130">
        <w:t>e</w:t>
      </w:r>
      <w:r>
        <w:t xml:space="preserve">mia is to be identified at an early stage, assessment of both insulin secretion and sensitivity should therefore be key components of the </w:t>
      </w:r>
      <w:r w:rsidR="00C8797C">
        <w:t>type 2 diabetes</w:t>
      </w:r>
      <w:r w:rsidR="00EB482E">
        <w:t xml:space="preserve"> </w:t>
      </w:r>
      <w:r>
        <w:t xml:space="preserve">screening strategy in both </w:t>
      </w:r>
      <w:r w:rsidR="00C8797C">
        <w:t>gestational diabetes mellitus</w:t>
      </w:r>
      <w:r>
        <w:t xml:space="preserve"> and PCOS.</w:t>
      </w:r>
    </w:p>
    <w:p w14:paraId="64910193" w14:textId="77777777" w:rsidR="00581EDD" w:rsidRDefault="00581EDD" w:rsidP="005F2D31">
      <w:pPr>
        <w:pStyle w:val="HeadA"/>
      </w:pPr>
      <w:r>
        <w:t xml:space="preserve">Guidelines for screening for </w:t>
      </w:r>
      <w:r w:rsidR="00C8797C">
        <w:t>type 2 diabetes</w:t>
      </w:r>
      <w:r>
        <w:t xml:space="preserve"> in </w:t>
      </w:r>
      <w:r w:rsidR="00C8797C">
        <w:t>gestational diabetes mellitus</w:t>
      </w:r>
      <w:r>
        <w:t xml:space="preserve"> and PCOS</w:t>
      </w:r>
    </w:p>
    <w:p w14:paraId="29F640B7" w14:textId="77777777" w:rsidR="00581EDD" w:rsidRDefault="00581EDD" w:rsidP="005F2D31">
      <w:pPr>
        <w:pStyle w:val="Para"/>
      </w:pPr>
      <w:r>
        <w:t xml:space="preserve">Given the incidence of </w:t>
      </w:r>
      <w:r w:rsidR="00C8797C">
        <w:t>type 2 diabetes</w:t>
      </w:r>
      <w:r>
        <w:t xml:space="preserve"> in these generally young women, early detection of dysglyc</w:t>
      </w:r>
      <w:r w:rsidR="00113130">
        <w:t>e</w:t>
      </w:r>
      <w:r>
        <w:t>mia provides the opportunity for effective intervention that can significantly improve the quality of life and clinical outcomes over a prolonged period. Hence, national and international guidelines are right to suggest long</w:t>
      </w:r>
      <w:r w:rsidR="00E61E38">
        <w:t xml:space="preserve"> </w:t>
      </w:r>
      <w:r>
        <w:t xml:space="preserve">term screening for </w:t>
      </w:r>
      <w:r w:rsidR="00C8797C">
        <w:t>type 2 diabetes</w:t>
      </w:r>
      <w:r>
        <w:t xml:space="preserve"> in both </w:t>
      </w:r>
      <w:r w:rsidR="00C8797C">
        <w:t>gestational diabetes mellitus</w:t>
      </w:r>
      <w:r>
        <w:rPr>
          <w:vertAlign w:val="superscript"/>
        </w:rPr>
        <w:t>62-73</w:t>
      </w:r>
      <w:r>
        <w:t xml:space="preserve"> and PCOS.</w:t>
      </w:r>
      <w:r>
        <w:rPr>
          <w:vertAlign w:val="superscript"/>
        </w:rPr>
        <w:t xml:space="preserve">74-80 </w:t>
      </w:r>
      <w:r>
        <w:t xml:space="preserve">Table 1 highlights the </w:t>
      </w:r>
      <w:r w:rsidR="00C8797C">
        <w:t>type 2 diabetes</w:t>
      </w:r>
      <w:r>
        <w:t xml:space="preserve"> monitoring recommendations from some of the key international guidelines for both </w:t>
      </w:r>
      <w:r w:rsidR="00C8797C">
        <w:t>gestational diabetes mellitus</w:t>
      </w:r>
      <w:r>
        <w:t xml:space="preserve"> and PCOS.</w:t>
      </w:r>
    </w:p>
    <w:p w14:paraId="671D7DED" w14:textId="77777777" w:rsidR="00581EDD" w:rsidRDefault="00581EDD" w:rsidP="005F2D31">
      <w:pPr>
        <w:pStyle w:val="Para"/>
      </w:pPr>
      <w:r>
        <w:t xml:space="preserve">For </w:t>
      </w:r>
      <w:r w:rsidR="00C8797C">
        <w:t>gestational diabetes mellitus</w:t>
      </w:r>
      <w:r>
        <w:t xml:space="preserve">, a systematic review of these guidelines recommended an OGTT </w:t>
      </w:r>
      <w:r w:rsidR="00E61E38">
        <w:t>six</w:t>
      </w:r>
      <w:r>
        <w:t xml:space="preserve"> weeks</w:t>
      </w:r>
      <w:r w:rsidR="00E61E38">
        <w:t xml:space="preserve"> to three</w:t>
      </w:r>
      <w:r>
        <w:t xml:space="preserve"> months post</w:t>
      </w:r>
      <w:r w:rsidR="004B301F">
        <w:t>-</w:t>
      </w:r>
      <w:r>
        <w:t>partum</w:t>
      </w:r>
      <w:r w:rsidR="00E61E38">
        <w:t>,</w:t>
      </w:r>
      <w:r>
        <w:rPr>
          <w:vertAlign w:val="superscript"/>
        </w:rPr>
        <w:t>81</w:t>
      </w:r>
      <w:r>
        <w:t xml:space="preserve"> though there appears to be a move in the UK and Europe to replace </w:t>
      </w:r>
      <w:r w:rsidR="00364A1E">
        <w:t>it</w:t>
      </w:r>
      <w:r>
        <w:t xml:space="preserve"> with fasting plasma glucose or glycated h</w:t>
      </w:r>
      <w:r w:rsidR="00113130">
        <w:t>e</w:t>
      </w:r>
      <w:r>
        <w:t>moglobin (HbA1c), using the OGTT only where clinically indicated (</w:t>
      </w:r>
      <w:r w:rsidR="00E61E38">
        <w:t>t</w:t>
      </w:r>
      <w:r>
        <w:t xml:space="preserve">able 1). </w:t>
      </w:r>
      <w:r w:rsidR="00113130">
        <w:t>N</w:t>
      </w:r>
      <w:r>
        <w:t>o clear consensus</w:t>
      </w:r>
      <w:r w:rsidR="00113130">
        <w:t xml:space="preserve"> prevails</w:t>
      </w:r>
      <w:r>
        <w:t xml:space="preserve"> for longer</w:t>
      </w:r>
      <w:r w:rsidR="00E61E38">
        <w:t xml:space="preserve"> </w:t>
      </w:r>
      <w:r>
        <w:t>term surveillance.</w:t>
      </w:r>
    </w:p>
    <w:p w14:paraId="7174D7F1" w14:textId="77777777" w:rsidR="00581EDD" w:rsidRDefault="00581EDD" w:rsidP="005F2D31">
      <w:pPr>
        <w:pStyle w:val="Para"/>
      </w:pPr>
      <w:r>
        <w:t>While fewer guidelines</w:t>
      </w:r>
      <w:r w:rsidR="00A77C6E">
        <w:t xml:space="preserve"> exist</w:t>
      </w:r>
      <w:r>
        <w:t xml:space="preserve"> on screening for </w:t>
      </w:r>
      <w:r w:rsidR="00C8797C">
        <w:t>type 2 diabetes</w:t>
      </w:r>
      <w:r>
        <w:t xml:space="preserve"> in women with PCOS,</w:t>
      </w:r>
      <w:r>
        <w:rPr>
          <w:vertAlign w:val="superscript"/>
        </w:rPr>
        <w:t>74-80</w:t>
      </w:r>
      <w:r>
        <w:t xml:space="preserve"> </w:t>
      </w:r>
      <w:r w:rsidR="00113130">
        <w:t xml:space="preserve">the </w:t>
      </w:r>
      <w:r>
        <w:t>consensus regarding screening for pre-existing diabetes at diagnosis</w:t>
      </w:r>
      <w:r w:rsidR="00113130">
        <w:t xml:space="preserve"> is to</w:t>
      </w:r>
      <w:r>
        <w:t xml:space="preserve"> us</w:t>
      </w:r>
      <w:r w:rsidR="00113130">
        <w:t>e</w:t>
      </w:r>
      <w:r>
        <w:t xml:space="preserve"> an OGTT</w:t>
      </w:r>
      <w:r w:rsidR="00E61E38">
        <w:t>,</w:t>
      </w:r>
      <w:r>
        <w:t xml:space="preserve"> with HbA1c being used if </w:t>
      </w:r>
      <w:r w:rsidR="00E61E38">
        <w:t>OGTT</w:t>
      </w:r>
      <w:r>
        <w:t xml:space="preserve"> is either </w:t>
      </w:r>
      <w:r w:rsidR="00E61E38">
        <w:t>un</w:t>
      </w:r>
      <w:r>
        <w:t xml:space="preserve">feasible or </w:t>
      </w:r>
      <w:r w:rsidR="00E61E38">
        <w:t>un</w:t>
      </w:r>
      <w:r>
        <w:t xml:space="preserve">desirable. As with </w:t>
      </w:r>
      <w:r w:rsidR="00C8797C">
        <w:t>gestational diabetes mellitus</w:t>
      </w:r>
      <w:r>
        <w:t>, consensus on longer</w:t>
      </w:r>
      <w:r w:rsidR="00E61E38">
        <w:t xml:space="preserve"> </w:t>
      </w:r>
      <w:r>
        <w:t>term surveillance is less clear.</w:t>
      </w:r>
      <w:r>
        <w:rPr>
          <w:vertAlign w:val="superscript"/>
        </w:rPr>
        <w:t>82</w:t>
      </w:r>
      <w:r>
        <w:t xml:space="preserve"> However, the </w:t>
      </w:r>
      <w:r w:rsidRPr="00AE1B03">
        <w:lastRenderedPageBreak/>
        <w:t>International PCOS Network</w:t>
      </w:r>
      <w:r>
        <w:t>, which brings together experts from a number of professional bodies, recommend</w:t>
      </w:r>
      <w:r w:rsidR="00E61E38">
        <w:t>s</w:t>
      </w:r>
      <w:r>
        <w:t xml:space="preserve"> that an OGTT is performed in high</w:t>
      </w:r>
      <w:r w:rsidR="00E61E38">
        <w:t xml:space="preserve"> </w:t>
      </w:r>
      <w:r>
        <w:t xml:space="preserve">risk women with PCOS (including those with a </w:t>
      </w:r>
      <w:r w:rsidR="00EB482E">
        <w:t>body mass index</w:t>
      </w:r>
      <w:r>
        <w:t xml:space="preserve"> &gt;25 </w:t>
      </w:r>
      <w:r w:rsidR="00E61E38">
        <w:t>(</w:t>
      </w:r>
      <w:r>
        <w:t>or</w:t>
      </w:r>
      <w:r w:rsidR="005E1838">
        <w:t xml:space="preserve"> &gt;23 </w:t>
      </w:r>
      <w:r>
        <w:t>in Asians</w:t>
      </w:r>
      <w:r w:rsidR="00E61E38">
        <w:t>)</w:t>
      </w:r>
      <w:r>
        <w:t xml:space="preserve">, history of impaired fasting </w:t>
      </w:r>
      <w:r w:rsidR="004B301F">
        <w:t xml:space="preserve">plasma </w:t>
      </w:r>
      <w:r>
        <w:t xml:space="preserve">glucose, impaired glucose tolerance or gestational diabetes, family history of </w:t>
      </w:r>
      <w:r w:rsidR="00C8797C">
        <w:t>type 2 diabetes</w:t>
      </w:r>
      <w:r>
        <w:t>, hypertension</w:t>
      </w:r>
      <w:r w:rsidR="00E61E38">
        <w:t>,</w:t>
      </w:r>
      <w:r>
        <w:t xml:space="preserve"> or in ethnic groups with a high risk), at a frequency of every 1-3 years depending on the presence of other </w:t>
      </w:r>
      <w:r w:rsidR="00C8797C">
        <w:t>type 2 diabetes</w:t>
      </w:r>
      <w:r>
        <w:t xml:space="preserve"> risk factors.</w:t>
      </w:r>
      <w:r>
        <w:rPr>
          <w:vertAlign w:val="superscript"/>
        </w:rPr>
        <w:t>79,80</w:t>
      </w:r>
      <w:r>
        <w:t xml:space="preserve"> Some UK guidance suggests that all women with impaired glucose tolerance or impaired </w:t>
      </w:r>
      <w:r w:rsidRPr="00860211">
        <w:t>fasting glucose</w:t>
      </w:r>
      <w:r>
        <w:t xml:space="preserve"> at baseline should be screened for </w:t>
      </w:r>
      <w:r w:rsidR="00C8797C">
        <w:t>type 2 diabetes</w:t>
      </w:r>
      <w:r>
        <w:t xml:space="preserve"> annually using the OGTT</w:t>
      </w:r>
      <w:r w:rsidR="00E61E38">
        <w:t>.</w:t>
      </w:r>
      <w:r>
        <w:rPr>
          <w:vertAlign w:val="superscript"/>
        </w:rPr>
        <w:t>77,78</w:t>
      </w:r>
    </w:p>
    <w:p w14:paraId="2A8D3981" w14:textId="77777777" w:rsidR="00581EDD" w:rsidRDefault="00581EDD" w:rsidP="005F2D31">
      <w:pPr>
        <w:pStyle w:val="HeadA"/>
      </w:pPr>
      <w:r>
        <w:t xml:space="preserve">Current approaches to screening for </w:t>
      </w:r>
      <w:r w:rsidR="00C8797C">
        <w:t>type 2 diabetes</w:t>
      </w:r>
      <w:r>
        <w:t xml:space="preserve"> in women with </w:t>
      </w:r>
      <w:r w:rsidR="00C8797C">
        <w:t>gestational diabetes mellitus</w:t>
      </w:r>
      <w:r>
        <w:t xml:space="preserve"> and PCOS</w:t>
      </w:r>
    </w:p>
    <w:p w14:paraId="06E3D492" w14:textId="77777777" w:rsidR="00581EDD" w:rsidRDefault="00581EDD" w:rsidP="005F2D31">
      <w:pPr>
        <w:pStyle w:val="Para"/>
      </w:pPr>
      <w:r>
        <w:t>Traditionally, screening approaches for dysglyc</w:t>
      </w:r>
      <w:r w:rsidR="00113130">
        <w:t>e</w:t>
      </w:r>
      <w:r>
        <w:t xml:space="preserve">mia generally focus on one or more biochemical markers, though </w:t>
      </w:r>
      <w:r w:rsidR="00A77C6E">
        <w:t>the</w:t>
      </w:r>
      <w:r>
        <w:t xml:space="preserve"> common signs and symptoms associated with </w:t>
      </w:r>
      <w:r w:rsidR="00C8797C">
        <w:t>type 2 diabetes</w:t>
      </w:r>
      <w:r w:rsidR="00A77C6E">
        <w:t xml:space="preserve"> should not be ignored</w:t>
      </w:r>
      <w:r>
        <w:t>, particularly in high</w:t>
      </w:r>
      <w:r w:rsidR="00E61E38">
        <w:t xml:space="preserve"> </w:t>
      </w:r>
      <w:r>
        <w:t>risk subgroups.</w:t>
      </w:r>
      <w:r>
        <w:rPr>
          <w:vertAlign w:val="superscript"/>
        </w:rPr>
        <w:t>83</w:t>
      </w:r>
    </w:p>
    <w:p w14:paraId="6D5E9C2F" w14:textId="77777777" w:rsidR="00E61E38" w:rsidRDefault="00581EDD" w:rsidP="005F2D31">
      <w:pPr>
        <w:pStyle w:val="Para"/>
      </w:pPr>
      <w:r>
        <w:t>The OGTT is the accepted gold standard for diabetes diagnosis. While th</w:t>
      </w:r>
      <w:r w:rsidR="00A77C6E">
        <w:t xml:space="preserve">e OGTT </w:t>
      </w:r>
      <w:r>
        <w:t xml:space="preserve">is still widely recommended for postpartum screening for pre-existing </w:t>
      </w:r>
      <w:r w:rsidR="00C8797C">
        <w:t>type 2 diabetes</w:t>
      </w:r>
      <w:r>
        <w:t xml:space="preserve"> in women with </w:t>
      </w:r>
      <w:r w:rsidR="00C8797C">
        <w:t>gestational diabetes mellitus</w:t>
      </w:r>
      <w:r w:rsidR="00E61E38">
        <w:t>,</w:t>
      </w:r>
      <w:r>
        <w:rPr>
          <w:vertAlign w:val="superscript"/>
        </w:rPr>
        <w:t>62</w:t>
      </w:r>
      <w:r>
        <w:t xml:space="preserve"> </w:t>
      </w:r>
      <w:r w:rsidR="00A77C6E">
        <w:t>HbA1c or fasting plasma glucose</w:t>
      </w:r>
      <w:r w:rsidR="00A77C6E" w:rsidDel="00A77C6E">
        <w:t xml:space="preserve"> </w:t>
      </w:r>
      <w:r w:rsidR="00A77C6E">
        <w:t xml:space="preserve">are </w:t>
      </w:r>
      <w:r>
        <w:t>increasingly supersed</w:t>
      </w:r>
      <w:r w:rsidR="00A77C6E">
        <w:t>ing it</w:t>
      </w:r>
      <w:r>
        <w:t xml:space="preserve"> as the test of choice, at least for </w:t>
      </w:r>
      <w:r w:rsidR="00C8797C">
        <w:t>gestational diabetes mellitus</w:t>
      </w:r>
      <w:r>
        <w:t xml:space="preserve"> in the UK.</w:t>
      </w:r>
      <w:r w:rsidR="00E61E38">
        <w:t xml:space="preserve"> </w:t>
      </w:r>
    </w:p>
    <w:p w14:paraId="619AAB49" w14:textId="77777777" w:rsidR="00581EDD" w:rsidRDefault="00581EDD" w:rsidP="005F2D31">
      <w:pPr>
        <w:pStyle w:val="Para"/>
      </w:pPr>
      <w:r>
        <w:t xml:space="preserve">Like </w:t>
      </w:r>
      <w:r w:rsidR="00326215">
        <w:t>fasting plasma glucose</w:t>
      </w:r>
      <w:r>
        <w:t>, HbA1c levels represent a continuum</w:t>
      </w:r>
      <w:r w:rsidR="00E61E38">
        <w:t>,</w:t>
      </w:r>
      <w:r>
        <w:t xml:space="preserve"> and the commonly accepted thresholds in the UK and Europe of 42 nmol/mol for pre-diabetes and 48 nmol/mol for diabetes (39 and 47 mmol/mol in the US) should be treated with some caution.</w:t>
      </w:r>
      <w:r>
        <w:rPr>
          <w:vertAlign w:val="superscript"/>
        </w:rPr>
        <w:t>62,64,74,77</w:t>
      </w:r>
      <w:r>
        <w:t xml:space="preserve"> </w:t>
      </w:r>
      <w:r w:rsidR="00364A1E">
        <w:t>P</w:t>
      </w:r>
      <w:r>
        <w:t xml:space="preserve">articularly </w:t>
      </w:r>
      <w:r w:rsidR="00364A1E">
        <w:t xml:space="preserve">so </w:t>
      </w:r>
      <w:r>
        <w:t>give</w:t>
      </w:r>
      <w:r w:rsidR="00364A1E">
        <w:t>n</w:t>
      </w:r>
      <w:r>
        <w:t xml:space="preserve"> that all biochemical tests </w:t>
      </w:r>
      <w:r w:rsidR="00882502">
        <w:t>show</w:t>
      </w:r>
      <w:r>
        <w:t xml:space="preserve"> both biological and analytical variation, meaning that a significant number of cases would be classified differently on repeat testing. According to an analysis of the impact of analytical and biological variation, 29.7% of pre-diabetes cases identified using HbA1c (42-47 mmol/mol) would be reclassified into other groups (6.3% as diabetes and 23.4% as normal) on repeat testing.</w:t>
      </w:r>
      <w:r>
        <w:rPr>
          <w:vertAlign w:val="superscript"/>
        </w:rPr>
        <w:t>84</w:t>
      </w:r>
      <w:r>
        <w:t xml:space="preserve"> Similarly, for </w:t>
      </w:r>
      <w:r w:rsidR="00326215">
        <w:t>fasting plasma glucose</w:t>
      </w:r>
      <w:r>
        <w:t>, 37.0% of cases classified as ‘impaired’ (6.1-6.9 mmol/L) would be reclassified into other groups (9.8% as diabetes and 27.2% as normal) on repeat testing.</w:t>
      </w:r>
    </w:p>
    <w:p w14:paraId="05AA053C" w14:textId="77777777" w:rsidR="00581EDD" w:rsidRDefault="00581EDD" w:rsidP="005F2D31">
      <w:pPr>
        <w:pStyle w:val="Para"/>
      </w:pPr>
      <w:r>
        <w:t xml:space="preserve">The choice of whether to use HbA1c or </w:t>
      </w:r>
      <w:r w:rsidR="00326215">
        <w:t xml:space="preserve">fasting plasma glucose </w:t>
      </w:r>
      <w:r>
        <w:t>is largely based on convenience</w:t>
      </w:r>
      <w:r w:rsidR="00E61E38">
        <w:t>,</w:t>
      </w:r>
      <w:r>
        <w:t xml:space="preserve"> as the performance of the two is relatively comparable,</w:t>
      </w:r>
      <w:r>
        <w:rPr>
          <w:vertAlign w:val="superscript"/>
        </w:rPr>
        <w:t>84</w:t>
      </w:r>
      <w:r>
        <w:t xml:space="preserve"> though each have their limitations. For example, HbA1c is affected by factors affecting red </w:t>
      </w:r>
      <w:r w:rsidR="00E61E38">
        <w:t xml:space="preserve">blood </w:t>
      </w:r>
      <w:r>
        <w:t>cell turnover</w:t>
      </w:r>
      <w:r>
        <w:rPr>
          <w:vertAlign w:val="superscript"/>
        </w:rPr>
        <w:t>85</w:t>
      </w:r>
      <w:r>
        <w:t xml:space="preserve"> and differs from </w:t>
      </w:r>
      <w:r w:rsidR="00326215">
        <w:t>fasting plasma glucose</w:t>
      </w:r>
      <w:r>
        <w:t xml:space="preserve"> in the effect of population demographics (eg</w:t>
      </w:r>
      <w:r w:rsidR="00E61E38">
        <w:t>,</w:t>
      </w:r>
      <w:r>
        <w:t xml:space="preserve"> age and ethnicity distribution).</w:t>
      </w:r>
      <w:r>
        <w:rPr>
          <w:vertAlign w:val="superscript"/>
        </w:rPr>
        <w:t>84</w:t>
      </w:r>
      <w:r>
        <w:t xml:space="preserve"> </w:t>
      </w:r>
      <w:r w:rsidR="00326215">
        <w:t>fasting plasma glucose</w:t>
      </w:r>
      <w:r>
        <w:t xml:space="preserve"> has a marginally poorer performance overall </w:t>
      </w:r>
      <w:r w:rsidR="00E61E38">
        <w:t xml:space="preserve">owing </w:t>
      </w:r>
      <w:r>
        <w:t xml:space="preserve">to higher biological variation, but can perform better (based on the assay variation and </w:t>
      </w:r>
      <w:r>
        <w:lastRenderedPageBreak/>
        <w:t>width of the diagnostic interval) around the diagnostic cut-offs because of the distribution of values at these levels.</w:t>
      </w:r>
      <w:r>
        <w:rPr>
          <w:vertAlign w:val="superscript"/>
        </w:rPr>
        <w:t>84</w:t>
      </w:r>
    </w:p>
    <w:p w14:paraId="66978FFC" w14:textId="77777777" w:rsidR="00581EDD" w:rsidRDefault="00581EDD" w:rsidP="005F2D31">
      <w:pPr>
        <w:pStyle w:val="Para"/>
      </w:pPr>
      <w:r>
        <w:t>These data emphas</w:t>
      </w:r>
      <w:r w:rsidR="005B29B0">
        <w:t>ize</w:t>
      </w:r>
      <w:r>
        <w:t xml:space="preserve"> the importance of repeat testing, as recommended in most guidance</w:t>
      </w:r>
      <w:r>
        <w:rPr>
          <w:vertAlign w:val="superscript"/>
        </w:rPr>
        <w:t>62-73</w:t>
      </w:r>
      <w:r>
        <w:t xml:space="preserve"> and other studies.</w:t>
      </w:r>
      <w:r>
        <w:rPr>
          <w:vertAlign w:val="superscript"/>
        </w:rPr>
        <w:t>84</w:t>
      </w:r>
      <w:r>
        <w:t xml:space="preserve"> Hence, </w:t>
      </w:r>
      <w:r w:rsidR="00E61E38">
        <w:t>diagnos</w:t>
      </w:r>
      <w:r>
        <w:t xml:space="preserve">ing young women </w:t>
      </w:r>
      <w:r w:rsidR="00E61E38">
        <w:t>with</w:t>
      </w:r>
      <w:r>
        <w:t xml:space="preserve"> </w:t>
      </w:r>
      <w:r w:rsidR="00C8797C">
        <w:t>type 2 diabetes</w:t>
      </w:r>
      <w:r>
        <w:t xml:space="preserve">, </w:t>
      </w:r>
      <w:r w:rsidR="00E61E38">
        <w:t>which carries</w:t>
      </w:r>
      <w:r>
        <w:t xml:space="preserve"> implications for </w:t>
      </w:r>
      <w:r w:rsidR="00E61E38">
        <w:t xml:space="preserve">their </w:t>
      </w:r>
      <w:r>
        <w:t>insurance and wellbeing, warrants careful consideration of serial results if biochemical markers alone are used.</w:t>
      </w:r>
    </w:p>
    <w:p w14:paraId="5F7B916F" w14:textId="77777777" w:rsidR="00581EDD" w:rsidRDefault="00581EDD" w:rsidP="005F2D31">
      <w:pPr>
        <w:pStyle w:val="Para"/>
      </w:pPr>
      <w:r>
        <w:t>In addition to assay performance, the relative costs and clinical deliverability of laboratory tests</w:t>
      </w:r>
      <w:r w:rsidR="00A77C6E">
        <w:t xml:space="preserve"> should be considered</w:t>
      </w:r>
      <w:r>
        <w:t xml:space="preserve">. Typically, in terms of laboratory costs, a HbA1c test will cost </w:t>
      </w:r>
      <w:r w:rsidR="0058084F">
        <w:t>about</w:t>
      </w:r>
      <w:r>
        <w:t xml:space="preserve"> 10</w:t>
      </w:r>
      <w:r w:rsidR="00AE1B03">
        <w:t xml:space="preserve"> times</w:t>
      </w:r>
      <w:r>
        <w:t xml:space="preserve"> th</w:t>
      </w:r>
      <w:r w:rsidR="00AE1B03">
        <w:t>e cost</w:t>
      </w:r>
      <w:r>
        <w:t xml:space="preserve"> of a plasma glucose test </w:t>
      </w:r>
      <w:r w:rsidRPr="00AE1B03">
        <w:t xml:space="preserve">(~£3.00 </w:t>
      </w:r>
      <w:r w:rsidRPr="004B301F">
        <w:rPr>
          <w:i/>
        </w:rPr>
        <w:t>v</w:t>
      </w:r>
      <w:r w:rsidRPr="00AE1B03">
        <w:t xml:space="preserve"> &lt;£0</w:t>
      </w:r>
      <w:r>
        <w:t>.30). However, assessment of cost effectiveness will need to consider</w:t>
      </w:r>
      <w:r w:rsidR="004F191E">
        <w:t xml:space="preserve"> </w:t>
      </w:r>
      <w:r>
        <w:t xml:space="preserve">the other associated costs (both to the patient and healthcare system), as well as the performance of the tests in detecting diabetes. A </w:t>
      </w:r>
      <w:r w:rsidR="004F191E">
        <w:t xml:space="preserve">health technology assessment </w:t>
      </w:r>
      <w:r>
        <w:t xml:space="preserve">suggested that, regarding the latter, HbA1c and </w:t>
      </w:r>
      <w:r w:rsidR="00326215">
        <w:t>fasting plasma glucose</w:t>
      </w:r>
      <w:r w:rsidR="00A77C6E">
        <w:t xml:space="preserve"> differed only slightly</w:t>
      </w:r>
      <w:r>
        <w:t>.</w:t>
      </w:r>
      <w:r>
        <w:rPr>
          <w:vertAlign w:val="superscript"/>
        </w:rPr>
        <w:t>86</w:t>
      </w:r>
      <w:r>
        <w:t xml:space="preserve"> OGTT is more inconvenient and unpleasant for patients, and more time</w:t>
      </w:r>
      <w:r w:rsidR="004B301F">
        <w:t>-</w:t>
      </w:r>
      <w:r>
        <w:t>consuming for healthcare staff, thereby limiting its practicability for large</w:t>
      </w:r>
      <w:r w:rsidR="004B301F">
        <w:t>-</w:t>
      </w:r>
      <w:r>
        <w:t>scale screening.</w:t>
      </w:r>
    </w:p>
    <w:p w14:paraId="228735D4" w14:textId="77777777" w:rsidR="00581EDD" w:rsidRDefault="00581EDD" w:rsidP="00B11EFB">
      <w:pPr>
        <w:pStyle w:val="HeadA"/>
      </w:pPr>
      <w:r>
        <w:t>Challenges with current guidelines</w:t>
      </w:r>
    </w:p>
    <w:p w14:paraId="3828CC13" w14:textId="77777777" w:rsidR="00581EDD" w:rsidRDefault="00581EDD" w:rsidP="00B11EFB">
      <w:pPr>
        <w:pStyle w:val="Para"/>
      </w:pPr>
      <w:r>
        <w:t xml:space="preserve">Despite the guidance outlined above, effective monitoring of </w:t>
      </w:r>
      <w:r w:rsidR="00C8797C">
        <w:t>type 2 diabetes</w:t>
      </w:r>
      <w:r>
        <w:t xml:space="preserve"> risk is not without challenges. Th</w:t>
      </w:r>
      <w:r w:rsidR="00882502">
        <w:t>e challenges are</w:t>
      </w:r>
      <w:r>
        <w:t xml:space="preserve"> exacerbated by the current lack of international consensus on screening and diagnostic criteria for both </w:t>
      </w:r>
      <w:r w:rsidR="00C8797C">
        <w:t>gestational diabetes mellitus</w:t>
      </w:r>
      <w:r>
        <w:t xml:space="preserve"> and PCOS themselves. This </w:t>
      </w:r>
      <w:r w:rsidR="00882502">
        <w:t xml:space="preserve">lack of consensus </w:t>
      </w:r>
      <w:r>
        <w:t xml:space="preserve">causes confusion regarding diagnosis and treatment of </w:t>
      </w:r>
      <w:r w:rsidR="00C8797C">
        <w:t>gestational diabetes mellitus</w:t>
      </w:r>
      <w:r>
        <w:t xml:space="preserve"> and PCOS, and </w:t>
      </w:r>
      <w:r w:rsidR="004F191E">
        <w:t>thus,</w:t>
      </w:r>
      <w:r>
        <w:t xml:space="preserve"> a loss of emphasis on their long</w:t>
      </w:r>
      <w:r w:rsidR="004B301F">
        <w:t>-</w:t>
      </w:r>
      <w:r>
        <w:t xml:space="preserve">term sequalae, including </w:t>
      </w:r>
      <w:r w:rsidR="00C8797C">
        <w:t>type 2 diabetes</w:t>
      </w:r>
      <w:r>
        <w:t>.</w:t>
      </w:r>
      <w:r>
        <w:rPr>
          <w:vertAlign w:val="superscript"/>
        </w:rPr>
        <w:t>87-89</w:t>
      </w:r>
    </w:p>
    <w:p w14:paraId="1029C860" w14:textId="77777777" w:rsidR="00581EDD" w:rsidRDefault="00581EDD" w:rsidP="00B11EFB">
      <w:pPr>
        <w:pStyle w:val="HeadB"/>
      </w:pPr>
      <w:r>
        <w:t>Consistency</w:t>
      </w:r>
    </w:p>
    <w:p w14:paraId="2DF8CBB0" w14:textId="77777777" w:rsidR="00581EDD" w:rsidRDefault="00581EDD" w:rsidP="00B11EFB">
      <w:pPr>
        <w:pStyle w:val="Para"/>
      </w:pPr>
      <w:r>
        <w:t xml:space="preserve">One reason for the lack of an effective screening strategy is the absence of a consensus on which tests to use and when. Indeed, for </w:t>
      </w:r>
      <w:r w:rsidR="00C8797C">
        <w:t>gestational diabetes mellitus</w:t>
      </w:r>
      <w:r>
        <w:t xml:space="preserve">, the International Federation of Gynecology and Obstetrics state that </w:t>
      </w:r>
      <w:r w:rsidR="004F191E">
        <w:t>“</w:t>
      </w:r>
      <w:r w:rsidRPr="004B301F">
        <w:t>There is no clear guidance about the type of tests…or the frequency and duration for ongoing surveillance.”</w:t>
      </w:r>
      <w:r>
        <w:rPr>
          <w:vertAlign w:val="superscript"/>
        </w:rPr>
        <w:t>90</w:t>
      </w:r>
      <w:r>
        <w:t xml:space="preserve"> Some of this uncertainty is derived from the balance between convenience (as offered by HbA1c) versus sensitivity/specificity (as offered by OGTT, </w:t>
      </w:r>
      <w:r w:rsidR="004F191E">
        <w:t>also</w:t>
      </w:r>
      <w:r>
        <w:t xml:space="preserve"> not without its weaknesses). Consequently, as the European Board </w:t>
      </w:r>
      <w:r w:rsidR="00DD7BFF">
        <w:t>and</w:t>
      </w:r>
      <w:r>
        <w:t xml:space="preserve"> College of Obstetrics and Gynaecology suggests,</w:t>
      </w:r>
      <w:r w:rsidRPr="004F191E">
        <w:t xml:space="preserve"> </w:t>
      </w:r>
      <w:r w:rsidRPr="00713BEC">
        <w:t>“Currently, there is insufficient evidence to recommend one test over another and therefore HbA1c, FPG or 2 h 75 g OGTT are suitable to test for diabetes and prediabetes</w:t>
      </w:r>
      <w:r w:rsidRPr="004B301F">
        <w:t>.”</w:t>
      </w:r>
      <w:r>
        <w:rPr>
          <w:vertAlign w:val="superscript"/>
        </w:rPr>
        <w:t>91</w:t>
      </w:r>
    </w:p>
    <w:p w14:paraId="3CAAFD59" w14:textId="77777777" w:rsidR="00581EDD" w:rsidRDefault="00581EDD" w:rsidP="00B11EFB">
      <w:pPr>
        <w:pStyle w:val="Para"/>
      </w:pPr>
      <w:r>
        <w:lastRenderedPageBreak/>
        <w:t xml:space="preserve">For PCOS, the situation appears even more confusing as some guidance suggests that tests should be performed </w:t>
      </w:r>
      <w:r w:rsidR="004F191E">
        <w:t>“</w:t>
      </w:r>
      <w:r w:rsidRPr="004B301F">
        <w:t>periodically</w:t>
      </w:r>
      <w:r w:rsidR="004F191E" w:rsidRPr="00713BEC">
        <w:t>”</w:t>
      </w:r>
      <w:r w:rsidRPr="004F191E">
        <w:t xml:space="preserve"> </w:t>
      </w:r>
      <w:r>
        <w:t xml:space="preserve">but without specific recommendation on what </w:t>
      </w:r>
      <w:r w:rsidRPr="00F82953">
        <w:t>periodically</w:t>
      </w:r>
      <w:r>
        <w:t xml:space="preserve"> means, or which tests to use.</w:t>
      </w:r>
      <w:r>
        <w:rPr>
          <w:vertAlign w:val="superscript"/>
        </w:rPr>
        <w:t>74</w:t>
      </w:r>
    </w:p>
    <w:p w14:paraId="06C61414" w14:textId="77777777" w:rsidR="00581EDD" w:rsidRDefault="00581EDD" w:rsidP="00B11EFB">
      <w:pPr>
        <w:pStyle w:val="HeadB"/>
      </w:pPr>
      <w:r>
        <w:t>Adherence, its implications</w:t>
      </w:r>
      <w:r w:rsidR="004F191E">
        <w:t>,</w:t>
      </w:r>
      <w:r>
        <w:t xml:space="preserve"> </w:t>
      </w:r>
      <w:r w:rsidR="004F191E">
        <w:t xml:space="preserve">and </w:t>
      </w:r>
      <w:r>
        <w:t>how to improve it</w:t>
      </w:r>
    </w:p>
    <w:p w14:paraId="77FD0773" w14:textId="77777777" w:rsidR="00581EDD" w:rsidRDefault="00581EDD" w:rsidP="00B11EFB">
      <w:pPr>
        <w:pStyle w:val="HeadC"/>
      </w:pPr>
      <w:r>
        <w:t>Poor adherence to screening guidelines is common</w:t>
      </w:r>
    </w:p>
    <w:p w14:paraId="4113ABDB" w14:textId="77777777" w:rsidR="00581EDD" w:rsidRDefault="00581EDD" w:rsidP="00B11EFB">
      <w:pPr>
        <w:pStyle w:val="Para"/>
      </w:pPr>
      <w:r>
        <w:t xml:space="preserve">Adherence to monitoring recommendations in guidance is </w:t>
      </w:r>
      <w:r w:rsidR="004F191E">
        <w:t>inconsistent</w:t>
      </w:r>
      <w:r>
        <w:t xml:space="preserve">. For </w:t>
      </w:r>
      <w:r w:rsidR="00C8797C">
        <w:t>gestational diabetes mellitus</w:t>
      </w:r>
      <w:r>
        <w:t>, we and others have highlighted the poor adherence to both post</w:t>
      </w:r>
      <w:r w:rsidR="00F82953">
        <w:t>-</w:t>
      </w:r>
      <w:r>
        <w:t>partum and longer</w:t>
      </w:r>
      <w:r w:rsidR="00F82953">
        <w:t>-</w:t>
      </w:r>
      <w:r>
        <w:t>term diabetes monitoring.</w:t>
      </w:r>
      <w:r>
        <w:rPr>
          <w:vertAlign w:val="superscript"/>
        </w:rPr>
        <w:t>92-97</w:t>
      </w:r>
      <w:r>
        <w:t xml:space="preserve"> With respect to immediate post</w:t>
      </w:r>
      <w:r w:rsidR="00F82953">
        <w:t>-</w:t>
      </w:r>
      <w:r>
        <w:t>partum screening, the TRIAD cohort study of 14</w:t>
      </w:r>
      <w:r w:rsidR="004F191E">
        <w:t xml:space="preserve"> </w:t>
      </w:r>
      <w:r>
        <w:t>448 pregnancies showed that the age</w:t>
      </w:r>
      <w:r w:rsidR="00F82953">
        <w:t>-</w:t>
      </w:r>
      <w:r w:rsidR="004F191E">
        <w:t xml:space="preserve">adjusted </w:t>
      </w:r>
      <w:r>
        <w:t>and race/ethnicity</w:t>
      </w:r>
      <w:r w:rsidR="00F82953">
        <w:t>-</w:t>
      </w:r>
      <w:r>
        <w:t>adjusted proportion of women screened rose from 20.7% in 1995 to 53.8% in 2006.</w:t>
      </w:r>
      <w:r>
        <w:rPr>
          <w:vertAlign w:val="superscript"/>
        </w:rPr>
        <w:t>93</w:t>
      </w:r>
      <w:r>
        <w:t xml:space="preserve"> Two systematic reviews showed that post</w:t>
      </w:r>
      <w:r w:rsidR="00F82953">
        <w:t>-</w:t>
      </w:r>
      <w:r>
        <w:t>partum glucose screening rates varied between 34-73% and 30-60%.</w:t>
      </w:r>
      <w:r>
        <w:rPr>
          <w:vertAlign w:val="superscript"/>
        </w:rPr>
        <w:t>94,98</w:t>
      </w:r>
      <w:r>
        <w:t xml:space="preserve"> The</w:t>
      </w:r>
      <w:r w:rsidR="004F191E">
        <w:t xml:space="preserve"> reviews</w:t>
      </w:r>
      <w:r>
        <w:t xml:space="preserve"> also noted that the tests used varied significantly between studies.</w:t>
      </w:r>
    </w:p>
    <w:p w14:paraId="2AB4CBBF" w14:textId="77777777" w:rsidR="00581EDD" w:rsidRDefault="00A77C6E" w:rsidP="00B11EFB">
      <w:pPr>
        <w:pStyle w:val="Para"/>
      </w:pPr>
      <w:r>
        <w:t>F</w:t>
      </w:r>
      <w:r w:rsidR="00581EDD">
        <w:t xml:space="preserve">ewer studies </w:t>
      </w:r>
      <w:r>
        <w:t xml:space="preserve">have been </w:t>
      </w:r>
      <w:r w:rsidR="00F82953">
        <w:t>undertaken</w:t>
      </w:r>
      <w:r>
        <w:t xml:space="preserve"> </w:t>
      </w:r>
      <w:r w:rsidR="00581EDD">
        <w:t>on longer</w:t>
      </w:r>
      <w:r w:rsidR="00F82953">
        <w:t>-</w:t>
      </w:r>
      <w:r w:rsidR="00581EDD">
        <w:t xml:space="preserve">term screening rates in </w:t>
      </w:r>
      <w:r w:rsidR="00C8797C">
        <w:t>gestational diabetes mellitus</w:t>
      </w:r>
      <w:r w:rsidR="00581EDD">
        <w:t>, though we showed that the proportion of women tested in any given year averaged only 34.2% over 17</w:t>
      </w:r>
      <w:r w:rsidR="001561B0">
        <w:t xml:space="preserve"> </w:t>
      </w:r>
      <w:r w:rsidR="00581EDD">
        <w:t>year</w:t>
      </w:r>
      <w:r>
        <w:t>s</w:t>
      </w:r>
      <w:r w:rsidR="004F191E">
        <w:t>,</w:t>
      </w:r>
      <w:r w:rsidR="00581EDD">
        <w:t xml:space="preserve"> and that the proportion of women tested over time from the index pregnancy</w:t>
      </w:r>
      <w:r>
        <w:t xml:space="preserve"> progressive</w:t>
      </w:r>
      <w:r w:rsidR="006B59B3">
        <w:t>ly</w:t>
      </w:r>
      <w:r>
        <w:t xml:space="preserve"> declined</w:t>
      </w:r>
      <w:r w:rsidR="00581EDD">
        <w:t>.</w:t>
      </w:r>
      <w:r w:rsidR="00581EDD">
        <w:rPr>
          <w:vertAlign w:val="superscript"/>
        </w:rPr>
        <w:t>92</w:t>
      </w:r>
      <w:r w:rsidR="00581EDD">
        <w:t xml:space="preserve"> A retrospective cohort study over </w:t>
      </w:r>
      <w:r w:rsidR="004F191E">
        <w:t xml:space="preserve">five </w:t>
      </w:r>
      <w:r w:rsidR="00581EDD">
        <w:t xml:space="preserve">years in England showed that </w:t>
      </w:r>
      <w:r w:rsidR="0058084F">
        <w:t>about</w:t>
      </w:r>
      <w:r w:rsidR="00581EDD">
        <w:t xml:space="preserve"> 20% of women were screened in any given year, but only 0.4% had a test in each of the </w:t>
      </w:r>
      <w:r w:rsidR="004F191E">
        <w:t xml:space="preserve">five </w:t>
      </w:r>
      <w:r w:rsidR="00581EDD">
        <w:t>years of the study.</w:t>
      </w:r>
      <w:r w:rsidR="00581EDD">
        <w:rPr>
          <w:vertAlign w:val="superscript"/>
        </w:rPr>
        <w:t>97</w:t>
      </w:r>
    </w:p>
    <w:p w14:paraId="74F93A65" w14:textId="29A30DB4" w:rsidR="00581EDD" w:rsidRDefault="00581EDD" w:rsidP="00B11EFB">
      <w:pPr>
        <w:pStyle w:val="Para"/>
      </w:pPr>
      <w:r>
        <w:t xml:space="preserve">Screening for </w:t>
      </w:r>
      <w:r w:rsidR="00C8797C">
        <w:t>type 2 diabetes</w:t>
      </w:r>
      <w:r>
        <w:t xml:space="preserve"> in women with PCOS is less well studied, but monitoring appears similarly poor. A US cross</w:t>
      </w:r>
      <w:r w:rsidR="00F82953">
        <w:t>-</w:t>
      </w:r>
      <w:r>
        <w:t xml:space="preserve">sectional study in adolescents showed that </w:t>
      </w:r>
      <w:r w:rsidR="0058084F">
        <w:t>about</w:t>
      </w:r>
      <w:r w:rsidR="004F191E">
        <w:t xml:space="preserve"> </w:t>
      </w:r>
      <w:r>
        <w:t xml:space="preserve">62% of </w:t>
      </w:r>
      <w:r w:rsidR="004F191E">
        <w:t xml:space="preserve">women aged </w:t>
      </w:r>
      <w:r>
        <w:t>11</w:t>
      </w:r>
      <w:r w:rsidR="004F191E">
        <w:t>-</w:t>
      </w:r>
      <w:r>
        <w:t>21</w:t>
      </w:r>
      <w:r w:rsidR="004F191E">
        <w:t xml:space="preserve"> </w:t>
      </w:r>
      <w:r>
        <w:t>yea</w:t>
      </w:r>
      <w:r w:rsidR="004F191E">
        <w:t>rs</w:t>
      </w:r>
      <w:r>
        <w:t xml:space="preserve"> had a</w:t>
      </w:r>
      <w:r w:rsidR="004F191E">
        <w:t>n</w:t>
      </w:r>
      <w:r>
        <w:t xml:space="preserve"> HbA1c, insulin, glucose</w:t>
      </w:r>
      <w:r w:rsidR="004F191E">
        <w:t>,</w:t>
      </w:r>
      <w:r>
        <w:t xml:space="preserve"> or OGTT </w:t>
      </w:r>
      <w:r w:rsidR="00F82953">
        <w:t xml:space="preserve">performed </w:t>
      </w:r>
      <w:r>
        <w:t>under three secondary care pediatric specialties during the 12-month study period.</w:t>
      </w:r>
      <w:r>
        <w:rPr>
          <w:vertAlign w:val="superscript"/>
        </w:rPr>
        <w:t>99</w:t>
      </w:r>
      <w:r>
        <w:t xml:space="preserve"> In a UK study of </w:t>
      </w:r>
      <w:r w:rsidR="00747F64">
        <w:t>requests from general practitioners</w:t>
      </w:r>
      <w:r w:rsidR="00F82953">
        <w:t>,</w:t>
      </w:r>
      <w:r w:rsidR="00747F64">
        <w:t xml:space="preserve"> </w:t>
      </w:r>
      <w:r>
        <w:t xml:space="preserve">we </w:t>
      </w:r>
      <w:r w:rsidR="00F82953">
        <w:t>demonstrated</w:t>
      </w:r>
      <w:r>
        <w:t xml:space="preserve"> that </w:t>
      </w:r>
      <w:r w:rsidR="00326215">
        <w:t>fasting plasma glucose</w:t>
      </w:r>
      <w:r>
        <w:t>, random plasm</w:t>
      </w:r>
      <w:r w:rsidR="00747F64">
        <w:t>a</w:t>
      </w:r>
      <w:r>
        <w:t xml:space="preserve"> glucose</w:t>
      </w:r>
      <w:r w:rsidR="00326215">
        <w:t>,</w:t>
      </w:r>
      <w:r>
        <w:t xml:space="preserve"> and HbA1c were checked in 7.9%, 6.0%</w:t>
      </w:r>
      <w:r w:rsidR="00747F64">
        <w:t>,</w:t>
      </w:r>
      <w:r>
        <w:t xml:space="preserve"> and 3.4% of women in the 24 months after diagnosis, respectively.</w:t>
      </w:r>
      <w:r>
        <w:rPr>
          <w:vertAlign w:val="superscript"/>
        </w:rPr>
        <w:t>100</w:t>
      </w:r>
    </w:p>
    <w:p w14:paraId="184236FF" w14:textId="77777777" w:rsidR="00581EDD" w:rsidRDefault="00581EDD" w:rsidP="00B11EFB">
      <w:pPr>
        <w:pStyle w:val="Para"/>
      </w:pPr>
      <w:r>
        <w:t xml:space="preserve">These findings of poor adherence to guidance on laboratory test monitoring </w:t>
      </w:r>
      <w:r w:rsidR="00747F64">
        <w:t xml:space="preserve">are </w:t>
      </w:r>
      <w:r>
        <w:t>common to many other conditions.</w:t>
      </w:r>
      <w:r>
        <w:rPr>
          <w:vertAlign w:val="superscript"/>
        </w:rPr>
        <w:t>101-105</w:t>
      </w:r>
      <w:r>
        <w:t xml:space="preserve"> We have previously shown that over half of HbA1c tests for patients with frank diabetes are outside the recommended frequency (~20% too soon, ~30% too late).</w:t>
      </w:r>
      <w:r>
        <w:rPr>
          <w:vertAlign w:val="superscript"/>
        </w:rPr>
        <w:t>103</w:t>
      </w:r>
      <w:r>
        <w:t xml:space="preserve"> We also </w:t>
      </w:r>
      <w:r w:rsidR="00747F64">
        <w:t xml:space="preserve">identified </w:t>
      </w:r>
      <w:r>
        <w:t>similar patterns in thyroid test monitoring in people with hypothyroidism on thyroxine replacement therapy</w:t>
      </w:r>
      <w:r w:rsidR="00747F64">
        <w:t>,</w:t>
      </w:r>
      <w:r>
        <w:rPr>
          <w:vertAlign w:val="superscript"/>
        </w:rPr>
        <w:t>104</w:t>
      </w:r>
      <w:r>
        <w:t xml:space="preserve"> and in people with bipolar disorder on lithium therapy.</w:t>
      </w:r>
      <w:r>
        <w:rPr>
          <w:vertAlign w:val="superscript"/>
        </w:rPr>
        <w:t>105</w:t>
      </w:r>
    </w:p>
    <w:p w14:paraId="3F448351" w14:textId="77777777" w:rsidR="00581EDD" w:rsidRDefault="00581EDD" w:rsidP="00B11EFB">
      <w:pPr>
        <w:pStyle w:val="HeadC"/>
      </w:pPr>
      <w:r>
        <w:t>Reasons for poor adherence</w:t>
      </w:r>
    </w:p>
    <w:p w14:paraId="426E9A7C" w14:textId="77777777" w:rsidR="00581EDD" w:rsidRDefault="00581EDD" w:rsidP="00B11EFB">
      <w:pPr>
        <w:pStyle w:val="Para"/>
      </w:pPr>
      <w:r>
        <w:lastRenderedPageBreak/>
        <w:t xml:space="preserve">The reasons for poor adherence </w:t>
      </w:r>
      <w:r w:rsidR="00747F64">
        <w:t xml:space="preserve">to guidance on laboratory test monitoring </w:t>
      </w:r>
      <w:r>
        <w:t>are complex and multifactorial. They include factors associated with healthcare systems (both people and infrastructure) and those linked to patient factors.</w:t>
      </w:r>
      <w:r>
        <w:rPr>
          <w:vertAlign w:val="superscript"/>
        </w:rPr>
        <w:t>106</w:t>
      </w:r>
      <w:r>
        <w:t xml:space="preserve"> For example, studies have highlighted </w:t>
      </w:r>
      <w:r w:rsidR="0099676F">
        <w:t xml:space="preserve">problems </w:t>
      </w:r>
      <w:r>
        <w:t>such as communication (lack of clear, tailored messaging around importance of screening and risk of not attending for tests, importance of reminders), responsibility (who was responsible for follow-up), time (competing demands for both patients and healthcare staff, distance to travel to appointments), and access (such as for phlebotomy appointments).</w:t>
      </w:r>
      <w:r>
        <w:rPr>
          <w:vertAlign w:val="superscript"/>
        </w:rPr>
        <w:t>107-109</w:t>
      </w:r>
    </w:p>
    <w:p w14:paraId="28295BA5" w14:textId="77777777" w:rsidR="00581EDD" w:rsidRDefault="00581EDD" w:rsidP="00B11EFB">
      <w:pPr>
        <w:pStyle w:val="Para"/>
      </w:pPr>
      <w:r>
        <w:t>For PCOS, few studies examin</w:t>
      </w:r>
      <w:r w:rsidR="00A77C6E">
        <w:t>e</w:t>
      </w:r>
      <w:r>
        <w:t xml:space="preserve"> the reasons for poor adherence to guidelines. This </w:t>
      </w:r>
      <w:r w:rsidR="00747F64">
        <w:t xml:space="preserve">dearth could </w:t>
      </w:r>
      <w:r>
        <w:t>be linked to the lack of consensus on what tests to use, in whom</w:t>
      </w:r>
      <w:r w:rsidR="00747F64">
        <w:t>,</w:t>
      </w:r>
      <w:r>
        <w:t xml:space="preserve"> and how frequently.</w:t>
      </w:r>
      <w:r>
        <w:rPr>
          <w:vertAlign w:val="superscript"/>
        </w:rPr>
        <w:t>75</w:t>
      </w:r>
      <w:r>
        <w:t xml:space="preserve"> This</w:t>
      </w:r>
      <w:r w:rsidR="00F82953">
        <w:t xml:space="preserve"> lack of consensus</w:t>
      </w:r>
      <w:r>
        <w:t xml:space="preserve"> is reflected in an online survey of secondary care obstetricians and gyn</w:t>
      </w:r>
      <w:r w:rsidR="00113130">
        <w:t>e</w:t>
      </w:r>
      <w:r>
        <w:t>cologists, which showed that 22.3% of respondents would perform a diabetes screening test at diagnosis for at least half of their patients with PCOS.</w:t>
      </w:r>
      <w:r>
        <w:rPr>
          <w:vertAlign w:val="superscript"/>
        </w:rPr>
        <w:t>110</w:t>
      </w:r>
      <w:r>
        <w:t xml:space="preserve"> This study called for a renewed emphasis on training healthcare professionals on the importance of metabolic screening in these women.</w:t>
      </w:r>
    </w:p>
    <w:p w14:paraId="55AD7F30" w14:textId="77777777" w:rsidR="00581EDD" w:rsidRDefault="00581EDD" w:rsidP="00B11EFB">
      <w:pPr>
        <w:pStyle w:val="HeadC"/>
      </w:pPr>
      <w:r>
        <w:t>Interventions to improve adherence</w:t>
      </w:r>
    </w:p>
    <w:p w14:paraId="7BF541C1" w14:textId="77777777" w:rsidR="00581EDD" w:rsidRDefault="00581EDD" w:rsidP="00B11EFB">
      <w:pPr>
        <w:pStyle w:val="Para"/>
      </w:pPr>
      <w:r>
        <w:t>To combat the poor adherence to long</w:t>
      </w:r>
      <w:r w:rsidR="00F82953">
        <w:t>-</w:t>
      </w:r>
      <w:r>
        <w:t xml:space="preserve">term monitoring recommendations, a range of interventions have been proposed. In </w:t>
      </w:r>
      <w:r w:rsidR="00C8797C">
        <w:t>gestational diabetes mellitus</w:t>
      </w:r>
      <w:r>
        <w:t>, these interventions have generally focused on technology</w:t>
      </w:r>
      <w:r w:rsidR="00F82953">
        <w:t>-</w:t>
      </w:r>
      <w:r>
        <w:t>driven reminder systems (text messages, smartphone apps, telephone reminders),</w:t>
      </w:r>
      <w:r>
        <w:rPr>
          <w:vertAlign w:val="superscript"/>
        </w:rPr>
        <w:t>111-113</w:t>
      </w:r>
      <w:r>
        <w:t xml:space="preserve"> with mixed success.</w:t>
      </w:r>
      <w:r>
        <w:rPr>
          <w:vertAlign w:val="superscript"/>
        </w:rPr>
        <w:t xml:space="preserve">114 </w:t>
      </w:r>
      <w:r>
        <w:t>For PCOS, again</w:t>
      </w:r>
      <w:r w:rsidR="00747F64">
        <w:t>,</w:t>
      </w:r>
      <w:r>
        <w:t xml:space="preserve"> fewer studies</w:t>
      </w:r>
      <w:r w:rsidR="00747F64">
        <w:t xml:space="preserve"> have</w:t>
      </w:r>
      <w:r>
        <w:t xml:space="preserve"> explor</w:t>
      </w:r>
      <w:r w:rsidR="00747F64">
        <w:t xml:space="preserve">ed </w:t>
      </w:r>
      <w:r>
        <w:t>this area. One survey</w:t>
      </w:r>
      <w:r w:rsidR="00F82953">
        <w:t>-</w:t>
      </w:r>
      <w:r>
        <w:t xml:space="preserve">based study suggested the development of reminder systems, such as those used in </w:t>
      </w:r>
      <w:r w:rsidR="00C8797C">
        <w:t>gestational diabetes mellitus</w:t>
      </w:r>
      <w:r>
        <w:t>,</w:t>
      </w:r>
      <w:r>
        <w:rPr>
          <w:vertAlign w:val="superscript"/>
        </w:rPr>
        <w:t>110</w:t>
      </w:r>
      <w:r>
        <w:t xml:space="preserve"> but these have yet to be tested. It appears that PCOS is some years behind </w:t>
      </w:r>
      <w:r w:rsidR="00C8797C">
        <w:t>gestational diabetes mellitus</w:t>
      </w:r>
      <w:r>
        <w:t xml:space="preserve"> in instigating appropriate systems for metabolic follow-up.</w:t>
      </w:r>
    </w:p>
    <w:p w14:paraId="0AE889D8" w14:textId="77777777" w:rsidR="00581EDD" w:rsidRDefault="00581EDD" w:rsidP="00B11EFB">
      <w:pPr>
        <w:pStyle w:val="Para"/>
      </w:pPr>
      <w:r>
        <w:t>Most interventions fail to accommodate patient</w:t>
      </w:r>
      <w:r w:rsidR="00F82953">
        <w:t>-</w:t>
      </w:r>
      <w:r>
        <w:t>cent</w:t>
      </w:r>
      <w:r w:rsidR="00747F64">
        <w:t>ere</w:t>
      </w:r>
      <w:r>
        <w:t xml:space="preserve">d requirements that </w:t>
      </w:r>
      <w:r w:rsidR="0099676F">
        <w:t xml:space="preserve">deal with </w:t>
      </w:r>
      <w:r>
        <w:t xml:space="preserve">the time commitments and access </w:t>
      </w:r>
      <w:r w:rsidR="0099676F">
        <w:t xml:space="preserve">problems </w:t>
      </w:r>
      <w:r>
        <w:t>raised by women.</w:t>
      </w:r>
      <w:r>
        <w:rPr>
          <w:vertAlign w:val="superscript"/>
        </w:rPr>
        <w:t>107-109</w:t>
      </w:r>
      <w:r>
        <w:t xml:space="preserve"> While from a healthcare perspective, </w:t>
      </w:r>
      <w:r w:rsidR="00967CEB">
        <w:t>developing technology</w:t>
      </w:r>
      <w:r w:rsidR="006B59B3">
        <w:t>-</w:t>
      </w:r>
      <w:r w:rsidR="00967CEB">
        <w:t>based solutions</w:t>
      </w:r>
      <w:r w:rsidR="00967CEB" w:rsidDel="00967CEB">
        <w:t xml:space="preserve"> </w:t>
      </w:r>
      <w:r w:rsidR="00967CEB">
        <w:t xml:space="preserve">is </w:t>
      </w:r>
      <w:r>
        <w:t>easier (and somewhat cheaper), future approaches to improving adherence need to be more holistic and co-produced.</w:t>
      </w:r>
    </w:p>
    <w:p w14:paraId="15FCD958" w14:textId="77777777" w:rsidR="00581EDD" w:rsidRDefault="00581EDD" w:rsidP="00B11EFB">
      <w:pPr>
        <w:pStyle w:val="Para"/>
      </w:pPr>
      <w:r>
        <w:t xml:space="preserve">Considering the above, </w:t>
      </w:r>
      <w:r w:rsidR="00747F64">
        <w:t>b</w:t>
      </w:r>
      <w:r>
        <w:t>ox 1 provides some suggestions for how adherence might be improved based on our own experience and suggestions from the literature.</w:t>
      </w:r>
      <w:r>
        <w:rPr>
          <w:vertAlign w:val="superscript"/>
        </w:rPr>
        <w:t>107-109,115,116</w:t>
      </w:r>
    </w:p>
    <w:p w14:paraId="202ACF73" w14:textId="77777777" w:rsidR="00581EDD" w:rsidRDefault="00581EDD" w:rsidP="00B11EFB">
      <w:pPr>
        <w:pStyle w:val="BoxBegin"/>
      </w:pPr>
      <w:r>
        <w:t>Box start</w:t>
      </w:r>
    </w:p>
    <w:p w14:paraId="25653763" w14:textId="77777777" w:rsidR="00581EDD" w:rsidRDefault="00581EDD" w:rsidP="00B11EFB">
      <w:pPr>
        <w:pStyle w:val="BoxTitle"/>
      </w:pPr>
      <w:r>
        <w:t>Box 1 Tips for improving adherence to monitoring recommendations</w:t>
      </w:r>
    </w:p>
    <w:p w14:paraId="370A84D1" w14:textId="77777777" w:rsidR="00581EDD" w:rsidRDefault="00581EDD" w:rsidP="00B11EFB">
      <w:pPr>
        <w:pStyle w:val="BoxBullNumList1"/>
      </w:pPr>
      <w:r>
        <w:t>1. Assess the scale of the problem</w:t>
      </w:r>
    </w:p>
    <w:p w14:paraId="29961414" w14:textId="77777777" w:rsidR="00581EDD" w:rsidRDefault="00581EDD" w:rsidP="00B11EFB">
      <w:pPr>
        <w:pStyle w:val="BoxBullNumList2"/>
      </w:pPr>
      <w:r>
        <w:lastRenderedPageBreak/>
        <w:t>• Are there ways in which existing IT systems could be used to assess which women are outstanding monitoring tests?</w:t>
      </w:r>
    </w:p>
    <w:p w14:paraId="7D8D080C" w14:textId="77777777" w:rsidR="00581EDD" w:rsidRDefault="00581EDD" w:rsidP="00B11EFB">
      <w:pPr>
        <w:pStyle w:val="BoxBullNumList2"/>
      </w:pPr>
      <w:r>
        <w:t>• Could you work with the local clinical laboratory to audit whether patients are tested in line with guidance?</w:t>
      </w:r>
    </w:p>
    <w:p w14:paraId="267AAAD3" w14:textId="77777777" w:rsidR="00581EDD" w:rsidRDefault="00581EDD" w:rsidP="00B11EFB">
      <w:pPr>
        <w:pStyle w:val="BoxBullNumList1"/>
      </w:pPr>
      <w:r>
        <w:t>2. Maximi</w:t>
      </w:r>
      <w:r w:rsidR="00395F41">
        <w:t>z</w:t>
      </w:r>
      <w:r>
        <w:t>e the potential of existing practice IT systems</w:t>
      </w:r>
    </w:p>
    <w:p w14:paraId="4AF81ADF" w14:textId="77777777" w:rsidR="00581EDD" w:rsidRDefault="00581EDD" w:rsidP="00B11EFB">
      <w:pPr>
        <w:pStyle w:val="BoxBullNumList2"/>
      </w:pPr>
      <w:r>
        <w:t>• Review if existing IT reminder systems could be used to track which patients require monitoring. Could these systems be used to automate reminders?</w:t>
      </w:r>
    </w:p>
    <w:p w14:paraId="2B2BBC06" w14:textId="77777777" w:rsidR="00581EDD" w:rsidRDefault="00581EDD" w:rsidP="00B11EFB">
      <w:pPr>
        <w:pStyle w:val="BoxBullNumList1"/>
      </w:pPr>
      <w:r>
        <w:t>3. Be aware of logistical considerations</w:t>
      </w:r>
    </w:p>
    <w:p w14:paraId="47D8F1F2" w14:textId="77777777" w:rsidR="00581EDD" w:rsidRDefault="00581EDD" w:rsidP="00B11EFB">
      <w:pPr>
        <w:pStyle w:val="BoxBullNumList2"/>
      </w:pPr>
      <w:r>
        <w:t xml:space="preserve">• Review how updating of the reminder system links into current clinical practice. Is it possible, and logistically more straightforward, to link monitoring test ordering to existing regular appointments, even if </w:t>
      </w:r>
      <w:r w:rsidR="00882502">
        <w:t xml:space="preserve">it </w:t>
      </w:r>
      <w:r>
        <w:t>results in some overtesting?</w:t>
      </w:r>
    </w:p>
    <w:p w14:paraId="68C69A7E" w14:textId="77777777" w:rsidR="00581EDD" w:rsidRDefault="00581EDD" w:rsidP="00B11EFB">
      <w:pPr>
        <w:pStyle w:val="BoxBullNumList2"/>
      </w:pPr>
      <w:r>
        <w:t xml:space="preserve">• For women with </w:t>
      </w:r>
      <w:r w:rsidR="00C8797C">
        <w:t>gestational diabetes mellitus</w:t>
      </w:r>
      <w:r>
        <w:t>, could this</w:t>
      </w:r>
      <w:r w:rsidR="00882502">
        <w:t xml:space="preserve"> linked reminder system</w:t>
      </w:r>
      <w:r>
        <w:t xml:space="preserve"> be aligned with existing postnatal appointments?</w:t>
      </w:r>
    </w:p>
    <w:p w14:paraId="2621BBDA" w14:textId="77777777" w:rsidR="00581EDD" w:rsidRDefault="00581EDD" w:rsidP="00B11EFB">
      <w:pPr>
        <w:pStyle w:val="BoxBullNumList1"/>
      </w:pPr>
      <w:r>
        <w:t>4. Consider the patient perspective</w:t>
      </w:r>
    </w:p>
    <w:p w14:paraId="77305922" w14:textId="77777777" w:rsidR="00581EDD" w:rsidRDefault="00581EDD" w:rsidP="00B11EFB">
      <w:pPr>
        <w:pStyle w:val="BoxBullNumList2"/>
      </w:pPr>
      <w:r>
        <w:t>• Could testing be provided at a time that is more convenient to patients?</w:t>
      </w:r>
    </w:p>
    <w:p w14:paraId="14D85D5F" w14:textId="77777777" w:rsidR="00581EDD" w:rsidRDefault="00581EDD" w:rsidP="00B11EFB">
      <w:pPr>
        <w:pStyle w:val="BoxBullNumList2"/>
      </w:pPr>
      <w:r>
        <w:t xml:space="preserve">• For women with </w:t>
      </w:r>
      <w:r w:rsidR="00C8797C">
        <w:t>gestational diabetes mellitus</w:t>
      </w:r>
      <w:r>
        <w:t xml:space="preserve">, could </w:t>
      </w:r>
      <w:r w:rsidR="00882502">
        <w:t xml:space="preserve">testing </w:t>
      </w:r>
      <w:r>
        <w:t>be adapted to ensure women with babies or small children are catered for?</w:t>
      </w:r>
    </w:p>
    <w:p w14:paraId="4B82CE44" w14:textId="77777777" w:rsidR="00581EDD" w:rsidRDefault="00581EDD" w:rsidP="00B11EFB">
      <w:pPr>
        <w:pStyle w:val="BoxBullNumList2"/>
      </w:pPr>
      <w:r>
        <w:t xml:space="preserve">• Are patients aware of the importance of the tests; could a simple leaflet be developed </w:t>
      </w:r>
      <w:r w:rsidR="00882502">
        <w:t xml:space="preserve">to </w:t>
      </w:r>
      <w:r>
        <w:t>explain?</w:t>
      </w:r>
    </w:p>
    <w:p w14:paraId="742FEEDA" w14:textId="77777777" w:rsidR="00581EDD" w:rsidRDefault="00581EDD" w:rsidP="00B11EFB">
      <w:pPr>
        <w:pStyle w:val="BoxBullNumList2"/>
      </w:pPr>
      <w:r>
        <w:t>• How do patients prefer to be reminded of tests?</w:t>
      </w:r>
    </w:p>
    <w:p w14:paraId="6DEB0D77" w14:textId="77777777" w:rsidR="00581EDD" w:rsidRDefault="00581EDD" w:rsidP="00B11EFB">
      <w:pPr>
        <w:pStyle w:val="BoxBullNumList1"/>
      </w:pPr>
      <w:r>
        <w:t>5. Communicate</w:t>
      </w:r>
    </w:p>
    <w:p w14:paraId="6D707A33" w14:textId="77777777" w:rsidR="00581EDD" w:rsidRDefault="00581EDD" w:rsidP="00B11EFB">
      <w:pPr>
        <w:pStyle w:val="BoxBullNumList2"/>
      </w:pPr>
      <w:r>
        <w:t>• How can communication between general practice and specialist services be improved to prevent missing or duplicating patient appointments? Local practice guidelines and shared care agreements can vary across regions and clinicians needs to be familiar with local arrangements.</w:t>
      </w:r>
    </w:p>
    <w:p w14:paraId="0F0CECFE" w14:textId="77777777" w:rsidR="00581EDD" w:rsidRDefault="00581EDD" w:rsidP="00B11EFB">
      <w:pPr>
        <w:pStyle w:val="BoxBullNumList1"/>
      </w:pPr>
      <w:r>
        <w:t>6. Implement</w:t>
      </w:r>
    </w:p>
    <w:p w14:paraId="7DEC867D" w14:textId="77777777" w:rsidR="00581EDD" w:rsidRDefault="00581EDD" w:rsidP="00B11EFB">
      <w:pPr>
        <w:pStyle w:val="BoxBullNumList2"/>
      </w:pPr>
      <w:r>
        <w:t>• Could healthcare professionals work with the existing healthcare IT system supplier to help implement any changes to reminder systems?</w:t>
      </w:r>
    </w:p>
    <w:p w14:paraId="75F06EC8" w14:textId="77777777" w:rsidR="00581EDD" w:rsidRDefault="00581EDD" w:rsidP="00B11EFB">
      <w:pPr>
        <w:pStyle w:val="BoxBullNumList1"/>
      </w:pPr>
      <w:r>
        <w:t>7. Embed evaluation as part of a continuous improvement cycle</w:t>
      </w:r>
    </w:p>
    <w:p w14:paraId="23D6D4C9" w14:textId="77777777" w:rsidR="00581EDD" w:rsidRDefault="00581EDD" w:rsidP="00B11EFB">
      <w:pPr>
        <w:pStyle w:val="BoxBullNumList2"/>
      </w:pPr>
      <w:r>
        <w:t xml:space="preserve">• Re-audit to see what impact the change has made. How might </w:t>
      </w:r>
      <w:r w:rsidR="00882502">
        <w:t xml:space="preserve">re-audit </w:t>
      </w:r>
      <w:r>
        <w:t xml:space="preserve">be done simply? Think about evaluation as part of the change so that data </w:t>
      </w:r>
      <w:r w:rsidR="00395F41">
        <w:t xml:space="preserve">are </w:t>
      </w:r>
      <w:r>
        <w:t>collected automatically and reviewed regularly.</w:t>
      </w:r>
    </w:p>
    <w:p w14:paraId="03ADECAE" w14:textId="77777777" w:rsidR="00581EDD" w:rsidRDefault="00581EDD" w:rsidP="00B11EFB">
      <w:pPr>
        <w:pStyle w:val="BoxEnd"/>
      </w:pPr>
      <w:r>
        <w:t>Box end</w:t>
      </w:r>
    </w:p>
    <w:p w14:paraId="425D7187" w14:textId="77777777" w:rsidR="00581EDD" w:rsidRDefault="00581EDD" w:rsidP="00B11EFB">
      <w:pPr>
        <w:pStyle w:val="HeadB"/>
      </w:pPr>
      <w:r>
        <w:t xml:space="preserve">The real problem: </w:t>
      </w:r>
      <w:r w:rsidR="00B31E84">
        <w:t>a</w:t>
      </w:r>
      <w:r>
        <w:t>re we missing the boat?</w:t>
      </w:r>
    </w:p>
    <w:p w14:paraId="15D9293A" w14:textId="77777777" w:rsidR="00581EDD" w:rsidRDefault="00581EDD" w:rsidP="00B11EFB">
      <w:pPr>
        <w:pStyle w:val="Para"/>
      </w:pPr>
      <w:r>
        <w:t xml:space="preserve">This lack of screening has, at least in women with </w:t>
      </w:r>
      <w:r w:rsidR="00C8797C">
        <w:t>gestational diabetes mellitus</w:t>
      </w:r>
      <w:r>
        <w:t xml:space="preserve">, been described as a </w:t>
      </w:r>
      <w:r w:rsidR="00395F41">
        <w:t>“l</w:t>
      </w:r>
      <w:r w:rsidRPr="00F82953">
        <w:t>ost opportunity to prevent early onset of type 2 diabetes</w:t>
      </w:r>
      <w:r w:rsidR="00395F41">
        <w:t>”</w:t>
      </w:r>
      <w:r w:rsidRPr="00F82953">
        <w:t>.</w:t>
      </w:r>
      <w:r>
        <w:rPr>
          <w:vertAlign w:val="superscript"/>
        </w:rPr>
        <w:t>117</w:t>
      </w:r>
      <w:r>
        <w:t xml:space="preserve"> This </w:t>
      </w:r>
      <w:r w:rsidR="00882502">
        <w:t xml:space="preserve">lost opportunity </w:t>
      </w:r>
      <w:r>
        <w:t xml:space="preserve">is almost certainly also true for PCOS; while guidelines fail to achieve complete consensus, </w:t>
      </w:r>
      <w:r w:rsidR="00395F41">
        <w:t>experts a</w:t>
      </w:r>
      <w:r>
        <w:t>gree that metabolic risk is significant and warrants long</w:t>
      </w:r>
      <w:r w:rsidR="00F82953">
        <w:t>-</w:t>
      </w:r>
      <w:r>
        <w:t>term follow-up.</w:t>
      </w:r>
      <w:r>
        <w:rPr>
          <w:vertAlign w:val="superscript"/>
        </w:rPr>
        <w:t>74-80</w:t>
      </w:r>
      <w:r>
        <w:t xml:space="preserve"> The challenge is whether the tests recommended in current guidelines maxim</w:t>
      </w:r>
      <w:r w:rsidR="005B29B0">
        <w:t>ize</w:t>
      </w:r>
      <w:r>
        <w:t xml:space="preserve"> the opportunity to </w:t>
      </w:r>
      <w:r w:rsidR="00395F41">
        <w:t>“</w:t>
      </w:r>
      <w:r w:rsidRPr="00F82953">
        <w:t>prevent early onset</w:t>
      </w:r>
      <w:r w:rsidR="00395F41">
        <w:t>”</w:t>
      </w:r>
      <w:r w:rsidRPr="00F82953">
        <w:t xml:space="preserve"> </w:t>
      </w:r>
      <w:r>
        <w:t>of</w:t>
      </w:r>
      <w:r>
        <w:rPr>
          <w:i/>
        </w:rPr>
        <w:t xml:space="preserve"> </w:t>
      </w:r>
      <w:r w:rsidR="00C8797C">
        <w:t>type 2 diabetes</w:t>
      </w:r>
      <w:r>
        <w:t xml:space="preserve">. Even current guidelines admit the existing shortcoming in current practice; regarding </w:t>
      </w:r>
      <w:r w:rsidR="00C8797C">
        <w:t>gestational diabetes mellitus</w:t>
      </w:r>
      <w:r>
        <w:t>, The International Federation of Gynecology and Obstetrics note</w:t>
      </w:r>
      <w:r w:rsidR="00395F41">
        <w:t>s</w:t>
      </w:r>
      <w:r>
        <w:t xml:space="preserve"> that “</w:t>
      </w:r>
      <w:r w:rsidRPr="00F82953">
        <w:t xml:space="preserve">When guidance exists it is </w:t>
      </w:r>
      <w:r w:rsidRPr="00F82953">
        <w:lastRenderedPageBreak/>
        <w:t>often glucose centric, missing out other important parameters but most importantly it is poorly implemented</w:t>
      </w:r>
      <w:r w:rsidR="00395F41">
        <w:rPr>
          <w:i/>
        </w:rPr>
        <w:t>.</w:t>
      </w:r>
      <w:r w:rsidR="00395F41">
        <w:t>”</w:t>
      </w:r>
      <w:r>
        <w:rPr>
          <w:vertAlign w:val="superscript"/>
        </w:rPr>
        <w:t>90</w:t>
      </w:r>
    </w:p>
    <w:p w14:paraId="470F6019" w14:textId="77777777" w:rsidR="00581EDD" w:rsidRDefault="00581EDD" w:rsidP="00B11EFB">
      <w:pPr>
        <w:pStyle w:val="Para"/>
      </w:pPr>
      <w:r>
        <w:t>Traditional tests reflect glyc</w:t>
      </w:r>
      <w:r w:rsidR="00113130">
        <w:t>e</w:t>
      </w:r>
      <w:r>
        <w:t xml:space="preserve">mic irregularities relatively late in the progression to frank diabetes, and </w:t>
      </w:r>
      <w:r w:rsidR="00113130">
        <w:t>might</w:t>
      </w:r>
      <w:r>
        <w:t xml:space="preserve"> be too late to instigate effective prevention strategies.</w:t>
      </w:r>
      <w:r>
        <w:rPr>
          <w:vertAlign w:val="superscript"/>
        </w:rPr>
        <w:t>118</w:t>
      </w:r>
      <w:r>
        <w:t xml:space="preserve"> We suggest that the current approach to screening is shutting the door after the horse has bolted, and </w:t>
      </w:r>
      <w:r w:rsidR="00395F41">
        <w:t>therefore,</w:t>
      </w:r>
      <w:r>
        <w:t xml:space="preserve"> a new strategy is needed. If we are to genuinely seek to </w:t>
      </w:r>
      <w:r w:rsidRPr="00F82953">
        <w:t>prevent early onset</w:t>
      </w:r>
      <w:r w:rsidRPr="00395F41">
        <w:t>,</w:t>
      </w:r>
      <w:r>
        <w:t xml:space="preserve"> we need to examine the underlying pathophysiology to identify changes much earlier in the pathway, and create a new paradigm for diabetes screening and prevention.</w:t>
      </w:r>
    </w:p>
    <w:p w14:paraId="33E68A9B" w14:textId="77777777" w:rsidR="00581EDD" w:rsidRDefault="00581EDD" w:rsidP="00B11EFB">
      <w:pPr>
        <w:pStyle w:val="HeadA"/>
      </w:pPr>
      <w:r>
        <w:t>Emerging approaches to detection and management</w:t>
      </w:r>
    </w:p>
    <w:p w14:paraId="2E6028E3" w14:textId="77777777" w:rsidR="00581EDD" w:rsidRDefault="00581EDD" w:rsidP="00B11EFB">
      <w:pPr>
        <w:pStyle w:val="HeadB"/>
      </w:pPr>
      <w:r>
        <w:t>Screening strategies</w:t>
      </w:r>
    </w:p>
    <w:p w14:paraId="3A0D585E" w14:textId="77777777" w:rsidR="00581EDD" w:rsidRDefault="00581EDD" w:rsidP="00B11EFB">
      <w:pPr>
        <w:pStyle w:val="Para"/>
      </w:pPr>
      <w:r>
        <w:t>Given the pitfalls inherent in use of biochemical markers in isolation, strategies which integrate multiple parameters as part of stepwise risk</w:t>
      </w:r>
      <w:r w:rsidR="00395F41">
        <w:t xml:space="preserve"> </w:t>
      </w:r>
      <w:r>
        <w:t>stratification approaches have been proposed.</w:t>
      </w:r>
      <w:r>
        <w:rPr>
          <w:vertAlign w:val="superscript"/>
        </w:rPr>
        <w:t>118</w:t>
      </w:r>
    </w:p>
    <w:p w14:paraId="2D03E810" w14:textId="77777777" w:rsidR="00581EDD" w:rsidRDefault="00581EDD" w:rsidP="00B11EFB">
      <w:pPr>
        <w:pStyle w:val="Para"/>
      </w:pPr>
      <w:r>
        <w:t xml:space="preserve">Despite the overlap in underlying pathophysiology for both </w:t>
      </w:r>
      <w:r w:rsidR="00C8797C">
        <w:t>gestational diabetes mellitus</w:t>
      </w:r>
      <w:r>
        <w:t xml:space="preserve"> and PCOS, a unified screening strategy </w:t>
      </w:r>
      <w:r w:rsidR="00395F41">
        <w:t xml:space="preserve">might </w:t>
      </w:r>
      <w:r>
        <w:t>not be the best option</w:t>
      </w:r>
      <w:r w:rsidR="00395F41">
        <w:t>,</w:t>
      </w:r>
      <w:r>
        <w:t xml:space="preserve"> given the differences in risk factor profile for each group </w:t>
      </w:r>
      <w:r w:rsidR="00EA3F13">
        <w:t>(fig</w:t>
      </w:r>
      <w:r>
        <w:t xml:space="preserve"> 1). Furthermore, such strategies, which are likely to differ in the composition and weighting of the biochemical, anthropometric, </w:t>
      </w:r>
      <w:r w:rsidR="0099676F">
        <w:t>personal</w:t>
      </w:r>
      <w:r w:rsidR="00395F41">
        <w:t>,</w:t>
      </w:r>
      <w:r>
        <w:t xml:space="preserve"> and other factors, would also need to take into account phenotypical subtypes (eg</w:t>
      </w:r>
      <w:r w:rsidR="00395F41">
        <w:t>,</w:t>
      </w:r>
      <w:r>
        <w:t xml:space="preserve"> in women with PCOS</w:t>
      </w:r>
      <w:r w:rsidR="00395F41">
        <w:t>,</w:t>
      </w:r>
      <w:r>
        <w:t xml:space="preserve"> lean </w:t>
      </w:r>
      <w:r w:rsidRPr="004148BB">
        <w:rPr>
          <w:i/>
        </w:rPr>
        <w:t xml:space="preserve">v </w:t>
      </w:r>
      <w:r>
        <w:t xml:space="preserve">obese and hyperandrogenic </w:t>
      </w:r>
      <w:r w:rsidR="00395F41" w:rsidRPr="00B856D9">
        <w:rPr>
          <w:i/>
        </w:rPr>
        <w:t xml:space="preserve">v </w:t>
      </w:r>
      <w:r>
        <w:t xml:space="preserve">normoandrogenic). The aim of such strategies would be to identify the preferred biochemical markers used and the frequency of screening, which itself </w:t>
      </w:r>
      <w:r w:rsidR="00395F41">
        <w:t xml:space="preserve">could </w:t>
      </w:r>
      <w:r>
        <w:t xml:space="preserve">vary over time. </w:t>
      </w:r>
      <w:r w:rsidR="00395F41">
        <w:t>T</w:t>
      </w:r>
      <w:r>
        <w:t>he use of dynamic modelling approaches would allow the ongoing assessment of risk over time as parameters change.</w:t>
      </w:r>
    </w:p>
    <w:p w14:paraId="09EA8675" w14:textId="0B76EB05" w:rsidR="00581EDD" w:rsidRDefault="00581EDD" w:rsidP="00B11EFB">
      <w:pPr>
        <w:pStyle w:val="Para"/>
      </w:pPr>
      <w:r>
        <w:t xml:space="preserve">Several models have been developed for predicting risk of </w:t>
      </w:r>
      <w:r w:rsidR="00C8797C">
        <w:t>gestational diabetes mellitus</w:t>
      </w:r>
      <w:r w:rsidR="00C34360">
        <w:t>.</w:t>
      </w:r>
      <w:r>
        <w:rPr>
          <w:vertAlign w:val="superscript"/>
        </w:rPr>
        <w:t>119</w:t>
      </w:r>
      <w:r>
        <w:t xml:space="preserve"> </w:t>
      </w:r>
      <w:r w:rsidR="00C34360">
        <w:t>H</w:t>
      </w:r>
      <w:r w:rsidR="00395F41">
        <w:t xml:space="preserve">owever, </w:t>
      </w:r>
      <w:r>
        <w:t xml:space="preserve">most are based on studies with questionable methodological quality, and few have subsequently been independently validated. A systematic review and meta-analysis identified several risk factors for </w:t>
      </w:r>
      <w:r w:rsidR="00C8797C">
        <w:t>type 2 diabetes</w:t>
      </w:r>
      <w:r>
        <w:t xml:space="preserve"> in women with </w:t>
      </w:r>
      <w:r w:rsidR="00C8797C">
        <w:t>gestational diabetes mellitus</w:t>
      </w:r>
      <w:r>
        <w:t>.</w:t>
      </w:r>
      <w:r>
        <w:rPr>
          <w:vertAlign w:val="superscript"/>
        </w:rPr>
        <w:t>120</w:t>
      </w:r>
      <w:r>
        <w:t xml:space="preserve"> These included maternal age, </w:t>
      </w:r>
      <w:r w:rsidR="00EB482E">
        <w:t>body mass index</w:t>
      </w:r>
      <w:r>
        <w:t>, ethnicity</w:t>
      </w:r>
      <w:r w:rsidR="001561B0">
        <w:t>,</w:t>
      </w:r>
      <w:r>
        <w:t xml:space="preserve"> and family history of diabetes.</w:t>
      </w:r>
      <w:r>
        <w:rPr>
          <w:vertAlign w:val="superscript"/>
        </w:rPr>
        <w:t>121</w:t>
      </w:r>
      <w:r>
        <w:t xml:space="preserve"> More recently, models developed using the machine learning approaches highlight the importance of factors linked to key metabolic process (insulin sensitivity, </w:t>
      </w:r>
      <w:r w:rsidR="00FC5D74">
        <w:t>β cell</w:t>
      </w:r>
      <w:r>
        <w:t xml:space="preserve"> function</w:t>
      </w:r>
      <w:r w:rsidR="001561B0">
        <w:t>,</w:t>
      </w:r>
      <w:r>
        <w:t xml:space="preserve"> and insulin clearance).</w:t>
      </w:r>
      <w:r>
        <w:rPr>
          <w:vertAlign w:val="superscript"/>
        </w:rPr>
        <w:t xml:space="preserve"> 122,123 </w:t>
      </w:r>
      <w:r>
        <w:t>We are not aware of any equivalent models for PCOS, though several studies identified candidate predictors.</w:t>
      </w:r>
      <w:r>
        <w:rPr>
          <w:vertAlign w:val="superscript"/>
        </w:rPr>
        <w:t>32-34</w:t>
      </w:r>
    </w:p>
    <w:p w14:paraId="0534E56A" w14:textId="77777777" w:rsidR="00581EDD" w:rsidRDefault="00581EDD" w:rsidP="00B11EFB">
      <w:pPr>
        <w:pStyle w:val="Para"/>
      </w:pPr>
      <w:r>
        <w:t xml:space="preserve">In general practice, some models have been incorporated into risk prediction tools for </w:t>
      </w:r>
      <w:r w:rsidR="00C8797C">
        <w:t>type 2 diabetes</w:t>
      </w:r>
      <w:r>
        <w:t xml:space="preserve"> (eg</w:t>
      </w:r>
      <w:r w:rsidR="00713BEC">
        <w:t>,</w:t>
      </w:r>
      <w:r>
        <w:t xml:space="preserve"> </w:t>
      </w:r>
      <w:r w:rsidRPr="00713BEC">
        <w:t xml:space="preserve">QDiabetes-2018 </w:t>
      </w:r>
      <w:r w:rsidR="00713BEC" w:rsidRPr="004148BB">
        <w:t>diabetes risk calculator</w:t>
      </w:r>
      <w:r>
        <w:t xml:space="preserve">), though these are not specific </w:t>
      </w:r>
      <w:r w:rsidR="00713BEC">
        <w:t xml:space="preserve">to </w:t>
      </w:r>
      <w:r w:rsidR="00C8797C">
        <w:lastRenderedPageBreak/>
        <w:t>gestational diabetes mellitus</w:t>
      </w:r>
      <w:r>
        <w:t xml:space="preserve"> or PCOS.</w:t>
      </w:r>
      <w:r>
        <w:rPr>
          <w:vertAlign w:val="superscript"/>
        </w:rPr>
        <w:t>124,125</w:t>
      </w:r>
      <w:r>
        <w:t xml:space="preserve"> While </w:t>
      </w:r>
      <w:r w:rsidR="00C8797C">
        <w:t>gestational diabetes mellitus</w:t>
      </w:r>
      <w:r>
        <w:t xml:space="preserve"> itself is a strong predictor of </w:t>
      </w:r>
      <w:r w:rsidR="00C8797C">
        <w:t>type 2 diabetes</w:t>
      </w:r>
      <w:r>
        <w:t xml:space="preserve"> risk in QDiabetes-2018, revised</w:t>
      </w:r>
      <w:r w:rsidR="001561B0">
        <w:t xml:space="preserve"> </w:t>
      </w:r>
      <w:r>
        <w:t xml:space="preserve">dynamic models </w:t>
      </w:r>
      <w:r w:rsidR="001561B0">
        <w:t xml:space="preserve">specific to gestational diabetes mellitus and PCOS </w:t>
      </w:r>
      <w:r>
        <w:t>are needed</w:t>
      </w:r>
      <w:r w:rsidR="001561B0">
        <w:t>,</w:t>
      </w:r>
      <w:r>
        <w:t xml:space="preserve"> which incorporate condition</w:t>
      </w:r>
      <w:r w:rsidR="001561B0">
        <w:t xml:space="preserve"> </w:t>
      </w:r>
      <w:r>
        <w:t xml:space="preserve">specific factors such as those associated with pregnancy (for </w:t>
      </w:r>
      <w:r w:rsidR="00C8797C">
        <w:t>gestational diabetes mellitus</w:t>
      </w:r>
      <w:r>
        <w:t>) or hyperandrogenism (for PCOS), as well as common diabetes</w:t>
      </w:r>
      <w:r w:rsidR="001561B0">
        <w:t xml:space="preserve"> </w:t>
      </w:r>
      <w:r>
        <w:t xml:space="preserve">associated factors </w:t>
      </w:r>
      <w:r w:rsidR="00EA3F13">
        <w:t>(fig</w:t>
      </w:r>
      <w:r>
        <w:t xml:space="preserve"> 1).</w:t>
      </w:r>
    </w:p>
    <w:p w14:paraId="5951BBBE" w14:textId="77777777" w:rsidR="00581EDD" w:rsidRDefault="00581EDD" w:rsidP="00B11EFB">
      <w:pPr>
        <w:pStyle w:val="Para"/>
      </w:pPr>
      <w:r>
        <w:t xml:space="preserve">Furthermore, current strategies for screening for </w:t>
      </w:r>
      <w:r w:rsidR="00C8797C">
        <w:t>type 2 diabetes</w:t>
      </w:r>
      <w:r>
        <w:t xml:space="preserve"> in </w:t>
      </w:r>
      <w:r w:rsidR="00C8797C">
        <w:t>gestational diabetes mellitus</w:t>
      </w:r>
      <w:r>
        <w:t xml:space="preserve"> and PCOS lack the ability to account for (</w:t>
      </w:r>
      <w:r w:rsidR="001561B0">
        <w:t>a</w:t>
      </w:r>
      <w:r>
        <w:t xml:space="preserve">) differences in risk factors for development of </w:t>
      </w:r>
      <w:r w:rsidR="00C8797C">
        <w:t>type 2 diabetes</w:t>
      </w:r>
      <w:r>
        <w:t xml:space="preserve"> and its precursors (both composition and weight), (</w:t>
      </w:r>
      <w:r w:rsidR="001561B0">
        <w:t>b</w:t>
      </w:r>
      <w:r>
        <w:t>) the nuances of the effect of subphenotypes</w:t>
      </w:r>
      <w:r w:rsidR="001561B0">
        <w:t>,</w:t>
      </w:r>
      <w:r>
        <w:t xml:space="preserve"> and (</w:t>
      </w:r>
      <w:r w:rsidR="001561B0">
        <w:t>c</w:t>
      </w:r>
      <w:r>
        <w:t>) the need to consider different and novel biomarkers of dysglyc</w:t>
      </w:r>
      <w:r w:rsidR="00113130">
        <w:t>e</w:t>
      </w:r>
      <w:r>
        <w:t>mia, particularly those that allow earlier detection of dysglyc</w:t>
      </w:r>
      <w:r w:rsidR="00113130">
        <w:t>e</w:t>
      </w:r>
      <w:r>
        <w:t>mia. We propose that studies are needed to adapt models such as QDiabetes-2018</w:t>
      </w:r>
      <w:r>
        <w:rPr>
          <w:vertAlign w:val="superscript"/>
        </w:rPr>
        <w:t>124</w:t>
      </w:r>
      <w:r>
        <w:t xml:space="preserve"> specifically for </w:t>
      </w:r>
      <w:r w:rsidR="00C8797C">
        <w:t>gestational diabetes mellitus</w:t>
      </w:r>
      <w:r>
        <w:t xml:space="preserve"> and PCOS populations, to underpin new screening strategies. These would need to be clinically deliverable, integrated into existing systems and then fed into revised guidelines.</w:t>
      </w:r>
    </w:p>
    <w:p w14:paraId="2F9C569E" w14:textId="77777777" w:rsidR="00581EDD" w:rsidRDefault="00581EDD" w:rsidP="00B11EFB">
      <w:pPr>
        <w:pStyle w:val="HeadB"/>
      </w:pPr>
      <w:r>
        <w:t>Early detection</w:t>
      </w:r>
    </w:p>
    <w:p w14:paraId="1BB3C923" w14:textId="77777777" w:rsidR="00581EDD" w:rsidRDefault="00581EDD" w:rsidP="00B11EFB">
      <w:pPr>
        <w:pStyle w:val="Para"/>
      </w:pPr>
      <w:r>
        <w:t xml:space="preserve">Little is known about the interaction between </w:t>
      </w:r>
      <w:r w:rsidR="00FC5D74">
        <w:t>β cell</w:t>
      </w:r>
      <w:r>
        <w:t xml:space="preserve"> function and insulin resistance before and leading up to </w:t>
      </w:r>
      <w:r w:rsidR="00C8797C">
        <w:t>type 2 diabetes</w:t>
      </w:r>
      <w:r>
        <w:t>. However, prospective data from the Whitehall II study attempted to character</w:t>
      </w:r>
      <w:r w:rsidR="005B29B0">
        <w:t>ize</w:t>
      </w:r>
      <w:r>
        <w:t xml:space="preserve"> the glycometabolic 13</w:t>
      </w:r>
      <w:r w:rsidR="001561B0">
        <w:t xml:space="preserve"> </w:t>
      </w:r>
      <w:r>
        <w:t xml:space="preserve">year trajectories, comparing those developing </w:t>
      </w:r>
      <w:r w:rsidR="00C8797C">
        <w:t>type 2 diabetes</w:t>
      </w:r>
      <w:r>
        <w:t xml:space="preserve"> </w:t>
      </w:r>
      <w:r w:rsidR="001561B0">
        <w:t xml:space="preserve">with </w:t>
      </w:r>
      <w:r>
        <w:t xml:space="preserve">those not developing </w:t>
      </w:r>
      <w:r w:rsidR="001561B0">
        <w:t>it</w:t>
      </w:r>
      <w:r>
        <w:t>.</w:t>
      </w:r>
      <w:r>
        <w:rPr>
          <w:vertAlign w:val="superscript"/>
        </w:rPr>
        <w:t>126</w:t>
      </w:r>
      <w:r>
        <w:t xml:space="preserve"> Multilevel models, adjusted for age, gender, and ethnic origin</w:t>
      </w:r>
      <w:r w:rsidR="001561B0">
        <w:t xml:space="preserve">, </w:t>
      </w:r>
      <w:r>
        <w:t>showed that in the non-diabetes group, all metabolic measures followed linear trends (except for insulin secretion</w:t>
      </w:r>
      <w:r w:rsidR="001561B0">
        <w:t xml:space="preserve"> which</w:t>
      </w:r>
      <w:r>
        <w:t xml:space="preserve"> remained unchanged). In the diabetes group, however, fasting glucose initially increased in a linear manner, followed by a steep quadratic increase (from 5.79</w:t>
      </w:r>
      <w:r w:rsidR="001561B0">
        <w:t xml:space="preserve"> to </w:t>
      </w:r>
      <w:r>
        <w:t xml:space="preserve">7.40 mmol/L) starting </w:t>
      </w:r>
      <w:r w:rsidR="001561B0">
        <w:t xml:space="preserve">three </w:t>
      </w:r>
      <w:r>
        <w:t xml:space="preserve">years before diabetes diagnosis. The </w:t>
      </w:r>
      <w:r w:rsidR="001561B0">
        <w:t xml:space="preserve">two </w:t>
      </w:r>
      <w:r>
        <w:t>h</w:t>
      </w:r>
      <w:r w:rsidR="001561B0">
        <w:t>our</w:t>
      </w:r>
      <w:r>
        <w:t xml:space="preserve"> post</w:t>
      </w:r>
      <w:r w:rsidR="001561B0">
        <w:t>-</w:t>
      </w:r>
      <w:r>
        <w:t>glucose load rapid</w:t>
      </w:r>
      <w:r w:rsidR="001561B0">
        <w:t>ly</w:t>
      </w:r>
      <w:r>
        <w:t xml:space="preserve"> r</w:t>
      </w:r>
      <w:r w:rsidR="001561B0">
        <w:t>o</w:t>
      </w:r>
      <w:r>
        <w:t>se</w:t>
      </w:r>
      <w:r w:rsidR="001561B0">
        <w:t xml:space="preserve"> (from 7.60 to 11.90 mmol/L) </w:t>
      </w:r>
      <w:r>
        <w:t xml:space="preserve">starting </w:t>
      </w:r>
      <w:r w:rsidR="001561B0">
        <w:t xml:space="preserve">three </w:t>
      </w:r>
      <w:r>
        <w:t>years before diagnosis</w:t>
      </w:r>
      <w:r w:rsidR="001561B0">
        <w:t>.</w:t>
      </w:r>
      <w:r>
        <w:t xml:space="preserve"> </w:t>
      </w:r>
      <w:r w:rsidR="005679E1">
        <w:t xml:space="preserve">Homeostatic model assessment </w:t>
      </w:r>
      <w:r>
        <w:t xml:space="preserve">(HOMA) insulin sensitivity decreased steeply during the </w:t>
      </w:r>
      <w:r w:rsidR="005679E1">
        <w:t xml:space="preserve">five </w:t>
      </w:r>
      <w:r>
        <w:t xml:space="preserve">years </w:t>
      </w:r>
      <w:r w:rsidR="005679E1">
        <w:t xml:space="preserve">before </w:t>
      </w:r>
      <w:r>
        <w:t xml:space="preserve">diagnosis. HOMA </w:t>
      </w:r>
      <w:r w:rsidR="00FC5D74">
        <w:t>β cell</w:t>
      </w:r>
      <w:r>
        <w:t xml:space="preserve"> function increased between years 4 and 3 pre-diagnosis</w:t>
      </w:r>
      <w:r w:rsidR="005679E1">
        <w:t>,</w:t>
      </w:r>
      <w:r>
        <w:t xml:space="preserve"> and then decreased until diagnosis.</w:t>
      </w:r>
    </w:p>
    <w:p w14:paraId="5B38001B" w14:textId="77777777" w:rsidR="00581EDD" w:rsidRDefault="00581EDD" w:rsidP="00B11EFB">
      <w:pPr>
        <w:pStyle w:val="Para"/>
      </w:pPr>
      <w:r>
        <w:t xml:space="preserve">These changes support the hypothesis of multistage evolution of diabetes </w:t>
      </w:r>
      <w:r w:rsidR="00EA3F13">
        <w:t>(fig</w:t>
      </w:r>
      <w:r>
        <w:t xml:space="preserve"> 3).</w:t>
      </w:r>
      <w:r>
        <w:rPr>
          <w:vertAlign w:val="superscript"/>
        </w:rPr>
        <w:t>127</w:t>
      </w:r>
      <w:r>
        <w:rPr>
          <w:b/>
        </w:rPr>
        <w:t xml:space="preserve"> </w:t>
      </w:r>
      <w:r>
        <w:t xml:space="preserve">Therefore, our aim should be to identify women with </w:t>
      </w:r>
      <w:r w:rsidR="00C8797C">
        <w:t>gestational diabetes mellitus</w:t>
      </w:r>
      <w:r>
        <w:t xml:space="preserve"> or PCOS at stage 1 or 2, rather than at stage 4 (or late stage 3).</w:t>
      </w:r>
    </w:p>
    <w:p w14:paraId="0E68F516" w14:textId="77777777" w:rsidR="00581EDD" w:rsidRDefault="00581EDD" w:rsidP="00B11EFB">
      <w:pPr>
        <w:pStyle w:val="Para"/>
      </w:pPr>
      <w:r>
        <w:t>Clearly measuring glyc</w:t>
      </w:r>
      <w:r w:rsidR="00113130">
        <w:t>e</w:t>
      </w:r>
      <w:r>
        <w:t xml:space="preserve">mic surrogates (including </w:t>
      </w:r>
      <w:r w:rsidR="00326215">
        <w:t>fasting plasma glucose</w:t>
      </w:r>
      <w:r>
        <w:t xml:space="preserve"> and HbA1c) are insufficiently sensitive for early detection. So, what alternatives could be considered that detect the early changes in both insulin resistance and </w:t>
      </w:r>
      <w:r w:rsidR="00FC5D74">
        <w:t>β cell</w:t>
      </w:r>
      <w:r>
        <w:t xml:space="preserve"> function?</w:t>
      </w:r>
    </w:p>
    <w:p w14:paraId="6B8F0855" w14:textId="77777777" w:rsidR="00581EDD" w:rsidRDefault="00A77C6E" w:rsidP="00B11EFB">
      <w:pPr>
        <w:pStyle w:val="Para"/>
      </w:pPr>
      <w:r>
        <w:lastRenderedPageBreak/>
        <w:t>V</w:t>
      </w:r>
      <w:r w:rsidR="00581EDD">
        <w:t xml:space="preserve">arious surrogates </w:t>
      </w:r>
      <w:r>
        <w:t xml:space="preserve">exist </w:t>
      </w:r>
      <w:r w:rsidR="00581EDD">
        <w:t xml:space="preserve">for insulin resistance and </w:t>
      </w:r>
      <w:r w:rsidR="00FC5D74">
        <w:t>β cell</w:t>
      </w:r>
      <w:r w:rsidR="00581EDD">
        <w:t xml:space="preserve"> function, though most are currently not widely used in clinical practice. One prospective study suggested that the insulin-like growth factor system represents a potential area to explore in relation to markers for insulin resistance and risk of future </w:t>
      </w:r>
      <w:r w:rsidR="00C8797C">
        <w:t>type 2 diabetes</w:t>
      </w:r>
      <w:r w:rsidR="00581EDD">
        <w:t>.</w:t>
      </w:r>
      <w:r w:rsidR="00581EDD">
        <w:rPr>
          <w:vertAlign w:val="superscript"/>
        </w:rPr>
        <w:t>128</w:t>
      </w:r>
      <w:r w:rsidR="00581EDD">
        <w:t xml:space="preserve"> Insulin sensitivity can be measured relatively easily by measuring HOMA (which uses the product of fasting glucose and insulin concentrations).</w:t>
      </w:r>
      <w:r w:rsidR="00581EDD">
        <w:rPr>
          <w:vertAlign w:val="superscript"/>
        </w:rPr>
        <w:t>129</w:t>
      </w:r>
      <w:r w:rsidR="00581EDD">
        <w:t xml:space="preserve"> Estimation of insulin sensitivity (HOMA-S) had been proposed to have a role in epidemiological studies identifying women with PCOS with insulin resistance with a view to targeting them with insulin</w:t>
      </w:r>
      <w:r w:rsidR="005679E1">
        <w:t xml:space="preserve"> </w:t>
      </w:r>
      <w:r w:rsidR="00581EDD">
        <w:t>sensitizing agents.</w:t>
      </w:r>
      <w:r w:rsidR="00581EDD">
        <w:rPr>
          <w:vertAlign w:val="superscript"/>
        </w:rPr>
        <w:t>130</w:t>
      </w:r>
    </w:p>
    <w:p w14:paraId="693F9FAF" w14:textId="77777777" w:rsidR="00581EDD" w:rsidRDefault="00FC5D74" w:rsidP="004148BB">
      <w:pPr>
        <w:pStyle w:val="Para"/>
      </w:pPr>
      <w:r w:rsidRPr="00D958B4">
        <w:t>β cell</w:t>
      </w:r>
      <w:r w:rsidR="00581EDD" w:rsidRPr="00D958B4">
        <w:t xml:space="preserve"> function is often evaluated using basal insulin. However, for this</w:t>
      </w:r>
      <w:r w:rsidR="00D958B4">
        <w:t xml:space="preserve"> evaluation</w:t>
      </w:r>
      <w:r w:rsidR="00581EDD" w:rsidRPr="00D958B4">
        <w:t xml:space="preserve"> to be combined with assessment of insulin sensitivity, the measurements for insulin sensitivity should be as independent as possible</w:t>
      </w:r>
      <w:r w:rsidR="00581EDD">
        <w:t xml:space="preserve"> from the measurement for </w:t>
      </w:r>
      <w:r>
        <w:t>β cell</w:t>
      </w:r>
      <w:r w:rsidR="00581EDD">
        <w:t xml:space="preserve"> function</w:t>
      </w:r>
      <w:r w:rsidR="00D958B4">
        <w:t>;</w:t>
      </w:r>
      <w:r w:rsidR="00581EDD">
        <w:t xml:space="preserve"> otherwise</w:t>
      </w:r>
      <w:r w:rsidR="00D958B4">
        <w:t>,</w:t>
      </w:r>
      <w:r w:rsidR="00581EDD">
        <w:t xml:space="preserve"> </w:t>
      </w:r>
      <w:r w:rsidR="00A77C6E">
        <w:t>the measure</w:t>
      </w:r>
      <w:r w:rsidR="00581EDD">
        <w:t xml:space="preserve"> risk</w:t>
      </w:r>
      <w:r w:rsidR="00113130">
        <w:t xml:space="preserve">s </w:t>
      </w:r>
      <w:r w:rsidR="00581EDD">
        <w:t>erroneous results.</w:t>
      </w:r>
      <w:r w:rsidR="00581EDD">
        <w:rPr>
          <w:vertAlign w:val="superscript"/>
        </w:rPr>
        <w:t>120</w:t>
      </w:r>
      <w:r w:rsidR="00581EDD">
        <w:t xml:space="preserve"> Out of the available options, the </w:t>
      </w:r>
      <w:r w:rsidR="00EB482E">
        <w:t>disposition index</w:t>
      </w:r>
      <w:r w:rsidR="00581EDD">
        <w:t>, which evaluates both components (</w:t>
      </w:r>
      <w:r w:rsidR="00581EDD" w:rsidRPr="00713BEC">
        <w:t xml:space="preserve">see section </w:t>
      </w:r>
      <w:r w:rsidR="004148BB">
        <w:t xml:space="preserve">above; </w:t>
      </w:r>
      <w:r w:rsidR="004148BB" w:rsidRPr="004148BB">
        <w:rPr>
          <w:b/>
        </w:rPr>
        <w:t>Disposition index and alternative measures of insulin reserve and sensitivity</w:t>
      </w:r>
      <w:r w:rsidR="004148BB" w:rsidRPr="004148BB">
        <w:t>)</w:t>
      </w:r>
      <w:r w:rsidR="004148BB">
        <w:t xml:space="preserve"> </w:t>
      </w:r>
      <w:r w:rsidR="00581EDD">
        <w:t>was found to independently predict the conversion to diabetes irrespective of degree of glucose tolerance, risk of diabetes</w:t>
      </w:r>
      <w:r w:rsidR="00D958B4">
        <w:t xml:space="preserve"> associated with family history</w:t>
      </w:r>
      <w:r w:rsidR="00581EDD">
        <w:t xml:space="preserve">, </w:t>
      </w:r>
      <w:r w:rsidR="00EB482E">
        <w:t>body mass index</w:t>
      </w:r>
      <w:r w:rsidR="00581EDD">
        <w:t>, race</w:t>
      </w:r>
      <w:r w:rsidR="00D958B4">
        <w:t>,</w:t>
      </w:r>
      <w:r w:rsidR="00581EDD">
        <w:t xml:space="preserve"> and ethnicity.</w:t>
      </w:r>
      <w:r w:rsidR="00581EDD">
        <w:rPr>
          <w:vertAlign w:val="superscript"/>
        </w:rPr>
        <w:t>59,131</w:t>
      </w:r>
      <w:r w:rsidR="00581EDD">
        <w:t xml:space="preserve"> </w:t>
      </w:r>
      <w:r w:rsidR="00967CEB">
        <w:t>The disposition index, while it</w:t>
      </w:r>
      <w:r w:rsidR="00581EDD">
        <w:t xml:space="preserve"> </w:t>
      </w:r>
      <w:r w:rsidR="00D958B4">
        <w:t>might seem</w:t>
      </w:r>
      <w:r w:rsidR="00581EDD">
        <w:t xml:space="preserve"> to have the potential to become a gold standard, is not practical for clinical settings.</w:t>
      </w:r>
    </w:p>
    <w:p w14:paraId="48DDF1B0" w14:textId="77777777" w:rsidR="00581EDD" w:rsidRDefault="00581EDD" w:rsidP="00B11EFB">
      <w:pPr>
        <w:pStyle w:val="Para"/>
      </w:pPr>
      <w:r>
        <w:t xml:space="preserve">A promising tool for measuring the </w:t>
      </w:r>
      <w:r w:rsidR="00EB482E">
        <w:t>disposition index</w:t>
      </w:r>
      <w:r>
        <w:t xml:space="preserve"> in epidemiological work has been established from the 75g OGTT, termed OGIS (</w:t>
      </w:r>
      <w:r w:rsidR="00D958B4">
        <w:t>oral glucose insulin sensitivity</w:t>
      </w:r>
      <w:r>
        <w:t xml:space="preserve">). </w:t>
      </w:r>
      <w:r w:rsidR="00882502">
        <w:t xml:space="preserve">OGIS </w:t>
      </w:r>
      <w:r>
        <w:t>requires three samples for measurement of plasma glucose and insulin</w:t>
      </w:r>
      <w:r w:rsidR="00D958B4">
        <w:t xml:space="preserve">: </w:t>
      </w:r>
      <w:r>
        <w:t>fasting, 90</w:t>
      </w:r>
      <w:r w:rsidR="00D958B4">
        <w:t xml:space="preserve"> </w:t>
      </w:r>
      <w:r>
        <w:t>min</w:t>
      </w:r>
      <w:r w:rsidR="00D958B4">
        <w:t>,</w:t>
      </w:r>
      <w:r>
        <w:t xml:space="preserve"> and 120</w:t>
      </w:r>
      <w:r w:rsidR="00D958B4">
        <w:t xml:space="preserve"> </w:t>
      </w:r>
      <w:r>
        <w:t>min</w:t>
      </w:r>
      <w:r w:rsidR="00D958B4">
        <w:t>. These samples</w:t>
      </w:r>
      <w:r>
        <w:t xml:space="preserve"> provid</w:t>
      </w:r>
      <w:r w:rsidR="00D958B4">
        <w:t>e</w:t>
      </w:r>
      <w:r>
        <w:t xml:space="preserve"> adequate information for estimation of </w:t>
      </w:r>
      <w:r w:rsidR="00EB482E">
        <w:t>disposition index</w:t>
      </w:r>
      <w:r>
        <w:t xml:space="preserve"> in large scale studies as a potentially cost</w:t>
      </w:r>
      <w:r w:rsidR="004148BB">
        <w:t>-</w:t>
      </w:r>
      <w:r>
        <w:t>effective tool for research purposes.</w:t>
      </w:r>
      <w:r>
        <w:rPr>
          <w:vertAlign w:val="superscript"/>
        </w:rPr>
        <w:t>132,133</w:t>
      </w:r>
    </w:p>
    <w:p w14:paraId="058DC31C" w14:textId="77777777" w:rsidR="00581EDD" w:rsidRDefault="00581EDD" w:rsidP="00B11EFB">
      <w:pPr>
        <w:pStyle w:val="Para"/>
      </w:pPr>
      <w:r>
        <w:t xml:space="preserve">The challenge arises when the number of women who </w:t>
      </w:r>
      <w:r w:rsidR="00D958B4">
        <w:t xml:space="preserve">might </w:t>
      </w:r>
      <w:r>
        <w:t xml:space="preserve">require regular (possibly annual) monitoring is considered. Use of complex tests such as </w:t>
      </w:r>
      <w:r w:rsidR="00EB482E">
        <w:t>disposition index</w:t>
      </w:r>
      <w:r>
        <w:t xml:space="preserve"> or HOMA-S are not cost</w:t>
      </w:r>
      <w:r w:rsidR="00D958B4">
        <w:t xml:space="preserve"> </w:t>
      </w:r>
      <w:r>
        <w:t xml:space="preserve">effective or logistically practical for estimation of </w:t>
      </w:r>
      <w:r w:rsidR="00EB482E">
        <w:t>disposition index</w:t>
      </w:r>
      <w:r>
        <w:t xml:space="preserve"> in a clinical setting for such large numbers if all cases are included. Hence, a stratified, model</w:t>
      </w:r>
      <w:r w:rsidR="00D958B4">
        <w:t xml:space="preserve"> </w:t>
      </w:r>
      <w:r>
        <w:t xml:space="preserve">driven approach </w:t>
      </w:r>
      <w:r w:rsidR="00113130">
        <w:t>might</w:t>
      </w:r>
      <w:r>
        <w:t xml:space="preserve"> be required</w:t>
      </w:r>
      <w:r w:rsidR="00D958B4">
        <w:t>;</w:t>
      </w:r>
      <w:r>
        <w:t xml:space="preserve"> for example</w:t>
      </w:r>
      <w:r w:rsidR="00D958B4">
        <w:t>,</w:t>
      </w:r>
      <w:r>
        <w:t xml:space="preserve"> use of risk</w:t>
      </w:r>
      <w:r w:rsidR="00D958B4">
        <w:t xml:space="preserve"> </w:t>
      </w:r>
      <w:r>
        <w:t>stratification tools</w:t>
      </w:r>
      <w:r w:rsidR="00D958B4">
        <w:t xml:space="preserve"> for future development of type 2 diabetes specific to</w:t>
      </w:r>
      <w:r>
        <w:t xml:space="preserve"> </w:t>
      </w:r>
      <w:r w:rsidR="00D958B4">
        <w:t>gestational diabetes mellitus and PCOS</w:t>
      </w:r>
      <w:r>
        <w:t xml:space="preserve">. </w:t>
      </w:r>
      <w:r w:rsidR="00882502">
        <w:t xml:space="preserve">Such tools </w:t>
      </w:r>
      <w:r>
        <w:t xml:space="preserve">would allow testing modality and monitoring frequency to be tailored based on risk, with perhaps only those at highest risk warranting the </w:t>
      </w:r>
      <w:r w:rsidR="00D958B4">
        <w:t xml:space="preserve">three </w:t>
      </w:r>
      <w:r>
        <w:t xml:space="preserve">point OGTT and </w:t>
      </w:r>
      <w:r w:rsidR="00EB482E">
        <w:t>disposition index</w:t>
      </w:r>
      <w:r>
        <w:t xml:space="preserve"> calculation described above. For those in the lower</w:t>
      </w:r>
      <w:r w:rsidR="00D958B4">
        <w:t xml:space="preserve"> </w:t>
      </w:r>
      <w:r>
        <w:t xml:space="preserve">risk categories, monitoring using conventional tools </w:t>
      </w:r>
      <w:r w:rsidR="00D958B4">
        <w:t xml:space="preserve">might </w:t>
      </w:r>
      <w:r>
        <w:t>be appropriate, but with closer scrutiny of trajectories over time.</w:t>
      </w:r>
    </w:p>
    <w:p w14:paraId="2A82B84E" w14:textId="77777777" w:rsidR="00581EDD" w:rsidRDefault="00581EDD" w:rsidP="00B11EFB">
      <w:pPr>
        <w:pStyle w:val="Para"/>
      </w:pPr>
      <w:r>
        <w:t>Ultimately, these studies will inform development of risk</w:t>
      </w:r>
      <w:r w:rsidR="004148BB">
        <w:t>-</w:t>
      </w:r>
      <w:r>
        <w:t>stratification models using anthropometric and laboratory measures suitable for wider community implementation.</w:t>
      </w:r>
    </w:p>
    <w:p w14:paraId="73E54579" w14:textId="77777777" w:rsidR="00581EDD" w:rsidRDefault="00581EDD" w:rsidP="00B11EFB">
      <w:pPr>
        <w:pStyle w:val="HeadB"/>
      </w:pPr>
      <w:r>
        <w:lastRenderedPageBreak/>
        <w:t>Early intervention</w:t>
      </w:r>
    </w:p>
    <w:p w14:paraId="3DA73B8D" w14:textId="77777777" w:rsidR="00581EDD" w:rsidRDefault="00581EDD" w:rsidP="00B11EFB">
      <w:pPr>
        <w:pStyle w:val="Para"/>
      </w:pPr>
      <w:r>
        <w:t xml:space="preserve">Clearly, early detection is of little value without effective timely interventions. On the positive side, progressive deterioration in insulin resistance and </w:t>
      </w:r>
      <w:r w:rsidR="00FC5D74">
        <w:t>β cell</w:t>
      </w:r>
      <w:r>
        <w:t xml:space="preserve"> function is not irreversible. Studies on the effect of bariatric surgery and lifestyle interventions show that insulin production decreases in response to interventions that enhance insulin sensitivity.</w:t>
      </w:r>
      <w:r>
        <w:rPr>
          <w:vertAlign w:val="superscript"/>
        </w:rPr>
        <w:t>126,134</w:t>
      </w:r>
      <w:r>
        <w:t xml:space="preserve"> Furthermore, clinical trials and observational studies using metformin and other antidiabetic agents have shown promise in reducing insulin resistance and have been proposed as part of a primary prevention strategy.</w:t>
      </w:r>
      <w:r>
        <w:rPr>
          <w:vertAlign w:val="superscript"/>
        </w:rPr>
        <w:t>134,135</w:t>
      </w:r>
      <w:r>
        <w:t xml:space="preserve"> Th</w:t>
      </w:r>
      <w:r w:rsidR="00D958B4">
        <w:t>ese results</w:t>
      </w:r>
      <w:r>
        <w:t xml:space="preserve"> should encourage clinicians and researchers to evaluate the </w:t>
      </w:r>
      <w:r w:rsidR="00EB482E">
        <w:t>disposition index</w:t>
      </w:r>
      <w:r>
        <w:t xml:space="preserve"> status in women with PCOS and </w:t>
      </w:r>
      <w:r w:rsidR="00C8797C">
        <w:t>gestational diabetes mellitus</w:t>
      </w:r>
      <w:r>
        <w:t xml:space="preserve">, </w:t>
      </w:r>
      <w:r w:rsidR="00D958B4">
        <w:t xml:space="preserve">by </w:t>
      </w:r>
      <w:r>
        <w:t>seeking to prevent, or at least delay</w:t>
      </w:r>
      <w:r w:rsidR="00D958B4">
        <w:t>, onset of</w:t>
      </w:r>
      <w:r>
        <w:t xml:space="preserve"> </w:t>
      </w:r>
      <w:r w:rsidR="00C8797C">
        <w:t>type 2 diabetes</w:t>
      </w:r>
      <w:r>
        <w:t>, rather than merely scree</w:t>
      </w:r>
      <w:r w:rsidR="0030523B">
        <w:t>ning for it</w:t>
      </w:r>
      <w:r>
        <w:t xml:space="preserve">. The current challenge is how to implement such interventions at a national level in the face of the increasing demands on global health systems. Exploring the process of implementation of a </w:t>
      </w:r>
      <w:r w:rsidR="0030523B">
        <w:t xml:space="preserve">national diabetes prevention program </w:t>
      </w:r>
      <w:r>
        <w:t>and the availability of pharmacological weight interventions provide hope in this regard</w:t>
      </w:r>
      <w:r w:rsidR="0030523B">
        <w:t>,</w:t>
      </w:r>
      <w:r>
        <w:t xml:space="preserve"> and are reviewed elsewhere.</w:t>
      </w:r>
      <w:r>
        <w:rPr>
          <w:vertAlign w:val="superscript"/>
        </w:rPr>
        <w:t>136,137</w:t>
      </w:r>
    </w:p>
    <w:p w14:paraId="53A46F28" w14:textId="77777777" w:rsidR="00581EDD" w:rsidRDefault="00581EDD" w:rsidP="00B11EFB">
      <w:pPr>
        <w:pStyle w:val="HeadA"/>
      </w:pPr>
      <w:r>
        <w:t>Conclusion</w:t>
      </w:r>
    </w:p>
    <w:p w14:paraId="664930B0" w14:textId="77777777" w:rsidR="00581EDD" w:rsidRDefault="00581EDD" w:rsidP="00B11EFB">
      <w:pPr>
        <w:pStyle w:val="Para"/>
      </w:pPr>
      <w:r>
        <w:t xml:space="preserve">Both </w:t>
      </w:r>
      <w:r w:rsidR="00C8797C">
        <w:t>gestational diabetes mellitus</w:t>
      </w:r>
      <w:r>
        <w:t xml:space="preserve"> and PCOS represent major and increasingly common risk factors for future development of </w:t>
      </w:r>
      <w:r w:rsidR="00C8797C">
        <w:t>type 2 diabetes</w:t>
      </w:r>
      <w:r w:rsidR="0030523B">
        <w:t>,</w:t>
      </w:r>
      <w:r>
        <w:t xml:space="preserve"> affecting up to 20% of women</w:t>
      </w:r>
      <w:r w:rsidR="0030523B">
        <w:t xml:space="preserve"> (most of whom are young women)</w:t>
      </w:r>
      <w:r>
        <w:t xml:space="preserve">. However, despite the importance of </w:t>
      </w:r>
      <w:r w:rsidR="0030523B">
        <w:t>these factors</w:t>
      </w:r>
      <w:r>
        <w:t xml:space="preserve">, we are not aware of any clear public health strategy </w:t>
      </w:r>
      <w:r w:rsidR="0030523B">
        <w:t xml:space="preserve">to deal with them, </w:t>
      </w:r>
      <w:r>
        <w:t>even in</w:t>
      </w:r>
      <w:r w:rsidR="0030523B">
        <w:t xml:space="preserve"> </w:t>
      </w:r>
      <w:r>
        <w:t xml:space="preserve">countries with mature health care systems. Adherence to guidance on monitoring, when present, is poor, and, in terms of PCOS, the lack of clear and consistent international guidance is hampering progress by sending mixed messages to healthcare professionals on the importance of ongoing monitoring. Tools used to </w:t>
      </w:r>
      <w:r w:rsidR="0099676F">
        <w:t xml:space="preserve">deal with </w:t>
      </w:r>
      <w:r>
        <w:t>this lack of adherence are variable in their effectiveness and are over</w:t>
      </w:r>
      <w:r w:rsidR="0030523B">
        <w:t xml:space="preserve">ly </w:t>
      </w:r>
      <w:r>
        <w:t>reliant on technology</w:t>
      </w:r>
      <w:r w:rsidR="0030523B">
        <w:t xml:space="preserve"> </w:t>
      </w:r>
      <w:r>
        <w:t>based reminder systems. We advocate a more holistic approach to ensure women have adequate information regarding risk and sufficient access to services that meet their needs.</w:t>
      </w:r>
    </w:p>
    <w:p w14:paraId="20DDC401" w14:textId="77777777" w:rsidR="00581EDD" w:rsidRDefault="00581EDD" w:rsidP="00B11EFB">
      <w:pPr>
        <w:pStyle w:val="Para"/>
      </w:pPr>
      <w:r>
        <w:t>Furthermore, existing strategies for detecting dysglyc</w:t>
      </w:r>
      <w:r w:rsidR="00113130">
        <w:t>e</w:t>
      </w:r>
      <w:r>
        <w:t>mia in these women generally</w:t>
      </w:r>
      <w:r w:rsidR="0030523B">
        <w:t xml:space="preserve"> come</w:t>
      </w:r>
      <w:r>
        <w:t xml:space="preserve"> too late to allow effective early intervention to prevent or delay </w:t>
      </w:r>
      <w:r w:rsidR="0030523B">
        <w:t xml:space="preserve">the </w:t>
      </w:r>
      <w:r>
        <w:t>development</w:t>
      </w:r>
      <w:r w:rsidR="0030523B">
        <w:t xml:space="preserve"> of type 2 diabetes</w:t>
      </w:r>
      <w:r>
        <w:t>. Risk stratification modelling and glyc</w:t>
      </w:r>
      <w:r w:rsidR="00113130">
        <w:t>e</w:t>
      </w:r>
      <w:r>
        <w:t>mic trajectory tracking studies to facilitate effective, early</w:t>
      </w:r>
      <w:r w:rsidR="0030523B">
        <w:t>,</w:t>
      </w:r>
      <w:r>
        <w:t xml:space="preserve"> and targeted </w:t>
      </w:r>
      <w:r w:rsidR="00C8797C">
        <w:t>type 2 diabetes</w:t>
      </w:r>
      <w:r>
        <w:t xml:space="preserve"> detection strategies are lacking. The development of more effective tools to identify early glyc</w:t>
      </w:r>
      <w:r w:rsidR="00113130">
        <w:t>e</w:t>
      </w:r>
      <w:r>
        <w:t>mic deterioration in young women is urgently required.</w:t>
      </w:r>
    </w:p>
    <w:p w14:paraId="76B51BB3" w14:textId="77777777" w:rsidR="00581EDD" w:rsidRDefault="00581EDD" w:rsidP="00B11EFB">
      <w:pPr>
        <w:pStyle w:val="BoxBegin"/>
      </w:pPr>
      <w:r>
        <w:lastRenderedPageBreak/>
        <w:t>Box start</w:t>
      </w:r>
    </w:p>
    <w:p w14:paraId="1CF48ADB" w14:textId="77777777" w:rsidR="00581EDD" w:rsidRDefault="00581EDD" w:rsidP="00B11EFB">
      <w:pPr>
        <w:pStyle w:val="BoxTitle"/>
      </w:pPr>
      <w:r>
        <w:t>Questions for future research</w:t>
      </w:r>
    </w:p>
    <w:p w14:paraId="6C7FAB87" w14:textId="77777777" w:rsidR="00581EDD" w:rsidRDefault="00581EDD" w:rsidP="00B11EFB">
      <w:pPr>
        <w:pStyle w:val="BoxBullNumList1"/>
      </w:pPr>
      <w:r>
        <w:t>• How should international guidelines for long</w:t>
      </w:r>
      <w:r w:rsidR="0030523B">
        <w:t xml:space="preserve"> </w:t>
      </w:r>
      <w:r>
        <w:t xml:space="preserve">term screening for </w:t>
      </w:r>
      <w:r w:rsidR="00C8797C">
        <w:t>type 2 diabetes</w:t>
      </w:r>
      <w:r>
        <w:t xml:space="preserve"> in </w:t>
      </w:r>
      <w:r w:rsidR="00C8797C">
        <w:t>gestational diabetes mellitus</w:t>
      </w:r>
      <w:r>
        <w:t xml:space="preserve"> and PCOS be clarified to provide a clear message to patients and healthcare professionals on the risk of </w:t>
      </w:r>
      <w:r w:rsidR="00C8797C">
        <w:t>type 2 diabetes</w:t>
      </w:r>
      <w:r>
        <w:t xml:space="preserve"> and importance of regular monitoring?</w:t>
      </w:r>
    </w:p>
    <w:p w14:paraId="78E44E2E" w14:textId="77777777" w:rsidR="00581EDD" w:rsidRDefault="00581EDD" w:rsidP="00B11EFB">
      <w:pPr>
        <w:pStyle w:val="BoxBullNumList1"/>
      </w:pPr>
      <w:r>
        <w:t xml:space="preserve">• How can patients be more </w:t>
      </w:r>
      <w:r w:rsidR="0099676F">
        <w:t xml:space="preserve">included </w:t>
      </w:r>
      <w:r>
        <w:t>in the development of effective approaches to improve adherence to diabetes monitoring?</w:t>
      </w:r>
    </w:p>
    <w:p w14:paraId="69982987" w14:textId="77777777" w:rsidR="00581EDD" w:rsidRDefault="00581EDD" w:rsidP="00B11EFB">
      <w:pPr>
        <w:pStyle w:val="BoxBullNumList1"/>
      </w:pPr>
      <w:r>
        <w:t>• What simple tests could be developed to facilitate earlier detection of dysglyc</w:t>
      </w:r>
      <w:r w:rsidR="00113130">
        <w:t>e</w:t>
      </w:r>
      <w:r>
        <w:t>mia in large numbers of women?</w:t>
      </w:r>
    </w:p>
    <w:p w14:paraId="0D7E12C3" w14:textId="77777777" w:rsidR="00581EDD" w:rsidRDefault="00581EDD" w:rsidP="00B11EFB">
      <w:pPr>
        <w:pStyle w:val="BoxBullNumList1"/>
      </w:pPr>
      <w:r>
        <w:t>• What studies need to be designed to identify and validate these tests? How could their cost</w:t>
      </w:r>
      <w:r w:rsidR="0030523B">
        <w:t xml:space="preserve"> </w:t>
      </w:r>
      <w:r>
        <w:t>effectiveness be evaluated?</w:t>
      </w:r>
    </w:p>
    <w:p w14:paraId="38A279D7" w14:textId="77777777" w:rsidR="00581EDD" w:rsidRDefault="00581EDD" w:rsidP="00B11EFB">
      <w:pPr>
        <w:pStyle w:val="BoxEnd"/>
      </w:pPr>
      <w:r>
        <w:t>Box end</w:t>
      </w:r>
    </w:p>
    <w:p w14:paraId="4C28ED05" w14:textId="77777777" w:rsidR="00581EDD" w:rsidRDefault="00581EDD" w:rsidP="00B11EFB">
      <w:pPr>
        <w:pStyle w:val="BoxBegin"/>
      </w:pPr>
      <w:r>
        <w:t>Box start</w:t>
      </w:r>
    </w:p>
    <w:p w14:paraId="5919B055" w14:textId="77777777" w:rsidR="00581EDD" w:rsidRDefault="00581EDD" w:rsidP="00B11EFB">
      <w:pPr>
        <w:pStyle w:val="BoxTitle"/>
      </w:pPr>
      <w:r>
        <w:t>A patient perspective</w:t>
      </w:r>
    </w:p>
    <w:p w14:paraId="498E8CB6" w14:textId="77777777" w:rsidR="00581EDD" w:rsidRDefault="00581EDD" w:rsidP="00B11EFB">
      <w:pPr>
        <w:pStyle w:val="BoxText"/>
      </w:pPr>
      <w:r>
        <w:t>My experience with PCOS started with a visit to gyn</w:t>
      </w:r>
      <w:r w:rsidR="00113130">
        <w:t>e</w:t>
      </w:r>
      <w:r>
        <w:t>cology where I reported increased facial hair growth, a history of acne and irregular menstrual cycles. Whilst a resulting ultrasound scan did not detect cysts on the ovaries, I was diagnosed with PCOS swiftly and discharged with the order to 'lose weight.'</w:t>
      </w:r>
    </w:p>
    <w:p w14:paraId="7CB9082B" w14:textId="77777777" w:rsidR="00581EDD" w:rsidRDefault="00581EDD" w:rsidP="00B11EFB">
      <w:pPr>
        <w:pStyle w:val="BoxText"/>
      </w:pPr>
      <w:r>
        <w:t xml:space="preserve">Unfortunately, I wasn't made aware of any implications of the condition at this point, including the need to screen for diabetes. Whilst it seems obvious in hindsight, a discussion on diabetes could have helped motivate me to be even more proactive with my efforts to lower my </w:t>
      </w:r>
      <w:r w:rsidR="00EB482E">
        <w:t>body mass index</w:t>
      </w:r>
      <w:r>
        <w:t>.</w:t>
      </w:r>
    </w:p>
    <w:p w14:paraId="617B4298" w14:textId="77777777" w:rsidR="00581EDD" w:rsidRDefault="00581EDD" w:rsidP="00B11EFB">
      <w:pPr>
        <w:pStyle w:val="BoxText"/>
      </w:pPr>
      <w:r>
        <w:t>It was not until I raised the topic of fertility and hormonal imbalance at a gyn</w:t>
      </w:r>
      <w:r w:rsidR="00113130">
        <w:t>e</w:t>
      </w:r>
      <w:r>
        <w:t xml:space="preserve">cology appointment around </w:t>
      </w:r>
      <w:r w:rsidR="00457D0E">
        <w:t>two</w:t>
      </w:r>
      <w:r>
        <w:t xml:space="preserve"> years later, that I felt appropriate attention was given to my diagnosis. Indeed, one of the greatest challenges has been dealing with the stigma of being overweight and finding a professional who can sensitively discuss this whilst acknowledging the difficulties </w:t>
      </w:r>
      <w:r w:rsidR="00EA3F13">
        <w:t>compared with</w:t>
      </w:r>
      <w:r>
        <w:t xml:space="preserve"> someone without PCOS.</w:t>
      </w:r>
    </w:p>
    <w:p w14:paraId="50B6AD7D" w14:textId="77777777" w:rsidR="00581EDD" w:rsidRDefault="00581EDD" w:rsidP="00B11EFB">
      <w:pPr>
        <w:pStyle w:val="BoxEnd"/>
      </w:pPr>
      <w:r>
        <w:t>Box end</w:t>
      </w:r>
    </w:p>
    <w:p w14:paraId="0B2A804F" w14:textId="77777777" w:rsidR="00581EDD" w:rsidRDefault="00581EDD" w:rsidP="00B11EFB">
      <w:pPr>
        <w:pStyle w:val="BoxBegin"/>
      </w:pPr>
      <w:r>
        <w:t>Box start</w:t>
      </w:r>
    </w:p>
    <w:p w14:paraId="78891FC0" w14:textId="77777777" w:rsidR="00581EDD" w:rsidRDefault="00581EDD" w:rsidP="00B11EFB">
      <w:pPr>
        <w:pStyle w:val="BoxTitle"/>
      </w:pPr>
      <w:r>
        <w:t>Glossary of abbreviations</w:t>
      </w:r>
    </w:p>
    <w:p w14:paraId="3F940CC6" w14:textId="77777777" w:rsidR="00581EDD" w:rsidRDefault="00581EDD" w:rsidP="00B11EFB">
      <w:pPr>
        <w:pStyle w:val="BoxBullNumList1"/>
      </w:pPr>
      <w:r>
        <w:t>PCOS: polycystic ovarian syndrome</w:t>
      </w:r>
    </w:p>
    <w:p w14:paraId="2DBAE3DE" w14:textId="77777777" w:rsidR="005E1838" w:rsidRDefault="005E1838" w:rsidP="00B11EFB">
      <w:pPr>
        <w:pStyle w:val="BoxBullNumList1"/>
      </w:pPr>
      <w:r>
        <w:t>PI3K: phosphatidylinositol 3-kinase</w:t>
      </w:r>
    </w:p>
    <w:p w14:paraId="75C4909D" w14:textId="77777777" w:rsidR="005E1838" w:rsidRDefault="005E1838" w:rsidP="00B11EFB">
      <w:pPr>
        <w:pStyle w:val="BoxBullNumList1"/>
      </w:pPr>
      <w:r>
        <w:t>IRS-1: insulin receptor substrate</w:t>
      </w:r>
    </w:p>
    <w:p w14:paraId="10ECD67E" w14:textId="77777777" w:rsidR="00581EDD" w:rsidRDefault="00581EDD" w:rsidP="004148BB">
      <w:pPr>
        <w:pStyle w:val="BoxBullNumList1"/>
        <w:ind w:left="0" w:firstLine="0"/>
      </w:pPr>
      <w:r>
        <w:t>OGTT: oral glucose tolerance test</w:t>
      </w:r>
    </w:p>
    <w:p w14:paraId="68ED5233" w14:textId="77777777" w:rsidR="00457D0E" w:rsidRDefault="00457D0E" w:rsidP="004148BB">
      <w:pPr>
        <w:pStyle w:val="BoxBullNumList1"/>
        <w:ind w:left="0" w:firstLine="0"/>
      </w:pPr>
      <w:r>
        <w:t>OGIS: oral glucose insulin sensitivity</w:t>
      </w:r>
    </w:p>
    <w:p w14:paraId="737751BB" w14:textId="77777777" w:rsidR="00326215" w:rsidRDefault="00326215" w:rsidP="004148BB">
      <w:pPr>
        <w:pStyle w:val="BoxBullNumList1"/>
        <w:ind w:left="0" w:firstLine="0"/>
      </w:pPr>
      <w:r>
        <w:t xml:space="preserve">IVGTT: intravenous glucose tolerance test </w:t>
      </w:r>
    </w:p>
    <w:p w14:paraId="43875FA8" w14:textId="77777777" w:rsidR="00581EDD" w:rsidRDefault="00326215" w:rsidP="004148BB">
      <w:pPr>
        <w:pStyle w:val="BoxBullNumList1"/>
        <w:ind w:left="0" w:firstLine="0"/>
      </w:pPr>
      <w:r>
        <w:t>ISSI2: insulin secretion sensitivity index 2</w:t>
      </w:r>
    </w:p>
    <w:p w14:paraId="3B6D7916" w14:textId="77777777" w:rsidR="00581EDD" w:rsidRDefault="00581EDD" w:rsidP="00B11EFB">
      <w:pPr>
        <w:pStyle w:val="BoxBullNumList1"/>
      </w:pPr>
      <w:r>
        <w:t>HbA1c: glycated h</w:t>
      </w:r>
      <w:r w:rsidR="00113130">
        <w:t>e</w:t>
      </w:r>
      <w:r>
        <w:t>moglobin</w:t>
      </w:r>
    </w:p>
    <w:p w14:paraId="71CB1EA6" w14:textId="77777777" w:rsidR="00581EDD" w:rsidRDefault="00581EDD" w:rsidP="00B11EFB">
      <w:pPr>
        <w:pStyle w:val="BoxBullNumList1"/>
      </w:pPr>
      <w:r>
        <w:t xml:space="preserve">HOMA: </w:t>
      </w:r>
      <w:r w:rsidR="00457D0E">
        <w:t>homeostatic model assessment</w:t>
      </w:r>
    </w:p>
    <w:p w14:paraId="1863C875" w14:textId="77777777" w:rsidR="002125FC" w:rsidRDefault="002125FC" w:rsidP="00B11EFB">
      <w:pPr>
        <w:pStyle w:val="BoxBullNumList1"/>
      </w:pPr>
      <w:r>
        <w:t>HOMA-S: estimation of insulin sensitivity</w:t>
      </w:r>
    </w:p>
    <w:p w14:paraId="470DF79C" w14:textId="77777777" w:rsidR="00581EDD" w:rsidRDefault="00581EDD" w:rsidP="004148BB">
      <w:pPr>
        <w:pStyle w:val="BoxBullNumList1"/>
        <w:ind w:left="0" w:firstLine="0"/>
      </w:pPr>
      <w:r>
        <w:t>Box end</w:t>
      </w:r>
    </w:p>
    <w:p w14:paraId="7DE103F8" w14:textId="77777777" w:rsidR="00581EDD" w:rsidRDefault="00581EDD" w:rsidP="00B11EFB">
      <w:pPr>
        <w:pStyle w:val="Acknowledge"/>
      </w:pPr>
      <w:r>
        <w:rPr>
          <w:b/>
        </w:rPr>
        <w:t>Acknowledgements:</w:t>
      </w:r>
      <w:r>
        <w:t xml:space="preserve"> </w:t>
      </w:r>
      <w:r w:rsidR="00651CFF">
        <w:t>We</w:t>
      </w:r>
      <w:r>
        <w:t xml:space="preserve"> </w:t>
      </w:r>
      <w:r w:rsidR="00651CFF">
        <w:t>thank</w:t>
      </w:r>
      <w:r>
        <w:t xml:space="preserve"> all the patients and public contributors who have participated in studies and helped shape their learning over many years. In particular, we thank the women with </w:t>
      </w:r>
      <w:r w:rsidR="00C8797C">
        <w:t>gestational diabetes mellitus</w:t>
      </w:r>
      <w:r>
        <w:t xml:space="preserve"> and PCOS who contributed</w:t>
      </w:r>
      <w:r w:rsidR="00651CFF">
        <w:t xml:space="preserve"> to</w:t>
      </w:r>
      <w:r>
        <w:t xml:space="preserve"> this article</w:t>
      </w:r>
      <w:r w:rsidR="00651CFF">
        <w:t xml:space="preserve"> more </w:t>
      </w:r>
      <w:r w:rsidR="00651CFF">
        <w:lastRenderedPageBreak/>
        <w:t>directly</w:t>
      </w:r>
      <w:r>
        <w:t xml:space="preserve">, including those women with </w:t>
      </w:r>
      <w:r w:rsidR="00C8797C">
        <w:t>gestational diabetes mellitus</w:t>
      </w:r>
      <w:r>
        <w:t xml:space="preserve"> who agreed to telephone discussions and the </w:t>
      </w:r>
      <w:r w:rsidR="00651CFF">
        <w:t xml:space="preserve">woman </w:t>
      </w:r>
      <w:r>
        <w:t>with PCOS who provided our patient perspective.</w:t>
      </w:r>
    </w:p>
    <w:p w14:paraId="3C623B4D" w14:textId="77777777" w:rsidR="00581EDD" w:rsidRDefault="00581EDD" w:rsidP="00B11EFB">
      <w:pPr>
        <w:pStyle w:val="Miscellaneous"/>
      </w:pPr>
      <w:r>
        <w:rPr>
          <w:b/>
        </w:rPr>
        <w:t xml:space="preserve">Contributors and guarantor: </w:t>
      </w:r>
      <w:r>
        <w:t>All authors agreed the structure and content of the article. PW wrote the initial draft of Background sections, FWF and AAF wrote the section on pathophysiology, AHH contributed to each section and, with AAF, performed a final review of the whole manuscript</w:t>
      </w:r>
      <w:r w:rsidR="00651CFF">
        <w:t>.</w:t>
      </w:r>
      <w:r>
        <w:t xml:space="preserve"> AAF wrote the sections on current approaches to screening and on the challenges posed by current guidance and, with FWF, coordinated the </w:t>
      </w:r>
      <w:r w:rsidR="00651CFF">
        <w:t>collation</w:t>
      </w:r>
      <w:r>
        <w:t xml:space="preserve"> of the sections to create the overall flow. For each section, each author conducted their own literature search as outlined in the Methods section. All authors; (i) accept responsibility for all aspects of the work, (ii) reviewed and commented on the successive iterations of the entire manuscript and, (iii) agreed the final version. AAF is the guarantor for this article.</w:t>
      </w:r>
    </w:p>
    <w:p w14:paraId="1F89DCB4" w14:textId="77777777" w:rsidR="00581EDD" w:rsidRDefault="00581EDD" w:rsidP="00B11EFB">
      <w:pPr>
        <w:pStyle w:val="Conflict"/>
      </w:pPr>
      <w:r>
        <w:rPr>
          <w:b/>
        </w:rPr>
        <w:t>Competing interests:</w:t>
      </w:r>
      <w:r>
        <w:t xml:space="preserve"> We have read and understood the BMJ policy on declaration of interests and declare the following interests: none</w:t>
      </w:r>
      <w:r w:rsidR="00651CFF">
        <w:t>.</w:t>
      </w:r>
    </w:p>
    <w:p w14:paraId="06E4B62B" w14:textId="77777777" w:rsidR="00581EDD" w:rsidRDefault="00581EDD" w:rsidP="00B11EFB">
      <w:pPr>
        <w:pStyle w:val="Miscellaneous"/>
      </w:pPr>
      <w:r>
        <w:rPr>
          <w:b/>
        </w:rPr>
        <w:t>Patient involvement:</w:t>
      </w:r>
      <w:r>
        <w:t xml:space="preserve"> This work has been informed by our longstanding link with the local branch of Diabetes UK and ongoing discussion with many patients with </w:t>
      </w:r>
      <w:r w:rsidR="00C8797C">
        <w:t>gestational diabetes mellitus</w:t>
      </w:r>
      <w:r>
        <w:t xml:space="preserve"> and PCOS in relation to their risk of </w:t>
      </w:r>
      <w:r w:rsidR="00C8797C">
        <w:t>type 2 diabetes</w:t>
      </w:r>
      <w:r>
        <w:t>.</w:t>
      </w:r>
    </w:p>
    <w:p w14:paraId="0F2D3BC2" w14:textId="77777777" w:rsidR="00581EDD" w:rsidRDefault="00581EDD" w:rsidP="00B11EFB">
      <w:pPr>
        <w:pStyle w:val="Miscellaneous"/>
      </w:pPr>
      <w:r>
        <w:t xml:space="preserve">In structured telephone interviews with seven patients with </w:t>
      </w:r>
      <w:r w:rsidR="00C8797C">
        <w:t>gestational diabetes mellitus</w:t>
      </w:r>
      <w:r>
        <w:t xml:space="preserve"> on the topic, their appreciation of future </w:t>
      </w:r>
      <w:r w:rsidR="00C8797C">
        <w:t>type 2 diabetes</w:t>
      </w:r>
      <w:r>
        <w:t xml:space="preserve"> risk based on earlier consultations varied widely from 10-50%. However, they all expressed concerned about their future risk and would welcome a personali</w:t>
      </w:r>
      <w:r w:rsidR="00651CFF">
        <w:t>z</w:t>
      </w:r>
      <w:r>
        <w:t>ed screening approach that balances the need for both reassurance and early intervention where necessary without imposing on their busy lives. This feedback informed the structure of this review and the importance of consistent information on risk, early detection, and personali</w:t>
      </w:r>
      <w:r w:rsidR="005B29B0">
        <w:t>z</w:t>
      </w:r>
      <w:r>
        <w:t>ed approaches to monitoring.</w:t>
      </w:r>
    </w:p>
    <w:p w14:paraId="555A346D" w14:textId="77777777" w:rsidR="00581EDD" w:rsidRDefault="00581EDD" w:rsidP="00B11EFB">
      <w:pPr>
        <w:pStyle w:val="Miscellaneous"/>
      </w:pPr>
      <w:r>
        <w:t xml:space="preserve">The importance of (frequently neglected) discussions around future diabetes risk and the need for screening is also exemplified by the experience of one </w:t>
      </w:r>
      <w:r w:rsidR="00651CFF">
        <w:t xml:space="preserve">woman </w:t>
      </w:r>
      <w:r>
        <w:t xml:space="preserve">with PCOS as described in the </w:t>
      </w:r>
      <w:r w:rsidR="00651CFF">
        <w:t xml:space="preserve">patient perspective </w:t>
      </w:r>
      <w:r>
        <w:t>box.</w:t>
      </w:r>
    </w:p>
    <w:p w14:paraId="009A2739" w14:textId="77777777" w:rsidR="00581EDD" w:rsidRDefault="00581EDD" w:rsidP="00B11EFB">
      <w:pPr>
        <w:pStyle w:val="Miscellaneous"/>
      </w:pPr>
      <w:r>
        <w:rPr>
          <w:b/>
        </w:rPr>
        <w:t>Provenance and peer review:</w:t>
      </w:r>
      <w:r>
        <w:t xml:space="preserve"> Commissioned; externally peer reviewed.</w:t>
      </w:r>
    </w:p>
    <w:p w14:paraId="34DF5F38" w14:textId="77777777" w:rsidR="00581EDD" w:rsidRDefault="00581EDD" w:rsidP="00B11EFB">
      <w:pPr>
        <w:pStyle w:val="Reference"/>
      </w:pPr>
      <w:r>
        <w:t xml:space="preserve">1. Bellamy L, Casas JP, Hingorani AD, Williams D. Type 2 diabetes mellitus after gestational diabetes: a systematic review and meta-analysis. </w:t>
      </w:r>
      <w:r>
        <w:rPr>
          <w:i/>
        </w:rPr>
        <w:t>Lancet</w:t>
      </w:r>
      <w:r>
        <w:t xml:space="preserve"> 2009;373</w:t>
      </w:r>
      <w:r w:rsidR="000C0403">
        <w:t>:</w:t>
      </w:r>
      <w:r>
        <w:t>1773-9.</w:t>
      </w:r>
    </w:p>
    <w:p w14:paraId="7854B2F2" w14:textId="77777777" w:rsidR="00581EDD" w:rsidRDefault="00581EDD" w:rsidP="00190DC9">
      <w:pPr>
        <w:pStyle w:val="Reference"/>
        <w:tabs>
          <w:tab w:val="left" w:pos="2977"/>
        </w:tabs>
      </w:pPr>
      <w:r>
        <w:t xml:space="preserve">2. Kakoly NS, Khomami MB, Joham AE, et al. Ethnicity, obesity and the prevalence of impaired glucose tolerance and type 2 diabetes in PCOS: a systematic review and meta-regression. </w:t>
      </w:r>
      <w:r>
        <w:rPr>
          <w:i/>
        </w:rPr>
        <w:t>Hum Reprod Update</w:t>
      </w:r>
      <w:r>
        <w:t xml:space="preserve"> 2018;24</w:t>
      </w:r>
      <w:r w:rsidR="000C0403">
        <w:t>:</w:t>
      </w:r>
      <w:r>
        <w:t>455-67.</w:t>
      </w:r>
    </w:p>
    <w:p w14:paraId="6461DDD1" w14:textId="77777777" w:rsidR="00581EDD" w:rsidRDefault="00581EDD" w:rsidP="00B11EFB">
      <w:pPr>
        <w:pStyle w:val="Reference"/>
      </w:pPr>
      <w:r>
        <w:t xml:space="preserve">3. Sarwar N, Gao P, Seshasai SR, et al. Diabetes mellitus, fasting blood glucose concentration, and risk of vascular disease: a collaborative meta-analysis of 102 prospective studies. </w:t>
      </w:r>
      <w:r>
        <w:rPr>
          <w:i/>
        </w:rPr>
        <w:t>Lancet</w:t>
      </w:r>
      <w:r>
        <w:t xml:space="preserve"> 2010;375</w:t>
      </w:r>
      <w:r w:rsidR="000C0403">
        <w:t>:</w:t>
      </w:r>
      <w:r>
        <w:t>2215-22.</w:t>
      </w:r>
    </w:p>
    <w:p w14:paraId="198792BD" w14:textId="77777777" w:rsidR="00581EDD" w:rsidRDefault="00581EDD" w:rsidP="00B11EFB">
      <w:pPr>
        <w:pStyle w:val="Reference"/>
      </w:pPr>
      <w:r>
        <w:t xml:space="preserve">4. Schmidt J, Landin-Wilhelmsen K, Brännström M, Dahlgren E. Cardiovascular disease and risk factors in PCOS women of postmenopausal age: a 21-year controlled follow-up study. </w:t>
      </w:r>
      <w:r>
        <w:rPr>
          <w:i/>
        </w:rPr>
        <w:t>J Clin Endocrinol Metab</w:t>
      </w:r>
      <w:r>
        <w:t xml:space="preserve"> 2011;96</w:t>
      </w:r>
      <w:r w:rsidR="000C0403">
        <w:t>:</w:t>
      </w:r>
      <w:r>
        <w:t>3794-803.</w:t>
      </w:r>
    </w:p>
    <w:p w14:paraId="01152126" w14:textId="77777777" w:rsidR="00581EDD" w:rsidRDefault="00581EDD" w:rsidP="00B11EFB">
      <w:pPr>
        <w:pStyle w:val="Reference"/>
      </w:pPr>
      <w:r>
        <w:t xml:space="preserve">5. Behboudi-Gandevani S, Amiri M, Bidhendi Yarandi R, Ramezani Tehrani F. The impact of diagnostic criteria for gestational diabetes on its prevalence: a systematic review and meta-analysis. </w:t>
      </w:r>
      <w:r>
        <w:rPr>
          <w:i/>
        </w:rPr>
        <w:t>Diabetol Metab Syndr</w:t>
      </w:r>
      <w:r>
        <w:t xml:space="preserve"> 2019;11:11.</w:t>
      </w:r>
    </w:p>
    <w:p w14:paraId="22A56308" w14:textId="77777777" w:rsidR="00581EDD" w:rsidRDefault="00581EDD" w:rsidP="00B11EFB">
      <w:pPr>
        <w:pStyle w:val="Reference"/>
      </w:pPr>
      <w:r>
        <w:t xml:space="preserve">6. Skiba MA, Islam RM, Bell RJ, Davis SR. Understanding variation in prevalence estimates of polycystic ovary syndrome: a systematic review and meta-analysis. </w:t>
      </w:r>
      <w:r w:rsidR="00190DC9">
        <w:rPr>
          <w:i/>
        </w:rPr>
        <w:t xml:space="preserve">Hum Reprod </w:t>
      </w:r>
      <w:r>
        <w:rPr>
          <w:i/>
        </w:rPr>
        <w:t>Update</w:t>
      </w:r>
      <w:r>
        <w:t xml:space="preserve"> 2018;24</w:t>
      </w:r>
      <w:r w:rsidR="000C0403">
        <w:t>:</w:t>
      </w:r>
      <w:r>
        <w:t>694-709.</w:t>
      </w:r>
    </w:p>
    <w:p w14:paraId="3DD4F489" w14:textId="77777777" w:rsidR="00581EDD" w:rsidRPr="00A96475" w:rsidRDefault="00581EDD" w:rsidP="00B11EFB">
      <w:pPr>
        <w:pStyle w:val="Reference"/>
        <w:rPr>
          <w:u w:val="single"/>
        </w:rPr>
      </w:pPr>
      <w:r>
        <w:t xml:space="preserve">7. Federation ID. Diabetes around the world in 2021. 2021. </w:t>
      </w:r>
      <w:hyperlink r:id="rId8" w:history="1">
        <w:r w:rsidR="00A96475" w:rsidRPr="00694B51">
          <w:rPr>
            <w:rStyle w:val="Hyperlink"/>
          </w:rPr>
          <w:t>https://diabetesatlas.org/atlas/tenth-edition/</w:t>
        </w:r>
      </w:hyperlink>
    </w:p>
    <w:p w14:paraId="2DB60DD1" w14:textId="77777777" w:rsidR="00581EDD" w:rsidRDefault="00581EDD" w:rsidP="00B11EFB">
      <w:pPr>
        <w:pStyle w:val="Reference"/>
      </w:pPr>
      <w:r>
        <w:lastRenderedPageBreak/>
        <w:t xml:space="preserve">8. Saeedi P, Petersohn I, Salpea P, et al. Global and regional diabetes prevalence estimates for 2019 and projections for 2030 and 2045: Results from the International Diabetes Federation Diabetes Atlas, 9(th) edition. </w:t>
      </w:r>
      <w:r>
        <w:rPr>
          <w:i/>
        </w:rPr>
        <w:t>Diabetes Res Clin Pract</w:t>
      </w:r>
      <w:r>
        <w:t xml:space="preserve"> 2019;157:107843.</w:t>
      </w:r>
    </w:p>
    <w:p w14:paraId="3C3CC538" w14:textId="77777777" w:rsidR="00581EDD" w:rsidRDefault="00581EDD" w:rsidP="00B11EFB">
      <w:pPr>
        <w:pStyle w:val="Reference"/>
      </w:pPr>
      <w:r>
        <w:t xml:space="preserve">9. Teo ZL, Tham YC, Yu M, et al. Global Prevalence of Diabetic Retinopathy and Projection of Burden through 2045: Systematic Review and Meta-analysis. </w:t>
      </w:r>
      <w:r>
        <w:rPr>
          <w:i/>
        </w:rPr>
        <w:t>Ophthalmology</w:t>
      </w:r>
      <w:r>
        <w:t xml:space="preserve"> 2021;128</w:t>
      </w:r>
      <w:r w:rsidR="000C0403">
        <w:t>:</w:t>
      </w:r>
      <w:r>
        <w:t>1580-91.</w:t>
      </w:r>
    </w:p>
    <w:p w14:paraId="0266DB53" w14:textId="77777777" w:rsidR="00581EDD" w:rsidRDefault="00581EDD" w:rsidP="00B11EFB">
      <w:pPr>
        <w:pStyle w:val="Reference"/>
      </w:pPr>
      <w:r>
        <w:t xml:space="preserve">10. Alicic RZ, Rooney MT, Tuttle KR. Diabetic kidney disease: challenges, progress, and possibilities. </w:t>
      </w:r>
      <w:r w:rsidR="000C0403" w:rsidRPr="00A96475">
        <w:rPr>
          <w:i/>
        </w:rPr>
        <w:t>Clin J Am Soc Nephrol</w:t>
      </w:r>
      <w:r w:rsidR="000C0403">
        <w:t xml:space="preserve"> </w:t>
      </w:r>
      <w:r>
        <w:t>2017;12</w:t>
      </w:r>
      <w:r w:rsidR="000C0403">
        <w:t>:</w:t>
      </w:r>
      <w:r>
        <w:t>2032-45.</w:t>
      </w:r>
    </w:p>
    <w:p w14:paraId="3EF8BACC" w14:textId="77777777" w:rsidR="00581EDD" w:rsidRDefault="00581EDD" w:rsidP="00B11EFB">
      <w:pPr>
        <w:pStyle w:val="Reference"/>
      </w:pPr>
      <w:r>
        <w:t xml:space="preserve">11. Deng Y, Li N, Wu Y, et al. Global, Regional, and National Burden of Diabetes-Related Chronic Kidney Disease From 1990 to 2019. </w:t>
      </w:r>
      <w:r>
        <w:rPr>
          <w:i/>
        </w:rPr>
        <w:t>Front Endocrinol (Lausanne)</w:t>
      </w:r>
      <w:r>
        <w:t xml:space="preserve"> 2021;12:672350.</w:t>
      </w:r>
    </w:p>
    <w:p w14:paraId="6722EE10" w14:textId="77777777" w:rsidR="00581EDD" w:rsidRDefault="00581EDD" w:rsidP="00B11EFB">
      <w:pPr>
        <w:pStyle w:val="Reference"/>
      </w:pPr>
      <w:r>
        <w:t xml:space="preserve">12. Farooqi A, Gillies C, Sathanapally H, et al. A systematic review and meta-analysis to compare the prevalence of depression between people with and without Type 1 and Type 2 diabetes. </w:t>
      </w:r>
      <w:r>
        <w:rPr>
          <w:i/>
        </w:rPr>
        <w:t>Prim Care Diabetes</w:t>
      </w:r>
      <w:r>
        <w:t xml:space="preserve"> 2022;16</w:t>
      </w:r>
      <w:r w:rsidR="000C0403">
        <w:t>:</w:t>
      </w:r>
      <w:r>
        <w:t>1-10.</w:t>
      </w:r>
    </w:p>
    <w:p w14:paraId="4213D75F" w14:textId="77777777" w:rsidR="00581EDD" w:rsidRDefault="00581EDD" w:rsidP="00B11EFB">
      <w:pPr>
        <w:pStyle w:val="Reference"/>
      </w:pPr>
      <w:r>
        <w:t>13. D</w:t>
      </w:r>
      <w:r w:rsidR="000C0403">
        <w:t>iabetes UK</w:t>
      </w:r>
      <w:r>
        <w:t xml:space="preserve">. </w:t>
      </w:r>
      <w:r w:rsidR="000C0403">
        <w:t>How many people in the UK</w:t>
      </w:r>
      <w:r w:rsidR="000C0403" w:rsidRPr="000C0403">
        <w:t xml:space="preserve"> have diabetes</w:t>
      </w:r>
      <w:r w:rsidR="000C0403">
        <w:t>?</w:t>
      </w:r>
      <w:r>
        <w:t xml:space="preserve">. </w:t>
      </w:r>
      <w:hyperlink r:id="rId9" w:history="1">
        <w:r w:rsidR="00A96475" w:rsidRPr="00A96475">
          <w:rPr>
            <w:rStyle w:val="Hyperlink"/>
          </w:rPr>
          <w:t>https://www.diabetes.org.uk/professionals/position-statements-reports/statistics</w:t>
        </w:r>
      </w:hyperlink>
      <w:r w:rsidRPr="000C0403">
        <w:t>.</w:t>
      </w:r>
      <w:r w:rsidR="000C0403">
        <w:t xml:space="preserve"> </w:t>
      </w:r>
    </w:p>
    <w:p w14:paraId="0E3A1F26" w14:textId="77777777" w:rsidR="00581EDD" w:rsidRDefault="00581EDD" w:rsidP="00B11EFB">
      <w:pPr>
        <w:pStyle w:val="Reference"/>
      </w:pPr>
      <w:r>
        <w:t xml:space="preserve">14. Ferrara A. Increasing prevalence of gestational diabetes mellitus: a public health perspective. </w:t>
      </w:r>
      <w:r>
        <w:rPr>
          <w:i/>
        </w:rPr>
        <w:t>Diabetes Care</w:t>
      </w:r>
      <w:r>
        <w:t xml:space="preserve"> 2007;30 Suppl 2:S141-6.</w:t>
      </w:r>
    </w:p>
    <w:p w14:paraId="66C99ACB" w14:textId="77777777" w:rsidR="00581EDD" w:rsidRDefault="00581EDD" w:rsidP="00B11EFB">
      <w:pPr>
        <w:pStyle w:val="Reference"/>
      </w:pPr>
      <w:r>
        <w:t xml:space="preserve">15. Zhu Y, Zhang C. Prevalence of Gestational Diabetes and Risk of Progression to Type 2 Diabetes: a Global Perspective. </w:t>
      </w:r>
      <w:r>
        <w:rPr>
          <w:i/>
        </w:rPr>
        <w:t>Curr Diab Rep</w:t>
      </w:r>
      <w:r>
        <w:t xml:space="preserve"> 2016;16</w:t>
      </w:r>
      <w:r w:rsidR="000C0403">
        <w:t>:</w:t>
      </w:r>
      <w:r>
        <w:t>7.</w:t>
      </w:r>
    </w:p>
    <w:p w14:paraId="5F443B1B" w14:textId="77777777" w:rsidR="00581EDD" w:rsidRDefault="00581EDD" w:rsidP="00B11EFB">
      <w:pPr>
        <w:pStyle w:val="Reference"/>
      </w:pPr>
      <w:r>
        <w:t xml:space="preserve">16. March WA, Moore VM, Willson KJ, Phillips DIW, Norman RJ, Davies MJ. The prevalence of polycystic ovary syndrome in a community sample assessed under contrasting diagnostic criteria. </w:t>
      </w:r>
      <w:r>
        <w:rPr>
          <w:i/>
        </w:rPr>
        <w:t>Human Reprod</w:t>
      </w:r>
      <w:r>
        <w:t xml:space="preserve"> 2009;25</w:t>
      </w:r>
      <w:r w:rsidR="000C0403">
        <w:t>:</w:t>
      </w:r>
      <w:r>
        <w:t>544-51.</w:t>
      </w:r>
    </w:p>
    <w:p w14:paraId="579C6116" w14:textId="77777777" w:rsidR="00581EDD" w:rsidRDefault="00581EDD" w:rsidP="00B11EFB">
      <w:pPr>
        <w:pStyle w:val="Reference"/>
      </w:pPr>
      <w:r>
        <w:t xml:space="preserve">17. Escobar-Morreale HF, Roldán-Martín MB. Type 1 Diabetes and Polycystic Ovary Syndrome: Systematic Review and Meta-analysis. </w:t>
      </w:r>
      <w:r>
        <w:rPr>
          <w:i/>
        </w:rPr>
        <w:t>Diabetes Care</w:t>
      </w:r>
      <w:r>
        <w:t xml:space="preserve"> 2016;39</w:t>
      </w:r>
      <w:r w:rsidR="000C0403">
        <w:t>:</w:t>
      </w:r>
      <w:r>
        <w:t>639-48.</w:t>
      </w:r>
    </w:p>
    <w:p w14:paraId="25456083" w14:textId="77777777" w:rsidR="00581EDD" w:rsidRDefault="00581EDD" w:rsidP="00B11EFB">
      <w:pPr>
        <w:pStyle w:val="Reference"/>
      </w:pPr>
      <w:r>
        <w:t xml:space="preserve">18. Cioana M, Deng J, Nadarajah A, et al. Prevalence of Polycystic Ovary Syndrome in Patients With Pediatric Type 2 Diabetes: A Systematic Review and Meta-analysis. </w:t>
      </w:r>
      <w:r>
        <w:rPr>
          <w:i/>
        </w:rPr>
        <w:t>JAMA Netw Open</w:t>
      </w:r>
      <w:r>
        <w:t xml:space="preserve"> 2022;5</w:t>
      </w:r>
      <w:r w:rsidR="000C0403">
        <w:t>:</w:t>
      </w:r>
      <w:r>
        <w:t>e2147454.</w:t>
      </w:r>
    </w:p>
    <w:p w14:paraId="71943B0F" w14:textId="77777777" w:rsidR="00581EDD" w:rsidRDefault="00581EDD" w:rsidP="00B11EFB">
      <w:pPr>
        <w:pStyle w:val="Reference"/>
      </w:pPr>
      <w:r>
        <w:t xml:space="preserve">19. Yang R, Li Q, Zhou Z, et al. Changes in the prevalence of polycystic ovary syndrome in China over the past decade. </w:t>
      </w:r>
      <w:r>
        <w:rPr>
          <w:i/>
        </w:rPr>
        <w:t>Lancet Reg Health West Pac</w:t>
      </w:r>
      <w:r>
        <w:t xml:space="preserve"> 2022;25:100494</w:t>
      </w:r>
    </w:p>
    <w:p w14:paraId="5EAA9480" w14:textId="77777777" w:rsidR="00581EDD" w:rsidRDefault="00581EDD" w:rsidP="00B11EFB">
      <w:pPr>
        <w:pStyle w:val="Reference"/>
      </w:pPr>
      <w:r>
        <w:t xml:space="preserve">20. Hippisley-Cox J, Coupland C. Development and validation of QDiabetes-2018 risk prediction algorithm to estimate future risk of type 2 diabetes: cohort study. </w:t>
      </w:r>
      <w:r w:rsidRPr="00A96475">
        <w:rPr>
          <w:i/>
        </w:rPr>
        <w:t xml:space="preserve">BMJ </w:t>
      </w:r>
      <w:r>
        <w:t>2017;359:j5019.</w:t>
      </w:r>
    </w:p>
    <w:p w14:paraId="510FDBA0" w14:textId="77777777" w:rsidR="00581EDD" w:rsidRDefault="00581EDD" w:rsidP="00B11EFB">
      <w:pPr>
        <w:pStyle w:val="Reference"/>
      </w:pPr>
      <w:r>
        <w:t xml:space="preserve">21. Vounzoulaki E, Khunti K, Abner SC, Tan BK, Davies MJ, Gillies CL. Progression to type 2 diabetes in women with a known history of gestational diabetes: systematic review and meta-analysis. </w:t>
      </w:r>
      <w:r>
        <w:rPr>
          <w:i/>
        </w:rPr>
        <w:t>BMJ</w:t>
      </w:r>
      <w:r>
        <w:t xml:space="preserve"> 2020;369:m1361.</w:t>
      </w:r>
    </w:p>
    <w:p w14:paraId="68695CE5" w14:textId="77777777" w:rsidR="00581EDD" w:rsidRDefault="00581EDD" w:rsidP="00B11EFB">
      <w:pPr>
        <w:pStyle w:val="Reference"/>
      </w:pPr>
      <w:r>
        <w:t xml:space="preserve">22. Diaz-Santana MV, O’Brien KM, Park Y-MM, Sandler DP, Weinberg CR. Persistence of Risk for Type 2 Diabetes After Gestational Diabetes Mellitus. </w:t>
      </w:r>
      <w:r>
        <w:rPr>
          <w:i/>
        </w:rPr>
        <w:t>Diabetes Care</w:t>
      </w:r>
      <w:r>
        <w:t xml:space="preserve"> 2022;45</w:t>
      </w:r>
      <w:r w:rsidR="000C0403">
        <w:t>:</w:t>
      </w:r>
      <w:r>
        <w:t>864-70.</w:t>
      </w:r>
    </w:p>
    <w:p w14:paraId="2D1D99E1" w14:textId="77777777" w:rsidR="00581EDD" w:rsidRDefault="00581EDD" w:rsidP="00B11EFB">
      <w:pPr>
        <w:pStyle w:val="Reference"/>
      </w:pPr>
      <w:r>
        <w:t xml:space="preserve">23. Rayanagoudar G, Hashi AA, Zamora J, Khan KS, Hitman GA, Thangaratinam S. Quantification of the type 2 diabetes risk in women with gestational diabetes: a systematic review and meta-analysis of 95,750 women. </w:t>
      </w:r>
      <w:r>
        <w:rPr>
          <w:i/>
        </w:rPr>
        <w:t>Diabetologia</w:t>
      </w:r>
      <w:r>
        <w:t xml:space="preserve"> 2016;59</w:t>
      </w:r>
      <w:r w:rsidR="000C0403">
        <w:t>:</w:t>
      </w:r>
      <w:r>
        <w:t>1403-11.</w:t>
      </w:r>
    </w:p>
    <w:p w14:paraId="63A51AA9" w14:textId="77777777" w:rsidR="00581EDD" w:rsidRDefault="00581EDD" w:rsidP="00B11EFB">
      <w:pPr>
        <w:pStyle w:val="Reference"/>
      </w:pPr>
      <w:r>
        <w:t xml:space="preserve">24. Mills G, Badeghiesh A, Suarthana E, Baghlaf H, Dahan MH. Polycystic ovary syndrome as an independent risk factor for gestational diabetes and hypertensive disorders of pregnancy: a population-based study on 9.1 million pregnancies. </w:t>
      </w:r>
      <w:r>
        <w:rPr>
          <w:i/>
        </w:rPr>
        <w:t>Hum Reprod</w:t>
      </w:r>
      <w:r>
        <w:t xml:space="preserve"> 2020;35</w:t>
      </w:r>
      <w:r w:rsidR="000C0403">
        <w:t>:</w:t>
      </w:r>
      <w:r>
        <w:t>1666-74.</w:t>
      </w:r>
    </w:p>
    <w:p w14:paraId="4FFCC200" w14:textId="77777777" w:rsidR="00581EDD" w:rsidRDefault="00581EDD" w:rsidP="00B11EFB">
      <w:pPr>
        <w:pStyle w:val="Reference"/>
      </w:pPr>
      <w:r>
        <w:t xml:space="preserve">25. Toulis KA, Goulis DG, Kolibianakis EM, Venetis CA, Tarlatzis BC, Papadimas I. Risk of gestational diabetes mellitus in women with polycystic ovary syndrome: a systematic review and a meta-analysis. </w:t>
      </w:r>
      <w:r>
        <w:rPr>
          <w:i/>
        </w:rPr>
        <w:t>Fertil Steril</w:t>
      </w:r>
      <w:r>
        <w:t xml:space="preserve"> 2009;92</w:t>
      </w:r>
      <w:r w:rsidR="000C0403">
        <w:t>:</w:t>
      </w:r>
      <w:r>
        <w:t>667-77.</w:t>
      </w:r>
    </w:p>
    <w:p w14:paraId="2EAB5677" w14:textId="77777777" w:rsidR="00581EDD" w:rsidRDefault="00581EDD" w:rsidP="00B11EFB">
      <w:pPr>
        <w:pStyle w:val="Reference"/>
      </w:pPr>
      <w:r>
        <w:lastRenderedPageBreak/>
        <w:t xml:space="preserve">26. Qiu Y, Zhang X, Ni Y. Association between Polycystic Ovarian Syndrome and Risk of Gestational Diabetes Mellitus: A Meta-Analysis. </w:t>
      </w:r>
      <w:r>
        <w:rPr>
          <w:i/>
        </w:rPr>
        <w:t>Gynecol Obstet Invest</w:t>
      </w:r>
      <w:r>
        <w:t xml:space="preserve"> 2022;87</w:t>
      </w:r>
      <w:r w:rsidR="000C0403">
        <w:t>:</w:t>
      </w:r>
      <w:r>
        <w:t>150-58</w:t>
      </w:r>
    </w:p>
    <w:p w14:paraId="7E20CC3F" w14:textId="77777777" w:rsidR="00581EDD" w:rsidRDefault="00581EDD" w:rsidP="00B11EFB">
      <w:pPr>
        <w:pStyle w:val="Reference"/>
      </w:pPr>
      <w:r>
        <w:t xml:space="preserve">27. Forslund M, Landin-Wilhelmsen K, Trimpou P, Schmidt J, Brännström M, Dahlgren E. Type 2 diabetes mellitus in women with polycystic ovary syndrome during a 24-year period: importance of obesity and abdominal fat distribution. </w:t>
      </w:r>
      <w:r>
        <w:rPr>
          <w:i/>
        </w:rPr>
        <w:t>Hum Reprod Open</w:t>
      </w:r>
      <w:r>
        <w:t xml:space="preserve"> 2020;2020</w:t>
      </w:r>
      <w:r w:rsidR="000C0403">
        <w:t>:</w:t>
      </w:r>
      <w:r>
        <w:t>hoz042.</w:t>
      </w:r>
    </w:p>
    <w:p w14:paraId="4B4895DB" w14:textId="77777777" w:rsidR="00581EDD" w:rsidRDefault="00581EDD" w:rsidP="00B11EFB">
      <w:pPr>
        <w:pStyle w:val="Reference"/>
      </w:pPr>
      <w:r>
        <w:t xml:space="preserve">28. Ollila MM, West S, Keinänen-Kiukaanniemi S, et al. Overweight and obese but not normal weight women with PCOS are at increased risk of Type 2 diabetes mellitus-a prospective, population-based cohort study. </w:t>
      </w:r>
      <w:r>
        <w:rPr>
          <w:i/>
        </w:rPr>
        <w:t>Hum Reprod</w:t>
      </w:r>
      <w:r>
        <w:t xml:space="preserve"> 2017;32</w:t>
      </w:r>
      <w:r w:rsidR="000C0403">
        <w:t>:</w:t>
      </w:r>
      <w:r>
        <w:t>423-31.</w:t>
      </w:r>
    </w:p>
    <w:p w14:paraId="3AA9CDE6" w14:textId="77777777" w:rsidR="00581EDD" w:rsidRDefault="00581EDD" w:rsidP="00B11EFB">
      <w:pPr>
        <w:pStyle w:val="Reference"/>
      </w:pPr>
      <w:r>
        <w:t xml:space="preserve">29. Schmidt J, Landin-Wilhelmsen K, Brännström M, Dahlgren E. Cardiovascular disease and risk factors in PCOS women of postmenopausal age: a 21-year controlled follow-up study. </w:t>
      </w:r>
      <w:r>
        <w:rPr>
          <w:i/>
        </w:rPr>
        <w:t>J Clin Endocrinol Metab</w:t>
      </w:r>
      <w:r>
        <w:t xml:space="preserve"> 2011;96</w:t>
      </w:r>
      <w:r w:rsidR="000C0403">
        <w:t>:</w:t>
      </w:r>
      <w:r>
        <w:t>3794-803.</w:t>
      </w:r>
    </w:p>
    <w:p w14:paraId="1F4CB424" w14:textId="77777777" w:rsidR="00581EDD" w:rsidRDefault="00581EDD" w:rsidP="00B11EFB">
      <w:pPr>
        <w:pStyle w:val="Reference"/>
      </w:pPr>
      <w:r>
        <w:t xml:space="preserve">30. Kazemi Jaliseh H, Ramezani Tehrani F, Behboudi-Gandevani S, et al. Polycystic ovary syndrome is a risk factor for diabetes and prediabetes in middle-aged but not elderly women: a long-term population-based follow-up study. </w:t>
      </w:r>
      <w:r>
        <w:rPr>
          <w:i/>
        </w:rPr>
        <w:t>Fertil Steril</w:t>
      </w:r>
      <w:r>
        <w:t xml:space="preserve"> 2017;108</w:t>
      </w:r>
      <w:r w:rsidR="000C0403">
        <w:t>:</w:t>
      </w:r>
      <w:r>
        <w:t>1078-84.</w:t>
      </w:r>
    </w:p>
    <w:p w14:paraId="5CA79CC6" w14:textId="77777777" w:rsidR="00581EDD" w:rsidRDefault="00581EDD" w:rsidP="00B11EFB">
      <w:pPr>
        <w:pStyle w:val="Reference"/>
      </w:pPr>
      <w:r>
        <w:t xml:space="preserve">31. Palm CVB, Glintborg D, Kyhl HB, et al. Polycystic ovary syndrome and hyperglycaemia in pregnancy. A narrative review and results from a prospective Danish cohort study. </w:t>
      </w:r>
      <w:r>
        <w:rPr>
          <w:i/>
        </w:rPr>
        <w:t>Diabetes Res Clin Pract</w:t>
      </w:r>
      <w:r>
        <w:t xml:space="preserve"> 2018 Nov;145:167-77</w:t>
      </w:r>
    </w:p>
    <w:p w14:paraId="25362DA6" w14:textId="77777777" w:rsidR="00581EDD" w:rsidRDefault="00581EDD" w:rsidP="00B11EFB">
      <w:pPr>
        <w:pStyle w:val="Reference"/>
      </w:pPr>
      <w:r>
        <w:t xml:space="preserve">32. Gambineri A, Patton L, Altieri P, et al. Polycystic ovary syndrome is a risk factor for type 2 diabetes: results from a long-term prospective study. </w:t>
      </w:r>
      <w:r>
        <w:rPr>
          <w:i/>
        </w:rPr>
        <w:t>Diabetes</w:t>
      </w:r>
      <w:r>
        <w:t xml:space="preserve"> 2012;61</w:t>
      </w:r>
      <w:r w:rsidR="000C0403">
        <w:t>:</w:t>
      </w:r>
      <w:r>
        <w:t>2369-74.</w:t>
      </w:r>
    </w:p>
    <w:p w14:paraId="2A820B5A" w14:textId="77777777" w:rsidR="00581EDD" w:rsidRDefault="00581EDD" w:rsidP="00B11EFB">
      <w:pPr>
        <w:pStyle w:val="Reference"/>
      </w:pPr>
      <w:r>
        <w:t xml:space="preserve">33. Rubin KH, Glintborg D, Nybo M, Abrahamsen B, Andersen M. Development and Risk Factors of Type 2 Diabetes in a Nationwide Population of Women With Polycystic Ovary Syndrome. </w:t>
      </w:r>
      <w:r>
        <w:rPr>
          <w:i/>
        </w:rPr>
        <w:t>J Clin Endocrinol Metab</w:t>
      </w:r>
      <w:r>
        <w:t xml:space="preserve"> 2017;102</w:t>
      </w:r>
      <w:r w:rsidR="000C0403">
        <w:t>:</w:t>
      </w:r>
      <w:r>
        <w:t>3848-57.</w:t>
      </w:r>
    </w:p>
    <w:p w14:paraId="59FA5190" w14:textId="77777777" w:rsidR="00581EDD" w:rsidRDefault="00581EDD" w:rsidP="00B11EFB">
      <w:pPr>
        <w:pStyle w:val="Reference"/>
      </w:pPr>
      <w:r>
        <w:t xml:space="preserve">34. Zhang YJ, Jin H, Qin ZL, et al. Predictors of Gestational Diabetes Mellitus in Chinese Women with Polycystic Ovary Syndrome: A Cross-Sectional Study. </w:t>
      </w:r>
      <w:r>
        <w:rPr>
          <w:i/>
        </w:rPr>
        <w:t>Gynecol Obstet Invest</w:t>
      </w:r>
      <w:r>
        <w:t xml:space="preserve"> 2016;81</w:t>
      </w:r>
      <w:r w:rsidR="000C0403">
        <w:t>:</w:t>
      </w:r>
      <w:r>
        <w:t>220-4.</w:t>
      </w:r>
    </w:p>
    <w:p w14:paraId="7317E14B" w14:textId="77777777" w:rsidR="00581EDD" w:rsidRDefault="00581EDD" w:rsidP="00B11EFB">
      <w:pPr>
        <w:pStyle w:val="Reference"/>
      </w:pPr>
      <w:r>
        <w:t xml:space="preserve">35. Rosik J, Szostak B, Machaj F, Pawlik A. The role of genetics and epigenetics in the pathogenesis of gestational diabetes mellitus. </w:t>
      </w:r>
      <w:r>
        <w:rPr>
          <w:i/>
        </w:rPr>
        <w:t>Ann Hum Genet</w:t>
      </w:r>
      <w:r>
        <w:t xml:space="preserve"> 2020;84</w:t>
      </w:r>
      <w:r w:rsidR="000C0403">
        <w:t>:</w:t>
      </w:r>
      <w:r>
        <w:t>114-124.</w:t>
      </w:r>
    </w:p>
    <w:p w14:paraId="762AEE3B" w14:textId="77777777" w:rsidR="00581EDD" w:rsidRDefault="00581EDD" w:rsidP="00B11EFB">
      <w:pPr>
        <w:pStyle w:val="Reference"/>
      </w:pPr>
      <w:r>
        <w:t xml:space="preserve">36. Wei W, He Y, Wang X, et al. Gestational Diabetes Mellitus: The Genetic Susceptibility Behind the Disease. </w:t>
      </w:r>
      <w:r>
        <w:rPr>
          <w:i/>
        </w:rPr>
        <w:t>Horm Metab Res</w:t>
      </w:r>
      <w:r>
        <w:t xml:space="preserve"> 2021;53</w:t>
      </w:r>
      <w:r w:rsidR="000C0403">
        <w:t>:</w:t>
      </w:r>
      <w:r>
        <w:t>489-498.</w:t>
      </w:r>
    </w:p>
    <w:p w14:paraId="68025487" w14:textId="77777777" w:rsidR="00581EDD" w:rsidRDefault="00581EDD" w:rsidP="00B11EFB">
      <w:pPr>
        <w:pStyle w:val="Reference"/>
      </w:pPr>
      <w:r>
        <w:t xml:space="preserve">37. Pervjakova N, Moen GH, Borges MC, et al. Multi-ancestry genome-wide association study of gestational diabetes mellitus highlights genetic links with type 2 diabetes. </w:t>
      </w:r>
      <w:r>
        <w:rPr>
          <w:i/>
        </w:rPr>
        <w:t>Hum Mol Genet</w:t>
      </w:r>
      <w:r>
        <w:t xml:space="preserve"> 2022 Sep 29;31</w:t>
      </w:r>
      <w:r w:rsidR="000C0403">
        <w:t>:</w:t>
      </w:r>
      <w:r>
        <w:t>3377-91.</w:t>
      </w:r>
    </w:p>
    <w:p w14:paraId="3C71AC10" w14:textId="77777777" w:rsidR="00581EDD" w:rsidRDefault="00581EDD" w:rsidP="00B11EFB">
      <w:pPr>
        <w:pStyle w:val="Reference"/>
      </w:pPr>
      <w:r>
        <w:t xml:space="preserve">38. Ashcroft FM, Rohm M, Clark A, Brereton MF. Is Type 2 Diabetes a Glycogen Storage Disease of Pancreatic β Cells? </w:t>
      </w:r>
      <w:r>
        <w:rPr>
          <w:i/>
        </w:rPr>
        <w:t>Cell Me</w:t>
      </w:r>
      <w:r w:rsidR="00A04544">
        <w:rPr>
          <w:i/>
        </w:rPr>
        <w:t>t</w:t>
      </w:r>
      <w:r>
        <w:rPr>
          <w:i/>
        </w:rPr>
        <w:t>ab</w:t>
      </w:r>
      <w:r>
        <w:t xml:space="preserve"> 2017;26:17</w:t>
      </w:r>
      <w:r w:rsidR="00A04544">
        <w:t>-</w:t>
      </w:r>
      <w:r>
        <w:t>23.</w:t>
      </w:r>
    </w:p>
    <w:p w14:paraId="6FE2C6AA" w14:textId="77777777" w:rsidR="00581EDD" w:rsidRDefault="00581EDD" w:rsidP="00B11EFB">
      <w:pPr>
        <w:pStyle w:val="Reference"/>
      </w:pPr>
      <w:r>
        <w:t xml:space="preserve">39. Catalano P.M. Trying to understand gestational diabetes. </w:t>
      </w:r>
      <w:r>
        <w:rPr>
          <w:i/>
        </w:rPr>
        <w:t>Diabet Med</w:t>
      </w:r>
      <w:r>
        <w:t xml:space="preserve"> 2014;31:273</w:t>
      </w:r>
      <w:r w:rsidR="00A04544">
        <w:t>-</w:t>
      </w:r>
      <w:r>
        <w:t>281.</w:t>
      </w:r>
    </w:p>
    <w:p w14:paraId="69EC5454" w14:textId="77777777" w:rsidR="00581EDD" w:rsidRDefault="00581EDD" w:rsidP="00B11EFB">
      <w:pPr>
        <w:pStyle w:val="Reference"/>
      </w:pPr>
      <w:r>
        <w:t xml:space="preserve">40. Barbour LA, McCurdy CE, Hernandez TL, Kirwan JP, Catalano PM, Friedman JE. Cellular mechanisms for insulin resistance in normal pregnancy and gestational diabetes. </w:t>
      </w:r>
      <w:r>
        <w:rPr>
          <w:i/>
        </w:rPr>
        <w:t>Diabetes Care</w:t>
      </w:r>
      <w:r>
        <w:t xml:space="preserve"> 2007;30:S112</w:t>
      </w:r>
      <w:r w:rsidR="00A04544">
        <w:t>-</w:t>
      </w:r>
      <w:r>
        <w:t>9.</w:t>
      </w:r>
    </w:p>
    <w:p w14:paraId="2A6BFC00" w14:textId="77777777" w:rsidR="00581EDD" w:rsidRDefault="00581EDD" w:rsidP="00B11EFB">
      <w:pPr>
        <w:pStyle w:val="Reference"/>
      </w:pPr>
      <w:r>
        <w:t xml:space="preserve">41. Friedman JE, Kirwan JP, Jing M, Presley L, Catalano PM. Increased Skeletal Muscle Tumor Necrosis Factor-α and Impaired Insulin Signaling Persist in Obese Women with Gestational Diabetes Mellitus 1 Year Postpartum. </w:t>
      </w:r>
      <w:r>
        <w:rPr>
          <w:i/>
        </w:rPr>
        <w:t>Diabetes</w:t>
      </w:r>
      <w:r>
        <w:t xml:space="preserve"> 2008;57:606</w:t>
      </w:r>
      <w:r w:rsidR="00A04544">
        <w:t>-</w:t>
      </w:r>
      <w:r>
        <w:t>13.</w:t>
      </w:r>
    </w:p>
    <w:p w14:paraId="0BAF4B8B" w14:textId="77777777" w:rsidR="00581EDD" w:rsidRDefault="00581EDD" w:rsidP="00B11EFB">
      <w:pPr>
        <w:pStyle w:val="Reference"/>
      </w:pPr>
      <w:r>
        <w:t xml:space="preserve">42. Qin JZ, Pang LH, Li MJ, Fan XJ, Huang RD, Chen HY. Obstetric complications in women with polycystic ovary syndrome: a systematic review and meta-analysis. </w:t>
      </w:r>
      <w:r>
        <w:rPr>
          <w:i/>
        </w:rPr>
        <w:t>Reprod Biol Endocrinol 2013</w:t>
      </w:r>
      <w:r>
        <w:t>;11:56.</w:t>
      </w:r>
    </w:p>
    <w:p w14:paraId="5EF1C82B" w14:textId="77777777" w:rsidR="00581EDD" w:rsidRDefault="00581EDD" w:rsidP="00B11EFB">
      <w:pPr>
        <w:pStyle w:val="Reference"/>
      </w:pPr>
      <w:r>
        <w:t xml:space="preserve">43. Mustaniemi S, Vääräsmäki M, Eriksson JG, et al. Polycystic ovary syndrome and risk factors for gestational diabetes. </w:t>
      </w:r>
      <w:r>
        <w:rPr>
          <w:i/>
        </w:rPr>
        <w:t>Endocr Connect</w:t>
      </w:r>
      <w:r>
        <w:t xml:space="preserve"> 2018;7</w:t>
      </w:r>
      <w:r w:rsidR="000C0403">
        <w:t>:</w:t>
      </w:r>
      <w:r>
        <w:t>859-69.</w:t>
      </w:r>
    </w:p>
    <w:p w14:paraId="7C990E0E" w14:textId="77777777" w:rsidR="00581EDD" w:rsidRDefault="00581EDD" w:rsidP="00B11EFB">
      <w:pPr>
        <w:pStyle w:val="Reference"/>
      </w:pPr>
      <w:r>
        <w:lastRenderedPageBreak/>
        <w:t xml:space="preserve">44. Ciaraldi TP, el-Roeiy A, Madar Z, Reichart D, Olefsky JM, Yen SS. Cellular mechanisms of insulin resistance in polycystic ovarian syndrome. </w:t>
      </w:r>
      <w:r>
        <w:rPr>
          <w:i/>
        </w:rPr>
        <w:t>J Clin Endocrinol Metab</w:t>
      </w:r>
      <w:r>
        <w:t xml:space="preserve"> </w:t>
      </w:r>
      <w:r w:rsidR="00A04544">
        <w:t>1992;</w:t>
      </w:r>
      <w:r>
        <w:t>75:577</w:t>
      </w:r>
      <w:r w:rsidR="00A04544">
        <w:t>-</w:t>
      </w:r>
      <w:r>
        <w:t>83</w:t>
      </w:r>
      <w:r w:rsidR="00A04544">
        <w:t>.</w:t>
      </w:r>
    </w:p>
    <w:p w14:paraId="16BD39A2" w14:textId="77777777" w:rsidR="00581EDD" w:rsidRDefault="00581EDD" w:rsidP="00B11EFB">
      <w:pPr>
        <w:pStyle w:val="Reference"/>
      </w:pPr>
      <w:r>
        <w:t xml:space="preserve">45. Rice S, Christoforidis N, Gadd C, et al. 2005. Impaired insulin-dependent glucose metabolism in granulosa-lutein cells from anovulatory women with polycystic ovaries. </w:t>
      </w:r>
      <w:r>
        <w:rPr>
          <w:i/>
        </w:rPr>
        <w:t>Hum Reprod</w:t>
      </w:r>
      <w:r>
        <w:t xml:space="preserve"> 20:373</w:t>
      </w:r>
      <w:r w:rsidR="00A04544">
        <w:t>-</w:t>
      </w:r>
      <w:r>
        <w:t>81</w:t>
      </w:r>
      <w:r w:rsidR="00A04544">
        <w:t>.</w:t>
      </w:r>
    </w:p>
    <w:p w14:paraId="7458A9C8" w14:textId="77777777" w:rsidR="00581EDD" w:rsidRDefault="00581EDD" w:rsidP="00B11EFB">
      <w:pPr>
        <w:pStyle w:val="Reference"/>
      </w:pPr>
      <w:r>
        <w:t xml:space="preserve">46. Tomlinson J, Millward A, Stenhouse E, Pinkney J. Type 2 diabetes and cardiovascular disease in polycystic ovary syndrome: what are the risks and can they be reduced? </w:t>
      </w:r>
      <w:r>
        <w:rPr>
          <w:i/>
        </w:rPr>
        <w:t>Diabet Med</w:t>
      </w:r>
      <w:r>
        <w:t xml:space="preserve"> 2010;27</w:t>
      </w:r>
      <w:r w:rsidR="000C0403">
        <w:t>:</w:t>
      </w:r>
      <w:r>
        <w:t>498-515</w:t>
      </w:r>
    </w:p>
    <w:p w14:paraId="087644C3" w14:textId="77777777" w:rsidR="00581EDD" w:rsidRDefault="00581EDD" w:rsidP="00B11EFB">
      <w:pPr>
        <w:pStyle w:val="Reference"/>
      </w:pPr>
      <w:r>
        <w:t xml:space="preserve">47. Dunaif A, Xia J, Book CB, Schenker E, Tang Z. Excessive insulin receptor serine phosphorylation in cultured fibroblasts and in skeletal muscle. </w:t>
      </w:r>
      <w:r>
        <w:rPr>
          <w:i/>
        </w:rPr>
        <w:t>J Clin Invest</w:t>
      </w:r>
      <w:r>
        <w:t xml:space="preserve"> </w:t>
      </w:r>
      <w:r w:rsidR="00A04544">
        <w:t xml:space="preserve">1995; </w:t>
      </w:r>
      <w:r>
        <w:t>96:801</w:t>
      </w:r>
      <w:r w:rsidR="00A04544">
        <w:t>-</w:t>
      </w:r>
      <w:r>
        <w:t>810</w:t>
      </w:r>
    </w:p>
    <w:p w14:paraId="3C389DEB" w14:textId="77777777" w:rsidR="00581EDD" w:rsidRDefault="00581EDD" w:rsidP="00B11EFB">
      <w:pPr>
        <w:pStyle w:val="Reference"/>
      </w:pPr>
      <w:r>
        <w:t xml:space="preserve">48. Book CB, Dunaif A. Selective insulin resistance in the polycystic ovary syndrome. </w:t>
      </w:r>
      <w:r>
        <w:rPr>
          <w:i/>
        </w:rPr>
        <w:t>J Clin Endocrinol Metab</w:t>
      </w:r>
      <w:r>
        <w:t xml:space="preserve"> </w:t>
      </w:r>
      <w:r w:rsidR="00A04544">
        <w:t>1999;</w:t>
      </w:r>
      <w:r>
        <w:t>84:3110</w:t>
      </w:r>
      <w:r w:rsidR="00A04544">
        <w:t>-</w:t>
      </w:r>
      <w:r>
        <w:t>6</w:t>
      </w:r>
      <w:r w:rsidR="00A04544">
        <w:t>.</w:t>
      </w:r>
    </w:p>
    <w:p w14:paraId="630F193C" w14:textId="77777777" w:rsidR="00581EDD" w:rsidRDefault="00581EDD" w:rsidP="00B11EFB">
      <w:pPr>
        <w:pStyle w:val="Reference"/>
      </w:pPr>
      <w:r>
        <w:t xml:space="preserve">49. Liu H, Zhao H, Chen ZJ. Genome-Wide Association Studies for Polycystic Ovary Syndrome. </w:t>
      </w:r>
      <w:r>
        <w:rPr>
          <w:i/>
        </w:rPr>
        <w:t>Semin Reprod Med</w:t>
      </w:r>
      <w:r>
        <w:t xml:space="preserve"> 2016;34</w:t>
      </w:r>
      <w:r w:rsidR="000C0403">
        <w:t>:</w:t>
      </w:r>
      <w:r>
        <w:t>224-9.</w:t>
      </w:r>
    </w:p>
    <w:p w14:paraId="5547FCF8" w14:textId="77777777" w:rsidR="00581EDD" w:rsidRDefault="00581EDD" w:rsidP="00B11EFB">
      <w:pPr>
        <w:pStyle w:val="Reference"/>
      </w:pPr>
      <w:r>
        <w:t xml:space="preserve">50. Bergman RN, Phillips LS, Cobelli C. Physiologic evaluation of factors controlling glucose tolerance in man: measurement of insulin sensitivity and beta-cell glucose sensitivity from the response to intravenous glucose. </w:t>
      </w:r>
      <w:r>
        <w:rPr>
          <w:i/>
        </w:rPr>
        <w:t>J Clin Invest</w:t>
      </w:r>
      <w:r>
        <w:t xml:space="preserve"> 1981;68</w:t>
      </w:r>
      <w:r w:rsidR="000C0403">
        <w:t>:</w:t>
      </w:r>
      <w:r>
        <w:t>1456-67.</w:t>
      </w:r>
    </w:p>
    <w:p w14:paraId="45C09EB2" w14:textId="77777777" w:rsidR="00581EDD" w:rsidRDefault="00581EDD" w:rsidP="00B11EFB">
      <w:pPr>
        <w:pStyle w:val="Reference"/>
      </w:pPr>
      <w:r>
        <w:t xml:space="preserve">51. O'Meara NM, Blackman JD, Ehrmann DA, et al. Defects in beta-cell function in functional ovarian hyperandrogenism. </w:t>
      </w:r>
      <w:r>
        <w:rPr>
          <w:i/>
        </w:rPr>
        <w:t>J Clin Endocrinol Metab</w:t>
      </w:r>
      <w:r>
        <w:t xml:space="preserve"> 1993;76</w:t>
      </w:r>
      <w:r w:rsidR="000C0403">
        <w:t>:</w:t>
      </w:r>
      <w:r>
        <w:t>1241-7</w:t>
      </w:r>
    </w:p>
    <w:p w14:paraId="0994DC06" w14:textId="77777777" w:rsidR="00581EDD" w:rsidRDefault="00581EDD" w:rsidP="00B11EFB">
      <w:pPr>
        <w:pStyle w:val="Reference"/>
      </w:pPr>
      <w:r>
        <w:t xml:space="preserve">52. Fehmann HC, Göke R, Göke B. Cell and molecular biology of the incretin hormones glucagon-like peptide-I and glucose-dependent insulin releasing polypeptide. </w:t>
      </w:r>
      <w:r>
        <w:rPr>
          <w:i/>
        </w:rPr>
        <w:t>Endocr Rev</w:t>
      </w:r>
      <w:r>
        <w:t xml:space="preserve"> 1995;16</w:t>
      </w:r>
      <w:r w:rsidR="000C0403">
        <w:t>:</w:t>
      </w:r>
      <w:r>
        <w:t>390-410.</w:t>
      </w:r>
    </w:p>
    <w:p w14:paraId="2EC97EFD" w14:textId="77777777" w:rsidR="00581EDD" w:rsidRDefault="00581EDD" w:rsidP="00B11EFB">
      <w:pPr>
        <w:pStyle w:val="Reference"/>
      </w:pPr>
      <w:r>
        <w:t xml:space="preserve">53. Dunaif A, Finegood DT. Beta-cell dysfunction independent of obesity and glucose intolerance in the polycystic ovary syndrome. </w:t>
      </w:r>
      <w:r>
        <w:rPr>
          <w:i/>
        </w:rPr>
        <w:t>J Clin Endocrinol Metab</w:t>
      </w:r>
      <w:r>
        <w:t xml:space="preserve"> 1996;81</w:t>
      </w:r>
      <w:r w:rsidR="000C0403">
        <w:t>:</w:t>
      </w:r>
      <w:r>
        <w:t>942-7</w:t>
      </w:r>
    </w:p>
    <w:p w14:paraId="03197B38" w14:textId="77777777" w:rsidR="00581EDD" w:rsidRDefault="00581EDD" w:rsidP="00B11EFB">
      <w:pPr>
        <w:pStyle w:val="Reference"/>
      </w:pPr>
      <w:r>
        <w:t xml:space="preserve">54. Arslanian SA, Lewy VD, Danadian K. Glucose intolerance in obese adolescents with polycystic ovary syndrome: roles of insulin resistance and beta-cell dysfunction and risk of cardiovascular disease. </w:t>
      </w:r>
      <w:r>
        <w:rPr>
          <w:i/>
        </w:rPr>
        <w:t>J Clin Endocrinol Metab</w:t>
      </w:r>
      <w:r>
        <w:t xml:space="preserve"> 2001;86</w:t>
      </w:r>
      <w:r w:rsidR="000C0403">
        <w:t>:</w:t>
      </w:r>
      <w:r>
        <w:t>66-71.</w:t>
      </w:r>
    </w:p>
    <w:p w14:paraId="0398B584" w14:textId="77777777" w:rsidR="00581EDD" w:rsidRDefault="00581EDD" w:rsidP="00B11EFB">
      <w:pPr>
        <w:pStyle w:val="Reference"/>
      </w:pPr>
      <w:r>
        <w:t xml:space="preserve">55. Kahn SE, Prigeon RL, McCulloch DK, et al. Quantification of the relationship between insulin sensitivity and beta-cell function in human subjects. Evidence for a hyperbolic function. </w:t>
      </w:r>
      <w:r>
        <w:rPr>
          <w:i/>
        </w:rPr>
        <w:t>Diabetes</w:t>
      </w:r>
      <w:r>
        <w:t xml:space="preserve"> 1993;42</w:t>
      </w:r>
      <w:r w:rsidR="000C0403">
        <w:t>:</w:t>
      </w:r>
      <w:r>
        <w:t>1663-72</w:t>
      </w:r>
    </w:p>
    <w:p w14:paraId="147835D7" w14:textId="77777777" w:rsidR="00581EDD" w:rsidRDefault="00581EDD" w:rsidP="00B11EFB">
      <w:pPr>
        <w:pStyle w:val="Reference"/>
      </w:pPr>
      <w:r>
        <w:t xml:space="preserve">56. Ahrén B, Pacini G. Importance of quantifying insulin secretion in relation to insulin sensitivity to accurately assess beta cell function in clinical studies. </w:t>
      </w:r>
      <w:r>
        <w:rPr>
          <w:i/>
        </w:rPr>
        <w:t>Eur J Endocrinol</w:t>
      </w:r>
      <w:r>
        <w:t xml:space="preserve"> 2004;150</w:t>
      </w:r>
      <w:r w:rsidR="000C0403">
        <w:t>:</w:t>
      </w:r>
      <w:r>
        <w:t>97-104.</w:t>
      </w:r>
    </w:p>
    <w:p w14:paraId="62B63C01" w14:textId="77777777" w:rsidR="00581EDD" w:rsidRDefault="00581EDD" w:rsidP="00B11EFB">
      <w:pPr>
        <w:pStyle w:val="Reference"/>
      </w:pPr>
      <w:r>
        <w:t xml:space="preserve">57. Wallace TM, Levy JC, Matthews DR. Use and abuse of HOMA modeling. </w:t>
      </w:r>
      <w:r>
        <w:rPr>
          <w:i/>
        </w:rPr>
        <w:t>Diabetes Care</w:t>
      </w:r>
      <w:r>
        <w:t xml:space="preserve"> 2004;27</w:t>
      </w:r>
      <w:r w:rsidR="000C0403">
        <w:t>:</w:t>
      </w:r>
      <w:r>
        <w:t>1487-95.</w:t>
      </w:r>
    </w:p>
    <w:p w14:paraId="0428EB30" w14:textId="77777777" w:rsidR="00581EDD" w:rsidRDefault="00581EDD" w:rsidP="00B11EFB">
      <w:pPr>
        <w:pStyle w:val="Reference"/>
      </w:pPr>
      <w:r>
        <w:t xml:space="preserve">58. Santos JL, Yévenes I, Cataldo LR, et al. Development and assessment of the disposition index based on the oral glucose tolerance test in subjects with different glycaemic status. </w:t>
      </w:r>
      <w:r>
        <w:rPr>
          <w:i/>
        </w:rPr>
        <w:t>J Physiol Biochem</w:t>
      </w:r>
      <w:r>
        <w:t xml:space="preserve"> 2016;72</w:t>
      </w:r>
      <w:r w:rsidR="000C0403">
        <w:t>:</w:t>
      </w:r>
      <w:r>
        <w:t>121-31.</w:t>
      </w:r>
    </w:p>
    <w:p w14:paraId="30D35320" w14:textId="77777777" w:rsidR="00581EDD" w:rsidRDefault="00581EDD" w:rsidP="00B11EFB">
      <w:pPr>
        <w:pStyle w:val="Reference"/>
      </w:pPr>
      <w:r>
        <w:t xml:space="preserve">59. Utzschneider KM, Prigeon RL, Faulenbach MV, et al. Oral disposition index predicts the development of future diabetes above and beyond fasting and 2-h glucose levels. </w:t>
      </w:r>
      <w:r>
        <w:rPr>
          <w:i/>
        </w:rPr>
        <w:t>Diabetes Care</w:t>
      </w:r>
      <w:r>
        <w:t xml:space="preserve"> 2009;32</w:t>
      </w:r>
      <w:r w:rsidR="000C0403">
        <w:t>:</w:t>
      </w:r>
      <w:r>
        <w:t>335-41.</w:t>
      </w:r>
    </w:p>
    <w:p w14:paraId="3628BF6D" w14:textId="77777777" w:rsidR="00581EDD" w:rsidRDefault="00581EDD" w:rsidP="00B11EFB">
      <w:pPr>
        <w:pStyle w:val="Reference"/>
      </w:pPr>
      <w:r>
        <w:t xml:space="preserve">60. Larsson H, Ahrén B. Islet dysfunction in obese women with impaired glucose tolerance. </w:t>
      </w:r>
      <w:r>
        <w:rPr>
          <w:i/>
        </w:rPr>
        <w:t>Metabolism</w:t>
      </w:r>
      <w:r>
        <w:t xml:space="preserve"> 1996;45</w:t>
      </w:r>
      <w:r w:rsidR="000C0403">
        <w:t>:</w:t>
      </w:r>
      <w:r>
        <w:t>502-9.</w:t>
      </w:r>
    </w:p>
    <w:p w14:paraId="54449967" w14:textId="77777777" w:rsidR="00581EDD" w:rsidRDefault="00581EDD" w:rsidP="00B11EFB">
      <w:pPr>
        <w:pStyle w:val="Reference"/>
      </w:pPr>
      <w:r>
        <w:t xml:space="preserve">61. Larsson H, Ahrén B. Insulin resistant subjects lack islet adaptation to short-term dexamethasone-induced reduction in insulin sensitivity. </w:t>
      </w:r>
      <w:r>
        <w:rPr>
          <w:i/>
        </w:rPr>
        <w:t>Diabetologia</w:t>
      </w:r>
      <w:r>
        <w:t xml:space="preserve"> 1999;42</w:t>
      </w:r>
      <w:r w:rsidR="000C0403">
        <w:t>:</w:t>
      </w:r>
      <w:r>
        <w:t>936-43.</w:t>
      </w:r>
    </w:p>
    <w:p w14:paraId="66BDF854" w14:textId="77777777" w:rsidR="00581EDD" w:rsidRDefault="00581EDD" w:rsidP="00B11EFB">
      <w:pPr>
        <w:pStyle w:val="Reference"/>
      </w:pPr>
      <w:r>
        <w:lastRenderedPageBreak/>
        <w:t>62. National Institute for Health and Care Excellence</w:t>
      </w:r>
      <w:r w:rsidR="00E374EF">
        <w:t>.</w:t>
      </w:r>
      <w:r>
        <w:t xml:space="preserve"> Diabetes in pregnancy: management from preconception to the postnatal period</w:t>
      </w:r>
      <w:r w:rsidR="00E374EF">
        <w:t xml:space="preserve"> (guideline NG3)</w:t>
      </w:r>
      <w:r>
        <w:t xml:space="preserve">. 2015. </w:t>
      </w:r>
      <w:r>
        <w:rPr>
          <w:u w:val="single"/>
        </w:rPr>
        <w:t>https://www.nice.org.uk/guidance/ng3</w:t>
      </w:r>
    </w:p>
    <w:p w14:paraId="20ECAEA5" w14:textId="77777777" w:rsidR="00581EDD" w:rsidRDefault="00581EDD" w:rsidP="00B11EFB">
      <w:pPr>
        <w:pStyle w:val="Reference"/>
      </w:pPr>
      <w:r>
        <w:t xml:space="preserve">63. López Stewart G. Diagnostic criteria and classification of hyperglycaemia first detected in pregnancy: a World Health Organization Guideline. </w:t>
      </w:r>
      <w:r>
        <w:rPr>
          <w:i/>
        </w:rPr>
        <w:t>Diabetes Res Clin Pract</w:t>
      </w:r>
      <w:r>
        <w:t xml:space="preserve"> 2014;103</w:t>
      </w:r>
      <w:r w:rsidR="000C0403">
        <w:t>:</w:t>
      </w:r>
      <w:r>
        <w:t>341-63.</w:t>
      </w:r>
    </w:p>
    <w:p w14:paraId="32F4BAA5" w14:textId="77777777" w:rsidR="00581EDD" w:rsidRDefault="00581EDD" w:rsidP="00B11EFB">
      <w:pPr>
        <w:pStyle w:val="Reference"/>
      </w:pPr>
      <w:r>
        <w:t xml:space="preserve">64. ACOG Practice Bulletin No. 190: Gestational Diabetes Mellitus. </w:t>
      </w:r>
      <w:r>
        <w:rPr>
          <w:i/>
        </w:rPr>
        <w:t>Obstet Gynecol</w:t>
      </w:r>
      <w:r>
        <w:t xml:space="preserve"> 2018;131</w:t>
      </w:r>
      <w:r w:rsidR="000C0403">
        <w:t>:</w:t>
      </w:r>
      <w:r>
        <w:t>e49-e64.</w:t>
      </w:r>
    </w:p>
    <w:p w14:paraId="71A92973" w14:textId="77777777" w:rsidR="00581EDD" w:rsidRDefault="00581EDD" w:rsidP="00B11EFB">
      <w:pPr>
        <w:pStyle w:val="Reference"/>
      </w:pPr>
      <w:r>
        <w:t xml:space="preserve">65. Hod M, Kapur A, Sacks DA, et al. The International Federation of Gynecology and Obstetrics (FIGO) Initiative on gestational diabetes mellitus: A pragmatic guide for diagnosis, management, and care. </w:t>
      </w:r>
      <w:r>
        <w:rPr>
          <w:i/>
        </w:rPr>
        <w:t>Int J Gynaecol Obstet</w:t>
      </w:r>
      <w:r>
        <w:t xml:space="preserve"> 2015;131 Suppl 3:S173-211.</w:t>
      </w:r>
    </w:p>
    <w:p w14:paraId="01A814FF" w14:textId="77777777" w:rsidR="00581EDD" w:rsidRDefault="00581EDD" w:rsidP="00B11EFB">
      <w:pPr>
        <w:pStyle w:val="Reference"/>
      </w:pPr>
      <w:r>
        <w:t xml:space="preserve">66. Benhalima K, Mathieu C, Damm P, et al. A proposal for the use of uniform diagnostic criteria for gestational diabetes in Europe: an opinion paper by the European Board &amp; College of Obstetrics and Gynaecology (EBCOG). </w:t>
      </w:r>
      <w:r>
        <w:rPr>
          <w:i/>
        </w:rPr>
        <w:t>Diabetologia</w:t>
      </w:r>
      <w:r>
        <w:t xml:space="preserve"> 2015;58</w:t>
      </w:r>
      <w:r w:rsidR="000C0403">
        <w:t>:</w:t>
      </w:r>
      <w:r>
        <w:t>1422-9.</w:t>
      </w:r>
    </w:p>
    <w:p w14:paraId="283A23A0" w14:textId="77777777" w:rsidR="00581EDD" w:rsidRDefault="00581EDD" w:rsidP="00B11EFB">
      <w:pPr>
        <w:pStyle w:val="Reference"/>
      </w:pPr>
      <w:r>
        <w:t xml:space="preserve">67. Diabetes Canada Clinical Practice Guidelines Expert Committee, Feig DS, Berger H, Donovan L, et al. Diabetes and Pregnancy. </w:t>
      </w:r>
      <w:r>
        <w:rPr>
          <w:i/>
        </w:rPr>
        <w:t>Can J Diabetes</w:t>
      </w:r>
      <w:r>
        <w:t xml:space="preserve"> 2018;42 Suppl 1:S255-S282.</w:t>
      </w:r>
    </w:p>
    <w:p w14:paraId="59757250" w14:textId="77777777" w:rsidR="00581EDD" w:rsidRDefault="00581EDD" w:rsidP="00B11EFB">
      <w:pPr>
        <w:pStyle w:val="Reference"/>
      </w:pPr>
      <w:r>
        <w:t xml:space="preserve">68. Haute Autorité de </w:t>
      </w:r>
      <w:r w:rsidR="00E374EF">
        <w:t>S</w:t>
      </w:r>
      <w:r>
        <w:t xml:space="preserve">anté. Screening and diagnosis of gestational diabetes mellitus. 2005. </w:t>
      </w:r>
      <w:r>
        <w:rPr>
          <w:u w:val="single"/>
        </w:rPr>
        <w:t>https://www.has-sante.fr/jcms/c_272475/en/screening-and-diagnosis-of-gestational-diabetes-mellitus</w:t>
      </w:r>
      <w:r>
        <w:t>.</w:t>
      </w:r>
    </w:p>
    <w:p w14:paraId="09AF4D75" w14:textId="62E9C740" w:rsidR="00581EDD" w:rsidRDefault="00581EDD" w:rsidP="00B11EFB">
      <w:pPr>
        <w:pStyle w:val="Reference"/>
      </w:pPr>
      <w:r>
        <w:t xml:space="preserve">69. Kaiser Permanante. Gestational Diabetes Screening and Treatment Guideline. 2021. </w:t>
      </w:r>
      <w:r w:rsidR="006A0CEF" w:rsidRPr="006A0CEF">
        <w:t>https://wa.kaiserpermanente.org/static/pdf/public/guidelines/diabetes-gestational.pdf</w:t>
      </w:r>
      <w:r w:rsidR="00E374EF">
        <w:t xml:space="preserve">. </w:t>
      </w:r>
    </w:p>
    <w:p w14:paraId="253B29F8" w14:textId="77777777" w:rsidR="00581EDD" w:rsidRDefault="00581EDD" w:rsidP="00B11EFB">
      <w:pPr>
        <w:pStyle w:val="Reference"/>
      </w:pPr>
      <w:r>
        <w:t xml:space="preserve">70. Queensland Clinical Guidelines. Gestational diabetes mellitus (GDM). 2021 </w:t>
      </w:r>
      <w:r>
        <w:rPr>
          <w:u w:val="single"/>
        </w:rPr>
        <w:t>https://www.health.qld.gov.au/__data/assets/pdf_file/0022/950503/g-gdm.pdf</w:t>
      </w:r>
    </w:p>
    <w:p w14:paraId="69C5C5DD" w14:textId="77777777" w:rsidR="00581EDD" w:rsidRDefault="00581EDD" w:rsidP="00B11EFB">
      <w:pPr>
        <w:pStyle w:val="Reference"/>
      </w:pPr>
      <w:r>
        <w:t>71. Scottish Intercollegiate Guidelines Network (SIGN)</w:t>
      </w:r>
      <w:r w:rsidR="008A52F3">
        <w:t>.</w:t>
      </w:r>
      <w:r>
        <w:t xml:space="preserve"> Management of diabetes (National Clinical Guideline 116). 2017. </w:t>
      </w:r>
      <w:r>
        <w:rPr>
          <w:u w:val="single"/>
        </w:rPr>
        <w:t>https://www.sign.ac.uk/assets/sign116.pdf</w:t>
      </w:r>
    </w:p>
    <w:p w14:paraId="6344A705" w14:textId="77777777" w:rsidR="00581EDD" w:rsidRDefault="00581EDD" w:rsidP="00B11EFB">
      <w:pPr>
        <w:pStyle w:val="Reference"/>
      </w:pPr>
      <w:r>
        <w:t xml:space="preserve">72. Blumer I, Hadar E, Hadden DR, et al. Diabetes and pregnancy: an endocrine society clinical practice guideline. </w:t>
      </w:r>
      <w:r>
        <w:rPr>
          <w:i/>
        </w:rPr>
        <w:t>J Clin Endocrinol Metab</w:t>
      </w:r>
      <w:r>
        <w:t xml:space="preserve"> 2013;98</w:t>
      </w:r>
      <w:r w:rsidR="000C0403">
        <w:t>:</w:t>
      </w:r>
      <w:r>
        <w:t>4227-49.</w:t>
      </w:r>
    </w:p>
    <w:p w14:paraId="5BC84EB2" w14:textId="77777777" w:rsidR="00581EDD" w:rsidRDefault="00581EDD" w:rsidP="00B11EFB">
      <w:pPr>
        <w:pStyle w:val="Reference"/>
      </w:pPr>
      <w:r>
        <w:t xml:space="preserve">73. International Diabetes Federation. Pregnancy and Diabetes. 2009. </w:t>
      </w:r>
      <w:r>
        <w:rPr>
          <w:u w:val="single"/>
        </w:rPr>
        <w:t>https://idf.org/e-library/guidelines/84-pregnancy-and-diabetes.html</w:t>
      </w:r>
      <w:r>
        <w:t>.</w:t>
      </w:r>
    </w:p>
    <w:p w14:paraId="2E7FE160" w14:textId="77777777" w:rsidR="00581EDD" w:rsidRDefault="00581EDD" w:rsidP="00B11EFB">
      <w:pPr>
        <w:pStyle w:val="Reference"/>
      </w:pPr>
      <w:r>
        <w:t xml:space="preserve">74. American College of Obstetricians and Gynecologists' Committee on Practice Bulletins—Gynecology. ACOG Practice Bulletin No. 194: Polycystic Ovary Syndrome. </w:t>
      </w:r>
      <w:r>
        <w:rPr>
          <w:i/>
        </w:rPr>
        <w:t>Obstet Gynecol</w:t>
      </w:r>
      <w:r>
        <w:t xml:space="preserve"> 2018;131</w:t>
      </w:r>
      <w:r w:rsidR="000C0403">
        <w:t>:</w:t>
      </w:r>
      <w:r>
        <w:t>e157-e171.</w:t>
      </w:r>
    </w:p>
    <w:p w14:paraId="7AF5EA20" w14:textId="77777777" w:rsidR="00581EDD" w:rsidRDefault="00581EDD" w:rsidP="00B11EFB">
      <w:pPr>
        <w:pStyle w:val="Reference"/>
      </w:pPr>
      <w:r>
        <w:t>75. The International Federation of Gynecology and Obstetrics (FIGO). International evidence-based guideline for the assessment and management of polycystic ovary syndrome</w:t>
      </w:r>
      <w:r w:rsidR="008A52F3">
        <w:t>.</w:t>
      </w:r>
      <w:r>
        <w:t xml:space="preserve"> 2018. </w:t>
      </w:r>
      <w:r>
        <w:rPr>
          <w:u w:val="single"/>
        </w:rPr>
        <w:t>https://www.monash.edu/__data/assets/pdf_file/0004/1412644/PCOS_Evidence-Based-Guidelines_20181009.pdf</w:t>
      </w:r>
      <w:r>
        <w:t>.</w:t>
      </w:r>
    </w:p>
    <w:p w14:paraId="4723CE0D" w14:textId="77777777" w:rsidR="00581EDD" w:rsidRDefault="00581EDD" w:rsidP="00B11EFB">
      <w:pPr>
        <w:pStyle w:val="Reference"/>
      </w:pPr>
      <w:r>
        <w:t xml:space="preserve">76. Legro RS, Arslanian SA, Ehrmann DA, et al. Diagnosis and treatment of polycystic ovary syndrome: an Endocrine Society clinical practice guideline. </w:t>
      </w:r>
      <w:r>
        <w:rPr>
          <w:i/>
        </w:rPr>
        <w:t>J Clin Endocrinol Metab</w:t>
      </w:r>
      <w:r>
        <w:t xml:space="preserve"> 2013;98</w:t>
      </w:r>
      <w:r w:rsidR="000C0403">
        <w:t>:</w:t>
      </w:r>
      <w:r>
        <w:t>4565-92.</w:t>
      </w:r>
    </w:p>
    <w:p w14:paraId="43A4AF73" w14:textId="77777777" w:rsidR="00581EDD" w:rsidRDefault="00581EDD" w:rsidP="00B11EFB">
      <w:pPr>
        <w:pStyle w:val="Reference"/>
      </w:pPr>
      <w:r>
        <w:t xml:space="preserve">77. </w:t>
      </w:r>
      <w:r w:rsidRPr="008B3BDF">
        <w:t>Royal College of Obstetrics and Gynaecologists. Long-term Consequences of Polycystic Ovary Syndrome (Green-top Guideline</w:t>
      </w:r>
      <w:r>
        <w:t xml:space="preserve"> No. 33). 2014. </w:t>
      </w:r>
      <w:r>
        <w:rPr>
          <w:u w:val="single"/>
        </w:rPr>
        <w:t>https://www.rcog.org.uk/guidance/browse-all-guidance/green-top-guidelines/long-term-consequences-of-polycystic-ovary-syndrome-green-top-guideline-no-33/</w:t>
      </w:r>
    </w:p>
    <w:p w14:paraId="1FEBA9BE" w14:textId="77777777" w:rsidR="00581EDD" w:rsidRDefault="00581EDD" w:rsidP="00B11EFB">
      <w:pPr>
        <w:pStyle w:val="Reference"/>
      </w:pPr>
      <w:r>
        <w:t>78. National Institute for Health and Care Excellence Clinical Knowledge Summaries. Management of polycystic ovary syndrome in adults. 2022</w:t>
      </w:r>
      <w:r w:rsidR="008A52F3">
        <w:t>.</w:t>
      </w:r>
      <w:r>
        <w:t xml:space="preserve"> </w:t>
      </w:r>
      <w:r>
        <w:rPr>
          <w:u w:val="single"/>
        </w:rPr>
        <w:t>https://cks.nice.org.uk/topics/polycystic-ovary-syndrome/management/management-adults/#screening-for-type-2-diabetes-insulin-resistance</w:t>
      </w:r>
      <w:r>
        <w:t>.</w:t>
      </w:r>
    </w:p>
    <w:p w14:paraId="2EDBA522" w14:textId="77777777" w:rsidR="00581EDD" w:rsidRDefault="00581EDD" w:rsidP="00B11EFB">
      <w:pPr>
        <w:pStyle w:val="Reference"/>
      </w:pPr>
      <w:r>
        <w:lastRenderedPageBreak/>
        <w:t xml:space="preserve">79. Teede HJ, Misso ML, Costello MF, et al. Recommendations from the international evidence-based guideline for the assessment and management of polycystic ovary syndrome. </w:t>
      </w:r>
      <w:r>
        <w:rPr>
          <w:i/>
        </w:rPr>
        <w:t>Hum Reprod</w:t>
      </w:r>
      <w:r>
        <w:t xml:space="preserve"> 2018 Sep 1;33</w:t>
      </w:r>
      <w:r w:rsidR="000C0403">
        <w:t>:</w:t>
      </w:r>
      <w:r>
        <w:t>1602-1618.</w:t>
      </w:r>
    </w:p>
    <w:p w14:paraId="3B5ACB4A" w14:textId="77777777" w:rsidR="00581EDD" w:rsidRDefault="00581EDD" w:rsidP="00B11EFB">
      <w:pPr>
        <w:pStyle w:val="Reference"/>
      </w:pPr>
      <w:r>
        <w:t xml:space="preserve">80. Teede HJ, Misso ML, Costello MF, et al. Recommendations from the international evidence-based guideline for the assessment and management of polycystic ovary syndrome. </w:t>
      </w:r>
      <w:r>
        <w:rPr>
          <w:i/>
        </w:rPr>
        <w:t>Fertil Steril</w:t>
      </w:r>
      <w:r>
        <w:t xml:space="preserve"> 2018;110</w:t>
      </w:r>
      <w:r w:rsidR="000C0403">
        <w:t>:</w:t>
      </w:r>
      <w:r>
        <w:t>364-379.</w:t>
      </w:r>
    </w:p>
    <w:p w14:paraId="2535A9BB" w14:textId="77777777" w:rsidR="00581EDD" w:rsidRDefault="00581EDD" w:rsidP="00B11EFB">
      <w:pPr>
        <w:pStyle w:val="Reference"/>
      </w:pPr>
      <w:r>
        <w:t>81. Li-zhen L, Yun X, Xiao-Dong Z</w:t>
      </w:r>
      <w:r>
        <w:rPr>
          <w:i/>
        </w:rPr>
        <w:t>,</w:t>
      </w:r>
      <w:r>
        <w:t xml:space="preserve"> et al. Evaluation of guidelines on the screening and diagnosis of gestational diabetes mellitus: systematic review. </w:t>
      </w:r>
      <w:r>
        <w:rPr>
          <w:i/>
        </w:rPr>
        <w:t>BMJ Open</w:t>
      </w:r>
      <w:r>
        <w:t> 2019;</w:t>
      </w:r>
      <w:r>
        <w:rPr>
          <w:b/>
        </w:rPr>
        <w:t>9:</w:t>
      </w:r>
      <w:r>
        <w:t>e023014.</w:t>
      </w:r>
    </w:p>
    <w:p w14:paraId="16BD283A" w14:textId="77777777" w:rsidR="00581EDD" w:rsidRDefault="00581EDD" w:rsidP="00B11EFB">
      <w:pPr>
        <w:pStyle w:val="Reference"/>
      </w:pPr>
      <w:r>
        <w:t xml:space="preserve">82. Centers for Disease Control and Prevention. PCOS (Polycystic Ovary Syndrome) and Diabetes. </w:t>
      </w:r>
      <w:hyperlink r:id="rId10" w:history="1">
        <w:r w:rsidR="008B3BDF" w:rsidRPr="00C9499E">
          <w:rPr>
            <w:rStyle w:val="Hyperlink"/>
          </w:rPr>
          <w:t>https://www.cdc.gov/diabetes/basics/pcos.html</w:t>
        </w:r>
      </w:hyperlink>
      <w:r>
        <w:t>.</w:t>
      </w:r>
      <w:r w:rsidR="008B3BDF">
        <w:t xml:space="preserve"> </w:t>
      </w:r>
    </w:p>
    <w:p w14:paraId="71BD02DF" w14:textId="77777777" w:rsidR="00581EDD" w:rsidRDefault="00581EDD" w:rsidP="00B11EFB">
      <w:pPr>
        <w:pStyle w:val="Reference"/>
      </w:pPr>
      <w:r>
        <w:t xml:space="preserve">83. National Health Service. Symptoms; Type 2 diabetes. </w:t>
      </w:r>
      <w:r w:rsidR="008B3BDF">
        <w:t xml:space="preserve">2020. </w:t>
      </w:r>
      <w:r>
        <w:rPr>
          <w:u w:val="single"/>
        </w:rPr>
        <w:t>https://www.nhs.uk/conditions/type-2-diabetes/symptoms/</w:t>
      </w:r>
      <w:r>
        <w:t>.</w:t>
      </w:r>
    </w:p>
    <w:p w14:paraId="7B2421FD" w14:textId="77777777" w:rsidR="00581EDD" w:rsidRDefault="00581EDD" w:rsidP="00B11EFB">
      <w:pPr>
        <w:pStyle w:val="Reference"/>
      </w:pPr>
      <w:r>
        <w:t xml:space="preserve">84. Chai JH, Ma S, Heng D, et al. Impact of analytical and biological variations on classification of diabetes using fasting plasma glucose, oral glucose tolerance test and HbA1c. </w:t>
      </w:r>
      <w:r>
        <w:rPr>
          <w:i/>
        </w:rPr>
        <w:t>Sci Rep</w:t>
      </w:r>
      <w:r>
        <w:t xml:space="preserve"> 2017;7</w:t>
      </w:r>
      <w:r w:rsidR="000C0403">
        <w:t>:</w:t>
      </w:r>
      <w:r>
        <w:t>13721.</w:t>
      </w:r>
    </w:p>
    <w:p w14:paraId="3438E637" w14:textId="77777777" w:rsidR="00581EDD" w:rsidRDefault="00581EDD" w:rsidP="00B11EFB">
      <w:pPr>
        <w:pStyle w:val="Reference"/>
      </w:pPr>
      <w:r>
        <w:t xml:space="preserve">85. Khera PK, Smith EP, Lindsell CJ, et al. Use of an oral stable isotope label to confirm variation in red blood cell mean age that influences HbA1c interpretation. </w:t>
      </w:r>
      <w:r>
        <w:rPr>
          <w:i/>
        </w:rPr>
        <w:t>Am J Hematol</w:t>
      </w:r>
      <w:r>
        <w:t xml:space="preserve"> 2015;90</w:t>
      </w:r>
      <w:r w:rsidR="000C0403">
        <w:t>:</w:t>
      </w:r>
      <w:r>
        <w:t>50-55.</w:t>
      </w:r>
    </w:p>
    <w:p w14:paraId="05E496D6" w14:textId="77777777" w:rsidR="00581EDD" w:rsidRDefault="00581EDD" w:rsidP="00B11EFB">
      <w:pPr>
        <w:pStyle w:val="Reference"/>
      </w:pPr>
      <w:r>
        <w:t xml:space="preserve">86. Gillett M, Brennan A, Watson P, et al. The cost-effectiveness of testing strategies for type 2 diabetes: a modelling study. </w:t>
      </w:r>
      <w:r>
        <w:rPr>
          <w:i/>
        </w:rPr>
        <w:t>Health Technol Assess</w:t>
      </w:r>
      <w:r>
        <w:t xml:space="preserve"> 2015;19</w:t>
      </w:r>
      <w:r w:rsidR="008B3BDF" w:rsidRPr="008B3BDF">
        <w:t>:1-80.</w:t>
      </w:r>
      <w:r w:rsidR="008B3BDF" w:rsidRPr="008B3BDF" w:rsidDel="008B3BDF">
        <w:t xml:space="preserve"> </w:t>
      </w:r>
    </w:p>
    <w:p w14:paraId="2D7B54D4" w14:textId="77777777" w:rsidR="00581EDD" w:rsidRDefault="00581EDD" w:rsidP="00B11EFB">
      <w:pPr>
        <w:pStyle w:val="Reference"/>
      </w:pPr>
      <w:r>
        <w:t xml:space="preserve">87. Piltonen TT, Ruokojärvi M, Karro H, et al. Awareness of polycystic ovary syndrome among obstetrician-gynecologists and endocrinologists in Northern Europe. </w:t>
      </w:r>
      <w:r>
        <w:rPr>
          <w:i/>
        </w:rPr>
        <w:t>PLoS One</w:t>
      </w:r>
      <w:r>
        <w:t xml:space="preserve"> 2019;14</w:t>
      </w:r>
      <w:r w:rsidR="000C0403">
        <w:t>:</w:t>
      </w:r>
      <w:r>
        <w:t>e0226074.</w:t>
      </w:r>
    </w:p>
    <w:p w14:paraId="6F720E9F" w14:textId="77777777" w:rsidR="00581EDD" w:rsidRDefault="00581EDD" w:rsidP="00B11EFB">
      <w:pPr>
        <w:pStyle w:val="Reference"/>
      </w:pPr>
      <w:r>
        <w:t xml:space="preserve">88. Chemerinski A, Cooney L, Shah D, Butts S, Gibson-Helm M, Dokras A. Knowledge of PCOS in physicians-in-training: identifying gaps and educational opportunities. </w:t>
      </w:r>
      <w:r>
        <w:rPr>
          <w:i/>
        </w:rPr>
        <w:t>Gynecol Endocrinol</w:t>
      </w:r>
      <w:r>
        <w:t xml:space="preserve"> 2020;36</w:t>
      </w:r>
      <w:r w:rsidR="000C0403">
        <w:t>:</w:t>
      </w:r>
      <w:r>
        <w:t>854-9.</w:t>
      </w:r>
    </w:p>
    <w:p w14:paraId="05A7E027" w14:textId="77777777" w:rsidR="00581EDD" w:rsidRDefault="00581EDD" w:rsidP="00B11EFB">
      <w:pPr>
        <w:pStyle w:val="Reference"/>
      </w:pPr>
      <w:r>
        <w:t xml:space="preserve">89. Farrar D, Duley L, Dowswell T, Lawlor DA. Different strategies for diagnosing gestational diabetes to improve maternal and infant health. </w:t>
      </w:r>
      <w:r>
        <w:rPr>
          <w:i/>
        </w:rPr>
        <w:t>Cochrane Database Syst Rev</w:t>
      </w:r>
      <w:r>
        <w:t xml:space="preserve"> 2017;8</w:t>
      </w:r>
      <w:r w:rsidR="000C0403">
        <w:t>:</w:t>
      </w:r>
      <w:r>
        <w:t>Cd007122.</w:t>
      </w:r>
      <w:r w:rsidR="008B3BDF">
        <w:t xml:space="preserve"> </w:t>
      </w:r>
      <w:r w:rsidR="008B3BDF" w:rsidRPr="008B3BDF">
        <w:t>doi: 10.1002/14651858.CD007122.pub2.</w:t>
      </w:r>
    </w:p>
    <w:p w14:paraId="144EEB59" w14:textId="77777777" w:rsidR="00581EDD" w:rsidRDefault="00581EDD" w:rsidP="00B11EFB">
      <w:pPr>
        <w:pStyle w:val="Reference"/>
      </w:pPr>
      <w:r>
        <w:t xml:space="preserve">90. Hod M, Kapur A, Sacks DA, et al. The International Federation of Gynecology and Obstetrics (FIGO) Initiative on gestational diabetes mellitus: A pragmatic guide for diagnosis, management, and care. </w:t>
      </w:r>
      <w:r>
        <w:rPr>
          <w:i/>
        </w:rPr>
        <w:t>Int J Gynaecol Obstet</w:t>
      </w:r>
      <w:r>
        <w:t xml:space="preserve"> 2015;131:S173-211.</w:t>
      </w:r>
    </w:p>
    <w:p w14:paraId="32A76B22" w14:textId="77777777" w:rsidR="00581EDD" w:rsidRDefault="00581EDD" w:rsidP="00B11EFB">
      <w:pPr>
        <w:pStyle w:val="Reference"/>
      </w:pPr>
      <w:r>
        <w:t xml:space="preserve">91. Benhalima K, Mathieu C, Damm P, et al. A proposal for the use of uniform diagnostic criteria for gestational diabetes in Europe: an opinion paper by the European Board &amp; College of Obstetrics and Gynaecology (EBCOG). </w:t>
      </w:r>
      <w:r>
        <w:rPr>
          <w:i/>
        </w:rPr>
        <w:t>Diabetologia</w:t>
      </w:r>
      <w:r>
        <w:t xml:space="preserve"> 2015;58</w:t>
      </w:r>
      <w:r w:rsidR="000C0403">
        <w:t>:</w:t>
      </w:r>
      <w:r>
        <w:t>1422-9.</w:t>
      </w:r>
    </w:p>
    <w:p w14:paraId="5BC5BADC" w14:textId="77777777" w:rsidR="00581EDD" w:rsidRDefault="00581EDD" w:rsidP="00B11EFB">
      <w:pPr>
        <w:pStyle w:val="Reference"/>
      </w:pPr>
      <w:r>
        <w:t xml:space="preserve">92. Ward RJ, Fryer AA, Hanna FW, et al. Inadequate postpartum screening for type 2 diabetes in women with previous gestation diabetes mellitus: A retrospective audit of practice over 17 years. </w:t>
      </w:r>
      <w:r>
        <w:rPr>
          <w:i/>
        </w:rPr>
        <w:t>Int J Clin Pract</w:t>
      </w:r>
      <w:r>
        <w:t xml:space="preserve"> 2021;75</w:t>
      </w:r>
      <w:r w:rsidR="000C0403">
        <w:t>:</w:t>
      </w:r>
      <w:r>
        <w:t>e14447</w:t>
      </w:r>
    </w:p>
    <w:p w14:paraId="4B9E7D03" w14:textId="77777777" w:rsidR="00581EDD" w:rsidRDefault="00581EDD" w:rsidP="00B11EFB">
      <w:pPr>
        <w:pStyle w:val="Reference"/>
      </w:pPr>
      <w:r>
        <w:t xml:space="preserve">93. Ferrara A, Peng T, Kim C. Trends in postpartum diabetes screening and subsequent diabetes and impaired fasting glucose among women with histories of gestational diabetes mellitus: A report from the Translating Research Into Action for Diabetes (TRIAD) Study. </w:t>
      </w:r>
      <w:r>
        <w:rPr>
          <w:i/>
        </w:rPr>
        <w:t>Diabetes Care</w:t>
      </w:r>
      <w:r>
        <w:t xml:space="preserve"> 2009;32</w:t>
      </w:r>
      <w:r w:rsidR="000C0403">
        <w:t>:</w:t>
      </w:r>
      <w:r>
        <w:t>269-74.</w:t>
      </w:r>
    </w:p>
    <w:p w14:paraId="1A2EB5EE" w14:textId="77777777" w:rsidR="00581EDD" w:rsidRDefault="00581EDD" w:rsidP="00B11EFB">
      <w:pPr>
        <w:pStyle w:val="Reference"/>
      </w:pPr>
      <w:r>
        <w:t xml:space="preserve">94. Tovar A, Chasan-Taber L, Eggleston E, Oken E. Postpartum screening for diabetes among women with a history of gestational diabetes mellitus. </w:t>
      </w:r>
      <w:r>
        <w:rPr>
          <w:i/>
        </w:rPr>
        <w:t>Prev Chronic Dis</w:t>
      </w:r>
      <w:r>
        <w:t xml:space="preserve"> 2011;8</w:t>
      </w:r>
      <w:r w:rsidR="000C0403">
        <w:t>:</w:t>
      </w:r>
      <w:r>
        <w:t>A124.</w:t>
      </w:r>
    </w:p>
    <w:p w14:paraId="0D063D23" w14:textId="77777777" w:rsidR="00581EDD" w:rsidRDefault="00581EDD" w:rsidP="00B11EFB">
      <w:pPr>
        <w:pStyle w:val="Reference"/>
      </w:pPr>
      <w:r>
        <w:t xml:space="preserve">95. Brown SD, Hedderson MM, Zhu Y, et al. Uptake of guideline-recommended postpartum diabetes screening among diverse women with gestational diabetes: associations with patient </w:t>
      </w:r>
      <w:r>
        <w:lastRenderedPageBreak/>
        <w:t xml:space="preserve">factors in an integrated health system in USA. </w:t>
      </w:r>
      <w:r>
        <w:rPr>
          <w:i/>
        </w:rPr>
        <w:t>BMJ Open Diabetes Res Care</w:t>
      </w:r>
      <w:r>
        <w:t xml:space="preserve"> 2022;10</w:t>
      </w:r>
      <w:r w:rsidR="000C0403">
        <w:t>:</w:t>
      </w:r>
      <w:r>
        <w:t>e002726.</w:t>
      </w:r>
    </w:p>
    <w:p w14:paraId="43641ABE" w14:textId="77777777" w:rsidR="00581EDD" w:rsidRDefault="00581EDD" w:rsidP="00B11EFB">
      <w:pPr>
        <w:pStyle w:val="Reference"/>
      </w:pPr>
      <w:r>
        <w:t xml:space="preserve">96. Linnenkamp U, Greiner GG, Haastert B, et al. Postpartum screening of women with GDM in specialised practices: Data from 12,991 women in the GestDiab register. </w:t>
      </w:r>
      <w:r>
        <w:rPr>
          <w:i/>
        </w:rPr>
        <w:t>Diabet Med</w:t>
      </w:r>
      <w:r>
        <w:t xml:space="preserve"> 2022;39</w:t>
      </w:r>
      <w:r w:rsidR="000C0403">
        <w:t>:</w:t>
      </w:r>
      <w:r>
        <w:t>e14861.</w:t>
      </w:r>
    </w:p>
    <w:p w14:paraId="7262B93F" w14:textId="77777777" w:rsidR="00581EDD" w:rsidRDefault="00581EDD" w:rsidP="00B11EFB">
      <w:pPr>
        <w:pStyle w:val="Reference"/>
      </w:pPr>
      <w:r>
        <w:t xml:space="preserve">97. McGovern A, Butler L, Jones S, et al. Diabetes screening after gestational diabetes in England: a quantitative retrospective cohort study. </w:t>
      </w:r>
      <w:r>
        <w:rPr>
          <w:i/>
        </w:rPr>
        <w:t>Br J Gen Pract</w:t>
      </w:r>
      <w:r>
        <w:t xml:space="preserve"> 2014;64</w:t>
      </w:r>
      <w:r w:rsidR="000C0403">
        <w:t>:</w:t>
      </w:r>
      <w:r>
        <w:t>e17-23</w:t>
      </w:r>
      <w:r w:rsidR="008B3BDF">
        <w:t>.</w:t>
      </w:r>
    </w:p>
    <w:p w14:paraId="50699800" w14:textId="77777777" w:rsidR="00581EDD" w:rsidRDefault="00581EDD" w:rsidP="00B11EFB">
      <w:pPr>
        <w:pStyle w:val="Reference"/>
      </w:pPr>
      <w:r>
        <w:t xml:space="preserve">98. Carson MP, Frank MI, Keely E. Original research: postpartum testing rates among women with a history of gestational diabetes--systematic review. </w:t>
      </w:r>
      <w:r>
        <w:rPr>
          <w:i/>
        </w:rPr>
        <w:t>Prim Care Diabetes</w:t>
      </w:r>
      <w:r>
        <w:t xml:space="preserve"> 2013;7</w:t>
      </w:r>
      <w:r w:rsidR="000C0403">
        <w:t>:</w:t>
      </w:r>
      <w:r>
        <w:t>177-86.</w:t>
      </w:r>
    </w:p>
    <w:p w14:paraId="7DF92A69" w14:textId="77777777" w:rsidR="00581EDD" w:rsidRDefault="00581EDD" w:rsidP="00B11EFB">
      <w:pPr>
        <w:pStyle w:val="Reference"/>
      </w:pPr>
      <w:r>
        <w:t xml:space="preserve">99. Sebastian MR, Wiemann CM, Bacha F, Alston Taylor SJ. Diagnostic Evaluation, Comorbidity Screening, and Treatment of Polycystic Ovary Syndrome in Adolescents in 3 Specialty Clinics. </w:t>
      </w:r>
      <w:r>
        <w:rPr>
          <w:i/>
        </w:rPr>
        <w:t>J Pediatr Adolesc Gynecol</w:t>
      </w:r>
      <w:r>
        <w:t xml:space="preserve"> 2018;31</w:t>
      </w:r>
      <w:r w:rsidR="000C0403">
        <w:t>:</w:t>
      </w:r>
      <w:r>
        <w:t>367-371</w:t>
      </w:r>
    </w:p>
    <w:p w14:paraId="5ADD0C5B" w14:textId="77777777" w:rsidR="00581EDD" w:rsidRDefault="00581EDD" w:rsidP="00B11EFB">
      <w:pPr>
        <w:pStyle w:val="Reference"/>
      </w:pPr>
      <w:r>
        <w:t xml:space="preserve">100. Heald AH, Livingston M, Holland D, et al. Polycystic ovarian syndrome: Assessment of approaches to diagnosis and cardiometabolic monitoring in UK primary care. </w:t>
      </w:r>
      <w:r>
        <w:rPr>
          <w:i/>
        </w:rPr>
        <w:t>Int J Clin Pract</w:t>
      </w:r>
      <w:r>
        <w:t xml:space="preserve"> 2018;72.</w:t>
      </w:r>
    </w:p>
    <w:p w14:paraId="6D2FF5F8" w14:textId="77777777" w:rsidR="00581EDD" w:rsidRDefault="00581EDD" w:rsidP="00B11EFB">
      <w:pPr>
        <w:pStyle w:val="Reference"/>
      </w:pPr>
      <w:r>
        <w:t xml:space="preserve">101. Zhi M, Ding EL, Theisen-Toupal J, Whelan J, Arnaout R. The landscape of inappropriate laboratory testing: a 15-year meta-analysis. </w:t>
      </w:r>
      <w:r>
        <w:rPr>
          <w:i/>
        </w:rPr>
        <w:t>PLoS One</w:t>
      </w:r>
      <w:r>
        <w:t xml:space="preserve"> 2013;8</w:t>
      </w:r>
      <w:r w:rsidR="000C0403">
        <w:t>:</w:t>
      </w:r>
      <w:r>
        <w:t>e78962.</w:t>
      </w:r>
    </w:p>
    <w:p w14:paraId="63FC0F0C" w14:textId="77777777" w:rsidR="00581EDD" w:rsidRDefault="00581EDD" w:rsidP="00B11EFB">
      <w:pPr>
        <w:pStyle w:val="Reference"/>
      </w:pPr>
      <w:r>
        <w:t xml:space="preserve">102. Chami N, Simons JE, Sweetman A, Don-Wauchope AC. Rates of inappropriate laboratory test utilization in Ontario. </w:t>
      </w:r>
      <w:r>
        <w:rPr>
          <w:i/>
        </w:rPr>
        <w:t>Clin Biochem</w:t>
      </w:r>
      <w:r>
        <w:t xml:space="preserve"> 2017;50</w:t>
      </w:r>
      <w:r w:rsidR="000C0403">
        <w:t>:</w:t>
      </w:r>
      <w:r>
        <w:t>822-827.</w:t>
      </w:r>
    </w:p>
    <w:p w14:paraId="57DA2530" w14:textId="77777777" w:rsidR="00581EDD" w:rsidRDefault="00581EDD" w:rsidP="00B11EFB">
      <w:pPr>
        <w:pStyle w:val="Reference"/>
      </w:pPr>
      <w:r>
        <w:t xml:space="preserve">103. Driskell OJ, Holland D, Hanna FW, et al. Inappropriate requesting of glycated hemoglobin (Hb A1c) is widespread: assessment of prevalence, impact of national guidance, and practice-to-practice variability. </w:t>
      </w:r>
      <w:r>
        <w:rPr>
          <w:i/>
        </w:rPr>
        <w:t>Clin Chem</w:t>
      </w:r>
      <w:r>
        <w:t xml:space="preserve"> 2012;58</w:t>
      </w:r>
      <w:r w:rsidR="000C0403">
        <w:t>:</w:t>
      </w:r>
      <w:r>
        <w:t>906-15.</w:t>
      </w:r>
    </w:p>
    <w:p w14:paraId="66D17681" w14:textId="77777777" w:rsidR="00581EDD" w:rsidRDefault="00581EDD" w:rsidP="00B11EFB">
      <w:pPr>
        <w:pStyle w:val="Reference"/>
      </w:pPr>
      <w:r>
        <w:t xml:space="preserve">104. Scargill JJ, Livingston M, Holland D, Duff CJ, Fryer AA, Heald AH. Monitoring Thyroid Function in Patients on Levothyroxine. Assessment of Conformity to National Guidance and Variability in Practice. </w:t>
      </w:r>
      <w:r>
        <w:rPr>
          <w:i/>
        </w:rPr>
        <w:t>Exp Clin Endocrinol Diabetes</w:t>
      </w:r>
      <w:r>
        <w:t xml:space="preserve"> 2017;125</w:t>
      </w:r>
      <w:r w:rsidR="000C0403">
        <w:t>:</w:t>
      </w:r>
      <w:r>
        <w:t>625-33.</w:t>
      </w:r>
    </w:p>
    <w:p w14:paraId="0CBC2B6D" w14:textId="77777777" w:rsidR="00581EDD" w:rsidRDefault="00581EDD" w:rsidP="00B11EFB">
      <w:pPr>
        <w:pStyle w:val="Reference"/>
      </w:pPr>
      <w:r>
        <w:t xml:space="preserve">105. Parfitt C, Duff CJ, Scargill J, et al. Serum lithium test requesting across three UK regions: an evaluation of adherence to monitoring guidelines. </w:t>
      </w:r>
      <w:r>
        <w:rPr>
          <w:i/>
        </w:rPr>
        <w:t>BMC Psychiatry</w:t>
      </w:r>
      <w:r>
        <w:t xml:space="preserve"> 202112;21</w:t>
      </w:r>
      <w:r w:rsidR="000C0403">
        <w:t>:</w:t>
      </w:r>
      <w:r>
        <w:t>32.</w:t>
      </w:r>
    </w:p>
    <w:p w14:paraId="29DAB20A" w14:textId="77777777" w:rsidR="00581EDD" w:rsidRDefault="00581EDD" w:rsidP="00B11EFB">
      <w:pPr>
        <w:pStyle w:val="Reference"/>
      </w:pPr>
      <w:r>
        <w:t xml:space="preserve">106. Koning SH, Lutgers HL, Hoogenberg K, Trompert CA, van den Berg PP, Wolffenbuttel BH. Postpartum glucose follow-up and lifestyle management after gestational diabetes mellitus: general practitioner and patient perspectives. </w:t>
      </w:r>
      <w:r>
        <w:rPr>
          <w:i/>
        </w:rPr>
        <w:t>J Diabetes Metab Disord</w:t>
      </w:r>
      <w:r>
        <w:t xml:space="preserve"> 2016 7;15:56.</w:t>
      </w:r>
    </w:p>
    <w:p w14:paraId="45ED0160" w14:textId="77777777" w:rsidR="00581EDD" w:rsidRDefault="00581EDD" w:rsidP="00B11EFB">
      <w:pPr>
        <w:pStyle w:val="Reference"/>
      </w:pPr>
      <w:r>
        <w:t xml:space="preserve">107. Nielsen JH, Olesen CR, Kristiansen TM, Bak CK, Overgaard C. Reasons for women's non-participation in follow-up screening after gestational diabetes. </w:t>
      </w:r>
      <w:r>
        <w:rPr>
          <w:i/>
        </w:rPr>
        <w:t>Women Birth</w:t>
      </w:r>
      <w:r>
        <w:t xml:space="preserve"> 2015;28</w:t>
      </w:r>
      <w:r w:rsidR="000C0403">
        <w:t>:</w:t>
      </w:r>
      <w:r>
        <w:t>e157-63.</w:t>
      </w:r>
    </w:p>
    <w:p w14:paraId="305A8E40" w14:textId="77777777" w:rsidR="00581EDD" w:rsidRDefault="00581EDD" w:rsidP="00B11EFB">
      <w:pPr>
        <w:pStyle w:val="Reference"/>
      </w:pPr>
      <w:r>
        <w:t xml:space="preserve">108. Paez KA, Eggleston EM, Griffey SJ, et al. Understanding why some women with a history of gestational diabetes do not get tested for diabetes. </w:t>
      </w:r>
      <w:r>
        <w:rPr>
          <w:i/>
        </w:rPr>
        <w:t>Womens Health Issues</w:t>
      </w:r>
      <w:r>
        <w:t xml:space="preserve"> 2014;24</w:t>
      </w:r>
      <w:r w:rsidR="000C0403">
        <w:t>:</w:t>
      </w:r>
      <w:r>
        <w:t>e373-9.</w:t>
      </w:r>
    </w:p>
    <w:p w14:paraId="1D1006F1" w14:textId="77777777" w:rsidR="00581EDD" w:rsidRDefault="00581EDD" w:rsidP="00B11EFB">
      <w:pPr>
        <w:pStyle w:val="Reference"/>
      </w:pPr>
      <w:r>
        <w:t xml:space="preserve">109. Infanti JJ, O'Dea A, Gibson I, et al. Reasons for participation and non-participation in a diabetes prevention trial among women with prior gestational diabetes mellitus (GDM). </w:t>
      </w:r>
      <w:r>
        <w:rPr>
          <w:i/>
        </w:rPr>
        <w:t>BMC Med Res Methodol</w:t>
      </w:r>
      <w:r>
        <w:t xml:space="preserve"> 2014 24;14:13.</w:t>
      </w:r>
    </w:p>
    <w:p w14:paraId="0AE70F4A" w14:textId="77777777" w:rsidR="00581EDD" w:rsidRDefault="00581EDD" w:rsidP="00B11EFB">
      <w:pPr>
        <w:pStyle w:val="Reference"/>
      </w:pPr>
      <w:r>
        <w:t xml:space="preserve">110. Dhesi AS, Murtough KL, Lim JK, et al. Metabolic screening in patients with polycystic ovary syndrome is largely underutilized among obstetrician-gynecologists. </w:t>
      </w:r>
      <w:r>
        <w:rPr>
          <w:i/>
        </w:rPr>
        <w:t>Am J Obstet Gynecol</w:t>
      </w:r>
      <w:r>
        <w:t xml:space="preserve"> 2016;215</w:t>
      </w:r>
      <w:r w:rsidR="000C0403">
        <w:t>:</w:t>
      </w:r>
      <w:r>
        <w:t>579.e1-5.</w:t>
      </w:r>
    </w:p>
    <w:p w14:paraId="5D424526" w14:textId="77777777" w:rsidR="00581EDD" w:rsidRDefault="00581EDD" w:rsidP="00B11EFB">
      <w:pPr>
        <w:pStyle w:val="Reference"/>
      </w:pPr>
      <w:r>
        <w:t xml:space="preserve">111. Jeppesen C, Kristensen JK, Ovesen P, Maindal HT. The forgotten risk? A systematic review of the effect of reminder systems for postpartum screening for type 2 diabetes in women with previous gestational diabetes. </w:t>
      </w:r>
      <w:r>
        <w:rPr>
          <w:i/>
        </w:rPr>
        <w:t>BMC Res Notes</w:t>
      </w:r>
      <w:r>
        <w:t xml:space="preserve"> 2015;8:373.</w:t>
      </w:r>
    </w:p>
    <w:p w14:paraId="5263B6A5" w14:textId="77777777" w:rsidR="00581EDD" w:rsidRDefault="00581EDD" w:rsidP="00B11EFB">
      <w:pPr>
        <w:pStyle w:val="Reference"/>
      </w:pPr>
      <w:r>
        <w:lastRenderedPageBreak/>
        <w:t xml:space="preserve">112. Nielsen KK, Kapur A, Damm P, de Courten M, Bygbjerg IC. From screening to postpartum follow-up - the determinants and barriers for gestational diabetes mellitus (GDM) services, a systematic review. </w:t>
      </w:r>
      <w:r>
        <w:rPr>
          <w:i/>
        </w:rPr>
        <w:t>BMC Pregnancy Childbirth</w:t>
      </w:r>
      <w:r>
        <w:t xml:space="preserve"> 2014;14:41.</w:t>
      </w:r>
    </w:p>
    <w:p w14:paraId="5662AABC" w14:textId="77777777" w:rsidR="00581EDD" w:rsidRDefault="00581EDD" w:rsidP="00B11EFB">
      <w:pPr>
        <w:pStyle w:val="Reference"/>
      </w:pPr>
      <w:r>
        <w:t xml:space="preserve">113. Van Ryswyk EM, Middleton PF, Hague WM, Crowther CA. Postpartum SMS reminders to women who have experienced gestational diabetes to test for Type 2 diabetes: the DIAMIND randomized trial. </w:t>
      </w:r>
      <w:r>
        <w:rPr>
          <w:i/>
        </w:rPr>
        <w:t>Diabet Med</w:t>
      </w:r>
      <w:r>
        <w:t xml:space="preserve"> 2015;32</w:t>
      </w:r>
      <w:r w:rsidR="000C0403">
        <w:t>:</w:t>
      </w:r>
      <w:r>
        <w:t>1368-76.</w:t>
      </w:r>
    </w:p>
    <w:p w14:paraId="223CE37D" w14:textId="77777777" w:rsidR="00581EDD" w:rsidRDefault="00581EDD" w:rsidP="00B11EFB">
      <w:pPr>
        <w:pStyle w:val="Reference"/>
      </w:pPr>
      <w:r>
        <w:t xml:space="preserve">114. Middleton P, Crowther CA. Reminder systems for women with previous gestational diabetes mellitus to increase uptake of testing for type 2 diabetes or impaired glucose tolerance. </w:t>
      </w:r>
      <w:r>
        <w:rPr>
          <w:i/>
        </w:rPr>
        <w:t>Cochrane Database Syst Rev</w:t>
      </w:r>
      <w:r>
        <w:t xml:space="preserve"> 2014;CD009578.</w:t>
      </w:r>
      <w:r w:rsidR="00C15401">
        <w:t xml:space="preserve"> </w:t>
      </w:r>
      <w:r w:rsidR="00C15401" w:rsidRPr="00C15401">
        <w:t>DOI: 10.1002/14651858.CD009578.pub2</w:t>
      </w:r>
      <w:r w:rsidR="00C15401">
        <w:t>.</w:t>
      </w:r>
    </w:p>
    <w:p w14:paraId="14EFE930" w14:textId="77777777" w:rsidR="00581EDD" w:rsidRDefault="00581EDD" w:rsidP="00B11EFB">
      <w:pPr>
        <w:pStyle w:val="Reference"/>
      </w:pPr>
      <w:r>
        <w:t xml:space="preserve">115. Fryer AA, Smellie WS. Managing demand for laboratory tests: a laboratory toolkit. </w:t>
      </w:r>
      <w:r>
        <w:rPr>
          <w:i/>
        </w:rPr>
        <w:t>J Clin Pathol</w:t>
      </w:r>
      <w:r>
        <w:t xml:space="preserve"> 2013;66</w:t>
      </w:r>
      <w:r w:rsidR="000C0403">
        <w:t>:</w:t>
      </w:r>
      <w:r>
        <w:t>62-72.</w:t>
      </w:r>
    </w:p>
    <w:p w14:paraId="52D18172" w14:textId="77777777" w:rsidR="00581EDD" w:rsidRDefault="00581EDD" w:rsidP="00B11EFB">
      <w:pPr>
        <w:pStyle w:val="Reference"/>
      </w:pPr>
      <w:r>
        <w:t xml:space="preserve">116. Kapustin JF. Postpartum management for gestational diabetes mellitus: policy and practice implications. </w:t>
      </w:r>
      <w:r>
        <w:rPr>
          <w:i/>
        </w:rPr>
        <w:t>J Am Acad Nurse Pract</w:t>
      </w:r>
      <w:r>
        <w:t xml:space="preserve"> 2008;20</w:t>
      </w:r>
      <w:r w:rsidR="000C0403">
        <w:t>:</w:t>
      </w:r>
      <w:r>
        <w:t>547-54.</w:t>
      </w:r>
    </w:p>
    <w:p w14:paraId="4A5FD64B" w14:textId="77777777" w:rsidR="00581EDD" w:rsidRDefault="00581EDD" w:rsidP="00B11EFB">
      <w:pPr>
        <w:pStyle w:val="Reference"/>
      </w:pPr>
      <w:r>
        <w:t xml:space="preserve">117. Bernstein JA, McCloskey L, Gebel CM, Iverson RE, Lee-Parritz A. Lost opportunities to prevent early onset type 2 diabetes mellitus after a pregnancy complicated by gestational diabetes. </w:t>
      </w:r>
      <w:r>
        <w:rPr>
          <w:i/>
        </w:rPr>
        <w:t>BMJ Open Diabetes Res Care</w:t>
      </w:r>
      <w:r>
        <w:t xml:space="preserve"> 2016;4</w:t>
      </w:r>
      <w:r w:rsidR="000C0403">
        <w:t>:</w:t>
      </w:r>
      <w:r>
        <w:t>e000250</w:t>
      </w:r>
      <w:r w:rsidR="00C15401">
        <w:t>.</w:t>
      </w:r>
    </w:p>
    <w:p w14:paraId="59ACD9F4" w14:textId="77777777" w:rsidR="00581EDD" w:rsidRDefault="00581EDD" w:rsidP="00B11EFB">
      <w:pPr>
        <w:pStyle w:val="Reference"/>
      </w:pPr>
      <w:r>
        <w:t xml:space="preserve">118. Bergman M, Buysschaert M, Ceriello A, et al. Current diagnostic criteria identify risk for type 2 diabetes too late. </w:t>
      </w:r>
      <w:r>
        <w:rPr>
          <w:i/>
        </w:rPr>
        <w:t>Lancet Diabetes Endocrinol 2023</w:t>
      </w:r>
      <w:r>
        <w:t>;11</w:t>
      </w:r>
      <w:r w:rsidR="000C0403">
        <w:t>:</w:t>
      </w:r>
      <w:r>
        <w:t>224-6.</w:t>
      </w:r>
    </w:p>
    <w:p w14:paraId="57325642" w14:textId="77777777" w:rsidR="00581EDD" w:rsidRDefault="00581EDD" w:rsidP="00B11EFB">
      <w:pPr>
        <w:pStyle w:val="Reference"/>
      </w:pPr>
      <w:r>
        <w:t xml:space="preserve">119. Lamain-de Ruiter M, Kwee A, Naaktgeboren CA, Franx A, Moons KGM, Koster MPH. Prediction models for the risk of gestational diabetes: a systematic review. </w:t>
      </w:r>
      <w:r>
        <w:rPr>
          <w:i/>
        </w:rPr>
        <w:t>Diagn Progn Res</w:t>
      </w:r>
      <w:r>
        <w:t xml:space="preserve"> 2017;1:3.</w:t>
      </w:r>
    </w:p>
    <w:p w14:paraId="4123FC0A" w14:textId="77777777" w:rsidR="00581EDD" w:rsidRDefault="00581EDD" w:rsidP="00B11EFB">
      <w:pPr>
        <w:pStyle w:val="Reference"/>
      </w:pPr>
      <w:r>
        <w:t xml:space="preserve">120. You H, Hu J, Liu Y, Luo B, Lei A. Risk of type 2 diabetes mellitus after gestational diabetes mellitus: A systematic review &amp; meta-analysis. </w:t>
      </w:r>
      <w:r>
        <w:rPr>
          <w:i/>
        </w:rPr>
        <w:t>Indian J Med Res</w:t>
      </w:r>
      <w:r>
        <w:t xml:space="preserve"> 2021;154</w:t>
      </w:r>
      <w:r w:rsidR="000C0403">
        <w:t>:</w:t>
      </w:r>
      <w:r>
        <w:t>62-77.</w:t>
      </w:r>
    </w:p>
    <w:p w14:paraId="1C88F236" w14:textId="77777777" w:rsidR="00581EDD" w:rsidRDefault="00581EDD" w:rsidP="00B11EFB">
      <w:pPr>
        <w:pStyle w:val="Reference"/>
      </w:pPr>
      <w:r>
        <w:t xml:space="preserve">121. Noctor E, Dunne FP. Type 2 diabetes after gestational diabetes: The influence of changing diagnostic criteria. </w:t>
      </w:r>
      <w:r>
        <w:rPr>
          <w:i/>
        </w:rPr>
        <w:t>World J Diabetes</w:t>
      </w:r>
      <w:r>
        <w:t xml:space="preserve"> 2015;6</w:t>
      </w:r>
      <w:r w:rsidR="000C0403">
        <w:t>:</w:t>
      </w:r>
      <w:r>
        <w:t>234-44.</w:t>
      </w:r>
    </w:p>
    <w:p w14:paraId="4CC0CEA5" w14:textId="77777777" w:rsidR="00581EDD" w:rsidRDefault="00581EDD" w:rsidP="00B11EFB">
      <w:pPr>
        <w:pStyle w:val="Reference"/>
      </w:pPr>
      <w:r>
        <w:t xml:space="preserve">122. Ilari L, Piersanti A, Göbl C, et al. Unraveling the Factors Determining Development of Type 2 Diabetes in Women With a History of Gestational Diabetes Mellitus Through Machine-Learning Techniques. </w:t>
      </w:r>
      <w:r>
        <w:rPr>
          <w:i/>
        </w:rPr>
        <w:t>Front Physiol</w:t>
      </w:r>
      <w:r>
        <w:t xml:space="preserve"> 2022;13:789219.</w:t>
      </w:r>
    </w:p>
    <w:p w14:paraId="1BC45F4B" w14:textId="77777777" w:rsidR="00581EDD" w:rsidRDefault="00581EDD" w:rsidP="00B11EFB">
      <w:pPr>
        <w:pStyle w:val="Reference"/>
      </w:pPr>
      <w:r>
        <w:t xml:space="preserve">123. Kumar M, Ang LT, Ho C, et al. Machine Learning–Derived Prenatal Predictive Risk Model to Guide Intervention and Prevent the Progression of Gestational Diabetes Mellitus to Type 2 Diabetes: Prediction Model Development Study. </w:t>
      </w:r>
      <w:r>
        <w:rPr>
          <w:i/>
        </w:rPr>
        <w:t>JMIR Diabetes</w:t>
      </w:r>
      <w:r>
        <w:t xml:space="preserve"> 2022;7</w:t>
      </w:r>
      <w:r w:rsidR="000C0403">
        <w:t>:</w:t>
      </w:r>
      <w:r>
        <w:t>e32366</w:t>
      </w:r>
      <w:r w:rsidR="00C15401">
        <w:t>.</w:t>
      </w:r>
    </w:p>
    <w:p w14:paraId="5788816F" w14:textId="77777777" w:rsidR="00581EDD" w:rsidRDefault="00581EDD" w:rsidP="00B11EFB">
      <w:pPr>
        <w:pStyle w:val="Reference"/>
      </w:pPr>
      <w:r>
        <w:t xml:space="preserve">124. </w:t>
      </w:r>
      <w:r w:rsidR="00C15401">
        <w:t xml:space="preserve">ClinRisk. </w:t>
      </w:r>
      <w:r>
        <w:t xml:space="preserve">QDiabetes®-2018 risk calculator. </w:t>
      </w:r>
      <w:r>
        <w:rPr>
          <w:u w:val="single"/>
        </w:rPr>
        <w:t>https://qdiabetes.org/.</w:t>
      </w:r>
    </w:p>
    <w:p w14:paraId="2ADA5A37" w14:textId="77777777" w:rsidR="00581EDD" w:rsidRDefault="00581EDD" w:rsidP="00B11EFB">
      <w:pPr>
        <w:pStyle w:val="Reference"/>
      </w:pPr>
      <w:r>
        <w:t xml:space="preserve">125. Białek L. Diabetes Risk Calculator. </w:t>
      </w:r>
      <w:r w:rsidRPr="00B11EFB">
        <w:rPr>
          <w:u w:val="single"/>
        </w:rPr>
        <w:t>https://www.omnicalculator.com/health/risk-dm</w:t>
      </w:r>
      <w:r w:rsidR="00C15401">
        <w:rPr>
          <w:u w:val="single"/>
        </w:rPr>
        <w:t>.</w:t>
      </w:r>
    </w:p>
    <w:p w14:paraId="15C3B01F" w14:textId="77777777" w:rsidR="00581EDD" w:rsidRDefault="00581EDD" w:rsidP="00B11EFB">
      <w:pPr>
        <w:pStyle w:val="Reference"/>
      </w:pPr>
      <w:r>
        <w:t xml:space="preserve">126. Tabák AG, Jokela M, Akbaraly TN, Brunner EJ, Kivimäki M, Witte DR. Trajectories of glycaemia, insulin sensitivity, and insulin secretion before diagnosis of type 2 diabetes: an analysis from the Whitehall II study. </w:t>
      </w:r>
      <w:r>
        <w:rPr>
          <w:i/>
        </w:rPr>
        <w:t>Lancet</w:t>
      </w:r>
      <w:r>
        <w:t xml:space="preserve"> 2009;373</w:t>
      </w:r>
      <w:r w:rsidR="000C0403">
        <w:t>:</w:t>
      </w:r>
      <w:r>
        <w:t>2215-21.</w:t>
      </w:r>
    </w:p>
    <w:p w14:paraId="0F485B53" w14:textId="77777777" w:rsidR="00581EDD" w:rsidRDefault="00581EDD" w:rsidP="00B11EFB">
      <w:pPr>
        <w:pStyle w:val="Reference"/>
      </w:pPr>
      <w:r>
        <w:t xml:space="preserve">127. Weir GC, Bonner-Weir S. Five stages of evolving beta-cell dysfunction during progression to diabetes. </w:t>
      </w:r>
      <w:r>
        <w:rPr>
          <w:i/>
        </w:rPr>
        <w:t>Diabetes</w:t>
      </w:r>
      <w:r>
        <w:t xml:space="preserve"> 2004;53:S16-21.</w:t>
      </w:r>
    </w:p>
    <w:p w14:paraId="65E42C42" w14:textId="77777777" w:rsidR="00581EDD" w:rsidRDefault="00581EDD" w:rsidP="00B11EFB">
      <w:pPr>
        <w:pStyle w:val="Reference"/>
      </w:pPr>
      <w:r>
        <w:t xml:space="preserve">128. Sandhu MS, Heald AH, Gibson JM, Cruickshank JK, Dunger DB, Wareham NJ. Circulating concentrations of insulin-like growth factor-I and development of glucose intolerance: a prospective observational study. </w:t>
      </w:r>
      <w:r>
        <w:rPr>
          <w:i/>
        </w:rPr>
        <w:t>Lancet</w:t>
      </w:r>
      <w:r>
        <w:t xml:space="preserve"> 2002;359</w:t>
      </w:r>
      <w:r w:rsidR="000C0403">
        <w:t>:</w:t>
      </w:r>
      <w:r>
        <w:t>1740-5</w:t>
      </w:r>
    </w:p>
    <w:p w14:paraId="7D82C726" w14:textId="77777777" w:rsidR="00581EDD" w:rsidRDefault="00581EDD" w:rsidP="00B11EFB">
      <w:pPr>
        <w:pStyle w:val="Reference"/>
      </w:pPr>
      <w:r>
        <w:t xml:space="preserve">129. Matthews DR, Hosker JP, Rudenski AS, Naylor BA, Treacher DF, Turner RC. Homeostasis model assessment: insulin resistance and beta-cell function from fasting plasma glucose and insulin concentrations in man. </w:t>
      </w:r>
      <w:r>
        <w:rPr>
          <w:i/>
        </w:rPr>
        <w:t>Diabetologia</w:t>
      </w:r>
      <w:r>
        <w:t xml:space="preserve"> 1985;28</w:t>
      </w:r>
      <w:r w:rsidR="000C0403">
        <w:t>:</w:t>
      </w:r>
      <w:r>
        <w:t>412-9.</w:t>
      </w:r>
    </w:p>
    <w:p w14:paraId="1D1F0194" w14:textId="77777777" w:rsidR="00581EDD" w:rsidRDefault="00581EDD" w:rsidP="00B11EFB">
      <w:pPr>
        <w:pStyle w:val="Reference"/>
      </w:pPr>
      <w:r>
        <w:t xml:space="preserve">130. Heald A, Whitehead S, Anderson S, et al. Screening for insulin resistance in women with polycystic ovarian syndrome. </w:t>
      </w:r>
      <w:r>
        <w:rPr>
          <w:i/>
        </w:rPr>
        <w:t>Gynecol Endocrinol</w:t>
      </w:r>
      <w:r>
        <w:t xml:space="preserve"> 2005;20</w:t>
      </w:r>
      <w:r w:rsidR="000C0403">
        <w:t>:</w:t>
      </w:r>
      <w:r>
        <w:t>84-91</w:t>
      </w:r>
      <w:r w:rsidR="00C15401">
        <w:t>.</w:t>
      </w:r>
    </w:p>
    <w:p w14:paraId="498C5F82" w14:textId="77777777" w:rsidR="00581EDD" w:rsidRDefault="00581EDD" w:rsidP="00B11EFB">
      <w:pPr>
        <w:pStyle w:val="Reference"/>
      </w:pPr>
      <w:r>
        <w:lastRenderedPageBreak/>
        <w:t xml:space="preserve">131. Lorenzo C, Wagenknecht LE, Rewers MJ, et al. Disposition index, glucose effectiveness, and conversion to type 2 diabetes: the Insulin Resistance Atherosclerosis Study (IRAS). </w:t>
      </w:r>
      <w:r>
        <w:rPr>
          <w:i/>
        </w:rPr>
        <w:t>Diabetes Care</w:t>
      </w:r>
      <w:r>
        <w:t xml:space="preserve"> 2010;33</w:t>
      </w:r>
      <w:r w:rsidR="000C0403">
        <w:t>:</w:t>
      </w:r>
      <w:r>
        <w:t>2098-103.</w:t>
      </w:r>
    </w:p>
    <w:p w14:paraId="2938E8C7" w14:textId="77777777" w:rsidR="00581EDD" w:rsidRDefault="00581EDD" w:rsidP="00B11EFB">
      <w:pPr>
        <w:pStyle w:val="Reference"/>
      </w:pPr>
      <w:r>
        <w:t xml:space="preserve">132. Mari A, Pacini G, Murphy E, Ludvik B, Nolan JJ. A model-based method for assessing insulin sensitivity from the oral glucose tolerance test. </w:t>
      </w:r>
      <w:r>
        <w:rPr>
          <w:i/>
        </w:rPr>
        <w:t>Diabetes Care</w:t>
      </w:r>
      <w:r>
        <w:t xml:space="preserve"> 2001;24</w:t>
      </w:r>
      <w:r w:rsidR="000C0403">
        <w:t>:</w:t>
      </w:r>
      <w:r>
        <w:t>539-48.</w:t>
      </w:r>
    </w:p>
    <w:p w14:paraId="0746D903" w14:textId="77777777" w:rsidR="00581EDD" w:rsidRDefault="00581EDD" w:rsidP="00B11EFB">
      <w:pPr>
        <w:pStyle w:val="Reference"/>
      </w:pPr>
      <w:r>
        <w:t xml:space="preserve">133. Kautzky-Willer A, Krssak M, Winzer C, et al. Increased intramyocellular lipid concentration identifies impaired glucose metabolism in women with previous gestational diabetes. </w:t>
      </w:r>
      <w:r>
        <w:rPr>
          <w:i/>
        </w:rPr>
        <w:t>Diabetes</w:t>
      </w:r>
      <w:r>
        <w:t xml:space="preserve"> 2003;52</w:t>
      </w:r>
      <w:r w:rsidR="000C0403">
        <w:t>:</w:t>
      </w:r>
      <w:r>
        <w:t>244-51.</w:t>
      </w:r>
    </w:p>
    <w:p w14:paraId="43FFFCD7" w14:textId="77777777" w:rsidR="00581EDD" w:rsidRDefault="00581EDD" w:rsidP="00B11EFB">
      <w:pPr>
        <w:pStyle w:val="Reference"/>
      </w:pPr>
      <w:r>
        <w:t xml:space="preserve">134. Pani A, Gironi I, Di Vieste G, Mion E, Bertuzzi F, Pintaudi B. From Prediabetes to Type 2 Diabetes Mellitus in Women with Polycystic Ovary Syndrome: Lifestyle and Pharmacological Management. </w:t>
      </w:r>
      <w:r>
        <w:rPr>
          <w:i/>
        </w:rPr>
        <w:t>Int J Endocrinol</w:t>
      </w:r>
      <w:r>
        <w:t xml:space="preserve"> 2020;2020:6276187.</w:t>
      </w:r>
    </w:p>
    <w:p w14:paraId="4E939926" w14:textId="77777777" w:rsidR="00581EDD" w:rsidRDefault="00581EDD" w:rsidP="00B11EFB">
      <w:pPr>
        <w:pStyle w:val="Reference"/>
      </w:pPr>
      <w:r>
        <w:t xml:space="preserve">135. Glueck CJ, Goldenberg N, Sieve L, Wang P. An observational study of reduction of insulin resistance and prevention of development of type 2 diabetes mellitus in women with polycystic ovary syndrome treated with metformin and diet. </w:t>
      </w:r>
      <w:r>
        <w:rPr>
          <w:i/>
        </w:rPr>
        <w:t>Metabolism</w:t>
      </w:r>
      <w:r>
        <w:t xml:space="preserve"> 2008;57</w:t>
      </w:r>
      <w:r w:rsidR="000C0403">
        <w:t>:</w:t>
      </w:r>
      <w:r>
        <w:t>954-60.</w:t>
      </w:r>
    </w:p>
    <w:p w14:paraId="0F6726DE" w14:textId="77777777" w:rsidR="00581EDD" w:rsidRDefault="00581EDD" w:rsidP="00B11EFB">
      <w:pPr>
        <w:pStyle w:val="Reference"/>
      </w:pPr>
      <w:r>
        <w:t xml:space="preserve">136. Stokes J, Gellatly J, Bower P, et al. Implementing a national diabetes prevention programme in England: lessons learned. </w:t>
      </w:r>
      <w:r>
        <w:rPr>
          <w:i/>
        </w:rPr>
        <w:t>BMC Health Serv Res</w:t>
      </w:r>
      <w:r>
        <w:t xml:space="preserve"> 2019;19</w:t>
      </w:r>
      <w:r w:rsidR="000C0403">
        <w:t>:</w:t>
      </w:r>
      <w:r>
        <w:t>991.</w:t>
      </w:r>
    </w:p>
    <w:p w14:paraId="034AC0E2" w14:textId="77777777" w:rsidR="00581EDD" w:rsidRDefault="00581EDD" w:rsidP="00B11EFB">
      <w:pPr>
        <w:pStyle w:val="Reference"/>
      </w:pPr>
      <w:r>
        <w:t xml:space="preserve">137. Gadde KM, Martin CK, Berthoud HR, Heymsfield SB. Obesity: Pathophysiology and Management. </w:t>
      </w:r>
      <w:r>
        <w:rPr>
          <w:i/>
        </w:rPr>
        <w:t>J Am Coll Cardiol</w:t>
      </w:r>
      <w:r>
        <w:t xml:space="preserve"> 2018;71</w:t>
      </w:r>
      <w:r w:rsidR="000C0403">
        <w:t>:</w:t>
      </w:r>
      <w:r>
        <w:t>69-84.</w:t>
      </w:r>
    </w:p>
    <w:p w14:paraId="65D65459" w14:textId="77777777" w:rsidR="00581EDD" w:rsidRDefault="00581EDD" w:rsidP="00581EDD">
      <w:pPr>
        <w:pStyle w:val="Reference"/>
        <w:ind w:firstLine="360"/>
        <w:rPr>
          <w:szCs w:val="24"/>
        </w:rPr>
        <w:sectPr w:rsidR="00581EDD" w:rsidSect="00656C9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6A6EC7A7" w14:textId="77777777" w:rsidR="00581EDD" w:rsidRDefault="00581EDD" w:rsidP="00B11EFB">
      <w:pPr>
        <w:pStyle w:val="TableTitle"/>
      </w:pPr>
      <w:r>
        <w:lastRenderedPageBreak/>
        <w:t xml:space="preserve">Table 1 Summary of international guidelines for the screening for </w:t>
      </w:r>
      <w:r w:rsidR="00C8797C">
        <w:t>type 2 diabetes</w:t>
      </w:r>
      <w:r>
        <w:t xml:space="preserve"> in women with (a) </w:t>
      </w:r>
      <w:r w:rsidR="00C8797C">
        <w:t>gestational diabetes mellitus</w:t>
      </w:r>
      <w:r>
        <w:t xml:space="preserve"> and (b) PCOS</w:t>
      </w:r>
    </w:p>
    <w:tbl>
      <w:tblPr>
        <w:tblW w:w="15309" w:type="dxa"/>
        <w:tblLook w:val="04A0" w:firstRow="1" w:lastRow="0" w:firstColumn="1" w:lastColumn="0" w:noHBand="0" w:noVBand="1"/>
      </w:tblPr>
      <w:tblGrid>
        <w:gridCol w:w="1380"/>
        <w:gridCol w:w="2731"/>
        <w:gridCol w:w="1786"/>
        <w:gridCol w:w="723"/>
        <w:gridCol w:w="2172"/>
        <w:gridCol w:w="1851"/>
        <w:gridCol w:w="1737"/>
        <w:gridCol w:w="1687"/>
        <w:gridCol w:w="1242"/>
      </w:tblGrid>
      <w:tr w:rsidR="00581EDD" w:rsidRPr="00581EDD" w14:paraId="3CD0D31B" w14:textId="77777777" w:rsidTr="00581EDD">
        <w:trPr>
          <w:trHeight w:val="300"/>
        </w:trPr>
        <w:tc>
          <w:tcPr>
            <w:tcW w:w="1380" w:type="dxa"/>
            <w:tcBorders>
              <w:bottom w:val="single" w:sz="4" w:space="0" w:color="auto"/>
            </w:tcBorders>
            <w:noWrap/>
            <w:hideMark/>
          </w:tcPr>
          <w:p w14:paraId="36EE4309" w14:textId="77777777" w:rsidR="00581EDD" w:rsidRPr="00581EDD" w:rsidRDefault="00581EDD" w:rsidP="00B11EFB">
            <w:pPr>
              <w:pStyle w:val="Reference"/>
              <w:rPr>
                <w:lang w:eastAsia="en-GB"/>
              </w:rPr>
            </w:pPr>
          </w:p>
        </w:tc>
        <w:tc>
          <w:tcPr>
            <w:tcW w:w="2731" w:type="dxa"/>
            <w:tcBorders>
              <w:bottom w:val="single" w:sz="4" w:space="0" w:color="auto"/>
            </w:tcBorders>
            <w:noWrap/>
            <w:hideMark/>
          </w:tcPr>
          <w:p w14:paraId="6D8E834A" w14:textId="77777777" w:rsidR="00581EDD" w:rsidRPr="00581EDD" w:rsidRDefault="00581EDD" w:rsidP="00B11EFB">
            <w:pPr>
              <w:pStyle w:val="Reference"/>
              <w:jc w:val="center"/>
              <w:rPr>
                <w:lang w:eastAsia="en-GB"/>
              </w:rPr>
            </w:pPr>
            <w:r w:rsidRPr="00581EDD">
              <w:rPr>
                <w:lang w:eastAsia="en-GB"/>
              </w:rPr>
              <w:t> </w:t>
            </w:r>
          </w:p>
        </w:tc>
        <w:tc>
          <w:tcPr>
            <w:tcW w:w="2074" w:type="dxa"/>
            <w:tcBorders>
              <w:bottom w:val="single" w:sz="4" w:space="0" w:color="auto"/>
            </w:tcBorders>
            <w:hideMark/>
          </w:tcPr>
          <w:p w14:paraId="0F4F919E" w14:textId="77777777" w:rsidR="00581EDD" w:rsidRPr="00581EDD" w:rsidRDefault="00581EDD" w:rsidP="00B11EFB">
            <w:pPr>
              <w:pStyle w:val="Reference"/>
              <w:jc w:val="center"/>
              <w:rPr>
                <w:lang w:eastAsia="en-GB"/>
              </w:rPr>
            </w:pPr>
            <w:r w:rsidRPr="00581EDD">
              <w:rPr>
                <w:lang w:eastAsia="en-GB"/>
              </w:rPr>
              <w:t> </w:t>
            </w:r>
          </w:p>
        </w:tc>
        <w:tc>
          <w:tcPr>
            <w:tcW w:w="663" w:type="dxa"/>
            <w:tcBorders>
              <w:bottom w:val="single" w:sz="4" w:space="0" w:color="auto"/>
            </w:tcBorders>
            <w:noWrap/>
            <w:hideMark/>
          </w:tcPr>
          <w:p w14:paraId="7A9204E1" w14:textId="77777777" w:rsidR="00581EDD" w:rsidRPr="00581EDD" w:rsidRDefault="00581EDD" w:rsidP="00B11EFB">
            <w:pPr>
              <w:pStyle w:val="Reference"/>
              <w:jc w:val="center"/>
              <w:rPr>
                <w:lang w:eastAsia="en-GB"/>
              </w:rPr>
            </w:pPr>
            <w:r w:rsidRPr="00581EDD">
              <w:rPr>
                <w:lang w:eastAsia="en-GB"/>
              </w:rPr>
              <w:t> </w:t>
            </w:r>
          </w:p>
        </w:tc>
        <w:tc>
          <w:tcPr>
            <w:tcW w:w="2172" w:type="dxa"/>
            <w:tcBorders>
              <w:bottom w:val="single" w:sz="4" w:space="0" w:color="auto"/>
            </w:tcBorders>
            <w:noWrap/>
            <w:hideMark/>
          </w:tcPr>
          <w:p w14:paraId="4ED22B91" w14:textId="77777777" w:rsidR="00581EDD" w:rsidRPr="00581EDD" w:rsidRDefault="00581EDD" w:rsidP="00B11EFB">
            <w:pPr>
              <w:pStyle w:val="Reference"/>
              <w:jc w:val="center"/>
              <w:rPr>
                <w:lang w:eastAsia="en-GB"/>
              </w:rPr>
            </w:pPr>
            <w:r w:rsidRPr="00581EDD">
              <w:rPr>
                <w:lang w:eastAsia="en-GB"/>
              </w:rPr>
              <w:t> </w:t>
            </w:r>
          </w:p>
        </w:tc>
        <w:tc>
          <w:tcPr>
            <w:tcW w:w="1851" w:type="dxa"/>
            <w:tcBorders>
              <w:bottom w:val="single" w:sz="4" w:space="0" w:color="auto"/>
            </w:tcBorders>
            <w:noWrap/>
            <w:hideMark/>
          </w:tcPr>
          <w:p w14:paraId="6FDE2F04" w14:textId="77777777" w:rsidR="00581EDD" w:rsidRPr="00581EDD" w:rsidRDefault="00581EDD" w:rsidP="00B11EFB">
            <w:pPr>
              <w:pStyle w:val="Reference"/>
              <w:jc w:val="center"/>
              <w:rPr>
                <w:lang w:eastAsia="en-GB"/>
              </w:rPr>
            </w:pPr>
            <w:r w:rsidRPr="00581EDD">
              <w:rPr>
                <w:lang w:eastAsia="en-GB"/>
              </w:rPr>
              <w:t> </w:t>
            </w:r>
          </w:p>
        </w:tc>
        <w:tc>
          <w:tcPr>
            <w:tcW w:w="2084" w:type="dxa"/>
            <w:tcBorders>
              <w:bottom w:val="single" w:sz="4" w:space="0" w:color="auto"/>
            </w:tcBorders>
            <w:hideMark/>
          </w:tcPr>
          <w:p w14:paraId="39BEA863" w14:textId="77777777" w:rsidR="00581EDD" w:rsidRPr="00581EDD" w:rsidRDefault="00581EDD" w:rsidP="00B11EFB">
            <w:pPr>
              <w:pStyle w:val="Reference"/>
              <w:jc w:val="center"/>
              <w:rPr>
                <w:lang w:eastAsia="en-GB"/>
              </w:rPr>
            </w:pPr>
            <w:r w:rsidRPr="00581EDD">
              <w:rPr>
                <w:lang w:eastAsia="en-GB"/>
              </w:rPr>
              <w:t> </w:t>
            </w:r>
          </w:p>
        </w:tc>
        <w:tc>
          <w:tcPr>
            <w:tcW w:w="1859" w:type="dxa"/>
            <w:tcBorders>
              <w:bottom w:val="single" w:sz="4" w:space="0" w:color="auto"/>
            </w:tcBorders>
            <w:hideMark/>
          </w:tcPr>
          <w:p w14:paraId="624EA239" w14:textId="77777777" w:rsidR="00581EDD" w:rsidRPr="00581EDD" w:rsidRDefault="00581EDD" w:rsidP="00B11EFB">
            <w:pPr>
              <w:pStyle w:val="Reference"/>
              <w:jc w:val="center"/>
              <w:rPr>
                <w:lang w:eastAsia="en-GB"/>
              </w:rPr>
            </w:pPr>
            <w:r w:rsidRPr="00581EDD">
              <w:rPr>
                <w:lang w:eastAsia="en-GB"/>
              </w:rPr>
              <w:t> </w:t>
            </w:r>
          </w:p>
        </w:tc>
        <w:tc>
          <w:tcPr>
            <w:tcW w:w="495" w:type="dxa"/>
            <w:tcBorders>
              <w:bottom w:val="single" w:sz="4" w:space="0" w:color="auto"/>
            </w:tcBorders>
            <w:hideMark/>
          </w:tcPr>
          <w:p w14:paraId="7DB250C0" w14:textId="77777777" w:rsidR="00581EDD" w:rsidRPr="00581EDD" w:rsidRDefault="00581EDD" w:rsidP="00B11EFB">
            <w:pPr>
              <w:pStyle w:val="Reference"/>
              <w:jc w:val="center"/>
              <w:rPr>
                <w:lang w:eastAsia="en-GB"/>
              </w:rPr>
            </w:pPr>
            <w:r w:rsidRPr="00581EDD">
              <w:rPr>
                <w:lang w:eastAsia="en-GB"/>
              </w:rPr>
              <w:t> </w:t>
            </w:r>
          </w:p>
        </w:tc>
      </w:tr>
      <w:tr w:rsidR="00581EDD" w:rsidRPr="00FB16CD" w14:paraId="6B472D5F" w14:textId="77777777" w:rsidTr="00581EDD">
        <w:trPr>
          <w:trHeight w:val="300"/>
        </w:trPr>
        <w:tc>
          <w:tcPr>
            <w:tcW w:w="1380" w:type="dxa"/>
            <w:tcBorders>
              <w:top w:val="single" w:sz="4" w:space="0" w:color="auto"/>
            </w:tcBorders>
            <w:noWrap/>
            <w:hideMark/>
          </w:tcPr>
          <w:p w14:paraId="323F884E" w14:textId="77777777" w:rsidR="00581EDD" w:rsidRPr="00581EDD" w:rsidRDefault="00581EDD" w:rsidP="00B11EFB">
            <w:pPr>
              <w:pStyle w:val="TableHeader"/>
              <w:rPr>
                <w:rFonts w:ascii="Calibri" w:hAnsi="Calibri" w:cs="Calibri"/>
                <w:bCs/>
                <w:color w:val="000000"/>
                <w:lang w:eastAsia="en-GB"/>
              </w:rPr>
            </w:pPr>
            <w:r w:rsidRPr="00B11EFB">
              <w:t>Country</w:t>
            </w:r>
          </w:p>
        </w:tc>
        <w:tc>
          <w:tcPr>
            <w:tcW w:w="2731" w:type="dxa"/>
            <w:tcBorders>
              <w:top w:val="single" w:sz="4" w:space="0" w:color="auto"/>
            </w:tcBorders>
            <w:noWrap/>
            <w:hideMark/>
          </w:tcPr>
          <w:p w14:paraId="4A5CD57A" w14:textId="77777777" w:rsidR="00581EDD" w:rsidRPr="00581EDD" w:rsidRDefault="00581EDD" w:rsidP="00B11EFB">
            <w:pPr>
              <w:pStyle w:val="TableHeader"/>
              <w:jc w:val="center"/>
              <w:rPr>
                <w:rFonts w:ascii="Calibri" w:hAnsi="Calibri" w:cs="Calibri"/>
                <w:bCs/>
                <w:color w:val="000000"/>
                <w:lang w:eastAsia="en-GB"/>
              </w:rPr>
            </w:pPr>
            <w:r w:rsidRPr="00B11EFB">
              <w:t>Publishing body</w:t>
            </w:r>
          </w:p>
        </w:tc>
        <w:tc>
          <w:tcPr>
            <w:tcW w:w="2074" w:type="dxa"/>
            <w:tcBorders>
              <w:top w:val="single" w:sz="4" w:space="0" w:color="auto"/>
            </w:tcBorders>
            <w:hideMark/>
          </w:tcPr>
          <w:p w14:paraId="66768B8D" w14:textId="77777777" w:rsidR="00581EDD" w:rsidRPr="00581EDD" w:rsidRDefault="00581EDD" w:rsidP="00B11EFB">
            <w:pPr>
              <w:pStyle w:val="TableHeader"/>
              <w:jc w:val="center"/>
              <w:rPr>
                <w:rFonts w:ascii="Calibri" w:hAnsi="Calibri" w:cs="Calibri"/>
                <w:bCs/>
                <w:color w:val="000000"/>
                <w:lang w:eastAsia="en-GB"/>
              </w:rPr>
            </w:pPr>
            <w:r w:rsidRPr="00B11EFB">
              <w:t>Title</w:t>
            </w:r>
          </w:p>
        </w:tc>
        <w:tc>
          <w:tcPr>
            <w:tcW w:w="663" w:type="dxa"/>
            <w:tcBorders>
              <w:top w:val="single" w:sz="4" w:space="0" w:color="auto"/>
            </w:tcBorders>
            <w:noWrap/>
            <w:hideMark/>
          </w:tcPr>
          <w:p w14:paraId="6CD47F14" w14:textId="77777777" w:rsidR="00581EDD" w:rsidRPr="00581EDD" w:rsidRDefault="00581EDD" w:rsidP="00B11EFB">
            <w:pPr>
              <w:pStyle w:val="TableHeader"/>
              <w:jc w:val="center"/>
              <w:rPr>
                <w:rFonts w:ascii="Calibri" w:hAnsi="Calibri" w:cs="Calibri"/>
                <w:bCs/>
                <w:color w:val="000000"/>
                <w:lang w:eastAsia="en-GB"/>
              </w:rPr>
            </w:pPr>
            <w:r w:rsidRPr="00B11EFB">
              <w:t>Year</w:t>
            </w:r>
          </w:p>
        </w:tc>
        <w:tc>
          <w:tcPr>
            <w:tcW w:w="4023" w:type="dxa"/>
            <w:gridSpan w:val="2"/>
            <w:tcBorders>
              <w:top w:val="single" w:sz="4" w:space="0" w:color="auto"/>
            </w:tcBorders>
            <w:noWrap/>
            <w:hideMark/>
          </w:tcPr>
          <w:p w14:paraId="2F1C20D2" w14:textId="35FC225F" w:rsidR="00581EDD" w:rsidRPr="00581EDD" w:rsidRDefault="00581EDD">
            <w:pPr>
              <w:pStyle w:val="TableHeader"/>
              <w:jc w:val="center"/>
              <w:rPr>
                <w:rFonts w:ascii="Calibri" w:hAnsi="Calibri" w:cs="Calibri"/>
                <w:bCs/>
                <w:color w:val="000000"/>
                <w:lang w:eastAsia="en-GB"/>
              </w:rPr>
            </w:pPr>
            <w:r w:rsidRPr="00B11EFB">
              <w:t>Post</w:t>
            </w:r>
            <w:r w:rsidR="002125FC">
              <w:t xml:space="preserve"> </w:t>
            </w:r>
            <w:r w:rsidRPr="00B11EFB">
              <w:t>partum</w:t>
            </w:r>
            <w:r w:rsidR="00C15401" w:rsidRPr="00B11EFB">
              <w:t xml:space="preserve"> screening recommendations</w:t>
            </w:r>
          </w:p>
        </w:tc>
        <w:tc>
          <w:tcPr>
            <w:tcW w:w="3943" w:type="dxa"/>
            <w:gridSpan w:val="2"/>
            <w:tcBorders>
              <w:top w:val="single" w:sz="4" w:space="0" w:color="auto"/>
            </w:tcBorders>
            <w:hideMark/>
          </w:tcPr>
          <w:p w14:paraId="6523EA2F" w14:textId="24BF6EDB" w:rsidR="00581EDD" w:rsidRPr="00581EDD" w:rsidRDefault="00581EDD" w:rsidP="00B11EFB">
            <w:pPr>
              <w:pStyle w:val="TableHeader"/>
              <w:jc w:val="center"/>
              <w:rPr>
                <w:rFonts w:ascii="Calibri" w:hAnsi="Calibri" w:cs="Calibri"/>
                <w:bCs/>
                <w:color w:val="000000"/>
                <w:lang w:eastAsia="en-GB"/>
              </w:rPr>
            </w:pPr>
            <w:r w:rsidRPr="00B11EFB">
              <w:t>Long</w:t>
            </w:r>
            <w:r w:rsidR="00C15401">
              <w:t xml:space="preserve"> </w:t>
            </w:r>
            <w:r w:rsidRPr="00B11EFB">
              <w:t xml:space="preserve">term </w:t>
            </w:r>
            <w:r w:rsidR="00C15401" w:rsidRPr="00B11EFB">
              <w:t>screening recomme</w:t>
            </w:r>
            <w:r w:rsidRPr="00B11EFB">
              <w:t>ndations</w:t>
            </w:r>
          </w:p>
        </w:tc>
        <w:tc>
          <w:tcPr>
            <w:tcW w:w="495" w:type="dxa"/>
            <w:tcBorders>
              <w:top w:val="single" w:sz="4" w:space="0" w:color="auto"/>
            </w:tcBorders>
            <w:hideMark/>
          </w:tcPr>
          <w:p w14:paraId="2DDBFB5F" w14:textId="5F0C80F4" w:rsidR="00581EDD" w:rsidRPr="00581EDD" w:rsidRDefault="00C15401" w:rsidP="00B11EFB">
            <w:pPr>
              <w:pStyle w:val="TableHeader"/>
              <w:jc w:val="center"/>
              <w:rPr>
                <w:rFonts w:ascii="Calibri" w:hAnsi="Calibri" w:cs="Calibri"/>
                <w:bCs/>
                <w:color w:val="000000"/>
                <w:lang w:eastAsia="en-GB"/>
              </w:rPr>
            </w:pPr>
            <w:r>
              <w:t>R</w:t>
            </w:r>
            <w:r w:rsidR="00581EDD" w:rsidRPr="00B11EFB">
              <w:t>ef</w:t>
            </w:r>
            <w:r>
              <w:t>erence</w:t>
            </w:r>
          </w:p>
        </w:tc>
      </w:tr>
      <w:tr w:rsidR="00581EDD" w:rsidRPr="00FB16CD" w14:paraId="396B4056" w14:textId="77777777" w:rsidTr="00581EDD">
        <w:trPr>
          <w:trHeight w:val="300"/>
        </w:trPr>
        <w:tc>
          <w:tcPr>
            <w:tcW w:w="1380" w:type="dxa"/>
            <w:tcBorders>
              <w:bottom w:val="single" w:sz="4" w:space="0" w:color="auto"/>
            </w:tcBorders>
            <w:noWrap/>
            <w:hideMark/>
          </w:tcPr>
          <w:p w14:paraId="24A488C1" w14:textId="77777777" w:rsidR="00581EDD" w:rsidRPr="00581EDD" w:rsidRDefault="00581EDD" w:rsidP="00B11EFB">
            <w:pPr>
              <w:pStyle w:val="TableHeader"/>
              <w:rPr>
                <w:lang w:eastAsia="en-GB"/>
              </w:rPr>
            </w:pPr>
            <w:r w:rsidRPr="00B11EFB">
              <w:rPr>
                <w:lang w:eastAsia="en-GB"/>
              </w:rPr>
              <w:t> </w:t>
            </w:r>
          </w:p>
        </w:tc>
        <w:tc>
          <w:tcPr>
            <w:tcW w:w="2731" w:type="dxa"/>
            <w:tcBorders>
              <w:bottom w:val="single" w:sz="4" w:space="0" w:color="auto"/>
            </w:tcBorders>
            <w:noWrap/>
            <w:hideMark/>
          </w:tcPr>
          <w:p w14:paraId="571F15AD" w14:textId="77777777" w:rsidR="00581EDD" w:rsidRPr="00581EDD" w:rsidRDefault="00581EDD" w:rsidP="00B11EFB">
            <w:pPr>
              <w:pStyle w:val="TableHeader"/>
              <w:jc w:val="center"/>
              <w:rPr>
                <w:lang w:eastAsia="en-GB"/>
              </w:rPr>
            </w:pPr>
            <w:r w:rsidRPr="00B11EFB">
              <w:rPr>
                <w:lang w:eastAsia="en-GB"/>
              </w:rPr>
              <w:t> </w:t>
            </w:r>
          </w:p>
        </w:tc>
        <w:tc>
          <w:tcPr>
            <w:tcW w:w="2074" w:type="dxa"/>
            <w:tcBorders>
              <w:bottom w:val="single" w:sz="4" w:space="0" w:color="auto"/>
            </w:tcBorders>
            <w:hideMark/>
          </w:tcPr>
          <w:p w14:paraId="5E8F6536" w14:textId="77777777" w:rsidR="00581EDD" w:rsidRPr="00581EDD" w:rsidRDefault="00581EDD" w:rsidP="00B11EFB">
            <w:pPr>
              <w:pStyle w:val="TableHeader"/>
              <w:jc w:val="center"/>
              <w:rPr>
                <w:lang w:eastAsia="en-GB"/>
              </w:rPr>
            </w:pPr>
            <w:r w:rsidRPr="00B11EFB">
              <w:rPr>
                <w:lang w:eastAsia="en-GB"/>
              </w:rPr>
              <w:t> </w:t>
            </w:r>
          </w:p>
        </w:tc>
        <w:tc>
          <w:tcPr>
            <w:tcW w:w="663" w:type="dxa"/>
            <w:tcBorders>
              <w:bottom w:val="single" w:sz="4" w:space="0" w:color="auto"/>
            </w:tcBorders>
            <w:noWrap/>
            <w:hideMark/>
          </w:tcPr>
          <w:p w14:paraId="3E2AC0E1" w14:textId="77777777" w:rsidR="00581EDD" w:rsidRPr="00581EDD" w:rsidRDefault="00581EDD" w:rsidP="00B11EFB">
            <w:pPr>
              <w:pStyle w:val="TableHeader"/>
              <w:jc w:val="center"/>
              <w:rPr>
                <w:lang w:eastAsia="en-GB"/>
              </w:rPr>
            </w:pPr>
            <w:r w:rsidRPr="00B11EFB">
              <w:rPr>
                <w:lang w:eastAsia="en-GB"/>
              </w:rPr>
              <w:t> </w:t>
            </w:r>
          </w:p>
        </w:tc>
        <w:tc>
          <w:tcPr>
            <w:tcW w:w="2172" w:type="dxa"/>
            <w:tcBorders>
              <w:bottom w:val="single" w:sz="4" w:space="0" w:color="auto"/>
            </w:tcBorders>
            <w:noWrap/>
            <w:hideMark/>
          </w:tcPr>
          <w:p w14:paraId="09363FAC" w14:textId="77777777" w:rsidR="00581EDD" w:rsidRPr="00581EDD" w:rsidRDefault="00C15401" w:rsidP="00B11EFB">
            <w:pPr>
              <w:pStyle w:val="TableHeader"/>
              <w:jc w:val="center"/>
              <w:rPr>
                <w:rFonts w:ascii="Calibri" w:hAnsi="Calibri" w:cs="Calibri"/>
                <w:bCs/>
                <w:color w:val="000000"/>
                <w:lang w:eastAsia="en-GB"/>
              </w:rPr>
            </w:pPr>
            <w:r w:rsidRPr="00B11EFB">
              <w:t>Tests</w:t>
            </w:r>
          </w:p>
        </w:tc>
        <w:tc>
          <w:tcPr>
            <w:tcW w:w="1851" w:type="dxa"/>
            <w:tcBorders>
              <w:bottom w:val="single" w:sz="4" w:space="0" w:color="auto"/>
            </w:tcBorders>
            <w:noWrap/>
            <w:hideMark/>
          </w:tcPr>
          <w:p w14:paraId="01356B5A" w14:textId="77777777" w:rsidR="00581EDD" w:rsidRPr="00581EDD" w:rsidRDefault="00C15401" w:rsidP="00B11EFB">
            <w:pPr>
              <w:pStyle w:val="TableHeader"/>
              <w:jc w:val="center"/>
              <w:rPr>
                <w:rFonts w:ascii="Calibri" w:hAnsi="Calibri" w:cs="Calibri"/>
                <w:bCs/>
                <w:color w:val="000000"/>
                <w:lang w:eastAsia="en-GB"/>
              </w:rPr>
            </w:pPr>
            <w:r w:rsidRPr="00B11EFB">
              <w:t>Frequency</w:t>
            </w:r>
          </w:p>
        </w:tc>
        <w:tc>
          <w:tcPr>
            <w:tcW w:w="2084" w:type="dxa"/>
            <w:tcBorders>
              <w:bottom w:val="single" w:sz="4" w:space="0" w:color="auto"/>
            </w:tcBorders>
            <w:hideMark/>
          </w:tcPr>
          <w:p w14:paraId="79640235" w14:textId="77777777" w:rsidR="00581EDD" w:rsidRPr="00581EDD" w:rsidRDefault="00C15401" w:rsidP="00B11EFB">
            <w:pPr>
              <w:pStyle w:val="TableHeader"/>
              <w:jc w:val="center"/>
              <w:rPr>
                <w:rFonts w:ascii="Calibri" w:hAnsi="Calibri" w:cs="Calibri"/>
                <w:bCs/>
                <w:color w:val="000000"/>
                <w:lang w:eastAsia="en-GB"/>
              </w:rPr>
            </w:pPr>
            <w:r w:rsidRPr="00B11EFB">
              <w:t>Tests</w:t>
            </w:r>
          </w:p>
        </w:tc>
        <w:tc>
          <w:tcPr>
            <w:tcW w:w="1859" w:type="dxa"/>
            <w:tcBorders>
              <w:bottom w:val="single" w:sz="4" w:space="0" w:color="auto"/>
            </w:tcBorders>
            <w:hideMark/>
          </w:tcPr>
          <w:p w14:paraId="0CB59309" w14:textId="77777777" w:rsidR="00581EDD" w:rsidRPr="00581EDD" w:rsidRDefault="00C15401" w:rsidP="00B11EFB">
            <w:pPr>
              <w:pStyle w:val="TableHeader"/>
              <w:jc w:val="center"/>
              <w:rPr>
                <w:rFonts w:ascii="Calibri" w:hAnsi="Calibri" w:cs="Calibri"/>
                <w:bCs/>
                <w:color w:val="000000"/>
                <w:lang w:eastAsia="en-GB"/>
              </w:rPr>
            </w:pPr>
            <w:r w:rsidRPr="00B11EFB">
              <w:t>Frequency</w:t>
            </w:r>
          </w:p>
        </w:tc>
        <w:tc>
          <w:tcPr>
            <w:tcW w:w="495" w:type="dxa"/>
            <w:tcBorders>
              <w:bottom w:val="single" w:sz="4" w:space="0" w:color="auto"/>
            </w:tcBorders>
            <w:hideMark/>
          </w:tcPr>
          <w:p w14:paraId="2CD66EF4" w14:textId="77777777" w:rsidR="00581EDD" w:rsidRPr="00581EDD" w:rsidRDefault="00581EDD" w:rsidP="00B11EFB">
            <w:pPr>
              <w:pStyle w:val="TableHeader"/>
              <w:jc w:val="center"/>
              <w:rPr>
                <w:lang w:eastAsia="en-GB"/>
              </w:rPr>
            </w:pPr>
            <w:r w:rsidRPr="00B11EFB">
              <w:rPr>
                <w:lang w:eastAsia="en-GB"/>
              </w:rPr>
              <w:t> </w:t>
            </w:r>
          </w:p>
        </w:tc>
      </w:tr>
      <w:tr w:rsidR="00581EDD" w:rsidRPr="00FB16CD" w14:paraId="61DF4E05" w14:textId="77777777" w:rsidTr="00581EDD">
        <w:trPr>
          <w:trHeight w:val="900"/>
        </w:trPr>
        <w:tc>
          <w:tcPr>
            <w:tcW w:w="1380" w:type="dxa"/>
            <w:tcBorders>
              <w:top w:val="single" w:sz="4" w:space="0" w:color="auto"/>
            </w:tcBorders>
            <w:noWrap/>
            <w:hideMark/>
          </w:tcPr>
          <w:p w14:paraId="628FF7D6" w14:textId="77777777" w:rsidR="00581EDD" w:rsidRPr="00581EDD" w:rsidRDefault="00581EDD" w:rsidP="00B11EFB">
            <w:pPr>
              <w:pStyle w:val="TableBody"/>
              <w:rPr>
                <w:rFonts w:ascii="Calibri" w:hAnsi="Calibri" w:cs="Calibri"/>
                <w:color w:val="000000"/>
                <w:lang w:eastAsia="en-GB"/>
              </w:rPr>
            </w:pPr>
            <w:r w:rsidRPr="00581EDD">
              <w:t>US</w:t>
            </w:r>
          </w:p>
        </w:tc>
        <w:tc>
          <w:tcPr>
            <w:tcW w:w="2731" w:type="dxa"/>
            <w:tcBorders>
              <w:top w:val="single" w:sz="4" w:space="0" w:color="auto"/>
            </w:tcBorders>
            <w:hideMark/>
          </w:tcPr>
          <w:p w14:paraId="4823A95A" w14:textId="77777777" w:rsidR="00581EDD" w:rsidRPr="00581EDD" w:rsidRDefault="00581EDD" w:rsidP="00B11EFB">
            <w:pPr>
              <w:pStyle w:val="TableBody"/>
              <w:jc w:val="center"/>
              <w:rPr>
                <w:rFonts w:ascii="Calibri" w:hAnsi="Calibri" w:cs="Calibri"/>
                <w:color w:val="000000"/>
                <w:lang w:eastAsia="en-GB"/>
              </w:rPr>
            </w:pPr>
            <w:r w:rsidRPr="00581EDD">
              <w:t>American College of Obstetricians and Gynecologists (ACOG)/American Diabetes Association (ADA)</w:t>
            </w:r>
          </w:p>
        </w:tc>
        <w:tc>
          <w:tcPr>
            <w:tcW w:w="2074" w:type="dxa"/>
            <w:tcBorders>
              <w:top w:val="single" w:sz="4" w:space="0" w:color="auto"/>
            </w:tcBorders>
            <w:hideMark/>
          </w:tcPr>
          <w:p w14:paraId="1B24CF05" w14:textId="77777777" w:rsidR="00581EDD" w:rsidRPr="00581EDD" w:rsidRDefault="00581EDD" w:rsidP="00B11EFB">
            <w:pPr>
              <w:pStyle w:val="TableBody"/>
              <w:jc w:val="center"/>
              <w:rPr>
                <w:rFonts w:ascii="Calibri" w:hAnsi="Calibri" w:cs="Calibri"/>
                <w:color w:val="000000"/>
                <w:lang w:eastAsia="en-GB"/>
              </w:rPr>
            </w:pPr>
            <w:r w:rsidRPr="00581EDD">
              <w:t>ACOG Practice Bulletin No. 190: Gestational Diabetes Mellitus</w:t>
            </w:r>
          </w:p>
        </w:tc>
        <w:tc>
          <w:tcPr>
            <w:tcW w:w="663" w:type="dxa"/>
            <w:tcBorders>
              <w:top w:val="single" w:sz="4" w:space="0" w:color="auto"/>
            </w:tcBorders>
            <w:noWrap/>
            <w:hideMark/>
          </w:tcPr>
          <w:p w14:paraId="6E26A6D0" w14:textId="77777777" w:rsidR="00581EDD" w:rsidRPr="00581EDD" w:rsidRDefault="00581EDD" w:rsidP="00B11EFB">
            <w:pPr>
              <w:pStyle w:val="TableBody"/>
              <w:jc w:val="center"/>
              <w:rPr>
                <w:rFonts w:ascii="Calibri" w:hAnsi="Calibri" w:cs="Calibri"/>
                <w:color w:val="000000"/>
                <w:lang w:eastAsia="en-GB"/>
              </w:rPr>
            </w:pPr>
            <w:r w:rsidRPr="00581EDD">
              <w:t>2017</w:t>
            </w:r>
          </w:p>
        </w:tc>
        <w:tc>
          <w:tcPr>
            <w:tcW w:w="2172" w:type="dxa"/>
            <w:tcBorders>
              <w:top w:val="single" w:sz="4" w:space="0" w:color="auto"/>
            </w:tcBorders>
            <w:noWrap/>
            <w:hideMark/>
          </w:tcPr>
          <w:p w14:paraId="5BDA7C03" w14:textId="7DBBEFB9" w:rsidR="00581EDD" w:rsidRPr="00581EDD" w:rsidRDefault="00326215" w:rsidP="00B11EFB">
            <w:pPr>
              <w:pStyle w:val="TableBody"/>
              <w:jc w:val="center"/>
              <w:rPr>
                <w:rFonts w:ascii="Calibri" w:hAnsi="Calibri" w:cs="Calibri"/>
                <w:color w:val="000000"/>
                <w:lang w:eastAsia="en-GB"/>
              </w:rPr>
            </w:pPr>
            <w:r>
              <w:t>Fasting plasma glucose</w:t>
            </w:r>
            <w:r w:rsidR="00581EDD" w:rsidRPr="00581EDD">
              <w:t xml:space="preserve"> or ideally 75g OGTT</w:t>
            </w:r>
          </w:p>
        </w:tc>
        <w:tc>
          <w:tcPr>
            <w:tcW w:w="1851" w:type="dxa"/>
            <w:tcBorders>
              <w:top w:val="single" w:sz="4" w:space="0" w:color="auto"/>
            </w:tcBorders>
            <w:noWrap/>
            <w:hideMark/>
          </w:tcPr>
          <w:p w14:paraId="67D46211" w14:textId="77777777" w:rsidR="00581EDD" w:rsidRPr="00581EDD" w:rsidRDefault="00581EDD" w:rsidP="00B11EFB">
            <w:pPr>
              <w:pStyle w:val="TableBody"/>
              <w:jc w:val="center"/>
              <w:rPr>
                <w:rFonts w:ascii="Calibri" w:hAnsi="Calibri" w:cs="Calibri"/>
                <w:color w:val="000000"/>
                <w:lang w:eastAsia="en-GB"/>
              </w:rPr>
            </w:pPr>
            <w:r w:rsidRPr="00581EDD">
              <w:t>4-12 weeks</w:t>
            </w:r>
          </w:p>
        </w:tc>
        <w:tc>
          <w:tcPr>
            <w:tcW w:w="2084" w:type="dxa"/>
            <w:tcBorders>
              <w:top w:val="single" w:sz="4" w:space="0" w:color="auto"/>
            </w:tcBorders>
            <w:hideMark/>
          </w:tcPr>
          <w:p w14:paraId="59C3245B" w14:textId="2DE8794E" w:rsidR="00581EDD" w:rsidRPr="00581EDD" w:rsidRDefault="00326215" w:rsidP="00B11EFB">
            <w:pPr>
              <w:pStyle w:val="TableBody"/>
              <w:jc w:val="center"/>
              <w:rPr>
                <w:rFonts w:ascii="Calibri" w:hAnsi="Calibri" w:cs="Calibri"/>
                <w:color w:val="000000"/>
                <w:lang w:eastAsia="en-GB"/>
              </w:rPr>
            </w:pPr>
            <w:r>
              <w:t>Fasting plasma glucose</w:t>
            </w:r>
            <w:r w:rsidR="00581EDD" w:rsidRPr="00581EDD">
              <w:t xml:space="preserve"> or ideally 75g OGTT</w:t>
            </w:r>
          </w:p>
        </w:tc>
        <w:tc>
          <w:tcPr>
            <w:tcW w:w="1859" w:type="dxa"/>
            <w:tcBorders>
              <w:top w:val="single" w:sz="4" w:space="0" w:color="auto"/>
            </w:tcBorders>
            <w:hideMark/>
          </w:tcPr>
          <w:p w14:paraId="2E568C67" w14:textId="4A826ACB" w:rsidR="00581EDD" w:rsidRPr="00581EDD" w:rsidRDefault="00C15401" w:rsidP="00B11EFB">
            <w:pPr>
              <w:pStyle w:val="TableBody"/>
              <w:jc w:val="center"/>
              <w:rPr>
                <w:rFonts w:ascii="Calibri" w:hAnsi="Calibri" w:cs="Calibri"/>
                <w:color w:val="000000"/>
                <w:lang w:eastAsia="en-GB"/>
              </w:rPr>
            </w:pPr>
            <w:r>
              <w:t>E</w:t>
            </w:r>
            <w:r w:rsidR="00581EDD" w:rsidRPr="00581EDD">
              <w:t>very 1-3 years</w:t>
            </w:r>
          </w:p>
        </w:tc>
        <w:tc>
          <w:tcPr>
            <w:tcW w:w="495" w:type="dxa"/>
            <w:tcBorders>
              <w:top w:val="single" w:sz="4" w:space="0" w:color="auto"/>
            </w:tcBorders>
            <w:hideMark/>
          </w:tcPr>
          <w:p w14:paraId="495520FC" w14:textId="77777777" w:rsidR="00581EDD" w:rsidRPr="00581EDD" w:rsidRDefault="00581EDD" w:rsidP="00B11EFB">
            <w:pPr>
              <w:pStyle w:val="TableBody"/>
              <w:jc w:val="center"/>
              <w:rPr>
                <w:rFonts w:ascii="Calibri" w:hAnsi="Calibri" w:cs="Calibri"/>
                <w:color w:val="000000"/>
                <w:lang w:eastAsia="en-GB"/>
              </w:rPr>
            </w:pPr>
            <w:r w:rsidRPr="00581EDD">
              <w:t>64</w:t>
            </w:r>
          </w:p>
        </w:tc>
      </w:tr>
      <w:tr w:rsidR="00581EDD" w:rsidRPr="00FB16CD" w14:paraId="1EC7A0CF" w14:textId="77777777" w:rsidTr="00581EDD">
        <w:trPr>
          <w:trHeight w:val="900"/>
        </w:trPr>
        <w:tc>
          <w:tcPr>
            <w:tcW w:w="1380" w:type="dxa"/>
            <w:noWrap/>
            <w:hideMark/>
          </w:tcPr>
          <w:p w14:paraId="4EC0F3ED" w14:textId="77777777" w:rsidR="00581EDD" w:rsidRPr="00581EDD" w:rsidRDefault="00581EDD" w:rsidP="00B11EFB">
            <w:pPr>
              <w:pStyle w:val="TableBody"/>
              <w:rPr>
                <w:rFonts w:ascii="Calibri" w:hAnsi="Calibri" w:cs="Calibri"/>
                <w:color w:val="000000"/>
                <w:lang w:eastAsia="en-GB"/>
              </w:rPr>
            </w:pPr>
            <w:r w:rsidRPr="00581EDD">
              <w:t>International</w:t>
            </w:r>
          </w:p>
        </w:tc>
        <w:tc>
          <w:tcPr>
            <w:tcW w:w="2731" w:type="dxa"/>
            <w:hideMark/>
          </w:tcPr>
          <w:p w14:paraId="5B5AAA55" w14:textId="77777777" w:rsidR="00581EDD" w:rsidRPr="00581EDD" w:rsidRDefault="00581EDD" w:rsidP="00B11EFB">
            <w:pPr>
              <w:pStyle w:val="TableBody"/>
              <w:jc w:val="center"/>
              <w:rPr>
                <w:rFonts w:ascii="Calibri" w:hAnsi="Calibri" w:cs="Calibri"/>
                <w:color w:val="000000"/>
                <w:lang w:eastAsia="en-GB"/>
              </w:rPr>
            </w:pPr>
            <w:r w:rsidRPr="00581EDD">
              <w:t>The International Federation of Gynecology and Obstetrics (FIGO)</w:t>
            </w:r>
          </w:p>
        </w:tc>
        <w:tc>
          <w:tcPr>
            <w:tcW w:w="2074" w:type="dxa"/>
            <w:hideMark/>
          </w:tcPr>
          <w:p w14:paraId="4045538C" w14:textId="77777777" w:rsidR="00581EDD" w:rsidRPr="00581EDD" w:rsidRDefault="00581EDD" w:rsidP="00B11EFB">
            <w:pPr>
              <w:pStyle w:val="TableBody"/>
              <w:jc w:val="center"/>
              <w:rPr>
                <w:rFonts w:ascii="Calibri" w:hAnsi="Calibri" w:cs="Calibri"/>
                <w:color w:val="000000"/>
                <w:lang w:eastAsia="en-GB"/>
              </w:rPr>
            </w:pPr>
            <w:r w:rsidRPr="00581EDD">
              <w:t>Initiative on Gestational Diabetes Mellitus: A Pragmatic Guide for Diagnosis, Management, and Care</w:t>
            </w:r>
          </w:p>
        </w:tc>
        <w:tc>
          <w:tcPr>
            <w:tcW w:w="663" w:type="dxa"/>
            <w:noWrap/>
            <w:hideMark/>
          </w:tcPr>
          <w:p w14:paraId="3EA30571" w14:textId="77777777" w:rsidR="00581EDD" w:rsidRPr="00581EDD" w:rsidRDefault="00581EDD" w:rsidP="00B11EFB">
            <w:pPr>
              <w:pStyle w:val="TableBody"/>
              <w:jc w:val="center"/>
              <w:rPr>
                <w:rFonts w:ascii="Calibri" w:hAnsi="Calibri" w:cs="Calibri"/>
                <w:color w:val="000000"/>
                <w:lang w:eastAsia="en-GB"/>
              </w:rPr>
            </w:pPr>
            <w:r w:rsidRPr="00581EDD">
              <w:t>2015</w:t>
            </w:r>
          </w:p>
        </w:tc>
        <w:tc>
          <w:tcPr>
            <w:tcW w:w="2172" w:type="dxa"/>
            <w:noWrap/>
            <w:hideMark/>
          </w:tcPr>
          <w:p w14:paraId="0F1482E4" w14:textId="77777777" w:rsidR="00581EDD" w:rsidRPr="00581EDD" w:rsidRDefault="00581EDD" w:rsidP="00B11EFB">
            <w:pPr>
              <w:pStyle w:val="TableBody"/>
              <w:jc w:val="center"/>
              <w:rPr>
                <w:rFonts w:ascii="Calibri" w:hAnsi="Calibri" w:cs="Calibri"/>
                <w:color w:val="000000"/>
                <w:lang w:eastAsia="en-GB"/>
              </w:rPr>
            </w:pPr>
            <w:r w:rsidRPr="00581EDD">
              <w:t>75g OGTT</w:t>
            </w:r>
          </w:p>
        </w:tc>
        <w:tc>
          <w:tcPr>
            <w:tcW w:w="1851" w:type="dxa"/>
            <w:noWrap/>
            <w:hideMark/>
          </w:tcPr>
          <w:p w14:paraId="20EE1935" w14:textId="77777777" w:rsidR="00581EDD" w:rsidRPr="00581EDD" w:rsidRDefault="00581EDD" w:rsidP="00B11EFB">
            <w:pPr>
              <w:pStyle w:val="TableBody"/>
              <w:jc w:val="center"/>
              <w:rPr>
                <w:rFonts w:ascii="Calibri" w:hAnsi="Calibri" w:cs="Calibri"/>
                <w:color w:val="000000"/>
                <w:lang w:eastAsia="en-GB"/>
              </w:rPr>
            </w:pPr>
            <w:r w:rsidRPr="00581EDD">
              <w:t>6-12 weeks</w:t>
            </w:r>
          </w:p>
        </w:tc>
        <w:tc>
          <w:tcPr>
            <w:tcW w:w="2084" w:type="dxa"/>
            <w:hideMark/>
          </w:tcPr>
          <w:p w14:paraId="6949B874" w14:textId="77777777" w:rsidR="00581EDD" w:rsidRPr="00581EDD" w:rsidRDefault="004225A7" w:rsidP="00B11EFB">
            <w:pPr>
              <w:pStyle w:val="TableBody"/>
              <w:jc w:val="center"/>
              <w:rPr>
                <w:rFonts w:ascii="Calibri" w:hAnsi="Calibri" w:cs="Calibri"/>
                <w:color w:val="000000"/>
                <w:lang w:eastAsia="en-GB"/>
              </w:rPr>
            </w:pPr>
            <w:r w:rsidRPr="00581EDD">
              <w:t>O</w:t>
            </w:r>
            <w:r w:rsidR="00581EDD" w:rsidRPr="00581EDD">
              <w:t>ngoing surveillance for diabetes and cardiovascular problems using local protocol</w:t>
            </w:r>
          </w:p>
        </w:tc>
        <w:tc>
          <w:tcPr>
            <w:tcW w:w="1859" w:type="dxa"/>
            <w:hideMark/>
          </w:tcPr>
          <w:p w14:paraId="4C362ECE" w14:textId="0847D633" w:rsidR="00581EDD" w:rsidRPr="00581EDD" w:rsidRDefault="00C15401" w:rsidP="00B11EFB">
            <w:pPr>
              <w:pStyle w:val="TableBody"/>
              <w:jc w:val="center"/>
              <w:rPr>
                <w:rFonts w:ascii="Calibri" w:hAnsi="Calibri" w:cs="Calibri"/>
                <w:color w:val="000000"/>
                <w:lang w:eastAsia="en-GB"/>
              </w:rPr>
            </w:pPr>
            <w:r>
              <w:t>N</w:t>
            </w:r>
            <w:r w:rsidR="00581EDD" w:rsidRPr="00581EDD">
              <w:t>ot defined</w:t>
            </w:r>
          </w:p>
        </w:tc>
        <w:tc>
          <w:tcPr>
            <w:tcW w:w="495" w:type="dxa"/>
            <w:hideMark/>
          </w:tcPr>
          <w:p w14:paraId="55AE678E" w14:textId="77777777" w:rsidR="00581EDD" w:rsidRPr="00581EDD" w:rsidRDefault="00581EDD" w:rsidP="00B11EFB">
            <w:pPr>
              <w:pStyle w:val="TableBody"/>
              <w:jc w:val="center"/>
              <w:rPr>
                <w:rFonts w:ascii="Calibri" w:hAnsi="Calibri" w:cs="Calibri"/>
                <w:color w:val="000000"/>
                <w:lang w:eastAsia="en-GB"/>
              </w:rPr>
            </w:pPr>
            <w:r w:rsidRPr="00581EDD">
              <w:t>65</w:t>
            </w:r>
          </w:p>
        </w:tc>
      </w:tr>
      <w:tr w:rsidR="00581EDD" w:rsidRPr="00FB16CD" w14:paraId="241D9924" w14:textId="77777777" w:rsidTr="00581EDD">
        <w:trPr>
          <w:trHeight w:val="900"/>
        </w:trPr>
        <w:tc>
          <w:tcPr>
            <w:tcW w:w="1380" w:type="dxa"/>
            <w:noWrap/>
            <w:hideMark/>
          </w:tcPr>
          <w:p w14:paraId="6B70E017" w14:textId="77777777" w:rsidR="00581EDD" w:rsidRPr="00581EDD" w:rsidRDefault="00581EDD" w:rsidP="00B11EFB">
            <w:pPr>
              <w:pStyle w:val="TableBody"/>
              <w:rPr>
                <w:rFonts w:ascii="Calibri" w:hAnsi="Calibri" w:cs="Calibri"/>
                <w:color w:val="000000"/>
                <w:lang w:eastAsia="en-GB"/>
              </w:rPr>
            </w:pPr>
            <w:r w:rsidRPr="00581EDD">
              <w:t>Europe</w:t>
            </w:r>
          </w:p>
        </w:tc>
        <w:tc>
          <w:tcPr>
            <w:tcW w:w="2731" w:type="dxa"/>
            <w:hideMark/>
          </w:tcPr>
          <w:p w14:paraId="6451C9B7" w14:textId="46F11DF2" w:rsidR="00581EDD" w:rsidRPr="00581EDD" w:rsidRDefault="00581EDD" w:rsidP="00B11EFB">
            <w:pPr>
              <w:pStyle w:val="TableBody"/>
              <w:jc w:val="center"/>
              <w:rPr>
                <w:rFonts w:ascii="Calibri" w:hAnsi="Calibri" w:cs="Calibri"/>
                <w:color w:val="000000"/>
                <w:lang w:eastAsia="en-GB"/>
              </w:rPr>
            </w:pPr>
            <w:r w:rsidRPr="00581EDD">
              <w:t xml:space="preserve">European Board </w:t>
            </w:r>
            <w:r w:rsidR="00DD7BFF">
              <w:t>and</w:t>
            </w:r>
            <w:r w:rsidRPr="00581EDD">
              <w:t xml:space="preserve"> College of Obstetrics and Gynaecology (EBCOG)</w:t>
            </w:r>
          </w:p>
        </w:tc>
        <w:tc>
          <w:tcPr>
            <w:tcW w:w="2074" w:type="dxa"/>
            <w:hideMark/>
          </w:tcPr>
          <w:p w14:paraId="30B458F5" w14:textId="77777777" w:rsidR="00581EDD" w:rsidRPr="00581EDD" w:rsidRDefault="00581EDD" w:rsidP="00B11EFB">
            <w:pPr>
              <w:pStyle w:val="TableBody"/>
              <w:jc w:val="center"/>
              <w:rPr>
                <w:rFonts w:ascii="Calibri" w:hAnsi="Calibri" w:cs="Calibri"/>
                <w:color w:val="000000"/>
                <w:lang w:eastAsia="en-GB"/>
              </w:rPr>
            </w:pPr>
            <w:r w:rsidRPr="00581EDD">
              <w:t>A proposal for the use of uniform diagnostic criteria for gestational diabetes in Europe</w:t>
            </w:r>
          </w:p>
        </w:tc>
        <w:tc>
          <w:tcPr>
            <w:tcW w:w="663" w:type="dxa"/>
            <w:noWrap/>
            <w:hideMark/>
          </w:tcPr>
          <w:p w14:paraId="11C582ED" w14:textId="77777777" w:rsidR="00581EDD" w:rsidRPr="00581EDD" w:rsidRDefault="00581EDD" w:rsidP="00B11EFB">
            <w:pPr>
              <w:pStyle w:val="TableBody"/>
              <w:jc w:val="center"/>
              <w:rPr>
                <w:rFonts w:ascii="Calibri" w:hAnsi="Calibri" w:cs="Calibri"/>
                <w:color w:val="000000"/>
                <w:lang w:eastAsia="en-GB"/>
              </w:rPr>
            </w:pPr>
            <w:r w:rsidRPr="00581EDD">
              <w:t>2015</w:t>
            </w:r>
          </w:p>
        </w:tc>
        <w:tc>
          <w:tcPr>
            <w:tcW w:w="2172" w:type="dxa"/>
            <w:noWrap/>
            <w:hideMark/>
          </w:tcPr>
          <w:p w14:paraId="613C825B" w14:textId="77777777" w:rsidR="00581EDD" w:rsidRPr="00581EDD" w:rsidRDefault="00581EDD" w:rsidP="00B11EFB">
            <w:pPr>
              <w:pStyle w:val="TableBody"/>
              <w:jc w:val="center"/>
              <w:rPr>
                <w:rFonts w:ascii="Calibri" w:hAnsi="Calibri" w:cs="Calibri"/>
                <w:color w:val="000000"/>
                <w:lang w:eastAsia="en-GB"/>
              </w:rPr>
            </w:pPr>
            <w:r w:rsidRPr="00581EDD">
              <w:t>75g OGTT</w:t>
            </w:r>
          </w:p>
        </w:tc>
        <w:tc>
          <w:tcPr>
            <w:tcW w:w="1851" w:type="dxa"/>
            <w:noWrap/>
            <w:hideMark/>
          </w:tcPr>
          <w:p w14:paraId="6961C91A" w14:textId="77777777" w:rsidR="00581EDD" w:rsidRPr="00581EDD" w:rsidRDefault="00581EDD" w:rsidP="00B11EFB">
            <w:pPr>
              <w:pStyle w:val="TableBody"/>
              <w:jc w:val="center"/>
              <w:rPr>
                <w:rFonts w:ascii="Calibri" w:hAnsi="Calibri" w:cs="Calibri"/>
                <w:color w:val="000000"/>
                <w:lang w:eastAsia="en-GB"/>
              </w:rPr>
            </w:pPr>
            <w:r w:rsidRPr="00581EDD">
              <w:t>6-12 weeks</w:t>
            </w:r>
          </w:p>
        </w:tc>
        <w:tc>
          <w:tcPr>
            <w:tcW w:w="2084" w:type="dxa"/>
            <w:hideMark/>
          </w:tcPr>
          <w:p w14:paraId="676CE7CC" w14:textId="223AD9A1" w:rsidR="00581EDD" w:rsidRPr="00581EDD" w:rsidRDefault="00581EDD" w:rsidP="00B11EFB">
            <w:pPr>
              <w:pStyle w:val="TableBody"/>
              <w:jc w:val="center"/>
              <w:rPr>
                <w:rFonts w:ascii="Calibri" w:hAnsi="Calibri" w:cs="Calibri"/>
                <w:color w:val="000000"/>
                <w:lang w:eastAsia="en-GB"/>
              </w:rPr>
            </w:pPr>
            <w:r w:rsidRPr="00581EDD">
              <w:t xml:space="preserve">HbA1c, </w:t>
            </w:r>
            <w:r w:rsidR="00326215">
              <w:t>fasting plasma glucose</w:t>
            </w:r>
            <w:r w:rsidR="004225A7">
              <w:t>,</w:t>
            </w:r>
            <w:r w:rsidR="004225A7" w:rsidRPr="00581EDD">
              <w:t xml:space="preserve"> or </w:t>
            </w:r>
            <w:r w:rsidR="004225A7">
              <w:t xml:space="preserve">two </w:t>
            </w:r>
            <w:r w:rsidR="004225A7" w:rsidRPr="00581EDD">
              <w:t>h</w:t>
            </w:r>
            <w:r w:rsidR="004225A7">
              <w:t>our</w:t>
            </w:r>
            <w:r w:rsidR="004225A7" w:rsidRPr="00581EDD">
              <w:t xml:space="preserve"> 75g </w:t>
            </w:r>
            <w:r w:rsidRPr="00581EDD">
              <w:t>OGTT</w:t>
            </w:r>
          </w:p>
        </w:tc>
        <w:tc>
          <w:tcPr>
            <w:tcW w:w="1859" w:type="dxa"/>
            <w:hideMark/>
          </w:tcPr>
          <w:p w14:paraId="580578E4" w14:textId="2C5B8EB8" w:rsidR="00581EDD" w:rsidRPr="00581EDD" w:rsidRDefault="00C15401">
            <w:pPr>
              <w:pStyle w:val="TableBody"/>
              <w:jc w:val="center"/>
              <w:rPr>
                <w:rFonts w:ascii="Calibri" w:hAnsi="Calibri" w:cs="Calibri"/>
                <w:color w:val="000000"/>
                <w:lang w:eastAsia="en-GB"/>
              </w:rPr>
            </w:pPr>
            <w:r>
              <w:t>A</w:t>
            </w:r>
            <w:r w:rsidR="00581EDD" w:rsidRPr="00581EDD">
              <w:t xml:space="preserve">t least every </w:t>
            </w:r>
            <w:r>
              <w:t>three</w:t>
            </w:r>
            <w:r w:rsidRPr="00581EDD">
              <w:t xml:space="preserve"> </w:t>
            </w:r>
            <w:r w:rsidR="00581EDD" w:rsidRPr="00581EDD">
              <w:t>years</w:t>
            </w:r>
          </w:p>
        </w:tc>
        <w:tc>
          <w:tcPr>
            <w:tcW w:w="495" w:type="dxa"/>
            <w:hideMark/>
          </w:tcPr>
          <w:p w14:paraId="64FB9F5D" w14:textId="77777777" w:rsidR="00581EDD" w:rsidRPr="00581EDD" w:rsidRDefault="00581EDD" w:rsidP="00B11EFB">
            <w:pPr>
              <w:pStyle w:val="TableBody"/>
              <w:jc w:val="center"/>
              <w:rPr>
                <w:rFonts w:ascii="Calibri" w:hAnsi="Calibri" w:cs="Calibri"/>
                <w:color w:val="000000"/>
                <w:lang w:eastAsia="en-GB"/>
              </w:rPr>
            </w:pPr>
            <w:r w:rsidRPr="00581EDD">
              <w:t>66</w:t>
            </w:r>
          </w:p>
        </w:tc>
      </w:tr>
      <w:tr w:rsidR="00581EDD" w:rsidRPr="00FB16CD" w14:paraId="176462BD" w14:textId="77777777" w:rsidTr="00581EDD">
        <w:trPr>
          <w:trHeight w:val="1500"/>
        </w:trPr>
        <w:tc>
          <w:tcPr>
            <w:tcW w:w="1380" w:type="dxa"/>
            <w:noWrap/>
            <w:hideMark/>
          </w:tcPr>
          <w:p w14:paraId="1E88B234" w14:textId="77777777" w:rsidR="00581EDD" w:rsidRPr="00581EDD" w:rsidRDefault="00581EDD" w:rsidP="00B11EFB">
            <w:pPr>
              <w:pStyle w:val="TableBody"/>
              <w:rPr>
                <w:rFonts w:ascii="Calibri" w:hAnsi="Calibri" w:cs="Calibri"/>
                <w:color w:val="000000"/>
                <w:lang w:eastAsia="en-GB"/>
              </w:rPr>
            </w:pPr>
            <w:r w:rsidRPr="00581EDD">
              <w:t>Canada</w:t>
            </w:r>
          </w:p>
        </w:tc>
        <w:tc>
          <w:tcPr>
            <w:tcW w:w="2731" w:type="dxa"/>
            <w:hideMark/>
          </w:tcPr>
          <w:p w14:paraId="7D292A3C" w14:textId="77777777" w:rsidR="00581EDD" w:rsidRPr="00581EDD" w:rsidRDefault="00581EDD" w:rsidP="00B11EFB">
            <w:pPr>
              <w:pStyle w:val="TableBody"/>
              <w:jc w:val="center"/>
              <w:rPr>
                <w:rFonts w:ascii="Calibri" w:hAnsi="Calibri" w:cs="Calibri"/>
                <w:color w:val="000000"/>
                <w:lang w:eastAsia="en-GB"/>
              </w:rPr>
            </w:pPr>
            <w:r w:rsidRPr="00581EDD">
              <w:t>Diabetes Canada Clinical Practice Guidelines Expert Committee</w:t>
            </w:r>
          </w:p>
        </w:tc>
        <w:tc>
          <w:tcPr>
            <w:tcW w:w="2074" w:type="dxa"/>
            <w:hideMark/>
          </w:tcPr>
          <w:p w14:paraId="2F464C97" w14:textId="77777777" w:rsidR="00581EDD" w:rsidRPr="00581EDD" w:rsidRDefault="00581EDD" w:rsidP="00B11EFB">
            <w:pPr>
              <w:pStyle w:val="TableBody"/>
              <w:jc w:val="center"/>
              <w:rPr>
                <w:rFonts w:ascii="Calibri" w:hAnsi="Calibri" w:cs="Calibri"/>
                <w:color w:val="000000"/>
                <w:lang w:eastAsia="en-GB"/>
              </w:rPr>
            </w:pPr>
            <w:r w:rsidRPr="00581EDD">
              <w:t>Diabetes and Pregnancy</w:t>
            </w:r>
          </w:p>
        </w:tc>
        <w:tc>
          <w:tcPr>
            <w:tcW w:w="663" w:type="dxa"/>
            <w:noWrap/>
            <w:hideMark/>
          </w:tcPr>
          <w:p w14:paraId="36F4FC05" w14:textId="77777777" w:rsidR="00581EDD" w:rsidRPr="00581EDD" w:rsidRDefault="00581EDD" w:rsidP="00B11EFB">
            <w:pPr>
              <w:pStyle w:val="TableBody"/>
              <w:jc w:val="center"/>
              <w:rPr>
                <w:rFonts w:ascii="Calibri" w:hAnsi="Calibri" w:cs="Calibri"/>
                <w:color w:val="000000"/>
                <w:lang w:eastAsia="en-GB"/>
              </w:rPr>
            </w:pPr>
            <w:r w:rsidRPr="00581EDD">
              <w:t>2018</w:t>
            </w:r>
          </w:p>
        </w:tc>
        <w:tc>
          <w:tcPr>
            <w:tcW w:w="2172" w:type="dxa"/>
            <w:noWrap/>
            <w:hideMark/>
          </w:tcPr>
          <w:p w14:paraId="6F752A60" w14:textId="77777777" w:rsidR="00581EDD" w:rsidRPr="00581EDD" w:rsidRDefault="00581EDD" w:rsidP="00B11EFB">
            <w:pPr>
              <w:pStyle w:val="TableBody"/>
              <w:jc w:val="center"/>
              <w:rPr>
                <w:rFonts w:ascii="Calibri" w:hAnsi="Calibri" w:cs="Calibri"/>
                <w:color w:val="000000"/>
                <w:lang w:eastAsia="en-GB"/>
              </w:rPr>
            </w:pPr>
            <w:r w:rsidRPr="00581EDD">
              <w:t>75g OGTT</w:t>
            </w:r>
          </w:p>
        </w:tc>
        <w:tc>
          <w:tcPr>
            <w:tcW w:w="1851" w:type="dxa"/>
            <w:noWrap/>
            <w:hideMark/>
          </w:tcPr>
          <w:p w14:paraId="7CE7878D" w14:textId="520A999F" w:rsidR="00581EDD" w:rsidRPr="00581EDD" w:rsidRDefault="004225A7">
            <w:pPr>
              <w:pStyle w:val="TableBody"/>
              <w:jc w:val="center"/>
              <w:rPr>
                <w:rFonts w:ascii="Calibri" w:hAnsi="Calibri" w:cs="Calibri"/>
                <w:color w:val="000000"/>
                <w:lang w:eastAsia="en-GB"/>
              </w:rPr>
            </w:pPr>
            <w:r>
              <w:t>6</w:t>
            </w:r>
            <w:r w:rsidR="00581EDD" w:rsidRPr="00581EDD">
              <w:t xml:space="preserve"> weeks</w:t>
            </w:r>
            <w:r>
              <w:t xml:space="preserve"> to </w:t>
            </w:r>
            <w:r w:rsidR="00581EDD" w:rsidRPr="00581EDD">
              <w:t>6 months</w:t>
            </w:r>
          </w:p>
        </w:tc>
        <w:tc>
          <w:tcPr>
            <w:tcW w:w="2084" w:type="dxa"/>
            <w:hideMark/>
          </w:tcPr>
          <w:p w14:paraId="594834F7" w14:textId="7BB4558E" w:rsidR="00581EDD" w:rsidRPr="00581EDD" w:rsidRDefault="00581EDD" w:rsidP="00B11EFB">
            <w:pPr>
              <w:pStyle w:val="TableBody"/>
              <w:jc w:val="center"/>
              <w:rPr>
                <w:rFonts w:ascii="Calibri" w:hAnsi="Calibri" w:cs="Calibri"/>
                <w:color w:val="000000"/>
                <w:lang w:eastAsia="en-GB"/>
              </w:rPr>
            </w:pPr>
            <w:r w:rsidRPr="00581EDD">
              <w:t xml:space="preserve">Unclear. Guidance refers to </w:t>
            </w:r>
            <w:r w:rsidR="00326215">
              <w:t>fasting plasma glucose</w:t>
            </w:r>
            <w:r w:rsidRPr="00581EDD">
              <w:t xml:space="preserve"> or ideally 75g OGTT, but not explicit in recommendations</w:t>
            </w:r>
          </w:p>
        </w:tc>
        <w:tc>
          <w:tcPr>
            <w:tcW w:w="1859" w:type="dxa"/>
            <w:hideMark/>
          </w:tcPr>
          <w:p w14:paraId="4224D49A" w14:textId="77777777" w:rsidR="00581EDD" w:rsidRPr="00581EDD" w:rsidRDefault="00581EDD" w:rsidP="00B11EFB">
            <w:pPr>
              <w:pStyle w:val="TableBody"/>
              <w:jc w:val="center"/>
              <w:rPr>
                <w:rFonts w:ascii="Calibri" w:hAnsi="Calibri" w:cs="Calibri"/>
                <w:color w:val="000000"/>
                <w:lang w:eastAsia="en-GB"/>
              </w:rPr>
            </w:pPr>
            <w:r w:rsidRPr="00581EDD">
              <w:t>No specific recommendation, though guidance does refer to annual testing</w:t>
            </w:r>
          </w:p>
        </w:tc>
        <w:tc>
          <w:tcPr>
            <w:tcW w:w="495" w:type="dxa"/>
            <w:hideMark/>
          </w:tcPr>
          <w:p w14:paraId="19FCEEDD" w14:textId="77777777" w:rsidR="00581EDD" w:rsidRPr="00581EDD" w:rsidRDefault="00581EDD" w:rsidP="00B11EFB">
            <w:pPr>
              <w:pStyle w:val="TableBody"/>
              <w:jc w:val="center"/>
              <w:rPr>
                <w:rFonts w:ascii="Calibri" w:hAnsi="Calibri" w:cs="Calibri"/>
                <w:color w:val="000000"/>
                <w:lang w:eastAsia="en-GB"/>
              </w:rPr>
            </w:pPr>
            <w:r w:rsidRPr="00581EDD">
              <w:t>67</w:t>
            </w:r>
          </w:p>
        </w:tc>
      </w:tr>
      <w:tr w:rsidR="00581EDD" w:rsidRPr="00FB16CD" w14:paraId="54775CD6" w14:textId="77777777" w:rsidTr="00581EDD">
        <w:trPr>
          <w:trHeight w:val="900"/>
        </w:trPr>
        <w:tc>
          <w:tcPr>
            <w:tcW w:w="1380" w:type="dxa"/>
            <w:noWrap/>
            <w:hideMark/>
          </w:tcPr>
          <w:p w14:paraId="012CA6F5" w14:textId="77777777" w:rsidR="00581EDD" w:rsidRPr="00581EDD" w:rsidRDefault="00581EDD" w:rsidP="00B11EFB">
            <w:pPr>
              <w:pStyle w:val="TableBody"/>
              <w:rPr>
                <w:rFonts w:ascii="Calibri" w:hAnsi="Calibri" w:cs="Calibri"/>
                <w:color w:val="000000"/>
                <w:lang w:eastAsia="en-GB"/>
              </w:rPr>
            </w:pPr>
            <w:r w:rsidRPr="00581EDD">
              <w:t>France</w:t>
            </w:r>
          </w:p>
        </w:tc>
        <w:tc>
          <w:tcPr>
            <w:tcW w:w="2731" w:type="dxa"/>
            <w:noWrap/>
            <w:hideMark/>
          </w:tcPr>
          <w:p w14:paraId="290DC49F" w14:textId="77777777" w:rsidR="00581EDD" w:rsidRPr="00581EDD" w:rsidRDefault="00581EDD" w:rsidP="00B11EFB">
            <w:pPr>
              <w:pStyle w:val="TableBody"/>
              <w:jc w:val="center"/>
              <w:rPr>
                <w:rFonts w:ascii="Calibri" w:hAnsi="Calibri" w:cs="Calibri"/>
                <w:color w:val="000000"/>
                <w:lang w:eastAsia="en-GB"/>
              </w:rPr>
            </w:pPr>
            <w:r w:rsidRPr="00581EDD">
              <w:t>Haute Autorité de Santé (HAS)</w:t>
            </w:r>
          </w:p>
        </w:tc>
        <w:tc>
          <w:tcPr>
            <w:tcW w:w="2074" w:type="dxa"/>
            <w:hideMark/>
          </w:tcPr>
          <w:p w14:paraId="103CC369" w14:textId="77777777" w:rsidR="00581EDD" w:rsidRPr="00581EDD" w:rsidRDefault="00581EDD" w:rsidP="00B11EFB">
            <w:pPr>
              <w:pStyle w:val="TableBody"/>
              <w:jc w:val="center"/>
              <w:rPr>
                <w:rFonts w:ascii="Calibri" w:hAnsi="Calibri" w:cs="Calibri"/>
                <w:color w:val="000000"/>
                <w:lang w:eastAsia="en-GB"/>
              </w:rPr>
            </w:pPr>
            <w:r w:rsidRPr="00581EDD">
              <w:t>Screening and diagnosis of gestational diabetes mellitus</w:t>
            </w:r>
          </w:p>
        </w:tc>
        <w:tc>
          <w:tcPr>
            <w:tcW w:w="663" w:type="dxa"/>
            <w:noWrap/>
            <w:hideMark/>
          </w:tcPr>
          <w:p w14:paraId="0621423E" w14:textId="77777777" w:rsidR="00581EDD" w:rsidRPr="00581EDD" w:rsidRDefault="00581EDD" w:rsidP="00B11EFB">
            <w:pPr>
              <w:pStyle w:val="TableBody"/>
              <w:jc w:val="center"/>
              <w:rPr>
                <w:rFonts w:ascii="Calibri" w:hAnsi="Calibri" w:cs="Calibri"/>
                <w:color w:val="000000"/>
                <w:lang w:eastAsia="en-GB"/>
              </w:rPr>
            </w:pPr>
            <w:r w:rsidRPr="00581EDD">
              <w:t>2005</w:t>
            </w:r>
          </w:p>
        </w:tc>
        <w:tc>
          <w:tcPr>
            <w:tcW w:w="2172" w:type="dxa"/>
            <w:hideMark/>
          </w:tcPr>
          <w:p w14:paraId="44F6EB00" w14:textId="77777777" w:rsidR="00581EDD" w:rsidRPr="00581EDD" w:rsidRDefault="004225A7" w:rsidP="00B11EFB">
            <w:pPr>
              <w:pStyle w:val="TableBody"/>
              <w:jc w:val="center"/>
              <w:rPr>
                <w:rFonts w:ascii="Calibri" w:hAnsi="Calibri" w:cs="Calibri"/>
                <w:color w:val="000000"/>
                <w:lang w:eastAsia="en-GB"/>
              </w:rPr>
            </w:pPr>
            <w:r w:rsidRPr="00581EDD">
              <w:t>No specific recommendations</w:t>
            </w:r>
          </w:p>
        </w:tc>
        <w:tc>
          <w:tcPr>
            <w:tcW w:w="1851" w:type="dxa"/>
            <w:hideMark/>
          </w:tcPr>
          <w:p w14:paraId="4FA2301C" w14:textId="77777777" w:rsidR="00581EDD" w:rsidRPr="00581EDD" w:rsidRDefault="004225A7" w:rsidP="00B11EFB">
            <w:pPr>
              <w:pStyle w:val="TableBody"/>
              <w:jc w:val="center"/>
              <w:rPr>
                <w:rFonts w:ascii="Calibri" w:hAnsi="Calibri" w:cs="Calibri"/>
                <w:color w:val="000000"/>
                <w:lang w:eastAsia="en-GB"/>
              </w:rPr>
            </w:pPr>
            <w:r w:rsidRPr="00581EDD">
              <w:t>No specific</w:t>
            </w:r>
            <w:r w:rsidR="00581EDD" w:rsidRPr="00581EDD">
              <w:t xml:space="preserve"> recommendations</w:t>
            </w:r>
          </w:p>
        </w:tc>
        <w:tc>
          <w:tcPr>
            <w:tcW w:w="2084" w:type="dxa"/>
            <w:hideMark/>
          </w:tcPr>
          <w:p w14:paraId="1C1C80E2" w14:textId="77777777" w:rsidR="00581EDD" w:rsidRPr="00581EDD" w:rsidRDefault="004225A7" w:rsidP="00B11EFB">
            <w:pPr>
              <w:pStyle w:val="TableBody"/>
              <w:jc w:val="center"/>
              <w:rPr>
                <w:rFonts w:ascii="Calibri" w:hAnsi="Calibri" w:cs="Calibri"/>
                <w:color w:val="000000"/>
                <w:lang w:eastAsia="en-GB"/>
              </w:rPr>
            </w:pPr>
            <w:r w:rsidRPr="00581EDD">
              <w:t>No specific recommendations</w:t>
            </w:r>
          </w:p>
        </w:tc>
        <w:tc>
          <w:tcPr>
            <w:tcW w:w="1859" w:type="dxa"/>
            <w:hideMark/>
          </w:tcPr>
          <w:p w14:paraId="0C89285C" w14:textId="77777777" w:rsidR="00581EDD" w:rsidRPr="00581EDD" w:rsidRDefault="00C15401" w:rsidP="00B11EFB">
            <w:pPr>
              <w:pStyle w:val="TableBody"/>
              <w:jc w:val="center"/>
              <w:rPr>
                <w:rFonts w:ascii="Calibri" w:hAnsi="Calibri" w:cs="Calibri"/>
                <w:color w:val="000000"/>
                <w:lang w:eastAsia="en-GB"/>
              </w:rPr>
            </w:pPr>
            <w:r w:rsidRPr="00581EDD">
              <w:t>No specific recommendations</w:t>
            </w:r>
          </w:p>
        </w:tc>
        <w:tc>
          <w:tcPr>
            <w:tcW w:w="495" w:type="dxa"/>
            <w:hideMark/>
          </w:tcPr>
          <w:p w14:paraId="04DE0520" w14:textId="77777777" w:rsidR="00581EDD" w:rsidRPr="00581EDD" w:rsidRDefault="00581EDD" w:rsidP="00B11EFB">
            <w:pPr>
              <w:pStyle w:val="TableBody"/>
              <w:jc w:val="center"/>
              <w:rPr>
                <w:rFonts w:ascii="Calibri" w:hAnsi="Calibri" w:cs="Calibri"/>
                <w:color w:val="000000"/>
                <w:lang w:eastAsia="en-GB"/>
              </w:rPr>
            </w:pPr>
            <w:r w:rsidRPr="00581EDD">
              <w:t>68</w:t>
            </w:r>
          </w:p>
        </w:tc>
      </w:tr>
      <w:tr w:rsidR="00581EDD" w:rsidRPr="00FB16CD" w14:paraId="10A83556" w14:textId="77777777" w:rsidTr="00581EDD">
        <w:trPr>
          <w:trHeight w:val="600"/>
        </w:trPr>
        <w:tc>
          <w:tcPr>
            <w:tcW w:w="1380" w:type="dxa"/>
            <w:noWrap/>
            <w:hideMark/>
          </w:tcPr>
          <w:p w14:paraId="02317123" w14:textId="77777777" w:rsidR="00581EDD" w:rsidRPr="00581EDD" w:rsidRDefault="00581EDD" w:rsidP="00B11EFB">
            <w:pPr>
              <w:pStyle w:val="TableBody"/>
              <w:rPr>
                <w:rFonts w:ascii="Calibri" w:hAnsi="Calibri" w:cs="Calibri"/>
                <w:color w:val="000000"/>
                <w:lang w:eastAsia="en-GB"/>
              </w:rPr>
            </w:pPr>
            <w:r w:rsidRPr="00581EDD">
              <w:t>US</w:t>
            </w:r>
          </w:p>
        </w:tc>
        <w:tc>
          <w:tcPr>
            <w:tcW w:w="2731" w:type="dxa"/>
            <w:noWrap/>
            <w:hideMark/>
          </w:tcPr>
          <w:p w14:paraId="3DCDF4B3" w14:textId="77777777" w:rsidR="00581EDD" w:rsidRPr="00581EDD" w:rsidRDefault="00581EDD" w:rsidP="00B11EFB">
            <w:pPr>
              <w:pStyle w:val="TableBody"/>
              <w:jc w:val="center"/>
              <w:rPr>
                <w:rFonts w:ascii="Calibri" w:hAnsi="Calibri" w:cs="Calibri"/>
                <w:color w:val="000000"/>
                <w:lang w:eastAsia="en-GB"/>
              </w:rPr>
            </w:pPr>
            <w:r w:rsidRPr="00581EDD">
              <w:t>Kaiser Permanente</w:t>
            </w:r>
          </w:p>
        </w:tc>
        <w:tc>
          <w:tcPr>
            <w:tcW w:w="2074" w:type="dxa"/>
            <w:hideMark/>
          </w:tcPr>
          <w:p w14:paraId="21315E95" w14:textId="77777777" w:rsidR="00581EDD" w:rsidRPr="00581EDD" w:rsidRDefault="00581EDD" w:rsidP="00B11EFB">
            <w:pPr>
              <w:pStyle w:val="TableBody"/>
              <w:jc w:val="center"/>
              <w:rPr>
                <w:rFonts w:ascii="Calibri" w:hAnsi="Calibri" w:cs="Calibri"/>
                <w:color w:val="000000"/>
                <w:lang w:eastAsia="en-GB"/>
              </w:rPr>
            </w:pPr>
            <w:r w:rsidRPr="00581EDD">
              <w:t>Gestational Diabetes Screening and Treatment Guideline</w:t>
            </w:r>
          </w:p>
        </w:tc>
        <w:tc>
          <w:tcPr>
            <w:tcW w:w="663" w:type="dxa"/>
            <w:noWrap/>
            <w:hideMark/>
          </w:tcPr>
          <w:p w14:paraId="7E0645A7" w14:textId="77777777" w:rsidR="00581EDD" w:rsidRPr="00581EDD" w:rsidRDefault="00581EDD" w:rsidP="00B11EFB">
            <w:pPr>
              <w:pStyle w:val="TableBody"/>
              <w:jc w:val="center"/>
              <w:rPr>
                <w:rFonts w:ascii="Calibri" w:hAnsi="Calibri" w:cs="Calibri"/>
                <w:color w:val="000000"/>
                <w:lang w:eastAsia="en-GB"/>
              </w:rPr>
            </w:pPr>
            <w:r w:rsidRPr="00581EDD">
              <w:t>2021</w:t>
            </w:r>
          </w:p>
        </w:tc>
        <w:tc>
          <w:tcPr>
            <w:tcW w:w="2172" w:type="dxa"/>
            <w:noWrap/>
            <w:hideMark/>
          </w:tcPr>
          <w:p w14:paraId="51AB1B77" w14:textId="77777777" w:rsidR="00581EDD" w:rsidRPr="00581EDD" w:rsidRDefault="00581EDD" w:rsidP="00B11EFB">
            <w:pPr>
              <w:pStyle w:val="TableBody"/>
              <w:jc w:val="center"/>
              <w:rPr>
                <w:rFonts w:ascii="Calibri" w:hAnsi="Calibri" w:cs="Calibri"/>
                <w:color w:val="000000"/>
                <w:lang w:eastAsia="en-GB"/>
              </w:rPr>
            </w:pPr>
            <w:r w:rsidRPr="00581EDD">
              <w:t>HbA1c</w:t>
            </w:r>
          </w:p>
        </w:tc>
        <w:tc>
          <w:tcPr>
            <w:tcW w:w="1851" w:type="dxa"/>
            <w:noWrap/>
            <w:hideMark/>
          </w:tcPr>
          <w:p w14:paraId="2C49918D" w14:textId="77777777" w:rsidR="00581EDD" w:rsidRPr="00581EDD" w:rsidRDefault="00581EDD" w:rsidP="00B11EFB">
            <w:pPr>
              <w:pStyle w:val="TableBody"/>
              <w:jc w:val="center"/>
              <w:rPr>
                <w:rFonts w:ascii="Calibri" w:hAnsi="Calibri" w:cs="Calibri"/>
                <w:color w:val="000000"/>
                <w:lang w:eastAsia="en-GB"/>
              </w:rPr>
            </w:pPr>
            <w:r w:rsidRPr="00581EDD">
              <w:t>3 months</w:t>
            </w:r>
          </w:p>
        </w:tc>
        <w:tc>
          <w:tcPr>
            <w:tcW w:w="2084" w:type="dxa"/>
            <w:hideMark/>
          </w:tcPr>
          <w:p w14:paraId="1D61A897" w14:textId="332F252F" w:rsidR="00581EDD" w:rsidRPr="00581EDD" w:rsidRDefault="00581EDD" w:rsidP="00B11EFB">
            <w:pPr>
              <w:pStyle w:val="TableBody"/>
              <w:jc w:val="center"/>
              <w:rPr>
                <w:rFonts w:ascii="Calibri" w:hAnsi="Calibri" w:cs="Calibri"/>
                <w:color w:val="000000"/>
                <w:lang w:eastAsia="en-GB"/>
              </w:rPr>
            </w:pPr>
            <w:r w:rsidRPr="00581EDD">
              <w:t xml:space="preserve">HbA1c, </w:t>
            </w:r>
            <w:r w:rsidR="00326215">
              <w:t>fasting plasma glucose</w:t>
            </w:r>
            <w:r w:rsidR="004225A7">
              <w:t>,</w:t>
            </w:r>
            <w:r w:rsidR="004225A7" w:rsidRPr="00581EDD">
              <w:t xml:space="preserve"> or </w:t>
            </w:r>
            <w:r w:rsidR="004225A7">
              <w:t xml:space="preserve">two </w:t>
            </w:r>
            <w:r w:rsidR="004225A7" w:rsidRPr="00581EDD">
              <w:t>h</w:t>
            </w:r>
            <w:r w:rsidR="004225A7">
              <w:t>our</w:t>
            </w:r>
            <w:r w:rsidR="004225A7" w:rsidRPr="00581EDD">
              <w:t xml:space="preserve"> 75g </w:t>
            </w:r>
            <w:r w:rsidRPr="00581EDD">
              <w:t>OGTT</w:t>
            </w:r>
          </w:p>
        </w:tc>
        <w:tc>
          <w:tcPr>
            <w:tcW w:w="1859" w:type="dxa"/>
            <w:hideMark/>
          </w:tcPr>
          <w:p w14:paraId="468D5E94" w14:textId="77777777" w:rsidR="00581EDD" w:rsidRPr="00581EDD" w:rsidRDefault="00C15401" w:rsidP="00B11EFB">
            <w:pPr>
              <w:pStyle w:val="TableBody"/>
              <w:jc w:val="center"/>
              <w:rPr>
                <w:rFonts w:ascii="Calibri" w:hAnsi="Calibri" w:cs="Calibri"/>
                <w:color w:val="000000"/>
                <w:lang w:eastAsia="en-GB"/>
              </w:rPr>
            </w:pPr>
            <w:r w:rsidRPr="00581EDD">
              <w:t>Annually</w:t>
            </w:r>
          </w:p>
        </w:tc>
        <w:tc>
          <w:tcPr>
            <w:tcW w:w="495" w:type="dxa"/>
            <w:hideMark/>
          </w:tcPr>
          <w:p w14:paraId="387236AC" w14:textId="77777777" w:rsidR="00581EDD" w:rsidRPr="00581EDD" w:rsidRDefault="00581EDD" w:rsidP="00B11EFB">
            <w:pPr>
              <w:pStyle w:val="TableBody"/>
              <w:jc w:val="center"/>
              <w:rPr>
                <w:rFonts w:ascii="Calibri" w:hAnsi="Calibri" w:cs="Calibri"/>
                <w:color w:val="000000"/>
                <w:lang w:eastAsia="en-GB"/>
              </w:rPr>
            </w:pPr>
            <w:r w:rsidRPr="00581EDD">
              <w:t>69</w:t>
            </w:r>
          </w:p>
        </w:tc>
      </w:tr>
      <w:tr w:rsidR="00581EDD" w:rsidRPr="00FB16CD" w14:paraId="5B03EB24" w14:textId="77777777" w:rsidTr="00581EDD">
        <w:trPr>
          <w:trHeight w:val="900"/>
        </w:trPr>
        <w:tc>
          <w:tcPr>
            <w:tcW w:w="1380" w:type="dxa"/>
            <w:noWrap/>
            <w:hideMark/>
          </w:tcPr>
          <w:p w14:paraId="2012D758" w14:textId="77777777" w:rsidR="00581EDD" w:rsidRPr="00581EDD" w:rsidRDefault="00581EDD" w:rsidP="00B11EFB">
            <w:pPr>
              <w:pStyle w:val="TableBody"/>
              <w:rPr>
                <w:rFonts w:ascii="Calibri" w:hAnsi="Calibri" w:cs="Calibri"/>
                <w:color w:val="000000"/>
                <w:lang w:eastAsia="en-GB"/>
              </w:rPr>
            </w:pPr>
            <w:r w:rsidRPr="00581EDD">
              <w:lastRenderedPageBreak/>
              <w:t>UK</w:t>
            </w:r>
          </w:p>
        </w:tc>
        <w:tc>
          <w:tcPr>
            <w:tcW w:w="2731" w:type="dxa"/>
            <w:hideMark/>
          </w:tcPr>
          <w:p w14:paraId="0DDC202A" w14:textId="77777777" w:rsidR="00581EDD" w:rsidRPr="00581EDD" w:rsidRDefault="00581EDD" w:rsidP="00B11EFB">
            <w:pPr>
              <w:pStyle w:val="TableBody"/>
              <w:jc w:val="center"/>
              <w:rPr>
                <w:rFonts w:ascii="Calibri" w:hAnsi="Calibri" w:cs="Calibri"/>
                <w:color w:val="000000"/>
                <w:lang w:eastAsia="en-GB"/>
              </w:rPr>
            </w:pPr>
            <w:r w:rsidRPr="00581EDD">
              <w:t>National Institute for Health and Care Excellence (NICE)</w:t>
            </w:r>
          </w:p>
        </w:tc>
        <w:tc>
          <w:tcPr>
            <w:tcW w:w="2074" w:type="dxa"/>
            <w:hideMark/>
          </w:tcPr>
          <w:p w14:paraId="50CAB2E3" w14:textId="77777777" w:rsidR="00581EDD" w:rsidRPr="00581EDD" w:rsidRDefault="00581EDD" w:rsidP="00B11EFB">
            <w:pPr>
              <w:pStyle w:val="TableBody"/>
              <w:jc w:val="center"/>
              <w:rPr>
                <w:rFonts w:ascii="Calibri" w:hAnsi="Calibri" w:cs="Calibri"/>
                <w:color w:val="000000"/>
                <w:lang w:eastAsia="en-GB"/>
              </w:rPr>
            </w:pPr>
            <w:r w:rsidRPr="00581EDD">
              <w:t>Diabetes in pregnancy: management from preconception to the postnatal period (NG3)</w:t>
            </w:r>
          </w:p>
        </w:tc>
        <w:tc>
          <w:tcPr>
            <w:tcW w:w="663" w:type="dxa"/>
            <w:noWrap/>
            <w:hideMark/>
          </w:tcPr>
          <w:p w14:paraId="0B3DA12F" w14:textId="77777777" w:rsidR="00581EDD" w:rsidRPr="00581EDD" w:rsidRDefault="00581EDD" w:rsidP="00B11EFB">
            <w:pPr>
              <w:pStyle w:val="TableBody"/>
              <w:jc w:val="center"/>
              <w:rPr>
                <w:rFonts w:ascii="Calibri" w:hAnsi="Calibri" w:cs="Calibri"/>
                <w:color w:val="000000"/>
                <w:lang w:eastAsia="en-GB"/>
              </w:rPr>
            </w:pPr>
            <w:r w:rsidRPr="00581EDD">
              <w:t>2015</w:t>
            </w:r>
          </w:p>
        </w:tc>
        <w:tc>
          <w:tcPr>
            <w:tcW w:w="2172" w:type="dxa"/>
            <w:noWrap/>
            <w:hideMark/>
          </w:tcPr>
          <w:p w14:paraId="565D3F12" w14:textId="32B2479A" w:rsidR="00581EDD" w:rsidRPr="00581EDD" w:rsidRDefault="00326215" w:rsidP="00B11EFB">
            <w:pPr>
              <w:pStyle w:val="TableBody"/>
              <w:jc w:val="center"/>
              <w:rPr>
                <w:rFonts w:ascii="Calibri" w:hAnsi="Calibri" w:cs="Calibri"/>
                <w:color w:val="000000"/>
                <w:lang w:eastAsia="en-GB"/>
              </w:rPr>
            </w:pPr>
            <w:r>
              <w:t>Fasting plasma glucose</w:t>
            </w:r>
            <w:r w:rsidR="00581EDD" w:rsidRPr="00581EDD">
              <w:t xml:space="preserve"> or HbA1c</w:t>
            </w:r>
          </w:p>
        </w:tc>
        <w:tc>
          <w:tcPr>
            <w:tcW w:w="1851" w:type="dxa"/>
            <w:noWrap/>
            <w:hideMark/>
          </w:tcPr>
          <w:p w14:paraId="52497BD1" w14:textId="77777777" w:rsidR="00581EDD" w:rsidRPr="00581EDD" w:rsidRDefault="00581EDD" w:rsidP="00B11EFB">
            <w:pPr>
              <w:pStyle w:val="TableBody"/>
              <w:jc w:val="center"/>
              <w:rPr>
                <w:rFonts w:ascii="Calibri" w:hAnsi="Calibri" w:cs="Calibri"/>
                <w:color w:val="000000"/>
                <w:lang w:eastAsia="en-GB"/>
              </w:rPr>
            </w:pPr>
            <w:r w:rsidRPr="00581EDD">
              <w:t>6-13 weeks</w:t>
            </w:r>
          </w:p>
        </w:tc>
        <w:tc>
          <w:tcPr>
            <w:tcW w:w="2084" w:type="dxa"/>
            <w:hideMark/>
          </w:tcPr>
          <w:p w14:paraId="681FD871" w14:textId="77777777" w:rsidR="00581EDD" w:rsidRPr="00581EDD" w:rsidRDefault="00581EDD" w:rsidP="00B11EFB">
            <w:pPr>
              <w:pStyle w:val="TableBody"/>
              <w:jc w:val="center"/>
              <w:rPr>
                <w:rFonts w:ascii="Calibri" w:hAnsi="Calibri" w:cs="Calibri"/>
                <w:color w:val="000000"/>
                <w:lang w:eastAsia="en-GB"/>
              </w:rPr>
            </w:pPr>
            <w:r w:rsidRPr="00581EDD">
              <w:t>HbA1c</w:t>
            </w:r>
          </w:p>
        </w:tc>
        <w:tc>
          <w:tcPr>
            <w:tcW w:w="1859" w:type="dxa"/>
            <w:hideMark/>
          </w:tcPr>
          <w:p w14:paraId="28BF46E3" w14:textId="77777777" w:rsidR="00581EDD" w:rsidRPr="00581EDD" w:rsidRDefault="00C15401" w:rsidP="00B11EFB">
            <w:pPr>
              <w:pStyle w:val="TableBody"/>
              <w:jc w:val="center"/>
              <w:rPr>
                <w:rFonts w:ascii="Calibri" w:hAnsi="Calibri" w:cs="Calibri"/>
                <w:color w:val="000000"/>
                <w:lang w:eastAsia="en-GB"/>
              </w:rPr>
            </w:pPr>
            <w:r w:rsidRPr="00581EDD">
              <w:t>Annually</w:t>
            </w:r>
          </w:p>
        </w:tc>
        <w:tc>
          <w:tcPr>
            <w:tcW w:w="495" w:type="dxa"/>
            <w:hideMark/>
          </w:tcPr>
          <w:p w14:paraId="4D0F3227" w14:textId="77777777" w:rsidR="00581EDD" w:rsidRPr="00581EDD" w:rsidRDefault="00581EDD" w:rsidP="00B11EFB">
            <w:pPr>
              <w:pStyle w:val="TableBody"/>
              <w:jc w:val="center"/>
              <w:rPr>
                <w:rFonts w:ascii="Calibri" w:hAnsi="Calibri" w:cs="Calibri"/>
                <w:color w:val="000000"/>
                <w:lang w:eastAsia="en-GB"/>
              </w:rPr>
            </w:pPr>
            <w:r w:rsidRPr="00581EDD">
              <w:t>62</w:t>
            </w:r>
          </w:p>
        </w:tc>
      </w:tr>
      <w:tr w:rsidR="00581EDD" w:rsidRPr="00FB16CD" w14:paraId="58C2A8E5" w14:textId="77777777" w:rsidTr="00581EDD">
        <w:trPr>
          <w:trHeight w:val="1200"/>
        </w:trPr>
        <w:tc>
          <w:tcPr>
            <w:tcW w:w="1380" w:type="dxa"/>
            <w:noWrap/>
            <w:hideMark/>
          </w:tcPr>
          <w:p w14:paraId="4060B046" w14:textId="77777777" w:rsidR="00581EDD" w:rsidRPr="00581EDD" w:rsidRDefault="00581EDD" w:rsidP="00581EDD">
            <w:pPr>
              <w:pStyle w:val="TableBody"/>
              <w:rPr>
                <w:rFonts w:ascii="Calibri" w:hAnsi="Calibri" w:cs="Calibri"/>
                <w:color w:val="000000"/>
                <w:lang w:eastAsia="en-GB"/>
              </w:rPr>
            </w:pPr>
            <w:r w:rsidRPr="00581EDD">
              <w:t>Australia</w:t>
            </w:r>
          </w:p>
        </w:tc>
        <w:tc>
          <w:tcPr>
            <w:tcW w:w="2731" w:type="dxa"/>
            <w:noWrap/>
            <w:hideMark/>
          </w:tcPr>
          <w:p w14:paraId="5857525B" w14:textId="77777777" w:rsidR="00581EDD" w:rsidRPr="00581EDD" w:rsidRDefault="00581EDD" w:rsidP="00581EDD">
            <w:pPr>
              <w:pStyle w:val="TableBody"/>
              <w:jc w:val="center"/>
              <w:rPr>
                <w:rFonts w:ascii="Calibri" w:hAnsi="Calibri" w:cs="Calibri"/>
                <w:color w:val="000000"/>
                <w:lang w:eastAsia="en-GB"/>
              </w:rPr>
            </w:pPr>
            <w:r w:rsidRPr="00581EDD">
              <w:t>Queensland Clinical Guidelines</w:t>
            </w:r>
          </w:p>
        </w:tc>
        <w:tc>
          <w:tcPr>
            <w:tcW w:w="2074" w:type="dxa"/>
            <w:hideMark/>
          </w:tcPr>
          <w:p w14:paraId="28FF609A" w14:textId="77777777" w:rsidR="00581EDD" w:rsidRPr="00581EDD" w:rsidRDefault="00581EDD" w:rsidP="00581EDD">
            <w:pPr>
              <w:pStyle w:val="TableBody"/>
              <w:jc w:val="center"/>
              <w:rPr>
                <w:rFonts w:ascii="Calibri" w:hAnsi="Calibri" w:cs="Calibri"/>
                <w:color w:val="000000"/>
                <w:lang w:eastAsia="en-GB"/>
              </w:rPr>
            </w:pPr>
            <w:r w:rsidRPr="00581EDD">
              <w:t>Gestational diabetes mellitus (GDM)</w:t>
            </w:r>
          </w:p>
        </w:tc>
        <w:tc>
          <w:tcPr>
            <w:tcW w:w="663" w:type="dxa"/>
            <w:noWrap/>
            <w:hideMark/>
          </w:tcPr>
          <w:p w14:paraId="6829AADE" w14:textId="77777777" w:rsidR="00581EDD" w:rsidRPr="00581EDD" w:rsidRDefault="00581EDD" w:rsidP="00581EDD">
            <w:pPr>
              <w:pStyle w:val="TableBody"/>
              <w:jc w:val="center"/>
              <w:rPr>
                <w:rFonts w:ascii="Calibri" w:hAnsi="Calibri" w:cs="Calibri"/>
                <w:color w:val="000000"/>
                <w:lang w:eastAsia="en-GB"/>
              </w:rPr>
            </w:pPr>
            <w:r w:rsidRPr="00581EDD">
              <w:t>2021</w:t>
            </w:r>
          </w:p>
        </w:tc>
        <w:tc>
          <w:tcPr>
            <w:tcW w:w="2172" w:type="dxa"/>
            <w:noWrap/>
            <w:hideMark/>
          </w:tcPr>
          <w:p w14:paraId="218CE5F6" w14:textId="77777777" w:rsidR="00581EDD" w:rsidRPr="00581EDD" w:rsidRDefault="00581EDD" w:rsidP="00581EDD">
            <w:pPr>
              <w:pStyle w:val="TableBody"/>
              <w:jc w:val="center"/>
              <w:rPr>
                <w:rFonts w:ascii="Calibri" w:hAnsi="Calibri" w:cs="Calibri"/>
                <w:color w:val="000000"/>
                <w:lang w:eastAsia="en-GB"/>
              </w:rPr>
            </w:pPr>
            <w:r w:rsidRPr="00581EDD">
              <w:t>OGTT</w:t>
            </w:r>
          </w:p>
        </w:tc>
        <w:tc>
          <w:tcPr>
            <w:tcW w:w="1851" w:type="dxa"/>
            <w:noWrap/>
            <w:hideMark/>
          </w:tcPr>
          <w:p w14:paraId="355EC3A4" w14:textId="77777777" w:rsidR="00581EDD" w:rsidRPr="00581EDD" w:rsidRDefault="00581EDD" w:rsidP="00581EDD">
            <w:pPr>
              <w:pStyle w:val="TableBody"/>
              <w:jc w:val="center"/>
              <w:rPr>
                <w:rFonts w:ascii="Calibri" w:hAnsi="Calibri" w:cs="Calibri"/>
                <w:color w:val="000000"/>
                <w:lang w:eastAsia="en-GB"/>
              </w:rPr>
            </w:pPr>
            <w:r w:rsidRPr="00581EDD">
              <w:t>6-12 weeks</w:t>
            </w:r>
          </w:p>
        </w:tc>
        <w:tc>
          <w:tcPr>
            <w:tcW w:w="2084" w:type="dxa"/>
            <w:hideMark/>
          </w:tcPr>
          <w:p w14:paraId="0F844A0A" w14:textId="77777777" w:rsidR="00581EDD" w:rsidRPr="00581EDD" w:rsidRDefault="00581EDD" w:rsidP="00581EDD">
            <w:pPr>
              <w:pStyle w:val="TableBody"/>
              <w:jc w:val="center"/>
              <w:rPr>
                <w:rFonts w:ascii="Calibri" w:hAnsi="Calibri" w:cs="Calibri"/>
                <w:color w:val="000000"/>
                <w:lang w:eastAsia="en-GB"/>
              </w:rPr>
            </w:pPr>
            <w:r w:rsidRPr="00581EDD">
              <w:t>HbA1c or OGTT</w:t>
            </w:r>
          </w:p>
        </w:tc>
        <w:tc>
          <w:tcPr>
            <w:tcW w:w="1859" w:type="dxa"/>
            <w:hideMark/>
          </w:tcPr>
          <w:p w14:paraId="611924D8" w14:textId="7C71BC61" w:rsidR="00581EDD" w:rsidRPr="00581EDD" w:rsidRDefault="00C15401">
            <w:pPr>
              <w:pStyle w:val="TableBody"/>
              <w:jc w:val="center"/>
              <w:rPr>
                <w:rFonts w:ascii="Calibri" w:hAnsi="Calibri" w:cs="Calibri"/>
                <w:color w:val="000000"/>
                <w:lang w:eastAsia="en-GB"/>
              </w:rPr>
            </w:pPr>
            <w:r w:rsidRPr="00581EDD">
              <w:t xml:space="preserve">At least every </w:t>
            </w:r>
            <w:r>
              <w:t>three</w:t>
            </w:r>
            <w:r w:rsidRPr="00581EDD">
              <w:t xml:space="preserve"> years (annually if contemplating another pregnancy)</w:t>
            </w:r>
          </w:p>
        </w:tc>
        <w:tc>
          <w:tcPr>
            <w:tcW w:w="495" w:type="dxa"/>
            <w:hideMark/>
          </w:tcPr>
          <w:p w14:paraId="1CA749B0" w14:textId="77777777" w:rsidR="00581EDD" w:rsidRPr="00581EDD" w:rsidRDefault="00581EDD" w:rsidP="00581EDD">
            <w:pPr>
              <w:pStyle w:val="TableBody"/>
              <w:jc w:val="center"/>
              <w:rPr>
                <w:rFonts w:ascii="Calibri" w:hAnsi="Calibri" w:cs="Calibri"/>
                <w:color w:val="000000"/>
                <w:lang w:eastAsia="en-GB"/>
              </w:rPr>
            </w:pPr>
            <w:r w:rsidRPr="00581EDD">
              <w:t>70</w:t>
            </w:r>
          </w:p>
        </w:tc>
      </w:tr>
      <w:tr w:rsidR="00581EDD" w:rsidRPr="00FB16CD" w14:paraId="7030E9A9" w14:textId="77777777" w:rsidTr="00581EDD">
        <w:trPr>
          <w:trHeight w:val="600"/>
        </w:trPr>
        <w:tc>
          <w:tcPr>
            <w:tcW w:w="1380" w:type="dxa"/>
            <w:noWrap/>
            <w:hideMark/>
          </w:tcPr>
          <w:p w14:paraId="3ED64FBA" w14:textId="77777777" w:rsidR="00581EDD" w:rsidRPr="00581EDD" w:rsidRDefault="00581EDD" w:rsidP="00581EDD">
            <w:pPr>
              <w:pStyle w:val="TableBody"/>
              <w:rPr>
                <w:rFonts w:ascii="Calibri" w:hAnsi="Calibri" w:cs="Calibri"/>
                <w:color w:val="000000"/>
                <w:lang w:eastAsia="en-GB"/>
              </w:rPr>
            </w:pPr>
            <w:r w:rsidRPr="00581EDD">
              <w:t>Scotland</w:t>
            </w:r>
          </w:p>
        </w:tc>
        <w:tc>
          <w:tcPr>
            <w:tcW w:w="2731" w:type="dxa"/>
            <w:hideMark/>
          </w:tcPr>
          <w:p w14:paraId="3EBD7A0C" w14:textId="77777777" w:rsidR="00581EDD" w:rsidRPr="00581EDD" w:rsidRDefault="00581EDD" w:rsidP="00581EDD">
            <w:pPr>
              <w:pStyle w:val="TableBody"/>
              <w:jc w:val="center"/>
              <w:rPr>
                <w:rFonts w:ascii="Calibri" w:hAnsi="Calibri" w:cs="Calibri"/>
                <w:color w:val="000000"/>
                <w:lang w:eastAsia="en-GB"/>
              </w:rPr>
            </w:pPr>
            <w:r w:rsidRPr="00581EDD">
              <w:t>Scottish Intercollegiate Guidelines Network (SIGN)</w:t>
            </w:r>
          </w:p>
        </w:tc>
        <w:tc>
          <w:tcPr>
            <w:tcW w:w="2074" w:type="dxa"/>
            <w:hideMark/>
          </w:tcPr>
          <w:p w14:paraId="05FFF248" w14:textId="77777777" w:rsidR="00581EDD" w:rsidRPr="00581EDD" w:rsidRDefault="00581EDD" w:rsidP="00581EDD">
            <w:pPr>
              <w:pStyle w:val="TableBody"/>
              <w:jc w:val="center"/>
              <w:rPr>
                <w:rFonts w:ascii="Calibri" w:hAnsi="Calibri" w:cs="Calibri"/>
                <w:color w:val="000000"/>
                <w:lang w:eastAsia="en-GB"/>
              </w:rPr>
            </w:pPr>
            <w:r w:rsidRPr="00581EDD">
              <w:t>Management of diabetes (116)</w:t>
            </w:r>
          </w:p>
        </w:tc>
        <w:tc>
          <w:tcPr>
            <w:tcW w:w="663" w:type="dxa"/>
            <w:noWrap/>
            <w:hideMark/>
          </w:tcPr>
          <w:p w14:paraId="46FE786A" w14:textId="77777777" w:rsidR="00581EDD" w:rsidRPr="00581EDD" w:rsidRDefault="00581EDD" w:rsidP="00581EDD">
            <w:pPr>
              <w:pStyle w:val="TableBody"/>
              <w:jc w:val="center"/>
              <w:rPr>
                <w:rFonts w:ascii="Calibri" w:hAnsi="Calibri" w:cs="Calibri"/>
                <w:color w:val="000000"/>
                <w:lang w:eastAsia="en-GB"/>
              </w:rPr>
            </w:pPr>
            <w:r w:rsidRPr="00581EDD">
              <w:t>2017</w:t>
            </w:r>
          </w:p>
        </w:tc>
        <w:tc>
          <w:tcPr>
            <w:tcW w:w="2172" w:type="dxa"/>
            <w:hideMark/>
          </w:tcPr>
          <w:p w14:paraId="2B5E668E" w14:textId="3254C27C" w:rsidR="00581EDD" w:rsidRPr="00581EDD" w:rsidRDefault="00326215" w:rsidP="00581EDD">
            <w:pPr>
              <w:pStyle w:val="TableBody"/>
              <w:jc w:val="center"/>
              <w:rPr>
                <w:rFonts w:ascii="Calibri" w:hAnsi="Calibri" w:cs="Calibri"/>
                <w:color w:val="000000"/>
                <w:lang w:eastAsia="en-GB"/>
              </w:rPr>
            </w:pPr>
            <w:r>
              <w:t>Fasting plasma glucose</w:t>
            </w:r>
            <w:r w:rsidR="00581EDD" w:rsidRPr="00581EDD">
              <w:t xml:space="preserve"> (75 g OGTT if clinically indicated)</w:t>
            </w:r>
          </w:p>
        </w:tc>
        <w:tc>
          <w:tcPr>
            <w:tcW w:w="1851" w:type="dxa"/>
            <w:noWrap/>
            <w:hideMark/>
          </w:tcPr>
          <w:p w14:paraId="5F912C93" w14:textId="77777777" w:rsidR="00581EDD" w:rsidRPr="00581EDD" w:rsidRDefault="004225A7" w:rsidP="00581EDD">
            <w:pPr>
              <w:pStyle w:val="TableBody"/>
              <w:jc w:val="center"/>
              <w:rPr>
                <w:rFonts w:ascii="Calibri" w:hAnsi="Calibri" w:cs="Calibri"/>
                <w:color w:val="000000"/>
                <w:lang w:eastAsia="en-GB"/>
              </w:rPr>
            </w:pPr>
            <w:r w:rsidRPr="00581EDD">
              <w:t>A</w:t>
            </w:r>
            <w:r w:rsidR="00581EDD" w:rsidRPr="00581EDD">
              <w:t>t least 6 weeks</w:t>
            </w:r>
          </w:p>
        </w:tc>
        <w:tc>
          <w:tcPr>
            <w:tcW w:w="2084" w:type="dxa"/>
            <w:hideMark/>
          </w:tcPr>
          <w:p w14:paraId="5F67FF2F" w14:textId="78B5E297" w:rsidR="00581EDD" w:rsidRPr="00581EDD" w:rsidRDefault="00581EDD" w:rsidP="00581EDD">
            <w:pPr>
              <w:pStyle w:val="TableBody"/>
              <w:jc w:val="center"/>
              <w:rPr>
                <w:rFonts w:ascii="Calibri" w:hAnsi="Calibri" w:cs="Calibri"/>
                <w:color w:val="000000"/>
                <w:lang w:eastAsia="en-GB"/>
              </w:rPr>
            </w:pPr>
            <w:r w:rsidRPr="00581EDD">
              <w:t xml:space="preserve">HbA1c or </w:t>
            </w:r>
            <w:r w:rsidR="00326215">
              <w:t>fasting plasma glucose</w:t>
            </w:r>
          </w:p>
        </w:tc>
        <w:tc>
          <w:tcPr>
            <w:tcW w:w="1859" w:type="dxa"/>
            <w:hideMark/>
          </w:tcPr>
          <w:p w14:paraId="33B58A9D" w14:textId="77777777" w:rsidR="00581EDD" w:rsidRPr="00581EDD" w:rsidRDefault="00C15401" w:rsidP="00581EDD">
            <w:pPr>
              <w:pStyle w:val="TableBody"/>
              <w:jc w:val="center"/>
              <w:rPr>
                <w:rFonts w:ascii="Calibri" w:hAnsi="Calibri" w:cs="Calibri"/>
                <w:color w:val="000000"/>
                <w:lang w:eastAsia="en-GB"/>
              </w:rPr>
            </w:pPr>
            <w:r w:rsidRPr="00581EDD">
              <w:t>Annually</w:t>
            </w:r>
          </w:p>
        </w:tc>
        <w:tc>
          <w:tcPr>
            <w:tcW w:w="495" w:type="dxa"/>
            <w:hideMark/>
          </w:tcPr>
          <w:p w14:paraId="56936906" w14:textId="77777777" w:rsidR="00581EDD" w:rsidRPr="00581EDD" w:rsidRDefault="00581EDD" w:rsidP="00581EDD">
            <w:pPr>
              <w:pStyle w:val="TableBody"/>
              <w:jc w:val="center"/>
              <w:rPr>
                <w:rFonts w:ascii="Calibri" w:hAnsi="Calibri" w:cs="Calibri"/>
                <w:color w:val="000000"/>
                <w:lang w:eastAsia="en-GB"/>
              </w:rPr>
            </w:pPr>
            <w:r w:rsidRPr="00581EDD">
              <w:t>71</w:t>
            </w:r>
          </w:p>
        </w:tc>
      </w:tr>
      <w:tr w:rsidR="00581EDD" w:rsidRPr="00FB16CD" w14:paraId="567C8744" w14:textId="77777777" w:rsidTr="00581EDD">
        <w:trPr>
          <w:trHeight w:val="900"/>
        </w:trPr>
        <w:tc>
          <w:tcPr>
            <w:tcW w:w="1380" w:type="dxa"/>
            <w:noWrap/>
            <w:hideMark/>
          </w:tcPr>
          <w:p w14:paraId="1F80FA79" w14:textId="77777777" w:rsidR="00581EDD" w:rsidRPr="00581EDD" w:rsidRDefault="00581EDD" w:rsidP="00581EDD">
            <w:pPr>
              <w:pStyle w:val="TableBody"/>
              <w:rPr>
                <w:rFonts w:ascii="Calibri" w:hAnsi="Calibri" w:cs="Calibri"/>
                <w:color w:val="000000"/>
                <w:lang w:eastAsia="en-GB"/>
              </w:rPr>
            </w:pPr>
            <w:r w:rsidRPr="00581EDD">
              <w:t>International</w:t>
            </w:r>
          </w:p>
        </w:tc>
        <w:tc>
          <w:tcPr>
            <w:tcW w:w="2731" w:type="dxa"/>
            <w:noWrap/>
            <w:hideMark/>
          </w:tcPr>
          <w:p w14:paraId="3215B406" w14:textId="77777777" w:rsidR="00581EDD" w:rsidRPr="00581EDD" w:rsidRDefault="00581EDD" w:rsidP="00581EDD">
            <w:pPr>
              <w:pStyle w:val="TableBody"/>
              <w:jc w:val="center"/>
              <w:rPr>
                <w:rFonts w:ascii="Calibri" w:hAnsi="Calibri" w:cs="Calibri"/>
                <w:color w:val="000000"/>
                <w:lang w:eastAsia="en-GB"/>
              </w:rPr>
            </w:pPr>
            <w:r w:rsidRPr="00581EDD">
              <w:t>World Health Organization (WHO)</w:t>
            </w:r>
          </w:p>
        </w:tc>
        <w:tc>
          <w:tcPr>
            <w:tcW w:w="2074" w:type="dxa"/>
            <w:hideMark/>
          </w:tcPr>
          <w:p w14:paraId="05A80946" w14:textId="77777777" w:rsidR="00581EDD" w:rsidRPr="00581EDD" w:rsidRDefault="00581EDD" w:rsidP="00581EDD">
            <w:pPr>
              <w:pStyle w:val="TableBody"/>
              <w:jc w:val="center"/>
              <w:rPr>
                <w:rFonts w:ascii="Calibri" w:hAnsi="Calibri" w:cs="Calibri"/>
                <w:color w:val="000000"/>
                <w:lang w:eastAsia="en-GB"/>
              </w:rPr>
            </w:pPr>
            <w:r w:rsidRPr="00581EDD">
              <w:t>Diagnostic Criteria and Classification of Hyperglycaemia First Detected in Pregnancy</w:t>
            </w:r>
          </w:p>
        </w:tc>
        <w:tc>
          <w:tcPr>
            <w:tcW w:w="663" w:type="dxa"/>
            <w:noWrap/>
            <w:hideMark/>
          </w:tcPr>
          <w:p w14:paraId="1A7873A9" w14:textId="77777777" w:rsidR="00581EDD" w:rsidRPr="00581EDD" w:rsidRDefault="00581EDD" w:rsidP="00581EDD">
            <w:pPr>
              <w:pStyle w:val="TableBody"/>
              <w:jc w:val="center"/>
              <w:rPr>
                <w:rFonts w:ascii="Calibri" w:hAnsi="Calibri" w:cs="Calibri"/>
                <w:color w:val="000000"/>
                <w:lang w:eastAsia="en-GB"/>
              </w:rPr>
            </w:pPr>
            <w:r w:rsidRPr="00581EDD">
              <w:t>2013</w:t>
            </w:r>
          </w:p>
        </w:tc>
        <w:tc>
          <w:tcPr>
            <w:tcW w:w="2172" w:type="dxa"/>
            <w:noWrap/>
            <w:hideMark/>
          </w:tcPr>
          <w:p w14:paraId="19F9DAD6" w14:textId="77777777" w:rsidR="00581EDD" w:rsidRPr="00581EDD" w:rsidRDefault="00581EDD" w:rsidP="00581EDD">
            <w:pPr>
              <w:pStyle w:val="TableBody"/>
              <w:jc w:val="center"/>
              <w:rPr>
                <w:rFonts w:ascii="Calibri" w:hAnsi="Calibri" w:cs="Calibri"/>
                <w:color w:val="000000"/>
                <w:lang w:eastAsia="en-GB"/>
              </w:rPr>
            </w:pPr>
            <w:r w:rsidRPr="00581EDD">
              <w:t>75g OGTT</w:t>
            </w:r>
          </w:p>
        </w:tc>
        <w:tc>
          <w:tcPr>
            <w:tcW w:w="1851" w:type="dxa"/>
            <w:noWrap/>
            <w:hideMark/>
          </w:tcPr>
          <w:p w14:paraId="214CFF50" w14:textId="77777777" w:rsidR="00581EDD" w:rsidRPr="00581EDD" w:rsidRDefault="00581EDD" w:rsidP="00581EDD">
            <w:pPr>
              <w:pStyle w:val="TableBody"/>
              <w:jc w:val="center"/>
              <w:rPr>
                <w:rFonts w:ascii="Calibri" w:hAnsi="Calibri" w:cs="Calibri"/>
                <w:color w:val="000000"/>
                <w:lang w:eastAsia="en-GB"/>
              </w:rPr>
            </w:pPr>
            <w:r w:rsidRPr="00581EDD">
              <w:t>6 weeks</w:t>
            </w:r>
          </w:p>
        </w:tc>
        <w:tc>
          <w:tcPr>
            <w:tcW w:w="2084" w:type="dxa"/>
            <w:hideMark/>
          </w:tcPr>
          <w:p w14:paraId="21EB630D" w14:textId="74C2A8FF" w:rsidR="00581EDD" w:rsidRPr="00581EDD" w:rsidRDefault="004225A7" w:rsidP="00581EDD">
            <w:pPr>
              <w:pStyle w:val="TableBody"/>
              <w:jc w:val="center"/>
              <w:rPr>
                <w:rFonts w:ascii="Calibri" w:hAnsi="Calibri" w:cs="Calibri"/>
                <w:color w:val="000000"/>
                <w:lang w:eastAsia="en-GB"/>
              </w:rPr>
            </w:pPr>
            <w:r>
              <w:t>N</w:t>
            </w:r>
            <w:r w:rsidR="00581EDD" w:rsidRPr="00581EDD">
              <w:t>o specific recommendations</w:t>
            </w:r>
          </w:p>
        </w:tc>
        <w:tc>
          <w:tcPr>
            <w:tcW w:w="1859" w:type="dxa"/>
            <w:hideMark/>
          </w:tcPr>
          <w:p w14:paraId="5E43AC08" w14:textId="77777777" w:rsidR="00581EDD" w:rsidRPr="00581EDD" w:rsidRDefault="00C15401" w:rsidP="00581EDD">
            <w:pPr>
              <w:pStyle w:val="TableBody"/>
              <w:jc w:val="center"/>
              <w:rPr>
                <w:rFonts w:ascii="Calibri" w:hAnsi="Calibri" w:cs="Calibri"/>
                <w:color w:val="000000"/>
                <w:lang w:eastAsia="en-GB"/>
              </w:rPr>
            </w:pPr>
            <w:r w:rsidRPr="00581EDD">
              <w:t>No specific recommendations</w:t>
            </w:r>
          </w:p>
        </w:tc>
        <w:tc>
          <w:tcPr>
            <w:tcW w:w="495" w:type="dxa"/>
            <w:hideMark/>
          </w:tcPr>
          <w:p w14:paraId="652BA597" w14:textId="77777777" w:rsidR="00581EDD" w:rsidRPr="00581EDD" w:rsidRDefault="00581EDD" w:rsidP="00581EDD">
            <w:pPr>
              <w:pStyle w:val="TableBody"/>
              <w:jc w:val="center"/>
              <w:rPr>
                <w:rFonts w:ascii="Calibri" w:hAnsi="Calibri" w:cs="Calibri"/>
                <w:color w:val="000000"/>
                <w:lang w:eastAsia="en-GB"/>
              </w:rPr>
            </w:pPr>
            <w:r w:rsidRPr="00581EDD">
              <w:t>63</w:t>
            </w:r>
          </w:p>
        </w:tc>
      </w:tr>
      <w:tr w:rsidR="00581EDD" w:rsidRPr="00FB16CD" w14:paraId="0E5C8EAE" w14:textId="77777777" w:rsidTr="00581EDD">
        <w:trPr>
          <w:trHeight w:val="900"/>
        </w:trPr>
        <w:tc>
          <w:tcPr>
            <w:tcW w:w="1380" w:type="dxa"/>
            <w:noWrap/>
            <w:hideMark/>
          </w:tcPr>
          <w:p w14:paraId="025E2DC0" w14:textId="77777777" w:rsidR="00581EDD" w:rsidRPr="00581EDD" w:rsidRDefault="00581EDD" w:rsidP="00B11EFB">
            <w:pPr>
              <w:pStyle w:val="TableBody"/>
              <w:rPr>
                <w:rFonts w:ascii="Calibri" w:hAnsi="Calibri" w:cs="Calibri"/>
                <w:color w:val="000000"/>
                <w:lang w:eastAsia="en-GB"/>
              </w:rPr>
            </w:pPr>
            <w:r w:rsidRPr="00581EDD">
              <w:t>UK</w:t>
            </w:r>
          </w:p>
        </w:tc>
        <w:tc>
          <w:tcPr>
            <w:tcW w:w="2731" w:type="dxa"/>
            <w:noWrap/>
            <w:hideMark/>
          </w:tcPr>
          <w:p w14:paraId="720DBD65" w14:textId="77777777" w:rsidR="00581EDD" w:rsidRPr="00581EDD" w:rsidRDefault="00581EDD" w:rsidP="00B11EFB">
            <w:pPr>
              <w:pStyle w:val="TableBody"/>
              <w:jc w:val="center"/>
              <w:rPr>
                <w:rFonts w:ascii="Calibri" w:hAnsi="Calibri" w:cs="Calibri"/>
                <w:color w:val="000000"/>
                <w:lang w:eastAsia="en-GB"/>
              </w:rPr>
            </w:pPr>
            <w:r w:rsidRPr="00581EDD">
              <w:t>The Endocrine Society</w:t>
            </w:r>
          </w:p>
        </w:tc>
        <w:tc>
          <w:tcPr>
            <w:tcW w:w="2074" w:type="dxa"/>
            <w:hideMark/>
          </w:tcPr>
          <w:p w14:paraId="1427B0B3" w14:textId="77777777" w:rsidR="00581EDD" w:rsidRPr="00581EDD" w:rsidRDefault="00581EDD" w:rsidP="00B11EFB">
            <w:pPr>
              <w:pStyle w:val="TableBody"/>
              <w:jc w:val="center"/>
              <w:rPr>
                <w:rFonts w:ascii="Calibri" w:hAnsi="Calibri" w:cs="Calibri"/>
                <w:color w:val="000000"/>
                <w:lang w:eastAsia="en-GB"/>
              </w:rPr>
            </w:pPr>
            <w:r w:rsidRPr="00581EDD">
              <w:t>Diabetes and Pregnancy: An Endocrine Society Clinical Practice Guideline</w:t>
            </w:r>
          </w:p>
        </w:tc>
        <w:tc>
          <w:tcPr>
            <w:tcW w:w="663" w:type="dxa"/>
            <w:noWrap/>
            <w:hideMark/>
          </w:tcPr>
          <w:p w14:paraId="51B287E3" w14:textId="77777777" w:rsidR="00581EDD" w:rsidRPr="00581EDD" w:rsidRDefault="00581EDD" w:rsidP="00B11EFB">
            <w:pPr>
              <w:pStyle w:val="TableBody"/>
              <w:jc w:val="center"/>
              <w:rPr>
                <w:rFonts w:ascii="Calibri" w:hAnsi="Calibri" w:cs="Calibri"/>
                <w:color w:val="000000"/>
                <w:lang w:eastAsia="en-GB"/>
              </w:rPr>
            </w:pPr>
            <w:r w:rsidRPr="00581EDD">
              <w:t>2013</w:t>
            </w:r>
          </w:p>
        </w:tc>
        <w:tc>
          <w:tcPr>
            <w:tcW w:w="2172" w:type="dxa"/>
            <w:noWrap/>
            <w:hideMark/>
          </w:tcPr>
          <w:p w14:paraId="4913E688" w14:textId="77777777" w:rsidR="00581EDD" w:rsidRPr="00581EDD" w:rsidRDefault="00581EDD" w:rsidP="00B11EFB">
            <w:pPr>
              <w:pStyle w:val="TableBody"/>
              <w:jc w:val="center"/>
              <w:rPr>
                <w:rFonts w:ascii="Calibri" w:hAnsi="Calibri" w:cs="Calibri"/>
                <w:color w:val="000000"/>
                <w:lang w:eastAsia="en-GB"/>
              </w:rPr>
            </w:pPr>
            <w:r w:rsidRPr="00581EDD">
              <w:t>75g OGTT</w:t>
            </w:r>
          </w:p>
        </w:tc>
        <w:tc>
          <w:tcPr>
            <w:tcW w:w="1851" w:type="dxa"/>
            <w:noWrap/>
            <w:hideMark/>
          </w:tcPr>
          <w:p w14:paraId="1B7FCBCC" w14:textId="77777777" w:rsidR="00581EDD" w:rsidRPr="00581EDD" w:rsidRDefault="00581EDD" w:rsidP="00B11EFB">
            <w:pPr>
              <w:pStyle w:val="TableBody"/>
              <w:jc w:val="center"/>
              <w:rPr>
                <w:rFonts w:ascii="Calibri" w:hAnsi="Calibri" w:cs="Calibri"/>
                <w:color w:val="000000"/>
                <w:lang w:eastAsia="en-GB"/>
              </w:rPr>
            </w:pPr>
            <w:r w:rsidRPr="00581EDD">
              <w:t>6-12 weeks</w:t>
            </w:r>
          </w:p>
        </w:tc>
        <w:tc>
          <w:tcPr>
            <w:tcW w:w="2084" w:type="dxa"/>
            <w:hideMark/>
          </w:tcPr>
          <w:p w14:paraId="10BA032A" w14:textId="7B828755" w:rsidR="00581EDD" w:rsidRPr="00581EDD" w:rsidRDefault="00581EDD">
            <w:pPr>
              <w:pStyle w:val="TableBody"/>
              <w:jc w:val="center"/>
              <w:rPr>
                <w:rFonts w:ascii="Calibri" w:hAnsi="Calibri" w:cs="Calibri"/>
                <w:color w:val="000000"/>
                <w:lang w:eastAsia="en-GB"/>
              </w:rPr>
            </w:pPr>
            <w:r w:rsidRPr="00581EDD">
              <w:t xml:space="preserve">HbA1c, </w:t>
            </w:r>
            <w:r w:rsidR="00326215">
              <w:t>fasting plasma glucose</w:t>
            </w:r>
            <w:r w:rsidR="004225A7">
              <w:t>,</w:t>
            </w:r>
            <w:r w:rsidRPr="00581EDD">
              <w:t xml:space="preserve"> or </w:t>
            </w:r>
            <w:r w:rsidR="004225A7">
              <w:t xml:space="preserve">two </w:t>
            </w:r>
            <w:r w:rsidRPr="00581EDD">
              <w:t>h</w:t>
            </w:r>
            <w:r w:rsidR="004225A7">
              <w:t>our</w:t>
            </w:r>
            <w:r w:rsidRPr="00581EDD">
              <w:t xml:space="preserve"> 75g OGTT</w:t>
            </w:r>
          </w:p>
        </w:tc>
        <w:tc>
          <w:tcPr>
            <w:tcW w:w="1859" w:type="dxa"/>
            <w:hideMark/>
          </w:tcPr>
          <w:p w14:paraId="4B18229F" w14:textId="549ECAF6" w:rsidR="00581EDD" w:rsidRPr="00581EDD" w:rsidRDefault="00C15401">
            <w:pPr>
              <w:pStyle w:val="TableBody"/>
              <w:jc w:val="center"/>
              <w:rPr>
                <w:rFonts w:ascii="Calibri" w:hAnsi="Calibri" w:cs="Calibri"/>
                <w:color w:val="000000"/>
                <w:lang w:eastAsia="en-GB"/>
              </w:rPr>
            </w:pPr>
            <w:r w:rsidRPr="00581EDD">
              <w:t>Not defined (periodically)</w:t>
            </w:r>
          </w:p>
        </w:tc>
        <w:tc>
          <w:tcPr>
            <w:tcW w:w="495" w:type="dxa"/>
            <w:hideMark/>
          </w:tcPr>
          <w:p w14:paraId="77F508B9" w14:textId="77777777" w:rsidR="00581EDD" w:rsidRPr="00581EDD" w:rsidRDefault="00581EDD" w:rsidP="00B11EFB">
            <w:pPr>
              <w:pStyle w:val="TableBody"/>
              <w:jc w:val="center"/>
              <w:rPr>
                <w:rFonts w:ascii="Calibri" w:hAnsi="Calibri" w:cs="Calibri"/>
                <w:color w:val="000000"/>
                <w:lang w:eastAsia="en-GB"/>
              </w:rPr>
            </w:pPr>
            <w:r w:rsidRPr="00581EDD">
              <w:t>72</w:t>
            </w:r>
          </w:p>
        </w:tc>
      </w:tr>
      <w:tr w:rsidR="00581EDD" w:rsidRPr="00FB16CD" w14:paraId="5D2D74E2" w14:textId="77777777" w:rsidTr="00581EDD">
        <w:trPr>
          <w:trHeight w:val="900"/>
        </w:trPr>
        <w:tc>
          <w:tcPr>
            <w:tcW w:w="1380" w:type="dxa"/>
            <w:noWrap/>
          </w:tcPr>
          <w:p w14:paraId="0FDA6B3A" w14:textId="77777777" w:rsidR="00581EDD" w:rsidRPr="00581EDD" w:rsidRDefault="00581EDD" w:rsidP="00B11EFB">
            <w:pPr>
              <w:pStyle w:val="TableBody"/>
              <w:rPr>
                <w:rFonts w:ascii="Calibri" w:hAnsi="Calibri" w:cs="Calibri"/>
                <w:color w:val="000000"/>
                <w:lang w:eastAsia="en-GB"/>
              </w:rPr>
            </w:pPr>
            <w:r w:rsidRPr="00581EDD">
              <w:t>International</w:t>
            </w:r>
          </w:p>
        </w:tc>
        <w:tc>
          <w:tcPr>
            <w:tcW w:w="2731" w:type="dxa"/>
            <w:noWrap/>
          </w:tcPr>
          <w:p w14:paraId="49504485" w14:textId="77777777" w:rsidR="00581EDD" w:rsidRPr="00581EDD" w:rsidRDefault="00581EDD" w:rsidP="00B11EFB">
            <w:pPr>
              <w:pStyle w:val="TableBody"/>
              <w:jc w:val="center"/>
              <w:rPr>
                <w:rFonts w:ascii="Calibri" w:hAnsi="Calibri" w:cs="Calibri"/>
                <w:color w:val="000000"/>
                <w:lang w:eastAsia="en-GB"/>
              </w:rPr>
            </w:pPr>
            <w:r w:rsidRPr="00581EDD">
              <w:t>International Diabetes Federation</w:t>
            </w:r>
          </w:p>
        </w:tc>
        <w:tc>
          <w:tcPr>
            <w:tcW w:w="2074" w:type="dxa"/>
          </w:tcPr>
          <w:p w14:paraId="276181DA" w14:textId="77777777" w:rsidR="00581EDD" w:rsidRPr="00581EDD" w:rsidRDefault="00581EDD" w:rsidP="00B11EFB">
            <w:pPr>
              <w:pStyle w:val="TableBody"/>
              <w:jc w:val="center"/>
              <w:rPr>
                <w:rFonts w:ascii="Calibri" w:hAnsi="Calibri" w:cs="Calibri"/>
                <w:color w:val="000000"/>
                <w:lang w:eastAsia="en-GB"/>
              </w:rPr>
            </w:pPr>
            <w:r w:rsidRPr="00581EDD">
              <w:t>Pregnancy and Diabetes</w:t>
            </w:r>
          </w:p>
        </w:tc>
        <w:tc>
          <w:tcPr>
            <w:tcW w:w="663" w:type="dxa"/>
            <w:noWrap/>
          </w:tcPr>
          <w:p w14:paraId="62BF525F" w14:textId="77777777" w:rsidR="00581EDD" w:rsidRPr="00581EDD" w:rsidRDefault="00581EDD" w:rsidP="00B11EFB">
            <w:pPr>
              <w:pStyle w:val="TableBody"/>
              <w:jc w:val="center"/>
              <w:rPr>
                <w:rFonts w:ascii="Calibri" w:hAnsi="Calibri" w:cs="Calibri"/>
                <w:color w:val="000000"/>
                <w:lang w:eastAsia="en-GB"/>
              </w:rPr>
            </w:pPr>
            <w:r w:rsidRPr="00581EDD">
              <w:t>2009</w:t>
            </w:r>
          </w:p>
        </w:tc>
        <w:tc>
          <w:tcPr>
            <w:tcW w:w="2172" w:type="dxa"/>
            <w:noWrap/>
          </w:tcPr>
          <w:p w14:paraId="60C7FFF8" w14:textId="6ADD15D5" w:rsidR="00581EDD" w:rsidRPr="004225A7" w:rsidRDefault="004225A7" w:rsidP="00B11EFB">
            <w:pPr>
              <w:pStyle w:val="TableBody"/>
              <w:jc w:val="center"/>
              <w:rPr>
                <w:rFonts w:ascii="Calibri" w:hAnsi="Calibri" w:cs="Calibri"/>
                <w:iCs/>
                <w:color w:val="000000"/>
                <w:lang w:eastAsia="en-GB"/>
              </w:rPr>
            </w:pPr>
            <w:r>
              <w:t>“</w:t>
            </w:r>
            <w:r w:rsidRPr="00D136D0">
              <w:t>check for diabetes</w:t>
            </w:r>
            <w:r>
              <w:t>”</w:t>
            </w:r>
          </w:p>
        </w:tc>
        <w:tc>
          <w:tcPr>
            <w:tcW w:w="1851" w:type="dxa"/>
            <w:noWrap/>
          </w:tcPr>
          <w:p w14:paraId="73B3B7CA" w14:textId="77777777" w:rsidR="00581EDD" w:rsidRPr="00581EDD" w:rsidRDefault="00581EDD" w:rsidP="00B11EFB">
            <w:pPr>
              <w:pStyle w:val="TableBody"/>
              <w:jc w:val="center"/>
              <w:rPr>
                <w:rFonts w:ascii="Calibri" w:hAnsi="Calibri" w:cs="Calibri"/>
                <w:color w:val="000000"/>
                <w:lang w:eastAsia="en-GB"/>
              </w:rPr>
            </w:pPr>
            <w:r w:rsidRPr="00581EDD">
              <w:t>0-6 weeks</w:t>
            </w:r>
          </w:p>
        </w:tc>
        <w:tc>
          <w:tcPr>
            <w:tcW w:w="2084" w:type="dxa"/>
          </w:tcPr>
          <w:p w14:paraId="509EB366" w14:textId="6E33DB7B" w:rsidR="00581EDD" w:rsidRPr="004225A7" w:rsidRDefault="004225A7">
            <w:pPr>
              <w:pStyle w:val="TableBody"/>
              <w:jc w:val="center"/>
              <w:rPr>
                <w:rFonts w:ascii="Calibri" w:hAnsi="Calibri" w:cs="Calibri"/>
                <w:iCs/>
                <w:color w:val="000000"/>
                <w:lang w:eastAsia="en-GB"/>
              </w:rPr>
            </w:pPr>
            <w:r>
              <w:t>“</w:t>
            </w:r>
            <w:r w:rsidR="00581EDD" w:rsidRPr="006A0CEF">
              <w:t>check for diabetes</w:t>
            </w:r>
            <w:r>
              <w:t>”</w:t>
            </w:r>
          </w:p>
        </w:tc>
        <w:tc>
          <w:tcPr>
            <w:tcW w:w="1859" w:type="dxa"/>
          </w:tcPr>
          <w:p w14:paraId="735522FF" w14:textId="77777777" w:rsidR="00581EDD" w:rsidRPr="00581EDD" w:rsidRDefault="00581EDD" w:rsidP="00B11EFB">
            <w:pPr>
              <w:pStyle w:val="TableBody"/>
              <w:jc w:val="center"/>
              <w:rPr>
                <w:rFonts w:ascii="Calibri" w:hAnsi="Calibri" w:cs="Calibri"/>
                <w:color w:val="000000"/>
                <w:lang w:eastAsia="en-GB"/>
              </w:rPr>
            </w:pPr>
            <w:r w:rsidRPr="00581EDD">
              <w:t>1-3 years</w:t>
            </w:r>
          </w:p>
        </w:tc>
        <w:tc>
          <w:tcPr>
            <w:tcW w:w="495" w:type="dxa"/>
          </w:tcPr>
          <w:p w14:paraId="242C93C3" w14:textId="77777777" w:rsidR="00581EDD" w:rsidRPr="00581EDD" w:rsidRDefault="00581EDD" w:rsidP="00B11EFB">
            <w:pPr>
              <w:pStyle w:val="TableBody"/>
              <w:jc w:val="center"/>
              <w:rPr>
                <w:rFonts w:ascii="Calibri" w:hAnsi="Calibri" w:cs="Calibri"/>
                <w:color w:val="000000"/>
                <w:lang w:eastAsia="en-GB"/>
              </w:rPr>
            </w:pPr>
            <w:r w:rsidRPr="00581EDD">
              <w:t>73</w:t>
            </w:r>
          </w:p>
        </w:tc>
      </w:tr>
      <w:tr w:rsidR="00581EDD" w:rsidRPr="00FB16CD" w14:paraId="1346FCAF" w14:textId="77777777" w:rsidTr="00581EDD">
        <w:trPr>
          <w:trHeight w:val="300"/>
        </w:trPr>
        <w:tc>
          <w:tcPr>
            <w:tcW w:w="1380" w:type="dxa"/>
            <w:noWrap/>
            <w:hideMark/>
          </w:tcPr>
          <w:p w14:paraId="33E9E229" w14:textId="77777777" w:rsidR="00581EDD" w:rsidRPr="00581EDD" w:rsidRDefault="00581EDD" w:rsidP="00B11EFB">
            <w:pPr>
              <w:pStyle w:val="TableBody"/>
              <w:rPr>
                <w:lang w:eastAsia="en-GB"/>
              </w:rPr>
            </w:pPr>
            <w:r>
              <w:rPr>
                <w:lang w:eastAsia="en-GB"/>
              </w:rPr>
              <w:t> </w:t>
            </w:r>
          </w:p>
        </w:tc>
        <w:tc>
          <w:tcPr>
            <w:tcW w:w="2731" w:type="dxa"/>
            <w:noWrap/>
            <w:hideMark/>
          </w:tcPr>
          <w:p w14:paraId="2E96137D" w14:textId="77777777" w:rsidR="00581EDD" w:rsidRPr="00581EDD" w:rsidRDefault="00581EDD" w:rsidP="00B11EFB">
            <w:pPr>
              <w:pStyle w:val="TableBody"/>
              <w:jc w:val="center"/>
              <w:rPr>
                <w:lang w:eastAsia="en-GB"/>
              </w:rPr>
            </w:pPr>
            <w:r>
              <w:rPr>
                <w:lang w:eastAsia="en-GB"/>
              </w:rPr>
              <w:t> </w:t>
            </w:r>
          </w:p>
        </w:tc>
        <w:tc>
          <w:tcPr>
            <w:tcW w:w="2074" w:type="dxa"/>
            <w:hideMark/>
          </w:tcPr>
          <w:p w14:paraId="4E767F05" w14:textId="77777777" w:rsidR="00581EDD" w:rsidRPr="00581EDD" w:rsidRDefault="00581EDD" w:rsidP="00B11EFB">
            <w:pPr>
              <w:pStyle w:val="TableBody"/>
              <w:jc w:val="center"/>
              <w:rPr>
                <w:lang w:eastAsia="en-GB"/>
              </w:rPr>
            </w:pPr>
            <w:r>
              <w:rPr>
                <w:lang w:eastAsia="en-GB"/>
              </w:rPr>
              <w:t> </w:t>
            </w:r>
          </w:p>
        </w:tc>
        <w:tc>
          <w:tcPr>
            <w:tcW w:w="663" w:type="dxa"/>
            <w:noWrap/>
            <w:hideMark/>
          </w:tcPr>
          <w:p w14:paraId="32F3D023" w14:textId="77777777" w:rsidR="00581EDD" w:rsidRPr="00581EDD" w:rsidRDefault="00581EDD" w:rsidP="00B11EFB">
            <w:pPr>
              <w:pStyle w:val="TableBody"/>
              <w:jc w:val="center"/>
              <w:rPr>
                <w:lang w:eastAsia="en-GB"/>
              </w:rPr>
            </w:pPr>
            <w:r>
              <w:rPr>
                <w:lang w:eastAsia="en-GB"/>
              </w:rPr>
              <w:t> </w:t>
            </w:r>
          </w:p>
        </w:tc>
        <w:tc>
          <w:tcPr>
            <w:tcW w:w="2172" w:type="dxa"/>
            <w:noWrap/>
            <w:hideMark/>
          </w:tcPr>
          <w:p w14:paraId="4E84A914" w14:textId="77777777" w:rsidR="00581EDD" w:rsidRPr="00581EDD" w:rsidRDefault="00581EDD" w:rsidP="00B11EFB">
            <w:pPr>
              <w:pStyle w:val="TableBody"/>
              <w:jc w:val="center"/>
              <w:rPr>
                <w:lang w:eastAsia="en-GB"/>
              </w:rPr>
            </w:pPr>
            <w:r>
              <w:rPr>
                <w:lang w:eastAsia="en-GB"/>
              </w:rPr>
              <w:t> </w:t>
            </w:r>
          </w:p>
        </w:tc>
        <w:tc>
          <w:tcPr>
            <w:tcW w:w="1851" w:type="dxa"/>
            <w:noWrap/>
            <w:hideMark/>
          </w:tcPr>
          <w:p w14:paraId="5257405A" w14:textId="77777777" w:rsidR="00581EDD" w:rsidRPr="00581EDD" w:rsidRDefault="00581EDD" w:rsidP="00B11EFB">
            <w:pPr>
              <w:pStyle w:val="TableBody"/>
              <w:jc w:val="center"/>
              <w:rPr>
                <w:lang w:eastAsia="en-GB"/>
              </w:rPr>
            </w:pPr>
            <w:r>
              <w:rPr>
                <w:lang w:eastAsia="en-GB"/>
              </w:rPr>
              <w:t> </w:t>
            </w:r>
          </w:p>
        </w:tc>
        <w:tc>
          <w:tcPr>
            <w:tcW w:w="2084" w:type="dxa"/>
            <w:hideMark/>
          </w:tcPr>
          <w:p w14:paraId="784C9F99" w14:textId="77777777" w:rsidR="00581EDD" w:rsidRPr="00581EDD" w:rsidRDefault="00581EDD" w:rsidP="00B11EFB">
            <w:pPr>
              <w:pStyle w:val="TableBody"/>
              <w:jc w:val="center"/>
              <w:rPr>
                <w:lang w:eastAsia="en-GB"/>
              </w:rPr>
            </w:pPr>
            <w:r>
              <w:rPr>
                <w:lang w:eastAsia="en-GB"/>
              </w:rPr>
              <w:t> </w:t>
            </w:r>
          </w:p>
        </w:tc>
        <w:tc>
          <w:tcPr>
            <w:tcW w:w="1859" w:type="dxa"/>
            <w:hideMark/>
          </w:tcPr>
          <w:p w14:paraId="2E93A7CB" w14:textId="77777777" w:rsidR="00581EDD" w:rsidRPr="00581EDD" w:rsidRDefault="00581EDD" w:rsidP="00B11EFB">
            <w:pPr>
              <w:pStyle w:val="TableBody"/>
              <w:jc w:val="center"/>
              <w:rPr>
                <w:lang w:eastAsia="en-GB"/>
              </w:rPr>
            </w:pPr>
            <w:r>
              <w:rPr>
                <w:lang w:eastAsia="en-GB"/>
              </w:rPr>
              <w:t> </w:t>
            </w:r>
          </w:p>
        </w:tc>
        <w:tc>
          <w:tcPr>
            <w:tcW w:w="495" w:type="dxa"/>
            <w:hideMark/>
          </w:tcPr>
          <w:p w14:paraId="7198F048" w14:textId="77777777" w:rsidR="00581EDD" w:rsidRPr="00581EDD" w:rsidRDefault="00581EDD" w:rsidP="00B11EFB">
            <w:pPr>
              <w:pStyle w:val="TableBody"/>
              <w:jc w:val="center"/>
              <w:rPr>
                <w:lang w:eastAsia="en-GB"/>
              </w:rPr>
            </w:pPr>
            <w:r>
              <w:rPr>
                <w:lang w:eastAsia="en-GB"/>
              </w:rPr>
              <w:t> </w:t>
            </w:r>
          </w:p>
        </w:tc>
      </w:tr>
      <w:tr w:rsidR="00581EDD" w:rsidRPr="00FB16CD" w14:paraId="15F4AEB7" w14:textId="77777777" w:rsidTr="00581EDD">
        <w:trPr>
          <w:trHeight w:val="300"/>
        </w:trPr>
        <w:tc>
          <w:tcPr>
            <w:tcW w:w="1380" w:type="dxa"/>
            <w:noWrap/>
            <w:hideMark/>
          </w:tcPr>
          <w:p w14:paraId="2558893D" w14:textId="77777777" w:rsidR="00581EDD" w:rsidRPr="00581EDD" w:rsidRDefault="00581EDD" w:rsidP="00B11EFB">
            <w:pPr>
              <w:pStyle w:val="TableSubHead"/>
              <w:rPr>
                <w:rFonts w:ascii="Calibri" w:hAnsi="Calibri" w:cs="Calibri"/>
                <w:bCs/>
                <w:color w:val="000000"/>
                <w:lang w:eastAsia="en-GB"/>
              </w:rPr>
            </w:pPr>
            <w:r w:rsidRPr="00B11EFB">
              <w:t>b)</w:t>
            </w:r>
          </w:p>
        </w:tc>
        <w:tc>
          <w:tcPr>
            <w:tcW w:w="2731" w:type="dxa"/>
            <w:noWrap/>
            <w:hideMark/>
          </w:tcPr>
          <w:p w14:paraId="50959D76" w14:textId="77777777" w:rsidR="00581EDD" w:rsidRPr="00581EDD" w:rsidRDefault="00581EDD" w:rsidP="00B11EFB">
            <w:pPr>
              <w:pStyle w:val="TableSubHead"/>
              <w:jc w:val="center"/>
              <w:rPr>
                <w:lang w:eastAsia="en-GB"/>
              </w:rPr>
            </w:pPr>
            <w:r w:rsidRPr="00B11EFB">
              <w:rPr>
                <w:lang w:eastAsia="en-GB"/>
              </w:rPr>
              <w:t> </w:t>
            </w:r>
          </w:p>
        </w:tc>
        <w:tc>
          <w:tcPr>
            <w:tcW w:w="2074" w:type="dxa"/>
            <w:hideMark/>
          </w:tcPr>
          <w:p w14:paraId="16C68978" w14:textId="77777777" w:rsidR="00581EDD" w:rsidRPr="00581EDD" w:rsidRDefault="00581EDD" w:rsidP="00B11EFB">
            <w:pPr>
              <w:pStyle w:val="TableSubHead"/>
              <w:jc w:val="center"/>
              <w:rPr>
                <w:lang w:eastAsia="en-GB"/>
              </w:rPr>
            </w:pPr>
            <w:r w:rsidRPr="00B11EFB">
              <w:rPr>
                <w:lang w:eastAsia="en-GB"/>
              </w:rPr>
              <w:t> </w:t>
            </w:r>
          </w:p>
        </w:tc>
        <w:tc>
          <w:tcPr>
            <w:tcW w:w="663" w:type="dxa"/>
            <w:noWrap/>
            <w:hideMark/>
          </w:tcPr>
          <w:p w14:paraId="59946CA6" w14:textId="77777777" w:rsidR="00581EDD" w:rsidRPr="00581EDD" w:rsidRDefault="00581EDD" w:rsidP="00B11EFB">
            <w:pPr>
              <w:pStyle w:val="TableSubHead"/>
              <w:jc w:val="center"/>
              <w:rPr>
                <w:lang w:eastAsia="en-GB"/>
              </w:rPr>
            </w:pPr>
            <w:r w:rsidRPr="00B11EFB">
              <w:rPr>
                <w:lang w:eastAsia="en-GB"/>
              </w:rPr>
              <w:t> </w:t>
            </w:r>
          </w:p>
        </w:tc>
        <w:tc>
          <w:tcPr>
            <w:tcW w:w="2172" w:type="dxa"/>
            <w:noWrap/>
            <w:hideMark/>
          </w:tcPr>
          <w:p w14:paraId="2E191504" w14:textId="77777777" w:rsidR="00581EDD" w:rsidRPr="00581EDD" w:rsidRDefault="00581EDD" w:rsidP="00B11EFB">
            <w:pPr>
              <w:pStyle w:val="TableSubHead"/>
              <w:jc w:val="center"/>
              <w:rPr>
                <w:lang w:eastAsia="en-GB"/>
              </w:rPr>
            </w:pPr>
            <w:r w:rsidRPr="00B11EFB">
              <w:rPr>
                <w:lang w:eastAsia="en-GB"/>
              </w:rPr>
              <w:t> </w:t>
            </w:r>
          </w:p>
        </w:tc>
        <w:tc>
          <w:tcPr>
            <w:tcW w:w="1851" w:type="dxa"/>
            <w:noWrap/>
            <w:hideMark/>
          </w:tcPr>
          <w:p w14:paraId="134805D6" w14:textId="77777777" w:rsidR="00581EDD" w:rsidRPr="00581EDD" w:rsidRDefault="00581EDD" w:rsidP="00B11EFB">
            <w:pPr>
              <w:pStyle w:val="TableSubHead"/>
              <w:jc w:val="center"/>
              <w:rPr>
                <w:lang w:eastAsia="en-GB"/>
              </w:rPr>
            </w:pPr>
            <w:r w:rsidRPr="00B11EFB">
              <w:rPr>
                <w:lang w:eastAsia="en-GB"/>
              </w:rPr>
              <w:t> </w:t>
            </w:r>
          </w:p>
        </w:tc>
        <w:tc>
          <w:tcPr>
            <w:tcW w:w="2084" w:type="dxa"/>
            <w:hideMark/>
          </w:tcPr>
          <w:p w14:paraId="4D148BE1" w14:textId="77777777" w:rsidR="00581EDD" w:rsidRPr="00581EDD" w:rsidRDefault="00581EDD" w:rsidP="00B11EFB">
            <w:pPr>
              <w:pStyle w:val="TableSubHead"/>
              <w:jc w:val="center"/>
              <w:rPr>
                <w:lang w:eastAsia="en-GB"/>
              </w:rPr>
            </w:pPr>
            <w:r w:rsidRPr="00B11EFB">
              <w:rPr>
                <w:lang w:eastAsia="en-GB"/>
              </w:rPr>
              <w:t> </w:t>
            </w:r>
          </w:p>
        </w:tc>
        <w:tc>
          <w:tcPr>
            <w:tcW w:w="1859" w:type="dxa"/>
            <w:hideMark/>
          </w:tcPr>
          <w:p w14:paraId="284705DD" w14:textId="77777777" w:rsidR="00581EDD" w:rsidRPr="00581EDD" w:rsidRDefault="00581EDD" w:rsidP="00B11EFB">
            <w:pPr>
              <w:pStyle w:val="TableSubHead"/>
              <w:jc w:val="center"/>
              <w:rPr>
                <w:lang w:eastAsia="en-GB"/>
              </w:rPr>
            </w:pPr>
            <w:r w:rsidRPr="00B11EFB">
              <w:rPr>
                <w:lang w:eastAsia="en-GB"/>
              </w:rPr>
              <w:t> </w:t>
            </w:r>
          </w:p>
        </w:tc>
        <w:tc>
          <w:tcPr>
            <w:tcW w:w="495" w:type="dxa"/>
            <w:hideMark/>
          </w:tcPr>
          <w:p w14:paraId="47B8C1EE" w14:textId="77777777" w:rsidR="00581EDD" w:rsidRPr="00581EDD" w:rsidRDefault="00581EDD" w:rsidP="00B11EFB">
            <w:pPr>
              <w:pStyle w:val="TableSubHead"/>
              <w:jc w:val="center"/>
              <w:rPr>
                <w:lang w:eastAsia="en-GB"/>
              </w:rPr>
            </w:pPr>
            <w:r w:rsidRPr="00B11EFB">
              <w:rPr>
                <w:lang w:eastAsia="en-GB"/>
              </w:rPr>
              <w:t> </w:t>
            </w:r>
          </w:p>
        </w:tc>
      </w:tr>
      <w:tr w:rsidR="00581EDD" w:rsidRPr="00FB16CD" w14:paraId="14B6DBAA" w14:textId="77777777" w:rsidTr="00581EDD">
        <w:trPr>
          <w:trHeight w:val="300"/>
        </w:trPr>
        <w:tc>
          <w:tcPr>
            <w:tcW w:w="1380" w:type="dxa"/>
            <w:noWrap/>
            <w:hideMark/>
          </w:tcPr>
          <w:p w14:paraId="66DF617E" w14:textId="77777777" w:rsidR="00581EDD" w:rsidRPr="00581EDD" w:rsidRDefault="00581EDD" w:rsidP="00B11EFB">
            <w:pPr>
              <w:pStyle w:val="TableSubHead"/>
              <w:rPr>
                <w:rFonts w:ascii="Calibri" w:hAnsi="Calibri" w:cs="Calibri"/>
                <w:bCs/>
                <w:color w:val="000000"/>
                <w:lang w:eastAsia="en-GB"/>
              </w:rPr>
            </w:pPr>
            <w:r w:rsidRPr="00B11EFB">
              <w:t>Country</w:t>
            </w:r>
          </w:p>
        </w:tc>
        <w:tc>
          <w:tcPr>
            <w:tcW w:w="2731" w:type="dxa"/>
            <w:noWrap/>
            <w:hideMark/>
          </w:tcPr>
          <w:p w14:paraId="22AC15C3" w14:textId="77777777" w:rsidR="00581EDD" w:rsidRPr="00581EDD" w:rsidRDefault="00581EDD" w:rsidP="00B11EFB">
            <w:pPr>
              <w:pStyle w:val="TableSubHead"/>
              <w:jc w:val="center"/>
              <w:rPr>
                <w:rFonts w:ascii="Calibri" w:hAnsi="Calibri" w:cs="Calibri"/>
                <w:bCs/>
                <w:color w:val="000000"/>
                <w:lang w:eastAsia="en-GB"/>
              </w:rPr>
            </w:pPr>
            <w:r w:rsidRPr="00B11EFB">
              <w:t>Publishing body</w:t>
            </w:r>
          </w:p>
        </w:tc>
        <w:tc>
          <w:tcPr>
            <w:tcW w:w="2074" w:type="dxa"/>
            <w:hideMark/>
          </w:tcPr>
          <w:p w14:paraId="3ECB9E66" w14:textId="77777777" w:rsidR="00581EDD" w:rsidRPr="00581EDD" w:rsidRDefault="00581EDD" w:rsidP="00B11EFB">
            <w:pPr>
              <w:pStyle w:val="TableSubHead"/>
              <w:jc w:val="center"/>
              <w:rPr>
                <w:rFonts w:ascii="Calibri" w:hAnsi="Calibri" w:cs="Calibri"/>
                <w:bCs/>
                <w:color w:val="000000"/>
                <w:lang w:eastAsia="en-GB"/>
              </w:rPr>
            </w:pPr>
            <w:r w:rsidRPr="00B11EFB">
              <w:t>Title</w:t>
            </w:r>
          </w:p>
        </w:tc>
        <w:tc>
          <w:tcPr>
            <w:tcW w:w="663" w:type="dxa"/>
            <w:noWrap/>
            <w:hideMark/>
          </w:tcPr>
          <w:p w14:paraId="2488909D" w14:textId="77777777" w:rsidR="00581EDD" w:rsidRPr="00581EDD" w:rsidRDefault="00581EDD" w:rsidP="00B11EFB">
            <w:pPr>
              <w:pStyle w:val="TableSubHead"/>
              <w:jc w:val="center"/>
              <w:rPr>
                <w:rFonts w:ascii="Calibri" w:hAnsi="Calibri" w:cs="Calibri"/>
                <w:bCs/>
                <w:color w:val="000000"/>
                <w:lang w:eastAsia="en-GB"/>
              </w:rPr>
            </w:pPr>
            <w:r w:rsidRPr="00B11EFB">
              <w:t>Year</w:t>
            </w:r>
          </w:p>
        </w:tc>
        <w:tc>
          <w:tcPr>
            <w:tcW w:w="4023" w:type="dxa"/>
            <w:gridSpan w:val="2"/>
            <w:noWrap/>
            <w:hideMark/>
          </w:tcPr>
          <w:p w14:paraId="26209D8B" w14:textId="77777777" w:rsidR="00581EDD" w:rsidRPr="00581EDD" w:rsidRDefault="00581EDD" w:rsidP="00B11EFB">
            <w:pPr>
              <w:pStyle w:val="TableSubHead"/>
              <w:jc w:val="center"/>
              <w:rPr>
                <w:rFonts w:ascii="Calibri" w:hAnsi="Calibri" w:cs="Calibri"/>
                <w:bCs/>
                <w:color w:val="000000"/>
                <w:lang w:eastAsia="en-GB"/>
              </w:rPr>
            </w:pPr>
            <w:r w:rsidRPr="00B11EFB">
              <w:t xml:space="preserve">Baseline </w:t>
            </w:r>
            <w:r w:rsidR="00C15401" w:rsidRPr="00B11EFB">
              <w:t>screening recommendations</w:t>
            </w:r>
          </w:p>
        </w:tc>
        <w:tc>
          <w:tcPr>
            <w:tcW w:w="3943" w:type="dxa"/>
            <w:gridSpan w:val="2"/>
            <w:hideMark/>
          </w:tcPr>
          <w:p w14:paraId="4C48B46A" w14:textId="5677E861" w:rsidR="00581EDD" w:rsidRPr="00581EDD" w:rsidRDefault="00581EDD" w:rsidP="00B11EFB">
            <w:pPr>
              <w:pStyle w:val="TableSubHead"/>
              <w:jc w:val="center"/>
              <w:rPr>
                <w:rFonts w:ascii="Calibri" w:hAnsi="Calibri" w:cs="Calibri"/>
                <w:bCs/>
                <w:color w:val="000000"/>
                <w:lang w:eastAsia="en-GB"/>
              </w:rPr>
            </w:pPr>
            <w:r w:rsidRPr="00B11EFB">
              <w:t>Long</w:t>
            </w:r>
            <w:r w:rsidR="00C15401">
              <w:t xml:space="preserve"> </w:t>
            </w:r>
            <w:r w:rsidRPr="00B11EFB">
              <w:t xml:space="preserve">term </w:t>
            </w:r>
            <w:r w:rsidR="00C15401" w:rsidRPr="00B11EFB">
              <w:t>screening recommendations</w:t>
            </w:r>
          </w:p>
        </w:tc>
        <w:tc>
          <w:tcPr>
            <w:tcW w:w="495" w:type="dxa"/>
            <w:hideMark/>
          </w:tcPr>
          <w:p w14:paraId="1C3E14F6" w14:textId="77777777" w:rsidR="00581EDD" w:rsidRPr="00581EDD" w:rsidRDefault="00581EDD" w:rsidP="00B11EFB">
            <w:pPr>
              <w:pStyle w:val="TableSubHead"/>
              <w:jc w:val="center"/>
              <w:rPr>
                <w:lang w:eastAsia="en-GB"/>
              </w:rPr>
            </w:pPr>
            <w:r w:rsidRPr="00B11EFB">
              <w:rPr>
                <w:lang w:eastAsia="en-GB"/>
              </w:rPr>
              <w:t> </w:t>
            </w:r>
          </w:p>
        </w:tc>
      </w:tr>
      <w:tr w:rsidR="00581EDD" w:rsidRPr="00FB16CD" w14:paraId="1F2A42FE" w14:textId="77777777" w:rsidTr="00581EDD">
        <w:trPr>
          <w:trHeight w:val="300"/>
        </w:trPr>
        <w:tc>
          <w:tcPr>
            <w:tcW w:w="1380" w:type="dxa"/>
            <w:noWrap/>
            <w:hideMark/>
          </w:tcPr>
          <w:p w14:paraId="4615C85F" w14:textId="77777777" w:rsidR="00581EDD" w:rsidRPr="00581EDD" w:rsidRDefault="00581EDD" w:rsidP="00B11EFB">
            <w:pPr>
              <w:pStyle w:val="TableSubHead"/>
              <w:rPr>
                <w:lang w:eastAsia="en-GB"/>
              </w:rPr>
            </w:pPr>
            <w:r w:rsidRPr="00B11EFB">
              <w:rPr>
                <w:lang w:eastAsia="en-GB"/>
              </w:rPr>
              <w:t> </w:t>
            </w:r>
          </w:p>
        </w:tc>
        <w:tc>
          <w:tcPr>
            <w:tcW w:w="2731" w:type="dxa"/>
            <w:noWrap/>
            <w:hideMark/>
          </w:tcPr>
          <w:p w14:paraId="4CB4C684" w14:textId="77777777" w:rsidR="00581EDD" w:rsidRPr="00581EDD" w:rsidRDefault="00581EDD" w:rsidP="00B11EFB">
            <w:pPr>
              <w:pStyle w:val="TableSubHead"/>
              <w:jc w:val="center"/>
              <w:rPr>
                <w:lang w:eastAsia="en-GB"/>
              </w:rPr>
            </w:pPr>
            <w:r w:rsidRPr="00B11EFB">
              <w:rPr>
                <w:lang w:eastAsia="en-GB"/>
              </w:rPr>
              <w:t> </w:t>
            </w:r>
          </w:p>
        </w:tc>
        <w:tc>
          <w:tcPr>
            <w:tcW w:w="2074" w:type="dxa"/>
            <w:hideMark/>
          </w:tcPr>
          <w:p w14:paraId="4E30A645" w14:textId="77777777" w:rsidR="00581EDD" w:rsidRPr="00581EDD" w:rsidRDefault="00581EDD" w:rsidP="00B11EFB">
            <w:pPr>
              <w:pStyle w:val="TableSubHead"/>
              <w:jc w:val="center"/>
              <w:rPr>
                <w:lang w:eastAsia="en-GB"/>
              </w:rPr>
            </w:pPr>
            <w:r w:rsidRPr="00B11EFB">
              <w:rPr>
                <w:lang w:eastAsia="en-GB"/>
              </w:rPr>
              <w:t> </w:t>
            </w:r>
          </w:p>
        </w:tc>
        <w:tc>
          <w:tcPr>
            <w:tcW w:w="663" w:type="dxa"/>
            <w:noWrap/>
            <w:hideMark/>
          </w:tcPr>
          <w:p w14:paraId="3B67899F" w14:textId="77777777" w:rsidR="00581EDD" w:rsidRPr="00581EDD" w:rsidRDefault="00581EDD" w:rsidP="00B11EFB">
            <w:pPr>
              <w:pStyle w:val="TableSubHead"/>
              <w:jc w:val="center"/>
              <w:rPr>
                <w:lang w:eastAsia="en-GB"/>
              </w:rPr>
            </w:pPr>
            <w:r w:rsidRPr="00B11EFB">
              <w:rPr>
                <w:lang w:eastAsia="en-GB"/>
              </w:rPr>
              <w:t> </w:t>
            </w:r>
          </w:p>
        </w:tc>
        <w:tc>
          <w:tcPr>
            <w:tcW w:w="2172" w:type="dxa"/>
            <w:noWrap/>
            <w:hideMark/>
          </w:tcPr>
          <w:p w14:paraId="0E176976" w14:textId="77777777" w:rsidR="00581EDD" w:rsidRPr="00581EDD" w:rsidRDefault="00C15401" w:rsidP="00B11EFB">
            <w:pPr>
              <w:pStyle w:val="TableSubHead"/>
              <w:jc w:val="center"/>
              <w:rPr>
                <w:rFonts w:ascii="Calibri" w:hAnsi="Calibri" w:cs="Calibri"/>
                <w:bCs/>
                <w:color w:val="000000"/>
                <w:lang w:eastAsia="en-GB"/>
              </w:rPr>
            </w:pPr>
            <w:r w:rsidRPr="00B11EFB">
              <w:t>Tests</w:t>
            </w:r>
          </w:p>
        </w:tc>
        <w:tc>
          <w:tcPr>
            <w:tcW w:w="1851" w:type="dxa"/>
            <w:noWrap/>
            <w:hideMark/>
          </w:tcPr>
          <w:p w14:paraId="33359F65" w14:textId="77777777" w:rsidR="00581EDD" w:rsidRPr="00581EDD" w:rsidRDefault="00C15401" w:rsidP="00B11EFB">
            <w:pPr>
              <w:pStyle w:val="TableSubHead"/>
              <w:jc w:val="center"/>
              <w:rPr>
                <w:rFonts w:ascii="Calibri" w:hAnsi="Calibri" w:cs="Calibri"/>
                <w:bCs/>
                <w:color w:val="000000"/>
                <w:lang w:eastAsia="en-GB"/>
              </w:rPr>
            </w:pPr>
            <w:r w:rsidRPr="00B11EFB">
              <w:t>Frequency</w:t>
            </w:r>
          </w:p>
        </w:tc>
        <w:tc>
          <w:tcPr>
            <w:tcW w:w="2084" w:type="dxa"/>
            <w:hideMark/>
          </w:tcPr>
          <w:p w14:paraId="2B30C321" w14:textId="77777777" w:rsidR="00581EDD" w:rsidRPr="00581EDD" w:rsidRDefault="00C15401" w:rsidP="00B11EFB">
            <w:pPr>
              <w:pStyle w:val="TableSubHead"/>
              <w:jc w:val="center"/>
              <w:rPr>
                <w:rFonts w:ascii="Calibri" w:hAnsi="Calibri" w:cs="Calibri"/>
                <w:bCs/>
                <w:color w:val="000000"/>
                <w:lang w:eastAsia="en-GB"/>
              </w:rPr>
            </w:pPr>
            <w:r w:rsidRPr="00B11EFB">
              <w:t>Tests</w:t>
            </w:r>
          </w:p>
        </w:tc>
        <w:tc>
          <w:tcPr>
            <w:tcW w:w="1859" w:type="dxa"/>
            <w:hideMark/>
          </w:tcPr>
          <w:p w14:paraId="08BA8FE0" w14:textId="77777777" w:rsidR="00581EDD" w:rsidRPr="00581EDD" w:rsidRDefault="00C15401" w:rsidP="00B11EFB">
            <w:pPr>
              <w:pStyle w:val="TableSubHead"/>
              <w:jc w:val="center"/>
              <w:rPr>
                <w:rFonts w:ascii="Calibri" w:hAnsi="Calibri" w:cs="Calibri"/>
                <w:bCs/>
                <w:color w:val="000000"/>
                <w:lang w:eastAsia="en-GB"/>
              </w:rPr>
            </w:pPr>
            <w:r w:rsidRPr="00B11EFB">
              <w:t>Frequency</w:t>
            </w:r>
          </w:p>
        </w:tc>
        <w:tc>
          <w:tcPr>
            <w:tcW w:w="495" w:type="dxa"/>
            <w:hideMark/>
          </w:tcPr>
          <w:p w14:paraId="782E3167" w14:textId="77777777" w:rsidR="00581EDD" w:rsidRPr="00581EDD" w:rsidRDefault="00581EDD" w:rsidP="00B11EFB">
            <w:pPr>
              <w:pStyle w:val="TableSubHead"/>
              <w:jc w:val="center"/>
              <w:rPr>
                <w:lang w:eastAsia="en-GB"/>
              </w:rPr>
            </w:pPr>
            <w:r w:rsidRPr="00B11EFB">
              <w:rPr>
                <w:lang w:eastAsia="en-GB"/>
              </w:rPr>
              <w:t> </w:t>
            </w:r>
          </w:p>
        </w:tc>
      </w:tr>
      <w:tr w:rsidR="00581EDD" w:rsidRPr="00FB16CD" w14:paraId="2B70A5A3" w14:textId="77777777" w:rsidTr="00581EDD">
        <w:trPr>
          <w:trHeight w:val="600"/>
        </w:trPr>
        <w:tc>
          <w:tcPr>
            <w:tcW w:w="1380" w:type="dxa"/>
            <w:noWrap/>
            <w:hideMark/>
          </w:tcPr>
          <w:p w14:paraId="3358C671" w14:textId="77777777" w:rsidR="00581EDD" w:rsidRPr="00581EDD" w:rsidRDefault="00581EDD" w:rsidP="00B11EFB">
            <w:pPr>
              <w:pStyle w:val="TableBody"/>
              <w:rPr>
                <w:rFonts w:ascii="Calibri" w:hAnsi="Calibri" w:cs="Calibri"/>
                <w:color w:val="000000"/>
                <w:lang w:eastAsia="en-GB"/>
              </w:rPr>
            </w:pPr>
            <w:r w:rsidRPr="00581EDD">
              <w:t>US</w:t>
            </w:r>
          </w:p>
        </w:tc>
        <w:tc>
          <w:tcPr>
            <w:tcW w:w="2731" w:type="dxa"/>
            <w:hideMark/>
          </w:tcPr>
          <w:p w14:paraId="6FC1B16B" w14:textId="77777777" w:rsidR="00581EDD" w:rsidRPr="00581EDD" w:rsidRDefault="00581EDD" w:rsidP="00B11EFB">
            <w:pPr>
              <w:pStyle w:val="TableBody"/>
              <w:jc w:val="center"/>
              <w:rPr>
                <w:rFonts w:ascii="Calibri" w:hAnsi="Calibri" w:cs="Calibri"/>
                <w:color w:val="000000"/>
                <w:lang w:eastAsia="en-GB"/>
              </w:rPr>
            </w:pPr>
            <w:r w:rsidRPr="00581EDD">
              <w:t>American College of Obstetricians and Gynecologists (ACOG)</w:t>
            </w:r>
          </w:p>
        </w:tc>
        <w:tc>
          <w:tcPr>
            <w:tcW w:w="2074" w:type="dxa"/>
            <w:hideMark/>
          </w:tcPr>
          <w:p w14:paraId="74C043F0" w14:textId="77777777" w:rsidR="00581EDD" w:rsidRPr="00581EDD" w:rsidRDefault="00581EDD" w:rsidP="00B11EFB">
            <w:pPr>
              <w:pStyle w:val="TableBody"/>
              <w:jc w:val="center"/>
              <w:rPr>
                <w:rFonts w:ascii="Calibri" w:hAnsi="Calibri" w:cs="Calibri"/>
                <w:color w:val="000000"/>
                <w:lang w:eastAsia="en-GB"/>
              </w:rPr>
            </w:pPr>
            <w:r w:rsidRPr="00581EDD">
              <w:t>ACOG Practice Bulletin No. 194: Polycystic Ovary Syndrome</w:t>
            </w:r>
          </w:p>
        </w:tc>
        <w:tc>
          <w:tcPr>
            <w:tcW w:w="663" w:type="dxa"/>
            <w:noWrap/>
            <w:hideMark/>
          </w:tcPr>
          <w:p w14:paraId="0EFB47F3" w14:textId="77777777" w:rsidR="00581EDD" w:rsidRPr="00581EDD" w:rsidRDefault="00581EDD" w:rsidP="00B11EFB">
            <w:pPr>
              <w:pStyle w:val="TableBody"/>
              <w:jc w:val="center"/>
              <w:rPr>
                <w:rFonts w:ascii="Calibri" w:hAnsi="Calibri" w:cs="Calibri"/>
                <w:color w:val="000000"/>
                <w:lang w:eastAsia="en-GB"/>
              </w:rPr>
            </w:pPr>
            <w:r w:rsidRPr="00581EDD">
              <w:t>2018</w:t>
            </w:r>
          </w:p>
        </w:tc>
        <w:tc>
          <w:tcPr>
            <w:tcW w:w="2172" w:type="dxa"/>
            <w:noWrap/>
            <w:hideMark/>
          </w:tcPr>
          <w:p w14:paraId="5903EF32" w14:textId="77777777" w:rsidR="00581EDD" w:rsidRPr="00581EDD" w:rsidRDefault="00581EDD" w:rsidP="00B11EFB">
            <w:pPr>
              <w:pStyle w:val="TableBody"/>
              <w:jc w:val="center"/>
              <w:rPr>
                <w:rFonts w:ascii="Calibri" w:hAnsi="Calibri" w:cs="Calibri"/>
                <w:color w:val="000000"/>
                <w:lang w:eastAsia="en-GB"/>
              </w:rPr>
            </w:pPr>
            <w:r w:rsidRPr="00581EDD">
              <w:t>75g OGTT</w:t>
            </w:r>
          </w:p>
        </w:tc>
        <w:tc>
          <w:tcPr>
            <w:tcW w:w="1851" w:type="dxa"/>
            <w:noWrap/>
            <w:hideMark/>
          </w:tcPr>
          <w:p w14:paraId="06FC3AAB" w14:textId="77777777" w:rsidR="00581EDD" w:rsidRPr="00581EDD" w:rsidRDefault="00C15401" w:rsidP="00B11EFB">
            <w:pPr>
              <w:pStyle w:val="TableBody"/>
              <w:jc w:val="center"/>
              <w:rPr>
                <w:rFonts w:ascii="Calibri" w:hAnsi="Calibri" w:cs="Calibri"/>
                <w:color w:val="000000"/>
                <w:lang w:eastAsia="en-GB"/>
              </w:rPr>
            </w:pPr>
            <w:r w:rsidRPr="00581EDD">
              <w:t>At diagnosis</w:t>
            </w:r>
          </w:p>
        </w:tc>
        <w:tc>
          <w:tcPr>
            <w:tcW w:w="2084" w:type="dxa"/>
            <w:hideMark/>
          </w:tcPr>
          <w:p w14:paraId="15635C02" w14:textId="77777777" w:rsidR="00581EDD" w:rsidRPr="00581EDD" w:rsidRDefault="00C15401" w:rsidP="00B11EFB">
            <w:pPr>
              <w:pStyle w:val="TableBody"/>
              <w:jc w:val="center"/>
              <w:rPr>
                <w:rFonts w:ascii="Calibri" w:hAnsi="Calibri" w:cs="Calibri"/>
                <w:color w:val="000000"/>
                <w:lang w:eastAsia="en-GB"/>
              </w:rPr>
            </w:pPr>
            <w:r w:rsidRPr="00581EDD">
              <w:t>No explicit recommendations</w:t>
            </w:r>
          </w:p>
        </w:tc>
        <w:tc>
          <w:tcPr>
            <w:tcW w:w="1859" w:type="dxa"/>
            <w:hideMark/>
          </w:tcPr>
          <w:p w14:paraId="1FCD80CF" w14:textId="77777777" w:rsidR="00581EDD" w:rsidRPr="00581EDD" w:rsidRDefault="00C15401" w:rsidP="00B11EFB">
            <w:pPr>
              <w:pStyle w:val="TableBody"/>
              <w:jc w:val="center"/>
              <w:rPr>
                <w:rFonts w:ascii="Calibri" w:hAnsi="Calibri" w:cs="Calibri"/>
                <w:color w:val="000000"/>
                <w:lang w:eastAsia="en-GB"/>
              </w:rPr>
            </w:pPr>
            <w:r w:rsidRPr="00581EDD">
              <w:t>No explicit recommendations</w:t>
            </w:r>
          </w:p>
        </w:tc>
        <w:tc>
          <w:tcPr>
            <w:tcW w:w="495" w:type="dxa"/>
            <w:hideMark/>
          </w:tcPr>
          <w:p w14:paraId="29D35500" w14:textId="77777777" w:rsidR="00581EDD" w:rsidRPr="00581EDD" w:rsidRDefault="00581EDD" w:rsidP="00B11EFB">
            <w:pPr>
              <w:pStyle w:val="TableBody"/>
              <w:jc w:val="center"/>
              <w:rPr>
                <w:rFonts w:ascii="Calibri" w:hAnsi="Calibri" w:cs="Calibri"/>
                <w:color w:val="000000"/>
                <w:lang w:eastAsia="en-GB"/>
              </w:rPr>
            </w:pPr>
            <w:r w:rsidRPr="00581EDD">
              <w:t>74</w:t>
            </w:r>
          </w:p>
        </w:tc>
      </w:tr>
      <w:tr w:rsidR="00581EDD" w:rsidRPr="00FB16CD" w14:paraId="7A1E9D5B" w14:textId="77777777" w:rsidTr="00581EDD">
        <w:trPr>
          <w:trHeight w:val="1500"/>
        </w:trPr>
        <w:tc>
          <w:tcPr>
            <w:tcW w:w="1380" w:type="dxa"/>
            <w:noWrap/>
            <w:hideMark/>
          </w:tcPr>
          <w:p w14:paraId="1B8F2061" w14:textId="77777777" w:rsidR="00581EDD" w:rsidRPr="00581EDD" w:rsidRDefault="00581EDD" w:rsidP="00B11EFB">
            <w:pPr>
              <w:pStyle w:val="TableBody"/>
              <w:rPr>
                <w:rFonts w:ascii="Calibri" w:hAnsi="Calibri" w:cs="Calibri"/>
                <w:color w:val="000000"/>
                <w:lang w:eastAsia="en-GB"/>
              </w:rPr>
            </w:pPr>
            <w:r w:rsidRPr="00581EDD">
              <w:lastRenderedPageBreak/>
              <w:t>International</w:t>
            </w:r>
          </w:p>
        </w:tc>
        <w:tc>
          <w:tcPr>
            <w:tcW w:w="2731" w:type="dxa"/>
            <w:hideMark/>
          </w:tcPr>
          <w:p w14:paraId="5CD9EBA0" w14:textId="77777777" w:rsidR="00581EDD" w:rsidRPr="00581EDD" w:rsidRDefault="00581EDD" w:rsidP="00B11EFB">
            <w:pPr>
              <w:pStyle w:val="TableBody"/>
              <w:jc w:val="center"/>
              <w:rPr>
                <w:rFonts w:ascii="Calibri" w:hAnsi="Calibri" w:cs="Calibri"/>
                <w:color w:val="000000"/>
                <w:lang w:eastAsia="en-GB"/>
              </w:rPr>
            </w:pPr>
            <w:r w:rsidRPr="00581EDD">
              <w:t>The International Federation of Gynecology and Obstetrics (FIGO)</w:t>
            </w:r>
          </w:p>
        </w:tc>
        <w:tc>
          <w:tcPr>
            <w:tcW w:w="2074" w:type="dxa"/>
            <w:hideMark/>
          </w:tcPr>
          <w:p w14:paraId="2F31306B" w14:textId="77777777" w:rsidR="00581EDD" w:rsidRPr="00581EDD" w:rsidRDefault="00581EDD" w:rsidP="00B11EFB">
            <w:pPr>
              <w:pStyle w:val="TableBody"/>
              <w:jc w:val="center"/>
              <w:rPr>
                <w:rFonts w:ascii="Calibri" w:hAnsi="Calibri" w:cs="Calibri"/>
                <w:color w:val="000000"/>
                <w:lang w:eastAsia="en-GB"/>
              </w:rPr>
            </w:pPr>
            <w:r w:rsidRPr="00581EDD">
              <w:t>International evidence-based guideline for the assessment and management of polycystic ovary syndrome</w:t>
            </w:r>
          </w:p>
        </w:tc>
        <w:tc>
          <w:tcPr>
            <w:tcW w:w="663" w:type="dxa"/>
            <w:noWrap/>
            <w:hideMark/>
          </w:tcPr>
          <w:p w14:paraId="0D1B43CE" w14:textId="77777777" w:rsidR="00581EDD" w:rsidRPr="00581EDD" w:rsidRDefault="00581EDD" w:rsidP="00B11EFB">
            <w:pPr>
              <w:pStyle w:val="TableBody"/>
              <w:jc w:val="center"/>
              <w:rPr>
                <w:rFonts w:ascii="Calibri" w:hAnsi="Calibri" w:cs="Calibri"/>
                <w:color w:val="000000"/>
                <w:lang w:eastAsia="en-GB"/>
              </w:rPr>
            </w:pPr>
            <w:r w:rsidRPr="00581EDD">
              <w:t>2018</w:t>
            </w:r>
          </w:p>
        </w:tc>
        <w:tc>
          <w:tcPr>
            <w:tcW w:w="2172" w:type="dxa"/>
            <w:hideMark/>
          </w:tcPr>
          <w:p w14:paraId="6A04DB86" w14:textId="77777777" w:rsidR="00581EDD" w:rsidRPr="00581EDD" w:rsidRDefault="00581EDD" w:rsidP="00B11EFB">
            <w:pPr>
              <w:pStyle w:val="TableBody"/>
              <w:jc w:val="center"/>
              <w:rPr>
                <w:rFonts w:ascii="Calibri" w:hAnsi="Calibri" w:cs="Calibri"/>
                <w:color w:val="000000"/>
                <w:lang w:eastAsia="en-GB"/>
              </w:rPr>
            </w:pPr>
            <w:r w:rsidRPr="00581EDD">
              <w:t>OGTT, fasting plasma glucose</w:t>
            </w:r>
            <w:r w:rsidR="004225A7">
              <w:t>,</w:t>
            </w:r>
            <w:r w:rsidRPr="00581EDD">
              <w:t xml:space="preserve"> or HbA1c</w:t>
            </w:r>
          </w:p>
        </w:tc>
        <w:tc>
          <w:tcPr>
            <w:tcW w:w="1851" w:type="dxa"/>
            <w:noWrap/>
            <w:hideMark/>
          </w:tcPr>
          <w:p w14:paraId="57668B87" w14:textId="77777777" w:rsidR="00581EDD" w:rsidRPr="00581EDD" w:rsidRDefault="004225A7" w:rsidP="00B11EFB">
            <w:pPr>
              <w:pStyle w:val="TableBody"/>
              <w:jc w:val="center"/>
              <w:rPr>
                <w:rFonts w:ascii="Calibri" w:hAnsi="Calibri" w:cs="Calibri"/>
                <w:color w:val="000000"/>
                <w:lang w:eastAsia="en-GB"/>
              </w:rPr>
            </w:pPr>
            <w:r w:rsidRPr="00581EDD">
              <w:t>At diagnosis</w:t>
            </w:r>
          </w:p>
        </w:tc>
        <w:tc>
          <w:tcPr>
            <w:tcW w:w="2084" w:type="dxa"/>
            <w:hideMark/>
          </w:tcPr>
          <w:p w14:paraId="1403B0CF" w14:textId="511AC441" w:rsidR="00581EDD" w:rsidRPr="00581EDD" w:rsidRDefault="00581EDD" w:rsidP="00B11EFB">
            <w:pPr>
              <w:pStyle w:val="TableBody"/>
              <w:jc w:val="center"/>
              <w:rPr>
                <w:rFonts w:ascii="Calibri" w:hAnsi="Calibri" w:cs="Calibri"/>
                <w:color w:val="000000"/>
                <w:lang w:eastAsia="en-GB"/>
              </w:rPr>
            </w:pPr>
            <w:r w:rsidRPr="00581EDD">
              <w:t>OGTT, fasting plasma glucose</w:t>
            </w:r>
            <w:r w:rsidR="004225A7">
              <w:t>,</w:t>
            </w:r>
            <w:r w:rsidRPr="00581EDD">
              <w:t xml:space="preserve"> or HbA1c</w:t>
            </w:r>
          </w:p>
        </w:tc>
        <w:tc>
          <w:tcPr>
            <w:tcW w:w="1859" w:type="dxa"/>
            <w:hideMark/>
          </w:tcPr>
          <w:p w14:paraId="6CA2A4DA" w14:textId="77777777" w:rsidR="00581EDD" w:rsidRPr="00581EDD" w:rsidRDefault="00581EDD" w:rsidP="00B11EFB">
            <w:pPr>
              <w:pStyle w:val="TableBody"/>
              <w:jc w:val="center"/>
              <w:rPr>
                <w:rFonts w:ascii="Calibri" w:hAnsi="Calibri" w:cs="Calibri"/>
                <w:color w:val="000000"/>
                <w:lang w:eastAsia="en-GB"/>
              </w:rPr>
            </w:pPr>
            <w:r w:rsidRPr="00581EDD">
              <w:t>A minimum of three yearly, informed by additional risk factors.</w:t>
            </w:r>
          </w:p>
        </w:tc>
        <w:tc>
          <w:tcPr>
            <w:tcW w:w="495" w:type="dxa"/>
            <w:hideMark/>
          </w:tcPr>
          <w:p w14:paraId="369B2D1E" w14:textId="77777777" w:rsidR="00581EDD" w:rsidRPr="00581EDD" w:rsidRDefault="00581EDD" w:rsidP="00B11EFB">
            <w:pPr>
              <w:pStyle w:val="TableBody"/>
              <w:jc w:val="center"/>
              <w:rPr>
                <w:rFonts w:ascii="Calibri" w:hAnsi="Calibri" w:cs="Calibri"/>
                <w:color w:val="000000"/>
                <w:lang w:eastAsia="en-GB"/>
              </w:rPr>
            </w:pPr>
            <w:r w:rsidRPr="00581EDD">
              <w:t>75</w:t>
            </w:r>
          </w:p>
        </w:tc>
      </w:tr>
      <w:tr w:rsidR="00581EDD" w:rsidRPr="00FB16CD" w14:paraId="4353D248" w14:textId="77777777" w:rsidTr="00581EDD">
        <w:trPr>
          <w:trHeight w:val="1200"/>
        </w:trPr>
        <w:tc>
          <w:tcPr>
            <w:tcW w:w="1380" w:type="dxa"/>
            <w:noWrap/>
            <w:hideMark/>
          </w:tcPr>
          <w:p w14:paraId="03879483" w14:textId="77777777" w:rsidR="00581EDD" w:rsidRPr="00581EDD" w:rsidRDefault="00581EDD" w:rsidP="00B11EFB">
            <w:pPr>
              <w:pStyle w:val="TableBody"/>
              <w:rPr>
                <w:rFonts w:ascii="Calibri" w:hAnsi="Calibri" w:cs="Calibri"/>
                <w:color w:val="000000"/>
                <w:lang w:eastAsia="en-GB"/>
              </w:rPr>
            </w:pPr>
            <w:r w:rsidRPr="00581EDD">
              <w:t>UK</w:t>
            </w:r>
          </w:p>
        </w:tc>
        <w:tc>
          <w:tcPr>
            <w:tcW w:w="2731" w:type="dxa"/>
            <w:hideMark/>
          </w:tcPr>
          <w:p w14:paraId="03592129" w14:textId="77777777" w:rsidR="00581EDD" w:rsidRPr="00581EDD" w:rsidRDefault="00581EDD" w:rsidP="00B11EFB">
            <w:pPr>
              <w:pStyle w:val="TableBody"/>
              <w:jc w:val="center"/>
              <w:rPr>
                <w:rFonts w:ascii="Calibri" w:hAnsi="Calibri" w:cs="Calibri"/>
                <w:color w:val="000000"/>
                <w:lang w:eastAsia="en-GB"/>
              </w:rPr>
            </w:pPr>
            <w:r w:rsidRPr="00581EDD">
              <w:t>The Endocrine Society</w:t>
            </w:r>
          </w:p>
        </w:tc>
        <w:tc>
          <w:tcPr>
            <w:tcW w:w="2074" w:type="dxa"/>
            <w:hideMark/>
          </w:tcPr>
          <w:p w14:paraId="0D59E4E2" w14:textId="77777777" w:rsidR="00581EDD" w:rsidRPr="00581EDD" w:rsidRDefault="00581EDD" w:rsidP="00B11EFB">
            <w:pPr>
              <w:pStyle w:val="TableBody"/>
              <w:jc w:val="center"/>
              <w:rPr>
                <w:rFonts w:ascii="Calibri" w:hAnsi="Calibri" w:cs="Calibri"/>
                <w:color w:val="000000"/>
                <w:lang w:eastAsia="en-GB"/>
              </w:rPr>
            </w:pPr>
            <w:r w:rsidRPr="00581EDD">
              <w:t>Diagnosis and treatment of polycystic ovary syndrome: an Endocrine Society clinical practice guideline</w:t>
            </w:r>
          </w:p>
        </w:tc>
        <w:tc>
          <w:tcPr>
            <w:tcW w:w="663" w:type="dxa"/>
            <w:noWrap/>
            <w:hideMark/>
          </w:tcPr>
          <w:p w14:paraId="4CAE746A" w14:textId="77777777" w:rsidR="00581EDD" w:rsidRPr="00581EDD" w:rsidRDefault="00581EDD" w:rsidP="00B11EFB">
            <w:pPr>
              <w:pStyle w:val="TableBody"/>
              <w:jc w:val="center"/>
              <w:rPr>
                <w:rFonts w:ascii="Calibri" w:hAnsi="Calibri" w:cs="Calibri"/>
                <w:color w:val="000000"/>
                <w:lang w:eastAsia="en-GB"/>
              </w:rPr>
            </w:pPr>
            <w:r w:rsidRPr="00581EDD">
              <w:t>2013</w:t>
            </w:r>
          </w:p>
        </w:tc>
        <w:tc>
          <w:tcPr>
            <w:tcW w:w="2172" w:type="dxa"/>
            <w:noWrap/>
            <w:hideMark/>
          </w:tcPr>
          <w:p w14:paraId="5BB4D6D4" w14:textId="77777777" w:rsidR="00581EDD" w:rsidRPr="00581EDD" w:rsidRDefault="00581EDD" w:rsidP="00B11EFB">
            <w:pPr>
              <w:pStyle w:val="TableBody"/>
              <w:jc w:val="center"/>
              <w:rPr>
                <w:rFonts w:ascii="Calibri" w:hAnsi="Calibri" w:cs="Calibri"/>
                <w:color w:val="000000"/>
                <w:lang w:eastAsia="en-GB"/>
              </w:rPr>
            </w:pPr>
            <w:r w:rsidRPr="00581EDD">
              <w:t>75g OGTT, or HbA1c if patient unwilling</w:t>
            </w:r>
          </w:p>
        </w:tc>
        <w:tc>
          <w:tcPr>
            <w:tcW w:w="1851" w:type="dxa"/>
            <w:noWrap/>
            <w:hideMark/>
          </w:tcPr>
          <w:p w14:paraId="43A2786E" w14:textId="77777777" w:rsidR="00581EDD" w:rsidRPr="00581EDD" w:rsidRDefault="004225A7" w:rsidP="00B11EFB">
            <w:pPr>
              <w:pStyle w:val="TableBody"/>
              <w:jc w:val="center"/>
              <w:rPr>
                <w:rFonts w:ascii="Calibri" w:hAnsi="Calibri" w:cs="Calibri"/>
                <w:color w:val="000000"/>
                <w:lang w:eastAsia="en-GB"/>
              </w:rPr>
            </w:pPr>
            <w:r w:rsidRPr="00581EDD">
              <w:t>At diagnosis</w:t>
            </w:r>
          </w:p>
        </w:tc>
        <w:tc>
          <w:tcPr>
            <w:tcW w:w="2084" w:type="dxa"/>
            <w:hideMark/>
          </w:tcPr>
          <w:p w14:paraId="4AF2DFA3" w14:textId="77777777" w:rsidR="00581EDD" w:rsidRPr="00581EDD" w:rsidRDefault="00581EDD" w:rsidP="00B11EFB">
            <w:pPr>
              <w:pStyle w:val="TableBody"/>
              <w:jc w:val="center"/>
              <w:rPr>
                <w:rFonts w:ascii="Calibri" w:hAnsi="Calibri" w:cs="Calibri"/>
                <w:color w:val="000000"/>
                <w:lang w:eastAsia="en-GB"/>
              </w:rPr>
            </w:pPr>
            <w:r w:rsidRPr="00581EDD">
              <w:t>75g OGTT, or HbA1c if patient unwilling</w:t>
            </w:r>
          </w:p>
        </w:tc>
        <w:tc>
          <w:tcPr>
            <w:tcW w:w="1859" w:type="dxa"/>
            <w:hideMark/>
          </w:tcPr>
          <w:p w14:paraId="627A5B96" w14:textId="77777777" w:rsidR="00581EDD" w:rsidRPr="00581EDD" w:rsidRDefault="004225A7" w:rsidP="00B11EFB">
            <w:pPr>
              <w:pStyle w:val="TableBody"/>
              <w:jc w:val="center"/>
              <w:rPr>
                <w:rFonts w:ascii="Calibri" w:hAnsi="Calibri" w:cs="Calibri"/>
                <w:color w:val="000000"/>
                <w:lang w:eastAsia="en-GB"/>
              </w:rPr>
            </w:pPr>
            <w:r w:rsidRPr="00581EDD">
              <w:t>Every 3-5 years</w:t>
            </w:r>
          </w:p>
        </w:tc>
        <w:tc>
          <w:tcPr>
            <w:tcW w:w="495" w:type="dxa"/>
            <w:hideMark/>
          </w:tcPr>
          <w:p w14:paraId="0B186E80" w14:textId="77777777" w:rsidR="00581EDD" w:rsidRPr="00581EDD" w:rsidRDefault="00581EDD" w:rsidP="00B11EFB">
            <w:pPr>
              <w:pStyle w:val="TableBody"/>
              <w:jc w:val="center"/>
              <w:rPr>
                <w:rFonts w:ascii="Calibri" w:hAnsi="Calibri" w:cs="Calibri"/>
                <w:color w:val="000000"/>
                <w:lang w:eastAsia="en-GB"/>
              </w:rPr>
            </w:pPr>
            <w:r w:rsidRPr="00581EDD">
              <w:t>76</w:t>
            </w:r>
          </w:p>
        </w:tc>
      </w:tr>
      <w:tr w:rsidR="00581EDD" w:rsidRPr="00FB16CD" w14:paraId="67667B16" w14:textId="77777777" w:rsidTr="00581EDD">
        <w:trPr>
          <w:trHeight w:val="900"/>
        </w:trPr>
        <w:tc>
          <w:tcPr>
            <w:tcW w:w="1380" w:type="dxa"/>
            <w:noWrap/>
            <w:hideMark/>
          </w:tcPr>
          <w:p w14:paraId="01B6ED53" w14:textId="77777777" w:rsidR="00581EDD" w:rsidRPr="00581EDD" w:rsidRDefault="00581EDD" w:rsidP="00B11EFB">
            <w:pPr>
              <w:pStyle w:val="TableBody"/>
              <w:rPr>
                <w:rFonts w:ascii="Calibri" w:hAnsi="Calibri" w:cs="Calibri"/>
                <w:color w:val="000000"/>
                <w:lang w:eastAsia="en-GB"/>
              </w:rPr>
            </w:pPr>
            <w:r w:rsidRPr="00581EDD">
              <w:t>UK</w:t>
            </w:r>
          </w:p>
        </w:tc>
        <w:tc>
          <w:tcPr>
            <w:tcW w:w="2731" w:type="dxa"/>
            <w:hideMark/>
          </w:tcPr>
          <w:p w14:paraId="61BB4279" w14:textId="77777777" w:rsidR="00581EDD" w:rsidRPr="00581EDD" w:rsidRDefault="00581EDD" w:rsidP="00B11EFB">
            <w:pPr>
              <w:pStyle w:val="TableBody"/>
              <w:jc w:val="center"/>
              <w:rPr>
                <w:rFonts w:ascii="Calibri" w:hAnsi="Calibri" w:cs="Calibri"/>
                <w:color w:val="000000"/>
                <w:lang w:eastAsia="en-GB"/>
              </w:rPr>
            </w:pPr>
            <w:r w:rsidRPr="00581EDD">
              <w:t>Royal College of Obstetrics and Gynaecologists</w:t>
            </w:r>
          </w:p>
        </w:tc>
        <w:tc>
          <w:tcPr>
            <w:tcW w:w="2074" w:type="dxa"/>
            <w:hideMark/>
          </w:tcPr>
          <w:p w14:paraId="67F1F413" w14:textId="77777777" w:rsidR="00581EDD" w:rsidRPr="00581EDD" w:rsidRDefault="00581EDD" w:rsidP="00B11EFB">
            <w:pPr>
              <w:pStyle w:val="TableBody"/>
              <w:jc w:val="center"/>
              <w:rPr>
                <w:rFonts w:ascii="Calibri" w:hAnsi="Calibri" w:cs="Calibri"/>
                <w:color w:val="000000"/>
                <w:lang w:eastAsia="en-GB"/>
              </w:rPr>
            </w:pPr>
            <w:r w:rsidRPr="00581EDD">
              <w:t>Long-term Consequences of Polycystic Ovary Syndrome (Green-top Guideline No. 33)</w:t>
            </w:r>
          </w:p>
        </w:tc>
        <w:tc>
          <w:tcPr>
            <w:tcW w:w="663" w:type="dxa"/>
            <w:noWrap/>
            <w:hideMark/>
          </w:tcPr>
          <w:p w14:paraId="482D5EC2" w14:textId="77777777" w:rsidR="00581EDD" w:rsidRPr="00581EDD" w:rsidRDefault="00581EDD" w:rsidP="00B11EFB">
            <w:pPr>
              <w:pStyle w:val="TableBody"/>
              <w:jc w:val="center"/>
              <w:rPr>
                <w:rFonts w:ascii="Calibri" w:hAnsi="Calibri" w:cs="Calibri"/>
                <w:color w:val="000000"/>
                <w:lang w:eastAsia="en-GB"/>
              </w:rPr>
            </w:pPr>
            <w:r w:rsidRPr="00581EDD">
              <w:t>2014</w:t>
            </w:r>
          </w:p>
        </w:tc>
        <w:tc>
          <w:tcPr>
            <w:tcW w:w="2172" w:type="dxa"/>
            <w:noWrap/>
            <w:hideMark/>
          </w:tcPr>
          <w:p w14:paraId="0F991ADC" w14:textId="77777777" w:rsidR="00581EDD" w:rsidRPr="00581EDD" w:rsidRDefault="00581EDD" w:rsidP="00B11EFB">
            <w:pPr>
              <w:pStyle w:val="TableBody"/>
              <w:jc w:val="center"/>
              <w:rPr>
                <w:rFonts w:ascii="Calibri" w:hAnsi="Calibri" w:cs="Calibri"/>
                <w:color w:val="000000"/>
                <w:lang w:eastAsia="en-GB"/>
              </w:rPr>
            </w:pPr>
            <w:r w:rsidRPr="00581EDD">
              <w:t>75g OGTT</w:t>
            </w:r>
          </w:p>
        </w:tc>
        <w:tc>
          <w:tcPr>
            <w:tcW w:w="1851" w:type="dxa"/>
            <w:noWrap/>
            <w:hideMark/>
          </w:tcPr>
          <w:p w14:paraId="7FA8305A" w14:textId="77777777" w:rsidR="00581EDD" w:rsidRPr="00581EDD" w:rsidRDefault="004225A7" w:rsidP="00B11EFB">
            <w:pPr>
              <w:pStyle w:val="TableBody"/>
              <w:jc w:val="center"/>
              <w:rPr>
                <w:rFonts w:ascii="Calibri" w:hAnsi="Calibri" w:cs="Calibri"/>
                <w:color w:val="000000"/>
                <w:lang w:eastAsia="en-GB"/>
              </w:rPr>
            </w:pPr>
            <w:r w:rsidRPr="00581EDD">
              <w:t>At diagnosis</w:t>
            </w:r>
          </w:p>
        </w:tc>
        <w:tc>
          <w:tcPr>
            <w:tcW w:w="2084" w:type="dxa"/>
            <w:hideMark/>
          </w:tcPr>
          <w:p w14:paraId="7253E301" w14:textId="77777777" w:rsidR="00581EDD" w:rsidRPr="00581EDD" w:rsidRDefault="00581EDD" w:rsidP="00B11EFB">
            <w:pPr>
              <w:pStyle w:val="TableBody"/>
              <w:jc w:val="center"/>
              <w:rPr>
                <w:rFonts w:ascii="Calibri" w:hAnsi="Calibri" w:cs="Calibri"/>
                <w:color w:val="000000"/>
                <w:lang w:eastAsia="en-GB"/>
              </w:rPr>
            </w:pPr>
            <w:r w:rsidRPr="00581EDD">
              <w:t>75g OGTT in those with impaired glucose tolerance or impaired fasting glucose on baseline OGTT</w:t>
            </w:r>
          </w:p>
        </w:tc>
        <w:tc>
          <w:tcPr>
            <w:tcW w:w="1859" w:type="dxa"/>
            <w:hideMark/>
          </w:tcPr>
          <w:p w14:paraId="17389660" w14:textId="77777777" w:rsidR="00581EDD" w:rsidRPr="00581EDD" w:rsidRDefault="004225A7" w:rsidP="00B11EFB">
            <w:pPr>
              <w:pStyle w:val="TableBody"/>
              <w:jc w:val="center"/>
              <w:rPr>
                <w:rFonts w:ascii="Calibri" w:hAnsi="Calibri" w:cs="Calibri"/>
                <w:color w:val="000000"/>
                <w:lang w:eastAsia="en-GB"/>
              </w:rPr>
            </w:pPr>
            <w:r w:rsidRPr="00581EDD">
              <w:t>Annual</w:t>
            </w:r>
          </w:p>
        </w:tc>
        <w:tc>
          <w:tcPr>
            <w:tcW w:w="495" w:type="dxa"/>
            <w:hideMark/>
          </w:tcPr>
          <w:p w14:paraId="70EDA1D6" w14:textId="77777777" w:rsidR="00581EDD" w:rsidRPr="00581EDD" w:rsidRDefault="00581EDD" w:rsidP="00B11EFB">
            <w:pPr>
              <w:pStyle w:val="TableBody"/>
              <w:jc w:val="center"/>
              <w:rPr>
                <w:rFonts w:ascii="Calibri" w:hAnsi="Calibri" w:cs="Calibri"/>
                <w:color w:val="000000"/>
                <w:lang w:eastAsia="en-GB"/>
              </w:rPr>
            </w:pPr>
            <w:r w:rsidRPr="00581EDD">
              <w:t>77</w:t>
            </w:r>
          </w:p>
        </w:tc>
      </w:tr>
      <w:tr w:rsidR="00581EDD" w:rsidRPr="00FB16CD" w14:paraId="2BBBB872" w14:textId="77777777" w:rsidTr="00581EDD">
        <w:trPr>
          <w:trHeight w:val="900"/>
        </w:trPr>
        <w:tc>
          <w:tcPr>
            <w:tcW w:w="1380" w:type="dxa"/>
            <w:noWrap/>
            <w:hideMark/>
          </w:tcPr>
          <w:p w14:paraId="618CEE01" w14:textId="77777777" w:rsidR="00581EDD" w:rsidRPr="00581EDD" w:rsidRDefault="00581EDD" w:rsidP="00B11EFB">
            <w:pPr>
              <w:pStyle w:val="TableBody"/>
              <w:rPr>
                <w:rFonts w:ascii="Calibri" w:hAnsi="Calibri" w:cs="Calibri"/>
                <w:color w:val="000000"/>
                <w:lang w:eastAsia="en-GB"/>
              </w:rPr>
            </w:pPr>
            <w:r w:rsidRPr="00581EDD">
              <w:t>UK</w:t>
            </w:r>
          </w:p>
        </w:tc>
        <w:tc>
          <w:tcPr>
            <w:tcW w:w="2731" w:type="dxa"/>
            <w:hideMark/>
          </w:tcPr>
          <w:p w14:paraId="76939598" w14:textId="77777777" w:rsidR="00581EDD" w:rsidRPr="00581EDD" w:rsidRDefault="00581EDD" w:rsidP="00B11EFB">
            <w:pPr>
              <w:pStyle w:val="TableBody"/>
              <w:jc w:val="center"/>
              <w:rPr>
                <w:rFonts w:ascii="Calibri" w:hAnsi="Calibri" w:cs="Calibri"/>
                <w:color w:val="000000"/>
                <w:lang w:eastAsia="en-GB"/>
              </w:rPr>
            </w:pPr>
            <w:r w:rsidRPr="00581EDD">
              <w:t>National Institute for Health and Care Excellence (NICE)</w:t>
            </w:r>
          </w:p>
        </w:tc>
        <w:tc>
          <w:tcPr>
            <w:tcW w:w="2074" w:type="dxa"/>
            <w:hideMark/>
          </w:tcPr>
          <w:p w14:paraId="16DEE461" w14:textId="77777777" w:rsidR="00581EDD" w:rsidRPr="00581EDD" w:rsidRDefault="00581EDD" w:rsidP="00B11EFB">
            <w:pPr>
              <w:pStyle w:val="TableBody"/>
              <w:jc w:val="center"/>
              <w:rPr>
                <w:rFonts w:ascii="Calibri" w:hAnsi="Calibri" w:cs="Calibri"/>
                <w:color w:val="000000"/>
                <w:lang w:eastAsia="en-GB"/>
              </w:rPr>
            </w:pPr>
            <w:r w:rsidRPr="00581EDD">
              <w:t>Clinical Knowledge Summaries</w:t>
            </w:r>
          </w:p>
        </w:tc>
        <w:tc>
          <w:tcPr>
            <w:tcW w:w="663" w:type="dxa"/>
            <w:noWrap/>
            <w:hideMark/>
          </w:tcPr>
          <w:p w14:paraId="7FEC0FF6" w14:textId="77777777" w:rsidR="00581EDD" w:rsidRPr="00581EDD" w:rsidRDefault="00581EDD" w:rsidP="00B11EFB">
            <w:pPr>
              <w:pStyle w:val="TableBody"/>
              <w:jc w:val="center"/>
              <w:rPr>
                <w:rFonts w:ascii="Calibri" w:hAnsi="Calibri" w:cs="Calibri"/>
                <w:color w:val="000000"/>
                <w:lang w:eastAsia="en-GB"/>
              </w:rPr>
            </w:pPr>
            <w:r w:rsidRPr="00581EDD">
              <w:t>2022</w:t>
            </w:r>
          </w:p>
        </w:tc>
        <w:tc>
          <w:tcPr>
            <w:tcW w:w="2172" w:type="dxa"/>
            <w:noWrap/>
            <w:hideMark/>
          </w:tcPr>
          <w:p w14:paraId="1E2D4F73" w14:textId="77777777" w:rsidR="00581EDD" w:rsidRPr="00581EDD" w:rsidRDefault="00581EDD" w:rsidP="00B11EFB">
            <w:pPr>
              <w:pStyle w:val="TableBody"/>
              <w:jc w:val="center"/>
              <w:rPr>
                <w:rFonts w:ascii="Calibri" w:hAnsi="Calibri" w:cs="Calibri"/>
                <w:color w:val="000000"/>
                <w:lang w:eastAsia="en-GB"/>
              </w:rPr>
            </w:pPr>
            <w:r w:rsidRPr="00581EDD">
              <w:t>75g OGTT</w:t>
            </w:r>
          </w:p>
        </w:tc>
        <w:tc>
          <w:tcPr>
            <w:tcW w:w="1851" w:type="dxa"/>
            <w:noWrap/>
            <w:hideMark/>
          </w:tcPr>
          <w:p w14:paraId="4B4DA4A7" w14:textId="77777777" w:rsidR="00581EDD" w:rsidRPr="00581EDD" w:rsidRDefault="004225A7" w:rsidP="00B11EFB">
            <w:pPr>
              <w:pStyle w:val="TableBody"/>
              <w:jc w:val="center"/>
              <w:rPr>
                <w:rFonts w:ascii="Calibri" w:hAnsi="Calibri" w:cs="Calibri"/>
                <w:color w:val="000000"/>
                <w:lang w:eastAsia="en-GB"/>
              </w:rPr>
            </w:pPr>
            <w:r w:rsidRPr="00581EDD">
              <w:t>At diagnosis</w:t>
            </w:r>
          </w:p>
        </w:tc>
        <w:tc>
          <w:tcPr>
            <w:tcW w:w="2084" w:type="dxa"/>
            <w:hideMark/>
          </w:tcPr>
          <w:p w14:paraId="7CB26525" w14:textId="77777777" w:rsidR="00581EDD" w:rsidRPr="00581EDD" w:rsidRDefault="00581EDD" w:rsidP="00B11EFB">
            <w:pPr>
              <w:pStyle w:val="TableBody"/>
              <w:jc w:val="center"/>
              <w:rPr>
                <w:rFonts w:ascii="Calibri" w:hAnsi="Calibri" w:cs="Calibri"/>
                <w:color w:val="000000"/>
                <w:lang w:eastAsia="en-GB"/>
              </w:rPr>
            </w:pPr>
            <w:r w:rsidRPr="00581EDD">
              <w:t>75g OGTT in those with impaired glucose tolerance or impaired fasting glucose on baseline OGTT</w:t>
            </w:r>
          </w:p>
        </w:tc>
        <w:tc>
          <w:tcPr>
            <w:tcW w:w="1859" w:type="dxa"/>
            <w:hideMark/>
          </w:tcPr>
          <w:p w14:paraId="62DF2B69" w14:textId="77777777" w:rsidR="00581EDD" w:rsidRPr="00581EDD" w:rsidRDefault="004225A7" w:rsidP="00B11EFB">
            <w:pPr>
              <w:pStyle w:val="TableBody"/>
              <w:jc w:val="center"/>
              <w:rPr>
                <w:rFonts w:ascii="Calibri" w:hAnsi="Calibri" w:cs="Calibri"/>
                <w:color w:val="000000"/>
                <w:lang w:eastAsia="en-GB"/>
              </w:rPr>
            </w:pPr>
            <w:r w:rsidRPr="00581EDD">
              <w:t>Annual</w:t>
            </w:r>
          </w:p>
        </w:tc>
        <w:tc>
          <w:tcPr>
            <w:tcW w:w="495" w:type="dxa"/>
            <w:hideMark/>
          </w:tcPr>
          <w:p w14:paraId="2691356F" w14:textId="77777777" w:rsidR="00581EDD" w:rsidRPr="00581EDD" w:rsidRDefault="00581EDD" w:rsidP="00B11EFB">
            <w:pPr>
              <w:pStyle w:val="TableBody"/>
              <w:jc w:val="center"/>
              <w:rPr>
                <w:rFonts w:ascii="Calibri" w:hAnsi="Calibri" w:cs="Calibri"/>
                <w:color w:val="000000"/>
                <w:lang w:eastAsia="en-GB"/>
              </w:rPr>
            </w:pPr>
            <w:r w:rsidRPr="00581EDD">
              <w:t>78</w:t>
            </w:r>
          </w:p>
        </w:tc>
      </w:tr>
      <w:tr w:rsidR="00581EDD" w:rsidRPr="001F6243" w14:paraId="20C64192" w14:textId="77777777" w:rsidTr="00581EDD">
        <w:trPr>
          <w:trHeight w:val="900"/>
        </w:trPr>
        <w:tc>
          <w:tcPr>
            <w:tcW w:w="1380" w:type="dxa"/>
            <w:tcBorders>
              <w:bottom w:val="single" w:sz="4" w:space="0" w:color="auto"/>
            </w:tcBorders>
            <w:noWrap/>
          </w:tcPr>
          <w:p w14:paraId="5B9FAE13" w14:textId="77777777" w:rsidR="00581EDD" w:rsidRPr="00581EDD" w:rsidRDefault="00581EDD" w:rsidP="00B11EFB">
            <w:pPr>
              <w:pStyle w:val="TableBody"/>
              <w:rPr>
                <w:rFonts w:ascii="Calibri" w:hAnsi="Calibri" w:cs="Calibri"/>
                <w:color w:val="000000"/>
                <w:lang w:eastAsia="en-GB"/>
              </w:rPr>
            </w:pPr>
            <w:r w:rsidRPr="00581EDD">
              <w:t>International</w:t>
            </w:r>
          </w:p>
        </w:tc>
        <w:tc>
          <w:tcPr>
            <w:tcW w:w="2731" w:type="dxa"/>
            <w:tcBorders>
              <w:bottom w:val="single" w:sz="4" w:space="0" w:color="auto"/>
            </w:tcBorders>
          </w:tcPr>
          <w:p w14:paraId="17E605BE" w14:textId="77777777" w:rsidR="00581EDD" w:rsidRPr="00581EDD" w:rsidRDefault="00581EDD" w:rsidP="00B11EFB">
            <w:pPr>
              <w:pStyle w:val="TableBody"/>
              <w:jc w:val="center"/>
              <w:rPr>
                <w:rFonts w:ascii="Calibri" w:hAnsi="Calibri" w:cs="Calibri"/>
                <w:color w:val="000000"/>
                <w:lang w:eastAsia="en-GB"/>
              </w:rPr>
            </w:pPr>
            <w:r w:rsidRPr="00581EDD">
              <w:t>International PCOS Network</w:t>
            </w:r>
          </w:p>
        </w:tc>
        <w:tc>
          <w:tcPr>
            <w:tcW w:w="2074" w:type="dxa"/>
            <w:tcBorders>
              <w:bottom w:val="single" w:sz="4" w:space="0" w:color="auto"/>
            </w:tcBorders>
          </w:tcPr>
          <w:p w14:paraId="6E7700A5" w14:textId="77777777" w:rsidR="00581EDD" w:rsidRPr="00581EDD" w:rsidRDefault="00581EDD" w:rsidP="00B11EFB">
            <w:pPr>
              <w:pStyle w:val="TableBody"/>
              <w:jc w:val="center"/>
              <w:rPr>
                <w:rFonts w:ascii="Calibri" w:hAnsi="Calibri" w:cs="Calibri"/>
                <w:color w:val="000000"/>
                <w:lang w:eastAsia="en-GB"/>
              </w:rPr>
            </w:pPr>
            <w:r w:rsidRPr="00581EDD">
              <w:t>Recommendations from the international evidence-based guideline for the assessment and management of polycystic ovary syndrome</w:t>
            </w:r>
          </w:p>
        </w:tc>
        <w:tc>
          <w:tcPr>
            <w:tcW w:w="663" w:type="dxa"/>
            <w:tcBorders>
              <w:bottom w:val="single" w:sz="4" w:space="0" w:color="auto"/>
            </w:tcBorders>
            <w:noWrap/>
          </w:tcPr>
          <w:p w14:paraId="6660A3BD" w14:textId="77777777" w:rsidR="00581EDD" w:rsidRPr="00581EDD" w:rsidRDefault="00581EDD" w:rsidP="00B11EFB">
            <w:pPr>
              <w:pStyle w:val="TableBody"/>
              <w:jc w:val="center"/>
              <w:rPr>
                <w:rFonts w:ascii="Calibri" w:hAnsi="Calibri" w:cs="Calibri"/>
                <w:color w:val="000000"/>
                <w:lang w:eastAsia="en-GB"/>
              </w:rPr>
            </w:pPr>
            <w:r w:rsidRPr="00581EDD">
              <w:t>2018</w:t>
            </w:r>
          </w:p>
        </w:tc>
        <w:tc>
          <w:tcPr>
            <w:tcW w:w="2172" w:type="dxa"/>
            <w:tcBorders>
              <w:bottom w:val="single" w:sz="4" w:space="0" w:color="auto"/>
            </w:tcBorders>
            <w:noWrap/>
          </w:tcPr>
          <w:p w14:paraId="247675C9" w14:textId="77777777" w:rsidR="00581EDD" w:rsidRPr="00581EDD" w:rsidRDefault="00581EDD" w:rsidP="00B11EFB">
            <w:pPr>
              <w:pStyle w:val="TableBody"/>
              <w:jc w:val="center"/>
              <w:rPr>
                <w:rFonts w:ascii="Calibri" w:hAnsi="Calibri" w:cs="Calibri"/>
                <w:color w:val="000000"/>
                <w:lang w:eastAsia="en-GB"/>
              </w:rPr>
            </w:pPr>
            <w:r w:rsidRPr="00581EDD">
              <w:t>OGTT, fasting plasma glucose</w:t>
            </w:r>
            <w:r w:rsidR="004225A7">
              <w:t>,</w:t>
            </w:r>
            <w:r w:rsidRPr="00581EDD">
              <w:t xml:space="preserve"> or HbA1c</w:t>
            </w:r>
          </w:p>
        </w:tc>
        <w:tc>
          <w:tcPr>
            <w:tcW w:w="1851" w:type="dxa"/>
            <w:tcBorders>
              <w:bottom w:val="single" w:sz="4" w:space="0" w:color="auto"/>
            </w:tcBorders>
            <w:noWrap/>
          </w:tcPr>
          <w:p w14:paraId="6F91579D" w14:textId="77777777" w:rsidR="00581EDD" w:rsidRPr="00581EDD" w:rsidRDefault="004225A7" w:rsidP="00B11EFB">
            <w:pPr>
              <w:pStyle w:val="TableBody"/>
              <w:jc w:val="center"/>
              <w:rPr>
                <w:rFonts w:ascii="Calibri" w:hAnsi="Calibri" w:cs="Calibri"/>
                <w:color w:val="000000"/>
                <w:lang w:eastAsia="en-GB"/>
              </w:rPr>
            </w:pPr>
            <w:r w:rsidRPr="00581EDD">
              <w:t>A</w:t>
            </w:r>
            <w:r w:rsidR="00581EDD" w:rsidRPr="00581EDD">
              <w:t>t diagnosis</w:t>
            </w:r>
          </w:p>
        </w:tc>
        <w:tc>
          <w:tcPr>
            <w:tcW w:w="2084" w:type="dxa"/>
            <w:tcBorders>
              <w:bottom w:val="single" w:sz="4" w:space="0" w:color="auto"/>
            </w:tcBorders>
          </w:tcPr>
          <w:p w14:paraId="35DB19B2" w14:textId="77777777" w:rsidR="00581EDD" w:rsidRPr="00581EDD" w:rsidRDefault="00581EDD" w:rsidP="00B11EFB">
            <w:pPr>
              <w:pStyle w:val="TableBody"/>
              <w:jc w:val="center"/>
              <w:rPr>
                <w:rFonts w:ascii="Calibri" w:hAnsi="Calibri" w:cs="Calibri"/>
                <w:color w:val="000000"/>
                <w:lang w:eastAsia="en-GB"/>
              </w:rPr>
            </w:pPr>
            <w:r w:rsidRPr="00581EDD">
              <w:t>75g OGTT, fasting plasma glucose</w:t>
            </w:r>
            <w:r w:rsidR="004225A7">
              <w:t>,</w:t>
            </w:r>
            <w:r w:rsidRPr="00581EDD">
              <w:t xml:space="preserve"> or HbA1c</w:t>
            </w:r>
          </w:p>
        </w:tc>
        <w:tc>
          <w:tcPr>
            <w:tcW w:w="1859" w:type="dxa"/>
            <w:tcBorders>
              <w:bottom w:val="single" w:sz="4" w:space="0" w:color="auto"/>
            </w:tcBorders>
          </w:tcPr>
          <w:p w14:paraId="31759EA7" w14:textId="77777777" w:rsidR="00581EDD" w:rsidRPr="00581EDD" w:rsidRDefault="00581EDD" w:rsidP="00B11EFB">
            <w:pPr>
              <w:pStyle w:val="TableBody"/>
              <w:jc w:val="center"/>
              <w:rPr>
                <w:rFonts w:ascii="Calibri" w:hAnsi="Calibri" w:cs="Calibri"/>
                <w:color w:val="000000"/>
                <w:lang w:eastAsia="en-GB"/>
              </w:rPr>
            </w:pPr>
            <w:r w:rsidRPr="00581EDD">
              <w:t>1-3 years</w:t>
            </w:r>
          </w:p>
        </w:tc>
        <w:tc>
          <w:tcPr>
            <w:tcW w:w="495" w:type="dxa"/>
            <w:tcBorders>
              <w:bottom w:val="single" w:sz="4" w:space="0" w:color="auto"/>
            </w:tcBorders>
          </w:tcPr>
          <w:p w14:paraId="0854301B" w14:textId="77777777" w:rsidR="00581EDD" w:rsidRPr="00581EDD" w:rsidRDefault="00581EDD" w:rsidP="00B11EFB">
            <w:pPr>
              <w:pStyle w:val="TableBody"/>
              <w:jc w:val="center"/>
              <w:rPr>
                <w:rFonts w:ascii="Calibri" w:hAnsi="Calibri" w:cs="Calibri"/>
                <w:color w:val="000000"/>
                <w:lang w:eastAsia="en-GB"/>
              </w:rPr>
            </w:pPr>
            <w:r w:rsidRPr="00581EDD">
              <w:t>79,80</w:t>
            </w:r>
          </w:p>
        </w:tc>
      </w:tr>
    </w:tbl>
    <w:p w14:paraId="4D5B91DE" w14:textId="77777777" w:rsidR="00545960" w:rsidRDefault="00581EDD" w:rsidP="00B11EFB">
      <w:pPr>
        <w:pStyle w:val="TableNote"/>
        <w:sectPr w:rsidR="00545960" w:rsidSect="00656C9F">
          <w:headerReference w:type="even" r:id="rId17"/>
          <w:headerReference w:type="default" r:id="rId18"/>
          <w:footerReference w:type="even" r:id="rId19"/>
          <w:footerReference w:type="default" r:id="rId20"/>
          <w:headerReference w:type="first" r:id="rId21"/>
          <w:footerReference w:type="first" r:id="rId22"/>
          <w:pgSz w:w="16838" w:h="11906" w:orient="landscape"/>
          <w:pgMar w:top="720" w:right="720" w:bottom="720" w:left="720" w:header="708" w:footer="708" w:gutter="0"/>
          <w:cols w:space="708"/>
          <w:docGrid w:linePitch="360"/>
        </w:sectPr>
      </w:pPr>
      <w:r>
        <w:t>GDM</w:t>
      </w:r>
      <w:r w:rsidR="00C15401">
        <w:t>=</w:t>
      </w:r>
      <w:r>
        <w:t>gestational diabetes mellitus</w:t>
      </w:r>
      <w:r w:rsidR="00C15401">
        <w:t>;</w:t>
      </w:r>
      <w:r>
        <w:t xml:space="preserve"> PCOS</w:t>
      </w:r>
      <w:r w:rsidR="00C15401">
        <w:t>=</w:t>
      </w:r>
      <w:r>
        <w:t>polycystic ovarian syndrome</w:t>
      </w:r>
      <w:r w:rsidR="00C15401">
        <w:t>;</w:t>
      </w:r>
      <w:r>
        <w:t xml:space="preserve"> T2DM: type 2 diabetes mellitus, OGTT</w:t>
      </w:r>
      <w:r w:rsidR="00C15401">
        <w:t>=</w:t>
      </w:r>
      <w:r>
        <w:t>oral glucose tolerance test</w:t>
      </w:r>
      <w:r w:rsidR="00C15401">
        <w:t>;</w:t>
      </w:r>
      <w:r>
        <w:t xml:space="preserve"> HbA1c</w:t>
      </w:r>
      <w:r w:rsidR="00C15401">
        <w:t>=</w:t>
      </w:r>
      <w:r>
        <w:t>glycated h</w:t>
      </w:r>
      <w:r w:rsidR="00113130">
        <w:t>e</w:t>
      </w:r>
      <w:r>
        <w:t>moglobin.</w:t>
      </w:r>
    </w:p>
    <w:p w14:paraId="70CE35A2" w14:textId="158FD183" w:rsidR="00545960" w:rsidRDefault="00545960" w:rsidP="00B11EFB">
      <w:pPr>
        <w:pStyle w:val="TableNote"/>
      </w:pPr>
    </w:p>
    <w:p w14:paraId="0F021FC2" w14:textId="2893D891" w:rsidR="00545960" w:rsidRDefault="00912C47">
      <w:pPr>
        <w:spacing w:after="160" w:line="259" w:lineRule="auto"/>
      </w:pPr>
      <w:r w:rsidRPr="00912C47">
        <w:drawing>
          <wp:inline distT="0" distB="0" distL="0" distR="0" wp14:anchorId="4AE80E2A" wp14:editId="627376F5">
            <wp:extent cx="6645910" cy="4422775"/>
            <wp:effectExtent l="0" t="0" r="2540" b="0"/>
            <wp:docPr id="620011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011741" name=""/>
                    <pic:cNvPicPr/>
                  </pic:nvPicPr>
                  <pic:blipFill>
                    <a:blip r:embed="rId23"/>
                    <a:stretch>
                      <a:fillRect/>
                    </a:stretch>
                  </pic:blipFill>
                  <pic:spPr>
                    <a:xfrm>
                      <a:off x="0" y="0"/>
                      <a:ext cx="6645910" cy="4422775"/>
                    </a:xfrm>
                    <a:prstGeom prst="rect">
                      <a:avLst/>
                    </a:prstGeom>
                  </pic:spPr>
                </pic:pic>
              </a:graphicData>
            </a:graphic>
          </wp:inline>
        </w:drawing>
      </w:r>
    </w:p>
    <w:p w14:paraId="2AAFE1B5" w14:textId="77777777" w:rsidR="00545960" w:rsidRDefault="00545960">
      <w:pPr>
        <w:spacing w:after="160" w:line="259" w:lineRule="auto"/>
      </w:pPr>
    </w:p>
    <w:p w14:paraId="44842D68" w14:textId="77777777" w:rsidR="00545960" w:rsidRDefault="00545960" w:rsidP="00545960">
      <w:pPr>
        <w:pStyle w:val="FigCaption"/>
      </w:pPr>
      <w:r>
        <w:t>Fig 1 Overlap in pathophysiology, risk factors, and type 2 diabetes screening approach in gestational diabetes mellitus and PCOS. PCOS=polycystic ovary syndrome</w:t>
      </w:r>
    </w:p>
    <w:p w14:paraId="0A2E01F7" w14:textId="77777777" w:rsidR="00545960" w:rsidRDefault="00545960">
      <w:pPr>
        <w:spacing w:after="160" w:line="259" w:lineRule="auto"/>
      </w:pPr>
    </w:p>
    <w:p w14:paraId="7BB92AB9" w14:textId="64040B2F" w:rsidR="00545960" w:rsidRDefault="00545960">
      <w:pPr>
        <w:spacing w:after="160" w:line="259" w:lineRule="auto"/>
      </w:pPr>
      <w:r>
        <w:br w:type="page"/>
      </w:r>
    </w:p>
    <w:p w14:paraId="33DD2834" w14:textId="77777777" w:rsidR="00545960" w:rsidRDefault="00545960">
      <w:pPr>
        <w:spacing w:after="160" w:line="259" w:lineRule="auto"/>
      </w:pPr>
    </w:p>
    <w:p w14:paraId="54F1245C" w14:textId="7E755119" w:rsidR="00545960" w:rsidRDefault="00545960">
      <w:pPr>
        <w:spacing w:after="160" w:line="259" w:lineRule="auto"/>
      </w:pPr>
      <w:r w:rsidRPr="00545960">
        <w:drawing>
          <wp:inline distT="0" distB="0" distL="0" distR="0" wp14:anchorId="75B52790" wp14:editId="29D072AC">
            <wp:extent cx="6562725" cy="8063380"/>
            <wp:effectExtent l="0" t="0" r="0" b="0"/>
            <wp:docPr id="1550435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435367" name=""/>
                    <pic:cNvPicPr/>
                  </pic:nvPicPr>
                  <pic:blipFill>
                    <a:blip r:embed="rId24"/>
                    <a:stretch>
                      <a:fillRect/>
                    </a:stretch>
                  </pic:blipFill>
                  <pic:spPr>
                    <a:xfrm>
                      <a:off x="0" y="0"/>
                      <a:ext cx="6569044" cy="8071144"/>
                    </a:xfrm>
                    <a:prstGeom prst="rect">
                      <a:avLst/>
                    </a:prstGeom>
                  </pic:spPr>
                </pic:pic>
              </a:graphicData>
            </a:graphic>
          </wp:inline>
        </w:drawing>
      </w:r>
    </w:p>
    <w:p w14:paraId="6EC91C04" w14:textId="77777777" w:rsidR="00545960" w:rsidRDefault="00545960" w:rsidP="00545960">
      <w:pPr>
        <w:pStyle w:val="FigCaption"/>
      </w:pPr>
      <w:r w:rsidRPr="00545960">
        <w:rPr>
          <w:b/>
          <w:bCs/>
        </w:rPr>
        <w:t>Fig 2 Changes in insulin resistance and β cell function during pregnancy, and impact of blood glucose levels in (a) normal pregnancy and (b) gestational diabetes mellitus</w:t>
      </w:r>
      <w:r>
        <w:t>. PCOS=polycystic ovary syndrome</w:t>
      </w:r>
    </w:p>
    <w:p w14:paraId="750C2A8B" w14:textId="77777777" w:rsidR="00545960" w:rsidRDefault="00545960">
      <w:pPr>
        <w:spacing w:after="160" w:line="259" w:lineRule="auto"/>
      </w:pPr>
    </w:p>
    <w:p w14:paraId="4B6BFE45" w14:textId="77777777" w:rsidR="00545960" w:rsidRDefault="00545960">
      <w:pPr>
        <w:spacing w:after="160" w:line="259" w:lineRule="auto"/>
        <w:sectPr w:rsidR="00545960" w:rsidSect="00545960">
          <w:pgSz w:w="11906" w:h="16838"/>
          <w:pgMar w:top="720" w:right="720" w:bottom="720" w:left="720" w:header="708" w:footer="708" w:gutter="0"/>
          <w:cols w:space="708"/>
          <w:docGrid w:linePitch="360"/>
        </w:sectPr>
      </w:pPr>
    </w:p>
    <w:p w14:paraId="4058610B" w14:textId="77777777" w:rsidR="00545960" w:rsidRDefault="00545960">
      <w:pPr>
        <w:spacing w:after="160" w:line="259" w:lineRule="auto"/>
        <w:rPr>
          <w:sz w:val="24"/>
          <w:lang w:val="en-US"/>
        </w:rPr>
      </w:pPr>
    </w:p>
    <w:p w14:paraId="5B98EACE" w14:textId="63D416B0" w:rsidR="00545960" w:rsidRDefault="00545960" w:rsidP="00545960">
      <w:pPr>
        <w:pStyle w:val="Para"/>
      </w:pPr>
      <w:r w:rsidRPr="00545960">
        <w:drawing>
          <wp:inline distT="0" distB="0" distL="0" distR="0" wp14:anchorId="5A774EEE" wp14:editId="05F1B30B">
            <wp:extent cx="9105900" cy="5414574"/>
            <wp:effectExtent l="0" t="0" r="0" b="0"/>
            <wp:docPr id="1203126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26958" name=""/>
                    <pic:cNvPicPr/>
                  </pic:nvPicPr>
                  <pic:blipFill>
                    <a:blip r:embed="rId25"/>
                    <a:stretch>
                      <a:fillRect/>
                    </a:stretch>
                  </pic:blipFill>
                  <pic:spPr>
                    <a:xfrm>
                      <a:off x="0" y="0"/>
                      <a:ext cx="9118259" cy="5421923"/>
                    </a:xfrm>
                    <a:prstGeom prst="rect">
                      <a:avLst/>
                    </a:prstGeom>
                  </pic:spPr>
                </pic:pic>
              </a:graphicData>
            </a:graphic>
          </wp:inline>
        </w:drawing>
      </w:r>
    </w:p>
    <w:p w14:paraId="1E2E3998" w14:textId="0E285C51" w:rsidR="00545960" w:rsidRPr="00545960" w:rsidRDefault="00545960" w:rsidP="00545960">
      <w:pPr>
        <w:pStyle w:val="FigCaption"/>
        <w:rPr>
          <w:sz w:val="22"/>
          <w:szCs w:val="22"/>
        </w:rPr>
      </w:pPr>
      <w:r w:rsidRPr="00545960">
        <w:rPr>
          <w:b/>
          <w:bCs/>
          <w:sz w:val="22"/>
          <w:szCs w:val="22"/>
        </w:rPr>
        <w:t>Fig 3 Phases of progressive deterioration in glycemic status in women with gestational diabetes mellitus and PCOS (or both) in relation to insulin resistance and β cell function.</w:t>
      </w:r>
      <w:r w:rsidRPr="00545960">
        <w:rPr>
          <w:sz w:val="22"/>
          <w:szCs w:val="22"/>
        </w:rPr>
        <w:t xml:space="preserve"> PCOS=polycystic ovary syndrome</w:t>
      </w:r>
    </w:p>
    <w:sectPr w:rsidR="00545960" w:rsidRPr="00545960" w:rsidSect="0054596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7BCD7" w14:textId="77777777" w:rsidR="001A4033" w:rsidRDefault="001A4033" w:rsidP="0085408E">
      <w:r>
        <w:separator/>
      </w:r>
    </w:p>
  </w:endnote>
  <w:endnote w:type="continuationSeparator" w:id="0">
    <w:p w14:paraId="0F4DE5C6" w14:textId="77777777" w:rsidR="001A4033" w:rsidRDefault="001A4033" w:rsidP="0085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C97D" w14:textId="77777777" w:rsidR="00113130" w:rsidRPr="00656C9F" w:rsidRDefault="00113130" w:rsidP="00656C9F">
    <w:pPr>
      <w:jc w:val="center"/>
      <w:rPr>
        <w:lang w:val="en-US"/>
      </w:rPr>
    </w:pPr>
    <w:r>
      <w:rPr>
        <w:lang w:val="en-US"/>
      </w:rPr>
      <w:t xml:space="preserve">Page </w:t>
    </w:r>
    <w:r>
      <w:rPr>
        <w:noProof/>
        <w:lang w:val="en-US"/>
      </w:rPr>
      <w:t>1</w:t>
    </w:r>
    <w:r>
      <w:rPr>
        <w:lang w:val="en-US"/>
      </w:rPr>
      <w:t xml:space="preserve"> of </w:t>
    </w:r>
    <w:r>
      <w:rPr>
        <w:noProof/>
        <w:lang w:val="en-US"/>
      </w:rPr>
      <w:t>35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533638"/>
      <w:docPartObj>
        <w:docPartGallery w:val="Page Numbers (Bottom of Page)"/>
        <w:docPartUnique/>
      </w:docPartObj>
    </w:sdtPr>
    <w:sdtEndPr>
      <w:rPr>
        <w:noProof/>
      </w:rPr>
    </w:sdtEndPr>
    <w:sdtContent>
      <w:p w14:paraId="46758049" w14:textId="77777777" w:rsidR="00113130" w:rsidRDefault="00113130">
        <w:pPr>
          <w:pStyle w:val="Footer"/>
          <w:jc w:val="center"/>
        </w:pPr>
        <w:r>
          <w:fldChar w:fldCharType="begin"/>
        </w:r>
        <w:r>
          <w:instrText xml:space="preserve"> PAGE   \* MERGEFORMAT </w:instrText>
        </w:r>
        <w:r>
          <w:fldChar w:fldCharType="separate"/>
        </w:r>
        <w:r w:rsidR="00A10403">
          <w:rPr>
            <w:noProof/>
          </w:rPr>
          <w:t>7</w:t>
        </w:r>
        <w:r>
          <w:rPr>
            <w:noProof/>
          </w:rPr>
          <w:fldChar w:fldCharType="end"/>
        </w:r>
      </w:p>
    </w:sdtContent>
  </w:sdt>
  <w:p w14:paraId="24C75BB2" w14:textId="77777777" w:rsidR="00113130" w:rsidRPr="00656C9F" w:rsidRDefault="00113130" w:rsidP="00656C9F">
    <w:pPr>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02F93" w14:textId="77777777" w:rsidR="00113130" w:rsidRPr="00656C9F" w:rsidRDefault="00113130" w:rsidP="00656C9F">
    <w:pPr>
      <w:jc w:val="center"/>
      <w:rPr>
        <w:lang w:val="en-US"/>
      </w:rPr>
    </w:pPr>
    <w:r>
      <w:rPr>
        <w:lang w:val="en-US"/>
      </w:rPr>
      <w:t xml:space="preserve">Page </w:t>
    </w:r>
    <w:r>
      <w:rPr>
        <w:noProof/>
        <w:lang w:val="en-US"/>
      </w:rPr>
      <w:t>1</w:t>
    </w:r>
    <w:r>
      <w:rPr>
        <w:lang w:val="en-US"/>
      </w:rPr>
      <w:t xml:space="preserve"> of </w:t>
    </w:r>
    <w:r>
      <w:rPr>
        <w:noProof/>
        <w:lang w:val="en-US"/>
      </w:rPr>
      <w:t>35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511D" w14:textId="77777777" w:rsidR="00113130" w:rsidRPr="00656C9F" w:rsidRDefault="00113130" w:rsidP="00656C9F">
    <w:pPr>
      <w:jc w:val="center"/>
      <w:rPr>
        <w:lang w:val="en-US"/>
      </w:rPr>
    </w:pPr>
    <w:r>
      <w:rPr>
        <w:lang w:val="en-US"/>
      </w:rPr>
      <w:t xml:space="preserve">Page </w:t>
    </w:r>
    <w:r>
      <w:rPr>
        <w:lang w:val="en-US"/>
      </w:rPr>
      <w:fldChar w:fldCharType="begin"/>
    </w:r>
    <w:r>
      <w:rPr>
        <w:lang w:val="en-US"/>
      </w:rPr>
      <w:instrText xml:space="preserve"> PAGE  \* MERGEFORMAT </w:instrText>
    </w:r>
    <w:r>
      <w:rPr>
        <w:lang w:val="en-US"/>
      </w:rPr>
      <w:fldChar w:fldCharType="separate"/>
    </w:r>
    <w:r>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 MERGEFORMAT </w:instrText>
    </w:r>
    <w:r>
      <w:rPr>
        <w:lang w:val="en-US"/>
      </w:rPr>
      <w:fldChar w:fldCharType="separate"/>
    </w:r>
    <w:r>
      <w:rPr>
        <w:noProof/>
        <w:lang w:val="en-US"/>
      </w:rPr>
      <w:t>35</w:t>
    </w:r>
    <w:r>
      <w:rPr>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9D50" w14:textId="77777777" w:rsidR="00113130" w:rsidRPr="00656C9F" w:rsidRDefault="00113130" w:rsidP="00656C9F">
    <w:pPr>
      <w:jc w:val="center"/>
      <w:rPr>
        <w:lang w:val="en-US"/>
      </w:rPr>
    </w:pPr>
    <w:r>
      <w:rPr>
        <w:lang w:val="en-US"/>
      </w:rPr>
      <w:t xml:space="preserve">Page </w:t>
    </w:r>
    <w:r>
      <w:rPr>
        <w:lang w:val="en-US"/>
      </w:rPr>
      <w:fldChar w:fldCharType="begin"/>
    </w:r>
    <w:r>
      <w:rPr>
        <w:lang w:val="en-US"/>
      </w:rPr>
      <w:instrText xml:space="preserve"> PAGE  \* MERGEFORMAT </w:instrText>
    </w:r>
    <w:r>
      <w:rPr>
        <w:lang w:val="en-US"/>
      </w:rPr>
      <w:fldChar w:fldCharType="separate"/>
    </w:r>
    <w:r w:rsidR="00A96475">
      <w:rPr>
        <w:noProof/>
        <w:lang w:val="en-US"/>
      </w:rPr>
      <w:t>28</w:t>
    </w:r>
    <w:r>
      <w:rPr>
        <w:lang w:val="en-US"/>
      </w:rPr>
      <w:fldChar w:fldCharType="end"/>
    </w:r>
    <w:r>
      <w:rPr>
        <w:lang w:val="en-US"/>
      </w:rPr>
      <w:t xml:space="preserve"> of </w:t>
    </w:r>
    <w:r>
      <w:rPr>
        <w:lang w:val="en-US"/>
      </w:rPr>
      <w:fldChar w:fldCharType="begin"/>
    </w:r>
    <w:r>
      <w:rPr>
        <w:lang w:val="en-US"/>
      </w:rPr>
      <w:instrText xml:space="preserve"> NUMPAGES  \* MERGEFORMAT </w:instrText>
    </w:r>
    <w:r>
      <w:rPr>
        <w:lang w:val="en-US"/>
      </w:rPr>
      <w:fldChar w:fldCharType="separate"/>
    </w:r>
    <w:r w:rsidR="00A96475">
      <w:rPr>
        <w:noProof/>
        <w:lang w:val="en-US"/>
      </w:rPr>
      <w:t>30</w:t>
    </w:r>
    <w:r>
      <w:rPr>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4B78" w14:textId="77777777" w:rsidR="00113130" w:rsidRPr="00656C9F" w:rsidRDefault="00113130" w:rsidP="00656C9F">
    <w:pPr>
      <w:jc w:val="center"/>
      <w:rPr>
        <w:lang w:val="en-US"/>
      </w:rPr>
    </w:pPr>
    <w:r>
      <w:rPr>
        <w:lang w:val="en-US"/>
      </w:rPr>
      <w:t xml:space="preserve">Page </w:t>
    </w:r>
    <w:r>
      <w:rPr>
        <w:lang w:val="en-US"/>
      </w:rPr>
      <w:fldChar w:fldCharType="begin"/>
    </w:r>
    <w:r>
      <w:rPr>
        <w:lang w:val="en-US"/>
      </w:rPr>
      <w:instrText xml:space="preserve"> PAGE  \* MERGEFORMAT </w:instrText>
    </w:r>
    <w:r>
      <w:rPr>
        <w:lang w:val="en-US"/>
      </w:rPr>
      <w:fldChar w:fldCharType="separate"/>
    </w:r>
    <w:r>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 MERGEFORMAT </w:instrText>
    </w:r>
    <w:r>
      <w:rPr>
        <w:lang w:val="en-US"/>
      </w:rPr>
      <w:fldChar w:fldCharType="separate"/>
    </w:r>
    <w:r>
      <w:rPr>
        <w:noProof/>
        <w:lang w:val="en-US"/>
      </w:rPr>
      <w:t>35</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1B52E" w14:textId="77777777" w:rsidR="001A4033" w:rsidRDefault="001A4033" w:rsidP="0085408E">
      <w:r>
        <w:separator/>
      </w:r>
    </w:p>
  </w:footnote>
  <w:footnote w:type="continuationSeparator" w:id="0">
    <w:p w14:paraId="04B19765" w14:textId="77777777" w:rsidR="001A4033" w:rsidRDefault="001A4033" w:rsidP="00854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A0AC" w14:textId="77777777" w:rsidR="00113130" w:rsidRPr="00656C9F" w:rsidRDefault="00113130" w:rsidP="00656C9F">
    <w:pPr>
      <w:jc w:val="center"/>
      <w:rPr>
        <w:lang w:val="en-US"/>
      </w:rPr>
    </w:pPr>
    <w:r w:rsidRPr="00656C9F">
      <w:rPr>
        <w:lang w:val="en-US"/>
      </w:rPr>
      <w:t>Item: BMJ-US; Article ID: frya071675;</w:t>
    </w:r>
  </w:p>
  <w:p w14:paraId="002EC306" w14:textId="77777777" w:rsidR="00113130" w:rsidRPr="00656C9F" w:rsidRDefault="00113130" w:rsidP="00656C9F">
    <w:pPr>
      <w:jc w:val="center"/>
      <w:rPr>
        <w:lang w:val="en-US"/>
      </w:rPr>
    </w:pPr>
    <w:r w:rsidRPr="00656C9F">
      <w:rPr>
        <w:lang w:val="en-US"/>
      </w:rPr>
      <w:t>Article Type: Clinical review; TOC Heading: Clinical Review; DOI: 10.1136/bmj.p970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B91C" w14:textId="77777777" w:rsidR="00113130" w:rsidRPr="00656C9F" w:rsidRDefault="00113130" w:rsidP="00656C9F">
    <w:pPr>
      <w:jc w:val="center"/>
      <w:rPr>
        <w:lang w:val="en-US"/>
      </w:rPr>
    </w:pPr>
    <w:r w:rsidRPr="00656C9F">
      <w:rPr>
        <w:lang w:val="en-US"/>
      </w:rPr>
      <w:t>Item: BMJ-US; Article ID: frya071675;</w:t>
    </w:r>
  </w:p>
  <w:p w14:paraId="3C7C2AE8" w14:textId="77777777" w:rsidR="00113130" w:rsidRPr="00656C9F" w:rsidRDefault="00113130" w:rsidP="00656C9F">
    <w:pPr>
      <w:jc w:val="center"/>
      <w:rPr>
        <w:lang w:val="en-US"/>
      </w:rPr>
    </w:pPr>
    <w:r w:rsidRPr="00656C9F">
      <w:rPr>
        <w:lang w:val="en-US"/>
      </w:rPr>
      <w:t>Article Type: Clinical review; TOC Heading: Clinical Review; DOI: 10.1136/bmj.p970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2B8B" w14:textId="77777777" w:rsidR="00113130" w:rsidRPr="00656C9F" w:rsidRDefault="00113130" w:rsidP="00656C9F">
    <w:pPr>
      <w:jc w:val="center"/>
      <w:rPr>
        <w:lang w:val="en-US"/>
      </w:rPr>
    </w:pPr>
    <w:r w:rsidRPr="00656C9F">
      <w:rPr>
        <w:lang w:val="en-US"/>
      </w:rPr>
      <w:t>Item: BMJ-US; Article ID: frya071675;</w:t>
    </w:r>
  </w:p>
  <w:p w14:paraId="52DF598C" w14:textId="77777777" w:rsidR="00113130" w:rsidRPr="00656C9F" w:rsidRDefault="00113130" w:rsidP="00656C9F">
    <w:pPr>
      <w:jc w:val="center"/>
      <w:rPr>
        <w:lang w:val="en-US"/>
      </w:rPr>
    </w:pPr>
    <w:r w:rsidRPr="00656C9F">
      <w:rPr>
        <w:lang w:val="en-US"/>
      </w:rPr>
      <w:t>Article Type: Clinical review; TOC Heading: Clinical Review; DOI: 10.1136/bmj.p970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2D0E" w14:textId="77777777" w:rsidR="00113130" w:rsidRPr="00656C9F" w:rsidRDefault="00113130" w:rsidP="00656C9F">
    <w:pPr>
      <w:jc w:val="center"/>
      <w:rPr>
        <w:lang w:val="en-US"/>
      </w:rPr>
    </w:pPr>
    <w:r w:rsidRPr="00656C9F">
      <w:rPr>
        <w:lang w:val="en-US"/>
      </w:rPr>
      <w:t>Item: BMJ-US; Article ID: frya071675;</w:t>
    </w:r>
  </w:p>
  <w:p w14:paraId="12724F60" w14:textId="77777777" w:rsidR="00113130" w:rsidRPr="00656C9F" w:rsidRDefault="00113130" w:rsidP="00656C9F">
    <w:pPr>
      <w:jc w:val="center"/>
      <w:rPr>
        <w:lang w:val="en-US"/>
      </w:rPr>
    </w:pPr>
    <w:r w:rsidRPr="00656C9F">
      <w:rPr>
        <w:lang w:val="en-US"/>
      </w:rPr>
      <w:t>Article Type: Clinical review; TOC Heading: Clinical Review; DOI: 10.1136/bmj.p970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29ED" w14:textId="77777777" w:rsidR="00113130" w:rsidRPr="00656C9F" w:rsidRDefault="00113130" w:rsidP="00656C9F">
    <w:pPr>
      <w:jc w:val="center"/>
      <w:rPr>
        <w:lang w:val="en-US"/>
      </w:rPr>
    </w:pPr>
    <w:r w:rsidRPr="00656C9F">
      <w:rPr>
        <w:lang w:val="en-US"/>
      </w:rPr>
      <w:t>Item: BMJ-US; Article ID: frya071675;</w:t>
    </w:r>
  </w:p>
  <w:p w14:paraId="45C7488E" w14:textId="77777777" w:rsidR="00113130" w:rsidRPr="00656C9F" w:rsidRDefault="00113130" w:rsidP="00656C9F">
    <w:pPr>
      <w:jc w:val="center"/>
      <w:rPr>
        <w:lang w:val="en-US"/>
      </w:rPr>
    </w:pPr>
    <w:r w:rsidRPr="00656C9F">
      <w:rPr>
        <w:lang w:val="en-US"/>
      </w:rPr>
      <w:t>Article Type: Clinical review; TOC Heading: Clinical Review; DOI: 10.1136/bmj.p970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DD44" w14:textId="77777777" w:rsidR="00113130" w:rsidRPr="00656C9F" w:rsidRDefault="00113130" w:rsidP="00656C9F">
    <w:pPr>
      <w:jc w:val="center"/>
      <w:rPr>
        <w:lang w:val="en-US"/>
      </w:rPr>
    </w:pPr>
    <w:r w:rsidRPr="00656C9F">
      <w:rPr>
        <w:lang w:val="en-US"/>
      </w:rPr>
      <w:t>Item: BMJ-US; Article ID: frya071675;</w:t>
    </w:r>
  </w:p>
  <w:p w14:paraId="76886453" w14:textId="77777777" w:rsidR="00113130" w:rsidRPr="00656C9F" w:rsidRDefault="00113130" w:rsidP="00656C9F">
    <w:pPr>
      <w:jc w:val="center"/>
      <w:rPr>
        <w:lang w:val="en-US"/>
      </w:rPr>
    </w:pPr>
    <w:r w:rsidRPr="00656C9F">
      <w:rPr>
        <w:lang w:val="en-US"/>
      </w:rPr>
      <w:t>Article Type: Clinical review; TOC Heading: Clinical Review; DOI: 10.1136/bmj.p970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F021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9CF8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DA52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2478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F8BD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202A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5E37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3CB6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287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1CDF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20220"/>
    <w:multiLevelType w:val="hybridMultilevel"/>
    <w:tmpl w:val="77403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8533E4"/>
    <w:multiLevelType w:val="hybridMultilevel"/>
    <w:tmpl w:val="ED64D15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163E29"/>
    <w:multiLevelType w:val="hybridMultilevel"/>
    <w:tmpl w:val="3D427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722507"/>
    <w:multiLevelType w:val="multilevel"/>
    <w:tmpl w:val="1FCC549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9C4D2D"/>
    <w:multiLevelType w:val="hybridMultilevel"/>
    <w:tmpl w:val="FE0A8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1C3C5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700504"/>
    <w:multiLevelType w:val="hybridMultilevel"/>
    <w:tmpl w:val="5260A168"/>
    <w:lvl w:ilvl="0" w:tplc="ED3A8E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627AB5"/>
    <w:multiLevelType w:val="hybridMultilevel"/>
    <w:tmpl w:val="2B42DF58"/>
    <w:lvl w:ilvl="0" w:tplc="2B48E4FC">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49112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87CEB"/>
    <w:multiLevelType w:val="hybridMultilevel"/>
    <w:tmpl w:val="F4D2D7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0B3FBC"/>
    <w:multiLevelType w:val="hybridMultilevel"/>
    <w:tmpl w:val="85DA7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676196"/>
    <w:multiLevelType w:val="hybridMultilevel"/>
    <w:tmpl w:val="02B2B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8733A1"/>
    <w:multiLevelType w:val="hybridMultilevel"/>
    <w:tmpl w:val="E4926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8EA2605"/>
    <w:multiLevelType w:val="hybridMultilevel"/>
    <w:tmpl w:val="7194A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5F03FE"/>
    <w:multiLevelType w:val="hybridMultilevel"/>
    <w:tmpl w:val="6096CEFC"/>
    <w:lvl w:ilvl="0" w:tplc="48FA2F04">
      <w:start w:val="1"/>
      <w:numFmt w:val="decimal"/>
      <w:lvlText w:val="%1"/>
      <w:lvlJc w:val="left"/>
      <w:pPr>
        <w:tabs>
          <w:tab w:val="num" w:pos="360"/>
        </w:tabs>
        <w:ind w:left="360" w:hanging="360"/>
      </w:pPr>
      <w:rPr>
        <w:rFonts w:ascii="Calibri" w:hAnsi="Calibri" w:hint="default"/>
        <w:b/>
        <w:bCs/>
        <w:i w:val="0"/>
        <w:iCs w:val="0"/>
        <w:color w:val="1D2763"/>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A52C62"/>
    <w:multiLevelType w:val="hybridMultilevel"/>
    <w:tmpl w:val="1A6AA0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4F109CC"/>
    <w:multiLevelType w:val="multilevel"/>
    <w:tmpl w:val="36745CA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58C3F27"/>
    <w:multiLevelType w:val="hybridMultilevel"/>
    <w:tmpl w:val="8C5AB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4A3540"/>
    <w:multiLevelType w:val="hybridMultilevel"/>
    <w:tmpl w:val="4B80ECC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C6F0068"/>
    <w:multiLevelType w:val="hybridMultilevel"/>
    <w:tmpl w:val="96EA26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F983FD6"/>
    <w:multiLevelType w:val="hybridMultilevel"/>
    <w:tmpl w:val="4B80ECC2"/>
    <w:lvl w:ilvl="0" w:tplc="36941F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D05B90"/>
    <w:multiLevelType w:val="hybridMultilevel"/>
    <w:tmpl w:val="F174B02C"/>
    <w:lvl w:ilvl="0" w:tplc="39E6B5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4E18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FC463A"/>
    <w:multiLevelType w:val="hybridMultilevel"/>
    <w:tmpl w:val="C1BE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DD7360"/>
    <w:multiLevelType w:val="hybridMultilevel"/>
    <w:tmpl w:val="CF14A8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E284B6B"/>
    <w:multiLevelType w:val="hybridMultilevel"/>
    <w:tmpl w:val="C706DB6C"/>
    <w:lvl w:ilvl="0" w:tplc="75F015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F2382C"/>
    <w:multiLevelType w:val="hybridMultilevel"/>
    <w:tmpl w:val="6046BC9C"/>
    <w:lvl w:ilvl="0" w:tplc="2A4619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464EF0"/>
    <w:multiLevelType w:val="hybridMultilevel"/>
    <w:tmpl w:val="09D215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14766539">
    <w:abstractNumId w:val="32"/>
  </w:num>
  <w:num w:numId="2" w16cid:durableId="2103187556">
    <w:abstractNumId w:val="18"/>
  </w:num>
  <w:num w:numId="3" w16cid:durableId="422650934">
    <w:abstractNumId w:val="13"/>
  </w:num>
  <w:num w:numId="4" w16cid:durableId="221143002">
    <w:abstractNumId w:val="15"/>
  </w:num>
  <w:num w:numId="5" w16cid:durableId="2067221473">
    <w:abstractNumId w:val="26"/>
  </w:num>
  <w:num w:numId="6" w16cid:durableId="1100368147">
    <w:abstractNumId w:val="17"/>
  </w:num>
  <w:num w:numId="7" w16cid:durableId="1057902522">
    <w:abstractNumId w:val="22"/>
  </w:num>
  <w:num w:numId="8" w16cid:durableId="1462066945">
    <w:abstractNumId w:val="33"/>
  </w:num>
  <w:num w:numId="9" w16cid:durableId="1660694760">
    <w:abstractNumId w:val="35"/>
  </w:num>
  <w:num w:numId="10" w16cid:durableId="2078671080">
    <w:abstractNumId w:val="23"/>
  </w:num>
  <w:num w:numId="11" w16cid:durableId="1811897884">
    <w:abstractNumId w:val="20"/>
  </w:num>
  <w:num w:numId="12" w16cid:durableId="1618636218">
    <w:abstractNumId w:val="10"/>
  </w:num>
  <w:num w:numId="13" w16cid:durableId="648025144">
    <w:abstractNumId w:val="30"/>
  </w:num>
  <w:num w:numId="14" w16cid:durableId="1940408868">
    <w:abstractNumId w:val="11"/>
  </w:num>
  <w:num w:numId="15" w16cid:durableId="255864869">
    <w:abstractNumId w:val="14"/>
  </w:num>
  <w:num w:numId="16" w16cid:durableId="2034066204">
    <w:abstractNumId w:val="21"/>
  </w:num>
  <w:num w:numId="17" w16cid:durableId="2015523608">
    <w:abstractNumId w:val="28"/>
  </w:num>
  <w:num w:numId="18" w16cid:durableId="531958549">
    <w:abstractNumId w:val="19"/>
  </w:num>
  <w:num w:numId="19" w16cid:durableId="1467816644">
    <w:abstractNumId w:val="12"/>
  </w:num>
  <w:num w:numId="20" w16cid:durableId="74939567">
    <w:abstractNumId w:val="27"/>
  </w:num>
  <w:num w:numId="21" w16cid:durableId="760176694">
    <w:abstractNumId w:val="34"/>
  </w:num>
  <w:num w:numId="22" w16cid:durableId="1873417022">
    <w:abstractNumId w:val="25"/>
  </w:num>
  <w:num w:numId="23" w16cid:durableId="982779057">
    <w:abstractNumId w:val="37"/>
  </w:num>
  <w:num w:numId="24" w16cid:durableId="889609013">
    <w:abstractNumId w:val="29"/>
  </w:num>
  <w:num w:numId="25" w16cid:durableId="75634883">
    <w:abstractNumId w:val="9"/>
  </w:num>
  <w:num w:numId="26" w16cid:durableId="1007446691">
    <w:abstractNumId w:val="7"/>
  </w:num>
  <w:num w:numId="27" w16cid:durableId="1803768779">
    <w:abstractNumId w:val="6"/>
  </w:num>
  <w:num w:numId="28" w16cid:durableId="1925800040">
    <w:abstractNumId w:val="5"/>
  </w:num>
  <w:num w:numId="29" w16cid:durableId="406224841">
    <w:abstractNumId w:val="4"/>
  </w:num>
  <w:num w:numId="30" w16cid:durableId="60451977">
    <w:abstractNumId w:val="8"/>
  </w:num>
  <w:num w:numId="31" w16cid:durableId="1454641795">
    <w:abstractNumId w:val="3"/>
  </w:num>
  <w:num w:numId="32" w16cid:durableId="1909685665">
    <w:abstractNumId w:val="2"/>
  </w:num>
  <w:num w:numId="33" w16cid:durableId="951548087">
    <w:abstractNumId w:val="1"/>
  </w:num>
  <w:num w:numId="34" w16cid:durableId="246577715">
    <w:abstractNumId w:val="0"/>
  </w:num>
  <w:num w:numId="35" w16cid:durableId="1410275836">
    <w:abstractNumId w:val="24"/>
  </w:num>
  <w:num w:numId="36" w16cid:durableId="356783137">
    <w:abstractNumId w:val="31"/>
  </w:num>
  <w:num w:numId="37" w16cid:durableId="982082641">
    <w:abstractNumId w:val="36"/>
  </w:num>
  <w:num w:numId="38" w16cid:durableId="2979534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ticleID" w:val="frya071675"/>
    <w:docVar w:name="AutoRedact State" w:val="ready"/>
    <w:docVar w:name="CCBY" w:val="F"/>
    <w:docVar w:name="CheckHeader" w:val="T"/>
    <w:docVar w:name="CME" w:val="F"/>
    <w:docVar w:name="CopyHold" w:val="BMJ"/>
    <w:docVar w:name="DOI" w:val="10.1136/bmj.p970"/>
    <w:docVar w:name="ELocID" w:val="p970"/>
    <w:docVar w:name="ex_AddedHTMLPreformat" w:val="Consolas"/>
    <w:docVar w:name="ex_CleanUp" w:val="CleanUpComplete"/>
    <w:docVar w:name="eX_DocInfoLastUpdatedDate" w:val="45043.6170486111"/>
    <w:docVar w:name="ex_eXtylesBuild" w:val="4833"/>
    <w:docVar w:name="ex_FontAudit" w:val="APComplete"/>
    <w:docVar w:name="EX_LAST_PALETTE_TAB" w:val="5"/>
    <w:docVar w:name="ex_StyleRefs" w:val="APComplete"/>
    <w:docVar w:name="ex_WordVersion" w:val="16.0"/>
    <w:docVar w:name="eXtyles" w:val="active"/>
    <w:docVar w:name="ExtylesTagDescriptors" w:val="Book Reference|bok|Conference Reference|conf|Edited Book Reference|edb|Electronic Reference|eref|Journal Reference|jrn|Legal Reference|lgl|Other Reference|other|Thesis Reference|ths|Unknown Reference|unknown|Inline Graphic|graphic|Box Type|box-type|Figure Type|fig-type|Figure Panels|panel|XML|xml|"/>
    <w:docVar w:name="FastTrack" w:val="F"/>
    <w:docVar w:name="Footnote Mode By Section" w:val="NO"/>
    <w:docVar w:name="iceFileDir" w:val="F:\Editorial\_content_processing\content_store\bmj\articles\clinical-review\frya071675\wip"/>
    <w:docVar w:name="iceFileName" w:val="frya071675.2eb.docx"/>
    <w:docVar w:name="iceJABR" w:val="BMJ-US"/>
    <w:docVar w:name="iceJournal" w:val="BMJ-US:British Medical Journal"/>
    <w:docVar w:name="iceJournalName" w:val="British Medical Journal"/>
    <w:docVar w:name="icePublisher" w:val="BMJ"/>
    <w:docVar w:name="iceType" w:val="Clinical review"/>
    <w:docVar w:name="OpenAccess" w:val="F"/>
    <w:docVar w:name="PreEdit Baseline Path" w:val="F:\Editorial\_content_processing\content_store\bmj\articles\clinical-review\frya071675\wip\frya071675.2eb$base.docx"/>
    <w:docVar w:name="PreEdit Baseline Timestamp" w:val="27/04/2023 14:48:33"/>
    <w:docVar w:name="PreEdit Up-Front Loss" w:val="complete"/>
    <w:docVar w:name="PubYear" w:val="2023"/>
    <w:docVar w:name="TOCHeading" w:val="Clinical Review"/>
    <w:docVar w:name="Volume" w:val="381"/>
  </w:docVars>
  <w:rsids>
    <w:rsidRoot w:val="004831AE"/>
    <w:rsid w:val="00001A39"/>
    <w:rsid w:val="000025D8"/>
    <w:rsid w:val="0000285E"/>
    <w:rsid w:val="00002DED"/>
    <w:rsid w:val="000058AF"/>
    <w:rsid w:val="00014AFA"/>
    <w:rsid w:val="00023E46"/>
    <w:rsid w:val="00025C4C"/>
    <w:rsid w:val="00030E13"/>
    <w:rsid w:val="0003406A"/>
    <w:rsid w:val="0003779B"/>
    <w:rsid w:val="00040949"/>
    <w:rsid w:val="00045656"/>
    <w:rsid w:val="00050E8C"/>
    <w:rsid w:val="00052A91"/>
    <w:rsid w:val="00052C42"/>
    <w:rsid w:val="00057223"/>
    <w:rsid w:val="000573B0"/>
    <w:rsid w:val="00057F48"/>
    <w:rsid w:val="000601E6"/>
    <w:rsid w:val="000619D7"/>
    <w:rsid w:val="000655DB"/>
    <w:rsid w:val="00067BFD"/>
    <w:rsid w:val="00073EAD"/>
    <w:rsid w:val="00074687"/>
    <w:rsid w:val="0007518A"/>
    <w:rsid w:val="00077CBF"/>
    <w:rsid w:val="00087497"/>
    <w:rsid w:val="00095B9B"/>
    <w:rsid w:val="00096F35"/>
    <w:rsid w:val="000A5D0E"/>
    <w:rsid w:val="000B03E6"/>
    <w:rsid w:val="000B0F79"/>
    <w:rsid w:val="000B1524"/>
    <w:rsid w:val="000B1672"/>
    <w:rsid w:val="000B35ED"/>
    <w:rsid w:val="000B5520"/>
    <w:rsid w:val="000C0403"/>
    <w:rsid w:val="000C1B78"/>
    <w:rsid w:val="000C1BE7"/>
    <w:rsid w:val="000C2811"/>
    <w:rsid w:val="000C74CF"/>
    <w:rsid w:val="000C7C7B"/>
    <w:rsid w:val="000D3095"/>
    <w:rsid w:val="000D7D92"/>
    <w:rsid w:val="000E6616"/>
    <w:rsid w:val="000E6D60"/>
    <w:rsid w:val="00101ACC"/>
    <w:rsid w:val="00104463"/>
    <w:rsid w:val="00104BEA"/>
    <w:rsid w:val="001125FC"/>
    <w:rsid w:val="00113130"/>
    <w:rsid w:val="0011437E"/>
    <w:rsid w:val="00115C08"/>
    <w:rsid w:val="00116C2B"/>
    <w:rsid w:val="0011700E"/>
    <w:rsid w:val="00121D7C"/>
    <w:rsid w:val="00123330"/>
    <w:rsid w:val="0013183B"/>
    <w:rsid w:val="00133735"/>
    <w:rsid w:val="00133BA5"/>
    <w:rsid w:val="001348C1"/>
    <w:rsid w:val="00142D07"/>
    <w:rsid w:val="001431C2"/>
    <w:rsid w:val="00144D40"/>
    <w:rsid w:val="001520F7"/>
    <w:rsid w:val="001530EB"/>
    <w:rsid w:val="0015363B"/>
    <w:rsid w:val="0015373D"/>
    <w:rsid w:val="00153F09"/>
    <w:rsid w:val="00154C0A"/>
    <w:rsid w:val="00154EDB"/>
    <w:rsid w:val="00155808"/>
    <w:rsid w:val="001561B0"/>
    <w:rsid w:val="001563B0"/>
    <w:rsid w:val="00156F47"/>
    <w:rsid w:val="0016165F"/>
    <w:rsid w:val="00162621"/>
    <w:rsid w:val="00166AF6"/>
    <w:rsid w:val="001713F7"/>
    <w:rsid w:val="00173B18"/>
    <w:rsid w:val="00190DC9"/>
    <w:rsid w:val="0019205E"/>
    <w:rsid w:val="00196009"/>
    <w:rsid w:val="001A4033"/>
    <w:rsid w:val="001B4941"/>
    <w:rsid w:val="001B7D05"/>
    <w:rsid w:val="001C4FEA"/>
    <w:rsid w:val="001D3C15"/>
    <w:rsid w:val="001D7B24"/>
    <w:rsid w:val="001E0A88"/>
    <w:rsid w:val="001E3755"/>
    <w:rsid w:val="001E67F2"/>
    <w:rsid w:val="001F6243"/>
    <w:rsid w:val="001F7FDE"/>
    <w:rsid w:val="0020077A"/>
    <w:rsid w:val="0020116F"/>
    <w:rsid w:val="00202A4F"/>
    <w:rsid w:val="00204F33"/>
    <w:rsid w:val="00211CA8"/>
    <w:rsid w:val="00211F14"/>
    <w:rsid w:val="002125FC"/>
    <w:rsid w:val="002236EF"/>
    <w:rsid w:val="00227B9D"/>
    <w:rsid w:val="00231128"/>
    <w:rsid w:val="00232394"/>
    <w:rsid w:val="00236DEF"/>
    <w:rsid w:val="002374FE"/>
    <w:rsid w:val="002400B0"/>
    <w:rsid w:val="00243C33"/>
    <w:rsid w:val="00244D19"/>
    <w:rsid w:val="002473F0"/>
    <w:rsid w:val="00261F66"/>
    <w:rsid w:val="0026341A"/>
    <w:rsid w:val="00270EC4"/>
    <w:rsid w:val="00274CC6"/>
    <w:rsid w:val="00275A1B"/>
    <w:rsid w:val="00280763"/>
    <w:rsid w:val="00284AF5"/>
    <w:rsid w:val="00286F88"/>
    <w:rsid w:val="00287553"/>
    <w:rsid w:val="0029244C"/>
    <w:rsid w:val="00295E16"/>
    <w:rsid w:val="002A0C73"/>
    <w:rsid w:val="002A5F24"/>
    <w:rsid w:val="002B1300"/>
    <w:rsid w:val="002B2D92"/>
    <w:rsid w:val="002B4A05"/>
    <w:rsid w:val="002C1F15"/>
    <w:rsid w:val="002C62B5"/>
    <w:rsid w:val="002D1116"/>
    <w:rsid w:val="002D251B"/>
    <w:rsid w:val="002D2B00"/>
    <w:rsid w:val="002D42EB"/>
    <w:rsid w:val="002E339D"/>
    <w:rsid w:val="002E3DC7"/>
    <w:rsid w:val="002E4C78"/>
    <w:rsid w:val="002E74BA"/>
    <w:rsid w:val="002F0AEA"/>
    <w:rsid w:val="002F0C5D"/>
    <w:rsid w:val="002F61C7"/>
    <w:rsid w:val="002F7EE3"/>
    <w:rsid w:val="003002C6"/>
    <w:rsid w:val="003037DB"/>
    <w:rsid w:val="003045BD"/>
    <w:rsid w:val="0030523B"/>
    <w:rsid w:val="00311331"/>
    <w:rsid w:val="00312EC8"/>
    <w:rsid w:val="003157B1"/>
    <w:rsid w:val="0031639B"/>
    <w:rsid w:val="00321210"/>
    <w:rsid w:val="00323E9B"/>
    <w:rsid w:val="00324A44"/>
    <w:rsid w:val="00325FEA"/>
    <w:rsid w:val="00326215"/>
    <w:rsid w:val="0032665B"/>
    <w:rsid w:val="00333669"/>
    <w:rsid w:val="003371A7"/>
    <w:rsid w:val="00337D1C"/>
    <w:rsid w:val="00346FC9"/>
    <w:rsid w:val="00355B0B"/>
    <w:rsid w:val="00357BE4"/>
    <w:rsid w:val="003608E8"/>
    <w:rsid w:val="00364A1E"/>
    <w:rsid w:val="00366F6A"/>
    <w:rsid w:val="00375592"/>
    <w:rsid w:val="003810BD"/>
    <w:rsid w:val="00383DF3"/>
    <w:rsid w:val="00386ABF"/>
    <w:rsid w:val="00390D4C"/>
    <w:rsid w:val="00391E8E"/>
    <w:rsid w:val="003942B5"/>
    <w:rsid w:val="00395DA8"/>
    <w:rsid w:val="00395F41"/>
    <w:rsid w:val="00396B02"/>
    <w:rsid w:val="003A1A98"/>
    <w:rsid w:val="003A547D"/>
    <w:rsid w:val="003C1342"/>
    <w:rsid w:val="003D0E56"/>
    <w:rsid w:val="003D710B"/>
    <w:rsid w:val="003E4F1F"/>
    <w:rsid w:val="003E7910"/>
    <w:rsid w:val="003F1B05"/>
    <w:rsid w:val="003F23D0"/>
    <w:rsid w:val="003F386D"/>
    <w:rsid w:val="00400F67"/>
    <w:rsid w:val="0040646F"/>
    <w:rsid w:val="00411BBA"/>
    <w:rsid w:val="00411C00"/>
    <w:rsid w:val="00413ED6"/>
    <w:rsid w:val="004148BB"/>
    <w:rsid w:val="00416EC2"/>
    <w:rsid w:val="0042089A"/>
    <w:rsid w:val="004225A7"/>
    <w:rsid w:val="00422E12"/>
    <w:rsid w:val="00423540"/>
    <w:rsid w:val="00423BF2"/>
    <w:rsid w:val="00424405"/>
    <w:rsid w:val="0042458E"/>
    <w:rsid w:val="00426B60"/>
    <w:rsid w:val="00426C86"/>
    <w:rsid w:val="00430B95"/>
    <w:rsid w:val="00433DEA"/>
    <w:rsid w:val="00436807"/>
    <w:rsid w:val="00436F95"/>
    <w:rsid w:val="004462C9"/>
    <w:rsid w:val="00447164"/>
    <w:rsid w:val="004510B0"/>
    <w:rsid w:val="0045665E"/>
    <w:rsid w:val="00457963"/>
    <w:rsid w:val="00457D0E"/>
    <w:rsid w:val="00460F85"/>
    <w:rsid w:val="0046115B"/>
    <w:rsid w:val="004661E3"/>
    <w:rsid w:val="004718FF"/>
    <w:rsid w:val="00471A79"/>
    <w:rsid w:val="004724EA"/>
    <w:rsid w:val="00473721"/>
    <w:rsid w:val="0047526B"/>
    <w:rsid w:val="0047676E"/>
    <w:rsid w:val="004831AE"/>
    <w:rsid w:val="0048447A"/>
    <w:rsid w:val="00484E21"/>
    <w:rsid w:val="004850CB"/>
    <w:rsid w:val="004A31CC"/>
    <w:rsid w:val="004B0694"/>
    <w:rsid w:val="004B1521"/>
    <w:rsid w:val="004B2571"/>
    <w:rsid w:val="004B301F"/>
    <w:rsid w:val="004B5C77"/>
    <w:rsid w:val="004B6259"/>
    <w:rsid w:val="004B7CA9"/>
    <w:rsid w:val="004C01D4"/>
    <w:rsid w:val="004C5737"/>
    <w:rsid w:val="004D0D83"/>
    <w:rsid w:val="004D1ED8"/>
    <w:rsid w:val="004D4B0C"/>
    <w:rsid w:val="004D77A1"/>
    <w:rsid w:val="004E0970"/>
    <w:rsid w:val="004E6560"/>
    <w:rsid w:val="004E6922"/>
    <w:rsid w:val="004F052C"/>
    <w:rsid w:val="004F191E"/>
    <w:rsid w:val="004F2267"/>
    <w:rsid w:val="00504BF9"/>
    <w:rsid w:val="0050555A"/>
    <w:rsid w:val="005057D3"/>
    <w:rsid w:val="00505A9F"/>
    <w:rsid w:val="00506C4B"/>
    <w:rsid w:val="00516713"/>
    <w:rsid w:val="00516D5F"/>
    <w:rsid w:val="00517A2F"/>
    <w:rsid w:val="00521B5E"/>
    <w:rsid w:val="0052300F"/>
    <w:rsid w:val="00530D26"/>
    <w:rsid w:val="00533576"/>
    <w:rsid w:val="00545960"/>
    <w:rsid w:val="00546B25"/>
    <w:rsid w:val="00551F64"/>
    <w:rsid w:val="00564D60"/>
    <w:rsid w:val="00565DD6"/>
    <w:rsid w:val="00566090"/>
    <w:rsid w:val="0056665B"/>
    <w:rsid w:val="005679E1"/>
    <w:rsid w:val="00572AB3"/>
    <w:rsid w:val="0057571B"/>
    <w:rsid w:val="00575A06"/>
    <w:rsid w:val="0058010A"/>
    <w:rsid w:val="00580440"/>
    <w:rsid w:val="0058084F"/>
    <w:rsid w:val="00581EDD"/>
    <w:rsid w:val="005822E0"/>
    <w:rsid w:val="0058332E"/>
    <w:rsid w:val="00586129"/>
    <w:rsid w:val="00586564"/>
    <w:rsid w:val="005906CD"/>
    <w:rsid w:val="00592D6C"/>
    <w:rsid w:val="00593881"/>
    <w:rsid w:val="00594425"/>
    <w:rsid w:val="00596A70"/>
    <w:rsid w:val="00596B79"/>
    <w:rsid w:val="005A5CC1"/>
    <w:rsid w:val="005A60C2"/>
    <w:rsid w:val="005A658B"/>
    <w:rsid w:val="005B179B"/>
    <w:rsid w:val="005B213B"/>
    <w:rsid w:val="005B29B0"/>
    <w:rsid w:val="005B358D"/>
    <w:rsid w:val="005B5AD6"/>
    <w:rsid w:val="005B6136"/>
    <w:rsid w:val="005D2C01"/>
    <w:rsid w:val="005D2CA3"/>
    <w:rsid w:val="005D389E"/>
    <w:rsid w:val="005D77DA"/>
    <w:rsid w:val="005E177F"/>
    <w:rsid w:val="005E1838"/>
    <w:rsid w:val="005E3582"/>
    <w:rsid w:val="005E3FD5"/>
    <w:rsid w:val="005F240A"/>
    <w:rsid w:val="005F2D31"/>
    <w:rsid w:val="005F5176"/>
    <w:rsid w:val="005F5EEB"/>
    <w:rsid w:val="005F6C35"/>
    <w:rsid w:val="006008F5"/>
    <w:rsid w:val="00602D5E"/>
    <w:rsid w:val="00603F9F"/>
    <w:rsid w:val="00605229"/>
    <w:rsid w:val="0060717A"/>
    <w:rsid w:val="006102F1"/>
    <w:rsid w:val="006131AE"/>
    <w:rsid w:val="00622CD4"/>
    <w:rsid w:val="00627EDB"/>
    <w:rsid w:val="00632066"/>
    <w:rsid w:val="00634225"/>
    <w:rsid w:val="00636EAE"/>
    <w:rsid w:val="00637279"/>
    <w:rsid w:val="00637696"/>
    <w:rsid w:val="00640CF3"/>
    <w:rsid w:val="00641331"/>
    <w:rsid w:val="00646E70"/>
    <w:rsid w:val="00647BBD"/>
    <w:rsid w:val="00650309"/>
    <w:rsid w:val="00651CFF"/>
    <w:rsid w:val="00653BF6"/>
    <w:rsid w:val="00656C9F"/>
    <w:rsid w:val="00663702"/>
    <w:rsid w:val="00672212"/>
    <w:rsid w:val="00673331"/>
    <w:rsid w:val="0067601C"/>
    <w:rsid w:val="0067610E"/>
    <w:rsid w:val="006836EE"/>
    <w:rsid w:val="00686C52"/>
    <w:rsid w:val="00687DD1"/>
    <w:rsid w:val="0069032E"/>
    <w:rsid w:val="006909DE"/>
    <w:rsid w:val="00690B39"/>
    <w:rsid w:val="00692751"/>
    <w:rsid w:val="006A0CEF"/>
    <w:rsid w:val="006A111C"/>
    <w:rsid w:val="006A19D7"/>
    <w:rsid w:val="006A302B"/>
    <w:rsid w:val="006A4403"/>
    <w:rsid w:val="006A5018"/>
    <w:rsid w:val="006A5D44"/>
    <w:rsid w:val="006A696D"/>
    <w:rsid w:val="006A71C1"/>
    <w:rsid w:val="006B2461"/>
    <w:rsid w:val="006B3943"/>
    <w:rsid w:val="006B59B3"/>
    <w:rsid w:val="006B63F3"/>
    <w:rsid w:val="006B6DA5"/>
    <w:rsid w:val="006C1A40"/>
    <w:rsid w:val="006C5CBD"/>
    <w:rsid w:val="006D36F8"/>
    <w:rsid w:val="006D3AF8"/>
    <w:rsid w:val="006D65BC"/>
    <w:rsid w:val="006D6B7E"/>
    <w:rsid w:val="006E2405"/>
    <w:rsid w:val="006E457A"/>
    <w:rsid w:val="006E5ABF"/>
    <w:rsid w:val="006F0808"/>
    <w:rsid w:val="006F618E"/>
    <w:rsid w:val="006F6BA1"/>
    <w:rsid w:val="00707085"/>
    <w:rsid w:val="00713BEC"/>
    <w:rsid w:val="00717860"/>
    <w:rsid w:val="00721433"/>
    <w:rsid w:val="00725195"/>
    <w:rsid w:val="007254CC"/>
    <w:rsid w:val="007270B8"/>
    <w:rsid w:val="00732E14"/>
    <w:rsid w:val="00733F5F"/>
    <w:rsid w:val="00736441"/>
    <w:rsid w:val="00736647"/>
    <w:rsid w:val="007405D4"/>
    <w:rsid w:val="0074110F"/>
    <w:rsid w:val="00741753"/>
    <w:rsid w:val="00744FFF"/>
    <w:rsid w:val="00747F64"/>
    <w:rsid w:val="00751783"/>
    <w:rsid w:val="00755718"/>
    <w:rsid w:val="00755BEF"/>
    <w:rsid w:val="00761A37"/>
    <w:rsid w:val="007674D3"/>
    <w:rsid w:val="00770C15"/>
    <w:rsid w:val="00771D55"/>
    <w:rsid w:val="00771DDB"/>
    <w:rsid w:val="00777F6C"/>
    <w:rsid w:val="0078159E"/>
    <w:rsid w:val="00784ED0"/>
    <w:rsid w:val="00785709"/>
    <w:rsid w:val="00785ED1"/>
    <w:rsid w:val="00795457"/>
    <w:rsid w:val="007961DC"/>
    <w:rsid w:val="007979F4"/>
    <w:rsid w:val="00797C2C"/>
    <w:rsid w:val="007A0629"/>
    <w:rsid w:val="007A1004"/>
    <w:rsid w:val="007A2DA4"/>
    <w:rsid w:val="007B0A7D"/>
    <w:rsid w:val="007B3EE8"/>
    <w:rsid w:val="007B4AC0"/>
    <w:rsid w:val="007B6E50"/>
    <w:rsid w:val="007B70E0"/>
    <w:rsid w:val="007B7999"/>
    <w:rsid w:val="007C34C1"/>
    <w:rsid w:val="007C530B"/>
    <w:rsid w:val="007D4705"/>
    <w:rsid w:val="007D4BB0"/>
    <w:rsid w:val="007D63DE"/>
    <w:rsid w:val="007D6ABF"/>
    <w:rsid w:val="007E3585"/>
    <w:rsid w:val="007E3F27"/>
    <w:rsid w:val="007E5654"/>
    <w:rsid w:val="007F0573"/>
    <w:rsid w:val="007F0AC4"/>
    <w:rsid w:val="007F28C2"/>
    <w:rsid w:val="00805314"/>
    <w:rsid w:val="00806889"/>
    <w:rsid w:val="008107E9"/>
    <w:rsid w:val="008121D1"/>
    <w:rsid w:val="008201C3"/>
    <w:rsid w:val="00823E52"/>
    <w:rsid w:val="008258E3"/>
    <w:rsid w:val="00831604"/>
    <w:rsid w:val="008357A8"/>
    <w:rsid w:val="0084677D"/>
    <w:rsid w:val="00850C35"/>
    <w:rsid w:val="0085408E"/>
    <w:rsid w:val="00855D2E"/>
    <w:rsid w:val="008563EA"/>
    <w:rsid w:val="00860211"/>
    <w:rsid w:val="00860951"/>
    <w:rsid w:val="00866441"/>
    <w:rsid w:val="00871617"/>
    <w:rsid w:val="00871DD8"/>
    <w:rsid w:val="00876446"/>
    <w:rsid w:val="0088016C"/>
    <w:rsid w:val="0088186F"/>
    <w:rsid w:val="00882502"/>
    <w:rsid w:val="00883540"/>
    <w:rsid w:val="008837F3"/>
    <w:rsid w:val="0088481A"/>
    <w:rsid w:val="008907E3"/>
    <w:rsid w:val="008A3C99"/>
    <w:rsid w:val="008A52F3"/>
    <w:rsid w:val="008A7387"/>
    <w:rsid w:val="008B3B4E"/>
    <w:rsid w:val="008B3BDF"/>
    <w:rsid w:val="008C0E9E"/>
    <w:rsid w:val="008C210B"/>
    <w:rsid w:val="008D5AE0"/>
    <w:rsid w:val="008E2D70"/>
    <w:rsid w:val="008E365F"/>
    <w:rsid w:val="008E5DD4"/>
    <w:rsid w:val="008F69E3"/>
    <w:rsid w:val="008F75F0"/>
    <w:rsid w:val="008F7C3B"/>
    <w:rsid w:val="009033A7"/>
    <w:rsid w:val="00904824"/>
    <w:rsid w:val="00907CCD"/>
    <w:rsid w:val="009106FE"/>
    <w:rsid w:val="00912341"/>
    <w:rsid w:val="00912C47"/>
    <w:rsid w:val="00913E70"/>
    <w:rsid w:val="00922008"/>
    <w:rsid w:val="0092357E"/>
    <w:rsid w:val="0092457C"/>
    <w:rsid w:val="00925B4A"/>
    <w:rsid w:val="00927DF4"/>
    <w:rsid w:val="00933D56"/>
    <w:rsid w:val="00937085"/>
    <w:rsid w:val="00945943"/>
    <w:rsid w:val="00947F1F"/>
    <w:rsid w:val="009510E8"/>
    <w:rsid w:val="00951D01"/>
    <w:rsid w:val="00953F2F"/>
    <w:rsid w:val="00956D88"/>
    <w:rsid w:val="00967CEB"/>
    <w:rsid w:val="00972070"/>
    <w:rsid w:val="00982897"/>
    <w:rsid w:val="00982B31"/>
    <w:rsid w:val="0099108F"/>
    <w:rsid w:val="0099236B"/>
    <w:rsid w:val="0099552E"/>
    <w:rsid w:val="0099676F"/>
    <w:rsid w:val="009A487D"/>
    <w:rsid w:val="009A5A5E"/>
    <w:rsid w:val="009A6D37"/>
    <w:rsid w:val="009A7429"/>
    <w:rsid w:val="009A7C9E"/>
    <w:rsid w:val="009B0711"/>
    <w:rsid w:val="009B331C"/>
    <w:rsid w:val="009B43F0"/>
    <w:rsid w:val="009B744F"/>
    <w:rsid w:val="009B7C39"/>
    <w:rsid w:val="009C02AD"/>
    <w:rsid w:val="009C4344"/>
    <w:rsid w:val="009D3F50"/>
    <w:rsid w:val="009D60CD"/>
    <w:rsid w:val="009E54FD"/>
    <w:rsid w:val="009F46AA"/>
    <w:rsid w:val="009F55F0"/>
    <w:rsid w:val="009F5DC0"/>
    <w:rsid w:val="00A04544"/>
    <w:rsid w:val="00A052FF"/>
    <w:rsid w:val="00A055B8"/>
    <w:rsid w:val="00A10403"/>
    <w:rsid w:val="00A11622"/>
    <w:rsid w:val="00A156A5"/>
    <w:rsid w:val="00A15B32"/>
    <w:rsid w:val="00A16313"/>
    <w:rsid w:val="00A21620"/>
    <w:rsid w:val="00A230E8"/>
    <w:rsid w:val="00A254CE"/>
    <w:rsid w:val="00A261F0"/>
    <w:rsid w:val="00A32A88"/>
    <w:rsid w:val="00A355BF"/>
    <w:rsid w:val="00A35B18"/>
    <w:rsid w:val="00A3702A"/>
    <w:rsid w:val="00A41BDD"/>
    <w:rsid w:val="00A45A9F"/>
    <w:rsid w:val="00A45D78"/>
    <w:rsid w:val="00A6377D"/>
    <w:rsid w:val="00A647A8"/>
    <w:rsid w:val="00A64A78"/>
    <w:rsid w:val="00A66492"/>
    <w:rsid w:val="00A72849"/>
    <w:rsid w:val="00A7319D"/>
    <w:rsid w:val="00A7731D"/>
    <w:rsid w:val="00A776CF"/>
    <w:rsid w:val="00A77C6E"/>
    <w:rsid w:val="00A8289F"/>
    <w:rsid w:val="00A904CA"/>
    <w:rsid w:val="00A963EA"/>
    <w:rsid w:val="00A96475"/>
    <w:rsid w:val="00AA03C6"/>
    <w:rsid w:val="00AA0D03"/>
    <w:rsid w:val="00AA0F88"/>
    <w:rsid w:val="00AA625E"/>
    <w:rsid w:val="00AB50C1"/>
    <w:rsid w:val="00AB54AB"/>
    <w:rsid w:val="00AB6346"/>
    <w:rsid w:val="00AC25F4"/>
    <w:rsid w:val="00AC3FC4"/>
    <w:rsid w:val="00AC4422"/>
    <w:rsid w:val="00AC6DAC"/>
    <w:rsid w:val="00AD2CFB"/>
    <w:rsid w:val="00AE1B03"/>
    <w:rsid w:val="00AE3CD6"/>
    <w:rsid w:val="00AE3D7A"/>
    <w:rsid w:val="00AE440C"/>
    <w:rsid w:val="00AE5C41"/>
    <w:rsid w:val="00AE719F"/>
    <w:rsid w:val="00AF03B1"/>
    <w:rsid w:val="00AF0B0C"/>
    <w:rsid w:val="00AF4F8D"/>
    <w:rsid w:val="00B00ADC"/>
    <w:rsid w:val="00B01C4D"/>
    <w:rsid w:val="00B11EFB"/>
    <w:rsid w:val="00B13366"/>
    <w:rsid w:val="00B15624"/>
    <w:rsid w:val="00B15796"/>
    <w:rsid w:val="00B20EF6"/>
    <w:rsid w:val="00B20F39"/>
    <w:rsid w:val="00B21E89"/>
    <w:rsid w:val="00B2270E"/>
    <w:rsid w:val="00B227C0"/>
    <w:rsid w:val="00B22B3A"/>
    <w:rsid w:val="00B23210"/>
    <w:rsid w:val="00B275DF"/>
    <w:rsid w:val="00B31E84"/>
    <w:rsid w:val="00B376CC"/>
    <w:rsid w:val="00B446A0"/>
    <w:rsid w:val="00B46F9E"/>
    <w:rsid w:val="00B50101"/>
    <w:rsid w:val="00B51D08"/>
    <w:rsid w:val="00B52D09"/>
    <w:rsid w:val="00B5454E"/>
    <w:rsid w:val="00B54ABD"/>
    <w:rsid w:val="00B5666D"/>
    <w:rsid w:val="00B60023"/>
    <w:rsid w:val="00B601D7"/>
    <w:rsid w:val="00B615C4"/>
    <w:rsid w:val="00B64BD1"/>
    <w:rsid w:val="00B7076A"/>
    <w:rsid w:val="00B71F12"/>
    <w:rsid w:val="00B74B8E"/>
    <w:rsid w:val="00B76302"/>
    <w:rsid w:val="00B7631F"/>
    <w:rsid w:val="00B7715A"/>
    <w:rsid w:val="00B8284A"/>
    <w:rsid w:val="00B839A8"/>
    <w:rsid w:val="00B922AE"/>
    <w:rsid w:val="00B948E8"/>
    <w:rsid w:val="00B9490B"/>
    <w:rsid w:val="00B95F54"/>
    <w:rsid w:val="00BA317C"/>
    <w:rsid w:val="00BA52D5"/>
    <w:rsid w:val="00BA6A08"/>
    <w:rsid w:val="00BB3ABB"/>
    <w:rsid w:val="00BB6F2D"/>
    <w:rsid w:val="00BC1DBD"/>
    <w:rsid w:val="00BC26B9"/>
    <w:rsid w:val="00BC43E2"/>
    <w:rsid w:val="00BD1DDD"/>
    <w:rsid w:val="00BD345A"/>
    <w:rsid w:val="00BD7491"/>
    <w:rsid w:val="00BE563F"/>
    <w:rsid w:val="00BE7BA1"/>
    <w:rsid w:val="00BF0D3B"/>
    <w:rsid w:val="00BF2CD7"/>
    <w:rsid w:val="00BF6E64"/>
    <w:rsid w:val="00BF70AE"/>
    <w:rsid w:val="00C01A63"/>
    <w:rsid w:val="00C06D69"/>
    <w:rsid w:val="00C11E0B"/>
    <w:rsid w:val="00C122E7"/>
    <w:rsid w:val="00C15401"/>
    <w:rsid w:val="00C15F18"/>
    <w:rsid w:val="00C168A5"/>
    <w:rsid w:val="00C16C2D"/>
    <w:rsid w:val="00C21DEB"/>
    <w:rsid w:val="00C22C9D"/>
    <w:rsid w:val="00C236CE"/>
    <w:rsid w:val="00C23D4F"/>
    <w:rsid w:val="00C27438"/>
    <w:rsid w:val="00C2744F"/>
    <w:rsid w:val="00C31E16"/>
    <w:rsid w:val="00C34360"/>
    <w:rsid w:val="00C344B2"/>
    <w:rsid w:val="00C511CC"/>
    <w:rsid w:val="00C51E2E"/>
    <w:rsid w:val="00C5354C"/>
    <w:rsid w:val="00C62BE1"/>
    <w:rsid w:val="00C63168"/>
    <w:rsid w:val="00C66AAC"/>
    <w:rsid w:val="00C66C42"/>
    <w:rsid w:val="00C72658"/>
    <w:rsid w:val="00C8177D"/>
    <w:rsid w:val="00C8797C"/>
    <w:rsid w:val="00C92641"/>
    <w:rsid w:val="00CA2570"/>
    <w:rsid w:val="00CA4C4D"/>
    <w:rsid w:val="00CA77C4"/>
    <w:rsid w:val="00CA7FD7"/>
    <w:rsid w:val="00CB1FE8"/>
    <w:rsid w:val="00CB40F6"/>
    <w:rsid w:val="00CC38D4"/>
    <w:rsid w:val="00CC4931"/>
    <w:rsid w:val="00CC767C"/>
    <w:rsid w:val="00CD05C2"/>
    <w:rsid w:val="00CD071A"/>
    <w:rsid w:val="00CE0B92"/>
    <w:rsid w:val="00CE21A0"/>
    <w:rsid w:val="00CE2C99"/>
    <w:rsid w:val="00CE5E7A"/>
    <w:rsid w:val="00CF5E56"/>
    <w:rsid w:val="00CF7985"/>
    <w:rsid w:val="00D01DCE"/>
    <w:rsid w:val="00D022DE"/>
    <w:rsid w:val="00D03C3D"/>
    <w:rsid w:val="00D12431"/>
    <w:rsid w:val="00D1340B"/>
    <w:rsid w:val="00D14309"/>
    <w:rsid w:val="00D14AAA"/>
    <w:rsid w:val="00D15A12"/>
    <w:rsid w:val="00D17A58"/>
    <w:rsid w:val="00D20128"/>
    <w:rsid w:val="00D26345"/>
    <w:rsid w:val="00D340AA"/>
    <w:rsid w:val="00D411D3"/>
    <w:rsid w:val="00D46777"/>
    <w:rsid w:val="00D46ED4"/>
    <w:rsid w:val="00D47392"/>
    <w:rsid w:val="00D54107"/>
    <w:rsid w:val="00D54E56"/>
    <w:rsid w:val="00D54EE2"/>
    <w:rsid w:val="00D55C78"/>
    <w:rsid w:val="00D56023"/>
    <w:rsid w:val="00D615C7"/>
    <w:rsid w:val="00D631C3"/>
    <w:rsid w:val="00D67BDC"/>
    <w:rsid w:val="00D67D45"/>
    <w:rsid w:val="00D70F75"/>
    <w:rsid w:val="00D7369B"/>
    <w:rsid w:val="00D7372B"/>
    <w:rsid w:val="00D77088"/>
    <w:rsid w:val="00D82710"/>
    <w:rsid w:val="00D87100"/>
    <w:rsid w:val="00D91C18"/>
    <w:rsid w:val="00D9212A"/>
    <w:rsid w:val="00D92233"/>
    <w:rsid w:val="00D92360"/>
    <w:rsid w:val="00D92E4C"/>
    <w:rsid w:val="00D9482D"/>
    <w:rsid w:val="00D958B4"/>
    <w:rsid w:val="00DA36E4"/>
    <w:rsid w:val="00DA68CD"/>
    <w:rsid w:val="00DA730D"/>
    <w:rsid w:val="00DB47D2"/>
    <w:rsid w:val="00DB4841"/>
    <w:rsid w:val="00DB5401"/>
    <w:rsid w:val="00DB7FE4"/>
    <w:rsid w:val="00DC0C87"/>
    <w:rsid w:val="00DC1F82"/>
    <w:rsid w:val="00DC602A"/>
    <w:rsid w:val="00DD1498"/>
    <w:rsid w:val="00DD19BB"/>
    <w:rsid w:val="00DD2132"/>
    <w:rsid w:val="00DD3F41"/>
    <w:rsid w:val="00DD5908"/>
    <w:rsid w:val="00DD722F"/>
    <w:rsid w:val="00DD751C"/>
    <w:rsid w:val="00DD7BFF"/>
    <w:rsid w:val="00DE56F8"/>
    <w:rsid w:val="00DE59A9"/>
    <w:rsid w:val="00DE5D1C"/>
    <w:rsid w:val="00DE7AC7"/>
    <w:rsid w:val="00DF2270"/>
    <w:rsid w:val="00DF3B04"/>
    <w:rsid w:val="00DF5D47"/>
    <w:rsid w:val="00DF720B"/>
    <w:rsid w:val="00DF7E14"/>
    <w:rsid w:val="00E14D11"/>
    <w:rsid w:val="00E15690"/>
    <w:rsid w:val="00E16329"/>
    <w:rsid w:val="00E1701D"/>
    <w:rsid w:val="00E1788F"/>
    <w:rsid w:val="00E2019B"/>
    <w:rsid w:val="00E21714"/>
    <w:rsid w:val="00E24595"/>
    <w:rsid w:val="00E24C0D"/>
    <w:rsid w:val="00E253FB"/>
    <w:rsid w:val="00E263F1"/>
    <w:rsid w:val="00E30A1D"/>
    <w:rsid w:val="00E320D5"/>
    <w:rsid w:val="00E3553A"/>
    <w:rsid w:val="00E374EF"/>
    <w:rsid w:val="00E41A56"/>
    <w:rsid w:val="00E43952"/>
    <w:rsid w:val="00E43D64"/>
    <w:rsid w:val="00E53350"/>
    <w:rsid w:val="00E536D2"/>
    <w:rsid w:val="00E55FD1"/>
    <w:rsid w:val="00E57960"/>
    <w:rsid w:val="00E61E38"/>
    <w:rsid w:val="00E6667F"/>
    <w:rsid w:val="00E672EA"/>
    <w:rsid w:val="00E67924"/>
    <w:rsid w:val="00E7204F"/>
    <w:rsid w:val="00E72667"/>
    <w:rsid w:val="00E810FF"/>
    <w:rsid w:val="00E81EA2"/>
    <w:rsid w:val="00E83DDB"/>
    <w:rsid w:val="00E901E8"/>
    <w:rsid w:val="00E90821"/>
    <w:rsid w:val="00E942E0"/>
    <w:rsid w:val="00E94C17"/>
    <w:rsid w:val="00E9501A"/>
    <w:rsid w:val="00E97DBD"/>
    <w:rsid w:val="00EA1B8D"/>
    <w:rsid w:val="00EA1CA6"/>
    <w:rsid w:val="00EA1ED2"/>
    <w:rsid w:val="00EA299B"/>
    <w:rsid w:val="00EA3715"/>
    <w:rsid w:val="00EA3F13"/>
    <w:rsid w:val="00EA6335"/>
    <w:rsid w:val="00EB1514"/>
    <w:rsid w:val="00EB1CE5"/>
    <w:rsid w:val="00EB4709"/>
    <w:rsid w:val="00EB482E"/>
    <w:rsid w:val="00EB4963"/>
    <w:rsid w:val="00EC241C"/>
    <w:rsid w:val="00EC4370"/>
    <w:rsid w:val="00EC482A"/>
    <w:rsid w:val="00ED20CB"/>
    <w:rsid w:val="00ED2410"/>
    <w:rsid w:val="00EE0FB5"/>
    <w:rsid w:val="00EE2779"/>
    <w:rsid w:val="00EE36DC"/>
    <w:rsid w:val="00EE4C3E"/>
    <w:rsid w:val="00EE6FAC"/>
    <w:rsid w:val="00EF1176"/>
    <w:rsid w:val="00EF1C3C"/>
    <w:rsid w:val="00EF4A04"/>
    <w:rsid w:val="00EF528E"/>
    <w:rsid w:val="00EF60E4"/>
    <w:rsid w:val="00F06AF7"/>
    <w:rsid w:val="00F06EAA"/>
    <w:rsid w:val="00F1197C"/>
    <w:rsid w:val="00F133FD"/>
    <w:rsid w:val="00F14A9F"/>
    <w:rsid w:val="00F209A9"/>
    <w:rsid w:val="00F209B8"/>
    <w:rsid w:val="00F22FE4"/>
    <w:rsid w:val="00F2707D"/>
    <w:rsid w:val="00F275C0"/>
    <w:rsid w:val="00F30107"/>
    <w:rsid w:val="00F335C2"/>
    <w:rsid w:val="00F34B59"/>
    <w:rsid w:val="00F35623"/>
    <w:rsid w:val="00F41D99"/>
    <w:rsid w:val="00F43174"/>
    <w:rsid w:val="00F44BA3"/>
    <w:rsid w:val="00F4717D"/>
    <w:rsid w:val="00F4729B"/>
    <w:rsid w:val="00F47329"/>
    <w:rsid w:val="00F51294"/>
    <w:rsid w:val="00F51991"/>
    <w:rsid w:val="00F52339"/>
    <w:rsid w:val="00F5313D"/>
    <w:rsid w:val="00F533CA"/>
    <w:rsid w:val="00F538CB"/>
    <w:rsid w:val="00F64042"/>
    <w:rsid w:val="00F64F93"/>
    <w:rsid w:val="00F658E2"/>
    <w:rsid w:val="00F65E1D"/>
    <w:rsid w:val="00F70CCD"/>
    <w:rsid w:val="00F77057"/>
    <w:rsid w:val="00F80374"/>
    <w:rsid w:val="00F82953"/>
    <w:rsid w:val="00F910F7"/>
    <w:rsid w:val="00F91517"/>
    <w:rsid w:val="00F92386"/>
    <w:rsid w:val="00FA16D4"/>
    <w:rsid w:val="00FA4E75"/>
    <w:rsid w:val="00FB16CD"/>
    <w:rsid w:val="00FB1A9A"/>
    <w:rsid w:val="00FB4FE7"/>
    <w:rsid w:val="00FB5025"/>
    <w:rsid w:val="00FB519F"/>
    <w:rsid w:val="00FC459B"/>
    <w:rsid w:val="00FC5C09"/>
    <w:rsid w:val="00FC5D74"/>
    <w:rsid w:val="00FD07DA"/>
    <w:rsid w:val="00FD0D5C"/>
    <w:rsid w:val="00FD3F1D"/>
    <w:rsid w:val="00FD43C1"/>
    <w:rsid w:val="00FE675C"/>
    <w:rsid w:val="00FE6879"/>
    <w:rsid w:val="00FE7E80"/>
    <w:rsid w:val="00FF069D"/>
    <w:rsid w:val="00FF0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A5DB2"/>
  <w15:docId w15:val="{8E59E1CA-6A43-4A71-87C9-EB4C5F1A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6C9F"/>
    <w:pPr>
      <w:spacing w:after="0" w:line="240" w:lineRule="auto"/>
    </w:pPr>
    <w:rPr>
      <w:rFonts w:ascii="Times New Roman" w:eastAsia="Calibri" w:hAnsi="Times New Roman" w:cs="Times New Roman"/>
      <w:sz w:val="20"/>
      <w:szCs w:val="20"/>
    </w:rPr>
  </w:style>
  <w:style w:type="paragraph" w:styleId="Heading1">
    <w:name w:val="heading 1"/>
    <w:basedOn w:val="Normal"/>
    <w:link w:val="Heading1Char"/>
    <w:uiPriority w:val="9"/>
    <w:qFormat/>
    <w:rsid w:val="00E320D5"/>
    <w:pPr>
      <w:spacing w:before="100" w:beforeAutospacing="1" w:after="100" w:afterAutospacing="1"/>
      <w:outlineLvl w:val="0"/>
    </w:pPr>
    <w:rPr>
      <w:rFonts w:eastAsia="Times New Roman"/>
      <w:b/>
      <w:bCs/>
      <w:kern w:val="36"/>
      <w:sz w:val="48"/>
      <w:szCs w:val="48"/>
      <w:lang w:eastAsia="en-GB"/>
    </w:rPr>
  </w:style>
  <w:style w:type="paragraph" w:styleId="Heading2">
    <w:name w:val="heading 2"/>
    <w:basedOn w:val="Normal"/>
    <w:next w:val="Normal"/>
    <w:link w:val="Heading2Char"/>
    <w:uiPriority w:val="9"/>
    <w:semiHidden/>
    <w:unhideWhenUsed/>
    <w:qFormat/>
    <w:rsid w:val="00656C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56C9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56C9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56C9F"/>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56C9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56C9F"/>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56C9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56C9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1AE"/>
    <w:pPr>
      <w:ind w:left="720"/>
      <w:contextualSpacing/>
    </w:pPr>
  </w:style>
  <w:style w:type="character" w:styleId="CommentReference">
    <w:name w:val="annotation reference"/>
    <w:basedOn w:val="DefaultParagraphFont"/>
    <w:uiPriority w:val="99"/>
    <w:semiHidden/>
    <w:unhideWhenUsed/>
    <w:rsid w:val="00A45A9F"/>
    <w:rPr>
      <w:sz w:val="16"/>
      <w:szCs w:val="16"/>
    </w:rPr>
  </w:style>
  <w:style w:type="paragraph" w:styleId="CommentText">
    <w:name w:val="annotation text"/>
    <w:basedOn w:val="Normal"/>
    <w:link w:val="CommentTextChar"/>
    <w:uiPriority w:val="99"/>
    <w:unhideWhenUsed/>
    <w:rsid w:val="00A45A9F"/>
  </w:style>
  <w:style w:type="character" w:customStyle="1" w:styleId="CommentTextChar">
    <w:name w:val="Comment Text Char"/>
    <w:basedOn w:val="DefaultParagraphFont"/>
    <w:link w:val="CommentText"/>
    <w:uiPriority w:val="99"/>
    <w:rsid w:val="00A45A9F"/>
    <w:rPr>
      <w:sz w:val="20"/>
      <w:szCs w:val="20"/>
    </w:rPr>
  </w:style>
  <w:style w:type="paragraph" w:styleId="CommentSubject">
    <w:name w:val="annotation subject"/>
    <w:basedOn w:val="CommentText"/>
    <w:next w:val="CommentText"/>
    <w:link w:val="CommentSubjectChar"/>
    <w:uiPriority w:val="99"/>
    <w:semiHidden/>
    <w:unhideWhenUsed/>
    <w:rsid w:val="00A45A9F"/>
    <w:rPr>
      <w:b/>
      <w:bCs/>
    </w:rPr>
  </w:style>
  <w:style w:type="character" w:customStyle="1" w:styleId="CommentSubjectChar">
    <w:name w:val="Comment Subject Char"/>
    <w:basedOn w:val="CommentTextChar"/>
    <w:link w:val="CommentSubject"/>
    <w:uiPriority w:val="99"/>
    <w:semiHidden/>
    <w:rsid w:val="00A45A9F"/>
    <w:rPr>
      <w:b/>
      <w:bCs/>
      <w:sz w:val="20"/>
      <w:szCs w:val="20"/>
    </w:rPr>
  </w:style>
  <w:style w:type="table" w:styleId="TableGrid">
    <w:name w:val="Table Grid"/>
    <w:basedOn w:val="TableNormal"/>
    <w:uiPriority w:val="39"/>
    <w:rsid w:val="000C7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wire-citation-authors">
    <w:name w:val="highwire-citation-authors"/>
    <w:basedOn w:val="DefaultParagraphFont"/>
    <w:rsid w:val="005B5AD6"/>
  </w:style>
  <w:style w:type="character" w:customStyle="1" w:styleId="highwire-citation-author">
    <w:name w:val="highwire-citation-author"/>
    <w:basedOn w:val="DefaultParagraphFont"/>
    <w:rsid w:val="005B5AD6"/>
  </w:style>
  <w:style w:type="character" w:customStyle="1" w:styleId="nlm-surname">
    <w:name w:val="nlm-surname"/>
    <w:basedOn w:val="DefaultParagraphFont"/>
    <w:rsid w:val="005B5AD6"/>
  </w:style>
  <w:style w:type="character" w:customStyle="1" w:styleId="citation-et">
    <w:name w:val="citation-et"/>
    <w:basedOn w:val="DefaultParagraphFont"/>
    <w:rsid w:val="005B5AD6"/>
  </w:style>
  <w:style w:type="character" w:customStyle="1" w:styleId="highwire-cite-metadata-journal">
    <w:name w:val="highwire-cite-metadata-journal"/>
    <w:basedOn w:val="DefaultParagraphFont"/>
    <w:rsid w:val="005B5AD6"/>
  </w:style>
  <w:style w:type="character" w:customStyle="1" w:styleId="highwire-cite-metadata-year">
    <w:name w:val="highwire-cite-metadata-year"/>
    <w:basedOn w:val="DefaultParagraphFont"/>
    <w:rsid w:val="005B5AD6"/>
  </w:style>
  <w:style w:type="character" w:customStyle="1" w:styleId="highwire-cite-metadata-volume">
    <w:name w:val="highwire-cite-metadata-volume"/>
    <w:basedOn w:val="DefaultParagraphFont"/>
    <w:rsid w:val="005B5AD6"/>
  </w:style>
  <w:style w:type="character" w:customStyle="1" w:styleId="highwire-cite-metadata-elocation-id">
    <w:name w:val="highwire-cite-metadata-elocation-id"/>
    <w:basedOn w:val="DefaultParagraphFont"/>
    <w:rsid w:val="005B5AD6"/>
  </w:style>
  <w:style w:type="paragraph" w:customStyle="1" w:styleId="EndNoteBibliography">
    <w:name w:val="EndNote Bibliography"/>
    <w:basedOn w:val="Normal"/>
    <w:link w:val="EndNoteBibliography0"/>
    <w:rsid w:val="007979F4"/>
    <w:rPr>
      <w:rFonts w:ascii="Calibri" w:eastAsia="PMingLiU" w:hAnsi="Calibri" w:cs="Calibri"/>
      <w:noProof/>
      <w:lang w:val="en-US"/>
    </w:rPr>
  </w:style>
  <w:style w:type="character" w:customStyle="1" w:styleId="EndNoteBibliography0">
    <w:name w:val="EndNote Bibliography 字元"/>
    <w:basedOn w:val="DefaultParagraphFont"/>
    <w:link w:val="EndNoteBibliography"/>
    <w:rsid w:val="007979F4"/>
    <w:rPr>
      <w:rFonts w:ascii="Calibri" w:eastAsia="PMingLiU" w:hAnsi="Calibri" w:cs="Calibri"/>
      <w:noProof/>
      <w:lang w:val="en-US"/>
    </w:rPr>
  </w:style>
  <w:style w:type="character" w:styleId="Hyperlink">
    <w:name w:val="Hyperlink"/>
    <w:basedOn w:val="DefaultParagraphFont"/>
    <w:uiPriority w:val="99"/>
    <w:unhideWhenUsed/>
    <w:rsid w:val="007979F4"/>
    <w:rPr>
      <w:color w:val="0563C1" w:themeColor="hyperlink"/>
      <w:u w:val="single"/>
    </w:rPr>
  </w:style>
  <w:style w:type="paragraph" w:styleId="BalloonText">
    <w:name w:val="Balloon Text"/>
    <w:basedOn w:val="Normal"/>
    <w:link w:val="BalloonTextChar"/>
    <w:uiPriority w:val="99"/>
    <w:semiHidden/>
    <w:unhideWhenUsed/>
    <w:rsid w:val="00154EDB"/>
    <w:rPr>
      <w:rFonts w:ascii="Tahoma" w:hAnsi="Tahoma" w:cs="Tahoma"/>
      <w:sz w:val="16"/>
      <w:szCs w:val="16"/>
    </w:rPr>
  </w:style>
  <w:style w:type="character" w:customStyle="1" w:styleId="BalloonTextChar">
    <w:name w:val="Balloon Text Char"/>
    <w:basedOn w:val="DefaultParagraphFont"/>
    <w:link w:val="BalloonText"/>
    <w:uiPriority w:val="99"/>
    <w:semiHidden/>
    <w:rsid w:val="00154EDB"/>
    <w:rPr>
      <w:rFonts w:ascii="Tahoma" w:hAnsi="Tahoma" w:cs="Tahoma"/>
      <w:sz w:val="16"/>
      <w:szCs w:val="16"/>
    </w:rPr>
  </w:style>
  <w:style w:type="character" w:customStyle="1" w:styleId="UnresolvedMention1">
    <w:name w:val="Unresolved Mention1"/>
    <w:basedOn w:val="DefaultParagraphFont"/>
    <w:uiPriority w:val="99"/>
    <w:semiHidden/>
    <w:unhideWhenUsed/>
    <w:rsid w:val="00CD05C2"/>
    <w:rPr>
      <w:color w:val="605E5C"/>
      <w:shd w:val="clear" w:color="auto" w:fill="E1DFDD"/>
    </w:rPr>
  </w:style>
  <w:style w:type="character" w:customStyle="1" w:styleId="Heading1Char">
    <w:name w:val="Heading 1 Char"/>
    <w:basedOn w:val="DefaultParagraphFont"/>
    <w:link w:val="Heading1"/>
    <w:uiPriority w:val="9"/>
    <w:rsid w:val="00E320D5"/>
    <w:rPr>
      <w:rFonts w:ascii="Times New Roman" w:eastAsia="Times New Roman" w:hAnsi="Times New Roman" w:cs="Times New Roman"/>
      <w:b/>
      <w:bCs/>
      <w:kern w:val="36"/>
      <w:sz w:val="48"/>
      <w:szCs w:val="48"/>
      <w:lang w:eastAsia="en-GB"/>
    </w:rPr>
  </w:style>
  <w:style w:type="table" w:customStyle="1" w:styleId="TableGrid1">
    <w:name w:val="Table Grid1"/>
    <w:basedOn w:val="TableNormal"/>
    <w:next w:val="TableGrid"/>
    <w:uiPriority w:val="39"/>
    <w:rsid w:val="00AC442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64A78"/>
    <w:rPr>
      <w:color w:val="954F72" w:themeColor="followedHyperlink"/>
      <w:u w:val="single"/>
    </w:rPr>
  </w:style>
  <w:style w:type="paragraph" w:styleId="Header">
    <w:name w:val="header"/>
    <w:basedOn w:val="Normal"/>
    <w:link w:val="HeaderChar"/>
    <w:uiPriority w:val="99"/>
    <w:unhideWhenUsed/>
    <w:rsid w:val="0085408E"/>
    <w:pPr>
      <w:tabs>
        <w:tab w:val="center" w:pos="4513"/>
        <w:tab w:val="right" w:pos="9026"/>
      </w:tabs>
    </w:pPr>
  </w:style>
  <w:style w:type="character" w:customStyle="1" w:styleId="HeaderChar">
    <w:name w:val="Header Char"/>
    <w:basedOn w:val="DefaultParagraphFont"/>
    <w:link w:val="Header"/>
    <w:uiPriority w:val="99"/>
    <w:rsid w:val="0085408E"/>
  </w:style>
  <w:style w:type="paragraph" w:styleId="Footer">
    <w:name w:val="footer"/>
    <w:basedOn w:val="Normal"/>
    <w:link w:val="FooterChar"/>
    <w:uiPriority w:val="99"/>
    <w:unhideWhenUsed/>
    <w:rsid w:val="0085408E"/>
    <w:pPr>
      <w:tabs>
        <w:tab w:val="center" w:pos="4513"/>
        <w:tab w:val="right" w:pos="9026"/>
      </w:tabs>
    </w:pPr>
  </w:style>
  <w:style w:type="character" w:customStyle="1" w:styleId="FooterChar">
    <w:name w:val="Footer Char"/>
    <w:basedOn w:val="DefaultParagraphFont"/>
    <w:link w:val="Footer"/>
    <w:uiPriority w:val="99"/>
    <w:rsid w:val="0085408E"/>
  </w:style>
  <w:style w:type="character" w:styleId="LineNumber">
    <w:name w:val="line number"/>
    <w:basedOn w:val="DefaultParagraphFont"/>
    <w:uiPriority w:val="99"/>
    <w:semiHidden/>
    <w:unhideWhenUsed/>
    <w:rsid w:val="0042458E"/>
  </w:style>
  <w:style w:type="paragraph" w:styleId="Revision">
    <w:name w:val="Revision"/>
    <w:hidden/>
    <w:uiPriority w:val="99"/>
    <w:semiHidden/>
    <w:rsid w:val="00D14AAA"/>
    <w:pPr>
      <w:spacing w:after="0" w:line="240" w:lineRule="auto"/>
    </w:pPr>
  </w:style>
  <w:style w:type="character" w:customStyle="1" w:styleId="UnresolvedMention2">
    <w:name w:val="Unresolved Mention2"/>
    <w:basedOn w:val="DefaultParagraphFont"/>
    <w:uiPriority w:val="99"/>
    <w:semiHidden/>
    <w:unhideWhenUsed/>
    <w:rsid w:val="00B46F9E"/>
    <w:rPr>
      <w:color w:val="605E5C"/>
      <w:shd w:val="clear" w:color="auto" w:fill="E1DFDD"/>
    </w:rPr>
  </w:style>
  <w:style w:type="character" w:customStyle="1" w:styleId="ng-binding">
    <w:name w:val="ng-binding"/>
    <w:basedOn w:val="DefaultParagraphFont"/>
    <w:rsid w:val="001125FC"/>
  </w:style>
  <w:style w:type="character" w:customStyle="1" w:styleId="UnresolvedMention3">
    <w:name w:val="Unresolved Mention3"/>
    <w:basedOn w:val="DefaultParagraphFont"/>
    <w:uiPriority w:val="99"/>
    <w:semiHidden/>
    <w:unhideWhenUsed/>
    <w:rsid w:val="00E67924"/>
    <w:rPr>
      <w:color w:val="605E5C"/>
      <w:shd w:val="clear" w:color="auto" w:fill="E1DFDD"/>
    </w:rPr>
  </w:style>
  <w:style w:type="character" w:customStyle="1" w:styleId="UnresolvedMention4">
    <w:name w:val="Unresolved Mention4"/>
    <w:basedOn w:val="DefaultParagraphFont"/>
    <w:uiPriority w:val="99"/>
    <w:semiHidden/>
    <w:unhideWhenUsed/>
    <w:rsid w:val="00D340AA"/>
    <w:rPr>
      <w:color w:val="605E5C"/>
      <w:shd w:val="clear" w:color="auto" w:fill="E1DFDD"/>
    </w:rPr>
  </w:style>
  <w:style w:type="paragraph" w:customStyle="1" w:styleId="TopicCode">
    <w:name w:val="TopicCode"/>
    <w:basedOn w:val="BaseText"/>
    <w:link w:val="TopicCodeChar"/>
    <w:rsid w:val="00656C9F"/>
    <w:pPr>
      <w:ind w:left="300"/>
    </w:pPr>
    <w:rPr>
      <w:color w:val="FF0000"/>
    </w:rPr>
  </w:style>
  <w:style w:type="paragraph" w:styleId="HTMLPreformatted">
    <w:name w:val="HTML Preformatted"/>
    <w:basedOn w:val="Normal"/>
    <w:link w:val="HTMLPreformattedChar"/>
    <w:uiPriority w:val="99"/>
    <w:semiHidden/>
    <w:unhideWhenUsed/>
    <w:rsid w:val="00656C9F"/>
    <w:rPr>
      <w:rFonts w:ascii="Consolas" w:hAnsi="Consolas"/>
    </w:rPr>
  </w:style>
  <w:style w:type="character" w:customStyle="1" w:styleId="TopicCodeChar">
    <w:name w:val="TopicCode Char"/>
    <w:basedOn w:val="DefaultParagraphFont"/>
    <w:link w:val="TopicCode"/>
    <w:rsid w:val="00656C9F"/>
    <w:rPr>
      <w:rFonts w:ascii="Times New Roman" w:eastAsia="Calibri" w:hAnsi="Times New Roman" w:cs="Times New Roman"/>
      <w:color w:val="FF0000"/>
      <w:sz w:val="24"/>
      <w:szCs w:val="20"/>
      <w:lang w:val="en-US"/>
    </w:rPr>
  </w:style>
  <w:style w:type="character" w:customStyle="1" w:styleId="HTMLPreformattedChar">
    <w:name w:val="HTML Preformatted Char"/>
    <w:basedOn w:val="DefaultParagraphFont"/>
    <w:link w:val="HTMLPreformatted"/>
    <w:uiPriority w:val="99"/>
    <w:semiHidden/>
    <w:rsid w:val="00656C9F"/>
    <w:rPr>
      <w:rFonts w:ascii="Consolas" w:hAnsi="Consolas"/>
      <w:sz w:val="20"/>
      <w:szCs w:val="20"/>
    </w:rPr>
  </w:style>
  <w:style w:type="paragraph" w:styleId="Bibliography">
    <w:name w:val="Bibliography"/>
    <w:basedOn w:val="Normal"/>
    <w:next w:val="Normal"/>
    <w:uiPriority w:val="37"/>
    <w:semiHidden/>
    <w:unhideWhenUsed/>
    <w:rsid w:val="00656C9F"/>
  </w:style>
  <w:style w:type="paragraph" w:styleId="BlockText">
    <w:name w:val="Block Text"/>
    <w:basedOn w:val="Normal"/>
    <w:uiPriority w:val="99"/>
    <w:semiHidden/>
    <w:unhideWhenUsed/>
    <w:rsid w:val="00656C9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656C9F"/>
    <w:pPr>
      <w:spacing w:after="120"/>
    </w:pPr>
  </w:style>
  <w:style w:type="character" w:customStyle="1" w:styleId="BodyTextChar">
    <w:name w:val="Body Text Char"/>
    <w:basedOn w:val="DefaultParagraphFont"/>
    <w:link w:val="BodyText"/>
    <w:uiPriority w:val="99"/>
    <w:semiHidden/>
    <w:rsid w:val="00656C9F"/>
  </w:style>
  <w:style w:type="paragraph" w:styleId="BodyText2">
    <w:name w:val="Body Text 2"/>
    <w:basedOn w:val="Normal"/>
    <w:link w:val="BodyText2Char"/>
    <w:uiPriority w:val="99"/>
    <w:semiHidden/>
    <w:unhideWhenUsed/>
    <w:rsid w:val="00656C9F"/>
    <w:pPr>
      <w:spacing w:after="120" w:line="480" w:lineRule="auto"/>
    </w:pPr>
  </w:style>
  <w:style w:type="character" w:customStyle="1" w:styleId="BodyText2Char">
    <w:name w:val="Body Text 2 Char"/>
    <w:basedOn w:val="DefaultParagraphFont"/>
    <w:link w:val="BodyText2"/>
    <w:uiPriority w:val="99"/>
    <w:semiHidden/>
    <w:rsid w:val="00656C9F"/>
  </w:style>
  <w:style w:type="paragraph" w:styleId="BodyText3">
    <w:name w:val="Body Text 3"/>
    <w:basedOn w:val="Normal"/>
    <w:link w:val="BodyText3Char"/>
    <w:uiPriority w:val="99"/>
    <w:semiHidden/>
    <w:unhideWhenUsed/>
    <w:rsid w:val="00656C9F"/>
    <w:pPr>
      <w:spacing w:after="120"/>
    </w:pPr>
    <w:rPr>
      <w:sz w:val="16"/>
      <w:szCs w:val="16"/>
    </w:rPr>
  </w:style>
  <w:style w:type="character" w:customStyle="1" w:styleId="BodyText3Char">
    <w:name w:val="Body Text 3 Char"/>
    <w:basedOn w:val="DefaultParagraphFont"/>
    <w:link w:val="BodyText3"/>
    <w:uiPriority w:val="99"/>
    <w:semiHidden/>
    <w:rsid w:val="00656C9F"/>
    <w:rPr>
      <w:sz w:val="16"/>
      <w:szCs w:val="16"/>
    </w:rPr>
  </w:style>
  <w:style w:type="paragraph" w:styleId="BodyTextFirstIndent">
    <w:name w:val="Body Text First Indent"/>
    <w:basedOn w:val="BodyText"/>
    <w:link w:val="BodyTextFirstIndentChar"/>
    <w:uiPriority w:val="99"/>
    <w:semiHidden/>
    <w:unhideWhenUsed/>
    <w:rsid w:val="00656C9F"/>
    <w:pPr>
      <w:spacing w:after="160"/>
      <w:ind w:firstLine="360"/>
    </w:pPr>
  </w:style>
  <w:style w:type="character" w:customStyle="1" w:styleId="BodyTextFirstIndentChar">
    <w:name w:val="Body Text First Indent Char"/>
    <w:basedOn w:val="BodyTextChar"/>
    <w:link w:val="BodyTextFirstIndent"/>
    <w:uiPriority w:val="99"/>
    <w:semiHidden/>
    <w:rsid w:val="00656C9F"/>
  </w:style>
  <w:style w:type="paragraph" w:styleId="BodyTextIndent">
    <w:name w:val="Body Text Indent"/>
    <w:basedOn w:val="Normal"/>
    <w:link w:val="BodyTextIndentChar"/>
    <w:uiPriority w:val="99"/>
    <w:semiHidden/>
    <w:unhideWhenUsed/>
    <w:rsid w:val="00656C9F"/>
    <w:pPr>
      <w:spacing w:after="120"/>
      <w:ind w:left="283"/>
    </w:pPr>
  </w:style>
  <w:style w:type="character" w:customStyle="1" w:styleId="BodyTextIndentChar">
    <w:name w:val="Body Text Indent Char"/>
    <w:basedOn w:val="DefaultParagraphFont"/>
    <w:link w:val="BodyTextIndent"/>
    <w:uiPriority w:val="99"/>
    <w:semiHidden/>
    <w:rsid w:val="00656C9F"/>
  </w:style>
  <w:style w:type="paragraph" w:styleId="BodyTextFirstIndent2">
    <w:name w:val="Body Text First Indent 2"/>
    <w:basedOn w:val="BodyTextIndent"/>
    <w:link w:val="BodyTextFirstIndent2Char"/>
    <w:uiPriority w:val="99"/>
    <w:semiHidden/>
    <w:unhideWhenUsed/>
    <w:rsid w:val="00656C9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656C9F"/>
  </w:style>
  <w:style w:type="paragraph" w:styleId="BodyTextIndent2">
    <w:name w:val="Body Text Indent 2"/>
    <w:basedOn w:val="Normal"/>
    <w:link w:val="BodyTextIndent2Char"/>
    <w:uiPriority w:val="99"/>
    <w:semiHidden/>
    <w:unhideWhenUsed/>
    <w:rsid w:val="00656C9F"/>
    <w:pPr>
      <w:spacing w:after="120" w:line="480" w:lineRule="auto"/>
      <w:ind w:left="283"/>
    </w:pPr>
  </w:style>
  <w:style w:type="character" w:customStyle="1" w:styleId="BodyTextIndent2Char">
    <w:name w:val="Body Text Indent 2 Char"/>
    <w:basedOn w:val="DefaultParagraphFont"/>
    <w:link w:val="BodyTextIndent2"/>
    <w:uiPriority w:val="99"/>
    <w:semiHidden/>
    <w:rsid w:val="00656C9F"/>
  </w:style>
  <w:style w:type="paragraph" w:styleId="BodyTextIndent3">
    <w:name w:val="Body Text Indent 3"/>
    <w:basedOn w:val="Normal"/>
    <w:link w:val="BodyTextIndent3Char"/>
    <w:uiPriority w:val="99"/>
    <w:semiHidden/>
    <w:unhideWhenUsed/>
    <w:rsid w:val="00656C9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56C9F"/>
    <w:rPr>
      <w:sz w:val="16"/>
      <w:szCs w:val="16"/>
    </w:rPr>
  </w:style>
  <w:style w:type="character" w:styleId="BookTitle">
    <w:name w:val="Book Title"/>
    <w:basedOn w:val="DefaultParagraphFont"/>
    <w:uiPriority w:val="33"/>
    <w:qFormat/>
    <w:rsid w:val="00656C9F"/>
    <w:rPr>
      <w:b/>
      <w:bCs/>
      <w:i/>
      <w:iCs/>
      <w:spacing w:val="5"/>
    </w:rPr>
  </w:style>
  <w:style w:type="paragraph" w:styleId="Caption">
    <w:name w:val="caption"/>
    <w:basedOn w:val="Normal"/>
    <w:next w:val="Normal"/>
    <w:uiPriority w:val="35"/>
    <w:semiHidden/>
    <w:unhideWhenUsed/>
    <w:qFormat/>
    <w:rsid w:val="00656C9F"/>
    <w:pPr>
      <w:spacing w:after="200"/>
    </w:pPr>
    <w:rPr>
      <w:i/>
      <w:iCs/>
      <w:color w:val="44546A" w:themeColor="text2"/>
      <w:sz w:val="18"/>
      <w:szCs w:val="18"/>
    </w:rPr>
  </w:style>
  <w:style w:type="paragraph" w:styleId="Closing">
    <w:name w:val="Closing"/>
    <w:basedOn w:val="Normal"/>
    <w:link w:val="ClosingChar"/>
    <w:uiPriority w:val="99"/>
    <w:semiHidden/>
    <w:unhideWhenUsed/>
    <w:rsid w:val="00656C9F"/>
    <w:pPr>
      <w:ind w:left="4252"/>
    </w:pPr>
  </w:style>
  <w:style w:type="character" w:customStyle="1" w:styleId="ClosingChar">
    <w:name w:val="Closing Char"/>
    <w:basedOn w:val="DefaultParagraphFont"/>
    <w:link w:val="Closing"/>
    <w:uiPriority w:val="99"/>
    <w:semiHidden/>
    <w:rsid w:val="00656C9F"/>
  </w:style>
  <w:style w:type="paragraph" w:styleId="Date">
    <w:name w:val="Date"/>
    <w:basedOn w:val="Normal"/>
    <w:next w:val="Normal"/>
    <w:link w:val="DateChar"/>
    <w:uiPriority w:val="99"/>
    <w:semiHidden/>
    <w:unhideWhenUsed/>
    <w:rsid w:val="00656C9F"/>
  </w:style>
  <w:style w:type="character" w:customStyle="1" w:styleId="DateChar">
    <w:name w:val="Date Char"/>
    <w:basedOn w:val="DefaultParagraphFont"/>
    <w:link w:val="Date"/>
    <w:uiPriority w:val="99"/>
    <w:semiHidden/>
    <w:rsid w:val="00656C9F"/>
  </w:style>
  <w:style w:type="paragraph" w:styleId="DocumentMap">
    <w:name w:val="Document Map"/>
    <w:basedOn w:val="Normal"/>
    <w:link w:val="DocumentMapChar"/>
    <w:uiPriority w:val="99"/>
    <w:semiHidden/>
    <w:unhideWhenUsed/>
    <w:rsid w:val="00656C9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56C9F"/>
    <w:rPr>
      <w:rFonts w:ascii="Segoe UI" w:hAnsi="Segoe UI" w:cs="Segoe UI"/>
      <w:sz w:val="16"/>
      <w:szCs w:val="16"/>
    </w:rPr>
  </w:style>
  <w:style w:type="paragraph" w:styleId="E-mailSignature">
    <w:name w:val="E-mail Signature"/>
    <w:basedOn w:val="Normal"/>
    <w:link w:val="E-mailSignatureChar"/>
    <w:uiPriority w:val="99"/>
    <w:semiHidden/>
    <w:unhideWhenUsed/>
    <w:rsid w:val="00656C9F"/>
  </w:style>
  <w:style w:type="character" w:customStyle="1" w:styleId="E-mailSignatureChar">
    <w:name w:val="E-mail Signature Char"/>
    <w:basedOn w:val="DefaultParagraphFont"/>
    <w:link w:val="E-mailSignature"/>
    <w:uiPriority w:val="99"/>
    <w:semiHidden/>
    <w:rsid w:val="00656C9F"/>
  </w:style>
  <w:style w:type="character" w:styleId="Emphasis">
    <w:name w:val="Emphasis"/>
    <w:basedOn w:val="DefaultParagraphFont"/>
    <w:uiPriority w:val="20"/>
    <w:qFormat/>
    <w:rsid w:val="00656C9F"/>
    <w:rPr>
      <w:i/>
      <w:iCs/>
    </w:rPr>
  </w:style>
  <w:style w:type="character" w:styleId="EndnoteReference">
    <w:name w:val="endnote reference"/>
    <w:basedOn w:val="DefaultParagraphFont"/>
    <w:uiPriority w:val="99"/>
    <w:semiHidden/>
    <w:unhideWhenUsed/>
    <w:rsid w:val="00656C9F"/>
    <w:rPr>
      <w:vertAlign w:val="superscript"/>
    </w:rPr>
  </w:style>
  <w:style w:type="paragraph" w:styleId="EndnoteText">
    <w:name w:val="endnote text"/>
    <w:basedOn w:val="Normal"/>
    <w:link w:val="EndnoteTextChar"/>
    <w:uiPriority w:val="99"/>
    <w:semiHidden/>
    <w:unhideWhenUsed/>
    <w:rsid w:val="00656C9F"/>
  </w:style>
  <w:style w:type="character" w:customStyle="1" w:styleId="EndnoteTextChar">
    <w:name w:val="Endnote Text Char"/>
    <w:basedOn w:val="DefaultParagraphFont"/>
    <w:link w:val="EndnoteText"/>
    <w:uiPriority w:val="99"/>
    <w:semiHidden/>
    <w:rsid w:val="00656C9F"/>
    <w:rPr>
      <w:sz w:val="20"/>
      <w:szCs w:val="20"/>
    </w:rPr>
  </w:style>
  <w:style w:type="paragraph" w:styleId="EnvelopeAddress">
    <w:name w:val="envelope address"/>
    <w:basedOn w:val="Normal"/>
    <w:uiPriority w:val="99"/>
    <w:semiHidden/>
    <w:unhideWhenUsed/>
    <w:rsid w:val="00656C9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56C9F"/>
    <w:rPr>
      <w:rFonts w:asciiTheme="majorHAnsi" w:eastAsiaTheme="majorEastAsia" w:hAnsiTheme="majorHAnsi" w:cstheme="majorBidi"/>
    </w:rPr>
  </w:style>
  <w:style w:type="character" w:styleId="FootnoteReference">
    <w:name w:val="footnote reference"/>
    <w:basedOn w:val="DefaultParagraphFont"/>
    <w:uiPriority w:val="99"/>
    <w:semiHidden/>
    <w:unhideWhenUsed/>
    <w:rsid w:val="00656C9F"/>
    <w:rPr>
      <w:vertAlign w:val="superscript"/>
    </w:rPr>
  </w:style>
  <w:style w:type="paragraph" w:styleId="FootnoteText">
    <w:name w:val="footnote text"/>
    <w:basedOn w:val="Normal"/>
    <w:link w:val="FootnoteTextChar"/>
    <w:uiPriority w:val="99"/>
    <w:semiHidden/>
    <w:unhideWhenUsed/>
    <w:rsid w:val="00656C9F"/>
  </w:style>
  <w:style w:type="character" w:customStyle="1" w:styleId="FootnoteTextChar">
    <w:name w:val="Footnote Text Char"/>
    <w:basedOn w:val="DefaultParagraphFont"/>
    <w:link w:val="FootnoteText"/>
    <w:uiPriority w:val="99"/>
    <w:semiHidden/>
    <w:rsid w:val="00656C9F"/>
    <w:rPr>
      <w:sz w:val="20"/>
      <w:szCs w:val="20"/>
    </w:rPr>
  </w:style>
  <w:style w:type="character" w:customStyle="1" w:styleId="Hashtag1">
    <w:name w:val="Hashtag1"/>
    <w:basedOn w:val="DefaultParagraphFont"/>
    <w:uiPriority w:val="99"/>
    <w:semiHidden/>
    <w:unhideWhenUsed/>
    <w:rsid w:val="00656C9F"/>
    <w:rPr>
      <w:color w:val="2B579A"/>
      <w:shd w:val="clear" w:color="auto" w:fill="E1DFDD"/>
    </w:rPr>
  </w:style>
  <w:style w:type="character" w:customStyle="1" w:styleId="Heading2Char">
    <w:name w:val="Heading 2 Char"/>
    <w:basedOn w:val="DefaultParagraphFont"/>
    <w:link w:val="Heading2"/>
    <w:uiPriority w:val="9"/>
    <w:semiHidden/>
    <w:rsid w:val="00656C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56C9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56C9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56C9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56C9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56C9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56C9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56C9F"/>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656C9F"/>
  </w:style>
  <w:style w:type="paragraph" w:styleId="HTMLAddress">
    <w:name w:val="HTML Address"/>
    <w:basedOn w:val="Normal"/>
    <w:link w:val="HTMLAddressChar"/>
    <w:uiPriority w:val="99"/>
    <w:semiHidden/>
    <w:unhideWhenUsed/>
    <w:rsid w:val="00656C9F"/>
    <w:rPr>
      <w:i/>
      <w:iCs/>
    </w:rPr>
  </w:style>
  <w:style w:type="character" w:customStyle="1" w:styleId="HTMLAddressChar">
    <w:name w:val="HTML Address Char"/>
    <w:basedOn w:val="DefaultParagraphFont"/>
    <w:link w:val="HTMLAddress"/>
    <w:uiPriority w:val="99"/>
    <w:semiHidden/>
    <w:rsid w:val="00656C9F"/>
    <w:rPr>
      <w:i/>
      <w:iCs/>
    </w:rPr>
  </w:style>
  <w:style w:type="character" w:styleId="HTMLCite">
    <w:name w:val="HTML Cite"/>
    <w:basedOn w:val="DefaultParagraphFont"/>
    <w:uiPriority w:val="99"/>
    <w:semiHidden/>
    <w:unhideWhenUsed/>
    <w:rsid w:val="00656C9F"/>
    <w:rPr>
      <w:i/>
      <w:iCs/>
    </w:rPr>
  </w:style>
  <w:style w:type="character" w:styleId="HTMLCode">
    <w:name w:val="HTML Code"/>
    <w:basedOn w:val="DefaultParagraphFont"/>
    <w:uiPriority w:val="99"/>
    <w:semiHidden/>
    <w:unhideWhenUsed/>
    <w:rsid w:val="00656C9F"/>
    <w:rPr>
      <w:rFonts w:ascii="Consolas" w:hAnsi="Consolas"/>
      <w:sz w:val="20"/>
      <w:szCs w:val="20"/>
    </w:rPr>
  </w:style>
  <w:style w:type="character" w:styleId="HTMLDefinition">
    <w:name w:val="HTML Definition"/>
    <w:basedOn w:val="DefaultParagraphFont"/>
    <w:uiPriority w:val="99"/>
    <w:semiHidden/>
    <w:unhideWhenUsed/>
    <w:rsid w:val="00656C9F"/>
    <w:rPr>
      <w:i/>
      <w:iCs/>
    </w:rPr>
  </w:style>
  <w:style w:type="character" w:styleId="HTMLKeyboard">
    <w:name w:val="HTML Keyboard"/>
    <w:basedOn w:val="DefaultParagraphFont"/>
    <w:uiPriority w:val="99"/>
    <w:semiHidden/>
    <w:unhideWhenUsed/>
    <w:rsid w:val="00656C9F"/>
    <w:rPr>
      <w:rFonts w:ascii="Consolas" w:hAnsi="Consolas"/>
      <w:sz w:val="20"/>
      <w:szCs w:val="20"/>
    </w:rPr>
  </w:style>
  <w:style w:type="character" w:styleId="HTMLSample">
    <w:name w:val="HTML Sample"/>
    <w:basedOn w:val="DefaultParagraphFont"/>
    <w:uiPriority w:val="99"/>
    <w:semiHidden/>
    <w:unhideWhenUsed/>
    <w:rsid w:val="00656C9F"/>
    <w:rPr>
      <w:rFonts w:ascii="Consolas" w:hAnsi="Consolas"/>
      <w:sz w:val="24"/>
      <w:szCs w:val="24"/>
    </w:rPr>
  </w:style>
  <w:style w:type="character" w:styleId="HTMLTypewriter">
    <w:name w:val="HTML Typewriter"/>
    <w:basedOn w:val="DefaultParagraphFont"/>
    <w:uiPriority w:val="99"/>
    <w:semiHidden/>
    <w:unhideWhenUsed/>
    <w:rsid w:val="00656C9F"/>
    <w:rPr>
      <w:rFonts w:ascii="Consolas" w:hAnsi="Consolas"/>
      <w:sz w:val="20"/>
      <w:szCs w:val="20"/>
    </w:rPr>
  </w:style>
  <w:style w:type="character" w:styleId="HTMLVariable">
    <w:name w:val="HTML Variable"/>
    <w:basedOn w:val="DefaultParagraphFont"/>
    <w:uiPriority w:val="99"/>
    <w:semiHidden/>
    <w:unhideWhenUsed/>
    <w:rsid w:val="00656C9F"/>
    <w:rPr>
      <w:i/>
      <w:iCs/>
    </w:rPr>
  </w:style>
  <w:style w:type="paragraph" w:styleId="Index1">
    <w:name w:val="index 1"/>
    <w:basedOn w:val="Normal"/>
    <w:next w:val="Normal"/>
    <w:autoRedefine/>
    <w:uiPriority w:val="99"/>
    <w:semiHidden/>
    <w:unhideWhenUsed/>
    <w:rsid w:val="00656C9F"/>
    <w:pPr>
      <w:ind w:left="220" w:hanging="220"/>
    </w:pPr>
  </w:style>
  <w:style w:type="paragraph" w:styleId="Index2">
    <w:name w:val="index 2"/>
    <w:basedOn w:val="Normal"/>
    <w:next w:val="Normal"/>
    <w:autoRedefine/>
    <w:uiPriority w:val="99"/>
    <w:semiHidden/>
    <w:unhideWhenUsed/>
    <w:rsid w:val="00656C9F"/>
    <w:pPr>
      <w:ind w:left="440" w:hanging="220"/>
    </w:pPr>
  </w:style>
  <w:style w:type="paragraph" w:styleId="Index3">
    <w:name w:val="index 3"/>
    <w:basedOn w:val="Normal"/>
    <w:next w:val="Normal"/>
    <w:autoRedefine/>
    <w:uiPriority w:val="99"/>
    <w:semiHidden/>
    <w:unhideWhenUsed/>
    <w:rsid w:val="00656C9F"/>
    <w:pPr>
      <w:ind w:left="660" w:hanging="220"/>
    </w:pPr>
  </w:style>
  <w:style w:type="paragraph" w:styleId="Index4">
    <w:name w:val="index 4"/>
    <w:basedOn w:val="Normal"/>
    <w:next w:val="Normal"/>
    <w:autoRedefine/>
    <w:uiPriority w:val="99"/>
    <w:semiHidden/>
    <w:unhideWhenUsed/>
    <w:rsid w:val="00656C9F"/>
    <w:pPr>
      <w:ind w:left="880" w:hanging="220"/>
    </w:pPr>
  </w:style>
  <w:style w:type="paragraph" w:styleId="Index5">
    <w:name w:val="index 5"/>
    <w:basedOn w:val="Normal"/>
    <w:next w:val="Normal"/>
    <w:autoRedefine/>
    <w:uiPriority w:val="99"/>
    <w:semiHidden/>
    <w:unhideWhenUsed/>
    <w:rsid w:val="00656C9F"/>
    <w:pPr>
      <w:ind w:left="1100" w:hanging="220"/>
    </w:pPr>
  </w:style>
  <w:style w:type="paragraph" w:styleId="Index6">
    <w:name w:val="index 6"/>
    <w:basedOn w:val="Normal"/>
    <w:next w:val="Normal"/>
    <w:autoRedefine/>
    <w:uiPriority w:val="99"/>
    <w:semiHidden/>
    <w:unhideWhenUsed/>
    <w:rsid w:val="00656C9F"/>
    <w:pPr>
      <w:ind w:left="1320" w:hanging="220"/>
    </w:pPr>
  </w:style>
  <w:style w:type="paragraph" w:styleId="Index7">
    <w:name w:val="index 7"/>
    <w:basedOn w:val="Normal"/>
    <w:next w:val="Normal"/>
    <w:autoRedefine/>
    <w:uiPriority w:val="99"/>
    <w:semiHidden/>
    <w:unhideWhenUsed/>
    <w:rsid w:val="00656C9F"/>
    <w:pPr>
      <w:ind w:left="1540" w:hanging="220"/>
    </w:pPr>
  </w:style>
  <w:style w:type="paragraph" w:styleId="Index8">
    <w:name w:val="index 8"/>
    <w:basedOn w:val="Normal"/>
    <w:next w:val="Normal"/>
    <w:autoRedefine/>
    <w:uiPriority w:val="99"/>
    <w:semiHidden/>
    <w:unhideWhenUsed/>
    <w:rsid w:val="00656C9F"/>
    <w:pPr>
      <w:ind w:left="1760" w:hanging="220"/>
    </w:pPr>
  </w:style>
  <w:style w:type="paragraph" w:styleId="Index9">
    <w:name w:val="index 9"/>
    <w:basedOn w:val="Normal"/>
    <w:next w:val="Normal"/>
    <w:autoRedefine/>
    <w:uiPriority w:val="99"/>
    <w:semiHidden/>
    <w:unhideWhenUsed/>
    <w:rsid w:val="00656C9F"/>
    <w:pPr>
      <w:ind w:left="1980" w:hanging="220"/>
    </w:pPr>
  </w:style>
  <w:style w:type="paragraph" w:styleId="IndexHeading">
    <w:name w:val="index heading"/>
    <w:basedOn w:val="Normal"/>
    <w:next w:val="Index1"/>
    <w:uiPriority w:val="99"/>
    <w:semiHidden/>
    <w:unhideWhenUsed/>
    <w:rsid w:val="00656C9F"/>
    <w:rPr>
      <w:rFonts w:asciiTheme="majorHAnsi" w:eastAsiaTheme="majorEastAsia" w:hAnsiTheme="majorHAnsi" w:cstheme="majorBidi"/>
      <w:b/>
      <w:bCs/>
    </w:rPr>
  </w:style>
  <w:style w:type="character" w:styleId="IntenseEmphasis">
    <w:name w:val="Intense Emphasis"/>
    <w:basedOn w:val="DefaultParagraphFont"/>
    <w:uiPriority w:val="21"/>
    <w:qFormat/>
    <w:rsid w:val="00656C9F"/>
    <w:rPr>
      <w:i/>
      <w:iCs/>
      <w:color w:val="4472C4" w:themeColor="accent1"/>
    </w:rPr>
  </w:style>
  <w:style w:type="paragraph" w:styleId="IntenseQuote">
    <w:name w:val="Intense Quote"/>
    <w:basedOn w:val="Normal"/>
    <w:next w:val="Normal"/>
    <w:link w:val="IntenseQuoteChar"/>
    <w:uiPriority w:val="30"/>
    <w:qFormat/>
    <w:rsid w:val="00656C9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6C9F"/>
    <w:rPr>
      <w:i/>
      <w:iCs/>
      <w:color w:val="4472C4" w:themeColor="accent1"/>
    </w:rPr>
  </w:style>
  <w:style w:type="character" w:styleId="IntenseReference">
    <w:name w:val="Intense Reference"/>
    <w:basedOn w:val="DefaultParagraphFont"/>
    <w:uiPriority w:val="32"/>
    <w:qFormat/>
    <w:rsid w:val="00656C9F"/>
    <w:rPr>
      <w:b/>
      <w:bCs/>
      <w:smallCaps/>
      <w:color w:val="4472C4" w:themeColor="accent1"/>
      <w:spacing w:val="5"/>
    </w:rPr>
  </w:style>
  <w:style w:type="paragraph" w:styleId="List">
    <w:name w:val="List"/>
    <w:basedOn w:val="Normal"/>
    <w:uiPriority w:val="99"/>
    <w:semiHidden/>
    <w:unhideWhenUsed/>
    <w:rsid w:val="00656C9F"/>
    <w:pPr>
      <w:ind w:left="283" w:hanging="283"/>
      <w:contextualSpacing/>
    </w:pPr>
  </w:style>
  <w:style w:type="paragraph" w:styleId="List2">
    <w:name w:val="List 2"/>
    <w:basedOn w:val="Normal"/>
    <w:uiPriority w:val="99"/>
    <w:semiHidden/>
    <w:unhideWhenUsed/>
    <w:rsid w:val="00656C9F"/>
    <w:pPr>
      <w:ind w:left="566" w:hanging="283"/>
      <w:contextualSpacing/>
    </w:pPr>
  </w:style>
  <w:style w:type="paragraph" w:styleId="List3">
    <w:name w:val="List 3"/>
    <w:basedOn w:val="Normal"/>
    <w:uiPriority w:val="99"/>
    <w:semiHidden/>
    <w:unhideWhenUsed/>
    <w:rsid w:val="00656C9F"/>
    <w:pPr>
      <w:ind w:left="849" w:hanging="283"/>
      <w:contextualSpacing/>
    </w:pPr>
  </w:style>
  <w:style w:type="paragraph" w:styleId="List4">
    <w:name w:val="List 4"/>
    <w:basedOn w:val="Normal"/>
    <w:uiPriority w:val="99"/>
    <w:semiHidden/>
    <w:unhideWhenUsed/>
    <w:rsid w:val="00656C9F"/>
    <w:pPr>
      <w:ind w:left="1132" w:hanging="283"/>
      <w:contextualSpacing/>
    </w:pPr>
  </w:style>
  <w:style w:type="paragraph" w:styleId="List5">
    <w:name w:val="List 5"/>
    <w:basedOn w:val="Normal"/>
    <w:uiPriority w:val="99"/>
    <w:semiHidden/>
    <w:unhideWhenUsed/>
    <w:rsid w:val="00656C9F"/>
    <w:pPr>
      <w:ind w:left="1415" w:hanging="283"/>
      <w:contextualSpacing/>
    </w:pPr>
  </w:style>
  <w:style w:type="paragraph" w:styleId="ListBullet">
    <w:name w:val="List Bullet"/>
    <w:basedOn w:val="Normal"/>
    <w:uiPriority w:val="99"/>
    <w:semiHidden/>
    <w:unhideWhenUsed/>
    <w:rsid w:val="00656C9F"/>
    <w:pPr>
      <w:tabs>
        <w:tab w:val="num" w:pos="360"/>
      </w:tabs>
      <w:ind w:left="360" w:hanging="360"/>
      <w:contextualSpacing/>
    </w:pPr>
  </w:style>
  <w:style w:type="paragraph" w:styleId="ListBullet2">
    <w:name w:val="List Bullet 2"/>
    <w:basedOn w:val="Normal"/>
    <w:uiPriority w:val="99"/>
    <w:semiHidden/>
    <w:unhideWhenUsed/>
    <w:rsid w:val="00656C9F"/>
    <w:pPr>
      <w:tabs>
        <w:tab w:val="num" w:pos="643"/>
      </w:tabs>
      <w:ind w:left="643" w:hanging="360"/>
      <w:contextualSpacing/>
    </w:pPr>
  </w:style>
  <w:style w:type="paragraph" w:styleId="ListBullet3">
    <w:name w:val="List Bullet 3"/>
    <w:basedOn w:val="Normal"/>
    <w:uiPriority w:val="99"/>
    <w:semiHidden/>
    <w:unhideWhenUsed/>
    <w:rsid w:val="00656C9F"/>
    <w:pPr>
      <w:tabs>
        <w:tab w:val="num" w:pos="926"/>
      </w:tabs>
      <w:ind w:left="926" w:hanging="360"/>
      <w:contextualSpacing/>
    </w:pPr>
  </w:style>
  <w:style w:type="paragraph" w:styleId="ListBullet4">
    <w:name w:val="List Bullet 4"/>
    <w:basedOn w:val="Normal"/>
    <w:uiPriority w:val="99"/>
    <w:semiHidden/>
    <w:unhideWhenUsed/>
    <w:rsid w:val="00656C9F"/>
    <w:pPr>
      <w:tabs>
        <w:tab w:val="num" w:pos="1209"/>
      </w:tabs>
      <w:ind w:left="1209" w:hanging="360"/>
      <w:contextualSpacing/>
    </w:pPr>
  </w:style>
  <w:style w:type="paragraph" w:styleId="ListBullet5">
    <w:name w:val="List Bullet 5"/>
    <w:basedOn w:val="Normal"/>
    <w:uiPriority w:val="99"/>
    <w:semiHidden/>
    <w:unhideWhenUsed/>
    <w:rsid w:val="00656C9F"/>
    <w:pPr>
      <w:tabs>
        <w:tab w:val="num" w:pos="1492"/>
      </w:tabs>
      <w:ind w:left="1492" w:hanging="360"/>
      <w:contextualSpacing/>
    </w:pPr>
  </w:style>
  <w:style w:type="paragraph" w:styleId="ListContinue">
    <w:name w:val="List Continue"/>
    <w:basedOn w:val="Normal"/>
    <w:uiPriority w:val="99"/>
    <w:semiHidden/>
    <w:unhideWhenUsed/>
    <w:rsid w:val="00656C9F"/>
    <w:pPr>
      <w:spacing w:after="120"/>
      <w:ind w:left="283"/>
      <w:contextualSpacing/>
    </w:pPr>
  </w:style>
  <w:style w:type="paragraph" w:styleId="ListContinue2">
    <w:name w:val="List Continue 2"/>
    <w:basedOn w:val="Normal"/>
    <w:uiPriority w:val="99"/>
    <w:semiHidden/>
    <w:unhideWhenUsed/>
    <w:rsid w:val="00656C9F"/>
    <w:pPr>
      <w:spacing w:after="120"/>
      <w:ind w:left="566"/>
      <w:contextualSpacing/>
    </w:pPr>
  </w:style>
  <w:style w:type="paragraph" w:styleId="ListContinue3">
    <w:name w:val="List Continue 3"/>
    <w:basedOn w:val="Normal"/>
    <w:uiPriority w:val="99"/>
    <w:semiHidden/>
    <w:unhideWhenUsed/>
    <w:rsid w:val="00656C9F"/>
    <w:pPr>
      <w:spacing w:after="120"/>
      <w:ind w:left="849"/>
      <w:contextualSpacing/>
    </w:pPr>
  </w:style>
  <w:style w:type="paragraph" w:styleId="ListContinue4">
    <w:name w:val="List Continue 4"/>
    <w:basedOn w:val="Normal"/>
    <w:uiPriority w:val="99"/>
    <w:semiHidden/>
    <w:unhideWhenUsed/>
    <w:rsid w:val="00656C9F"/>
    <w:pPr>
      <w:spacing w:after="120"/>
      <w:ind w:left="1132"/>
      <w:contextualSpacing/>
    </w:pPr>
  </w:style>
  <w:style w:type="paragraph" w:styleId="ListContinue5">
    <w:name w:val="List Continue 5"/>
    <w:basedOn w:val="Normal"/>
    <w:uiPriority w:val="99"/>
    <w:semiHidden/>
    <w:unhideWhenUsed/>
    <w:rsid w:val="00656C9F"/>
    <w:pPr>
      <w:spacing w:after="120"/>
      <w:ind w:left="1415"/>
      <w:contextualSpacing/>
    </w:pPr>
  </w:style>
  <w:style w:type="paragraph" w:styleId="ListNumber">
    <w:name w:val="List Number"/>
    <w:basedOn w:val="Normal"/>
    <w:uiPriority w:val="99"/>
    <w:semiHidden/>
    <w:unhideWhenUsed/>
    <w:rsid w:val="00656C9F"/>
    <w:pPr>
      <w:tabs>
        <w:tab w:val="num" w:pos="360"/>
      </w:tabs>
      <w:ind w:left="360" w:hanging="360"/>
      <w:contextualSpacing/>
    </w:pPr>
  </w:style>
  <w:style w:type="paragraph" w:styleId="ListNumber2">
    <w:name w:val="List Number 2"/>
    <w:basedOn w:val="Normal"/>
    <w:uiPriority w:val="99"/>
    <w:semiHidden/>
    <w:unhideWhenUsed/>
    <w:rsid w:val="00656C9F"/>
    <w:pPr>
      <w:tabs>
        <w:tab w:val="num" w:pos="643"/>
      </w:tabs>
      <w:ind w:left="643" w:hanging="360"/>
      <w:contextualSpacing/>
    </w:pPr>
  </w:style>
  <w:style w:type="paragraph" w:styleId="ListNumber3">
    <w:name w:val="List Number 3"/>
    <w:basedOn w:val="Normal"/>
    <w:uiPriority w:val="99"/>
    <w:semiHidden/>
    <w:unhideWhenUsed/>
    <w:rsid w:val="00656C9F"/>
    <w:pPr>
      <w:tabs>
        <w:tab w:val="num" w:pos="926"/>
      </w:tabs>
      <w:ind w:left="926" w:hanging="360"/>
      <w:contextualSpacing/>
    </w:pPr>
  </w:style>
  <w:style w:type="paragraph" w:styleId="ListNumber4">
    <w:name w:val="List Number 4"/>
    <w:basedOn w:val="Normal"/>
    <w:uiPriority w:val="99"/>
    <w:semiHidden/>
    <w:unhideWhenUsed/>
    <w:rsid w:val="00656C9F"/>
    <w:pPr>
      <w:tabs>
        <w:tab w:val="num" w:pos="1209"/>
      </w:tabs>
      <w:ind w:left="1209" w:hanging="360"/>
      <w:contextualSpacing/>
    </w:pPr>
  </w:style>
  <w:style w:type="paragraph" w:styleId="ListNumber5">
    <w:name w:val="List Number 5"/>
    <w:basedOn w:val="Normal"/>
    <w:uiPriority w:val="99"/>
    <w:semiHidden/>
    <w:unhideWhenUsed/>
    <w:rsid w:val="00656C9F"/>
    <w:pPr>
      <w:tabs>
        <w:tab w:val="num" w:pos="1492"/>
      </w:tabs>
      <w:ind w:left="1492" w:hanging="360"/>
      <w:contextualSpacing/>
    </w:pPr>
  </w:style>
  <w:style w:type="paragraph" w:styleId="MacroText">
    <w:name w:val="macro"/>
    <w:link w:val="MacroTextChar"/>
    <w:uiPriority w:val="99"/>
    <w:semiHidden/>
    <w:unhideWhenUsed/>
    <w:rsid w:val="00656C9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656C9F"/>
    <w:rPr>
      <w:rFonts w:ascii="Consolas" w:hAnsi="Consolas"/>
      <w:sz w:val="20"/>
      <w:szCs w:val="20"/>
    </w:rPr>
  </w:style>
  <w:style w:type="character" w:customStyle="1" w:styleId="Mention1">
    <w:name w:val="Mention1"/>
    <w:basedOn w:val="DefaultParagraphFont"/>
    <w:uiPriority w:val="99"/>
    <w:semiHidden/>
    <w:unhideWhenUsed/>
    <w:rsid w:val="00656C9F"/>
    <w:rPr>
      <w:color w:val="2B579A"/>
      <w:shd w:val="clear" w:color="auto" w:fill="E1DFDD"/>
    </w:rPr>
  </w:style>
  <w:style w:type="paragraph" w:styleId="MessageHeader">
    <w:name w:val="Message Header"/>
    <w:basedOn w:val="Normal"/>
    <w:link w:val="MessageHeaderChar"/>
    <w:uiPriority w:val="99"/>
    <w:semiHidden/>
    <w:unhideWhenUsed/>
    <w:rsid w:val="00656C9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56C9F"/>
    <w:rPr>
      <w:rFonts w:asciiTheme="majorHAnsi" w:eastAsiaTheme="majorEastAsia" w:hAnsiTheme="majorHAnsi" w:cstheme="majorBidi"/>
      <w:sz w:val="24"/>
      <w:szCs w:val="24"/>
      <w:shd w:val="pct20" w:color="auto" w:fill="auto"/>
    </w:rPr>
  </w:style>
  <w:style w:type="paragraph" w:styleId="NoSpacing">
    <w:name w:val="No Spacing"/>
    <w:uiPriority w:val="1"/>
    <w:qFormat/>
    <w:rsid w:val="00656C9F"/>
    <w:pPr>
      <w:spacing w:after="0" w:line="240" w:lineRule="auto"/>
    </w:pPr>
  </w:style>
  <w:style w:type="paragraph" w:styleId="NormalWeb">
    <w:name w:val="Normal (Web)"/>
    <w:basedOn w:val="Normal"/>
    <w:uiPriority w:val="99"/>
    <w:semiHidden/>
    <w:unhideWhenUsed/>
    <w:rsid w:val="00656C9F"/>
    <w:rPr>
      <w:sz w:val="24"/>
      <w:szCs w:val="24"/>
    </w:rPr>
  </w:style>
  <w:style w:type="paragraph" w:styleId="NormalIndent">
    <w:name w:val="Normal Indent"/>
    <w:basedOn w:val="Normal"/>
    <w:uiPriority w:val="99"/>
    <w:semiHidden/>
    <w:unhideWhenUsed/>
    <w:rsid w:val="00656C9F"/>
    <w:pPr>
      <w:ind w:left="720"/>
    </w:pPr>
  </w:style>
  <w:style w:type="paragraph" w:styleId="NoteHeading">
    <w:name w:val="Note Heading"/>
    <w:basedOn w:val="Normal"/>
    <w:next w:val="Normal"/>
    <w:link w:val="NoteHeadingChar"/>
    <w:uiPriority w:val="99"/>
    <w:semiHidden/>
    <w:unhideWhenUsed/>
    <w:rsid w:val="00656C9F"/>
  </w:style>
  <w:style w:type="character" w:customStyle="1" w:styleId="NoteHeadingChar">
    <w:name w:val="Note Heading Char"/>
    <w:basedOn w:val="DefaultParagraphFont"/>
    <w:link w:val="NoteHeading"/>
    <w:uiPriority w:val="99"/>
    <w:semiHidden/>
    <w:rsid w:val="00656C9F"/>
  </w:style>
  <w:style w:type="character" w:styleId="PageNumber">
    <w:name w:val="page number"/>
    <w:basedOn w:val="DefaultParagraphFont"/>
    <w:uiPriority w:val="99"/>
    <w:semiHidden/>
    <w:unhideWhenUsed/>
    <w:rsid w:val="00656C9F"/>
  </w:style>
  <w:style w:type="character" w:styleId="PlaceholderText">
    <w:name w:val="Placeholder Text"/>
    <w:basedOn w:val="DefaultParagraphFont"/>
    <w:uiPriority w:val="99"/>
    <w:semiHidden/>
    <w:rsid w:val="00656C9F"/>
    <w:rPr>
      <w:color w:val="808080"/>
    </w:rPr>
  </w:style>
  <w:style w:type="paragraph" w:styleId="PlainText">
    <w:name w:val="Plain Text"/>
    <w:basedOn w:val="Normal"/>
    <w:link w:val="PlainTextChar"/>
    <w:uiPriority w:val="99"/>
    <w:semiHidden/>
    <w:unhideWhenUsed/>
    <w:rsid w:val="00656C9F"/>
    <w:rPr>
      <w:rFonts w:ascii="Consolas" w:hAnsi="Consolas"/>
      <w:sz w:val="21"/>
      <w:szCs w:val="21"/>
    </w:rPr>
  </w:style>
  <w:style w:type="character" w:customStyle="1" w:styleId="PlainTextChar">
    <w:name w:val="Plain Text Char"/>
    <w:basedOn w:val="DefaultParagraphFont"/>
    <w:link w:val="PlainText"/>
    <w:uiPriority w:val="99"/>
    <w:semiHidden/>
    <w:rsid w:val="00656C9F"/>
    <w:rPr>
      <w:rFonts w:ascii="Consolas" w:hAnsi="Consolas"/>
      <w:sz w:val="21"/>
      <w:szCs w:val="21"/>
    </w:rPr>
  </w:style>
  <w:style w:type="paragraph" w:styleId="Quote">
    <w:name w:val="Quote"/>
    <w:basedOn w:val="Normal"/>
    <w:next w:val="Normal"/>
    <w:link w:val="QuoteChar"/>
    <w:uiPriority w:val="29"/>
    <w:qFormat/>
    <w:rsid w:val="00656C9F"/>
    <w:pPr>
      <w:spacing w:before="60" w:after="60"/>
      <w:ind w:left="360"/>
    </w:pPr>
    <w:rPr>
      <w:i/>
      <w:iCs/>
      <w:color w:val="000000"/>
      <w:sz w:val="24"/>
      <w:lang w:val="x-none" w:eastAsia="x-none"/>
    </w:rPr>
  </w:style>
  <w:style w:type="character" w:customStyle="1" w:styleId="QuoteChar">
    <w:name w:val="Quote Char"/>
    <w:link w:val="Quote"/>
    <w:uiPriority w:val="29"/>
    <w:rsid w:val="00656C9F"/>
    <w:rPr>
      <w:rFonts w:ascii="Times New Roman" w:eastAsia="Calibri" w:hAnsi="Times New Roman" w:cs="Times New Roman"/>
      <w:i/>
      <w:iCs/>
      <w:color w:val="000000"/>
      <w:sz w:val="24"/>
      <w:szCs w:val="20"/>
      <w:lang w:val="x-none" w:eastAsia="x-none"/>
    </w:rPr>
  </w:style>
  <w:style w:type="paragraph" w:styleId="Salutation">
    <w:name w:val="Salutation"/>
    <w:basedOn w:val="Normal"/>
    <w:next w:val="Normal"/>
    <w:link w:val="SalutationChar"/>
    <w:uiPriority w:val="99"/>
    <w:semiHidden/>
    <w:unhideWhenUsed/>
    <w:rsid w:val="00656C9F"/>
  </w:style>
  <w:style w:type="character" w:customStyle="1" w:styleId="SalutationChar">
    <w:name w:val="Salutation Char"/>
    <w:basedOn w:val="DefaultParagraphFont"/>
    <w:link w:val="Salutation"/>
    <w:uiPriority w:val="99"/>
    <w:semiHidden/>
    <w:rsid w:val="00656C9F"/>
  </w:style>
  <w:style w:type="paragraph" w:styleId="Signature">
    <w:name w:val="Signature"/>
    <w:basedOn w:val="Normal"/>
    <w:link w:val="SignatureChar"/>
    <w:uiPriority w:val="99"/>
    <w:semiHidden/>
    <w:unhideWhenUsed/>
    <w:rsid w:val="00656C9F"/>
    <w:pPr>
      <w:ind w:left="4252"/>
    </w:pPr>
  </w:style>
  <w:style w:type="character" w:customStyle="1" w:styleId="SignatureChar">
    <w:name w:val="Signature Char"/>
    <w:basedOn w:val="DefaultParagraphFont"/>
    <w:link w:val="Signature"/>
    <w:uiPriority w:val="99"/>
    <w:semiHidden/>
    <w:rsid w:val="00656C9F"/>
  </w:style>
  <w:style w:type="character" w:customStyle="1" w:styleId="SmartHyperlink1">
    <w:name w:val="Smart Hyperlink1"/>
    <w:basedOn w:val="DefaultParagraphFont"/>
    <w:uiPriority w:val="99"/>
    <w:semiHidden/>
    <w:unhideWhenUsed/>
    <w:rsid w:val="00656C9F"/>
    <w:rPr>
      <w:u w:val="dotted"/>
    </w:rPr>
  </w:style>
  <w:style w:type="character" w:customStyle="1" w:styleId="SmartLink1">
    <w:name w:val="SmartLink1"/>
    <w:basedOn w:val="DefaultParagraphFont"/>
    <w:uiPriority w:val="99"/>
    <w:semiHidden/>
    <w:unhideWhenUsed/>
    <w:rsid w:val="00656C9F"/>
    <w:rPr>
      <w:color w:val="0000FF"/>
      <w:u w:val="single"/>
      <w:shd w:val="clear" w:color="auto" w:fill="F3F2F1"/>
    </w:rPr>
  </w:style>
  <w:style w:type="character" w:styleId="Strong">
    <w:name w:val="Strong"/>
    <w:basedOn w:val="DefaultParagraphFont"/>
    <w:uiPriority w:val="22"/>
    <w:qFormat/>
    <w:rsid w:val="00656C9F"/>
    <w:rPr>
      <w:b/>
      <w:bCs/>
    </w:rPr>
  </w:style>
  <w:style w:type="paragraph" w:styleId="Subtitle">
    <w:name w:val="Subtitle"/>
    <w:basedOn w:val="Normal"/>
    <w:next w:val="Normal"/>
    <w:link w:val="SubtitleChar"/>
    <w:uiPriority w:val="11"/>
    <w:qFormat/>
    <w:rsid w:val="00656C9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56C9F"/>
    <w:rPr>
      <w:rFonts w:eastAsiaTheme="minorEastAsia"/>
      <w:color w:val="5A5A5A" w:themeColor="text1" w:themeTint="A5"/>
      <w:spacing w:val="15"/>
    </w:rPr>
  </w:style>
  <w:style w:type="character" w:styleId="SubtleEmphasis">
    <w:name w:val="Subtle Emphasis"/>
    <w:basedOn w:val="DefaultParagraphFont"/>
    <w:uiPriority w:val="19"/>
    <w:qFormat/>
    <w:rsid w:val="00656C9F"/>
    <w:rPr>
      <w:i/>
      <w:iCs/>
      <w:color w:val="404040" w:themeColor="text1" w:themeTint="BF"/>
    </w:rPr>
  </w:style>
  <w:style w:type="character" w:styleId="SubtleReference">
    <w:name w:val="Subtle Reference"/>
    <w:basedOn w:val="DefaultParagraphFont"/>
    <w:uiPriority w:val="31"/>
    <w:qFormat/>
    <w:rsid w:val="00656C9F"/>
    <w:rPr>
      <w:smallCaps/>
      <w:color w:val="5A5A5A" w:themeColor="text1" w:themeTint="A5"/>
    </w:rPr>
  </w:style>
  <w:style w:type="paragraph" w:styleId="TableofAuthorities">
    <w:name w:val="table of authorities"/>
    <w:basedOn w:val="Normal"/>
    <w:next w:val="Normal"/>
    <w:uiPriority w:val="99"/>
    <w:semiHidden/>
    <w:unhideWhenUsed/>
    <w:rsid w:val="00656C9F"/>
    <w:pPr>
      <w:ind w:left="220" w:hanging="220"/>
    </w:pPr>
  </w:style>
  <w:style w:type="paragraph" w:styleId="TableofFigures">
    <w:name w:val="table of figures"/>
    <w:basedOn w:val="Normal"/>
    <w:next w:val="Normal"/>
    <w:uiPriority w:val="99"/>
    <w:semiHidden/>
    <w:unhideWhenUsed/>
    <w:rsid w:val="00656C9F"/>
  </w:style>
  <w:style w:type="paragraph" w:styleId="Title">
    <w:name w:val="Title"/>
    <w:basedOn w:val="Normal"/>
    <w:next w:val="Normal"/>
    <w:link w:val="TitleChar"/>
    <w:uiPriority w:val="10"/>
    <w:qFormat/>
    <w:rsid w:val="00656C9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C9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56C9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56C9F"/>
    <w:pPr>
      <w:spacing w:after="100"/>
    </w:pPr>
  </w:style>
  <w:style w:type="paragraph" w:styleId="TOC2">
    <w:name w:val="toc 2"/>
    <w:basedOn w:val="Normal"/>
    <w:next w:val="Normal"/>
    <w:autoRedefine/>
    <w:uiPriority w:val="39"/>
    <w:semiHidden/>
    <w:unhideWhenUsed/>
    <w:rsid w:val="00656C9F"/>
    <w:pPr>
      <w:spacing w:after="100"/>
      <w:ind w:left="220"/>
    </w:pPr>
  </w:style>
  <w:style w:type="paragraph" w:styleId="TOC3">
    <w:name w:val="toc 3"/>
    <w:basedOn w:val="Normal"/>
    <w:next w:val="Normal"/>
    <w:autoRedefine/>
    <w:uiPriority w:val="39"/>
    <w:semiHidden/>
    <w:unhideWhenUsed/>
    <w:rsid w:val="00656C9F"/>
    <w:pPr>
      <w:spacing w:after="100"/>
      <w:ind w:left="440"/>
    </w:pPr>
  </w:style>
  <w:style w:type="paragraph" w:styleId="TOC4">
    <w:name w:val="toc 4"/>
    <w:basedOn w:val="Normal"/>
    <w:next w:val="Normal"/>
    <w:autoRedefine/>
    <w:uiPriority w:val="39"/>
    <w:semiHidden/>
    <w:unhideWhenUsed/>
    <w:rsid w:val="00656C9F"/>
    <w:pPr>
      <w:spacing w:after="100"/>
      <w:ind w:left="660"/>
    </w:pPr>
  </w:style>
  <w:style w:type="paragraph" w:styleId="TOC5">
    <w:name w:val="toc 5"/>
    <w:basedOn w:val="Normal"/>
    <w:next w:val="Normal"/>
    <w:autoRedefine/>
    <w:uiPriority w:val="39"/>
    <w:semiHidden/>
    <w:unhideWhenUsed/>
    <w:rsid w:val="00656C9F"/>
    <w:pPr>
      <w:spacing w:after="100"/>
      <w:ind w:left="880"/>
    </w:pPr>
  </w:style>
  <w:style w:type="paragraph" w:styleId="TOC6">
    <w:name w:val="toc 6"/>
    <w:basedOn w:val="Normal"/>
    <w:next w:val="Normal"/>
    <w:autoRedefine/>
    <w:uiPriority w:val="39"/>
    <w:semiHidden/>
    <w:unhideWhenUsed/>
    <w:rsid w:val="00656C9F"/>
    <w:pPr>
      <w:spacing w:after="100"/>
      <w:ind w:left="1100"/>
    </w:pPr>
  </w:style>
  <w:style w:type="paragraph" w:styleId="TOC7">
    <w:name w:val="toc 7"/>
    <w:basedOn w:val="Normal"/>
    <w:next w:val="Normal"/>
    <w:autoRedefine/>
    <w:uiPriority w:val="39"/>
    <w:semiHidden/>
    <w:unhideWhenUsed/>
    <w:rsid w:val="00656C9F"/>
    <w:pPr>
      <w:spacing w:after="100"/>
      <w:ind w:left="1320"/>
    </w:pPr>
  </w:style>
  <w:style w:type="paragraph" w:styleId="TOC8">
    <w:name w:val="toc 8"/>
    <w:basedOn w:val="Normal"/>
    <w:next w:val="Normal"/>
    <w:autoRedefine/>
    <w:uiPriority w:val="39"/>
    <w:semiHidden/>
    <w:unhideWhenUsed/>
    <w:rsid w:val="00656C9F"/>
    <w:pPr>
      <w:spacing w:after="100"/>
      <w:ind w:left="1540"/>
    </w:pPr>
  </w:style>
  <w:style w:type="paragraph" w:styleId="TOC9">
    <w:name w:val="toc 9"/>
    <w:basedOn w:val="Normal"/>
    <w:next w:val="Normal"/>
    <w:autoRedefine/>
    <w:uiPriority w:val="39"/>
    <w:semiHidden/>
    <w:unhideWhenUsed/>
    <w:rsid w:val="00656C9F"/>
    <w:pPr>
      <w:spacing w:after="100"/>
      <w:ind w:left="1760"/>
    </w:pPr>
  </w:style>
  <w:style w:type="paragraph" w:styleId="TOCHeading">
    <w:name w:val="TOC Heading"/>
    <w:basedOn w:val="Heading1"/>
    <w:next w:val="Normal"/>
    <w:uiPriority w:val="39"/>
    <w:semiHidden/>
    <w:unhideWhenUsed/>
    <w:qFormat/>
    <w:rsid w:val="00656C9F"/>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eastAsia="en-US"/>
    </w:rPr>
  </w:style>
  <w:style w:type="paragraph" w:customStyle="1" w:styleId="IneraTableMultiPar">
    <w:name w:val="IneraTableMultiPar"/>
    <w:basedOn w:val="Normal"/>
    <w:link w:val="IneraTableMultiParChar"/>
    <w:rsid w:val="00581EDD"/>
    <w:rPr>
      <w:color w:val="FF0000"/>
      <w:szCs w:val="24"/>
      <w:lang w:val="en-US"/>
    </w:rPr>
  </w:style>
  <w:style w:type="character" w:customStyle="1" w:styleId="IneraTableMultiParChar">
    <w:name w:val="IneraTableMultiPar Char"/>
    <w:basedOn w:val="TopicCodeChar"/>
    <w:link w:val="IneraTableMultiPar"/>
    <w:rsid w:val="00581EDD"/>
    <w:rPr>
      <w:rFonts w:ascii="Times New Roman" w:eastAsia="Calibri" w:hAnsi="Times New Roman" w:cs="Times New Roman"/>
      <w:color w:val="FF0000"/>
      <w:sz w:val="20"/>
      <w:szCs w:val="24"/>
      <w:lang w:val="en-US"/>
    </w:rPr>
  </w:style>
  <w:style w:type="character" w:customStyle="1" w:styleId="aubase">
    <w:name w:val="au_base"/>
    <w:rsid w:val="00656C9F"/>
    <w:rPr>
      <w:rFonts w:ascii="Times New Roman" w:hAnsi="Times New Roman"/>
      <w:sz w:val="24"/>
    </w:rPr>
  </w:style>
  <w:style w:type="character" w:customStyle="1" w:styleId="aucollab">
    <w:name w:val="au_collab"/>
    <w:rsid w:val="00656C9F"/>
    <w:rPr>
      <w:rFonts w:ascii="Times New Roman" w:hAnsi="Times New Roman"/>
      <w:sz w:val="24"/>
      <w:bdr w:val="none" w:sz="0" w:space="0" w:color="auto"/>
      <w:shd w:val="clear" w:color="auto" w:fill="FFFF99"/>
    </w:rPr>
  </w:style>
  <w:style w:type="character" w:customStyle="1" w:styleId="audeg">
    <w:name w:val="au_deg"/>
    <w:rsid w:val="00656C9F"/>
    <w:rPr>
      <w:rFonts w:ascii="Times New Roman" w:hAnsi="Times New Roman"/>
      <w:sz w:val="24"/>
      <w:bdr w:val="none" w:sz="0" w:space="0" w:color="auto"/>
      <w:shd w:val="clear" w:color="auto" w:fill="FFFF00"/>
    </w:rPr>
  </w:style>
  <w:style w:type="character" w:customStyle="1" w:styleId="aufname">
    <w:name w:val="au_fname"/>
    <w:rsid w:val="00656C9F"/>
    <w:rPr>
      <w:rFonts w:ascii="Times New Roman" w:hAnsi="Times New Roman"/>
      <w:sz w:val="24"/>
      <w:bdr w:val="none" w:sz="0" w:space="0" w:color="auto"/>
      <w:shd w:val="clear" w:color="auto" w:fill="FF9900"/>
    </w:rPr>
  </w:style>
  <w:style w:type="character" w:customStyle="1" w:styleId="aurole">
    <w:name w:val="au_role"/>
    <w:rsid w:val="00656C9F"/>
    <w:rPr>
      <w:rFonts w:ascii="Times New Roman" w:hAnsi="Times New Roman"/>
      <w:sz w:val="24"/>
      <w:bdr w:val="none" w:sz="0" w:space="0" w:color="auto"/>
      <w:shd w:val="clear" w:color="auto" w:fill="808000"/>
    </w:rPr>
  </w:style>
  <w:style w:type="character" w:customStyle="1" w:styleId="ausuffix">
    <w:name w:val="au_suffix"/>
    <w:rsid w:val="00656C9F"/>
    <w:rPr>
      <w:rFonts w:ascii="Times New Roman" w:hAnsi="Times New Roman"/>
      <w:sz w:val="24"/>
      <w:bdr w:val="none" w:sz="0" w:space="0" w:color="auto"/>
      <w:shd w:val="clear" w:color="auto" w:fill="FF00FF"/>
    </w:rPr>
  </w:style>
  <w:style w:type="character" w:customStyle="1" w:styleId="ausurname">
    <w:name w:val="au_surname"/>
    <w:rsid w:val="00656C9F"/>
    <w:rPr>
      <w:rFonts w:ascii="Times New Roman" w:hAnsi="Times New Roman"/>
      <w:sz w:val="24"/>
      <w:bdr w:val="none" w:sz="0" w:space="0" w:color="auto"/>
      <w:shd w:val="clear" w:color="auto" w:fill="CCFF99"/>
    </w:rPr>
  </w:style>
  <w:style w:type="character" w:customStyle="1" w:styleId="bibbase">
    <w:name w:val="bib_base"/>
    <w:rsid w:val="00656C9F"/>
    <w:rPr>
      <w:sz w:val="24"/>
    </w:rPr>
  </w:style>
  <w:style w:type="character" w:customStyle="1" w:styleId="bibarticle">
    <w:name w:val="bib_article"/>
    <w:rsid w:val="00656C9F"/>
    <w:rPr>
      <w:rFonts w:ascii="Times New Roman" w:hAnsi="Times New Roman"/>
      <w:sz w:val="24"/>
      <w:bdr w:val="none" w:sz="0" w:space="0" w:color="auto"/>
      <w:shd w:val="clear" w:color="auto" w:fill="CCFFFF"/>
    </w:rPr>
  </w:style>
  <w:style w:type="character" w:customStyle="1" w:styleId="bibcomment">
    <w:name w:val="bib_comment"/>
    <w:basedOn w:val="bibbase"/>
    <w:rsid w:val="00656C9F"/>
    <w:rPr>
      <w:sz w:val="24"/>
    </w:rPr>
  </w:style>
  <w:style w:type="character" w:customStyle="1" w:styleId="bibdeg">
    <w:name w:val="bib_deg"/>
    <w:rsid w:val="00656C9F"/>
    <w:rPr>
      <w:rFonts w:ascii="Times New Roman" w:hAnsi="Times New Roman"/>
      <w:sz w:val="24"/>
      <w:bdr w:val="none" w:sz="0" w:space="0" w:color="auto"/>
      <w:shd w:val="clear" w:color="auto" w:fill="FFCC99"/>
    </w:rPr>
  </w:style>
  <w:style w:type="character" w:customStyle="1" w:styleId="bibdoi">
    <w:name w:val="bib_doi"/>
    <w:rsid w:val="00656C9F"/>
    <w:rPr>
      <w:rFonts w:ascii="Times New Roman" w:hAnsi="Times New Roman"/>
      <w:sz w:val="24"/>
      <w:bdr w:val="none" w:sz="0" w:space="0" w:color="auto"/>
      <w:shd w:val="clear" w:color="auto" w:fill="CCFFCC"/>
    </w:rPr>
  </w:style>
  <w:style w:type="character" w:customStyle="1" w:styleId="bibetal">
    <w:name w:val="bib_etal"/>
    <w:rsid w:val="00656C9F"/>
    <w:rPr>
      <w:rFonts w:ascii="Times New Roman" w:hAnsi="Times New Roman"/>
      <w:sz w:val="24"/>
      <w:bdr w:val="none" w:sz="0" w:space="0" w:color="auto"/>
      <w:shd w:val="clear" w:color="auto" w:fill="CCFF99"/>
    </w:rPr>
  </w:style>
  <w:style w:type="character" w:customStyle="1" w:styleId="bibfname">
    <w:name w:val="bib_fname"/>
    <w:rsid w:val="00656C9F"/>
    <w:rPr>
      <w:rFonts w:ascii="Times New Roman" w:hAnsi="Times New Roman"/>
      <w:sz w:val="24"/>
      <w:bdr w:val="none" w:sz="0" w:space="0" w:color="auto"/>
      <w:shd w:val="clear" w:color="auto" w:fill="FF9900"/>
    </w:rPr>
  </w:style>
  <w:style w:type="character" w:customStyle="1" w:styleId="bibfpage">
    <w:name w:val="bib_fpage"/>
    <w:rsid w:val="00656C9F"/>
    <w:rPr>
      <w:rFonts w:ascii="Times New Roman" w:hAnsi="Times New Roman"/>
      <w:sz w:val="24"/>
      <w:bdr w:val="none" w:sz="0" w:space="0" w:color="auto"/>
      <w:shd w:val="clear" w:color="auto" w:fill="E6E6E6"/>
    </w:rPr>
  </w:style>
  <w:style w:type="character" w:customStyle="1" w:styleId="bibissue">
    <w:name w:val="bib_issue"/>
    <w:rsid w:val="00656C9F"/>
    <w:rPr>
      <w:rFonts w:ascii="Times New Roman" w:hAnsi="Times New Roman"/>
      <w:sz w:val="24"/>
      <w:bdr w:val="none" w:sz="0" w:space="0" w:color="auto"/>
      <w:shd w:val="clear" w:color="auto" w:fill="FFFFAB"/>
    </w:rPr>
  </w:style>
  <w:style w:type="character" w:customStyle="1" w:styleId="bibjournal">
    <w:name w:val="bib_journal"/>
    <w:rsid w:val="00656C9F"/>
    <w:rPr>
      <w:rFonts w:ascii="Times New Roman" w:hAnsi="Times New Roman"/>
      <w:sz w:val="24"/>
      <w:bdr w:val="none" w:sz="0" w:space="0" w:color="auto"/>
      <w:shd w:val="clear" w:color="auto" w:fill="F9DECF"/>
    </w:rPr>
  </w:style>
  <w:style w:type="character" w:customStyle="1" w:styleId="biblpage">
    <w:name w:val="bib_lpage"/>
    <w:rsid w:val="00656C9F"/>
    <w:rPr>
      <w:rFonts w:ascii="Times New Roman" w:hAnsi="Times New Roman"/>
      <w:sz w:val="24"/>
      <w:bdr w:val="none" w:sz="0" w:space="0" w:color="auto"/>
      <w:shd w:val="clear" w:color="auto" w:fill="D9D9D9"/>
    </w:rPr>
  </w:style>
  <w:style w:type="character" w:customStyle="1" w:styleId="bibnumber">
    <w:name w:val="bib_number"/>
    <w:rsid w:val="00656C9F"/>
    <w:rPr>
      <w:rFonts w:ascii="Times New Roman" w:hAnsi="Times New Roman"/>
      <w:sz w:val="24"/>
      <w:bdr w:val="none" w:sz="0" w:space="0" w:color="auto"/>
      <w:shd w:val="clear" w:color="auto" w:fill="CCCCFF"/>
    </w:rPr>
  </w:style>
  <w:style w:type="character" w:customStyle="1" w:styleId="biborganization">
    <w:name w:val="bib_organization"/>
    <w:rsid w:val="00656C9F"/>
    <w:rPr>
      <w:rFonts w:ascii="Times New Roman" w:hAnsi="Times New Roman"/>
      <w:sz w:val="24"/>
      <w:bdr w:val="none" w:sz="0" w:space="0" w:color="auto"/>
      <w:shd w:val="clear" w:color="auto" w:fill="FFFF99"/>
    </w:rPr>
  </w:style>
  <w:style w:type="character" w:customStyle="1" w:styleId="bibsuffix">
    <w:name w:val="bib_suffix"/>
    <w:rsid w:val="00656C9F"/>
    <w:rPr>
      <w:rFonts w:ascii="Times New Roman" w:hAnsi="Times New Roman"/>
      <w:sz w:val="24"/>
      <w:bdr w:val="none" w:sz="0" w:space="0" w:color="auto"/>
      <w:shd w:val="clear" w:color="auto" w:fill="E2C5FF"/>
    </w:rPr>
  </w:style>
  <w:style w:type="character" w:customStyle="1" w:styleId="bibsuppl">
    <w:name w:val="bib_suppl"/>
    <w:rsid w:val="00656C9F"/>
    <w:rPr>
      <w:rFonts w:ascii="Times New Roman" w:hAnsi="Times New Roman"/>
      <w:sz w:val="24"/>
      <w:bdr w:val="none" w:sz="0" w:space="0" w:color="auto"/>
      <w:shd w:val="clear" w:color="auto" w:fill="FFCC66"/>
    </w:rPr>
  </w:style>
  <w:style w:type="character" w:customStyle="1" w:styleId="bibsurname">
    <w:name w:val="bib_surname"/>
    <w:rsid w:val="00656C9F"/>
    <w:rPr>
      <w:rFonts w:ascii="Times New Roman" w:hAnsi="Times New Roman"/>
      <w:sz w:val="24"/>
      <w:bdr w:val="none" w:sz="0" w:space="0" w:color="auto"/>
      <w:shd w:val="clear" w:color="auto" w:fill="CCFF99"/>
    </w:rPr>
  </w:style>
  <w:style w:type="character" w:customStyle="1" w:styleId="bibunpubl">
    <w:name w:val="bib_unpubl"/>
    <w:rsid w:val="00656C9F"/>
    <w:rPr>
      <w:rFonts w:ascii="Times New Roman" w:hAnsi="Times New Roman"/>
      <w:sz w:val="24"/>
      <w:bdr w:val="none" w:sz="0" w:space="0" w:color="auto"/>
      <w:shd w:val="clear" w:color="auto" w:fill="FFCCFF"/>
    </w:rPr>
  </w:style>
  <w:style w:type="character" w:customStyle="1" w:styleId="biburl">
    <w:name w:val="bib_url"/>
    <w:rsid w:val="00656C9F"/>
    <w:rPr>
      <w:rFonts w:ascii="Times New Roman" w:hAnsi="Times New Roman"/>
      <w:sz w:val="24"/>
      <w:bdr w:val="none" w:sz="0" w:space="0" w:color="auto"/>
      <w:shd w:val="clear" w:color="auto" w:fill="CCFF66"/>
    </w:rPr>
  </w:style>
  <w:style w:type="character" w:customStyle="1" w:styleId="bibvolume">
    <w:name w:val="bib_volume"/>
    <w:rsid w:val="00656C9F"/>
    <w:rPr>
      <w:rFonts w:ascii="Times New Roman" w:hAnsi="Times New Roman"/>
      <w:sz w:val="24"/>
      <w:bdr w:val="none" w:sz="0" w:space="0" w:color="auto"/>
      <w:shd w:val="clear" w:color="auto" w:fill="CCECFF"/>
    </w:rPr>
  </w:style>
  <w:style w:type="character" w:customStyle="1" w:styleId="bibyear">
    <w:name w:val="bib_year"/>
    <w:rsid w:val="00656C9F"/>
    <w:rPr>
      <w:rFonts w:ascii="Times New Roman" w:hAnsi="Times New Roman"/>
      <w:sz w:val="24"/>
      <w:bdr w:val="none" w:sz="0" w:space="0" w:color="auto"/>
      <w:shd w:val="clear" w:color="auto" w:fill="FFCCFF"/>
    </w:rPr>
  </w:style>
  <w:style w:type="character" w:customStyle="1" w:styleId="citebase">
    <w:name w:val="cite_base"/>
    <w:rsid w:val="00656C9F"/>
    <w:rPr>
      <w:rFonts w:ascii="Times New Roman" w:hAnsi="Times New Roman"/>
      <w:sz w:val="24"/>
    </w:rPr>
  </w:style>
  <w:style w:type="character" w:customStyle="1" w:styleId="citebib">
    <w:name w:val="cite_bib"/>
    <w:rsid w:val="00656C9F"/>
    <w:rPr>
      <w:rFonts w:ascii="Times New Roman" w:hAnsi="Times New Roman"/>
      <w:sz w:val="24"/>
      <w:bdr w:val="none" w:sz="0" w:space="0" w:color="auto"/>
      <w:shd w:val="clear" w:color="auto" w:fill="CCECFF"/>
    </w:rPr>
  </w:style>
  <w:style w:type="character" w:customStyle="1" w:styleId="citebox">
    <w:name w:val="cite_box"/>
    <w:rsid w:val="00656C9F"/>
    <w:rPr>
      <w:rFonts w:ascii="Times New Roman" w:hAnsi="Times New Roman"/>
      <w:sz w:val="24"/>
      <w:bdr w:val="none" w:sz="0" w:space="0" w:color="auto"/>
      <w:shd w:val="clear" w:color="auto" w:fill="CCC8FC"/>
    </w:rPr>
  </w:style>
  <w:style w:type="character" w:customStyle="1" w:styleId="citeen">
    <w:name w:val="cite_en"/>
    <w:rsid w:val="00656C9F"/>
    <w:rPr>
      <w:rFonts w:ascii="Times New Roman" w:hAnsi="Times New Roman"/>
      <w:sz w:val="24"/>
      <w:bdr w:val="none" w:sz="0" w:space="0" w:color="auto"/>
      <w:shd w:val="clear" w:color="auto" w:fill="FFFF99"/>
    </w:rPr>
  </w:style>
  <w:style w:type="character" w:customStyle="1" w:styleId="citefig">
    <w:name w:val="cite_fig"/>
    <w:rsid w:val="00656C9F"/>
    <w:rPr>
      <w:rFonts w:ascii="Times New Roman" w:hAnsi="Times New Roman"/>
      <w:color w:val="auto"/>
      <w:sz w:val="24"/>
      <w:bdr w:val="none" w:sz="0" w:space="0" w:color="auto"/>
      <w:shd w:val="clear" w:color="auto" w:fill="CCFFCC"/>
    </w:rPr>
  </w:style>
  <w:style w:type="character" w:customStyle="1" w:styleId="citefn">
    <w:name w:val="cite_fn"/>
    <w:rsid w:val="00656C9F"/>
    <w:rPr>
      <w:rFonts w:ascii="Times New Roman" w:hAnsi="Times New Roman"/>
      <w:sz w:val="24"/>
      <w:bdr w:val="none" w:sz="0" w:space="0" w:color="auto"/>
      <w:shd w:val="clear" w:color="auto" w:fill="FF99CC"/>
    </w:rPr>
  </w:style>
  <w:style w:type="character" w:customStyle="1" w:styleId="citetbl">
    <w:name w:val="cite_tbl"/>
    <w:rsid w:val="00656C9F"/>
    <w:rPr>
      <w:rFonts w:ascii="Times New Roman" w:hAnsi="Times New Roman"/>
      <w:color w:val="auto"/>
      <w:sz w:val="24"/>
      <w:bdr w:val="none" w:sz="0" w:space="0" w:color="auto"/>
      <w:shd w:val="clear" w:color="auto" w:fill="FF9999"/>
    </w:rPr>
  </w:style>
  <w:style w:type="character" w:customStyle="1" w:styleId="bibsubnum">
    <w:name w:val="bib_subnum"/>
    <w:basedOn w:val="bibbase"/>
    <w:rsid w:val="00656C9F"/>
    <w:rPr>
      <w:sz w:val="24"/>
    </w:rPr>
  </w:style>
  <w:style w:type="character" w:customStyle="1" w:styleId="bibextlink">
    <w:name w:val="bib_extlink"/>
    <w:rsid w:val="00656C9F"/>
    <w:rPr>
      <w:rFonts w:ascii="Times New Roman" w:hAnsi="Times New Roman"/>
      <w:sz w:val="24"/>
      <w:bdr w:val="none" w:sz="0" w:space="0" w:color="auto"/>
      <w:shd w:val="clear" w:color="auto" w:fill="6CCE9D"/>
    </w:rPr>
  </w:style>
  <w:style w:type="character" w:customStyle="1" w:styleId="citeeq">
    <w:name w:val="cite_eq"/>
    <w:rsid w:val="00656C9F"/>
    <w:rPr>
      <w:rFonts w:ascii="Times New Roman" w:hAnsi="Times New Roman"/>
      <w:sz w:val="24"/>
      <w:bdr w:val="none" w:sz="0" w:space="0" w:color="auto"/>
      <w:shd w:val="clear" w:color="auto" w:fill="FFAE37"/>
    </w:rPr>
  </w:style>
  <w:style w:type="character" w:customStyle="1" w:styleId="bibmedline">
    <w:name w:val="bib_medline"/>
    <w:basedOn w:val="bibbase"/>
    <w:rsid w:val="00656C9F"/>
    <w:rPr>
      <w:sz w:val="24"/>
    </w:rPr>
  </w:style>
  <w:style w:type="character" w:customStyle="1" w:styleId="citetfn">
    <w:name w:val="cite_tfn"/>
    <w:rsid w:val="00656C9F"/>
    <w:rPr>
      <w:rFonts w:ascii="Times New Roman" w:hAnsi="Times New Roman"/>
      <w:sz w:val="24"/>
      <w:bdr w:val="none" w:sz="0" w:space="0" w:color="auto"/>
      <w:shd w:val="clear" w:color="auto" w:fill="FBBA79"/>
    </w:rPr>
  </w:style>
  <w:style w:type="character" w:customStyle="1" w:styleId="auprefix">
    <w:name w:val="au_prefix"/>
    <w:rsid w:val="00656C9F"/>
    <w:rPr>
      <w:rFonts w:ascii="Times New Roman" w:hAnsi="Times New Roman"/>
      <w:sz w:val="24"/>
      <w:bdr w:val="none" w:sz="0" w:space="0" w:color="auto"/>
      <w:shd w:val="clear" w:color="auto" w:fill="FFCC99"/>
    </w:rPr>
  </w:style>
  <w:style w:type="character" w:customStyle="1" w:styleId="citeapp">
    <w:name w:val="cite_app"/>
    <w:rsid w:val="00656C9F"/>
    <w:rPr>
      <w:rFonts w:ascii="Times New Roman" w:hAnsi="Times New Roman"/>
      <w:sz w:val="24"/>
      <w:bdr w:val="none" w:sz="0" w:space="0" w:color="auto"/>
      <w:shd w:val="clear" w:color="auto" w:fill="CCFF33"/>
    </w:rPr>
  </w:style>
  <w:style w:type="character" w:customStyle="1" w:styleId="citesec">
    <w:name w:val="cite_sec"/>
    <w:rsid w:val="00656C9F"/>
    <w:rPr>
      <w:rFonts w:ascii="Times New Roman" w:hAnsi="Times New Roman"/>
      <w:sz w:val="24"/>
      <w:bdr w:val="none" w:sz="0" w:space="0" w:color="auto"/>
      <w:shd w:val="clear" w:color="auto" w:fill="FFCCCC"/>
    </w:rPr>
  </w:style>
  <w:style w:type="character" w:customStyle="1" w:styleId="bibsurname-only">
    <w:name w:val="bib_surname-only"/>
    <w:rsid w:val="00656C9F"/>
    <w:rPr>
      <w:rFonts w:ascii="Times New Roman" w:hAnsi="Times New Roman"/>
      <w:sz w:val="24"/>
      <w:szCs w:val="24"/>
      <w:bdr w:val="none" w:sz="0" w:space="0" w:color="auto"/>
      <w:shd w:val="clear" w:color="auto" w:fill="00FF00"/>
    </w:rPr>
  </w:style>
  <w:style w:type="character" w:customStyle="1" w:styleId="ContractNumber">
    <w:name w:val="Contract Number"/>
    <w:rsid w:val="00656C9F"/>
    <w:rPr>
      <w:sz w:val="24"/>
      <w:szCs w:val="24"/>
      <w:bdr w:val="none" w:sz="0" w:space="0" w:color="auto" w:frame="1"/>
      <w:shd w:val="clear" w:color="auto" w:fill="CCFFCC"/>
    </w:rPr>
  </w:style>
  <w:style w:type="character" w:customStyle="1" w:styleId="ContractSponsor">
    <w:name w:val="Contract Sponsor"/>
    <w:rsid w:val="00656C9F"/>
    <w:rPr>
      <w:sz w:val="24"/>
      <w:szCs w:val="24"/>
      <w:bdr w:val="none" w:sz="0" w:space="0" w:color="auto" w:frame="1"/>
      <w:shd w:val="clear" w:color="auto" w:fill="FFCC99"/>
    </w:rPr>
  </w:style>
  <w:style w:type="character" w:customStyle="1" w:styleId="bibbook">
    <w:name w:val="bib_book"/>
    <w:rsid w:val="00656C9F"/>
    <w:rPr>
      <w:sz w:val="24"/>
      <w:bdr w:val="none" w:sz="0" w:space="0" w:color="auto"/>
      <w:shd w:val="clear" w:color="auto" w:fill="99CCFF"/>
    </w:rPr>
  </w:style>
  <w:style w:type="character" w:customStyle="1" w:styleId="bibchapterno">
    <w:name w:val="bib_chapterno"/>
    <w:rsid w:val="00656C9F"/>
    <w:rPr>
      <w:sz w:val="24"/>
      <w:bdr w:val="none" w:sz="0" w:space="0" w:color="auto"/>
      <w:shd w:val="clear" w:color="auto" w:fill="D9D9D9"/>
    </w:rPr>
  </w:style>
  <w:style w:type="character" w:customStyle="1" w:styleId="bibchaptertitle">
    <w:name w:val="bib_chaptertitle"/>
    <w:rsid w:val="00656C9F"/>
    <w:rPr>
      <w:sz w:val="24"/>
      <w:bdr w:val="none" w:sz="0" w:space="0" w:color="auto"/>
      <w:shd w:val="clear" w:color="auto" w:fill="FF9D5B"/>
    </w:rPr>
  </w:style>
  <w:style w:type="character" w:customStyle="1" w:styleId="bibed-etal">
    <w:name w:val="bib_ed-etal"/>
    <w:rsid w:val="00656C9F"/>
    <w:rPr>
      <w:sz w:val="24"/>
      <w:bdr w:val="none" w:sz="0" w:space="0" w:color="auto"/>
      <w:shd w:val="clear" w:color="auto" w:fill="00F4EE"/>
    </w:rPr>
  </w:style>
  <w:style w:type="character" w:customStyle="1" w:styleId="bibed-fname">
    <w:name w:val="bib_ed-fname"/>
    <w:rsid w:val="00656C9F"/>
    <w:rPr>
      <w:sz w:val="24"/>
      <w:bdr w:val="none" w:sz="0" w:space="0" w:color="auto"/>
      <w:shd w:val="clear" w:color="auto" w:fill="FFFFB7"/>
    </w:rPr>
  </w:style>
  <w:style w:type="character" w:customStyle="1" w:styleId="bibeditionno">
    <w:name w:val="bib_editionno"/>
    <w:rsid w:val="00656C9F"/>
    <w:rPr>
      <w:sz w:val="24"/>
      <w:bdr w:val="none" w:sz="0" w:space="0" w:color="auto"/>
      <w:shd w:val="clear" w:color="auto" w:fill="FFCC00"/>
    </w:rPr>
  </w:style>
  <w:style w:type="character" w:customStyle="1" w:styleId="bibed-organization">
    <w:name w:val="bib_ed-organization"/>
    <w:rsid w:val="00656C9F"/>
    <w:rPr>
      <w:sz w:val="24"/>
      <w:bdr w:val="none" w:sz="0" w:space="0" w:color="auto"/>
      <w:shd w:val="clear" w:color="auto" w:fill="FCAAC3"/>
    </w:rPr>
  </w:style>
  <w:style w:type="character" w:customStyle="1" w:styleId="bibed-suffix">
    <w:name w:val="bib_ed-suffix"/>
    <w:rsid w:val="00656C9F"/>
    <w:rPr>
      <w:sz w:val="24"/>
      <w:bdr w:val="none" w:sz="0" w:space="0" w:color="auto"/>
      <w:shd w:val="clear" w:color="auto" w:fill="CCFFCC"/>
    </w:rPr>
  </w:style>
  <w:style w:type="character" w:customStyle="1" w:styleId="bibed-surname">
    <w:name w:val="bib_ed-surname"/>
    <w:rsid w:val="00656C9F"/>
    <w:rPr>
      <w:sz w:val="24"/>
      <w:bdr w:val="none" w:sz="0" w:space="0" w:color="auto"/>
      <w:shd w:val="clear" w:color="auto" w:fill="FFFF00"/>
    </w:rPr>
  </w:style>
  <w:style w:type="character" w:customStyle="1" w:styleId="bibisbn">
    <w:name w:val="bib_isbn"/>
    <w:rsid w:val="00656C9F"/>
    <w:rPr>
      <w:sz w:val="24"/>
      <w:shd w:val="clear" w:color="auto" w:fill="D9D9D9"/>
    </w:rPr>
  </w:style>
  <w:style w:type="character" w:customStyle="1" w:styleId="biblocation">
    <w:name w:val="bib_location"/>
    <w:rsid w:val="00656C9F"/>
    <w:rPr>
      <w:sz w:val="24"/>
      <w:bdr w:val="none" w:sz="0" w:space="0" w:color="auto"/>
      <w:shd w:val="clear" w:color="auto" w:fill="FFCCCC"/>
    </w:rPr>
  </w:style>
  <w:style w:type="character" w:customStyle="1" w:styleId="bibpagecount">
    <w:name w:val="bib_pagecount"/>
    <w:rsid w:val="00656C9F"/>
    <w:rPr>
      <w:sz w:val="24"/>
      <w:bdr w:val="none" w:sz="0" w:space="0" w:color="auto"/>
      <w:shd w:val="clear" w:color="auto" w:fill="00FF00"/>
    </w:rPr>
  </w:style>
  <w:style w:type="character" w:customStyle="1" w:styleId="bibpublisher">
    <w:name w:val="bib_publisher"/>
    <w:rsid w:val="00656C9F"/>
    <w:rPr>
      <w:sz w:val="24"/>
      <w:bdr w:val="none" w:sz="0" w:space="0" w:color="auto"/>
      <w:shd w:val="clear" w:color="auto" w:fill="FF99CC"/>
    </w:rPr>
  </w:style>
  <w:style w:type="character" w:customStyle="1" w:styleId="bibseries">
    <w:name w:val="bib_series"/>
    <w:rsid w:val="00656C9F"/>
    <w:rPr>
      <w:sz w:val="24"/>
      <w:shd w:val="clear" w:color="auto" w:fill="FFCC99"/>
    </w:rPr>
  </w:style>
  <w:style w:type="character" w:customStyle="1" w:styleId="bibseriesno">
    <w:name w:val="bib_seriesno"/>
    <w:rsid w:val="00656C9F"/>
    <w:rPr>
      <w:sz w:val="24"/>
      <w:shd w:val="clear" w:color="auto" w:fill="FFFF99"/>
    </w:rPr>
  </w:style>
  <w:style w:type="character" w:customStyle="1" w:styleId="bibtrans">
    <w:name w:val="bib_trans"/>
    <w:rsid w:val="00656C9F"/>
    <w:rPr>
      <w:sz w:val="24"/>
      <w:shd w:val="clear" w:color="auto" w:fill="99CC00"/>
    </w:rPr>
  </w:style>
  <w:style w:type="character" w:customStyle="1" w:styleId="bibinstitution">
    <w:name w:val="bib_institution"/>
    <w:rsid w:val="00656C9F"/>
    <w:rPr>
      <w:sz w:val="24"/>
      <w:bdr w:val="none" w:sz="0" w:space="0" w:color="auto"/>
      <w:shd w:val="clear" w:color="auto" w:fill="CCFFCC"/>
    </w:rPr>
  </w:style>
  <w:style w:type="character" w:customStyle="1" w:styleId="bibpatent">
    <w:name w:val="bib_patent"/>
    <w:rsid w:val="00656C9F"/>
    <w:rPr>
      <w:sz w:val="24"/>
      <w:bdr w:val="none" w:sz="0" w:space="0" w:color="auto"/>
      <w:shd w:val="clear" w:color="auto" w:fill="66FFCC"/>
    </w:rPr>
  </w:style>
  <w:style w:type="character" w:customStyle="1" w:styleId="bibreportnum">
    <w:name w:val="bib_reportnum"/>
    <w:rsid w:val="00656C9F"/>
    <w:rPr>
      <w:sz w:val="24"/>
      <w:bdr w:val="none" w:sz="0" w:space="0" w:color="auto"/>
      <w:shd w:val="clear" w:color="auto" w:fill="CCCCFF"/>
    </w:rPr>
  </w:style>
  <w:style w:type="character" w:customStyle="1" w:styleId="bibschool">
    <w:name w:val="bib_school"/>
    <w:rsid w:val="00656C9F"/>
    <w:rPr>
      <w:sz w:val="24"/>
      <w:bdr w:val="none" w:sz="0" w:space="0" w:color="auto"/>
      <w:shd w:val="clear" w:color="auto" w:fill="FFCC66"/>
    </w:rPr>
  </w:style>
  <w:style w:type="character" w:customStyle="1" w:styleId="bibalt-year">
    <w:name w:val="bib_alt-year"/>
    <w:rsid w:val="00656C9F"/>
    <w:rPr>
      <w:sz w:val="24"/>
      <w:szCs w:val="24"/>
      <w:bdr w:val="none" w:sz="0" w:space="0" w:color="auto"/>
      <w:shd w:val="clear" w:color="auto" w:fill="CC99FF"/>
    </w:rPr>
  </w:style>
  <w:style w:type="character" w:customStyle="1" w:styleId="bibvolcount">
    <w:name w:val="bib_volcount"/>
    <w:rsid w:val="00656C9F"/>
    <w:rPr>
      <w:sz w:val="24"/>
      <w:bdr w:val="none" w:sz="0" w:space="0" w:color="auto"/>
      <w:shd w:val="clear" w:color="auto" w:fill="00FF00"/>
    </w:rPr>
  </w:style>
  <w:style w:type="paragraph" w:customStyle="1" w:styleId="BaseHeading">
    <w:name w:val="BaseHeading"/>
    <w:next w:val="Normal"/>
    <w:rsid w:val="00656C9F"/>
    <w:pPr>
      <w:spacing w:after="0" w:line="240" w:lineRule="auto"/>
    </w:pPr>
    <w:rPr>
      <w:rFonts w:ascii="Times New Roman" w:eastAsia="Calibri" w:hAnsi="Times New Roman" w:cs="Times New Roman"/>
      <w:sz w:val="24"/>
      <w:szCs w:val="20"/>
      <w:lang w:val="en-US"/>
    </w:rPr>
  </w:style>
  <w:style w:type="paragraph" w:customStyle="1" w:styleId="BaseText">
    <w:name w:val="BaseText"/>
    <w:rsid w:val="00656C9F"/>
    <w:pPr>
      <w:spacing w:after="0" w:line="240" w:lineRule="auto"/>
    </w:pPr>
    <w:rPr>
      <w:rFonts w:ascii="Times New Roman" w:eastAsia="Calibri" w:hAnsi="Times New Roman" w:cs="Times New Roman"/>
      <w:sz w:val="24"/>
      <w:szCs w:val="20"/>
      <w:lang w:val="en-US"/>
    </w:rPr>
  </w:style>
  <w:style w:type="paragraph" w:customStyle="1" w:styleId="Remark">
    <w:name w:val="Remark"/>
    <w:basedOn w:val="BaseText"/>
    <w:next w:val="BaseText"/>
    <w:rsid w:val="00656C9F"/>
    <w:pPr>
      <w:spacing w:before="120" w:after="120"/>
    </w:pPr>
    <w:rPr>
      <w:i/>
    </w:rPr>
  </w:style>
  <w:style w:type="paragraph" w:customStyle="1" w:styleId="ArticleTitle">
    <w:name w:val="ArticleTitle"/>
    <w:basedOn w:val="BaseHeading"/>
    <w:next w:val="Para"/>
    <w:rsid w:val="00656C9F"/>
    <w:pPr>
      <w:spacing w:before="240" w:after="240"/>
    </w:pPr>
    <w:rPr>
      <w:b/>
      <w:sz w:val="32"/>
    </w:rPr>
  </w:style>
  <w:style w:type="paragraph" w:customStyle="1" w:styleId="Author">
    <w:name w:val="Author"/>
    <w:basedOn w:val="BaseText"/>
    <w:rsid w:val="00656C9F"/>
    <w:pPr>
      <w:spacing w:before="120" w:after="120"/>
    </w:pPr>
  </w:style>
  <w:style w:type="paragraph" w:customStyle="1" w:styleId="SeriesInfo">
    <w:name w:val="SeriesInfo"/>
    <w:basedOn w:val="BaseText"/>
    <w:rsid w:val="00656C9F"/>
  </w:style>
  <w:style w:type="paragraph" w:customStyle="1" w:styleId="SeriesTitle">
    <w:name w:val="SeriesTitle"/>
    <w:basedOn w:val="BaseHeading"/>
    <w:rsid w:val="00656C9F"/>
    <w:pPr>
      <w:spacing w:before="240" w:after="120"/>
    </w:pPr>
    <w:rPr>
      <w:i/>
      <w:sz w:val="28"/>
    </w:rPr>
  </w:style>
  <w:style w:type="paragraph" w:customStyle="1" w:styleId="ShortTitle">
    <w:name w:val="ShortTitle"/>
    <w:basedOn w:val="BaseHeading"/>
    <w:rsid w:val="00656C9F"/>
    <w:rPr>
      <w:b/>
    </w:rPr>
  </w:style>
  <w:style w:type="paragraph" w:customStyle="1" w:styleId="Collaboration">
    <w:name w:val="Collaboration"/>
    <w:basedOn w:val="BaseText"/>
    <w:rsid w:val="00656C9F"/>
    <w:pPr>
      <w:spacing w:before="120" w:after="120"/>
    </w:pPr>
  </w:style>
  <w:style w:type="paragraph" w:customStyle="1" w:styleId="Collaborators">
    <w:name w:val="Collaborators"/>
    <w:basedOn w:val="BaseText"/>
    <w:rsid w:val="00656C9F"/>
    <w:pPr>
      <w:spacing w:before="120" w:after="120"/>
    </w:pPr>
  </w:style>
  <w:style w:type="paragraph" w:customStyle="1" w:styleId="OnBehalfOf">
    <w:name w:val="OnBehalfOf"/>
    <w:basedOn w:val="BaseText"/>
    <w:rsid w:val="00656C9F"/>
    <w:pPr>
      <w:spacing w:before="120" w:after="120"/>
    </w:pPr>
  </w:style>
  <w:style w:type="paragraph" w:customStyle="1" w:styleId="Position">
    <w:name w:val="Position"/>
    <w:basedOn w:val="BaseText"/>
    <w:rsid w:val="00656C9F"/>
    <w:pPr>
      <w:spacing w:before="120" w:after="120"/>
    </w:pPr>
    <w:rPr>
      <w:i/>
    </w:rPr>
  </w:style>
  <w:style w:type="paragraph" w:customStyle="1" w:styleId="AbstractPara">
    <w:name w:val="AbstractPara"/>
    <w:basedOn w:val="BaseText"/>
    <w:rsid w:val="00656C9F"/>
  </w:style>
  <w:style w:type="paragraph" w:customStyle="1" w:styleId="AbstractTitle">
    <w:name w:val="AbstractTitle"/>
    <w:basedOn w:val="BaseHeading"/>
    <w:next w:val="AbstractPara"/>
    <w:rsid w:val="00656C9F"/>
    <w:pPr>
      <w:spacing w:before="120" w:after="120"/>
    </w:pPr>
    <w:rPr>
      <w:b/>
      <w:sz w:val="26"/>
    </w:rPr>
  </w:style>
  <w:style w:type="paragraph" w:customStyle="1" w:styleId="Accepted">
    <w:name w:val="Accepted"/>
    <w:basedOn w:val="BaseText"/>
    <w:next w:val="Para"/>
    <w:rsid w:val="00656C9F"/>
    <w:pPr>
      <w:spacing w:before="60" w:after="60"/>
    </w:pPr>
  </w:style>
  <w:style w:type="paragraph" w:customStyle="1" w:styleId="Address">
    <w:name w:val="Address"/>
    <w:basedOn w:val="BaseText"/>
    <w:rsid w:val="00656C9F"/>
    <w:pPr>
      <w:spacing w:before="120" w:after="120"/>
    </w:pPr>
  </w:style>
  <w:style w:type="paragraph" w:customStyle="1" w:styleId="Biog">
    <w:name w:val="Biog"/>
    <w:basedOn w:val="BaseText"/>
    <w:next w:val="Para"/>
    <w:rsid w:val="00656C9F"/>
    <w:pPr>
      <w:spacing w:before="60" w:after="60"/>
    </w:pPr>
  </w:style>
  <w:style w:type="paragraph" w:customStyle="1" w:styleId="Correspdent">
    <w:name w:val="Correspdent"/>
    <w:basedOn w:val="BaseText"/>
    <w:rsid w:val="00656C9F"/>
  </w:style>
  <w:style w:type="paragraph" w:customStyle="1" w:styleId="MoreInfo">
    <w:name w:val="MoreInfo"/>
    <w:basedOn w:val="BaseText"/>
    <w:rsid w:val="00656C9F"/>
  </w:style>
  <w:style w:type="paragraph" w:customStyle="1" w:styleId="Standfirst">
    <w:name w:val="Standfirst"/>
    <w:basedOn w:val="BaseText"/>
    <w:rsid w:val="00656C9F"/>
    <w:pPr>
      <w:spacing w:before="120" w:after="120"/>
    </w:pPr>
    <w:rPr>
      <w:i/>
    </w:rPr>
  </w:style>
  <w:style w:type="paragraph" w:customStyle="1" w:styleId="ProductAuth">
    <w:name w:val="ProductAuth"/>
    <w:basedOn w:val="BaseText"/>
    <w:rsid w:val="00656C9F"/>
    <w:rPr>
      <w:b/>
      <w:sz w:val="28"/>
    </w:rPr>
  </w:style>
  <w:style w:type="paragraph" w:customStyle="1" w:styleId="ProductDetails">
    <w:name w:val="ProductDetails"/>
    <w:basedOn w:val="BaseText"/>
    <w:next w:val="Normal"/>
    <w:rsid w:val="00656C9F"/>
    <w:rPr>
      <w:b/>
      <w:sz w:val="28"/>
    </w:rPr>
  </w:style>
  <w:style w:type="paragraph" w:customStyle="1" w:styleId="ProductTitle">
    <w:name w:val="ProductTitle"/>
    <w:basedOn w:val="BaseText"/>
    <w:rsid w:val="00656C9F"/>
    <w:rPr>
      <w:b/>
      <w:sz w:val="28"/>
    </w:rPr>
  </w:style>
  <w:style w:type="paragraph" w:customStyle="1" w:styleId="Rating">
    <w:name w:val="Rating"/>
    <w:basedOn w:val="BaseText"/>
    <w:next w:val="Normal"/>
    <w:qFormat/>
    <w:rsid w:val="00656C9F"/>
    <w:rPr>
      <w:b/>
      <w:sz w:val="28"/>
    </w:rPr>
  </w:style>
  <w:style w:type="paragraph" w:customStyle="1" w:styleId="HeadA">
    <w:name w:val="HeadA"/>
    <w:basedOn w:val="BaseHeading"/>
    <w:next w:val="Para"/>
    <w:rsid w:val="00656C9F"/>
    <w:pPr>
      <w:spacing w:before="240" w:after="120"/>
    </w:pPr>
    <w:rPr>
      <w:b/>
      <w:sz w:val="28"/>
    </w:rPr>
  </w:style>
  <w:style w:type="paragraph" w:customStyle="1" w:styleId="HeadB">
    <w:name w:val="HeadB"/>
    <w:basedOn w:val="BaseHeading"/>
    <w:next w:val="Para"/>
    <w:rsid w:val="00656C9F"/>
    <w:pPr>
      <w:spacing w:before="160" w:after="60"/>
    </w:pPr>
    <w:rPr>
      <w:b/>
    </w:rPr>
  </w:style>
  <w:style w:type="paragraph" w:customStyle="1" w:styleId="HeadC">
    <w:name w:val="HeadC"/>
    <w:basedOn w:val="BaseHeading"/>
    <w:next w:val="Para"/>
    <w:rsid w:val="00656C9F"/>
    <w:pPr>
      <w:spacing w:before="160" w:after="60"/>
    </w:pPr>
    <w:rPr>
      <w:i/>
    </w:rPr>
  </w:style>
  <w:style w:type="paragraph" w:customStyle="1" w:styleId="Para">
    <w:name w:val="Para"/>
    <w:basedOn w:val="BaseText"/>
    <w:rsid w:val="00656C9F"/>
    <w:pPr>
      <w:spacing w:line="360" w:lineRule="auto"/>
      <w:ind w:firstLine="360"/>
    </w:pPr>
  </w:style>
  <w:style w:type="paragraph" w:customStyle="1" w:styleId="ParaCont">
    <w:name w:val="ParaCont"/>
    <w:basedOn w:val="BaseText"/>
    <w:next w:val="Para"/>
    <w:rsid w:val="00656C9F"/>
  </w:style>
  <w:style w:type="paragraph" w:customStyle="1" w:styleId="PullQuote">
    <w:name w:val="PullQuote"/>
    <w:basedOn w:val="BaseText"/>
    <w:next w:val="Para"/>
    <w:rsid w:val="00656C9F"/>
    <w:pPr>
      <w:spacing w:before="120" w:after="120"/>
      <w:ind w:left="360"/>
    </w:pPr>
    <w:rPr>
      <w:i/>
    </w:rPr>
  </w:style>
  <w:style w:type="paragraph" w:customStyle="1" w:styleId="QuoteRef">
    <w:name w:val="QuoteRef"/>
    <w:basedOn w:val="BaseText"/>
    <w:next w:val="Para"/>
    <w:rsid w:val="00656C9F"/>
    <w:pPr>
      <w:spacing w:after="120"/>
      <w:ind w:left="360"/>
    </w:pPr>
  </w:style>
  <w:style w:type="paragraph" w:customStyle="1" w:styleId="SourceRef">
    <w:name w:val="SourceRef"/>
    <w:basedOn w:val="BaseText"/>
    <w:next w:val="Para"/>
    <w:rsid w:val="00656C9F"/>
  </w:style>
  <w:style w:type="paragraph" w:customStyle="1" w:styleId="NumList1">
    <w:name w:val="NumList1"/>
    <w:basedOn w:val="BaseText"/>
    <w:rsid w:val="00656C9F"/>
    <w:pPr>
      <w:spacing w:after="60"/>
      <w:ind w:left="357" w:hanging="357"/>
    </w:pPr>
  </w:style>
  <w:style w:type="paragraph" w:customStyle="1" w:styleId="NumList1Cont">
    <w:name w:val="NumList1Cont"/>
    <w:basedOn w:val="BaseText"/>
    <w:rsid w:val="00656C9F"/>
    <w:pPr>
      <w:spacing w:before="60" w:after="60"/>
      <w:ind w:left="360"/>
    </w:pPr>
  </w:style>
  <w:style w:type="paragraph" w:customStyle="1" w:styleId="NumList2">
    <w:name w:val="NumList2"/>
    <w:basedOn w:val="BaseText"/>
    <w:rsid w:val="00656C9F"/>
    <w:pPr>
      <w:tabs>
        <w:tab w:val="left" w:pos="720"/>
        <w:tab w:val="left" w:pos="1080"/>
      </w:tabs>
      <w:spacing w:before="60" w:after="60"/>
      <w:ind w:left="714" w:hanging="357"/>
    </w:pPr>
  </w:style>
  <w:style w:type="paragraph" w:customStyle="1" w:styleId="NumList2Cont">
    <w:name w:val="NumList2Cont"/>
    <w:basedOn w:val="BaseText"/>
    <w:rsid w:val="00656C9F"/>
    <w:pPr>
      <w:spacing w:before="60" w:after="60"/>
      <w:ind w:left="709"/>
    </w:pPr>
  </w:style>
  <w:style w:type="paragraph" w:customStyle="1" w:styleId="NumList3">
    <w:name w:val="NumList3"/>
    <w:basedOn w:val="BaseText"/>
    <w:rsid w:val="00656C9F"/>
    <w:pPr>
      <w:ind w:left="1066" w:hanging="357"/>
    </w:pPr>
  </w:style>
  <w:style w:type="paragraph" w:customStyle="1" w:styleId="NumList3Cont">
    <w:name w:val="NumList3Cont"/>
    <w:basedOn w:val="BaseText"/>
    <w:rsid w:val="00656C9F"/>
    <w:pPr>
      <w:spacing w:before="60" w:after="60"/>
      <w:ind w:left="1066"/>
    </w:pPr>
  </w:style>
  <w:style w:type="paragraph" w:customStyle="1" w:styleId="List1">
    <w:name w:val="List1"/>
    <w:basedOn w:val="BaseText"/>
    <w:rsid w:val="00656C9F"/>
    <w:pPr>
      <w:ind w:left="357" w:hanging="357"/>
    </w:pPr>
  </w:style>
  <w:style w:type="paragraph" w:customStyle="1" w:styleId="List20">
    <w:name w:val="List2"/>
    <w:basedOn w:val="BaseText"/>
    <w:rsid w:val="00656C9F"/>
    <w:pPr>
      <w:ind w:left="714" w:hanging="357"/>
    </w:pPr>
  </w:style>
  <w:style w:type="paragraph" w:customStyle="1" w:styleId="List30">
    <w:name w:val="List3"/>
    <w:basedOn w:val="BaseText"/>
    <w:rsid w:val="00656C9F"/>
    <w:pPr>
      <w:ind w:left="1077" w:hanging="357"/>
    </w:pPr>
  </w:style>
  <w:style w:type="paragraph" w:customStyle="1" w:styleId="BullList1">
    <w:name w:val="BullList1"/>
    <w:basedOn w:val="BaseText"/>
    <w:rsid w:val="00656C9F"/>
    <w:pPr>
      <w:spacing w:after="60"/>
      <w:ind w:left="357" w:hanging="357"/>
    </w:pPr>
  </w:style>
  <w:style w:type="paragraph" w:customStyle="1" w:styleId="BullList2">
    <w:name w:val="BullList2"/>
    <w:basedOn w:val="BaseText"/>
    <w:rsid w:val="00656C9F"/>
    <w:pPr>
      <w:spacing w:after="60"/>
      <w:ind w:left="714" w:hanging="357"/>
    </w:pPr>
  </w:style>
  <w:style w:type="paragraph" w:customStyle="1" w:styleId="BullList3">
    <w:name w:val="BullList3"/>
    <w:basedOn w:val="BaseText"/>
    <w:rsid w:val="00656C9F"/>
    <w:pPr>
      <w:spacing w:after="60"/>
      <w:ind w:left="1077" w:hanging="357"/>
    </w:pPr>
  </w:style>
  <w:style w:type="paragraph" w:customStyle="1" w:styleId="ListPara">
    <w:name w:val="ListPara"/>
    <w:basedOn w:val="BaseText"/>
    <w:rsid w:val="00656C9F"/>
    <w:pPr>
      <w:ind w:firstLine="360"/>
    </w:pPr>
  </w:style>
  <w:style w:type="paragraph" w:customStyle="1" w:styleId="Equation">
    <w:name w:val="Equation"/>
    <w:basedOn w:val="BaseText"/>
    <w:next w:val="Para"/>
    <w:rsid w:val="00656C9F"/>
    <w:pPr>
      <w:spacing w:before="120" w:after="120"/>
      <w:jc w:val="center"/>
    </w:pPr>
  </w:style>
  <w:style w:type="paragraph" w:customStyle="1" w:styleId="BoxSubTitle">
    <w:name w:val="BoxSubTitle"/>
    <w:basedOn w:val="BaseHeading"/>
    <w:next w:val="Para"/>
    <w:rsid w:val="00656C9F"/>
    <w:pPr>
      <w:shd w:val="pct12" w:color="auto" w:fill="auto"/>
    </w:pPr>
    <w:rPr>
      <w:b/>
      <w:sz w:val="20"/>
    </w:rPr>
  </w:style>
  <w:style w:type="paragraph" w:customStyle="1" w:styleId="BoxText">
    <w:name w:val="BoxText"/>
    <w:basedOn w:val="BaseText"/>
    <w:rsid w:val="00656C9F"/>
    <w:pPr>
      <w:shd w:val="pct12" w:color="auto" w:fill="auto"/>
    </w:pPr>
  </w:style>
  <w:style w:type="paragraph" w:customStyle="1" w:styleId="BoxTitle">
    <w:name w:val="BoxTitle"/>
    <w:basedOn w:val="BaseHeading"/>
    <w:next w:val="BoxText"/>
    <w:rsid w:val="00656C9F"/>
    <w:pPr>
      <w:shd w:val="pct12" w:color="auto" w:fill="auto"/>
    </w:pPr>
    <w:rPr>
      <w:b/>
    </w:rPr>
  </w:style>
  <w:style w:type="paragraph" w:customStyle="1" w:styleId="TableBody">
    <w:name w:val="TableBody"/>
    <w:basedOn w:val="BaseText"/>
    <w:rsid w:val="00656C9F"/>
    <w:rPr>
      <w:sz w:val="20"/>
    </w:rPr>
  </w:style>
  <w:style w:type="paragraph" w:customStyle="1" w:styleId="TableHeader">
    <w:name w:val="TableHeader"/>
    <w:basedOn w:val="BaseText"/>
    <w:next w:val="Para"/>
    <w:rsid w:val="00656C9F"/>
    <w:rPr>
      <w:b/>
    </w:rPr>
  </w:style>
  <w:style w:type="paragraph" w:customStyle="1" w:styleId="TableNote">
    <w:name w:val="TableNote"/>
    <w:basedOn w:val="BaseText"/>
    <w:next w:val="Para"/>
    <w:rsid w:val="00656C9F"/>
    <w:rPr>
      <w:sz w:val="20"/>
    </w:rPr>
  </w:style>
  <w:style w:type="paragraph" w:customStyle="1" w:styleId="TableSubHead">
    <w:name w:val="TableSubHead"/>
    <w:basedOn w:val="BaseText"/>
    <w:next w:val="Para"/>
    <w:rsid w:val="00656C9F"/>
    <w:rPr>
      <w:b/>
      <w:sz w:val="20"/>
    </w:rPr>
  </w:style>
  <w:style w:type="paragraph" w:customStyle="1" w:styleId="TableTitle">
    <w:name w:val="TableTitle"/>
    <w:basedOn w:val="BaseHeading"/>
    <w:next w:val="Para"/>
    <w:rsid w:val="00656C9F"/>
    <w:pPr>
      <w:spacing w:before="240"/>
    </w:pPr>
  </w:style>
  <w:style w:type="paragraph" w:customStyle="1" w:styleId="Credit">
    <w:name w:val="Credit"/>
    <w:basedOn w:val="BaseText"/>
    <w:next w:val="Para"/>
    <w:rsid w:val="00656C9F"/>
    <w:pPr>
      <w:spacing w:before="60" w:after="60"/>
    </w:pPr>
    <w:rPr>
      <w:sz w:val="20"/>
    </w:rPr>
  </w:style>
  <w:style w:type="paragraph" w:customStyle="1" w:styleId="FigCaption">
    <w:name w:val="FigCaption"/>
    <w:basedOn w:val="BaseText"/>
    <w:next w:val="Para"/>
    <w:rsid w:val="00656C9F"/>
    <w:pPr>
      <w:spacing w:before="120" w:after="120"/>
    </w:pPr>
    <w:rPr>
      <w:sz w:val="20"/>
    </w:rPr>
  </w:style>
  <w:style w:type="paragraph" w:customStyle="1" w:styleId="Acknowledge">
    <w:name w:val="Acknowledge"/>
    <w:basedOn w:val="BaseText"/>
    <w:next w:val="Para"/>
    <w:rsid w:val="00656C9F"/>
    <w:pPr>
      <w:spacing w:before="120"/>
    </w:pPr>
  </w:style>
  <w:style w:type="paragraph" w:customStyle="1" w:styleId="Conflict">
    <w:name w:val="Conflict"/>
    <w:basedOn w:val="BaseText"/>
    <w:rsid w:val="00656C9F"/>
    <w:pPr>
      <w:spacing w:before="120"/>
    </w:pPr>
  </w:style>
  <w:style w:type="paragraph" w:customStyle="1" w:styleId="EthicalApproval">
    <w:name w:val="EthicalApproval"/>
    <w:basedOn w:val="BaseText"/>
    <w:rsid w:val="00656C9F"/>
    <w:pPr>
      <w:spacing w:before="120"/>
    </w:pPr>
  </w:style>
  <w:style w:type="paragraph" w:customStyle="1" w:styleId="Funding">
    <w:name w:val="Funding"/>
    <w:basedOn w:val="BaseText"/>
    <w:rsid w:val="00656C9F"/>
    <w:pPr>
      <w:spacing w:before="120"/>
    </w:pPr>
  </w:style>
  <w:style w:type="paragraph" w:customStyle="1" w:styleId="Miscellaneous">
    <w:name w:val="Miscellaneous"/>
    <w:basedOn w:val="BaseText"/>
    <w:rsid w:val="00656C9F"/>
    <w:pPr>
      <w:spacing w:before="120" w:after="60"/>
    </w:pPr>
  </w:style>
  <w:style w:type="paragraph" w:customStyle="1" w:styleId="Participators">
    <w:name w:val="Participators"/>
    <w:basedOn w:val="BaseText"/>
    <w:rsid w:val="00656C9F"/>
    <w:pPr>
      <w:spacing w:before="120"/>
    </w:pPr>
  </w:style>
  <w:style w:type="paragraph" w:customStyle="1" w:styleId="Reference">
    <w:name w:val="Reference"/>
    <w:basedOn w:val="BaseText"/>
    <w:rsid w:val="00656C9F"/>
    <w:pPr>
      <w:spacing w:before="40" w:after="40"/>
    </w:pPr>
  </w:style>
  <w:style w:type="paragraph" w:customStyle="1" w:styleId="EdNoteTitle">
    <w:name w:val="EdNoteTitle"/>
    <w:basedOn w:val="BaseHeading"/>
    <w:rsid w:val="00656C9F"/>
    <w:rPr>
      <w:sz w:val="28"/>
    </w:rPr>
  </w:style>
  <w:style w:type="paragraph" w:customStyle="1" w:styleId="BoxBegin">
    <w:name w:val="BoxBegin"/>
    <w:basedOn w:val="BaseText"/>
    <w:rsid w:val="00656C9F"/>
    <w:pPr>
      <w:pBdr>
        <w:top w:val="single" w:sz="4" w:space="1" w:color="auto"/>
      </w:pBdr>
      <w:shd w:val="pct12" w:color="auto" w:fill="FFFFFF"/>
      <w:spacing w:before="120" w:line="200" w:lineRule="atLeast"/>
    </w:pPr>
    <w:rPr>
      <w:rFonts w:ascii="Calibri" w:eastAsia="Times New Roman" w:hAnsi="Calibri"/>
      <w:b/>
      <w:sz w:val="20"/>
    </w:rPr>
  </w:style>
  <w:style w:type="paragraph" w:customStyle="1" w:styleId="BoxEnd">
    <w:name w:val="BoxEnd"/>
    <w:basedOn w:val="BaseText"/>
    <w:rsid w:val="00656C9F"/>
    <w:pPr>
      <w:pBdr>
        <w:bottom w:val="single" w:sz="4" w:space="1" w:color="auto"/>
      </w:pBdr>
      <w:shd w:val="pct12" w:color="auto" w:fill="FFFFFF"/>
      <w:spacing w:after="120" w:line="200" w:lineRule="atLeast"/>
    </w:pPr>
    <w:rPr>
      <w:rFonts w:ascii="Calibri" w:eastAsia="Times New Roman" w:hAnsi="Calibri"/>
      <w:b/>
      <w:sz w:val="20"/>
    </w:rPr>
  </w:style>
  <w:style w:type="paragraph" w:customStyle="1" w:styleId="supp-file">
    <w:name w:val="supp-file"/>
    <w:basedOn w:val="BaseText"/>
    <w:rsid w:val="00656C9F"/>
    <w:pPr>
      <w:ind w:left="720"/>
    </w:pPr>
    <w:rPr>
      <w:rFonts w:eastAsia="Times New Roman" w:cs="Arial"/>
      <w:color w:val="FF0000"/>
      <w:sz w:val="20"/>
      <w:szCs w:val="24"/>
    </w:rPr>
  </w:style>
  <w:style w:type="paragraph" w:customStyle="1" w:styleId="WebExtraDesc">
    <w:name w:val="WebExtraDesc"/>
    <w:basedOn w:val="BaseText"/>
    <w:rsid w:val="00656C9F"/>
    <w:pPr>
      <w:ind w:left="432"/>
    </w:pPr>
    <w:rPr>
      <w:rFonts w:eastAsia="Times New Roman"/>
      <w:iCs/>
      <w:color w:val="0000FF"/>
      <w:szCs w:val="24"/>
    </w:rPr>
  </w:style>
  <w:style w:type="paragraph" w:customStyle="1" w:styleId="WebExtraTitle">
    <w:name w:val="WebExtraTitle"/>
    <w:basedOn w:val="BaseHeading"/>
    <w:rsid w:val="00656C9F"/>
    <w:rPr>
      <w:rFonts w:eastAsia="Times New Roman"/>
      <w:sz w:val="28"/>
      <w:szCs w:val="28"/>
    </w:rPr>
  </w:style>
  <w:style w:type="paragraph" w:customStyle="1" w:styleId="BoxNote">
    <w:name w:val="BoxNote"/>
    <w:basedOn w:val="BaseText"/>
    <w:rsid w:val="00656C9F"/>
    <w:pPr>
      <w:shd w:val="pct12" w:color="auto" w:fill="auto"/>
    </w:pPr>
    <w:rPr>
      <w:sz w:val="20"/>
    </w:rPr>
  </w:style>
  <w:style w:type="paragraph" w:customStyle="1" w:styleId="BullNumList1">
    <w:name w:val="Bull/NumList1"/>
    <w:basedOn w:val="BaseText"/>
    <w:rsid w:val="00656C9F"/>
    <w:pPr>
      <w:spacing w:after="60"/>
      <w:ind w:left="357" w:hanging="357"/>
    </w:pPr>
  </w:style>
  <w:style w:type="paragraph" w:customStyle="1" w:styleId="BullNumList2">
    <w:name w:val="Bull/NumList2"/>
    <w:basedOn w:val="BaseText"/>
    <w:rsid w:val="00656C9F"/>
    <w:pPr>
      <w:spacing w:after="60"/>
      <w:ind w:left="714" w:hanging="357"/>
    </w:pPr>
  </w:style>
  <w:style w:type="paragraph" w:customStyle="1" w:styleId="BullNumList3">
    <w:name w:val="Bull/NumList3"/>
    <w:basedOn w:val="BaseText"/>
    <w:rsid w:val="00656C9F"/>
    <w:pPr>
      <w:spacing w:after="60"/>
      <w:ind w:left="1077" w:hanging="357"/>
    </w:pPr>
  </w:style>
  <w:style w:type="paragraph" w:customStyle="1" w:styleId="BullNumList1Cont">
    <w:name w:val="Bull/NumList1Cont"/>
    <w:basedOn w:val="BaseText"/>
    <w:rsid w:val="00656C9F"/>
    <w:pPr>
      <w:spacing w:before="60" w:after="60"/>
      <w:ind w:left="360"/>
    </w:pPr>
  </w:style>
  <w:style w:type="paragraph" w:customStyle="1" w:styleId="BullNumList2Cont">
    <w:name w:val="Bull/NumList2Cont"/>
    <w:basedOn w:val="BaseText"/>
    <w:rsid w:val="00656C9F"/>
    <w:pPr>
      <w:spacing w:before="60" w:after="60"/>
      <w:ind w:left="709"/>
    </w:pPr>
  </w:style>
  <w:style w:type="paragraph" w:customStyle="1" w:styleId="BullNumList3Cont">
    <w:name w:val="Bull/NumList3Cont"/>
    <w:basedOn w:val="BaseText"/>
    <w:rsid w:val="00656C9F"/>
    <w:pPr>
      <w:spacing w:before="60" w:after="60"/>
      <w:ind w:left="1066"/>
    </w:pPr>
  </w:style>
  <w:style w:type="paragraph" w:customStyle="1" w:styleId="BoxBullNumList1">
    <w:name w:val="BoxBull/NumList1"/>
    <w:basedOn w:val="BaseText"/>
    <w:rsid w:val="00656C9F"/>
    <w:pPr>
      <w:shd w:val="pct12" w:color="auto" w:fill="auto"/>
      <w:spacing w:after="60"/>
      <w:ind w:left="357" w:hanging="357"/>
    </w:pPr>
  </w:style>
  <w:style w:type="paragraph" w:customStyle="1" w:styleId="BoxBullNumList2">
    <w:name w:val="BoxBull/NumList2"/>
    <w:basedOn w:val="BaseText"/>
    <w:rsid w:val="00656C9F"/>
    <w:pPr>
      <w:shd w:val="pct12" w:color="auto" w:fill="auto"/>
      <w:spacing w:after="60"/>
      <w:ind w:left="714" w:hanging="357"/>
    </w:pPr>
  </w:style>
  <w:style w:type="paragraph" w:customStyle="1" w:styleId="BoxBullNumList3">
    <w:name w:val="BoxBull/NumList3"/>
    <w:basedOn w:val="BaseText"/>
    <w:rsid w:val="00656C9F"/>
    <w:pPr>
      <w:shd w:val="pct12" w:color="auto" w:fill="auto"/>
      <w:spacing w:after="60"/>
      <w:ind w:left="1077" w:hanging="357"/>
    </w:pPr>
  </w:style>
  <w:style w:type="paragraph" w:customStyle="1" w:styleId="BoxList1">
    <w:name w:val="BoxList1"/>
    <w:basedOn w:val="BaseText"/>
    <w:rsid w:val="00656C9F"/>
    <w:pPr>
      <w:shd w:val="pct12" w:color="auto" w:fill="auto"/>
      <w:ind w:left="357" w:hanging="357"/>
    </w:pPr>
  </w:style>
  <w:style w:type="paragraph" w:customStyle="1" w:styleId="BoxList2">
    <w:name w:val="BoxList2"/>
    <w:basedOn w:val="BaseText"/>
    <w:rsid w:val="00656C9F"/>
    <w:pPr>
      <w:shd w:val="pct12" w:color="auto" w:fill="auto"/>
      <w:ind w:left="714" w:hanging="357"/>
    </w:pPr>
  </w:style>
  <w:style w:type="paragraph" w:customStyle="1" w:styleId="BoxList3">
    <w:name w:val="BoxList3"/>
    <w:basedOn w:val="BaseText"/>
    <w:rsid w:val="00656C9F"/>
    <w:pPr>
      <w:shd w:val="pct12" w:color="auto" w:fill="auto"/>
      <w:ind w:left="1077" w:hanging="357"/>
    </w:pPr>
  </w:style>
  <w:style w:type="paragraph" w:customStyle="1" w:styleId="RelatedTo">
    <w:name w:val="RelatedTo"/>
    <w:basedOn w:val="BaseText"/>
    <w:rsid w:val="00656C9F"/>
  </w:style>
  <w:style w:type="paragraph" w:customStyle="1" w:styleId="MediaBlock">
    <w:name w:val="MediaBlock"/>
    <w:basedOn w:val="BaseText"/>
    <w:rsid w:val="00656C9F"/>
    <w:pPr>
      <w:ind w:left="720"/>
    </w:pPr>
    <w:rPr>
      <w:rFonts w:ascii="Arial" w:eastAsia="Times New Roman" w:hAnsi="Arial" w:cs="Arial"/>
      <w:color w:val="FF0000"/>
      <w:szCs w:val="24"/>
    </w:rPr>
  </w:style>
  <w:style w:type="paragraph" w:customStyle="1" w:styleId="Footnote">
    <w:name w:val="Footnote"/>
    <w:basedOn w:val="BaseText"/>
    <w:rsid w:val="00656C9F"/>
    <w:pPr>
      <w:spacing w:before="12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79801">
      <w:bodyDiv w:val="1"/>
      <w:marLeft w:val="0"/>
      <w:marRight w:val="0"/>
      <w:marTop w:val="0"/>
      <w:marBottom w:val="0"/>
      <w:divBdr>
        <w:top w:val="none" w:sz="0" w:space="0" w:color="auto"/>
        <w:left w:val="none" w:sz="0" w:space="0" w:color="auto"/>
        <w:bottom w:val="none" w:sz="0" w:space="0" w:color="auto"/>
        <w:right w:val="none" w:sz="0" w:space="0" w:color="auto"/>
      </w:divBdr>
    </w:div>
    <w:div w:id="961032349">
      <w:bodyDiv w:val="1"/>
      <w:marLeft w:val="0"/>
      <w:marRight w:val="0"/>
      <w:marTop w:val="0"/>
      <w:marBottom w:val="0"/>
      <w:divBdr>
        <w:top w:val="none" w:sz="0" w:space="0" w:color="auto"/>
        <w:left w:val="none" w:sz="0" w:space="0" w:color="auto"/>
        <w:bottom w:val="none" w:sz="0" w:space="0" w:color="auto"/>
        <w:right w:val="none" w:sz="0" w:space="0" w:color="auto"/>
      </w:divBdr>
      <w:divsChild>
        <w:div w:id="1346438947">
          <w:marLeft w:val="0"/>
          <w:marRight w:val="0"/>
          <w:marTop w:val="0"/>
          <w:marBottom w:val="0"/>
          <w:divBdr>
            <w:top w:val="none" w:sz="0" w:space="0" w:color="auto"/>
            <w:left w:val="none" w:sz="0" w:space="0" w:color="auto"/>
            <w:bottom w:val="none" w:sz="0" w:space="0" w:color="auto"/>
            <w:right w:val="none" w:sz="0" w:space="0" w:color="auto"/>
          </w:divBdr>
        </w:div>
        <w:div w:id="1408572108">
          <w:marLeft w:val="0"/>
          <w:marRight w:val="0"/>
          <w:marTop w:val="0"/>
          <w:marBottom w:val="0"/>
          <w:divBdr>
            <w:top w:val="none" w:sz="0" w:space="0" w:color="auto"/>
            <w:left w:val="none" w:sz="0" w:space="0" w:color="auto"/>
            <w:bottom w:val="none" w:sz="0" w:space="0" w:color="auto"/>
            <w:right w:val="none" w:sz="0" w:space="0" w:color="auto"/>
          </w:divBdr>
        </w:div>
        <w:div w:id="315305574">
          <w:marLeft w:val="0"/>
          <w:marRight w:val="0"/>
          <w:marTop w:val="0"/>
          <w:marBottom w:val="0"/>
          <w:divBdr>
            <w:top w:val="none" w:sz="0" w:space="0" w:color="auto"/>
            <w:left w:val="none" w:sz="0" w:space="0" w:color="auto"/>
            <w:bottom w:val="none" w:sz="0" w:space="0" w:color="auto"/>
            <w:right w:val="none" w:sz="0" w:space="0" w:color="auto"/>
          </w:divBdr>
        </w:div>
        <w:div w:id="539099986">
          <w:marLeft w:val="0"/>
          <w:marRight w:val="0"/>
          <w:marTop w:val="0"/>
          <w:marBottom w:val="0"/>
          <w:divBdr>
            <w:top w:val="none" w:sz="0" w:space="0" w:color="auto"/>
            <w:left w:val="none" w:sz="0" w:space="0" w:color="auto"/>
            <w:bottom w:val="none" w:sz="0" w:space="0" w:color="auto"/>
            <w:right w:val="none" w:sz="0" w:space="0" w:color="auto"/>
          </w:divBdr>
        </w:div>
        <w:div w:id="1673023878">
          <w:marLeft w:val="0"/>
          <w:marRight w:val="0"/>
          <w:marTop w:val="0"/>
          <w:marBottom w:val="0"/>
          <w:divBdr>
            <w:top w:val="none" w:sz="0" w:space="0" w:color="auto"/>
            <w:left w:val="none" w:sz="0" w:space="0" w:color="auto"/>
            <w:bottom w:val="none" w:sz="0" w:space="0" w:color="auto"/>
            <w:right w:val="none" w:sz="0" w:space="0" w:color="auto"/>
          </w:divBdr>
        </w:div>
        <w:div w:id="804398447">
          <w:marLeft w:val="0"/>
          <w:marRight w:val="0"/>
          <w:marTop w:val="0"/>
          <w:marBottom w:val="0"/>
          <w:divBdr>
            <w:top w:val="none" w:sz="0" w:space="0" w:color="auto"/>
            <w:left w:val="none" w:sz="0" w:space="0" w:color="auto"/>
            <w:bottom w:val="none" w:sz="0" w:space="0" w:color="auto"/>
            <w:right w:val="none" w:sz="0" w:space="0" w:color="auto"/>
          </w:divBdr>
        </w:div>
        <w:div w:id="376665454">
          <w:marLeft w:val="0"/>
          <w:marRight w:val="0"/>
          <w:marTop w:val="0"/>
          <w:marBottom w:val="0"/>
          <w:divBdr>
            <w:top w:val="none" w:sz="0" w:space="0" w:color="auto"/>
            <w:left w:val="none" w:sz="0" w:space="0" w:color="auto"/>
            <w:bottom w:val="none" w:sz="0" w:space="0" w:color="auto"/>
            <w:right w:val="none" w:sz="0" w:space="0" w:color="auto"/>
          </w:divBdr>
        </w:div>
      </w:divsChild>
    </w:div>
    <w:div w:id="1086076085">
      <w:bodyDiv w:val="1"/>
      <w:marLeft w:val="0"/>
      <w:marRight w:val="0"/>
      <w:marTop w:val="0"/>
      <w:marBottom w:val="0"/>
      <w:divBdr>
        <w:top w:val="none" w:sz="0" w:space="0" w:color="auto"/>
        <w:left w:val="none" w:sz="0" w:space="0" w:color="auto"/>
        <w:bottom w:val="none" w:sz="0" w:space="0" w:color="auto"/>
        <w:right w:val="none" w:sz="0" w:space="0" w:color="auto"/>
      </w:divBdr>
    </w:div>
    <w:div w:id="1090735805">
      <w:bodyDiv w:val="1"/>
      <w:marLeft w:val="0"/>
      <w:marRight w:val="0"/>
      <w:marTop w:val="0"/>
      <w:marBottom w:val="0"/>
      <w:divBdr>
        <w:top w:val="none" w:sz="0" w:space="0" w:color="auto"/>
        <w:left w:val="none" w:sz="0" w:space="0" w:color="auto"/>
        <w:bottom w:val="none" w:sz="0" w:space="0" w:color="auto"/>
        <w:right w:val="none" w:sz="0" w:space="0" w:color="auto"/>
      </w:divBdr>
    </w:div>
    <w:div w:id="1331370417">
      <w:bodyDiv w:val="1"/>
      <w:marLeft w:val="0"/>
      <w:marRight w:val="0"/>
      <w:marTop w:val="0"/>
      <w:marBottom w:val="0"/>
      <w:divBdr>
        <w:top w:val="none" w:sz="0" w:space="0" w:color="auto"/>
        <w:left w:val="none" w:sz="0" w:space="0" w:color="auto"/>
        <w:bottom w:val="none" w:sz="0" w:space="0" w:color="auto"/>
        <w:right w:val="none" w:sz="0" w:space="0" w:color="auto"/>
      </w:divBdr>
      <w:divsChild>
        <w:div w:id="1984193320">
          <w:marLeft w:val="0"/>
          <w:marRight w:val="0"/>
          <w:marTop w:val="0"/>
          <w:marBottom w:val="0"/>
          <w:divBdr>
            <w:top w:val="none" w:sz="0" w:space="0" w:color="auto"/>
            <w:left w:val="none" w:sz="0" w:space="0" w:color="auto"/>
            <w:bottom w:val="none" w:sz="0" w:space="0" w:color="auto"/>
            <w:right w:val="none" w:sz="0" w:space="0" w:color="auto"/>
          </w:divBdr>
        </w:div>
        <w:div w:id="655450027">
          <w:marLeft w:val="0"/>
          <w:marRight w:val="0"/>
          <w:marTop w:val="0"/>
          <w:marBottom w:val="0"/>
          <w:divBdr>
            <w:top w:val="none" w:sz="0" w:space="0" w:color="auto"/>
            <w:left w:val="none" w:sz="0" w:space="0" w:color="auto"/>
            <w:bottom w:val="none" w:sz="0" w:space="0" w:color="auto"/>
            <w:right w:val="none" w:sz="0" w:space="0" w:color="auto"/>
          </w:divBdr>
        </w:div>
        <w:div w:id="997419691">
          <w:marLeft w:val="0"/>
          <w:marRight w:val="0"/>
          <w:marTop w:val="0"/>
          <w:marBottom w:val="0"/>
          <w:divBdr>
            <w:top w:val="none" w:sz="0" w:space="0" w:color="auto"/>
            <w:left w:val="none" w:sz="0" w:space="0" w:color="auto"/>
            <w:bottom w:val="none" w:sz="0" w:space="0" w:color="auto"/>
            <w:right w:val="none" w:sz="0" w:space="0" w:color="auto"/>
          </w:divBdr>
        </w:div>
      </w:divsChild>
    </w:div>
    <w:div w:id="1421218931">
      <w:bodyDiv w:val="1"/>
      <w:marLeft w:val="0"/>
      <w:marRight w:val="0"/>
      <w:marTop w:val="0"/>
      <w:marBottom w:val="0"/>
      <w:divBdr>
        <w:top w:val="none" w:sz="0" w:space="0" w:color="auto"/>
        <w:left w:val="none" w:sz="0" w:space="0" w:color="auto"/>
        <w:bottom w:val="none" w:sz="0" w:space="0" w:color="auto"/>
        <w:right w:val="none" w:sz="0" w:space="0" w:color="auto"/>
      </w:divBdr>
    </w:div>
    <w:div w:id="1465005554">
      <w:bodyDiv w:val="1"/>
      <w:marLeft w:val="0"/>
      <w:marRight w:val="0"/>
      <w:marTop w:val="0"/>
      <w:marBottom w:val="0"/>
      <w:divBdr>
        <w:top w:val="none" w:sz="0" w:space="0" w:color="auto"/>
        <w:left w:val="none" w:sz="0" w:space="0" w:color="auto"/>
        <w:bottom w:val="none" w:sz="0" w:space="0" w:color="auto"/>
        <w:right w:val="none" w:sz="0" w:space="0" w:color="auto"/>
      </w:divBdr>
    </w:div>
    <w:div w:id="1533616394">
      <w:bodyDiv w:val="1"/>
      <w:marLeft w:val="0"/>
      <w:marRight w:val="0"/>
      <w:marTop w:val="0"/>
      <w:marBottom w:val="0"/>
      <w:divBdr>
        <w:top w:val="none" w:sz="0" w:space="0" w:color="auto"/>
        <w:left w:val="none" w:sz="0" w:space="0" w:color="auto"/>
        <w:bottom w:val="none" w:sz="0" w:space="0" w:color="auto"/>
        <w:right w:val="none" w:sz="0" w:space="0" w:color="auto"/>
      </w:divBdr>
    </w:div>
    <w:div w:id="1854221653">
      <w:bodyDiv w:val="1"/>
      <w:marLeft w:val="0"/>
      <w:marRight w:val="0"/>
      <w:marTop w:val="0"/>
      <w:marBottom w:val="0"/>
      <w:divBdr>
        <w:top w:val="none" w:sz="0" w:space="0" w:color="auto"/>
        <w:left w:val="none" w:sz="0" w:space="0" w:color="auto"/>
        <w:bottom w:val="none" w:sz="0" w:space="0" w:color="auto"/>
        <w:right w:val="none" w:sz="0" w:space="0" w:color="auto"/>
      </w:divBdr>
    </w:div>
    <w:div w:id="213092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betesatlas.org/atlas/tenth-edition/" TargetMode="Externa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1.png"/><Relationship Id="rId10" Type="http://schemas.openxmlformats.org/officeDocument/2006/relationships/hyperlink" Target="https://www.cdc.gov/diabetes/basics/pcos.htm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diabetes.org.uk/professionals/position-statements-reports/statistics"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9C144-1486-497F-8C6A-704DD4E1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33</Pages>
  <Words>12189</Words>
  <Characters>69482</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University Hospitals of North Midlands NHS Trust</Company>
  <LinksUpToDate>false</LinksUpToDate>
  <CharactersWithSpaces>81508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Fryer</dc:creator>
  <cp:lastModifiedBy>Rowena Fryer</cp:lastModifiedBy>
  <cp:revision>3</cp:revision>
  <dcterms:created xsi:type="dcterms:W3CDTF">2023-07-26T10:33:00Z</dcterms:created>
  <dcterms:modified xsi:type="dcterms:W3CDTF">2023-07-26T10:52:00Z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I">
    <vt:lpwstr>10.1136/bmj.p970</vt:lpwstr>
  </property>
  <property fmtid="{D5CDD505-2E9C-101B-9397-08002B2CF9AE}" pid="3" name="ELocID">
    <vt:lpwstr>p970</vt:lpwstr>
  </property>
  <property fmtid="{D5CDD505-2E9C-101B-9397-08002B2CF9AE}" pid="4" name="x_a">
    <vt:bool>false</vt:bool>
  </property>
  <property fmtid="{D5CDD505-2E9C-101B-9397-08002B2CF9AE}" pid="5" name="x_p">
    <vt:bool>false</vt:bool>
  </property>
  <property fmtid="{D5CDD505-2E9C-101B-9397-08002B2CF9AE}" pid="6" name="x_t">
    <vt:bool>true</vt:bool>
  </property>
</Properties>
</file>