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3F1B7A01" w:rsidR="006864E3" w:rsidRDefault="64549C4E" w:rsidP="00536C9D">
      <w:pPr>
        <w:pStyle w:val="Heading1"/>
        <w:jc w:val="center"/>
      </w:pPr>
      <w:bookmarkStart w:id="0" w:name="_Toc139639449"/>
      <w:r w:rsidRPr="4395FF7F">
        <w:t>Going down the local</w:t>
      </w:r>
      <w:r w:rsidR="00536C9D">
        <w:t>:</w:t>
      </w:r>
      <w:r w:rsidRPr="4395FF7F">
        <w:t xml:space="preserve"> The Challenges of Place-Based Net Zero Governance</w:t>
      </w:r>
      <w:bookmarkEnd w:id="0"/>
    </w:p>
    <w:p w14:paraId="38DFA1A6" w14:textId="657E8CEA" w:rsidR="00536C9D" w:rsidRDefault="00536C9D" w:rsidP="0AE31BE2">
      <w:pPr>
        <w:rPr>
          <w:color w:val="000000"/>
          <w:sz w:val="27"/>
          <w:szCs w:val="27"/>
        </w:rPr>
      </w:pPr>
      <w:r>
        <w:rPr>
          <w:color w:val="000000"/>
          <w:sz w:val="27"/>
          <w:szCs w:val="27"/>
        </w:rPr>
        <w:t>Tom Bedford, Philip Catney and Zoe Robinson, Keele University</w:t>
      </w:r>
    </w:p>
    <w:p w14:paraId="1FD28D5E" w14:textId="77777777" w:rsidR="0004235D" w:rsidRDefault="0004235D" w:rsidP="0AE31BE2">
      <w:pPr>
        <w:rPr>
          <w:color w:val="000000"/>
          <w:sz w:val="27"/>
          <w:szCs w:val="27"/>
        </w:rPr>
      </w:pPr>
    </w:p>
    <w:p w14:paraId="75F82373" w14:textId="786F230C" w:rsidR="0004235D" w:rsidRDefault="0004235D" w:rsidP="0AE31BE2">
      <w:pPr>
        <w:rPr>
          <w:color w:val="000000"/>
          <w:sz w:val="27"/>
          <w:szCs w:val="27"/>
        </w:rPr>
      </w:pPr>
      <w:r>
        <w:rPr>
          <w:color w:val="000000"/>
          <w:sz w:val="27"/>
          <w:szCs w:val="27"/>
        </w:rPr>
        <w:t>Author Bio – Tom Bedford</w:t>
      </w:r>
    </w:p>
    <w:p w14:paraId="5EE2A0F0" w14:textId="77777777" w:rsidR="0004235D" w:rsidRDefault="0004235D" w:rsidP="0AE31BE2">
      <w:pPr>
        <w:rPr>
          <w:color w:val="000000"/>
          <w:sz w:val="27"/>
          <w:szCs w:val="27"/>
        </w:rPr>
      </w:pPr>
    </w:p>
    <w:p w14:paraId="6F8E1549" w14:textId="7D5273BD" w:rsidR="0004235D" w:rsidRPr="000613DF" w:rsidRDefault="007574AC" w:rsidP="0004235D">
      <w:r>
        <w:t>Tom Bedford</w:t>
      </w:r>
      <w:r w:rsidR="0004235D">
        <w:t xml:space="preserve"> is the net zero and smart energy training manager at Keele University. </w:t>
      </w:r>
      <w:r>
        <w:t>Tom</w:t>
      </w:r>
      <w:r w:rsidR="0004235D">
        <w:t xml:space="preserve"> has research interests in the net zero transition, place-based decarbonisation and the challenges and solutions to net zero in the West Midlands.</w:t>
      </w:r>
      <w:r>
        <w:t xml:space="preserve"> Tom has </w:t>
      </w:r>
      <w:r w:rsidR="000613DF">
        <w:t>worked</w:t>
      </w:r>
      <w:r>
        <w:t xml:space="preserve"> specifically in Staffordshire, considering </w:t>
      </w:r>
      <w:r w:rsidR="000613DF" w:rsidRPr="000613DF">
        <w:t>its</w:t>
      </w:r>
      <w:r w:rsidRPr="000613DF">
        <w:t xml:space="preserve"> role in the net zero transition and potential opportunities in particular how communities can be engaged. </w:t>
      </w:r>
    </w:p>
    <w:p w14:paraId="42C4CB56" w14:textId="77777777" w:rsidR="0004235D" w:rsidRPr="000613DF" w:rsidRDefault="0004235D" w:rsidP="0AE31BE2">
      <w:pPr>
        <w:rPr>
          <w:color w:val="000000"/>
        </w:rPr>
      </w:pPr>
    </w:p>
    <w:p w14:paraId="71166095" w14:textId="79775512" w:rsidR="0004235D" w:rsidRPr="000613DF" w:rsidRDefault="000613DF" w:rsidP="0AE31BE2">
      <w:pPr>
        <w:rPr>
          <w:color w:val="000000"/>
        </w:rPr>
      </w:pPr>
      <w:r w:rsidRPr="000613DF">
        <w:rPr>
          <w:color w:val="000000"/>
        </w:rPr>
        <w:t xml:space="preserve">Dr Philip Catney is </w:t>
      </w:r>
      <w:r>
        <w:rPr>
          <w:color w:val="000000"/>
        </w:rPr>
        <w:t>a s</w:t>
      </w:r>
      <w:r w:rsidRPr="000613DF">
        <w:rPr>
          <w:color w:val="000000"/>
        </w:rPr>
        <w:t>enior</w:t>
      </w:r>
      <w:r>
        <w:rPr>
          <w:color w:val="000000"/>
        </w:rPr>
        <w:t xml:space="preserve"> lecturer in Politics at Keele University. Phil’s research is particularly focused on urban regeneration, environmental </w:t>
      </w:r>
      <w:proofErr w:type="gramStart"/>
      <w:r>
        <w:rPr>
          <w:color w:val="000000"/>
        </w:rPr>
        <w:t>planning</w:t>
      </w:r>
      <w:proofErr w:type="gramEnd"/>
      <w:r>
        <w:rPr>
          <w:color w:val="000000"/>
        </w:rPr>
        <w:t xml:space="preserve"> and the politics of community engagement. He has published in </w:t>
      </w:r>
      <w:proofErr w:type="gramStart"/>
      <w:r>
        <w:rPr>
          <w:color w:val="000000"/>
        </w:rPr>
        <w:t>numerous</w:t>
      </w:r>
      <w:proofErr w:type="gramEnd"/>
      <w:r>
        <w:rPr>
          <w:color w:val="000000"/>
        </w:rPr>
        <w:t xml:space="preserve"> internationally ranked journals. He has been the principal investigator or co-investigator for various UKRI-funded projects on urban and environmental policy.</w:t>
      </w:r>
    </w:p>
    <w:p w14:paraId="234EA46C" w14:textId="77777777" w:rsidR="0004235D" w:rsidRPr="000613DF" w:rsidRDefault="0004235D" w:rsidP="0AE31BE2">
      <w:pPr>
        <w:rPr>
          <w:color w:val="000000"/>
        </w:rPr>
      </w:pPr>
    </w:p>
    <w:p w14:paraId="6269A844" w14:textId="77777777" w:rsidR="0004235D" w:rsidRPr="000613DF" w:rsidRDefault="0004235D" w:rsidP="0AE31BE2">
      <w:pPr>
        <w:rPr>
          <w:color w:val="000000"/>
        </w:rPr>
      </w:pPr>
    </w:p>
    <w:p w14:paraId="7BEDB0AF" w14:textId="77777777" w:rsidR="0004235D" w:rsidRDefault="0004235D" w:rsidP="0AE31BE2">
      <w:pPr>
        <w:rPr>
          <w:color w:val="000000"/>
          <w:sz w:val="27"/>
          <w:szCs w:val="27"/>
        </w:rPr>
      </w:pPr>
    </w:p>
    <w:p w14:paraId="6016EF94" w14:textId="77777777" w:rsidR="0004235D" w:rsidRDefault="0004235D" w:rsidP="0AE31BE2">
      <w:pPr>
        <w:rPr>
          <w:color w:val="000000"/>
          <w:sz w:val="27"/>
          <w:szCs w:val="27"/>
        </w:rPr>
      </w:pPr>
    </w:p>
    <w:p w14:paraId="5C6791F4" w14:textId="77777777" w:rsidR="0004235D" w:rsidRDefault="0004235D" w:rsidP="0AE31BE2">
      <w:pPr>
        <w:rPr>
          <w:color w:val="000000"/>
          <w:sz w:val="27"/>
          <w:szCs w:val="27"/>
        </w:rPr>
      </w:pPr>
    </w:p>
    <w:p w14:paraId="042C9B5C" w14:textId="77777777" w:rsidR="0004235D" w:rsidRDefault="0004235D" w:rsidP="0AE31BE2">
      <w:pPr>
        <w:rPr>
          <w:color w:val="000000"/>
          <w:sz w:val="27"/>
          <w:szCs w:val="27"/>
        </w:rPr>
      </w:pPr>
    </w:p>
    <w:p w14:paraId="3C99C901" w14:textId="77777777" w:rsidR="0004235D" w:rsidRDefault="0004235D" w:rsidP="0AE31BE2">
      <w:pPr>
        <w:rPr>
          <w:color w:val="000000"/>
          <w:sz w:val="27"/>
          <w:szCs w:val="27"/>
        </w:rPr>
      </w:pPr>
    </w:p>
    <w:p w14:paraId="6FD505E0" w14:textId="77777777" w:rsidR="0004235D" w:rsidRDefault="0004235D" w:rsidP="0AE31BE2">
      <w:pPr>
        <w:rPr>
          <w:color w:val="000000"/>
          <w:sz w:val="27"/>
          <w:szCs w:val="27"/>
        </w:rPr>
      </w:pPr>
    </w:p>
    <w:p w14:paraId="2DD9CF50" w14:textId="77777777" w:rsidR="0004235D" w:rsidRDefault="0004235D" w:rsidP="0AE31BE2">
      <w:pPr>
        <w:rPr>
          <w:color w:val="000000"/>
          <w:sz w:val="27"/>
          <w:szCs w:val="27"/>
        </w:rPr>
      </w:pPr>
    </w:p>
    <w:p w14:paraId="60FDDE07" w14:textId="77777777" w:rsidR="0004235D" w:rsidRDefault="0004235D" w:rsidP="0AE31BE2">
      <w:pPr>
        <w:rPr>
          <w:color w:val="000000"/>
          <w:sz w:val="27"/>
          <w:szCs w:val="27"/>
        </w:rPr>
      </w:pPr>
    </w:p>
    <w:p w14:paraId="3A4B0650" w14:textId="77777777" w:rsidR="0004235D" w:rsidRDefault="0004235D" w:rsidP="0AE31BE2">
      <w:pPr>
        <w:rPr>
          <w:color w:val="000000"/>
          <w:sz w:val="27"/>
          <w:szCs w:val="27"/>
        </w:rPr>
      </w:pPr>
    </w:p>
    <w:p w14:paraId="417AAFB1" w14:textId="77777777" w:rsidR="0004235D" w:rsidRDefault="0004235D" w:rsidP="0AE31BE2">
      <w:pPr>
        <w:rPr>
          <w:color w:val="000000"/>
          <w:sz w:val="27"/>
          <w:szCs w:val="27"/>
        </w:rPr>
      </w:pPr>
    </w:p>
    <w:p w14:paraId="5BF8D6D6" w14:textId="77777777" w:rsidR="0004235D" w:rsidRDefault="0004235D" w:rsidP="0AE31BE2">
      <w:pPr>
        <w:rPr>
          <w:color w:val="000000"/>
          <w:sz w:val="27"/>
          <w:szCs w:val="27"/>
        </w:rPr>
      </w:pPr>
    </w:p>
    <w:p w14:paraId="407753F8" w14:textId="77777777" w:rsidR="0004235D" w:rsidRDefault="0004235D" w:rsidP="0AE31BE2">
      <w:pPr>
        <w:rPr>
          <w:color w:val="000000"/>
          <w:sz w:val="27"/>
          <w:szCs w:val="27"/>
        </w:rPr>
      </w:pPr>
    </w:p>
    <w:p w14:paraId="0894893A" w14:textId="77777777" w:rsidR="0004235D" w:rsidRDefault="0004235D" w:rsidP="0AE31BE2">
      <w:pPr>
        <w:rPr>
          <w:color w:val="000000"/>
          <w:sz w:val="27"/>
          <w:szCs w:val="27"/>
        </w:rPr>
      </w:pPr>
    </w:p>
    <w:p w14:paraId="3E5DD0AF" w14:textId="77777777" w:rsidR="0004235D" w:rsidRDefault="0004235D" w:rsidP="0AE31BE2">
      <w:pPr>
        <w:rPr>
          <w:color w:val="000000"/>
          <w:sz w:val="27"/>
          <w:szCs w:val="27"/>
        </w:rPr>
      </w:pPr>
    </w:p>
    <w:p w14:paraId="2DA3FED7" w14:textId="77777777" w:rsidR="0004235D" w:rsidRDefault="0004235D" w:rsidP="0AE31BE2">
      <w:pPr>
        <w:rPr>
          <w:color w:val="000000"/>
          <w:sz w:val="27"/>
          <w:szCs w:val="27"/>
        </w:rPr>
      </w:pPr>
    </w:p>
    <w:p w14:paraId="11709DDA" w14:textId="77777777" w:rsidR="0004235D" w:rsidRDefault="0004235D" w:rsidP="0AE31BE2">
      <w:pPr>
        <w:rPr>
          <w:color w:val="000000"/>
          <w:sz w:val="27"/>
          <w:szCs w:val="27"/>
        </w:rPr>
      </w:pPr>
    </w:p>
    <w:p w14:paraId="32485C5C" w14:textId="77777777" w:rsidR="0004235D" w:rsidRDefault="0004235D" w:rsidP="0AE31BE2">
      <w:pPr>
        <w:rPr>
          <w:color w:val="000000"/>
          <w:sz w:val="27"/>
          <w:szCs w:val="27"/>
        </w:rPr>
      </w:pPr>
    </w:p>
    <w:p w14:paraId="71539EC9" w14:textId="77777777" w:rsidR="0004235D" w:rsidRDefault="0004235D" w:rsidP="0AE31BE2">
      <w:pPr>
        <w:rPr>
          <w:color w:val="000000"/>
          <w:sz w:val="27"/>
          <w:szCs w:val="27"/>
        </w:rPr>
      </w:pPr>
    </w:p>
    <w:p w14:paraId="7930A73E" w14:textId="77777777" w:rsidR="0004235D" w:rsidRDefault="0004235D" w:rsidP="0AE31BE2">
      <w:pPr>
        <w:rPr>
          <w:color w:val="000000"/>
          <w:sz w:val="27"/>
          <w:szCs w:val="27"/>
        </w:rPr>
      </w:pPr>
    </w:p>
    <w:p w14:paraId="6CCFD17C" w14:textId="77777777" w:rsidR="0004235D" w:rsidRDefault="0004235D" w:rsidP="0AE31BE2">
      <w:pPr>
        <w:rPr>
          <w:color w:val="000000"/>
          <w:sz w:val="27"/>
          <w:szCs w:val="27"/>
        </w:rPr>
      </w:pPr>
    </w:p>
    <w:p w14:paraId="6ED85D95" w14:textId="77777777" w:rsidR="0004235D" w:rsidRDefault="0004235D" w:rsidP="0AE31BE2">
      <w:pPr>
        <w:rPr>
          <w:color w:val="000000"/>
          <w:sz w:val="27"/>
          <w:szCs w:val="27"/>
        </w:rPr>
      </w:pPr>
    </w:p>
    <w:p w14:paraId="59594102" w14:textId="77777777" w:rsidR="0004235D" w:rsidRDefault="0004235D" w:rsidP="0AE31BE2">
      <w:pPr>
        <w:rPr>
          <w:color w:val="000000"/>
          <w:sz w:val="27"/>
          <w:szCs w:val="27"/>
        </w:rPr>
      </w:pPr>
    </w:p>
    <w:p w14:paraId="70C33F22" w14:textId="77777777" w:rsidR="0004235D" w:rsidRDefault="0004235D" w:rsidP="0AE31BE2">
      <w:pPr>
        <w:rPr>
          <w:color w:val="000000"/>
          <w:sz w:val="27"/>
          <w:szCs w:val="27"/>
        </w:rPr>
      </w:pPr>
    </w:p>
    <w:p w14:paraId="4F900E48" w14:textId="77777777" w:rsidR="0004235D" w:rsidRDefault="0004235D" w:rsidP="0AE31BE2">
      <w:pPr>
        <w:rPr>
          <w:color w:val="000000"/>
          <w:sz w:val="27"/>
          <w:szCs w:val="27"/>
        </w:rPr>
      </w:pPr>
    </w:p>
    <w:p w14:paraId="3A1015F0" w14:textId="77777777" w:rsidR="0004235D" w:rsidRDefault="0004235D" w:rsidP="0AE31BE2">
      <w:pPr>
        <w:rPr>
          <w:color w:val="000000"/>
          <w:sz w:val="27"/>
          <w:szCs w:val="27"/>
        </w:rPr>
      </w:pPr>
    </w:p>
    <w:p w14:paraId="3A364FBF" w14:textId="77777777" w:rsidR="0004235D" w:rsidRDefault="0004235D" w:rsidP="0AE31BE2">
      <w:pPr>
        <w:rPr>
          <w:b/>
          <w:bCs/>
        </w:rPr>
      </w:pPr>
    </w:p>
    <w:p w14:paraId="4BFA7F27" w14:textId="55E5ABF5" w:rsidR="4395FF7F" w:rsidRDefault="4395FF7F" w:rsidP="4395FF7F">
      <w:pPr>
        <w:rPr>
          <w:b/>
          <w:bCs/>
        </w:rPr>
      </w:pPr>
    </w:p>
    <w:sdt>
      <w:sdtPr>
        <w:rPr>
          <w:color w:val="2B579A"/>
          <w:shd w:val="clear" w:color="auto" w:fill="E6E6E6"/>
        </w:rPr>
        <w:id w:val="1014026699"/>
        <w:docPartObj>
          <w:docPartGallery w:val="Table of Contents"/>
          <w:docPartUnique/>
        </w:docPartObj>
      </w:sdtPr>
      <w:sdtEndPr>
        <w:rPr>
          <w:color w:val="auto"/>
          <w:shd w:val="clear" w:color="auto" w:fill="auto"/>
        </w:rPr>
      </w:sdtEndPr>
      <w:sdtContent>
        <w:p w14:paraId="0349F800" w14:textId="12952F11" w:rsidR="00536C9D" w:rsidRDefault="00BC4AC1">
          <w:pPr>
            <w:pStyle w:val="TOC1"/>
            <w:tabs>
              <w:tab w:val="right" w:pos="9019"/>
            </w:tabs>
            <w:rPr>
              <w:noProof/>
            </w:rPr>
          </w:pPr>
          <w:r>
            <w:rPr>
              <w:color w:val="2B579A"/>
            </w:rPr>
            <w:fldChar w:fldCharType="begin"/>
          </w:r>
          <w:r w:rsidR="4192B945">
            <w:instrText xml:space="preserve"> TOC \h \u \z \t "Heading 1,1,Heading 2,2,Heading 3,3,Heading 4,4,Heading 5,5,Heading 6,6,"</w:instrText>
          </w:r>
          <w:r>
            <w:rPr>
              <w:color w:val="2B579A"/>
            </w:rPr>
            <w:fldChar w:fldCharType="separate"/>
          </w:r>
          <w:hyperlink w:anchor="_Toc139639449" w:history="1">
            <w:r w:rsidR="00536C9D" w:rsidRPr="001A2AB8">
              <w:rPr>
                <w:rStyle w:val="Hyperlink"/>
                <w:noProof/>
              </w:rPr>
              <w:t>Going down the local: The Challenges of Place-Based Net Zero Governance</w:t>
            </w:r>
            <w:r w:rsidR="00536C9D">
              <w:rPr>
                <w:noProof/>
                <w:webHidden/>
              </w:rPr>
              <w:tab/>
            </w:r>
            <w:r w:rsidR="00536C9D">
              <w:rPr>
                <w:noProof/>
                <w:webHidden/>
              </w:rPr>
              <w:fldChar w:fldCharType="begin"/>
            </w:r>
            <w:r w:rsidR="00536C9D">
              <w:rPr>
                <w:noProof/>
                <w:webHidden/>
              </w:rPr>
              <w:instrText xml:space="preserve"> PAGEREF _Toc139639449 \h </w:instrText>
            </w:r>
            <w:r w:rsidR="00536C9D">
              <w:rPr>
                <w:noProof/>
                <w:webHidden/>
              </w:rPr>
            </w:r>
            <w:r w:rsidR="00536C9D">
              <w:rPr>
                <w:noProof/>
                <w:webHidden/>
              </w:rPr>
              <w:fldChar w:fldCharType="separate"/>
            </w:r>
            <w:r w:rsidR="00536C9D">
              <w:rPr>
                <w:noProof/>
                <w:webHidden/>
              </w:rPr>
              <w:t>1</w:t>
            </w:r>
            <w:r w:rsidR="00536C9D">
              <w:rPr>
                <w:noProof/>
                <w:webHidden/>
              </w:rPr>
              <w:fldChar w:fldCharType="end"/>
            </w:r>
          </w:hyperlink>
        </w:p>
        <w:p w14:paraId="47BBD2F8" w14:textId="0083BBC7" w:rsidR="00536C9D" w:rsidRDefault="00482E13">
          <w:pPr>
            <w:pStyle w:val="TOC3"/>
            <w:tabs>
              <w:tab w:val="right" w:pos="9019"/>
            </w:tabs>
            <w:rPr>
              <w:rFonts w:asciiTheme="minorHAnsi" w:eastAsiaTheme="minorEastAsia" w:hAnsiTheme="minorHAnsi" w:cstheme="minorBidi"/>
              <w:noProof/>
              <w:kern w:val="2"/>
              <w14:ligatures w14:val="standardContextual"/>
            </w:rPr>
          </w:pPr>
          <w:hyperlink w:anchor="_Toc139639450" w:history="1">
            <w:r w:rsidR="00536C9D" w:rsidRPr="001A2AB8">
              <w:rPr>
                <w:rStyle w:val="Hyperlink"/>
                <w:noProof/>
              </w:rPr>
              <w:t>Abstract</w:t>
            </w:r>
            <w:r w:rsidR="00536C9D">
              <w:rPr>
                <w:noProof/>
                <w:webHidden/>
              </w:rPr>
              <w:tab/>
            </w:r>
            <w:r w:rsidR="00536C9D">
              <w:rPr>
                <w:noProof/>
                <w:webHidden/>
              </w:rPr>
              <w:fldChar w:fldCharType="begin"/>
            </w:r>
            <w:r w:rsidR="00536C9D">
              <w:rPr>
                <w:noProof/>
                <w:webHidden/>
              </w:rPr>
              <w:instrText xml:space="preserve"> PAGEREF _Toc139639450 \h </w:instrText>
            </w:r>
            <w:r w:rsidR="00536C9D">
              <w:rPr>
                <w:noProof/>
                <w:webHidden/>
              </w:rPr>
            </w:r>
            <w:r w:rsidR="00536C9D">
              <w:rPr>
                <w:noProof/>
                <w:webHidden/>
              </w:rPr>
              <w:fldChar w:fldCharType="separate"/>
            </w:r>
            <w:r w:rsidR="00536C9D">
              <w:rPr>
                <w:noProof/>
                <w:webHidden/>
              </w:rPr>
              <w:t>2</w:t>
            </w:r>
            <w:r w:rsidR="00536C9D">
              <w:rPr>
                <w:noProof/>
                <w:webHidden/>
              </w:rPr>
              <w:fldChar w:fldCharType="end"/>
            </w:r>
          </w:hyperlink>
        </w:p>
        <w:p w14:paraId="0B994C11" w14:textId="4887A745" w:rsidR="00536C9D" w:rsidRDefault="00482E13">
          <w:pPr>
            <w:pStyle w:val="TOC3"/>
            <w:tabs>
              <w:tab w:val="right" w:pos="9019"/>
            </w:tabs>
            <w:rPr>
              <w:rFonts w:asciiTheme="minorHAnsi" w:eastAsiaTheme="minorEastAsia" w:hAnsiTheme="minorHAnsi" w:cstheme="minorBidi"/>
              <w:noProof/>
              <w:kern w:val="2"/>
              <w14:ligatures w14:val="standardContextual"/>
            </w:rPr>
          </w:pPr>
          <w:hyperlink w:anchor="_Toc139639451" w:history="1">
            <w:r w:rsidR="00536C9D" w:rsidRPr="001A2AB8">
              <w:rPr>
                <w:rStyle w:val="Hyperlink"/>
                <w:noProof/>
              </w:rPr>
              <w:t>Introduction</w:t>
            </w:r>
            <w:r w:rsidR="00536C9D">
              <w:rPr>
                <w:noProof/>
                <w:webHidden/>
              </w:rPr>
              <w:tab/>
            </w:r>
            <w:r w:rsidR="00536C9D">
              <w:rPr>
                <w:noProof/>
                <w:webHidden/>
              </w:rPr>
              <w:fldChar w:fldCharType="begin"/>
            </w:r>
            <w:r w:rsidR="00536C9D">
              <w:rPr>
                <w:noProof/>
                <w:webHidden/>
              </w:rPr>
              <w:instrText xml:space="preserve"> PAGEREF _Toc139639451 \h </w:instrText>
            </w:r>
            <w:r w:rsidR="00536C9D">
              <w:rPr>
                <w:noProof/>
                <w:webHidden/>
              </w:rPr>
            </w:r>
            <w:r w:rsidR="00536C9D">
              <w:rPr>
                <w:noProof/>
                <w:webHidden/>
              </w:rPr>
              <w:fldChar w:fldCharType="separate"/>
            </w:r>
            <w:r w:rsidR="00536C9D">
              <w:rPr>
                <w:noProof/>
                <w:webHidden/>
              </w:rPr>
              <w:t>2</w:t>
            </w:r>
            <w:r w:rsidR="00536C9D">
              <w:rPr>
                <w:noProof/>
                <w:webHidden/>
              </w:rPr>
              <w:fldChar w:fldCharType="end"/>
            </w:r>
          </w:hyperlink>
        </w:p>
        <w:p w14:paraId="1307D5BC" w14:textId="0E1CB831" w:rsidR="00536C9D" w:rsidRDefault="00482E13">
          <w:pPr>
            <w:pStyle w:val="TOC3"/>
            <w:tabs>
              <w:tab w:val="right" w:pos="9019"/>
            </w:tabs>
            <w:rPr>
              <w:rFonts w:asciiTheme="minorHAnsi" w:eastAsiaTheme="minorEastAsia" w:hAnsiTheme="minorHAnsi" w:cstheme="minorBidi"/>
              <w:noProof/>
              <w:kern w:val="2"/>
              <w14:ligatures w14:val="standardContextual"/>
            </w:rPr>
          </w:pPr>
          <w:hyperlink w:anchor="_Toc139639452" w:history="1">
            <w:r w:rsidR="00536C9D" w:rsidRPr="001A2AB8">
              <w:rPr>
                <w:rStyle w:val="Hyperlink"/>
                <w:noProof/>
              </w:rPr>
              <w:t>Policy context</w:t>
            </w:r>
            <w:r w:rsidR="00536C9D">
              <w:rPr>
                <w:noProof/>
                <w:webHidden/>
              </w:rPr>
              <w:tab/>
            </w:r>
            <w:r w:rsidR="00536C9D">
              <w:rPr>
                <w:noProof/>
                <w:webHidden/>
              </w:rPr>
              <w:fldChar w:fldCharType="begin"/>
            </w:r>
            <w:r w:rsidR="00536C9D">
              <w:rPr>
                <w:noProof/>
                <w:webHidden/>
              </w:rPr>
              <w:instrText xml:space="preserve"> PAGEREF _Toc139639452 \h </w:instrText>
            </w:r>
            <w:r w:rsidR="00536C9D">
              <w:rPr>
                <w:noProof/>
                <w:webHidden/>
              </w:rPr>
            </w:r>
            <w:r w:rsidR="00536C9D">
              <w:rPr>
                <w:noProof/>
                <w:webHidden/>
              </w:rPr>
              <w:fldChar w:fldCharType="separate"/>
            </w:r>
            <w:r w:rsidR="00536C9D">
              <w:rPr>
                <w:noProof/>
                <w:webHidden/>
              </w:rPr>
              <w:t>4</w:t>
            </w:r>
            <w:r w:rsidR="00536C9D">
              <w:rPr>
                <w:noProof/>
                <w:webHidden/>
              </w:rPr>
              <w:fldChar w:fldCharType="end"/>
            </w:r>
          </w:hyperlink>
        </w:p>
        <w:p w14:paraId="2E9F518F" w14:textId="23517071"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53" w:history="1">
            <w:r w:rsidR="00536C9D" w:rsidRPr="001A2AB8">
              <w:rPr>
                <w:rStyle w:val="Hyperlink"/>
                <w:noProof/>
              </w:rPr>
              <w:t>The changing nature of governance in the UK</w:t>
            </w:r>
            <w:r w:rsidR="00536C9D">
              <w:rPr>
                <w:noProof/>
                <w:webHidden/>
              </w:rPr>
              <w:tab/>
            </w:r>
            <w:r w:rsidR="00536C9D">
              <w:rPr>
                <w:noProof/>
                <w:webHidden/>
              </w:rPr>
              <w:fldChar w:fldCharType="begin"/>
            </w:r>
            <w:r w:rsidR="00536C9D">
              <w:rPr>
                <w:noProof/>
                <w:webHidden/>
              </w:rPr>
              <w:instrText xml:space="preserve"> PAGEREF _Toc139639453 \h </w:instrText>
            </w:r>
            <w:r w:rsidR="00536C9D">
              <w:rPr>
                <w:noProof/>
                <w:webHidden/>
              </w:rPr>
            </w:r>
            <w:r w:rsidR="00536C9D">
              <w:rPr>
                <w:noProof/>
                <w:webHidden/>
              </w:rPr>
              <w:fldChar w:fldCharType="separate"/>
            </w:r>
            <w:r w:rsidR="00536C9D">
              <w:rPr>
                <w:noProof/>
                <w:webHidden/>
              </w:rPr>
              <w:t>4</w:t>
            </w:r>
            <w:r w:rsidR="00536C9D">
              <w:rPr>
                <w:noProof/>
                <w:webHidden/>
              </w:rPr>
              <w:fldChar w:fldCharType="end"/>
            </w:r>
          </w:hyperlink>
        </w:p>
        <w:p w14:paraId="3108A0A2" w14:textId="062C553B"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54" w:history="1">
            <w:r w:rsidR="00536C9D" w:rsidRPr="001A2AB8">
              <w:rPr>
                <w:rStyle w:val="Hyperlink"/>
                <w:noProof/>
              </w:rPr>
              <w:t>Place-Based Net Zero</w:t>
            </w:r>
            <w:r w:rsidR="00536C9D">
              <w:rPr>
                <w:noProof/>
                <w:webHidden/>
              </w:rPr>
              <w:tab/>
            </w:r>
            <w:r w:rsidR="00536C9D">
              <w:rPr>
                <w:noProof/>
                <w:webHidden/>
              </w:rPr>
              <w:fldChar w:fldCharType="begin"/>
            </w:r>
            <w:r w:rsidR="00536C9D">
              <w:rPr>
                <w:noProof/>
                <w:webHidden/>
              </w:rPr>
              <w:instrText xml:space="preserve"> PAGEREF _Toc139639454 \h </w:instrText>
            </w:r>
            <w:r w:rsidR="00536C9D">
              <w:rPr>
                <w:noProof/>
                <w:webHidden/>
              </w:rPr>
            </w:r>
            <w:r w:rsidR="00536C9D">
              <w:rPr>
                <w:noProof/>
                <w:webHidden/>
              </w:rPr>
              <w:fldChar w:fldCharType="separate"/>
            </w:r>
            <w:r w:rsidR="00536C9D">
              <w:rPr>
                <w:noProof/>
                <w:webHidden/>
              </w:rPr>
              <w:t>6</w:t>
            </w:r>
            <w:r w:rsidR="00536C9D">
              <w:rPr>
                <w:noProof/>
                <w:webHidden/>
              </w:rPr>
              <w:fldChar w:fldCharType="end"/>
            </w:r>
          </w:hyperlink>
        </w:p>
        <w:p w14:paraId="33073DD8" w14:textId="13A66D93"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55" w:history="1">
            <w:r w:rsidR="00536C9D" w:rsidRPr="001A2AB8">
              <w:rPr>
                <w:rStyle w:val="Hyperlink"/>
                <w:noProof/>
              </w:rPr>
              <w:t>Multi-Scalar Governance for Net Zero: Planning for Net Zero?</w:t>
            </w:r>
            <w:r w:rsidR="00536C9D">
              <w:rPr>
                <w:noProof/>
                <w:webHidden/>
              </w:rPr>
              <w:tab/>
            </w:r>
            <w:r w:rsidR="00536C9D">
              <w:rPr>
                <w:noProof/>
                <w:webHidden/>
              </w:rPr>
              <w:fldChar w:fldCharType="begin"/>
            </w:r>
            <w:r w:rsidR="00536C9D">
              <w:rPr>
                <w:noProof/>
                <w:webHidden/>
              </w:rPr>
              <w:instrText xml:space="preserve"> PAGEREF _Toc139639455 \h </w:instrText>
            </w:r>
            <w:r w:rsidR="00536C9D">
              <w:rPr>
                <w:noProof/>
                <w:webHidden/>
              </w:rPr>
            </w:r>
            <w:r w:rsidR="00536C9D">
              <w:rPr>
                <w:noProof/>
                <w:webHidden/>
              </w:rPr>
              <w:fldChar w:fldCharType="separate"/>
            </w:r>
            <w:r w:rsidR="00536C9D">
              <w:rPr>
                <w:noProof/>
                <w:webHidden/>
              </w:rPr>
              <w:t>8</w:t>
            </w:r>
            <w:r w:rsidR="00536C9D">
              <w:rPr>
                <w:noProof/>
                <w:webHidden/>
              </w:rPr>
              <w:fldChar w:fldCharType="end"/>
            </w:r>
          </w:hyperlink>
        </w:p>
        <w:p w14:paraId="37DC5CE3" w14:textId="60D4F8C1" w:rsidR="00536C9D" w:rsidRDefault="00482E13">
          <w:pPr>
            <w:pStyle w:val="TOC3"/>
            <w:tabs>
              <w:tab w:val="right" w:pos="9019"/>
            </w:tabs>
            <w:rPr>
              <w:rFonts w:asciiTheme="minorHAnsi" w:eastAsiaTheme="minorEastAsia" w:hAnsiTheme="minorHAnsi" w:cstheme="minorBidi"/>
              <w:noProof/>
              <w:kern w:val="2"/>
              <w14:ligatures w14:val="standardContextual"/>
            </w:rPr>
          </w:pPr>
          <w:hyperlink w:anchor="_Toc139639456" w:history="1">
            <w:r w:rsidR="00536C9D" w:rsidRPr="001A2AB8">
              <w:rPr>
                <w:rStyle w:val="Hyperlink"/>
                <w:noProof/>
              </w:rPr>
              <w:t>Research Overview</w:t>
            </w:r>
            <w:r w:rsidR="00536C9D">
              <w:rPr>
                <w:noProof/>
                <w:webHidden/>
              </w:rPr>
              <w:tab/>
            </w:r>
            <w:r w:rsidR="00536C9D">
              <w:rPr>
                <w:noProof/>
                <w:webHidden/>
              </w:rPr>
              <w:fldChar w:fldCharType="begin"/>
            </w:r>
            <w:r w:rsidR="00536C9D">
              <w:rPr>
                <w:noProof/>
                <w:webHidden/>
              </w:rPr>
              <w:instrText xml:space="preserve"> PAGEREF _Toc139639456 \h </w:instrText>
            </w:r>
            <w:r w:rsidR="00536C9D">
              <w:rPr>
                <w:noProof/>
                <w:webHidden/>
              </w:rPr>
            </w:r>
            <w:r w:rsidR="00536C9D">
              <w:rPr>
                <w:noProof/>
                <w:webHidden/>
              </w:rPr>
              <w:fldChar w:fldCharType="separate"/>
            </w:r>
            <w:r w:rsidR="00536C9D">
              <w:rPr>
                <w:noProof/>
                <w:webHidden/>
              </w:rPr>
              <w:t>13</w:t>
            </w:r>
            <w:r w:rsidR="00536C9D">
              <w:rPr>
                <w:noProof/>
                <w:webHidden/>
              </w:rPr>
              <w:fldChar w:fldCharType="end"/>
            </w:r>
          </w:hyperlink>
        </w:p>
        <w:p w14:paraId="1BE44D01" w14:textId="0747C7F5"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57" w:history="1">
            <w:r w:rsidR="00536C9D" w:rsidRPr="001A2AB8">
              <w:rPr>
                <w:rStyle w:val="Hyperlink"/>
                <w:noProof/>
              </w:rPr>
              <w:t>Competing Priorities and Partisanship</w:t>
            </w:r>
            <w:r w:rsidR="00536C9D">
              <w:rPr>
                <w:noProof/>
                <w:webHidden/>
              </w:rPr>
              <w:tab/>
            </w:r>
            <w:r w:rsidR="00536C9D">
              <w:rPr>
                <w:noProof/>
                <w:webHidden/>
              </w:rPr>
              <w:fldChar w:fldCharType="begin"/>
            </w:r>
            <w:r w:rsidR="00536C9D">
              <w:rPr>
                <w:noProof/>
                <w:webHidden/>
              </w:rPr>
              <w:instrText xml:space="preserve"> PAGEREF _Toc139639457 \h </w:instrText>
            </w:r>
            <w:r w:rsidR="00536C9D">
              <w:rPr>
                <w:noProof/>
                <w:webHidden/>
              </w:rPr>
            </w:r>
            <w:r w:rsidR="00536C9D">
              <w:rPr>
                <w:noProof/>
                <w:webHidden/>
              </w:rPr>
              <w:fldChar w:fldCharType="separate"/>
            </w:r>
            <w:r w:rsidR="00536C9D">
              <w:rPr>
                <w:noProof/>
                <w:webHidden/>
              </w:rPr>
              <w:t>14</w:t>
            </w:r>
            <w:r w:rsidR="00536C9D">
              <w:rPr>
                <w:noProof/>
                <w:webHidden/>
              </w:rPr>
              <w:fldChar w:fldCharType="end"/>
            </w:r>
          </w:hyperlink>
        </w:p>
        <w:p w14:paraId="206ADF5B" w14:textId="3AB0B8D4"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58" w:history="1">
            <w:r w:rsidR="00536C9D" w:rsidRPr="001A2AB8">
              <w:rPr>
                <w:rStyle w:val="Hyperlink"/>
                <w:noProof/>
              </w:rPr>
              <w:t>Local Leadership: By whom and how?</w:t>
            </w:r>
            <w:r w:rsidR="00536C9D">
              <w:rPr>
                <w:noProof/>
                <w:webHidden/>
              </w:rPr>
              <w:tab/>
            </w:r>
            <w:r w:rsidR="00536C9D">
              <w:rPr>
                <w:noProof/>
                <w:webHidden/>
              </w:rPr>
              <w:fldChar w:fldCharType="begin"/>
            </w:r>
            <w:r w:rsidR="00536C9D">
              <w:rPr>
                <w:noProof/>
                <w:webHidden/>
              </w:rPr>
              <w:instrText xml:space="preserve"> PAGEREF _Toc139639458 \h </w:instrText>
            </w:r>
            <w:r w:rsidR="00536C9D">
              <w:rPr>
                <w:noProof/>
                <w:webHidden/>
              </w:rPr>
            </w:r>
            <w:r w:rsidR="00536C9D">
              <w:rPr>
                <w:noProof/>
                <w:webHidden/>
              </w:rPr>
              <w:fldChar w:fldCharType="separate"/>
            </w:r>
            <w:r w:rsidR="00536C9D">
              <w:rPr>
                <w:noProof/>
                <w:webHidden/>
              </w:rPr>
              <w:t>15</w:t>
            </w:r>
            <w:r w:rsidR="00536C9D">
              <w:rPr>
                <w:noProof/>
                <w:webHidden/>
              </w:rPr>
              <w:fldChar w:fldCharType="end"/>
            </w:r>
          </w:hyperlink>
        </w:p>
        <w:p w14:paraId="3F075E2E" w14:textId="59C47DF3"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59" w:history="1">
            <w:r w:rsidR="00536C9D" w:rsidRPr="001A2AB8">
              <w:rPr>
                <w:rStyle w:val="Hyperlink"/>
                <w:noProof/>
              </w:rPr>
              <w:t>Net Zero Communication</w:t>
            </w:r>
            <w:r w:rsidR="00536C9D">
              <w:rPr>
                <w:noProof/>
                <w:webHidden/>
              </w:rPr>
              <w:tab/>
            </w:r>
            <w:r w:rsidR="00536C9D">
              <w:rPr>
                <w:noProof/>
                <w:webHidden/>
              </w:rPr>
              <w:fldChar w:fldCharType="begin"/>
            </w:r>
            <w:r w:rsidR="00536C9D">
              <w:rPr>
                <w:noProof/>
                <w:webHidden/>
              </w:rPr>
              <w:instrText xml:space="preserve"> PAGEREF _Toc139639459 \h </w:instrText>
            </w:r>
            <w:r w:rsidR="00536C9D">
              <w:rPr>
                <w:noProof/>
                <w:webHidden/>
              </w:rPr>
            </w:r>
            <w:r w:rsidR="00536C9D">
              <w:rPr>
                <w:noProof/>
                <w:webHidden/>
              </w:rPr>
              <w:fldChar w:fldCharType="separate"/>
            </w:r>
            <w:r w:rsidR="00536C9D">
              <w:rPr>
                <w:noProof/>
                <w:webHidden/>
              </w:rPr>
              <w:t>17</w:t>
            </w:r>
            <w:r w:rsidR="00536C9D">
              <w:rPr>
                <w:noProof/>
                <w:webHidden/>
              </w:rPr>
              <w:fldChar w:fldCharType="end"/>
            </w:r>
          </w:hyperlink>
        </w:p>
        <w:p w14:paraId="18B4E66D" w14:textId="753ED038" w:rsidR="00536C9D" w:rsidRDefault="00482E13">
          <w:pPr>
            <w:pStyle w:val="TOC3"/>
            <w:tabs>
              <w:tab w:val="right" w:pos="9019"/>
            </w:tabs>
            <w:rPr>
              <w:rFonts w:asciiTheme="minorHAnsi" w:eastAsiaTheme="minorEastAsia" w:hAnsiTheme="minorHAnsi" w:cstheme="minorBidi"/>
              <w:noProof/>
              <w:kern w:val="2"/>
              <w14:ligatures w14:val="standardContextual"/>
            </w:rPr>
          </w:pPr>
          <w:hyperlink w:anchor="_Toc139639460" w:history="1">
            <w:r w:rsidR="00536C9D" w:rsidRPr="001A2AB8">
              <w:rPr>
                <w:rStyle w:val="Hyperlink"/>
                <w:noProof/>
              </w:rPr>
              <w:t>Discussion</w:t>
            </w:r>
            <w:r w:rsidR="00536C9D">
              <w:rPr>
                <w:noProof/>
                <w:webHidden/>
              </w:rPr>
              <w:tab/>
            </w:r>
            <w:r w:rsidR="00536C9D">
              <w:rPr>
                <w:noProof/>
                <w:webHidden/>
              </w:rPr>
              <w:fldChar w:fldCharType="begin"/>
            </w:r>
            <w:r w:rsidR="00536C9D">
              <w:rPr>
                <w:noProof/>
                <w:webHidden/>
              </w:rPr>
              <w:instrText xml:space="preserve"> PAGEREF _Toc139639460 \h </w:instrText>
            </w:r>
            <w:r w:rsidR="00536C9D">
              <w:rPr>
                <w:noProof/>
                <w:webHidden/>
              </w:rPr>
            </w:r>
            <w:r w:rsidR="00536C9D">
              <w:rPr>
                <w:noProof/>
                <w:webHidden/>
              </w:rPr>
              <w:fldChar w:fldCharType="separate"/>
            </w:r>
            <w:r w:rsidR="00536C9D">
              <w:rPr>
                <w:noProof/>
                <w:webHidden/>
              </w:rPr>
              <w:t>18</w:t>
            </w:r>
            <w:r w:rsidR="00536C9D">
              <w:rPr>
                <w:noProof/>
                <w:webHidden/>
              </w:rPr>
              <w:fldChar w:fldCharType="end"/>
            </w:r>
          </w:hyperlink>
        </w:p>
        <w:p w14:paraId="6EF8A3A9" w14:textId="0DC82966"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61" w:history="1">
            <w:r w:rsidR="00536C9D" w:rsidRPr="001A2AB8">
              <w:rPr>
                <w:rStyle w:val="Hyperlink"/>
                <w:noProof/>
              </w:rPr>
              <w:t>Who owns climate action?</w:t>
            </w:r>
            <w:r w:rsidR="00536C9D">
              <w:rPr>
                <w:noProof/>
                <w:webHidden/>
              </w:rPr>
              <w:tab/>
            </w:r>
            <w:r w:rsidR="00536C9D">
              <w:rPr>
                <w:noProof/>
                <w:webHidden/>
              </w:rPr>
              <w:fldChar w:fldCharType="begin"/>
            </w:r>
            <w:r w:rsidR="00536C9D">
              <w:rPr>
                <w:noProof/>
                <w:webHidden/>
              </w:rPr>
              <w:instrText xml:space="preserve"> PAGEREF _Toc139639461 \h </w:instrText>
            </w:r>
            <w:r w:rsidR="00536C9D">
              <w:rPr>
                <w:noProof/>
                <w:webHidden/>
              </w:rPr>
            </w:r>
            <w:r w:rsidR="00536C9D">
              <w:rPr>
                <w:noProof/>
                <w:webHidden/>
              </w:rPr>
              <w:fldChar w:fldCharType="separate"/>
            </w:r>
            <w:r w:rsidR="00536C9D">
              <w:rPr>
                <w:noProof/>
                <w:webHidden/>
              </w:rPr>
              <w:t>18</w:t>
            </w:r>
            <w:r w:rsidR="00536C9D">
              <w:rPr>
                <w:noProof/>
                <w:webHidden/>
              </w:rPr>
              <w:fldChar w:fldCharType="end"/>
            </w:r>
          </w:hyperlink>
        </w:p>
        <w:p w14:paraId="53AB6FD9" w14:textId="3A31ADEE"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62" w:history="1">
            <w:r w:rsidR="00536C9D" w:rsidRPr="001A2AB8">
              <w:rPr>
                <w:rStyle w:val="Hyperlink"/>
                <w:noProof/>
              </w:rPr>
              <w:t>Planning for Net Zero</w:t>
            </w:r>
            <w:r w:rsidR="00536C9D">
              <w:rPr>
                <w:noProof/>
                <w:webHidden/>
              </w:rPr>
              <w:tab/>
            </w:r>
            <w:r w:rsidR="00536C9D">
              <w:rPr>
                <w:noProof/>
                <w:webHidden/>
              </w:rPr>
              <w:fldChar w:fldCharType="begin"/>
            </w:r>
            <w:r w:rsidR="00536C9D">
              <w:rPr>
                <w:noProof/>
                <w:webHidden/>
              </w:rPr>
              <w:instrText xml:space="preserve"> PAGEREF _Toc139639462 \h </w:instrText>
            </w:r>
            <w:r w:rsidR="00536C9D">
              <w:rPr>
                <w:noProof/>
                <w:webHidden/>
              </w:rPr>
            </w:r>
            <w:r w:rsidR="00536C9D">
              <w:rPr>
                <w:noProof/>
                <w:webHidden/>
              </w:rPr>
              <w:fldChar w:fldCharType="separate"/>
            </w:r>
            <w:r w:rsidR="00536C9D">
              <w:rPr>
                <w:noProof/>
                <w:webHidden/>
              </w:rPr>
              <w:t>19</w:t>
            </w:r>
            <w:r w:rsidR="00536C9D">
              <w:rPr>
                <w:noProof/>
                <w:webHidden/>
              </w:rPr>
              <w:fldChar w:fldCharType="end"/>
            </w:r>
          </w:hyperlink>
        </w:p>
        <w:p w14:paraId="72EEAF92" w14:textId="47E754B1"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63" w:history="1">
            <w:r w:rsidR="00536C9D" w:rsidRPr="001A2AB8">
              <w:rPr>
                <w:rStyle w:val="Hyperlink"/>
                <w:noProof/>
              </w:rPr>
              <w:t>Planning regulatory sandboxes</w:t>
            </w:r>
            <w:r w:rsidR="00536C9D">
              <w:rPr>
                <w:noProof/>
                <w:webHidden/>
              </w:rPr>
              <w:tab/>
            </w:r>
            <w:r w:rsidR="00536C9D">
              <w:rPr>
                <w:noProof/>
                <w:webHidden/>
              </w:rPr>
              <w:fldChar w:fldCharType="begin"/>
            </w:r>
            <w:r w:rsidR="00536C9D">
              <w:rPr>
                <w:noProof/>
                <w:webHidden/>
              </w:rPr>
              <w:instrText xml:space="preserve"> PAGEREF _Toc139639463 \h </w:instrText>
            </w:r>
            <w:r w:rsidR="00536C9D">
              <w:rPr>
                <w:noProof/>
                <w:webHidden/>
              </w:rPr>
            </w:r>
            <w:r w:rsidR="00536C9D">
              <w:rPr>
                <w:noProof/>
                <w:webHidden/>
              </w:rPr>
              <w:fldChar w:fldCharType="separate"/>
            </w:r>
            <w:r w:rsidR="00536C9D">
              <w:rPr>
                <w:noProof/>
                <w:webHidden/>
              </w:rPr>
              <w:t>20</w:t>
            </w:r>
            <w:r w:rsidR="00536C9D">
              <w:rPr>
                <w:noProof/>
                <w:webHidden/>
              </w:rPr>
              <w:fldChar w:fldCharType="end"/>
            </w:r>
          </w:hyperlink>
        </w:p>
        <w:p w14:paraId="49D268C7" w14:textId="67BD86E6"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64" w:history="1">
            <w:r w:rsidR="00536C9D" w:rsidRPr="001A2AB8">
              <w:rPr>
                <w:rStyle w:val="Hyperlink"/>
                <w:noProof/>
              </w:rPr>
              <w:t>Design principles for collaborative multi-scalar governance</w:t>
            </w:r>
            <w:r w:rsidR="00536C9D">
              <w:rPr>
                <w:noProof/>
                <w:webHidden/>
              </w:rPr>
              <w:tab/>
            </w:r>
            <w:r w:rsidR="00536C9D">
              <w:rPr>
                <w:noProof/>
                <w:webHidden/>
              </w:rPr>
              <w:fldChar w:fldCharType="begin"/>
            </w:r>
            <w:r w:rsidR="00536C9D">
              <w:rPr>
                <w:noProof/>
                <w:webHidden/>
              </w:rPr>
              <w:instrText xml:space="preserve"> PAGEREF _Toc139639464 \h </w:instrText>
            </w:r>
            <w:r w:rsidR="00536C9D">
              <w:rPr>
                <w:noProof/>
                <w:webHidden/>
              </w:rPr>
            </w:r>
            <w:r w:rsidR="00536C9D">
              <w:rPr>
                <w:noProof/>
                <w:webHidden/>
              </w:rPr>
              <w:fldChar w:fldCharType="separate"/>
            </w:r>
            <w:r w:rsidR="00536C9D">
              <w:rPr>
                <w:noProof/>
                <w:webHidden/>
              </w:rPr>
              <w:t>21</w:t>
            </w:r>
            <w:r w:rsidR="00536C9D">
              <w:rPr>
                <w:noProof/>
                <w:webHidden/>
              </w:rPr>
              <w:fldChar w:fldCharType="end"/>
            </w:r>
          </w:hyperlink>
        </w:p>
        <w:p w14:paraId="280A7422" w14:textId="659853F4"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65" w:history="1">
            <w:r w:rsidR="00536C9D" w:rsidRPr="001A2AB8">
              <w:rPr>
                <w:rStyle w:val="Hyperlink"/>
                <w:noProof/>
              </w:rPr>
              <w:t>Promoting climate communicators</w:t>
            </w:r>
            <w:r w:rsidR="00536C9D">
              <w:rPr>
                <w:noProof/>
                <w:webHidden/>
              </w:rPr>
              <w:tab/>
            </w:r>
            <w:r w:rsidR="00536C9D">
              <w:rPr>
                <w:noProof/>
                <w:webHidden/>
              </w:rPr>
              <w:fldChar w:fldCharType="begin"/>
            </w:r>
            <w:r w:rsidR="00536C9D">
              <w:rPr>
                <w:noProof/>
                <w:webHidden/>
              </w:rPr>
              <w:instrText xml:space="preserve"> PAGEREF _Toc139639465 \h </w:instrText>
            </w:r>
            <w:r w:rsidR="00536C9D">
              <w:rPr>
                <w:noProof/>
                <w:webHidden/>
              </w:rPr>
            </w:r>
            <w:r w:rsidR="00536C9D">
              <w:rPr>
                <w:noProof/>
                <w:webHidden/>
              </w:rPr>
              <w:fldChar w:fldCharType="separate"/>
            </w:r>
            <w:r w:rsidR="00536C9D">
              <w:rPr>
                <w:noProof/>
                <w:webHidden/>
              </w:rPr>
              <w:t>21</w:t>
            </w:r>
            <w:r w:rsidR="00536C9D">
              <w:rPr>
                <w:noProof/>
                <w:webHidden/>
              </w:rPr>
              <w:fldChar w:fldCharType="end"/>
            </w:r>
          </w:hyperlink>
        </w:p>
        <w:p w14:paraId="34160E06" w14:textId="6FA85EBE" w:rsidR="00536C9D" w:rsidRDefault="00482E13">
          <w:pPr>
            <w:pStyle w:val="TOC4"/>
            <w:tabs>
              <w:tab w:val="right" w:pos="9019"/>
            </w:tabs>
            <w:rPr>
              <w:rFonts w:asciiTheme="minorHAnsi" w:eastAsiaTheme="minorEastAsia" w:hAnsiTheme="minorHAnsi" w:cstheme="minorBidi"/>
              <w:noProof/>
              <w:kern w:val="2"/>
              <w14:ligatures w14:val="standardContextual"/>
            </w:rPr>
          </w:pPr>
          <w:hyperlink w:anchor="_Toc139639466" w:history="1">
            <w:r w:rsidR="00536C9D" w:rsidRPr="001A2AB8">
              <w:rPr>
                <w:rStyle w:val="Hyperlink"/>
                <w:noProof/>
              </w:rPr>
              <w:t>Reshaping the dominance of local economic development</w:t>
            </w:r>
            <w:r w:rsidR="00536C9D">
              <w:rPr>
                <w:noProof/>
                <w:webHidden/>
              </w:rPr>
              <w:tab/>
            </w:r>
            <w:r w:rsidR="00536C9D">
              <w:rPr>
                <w:noProof/>
                <w:webHidden/>
              </w:rPr>
              <w:fldChar w:fldCharType="begin"/>
            </w:r>
            <w:r w:rsidR="00536C9D">
              <w:rPr>
                <w:noProof/>
                <w:webHidden/>
              </w:rPr>
              <w:instrText xml:space="preserve"> PAGEREF _Toc139639466 \h </w:instrText>
            </w:r>
            <w:r w:rsidR="00536C9D">
              <w:rPr>
                <w:noProof/>
                <w:webHidden/>
              </w:rPr>
            </w:r>
            <w:r w:rsidR="00536C9D">
              <w:rPr>
                <w:noProof/>
                <w:webHidden/>
              </w:rPr>
              <w:fldChar w:fldCharType="separate"/>
            </w:r>
            <w:r w:rsidR="00536C9D">
              <w:rPr>
                <w:noProof/>
                <w:webHidden/>
              </w:rPr>
              <w:t>22</w:t>
            </w:r>
            <w:r w:rsidR="00536C9D">
              <w:rPr>
                <w:noProof/>
                <w:webHidden/>
              </w:rPr>
              <w:fldChar w:fldCharType="end"/>
            </w:r>
          </w:hyperlink>
        </w:p>
        <w:p w14:paraId="4D24D592" w14:textId="666814B9" w:rsidR="00536C9D" w:rsidRDefault="00482E13">
          <w:pPr>
            <w:pStyle w:val="TOC3"/>
            <w:tabs>
              <w:tab w:val="right" w:pos="9019"/>
            </w:tabs>
            <w:rPr>
              <w:rFonts w:asciiTheme="minorHAnsi" w:eastAsiaTheme="minorEastAsia" w:hAnsiTheme="minorHAnsi" w:cstheme="minorBidi"/>
              <w:noProof/>
              <w:kern w:val="2"/>
              <w14:ligatures w14:val="standardContextual"/>
            </w:rPr>
          </w:pPr>
          <w:hyperlink w:anchor="_Toc139639467" w:history="1">
            <w:r w:rsidR="00536C9D" w:rsidRPr="001A2AB8">
              <w:rPr>
                <w:rStyle w:val="Hyperlink"/>
                <w:noProof/>
              </w:rPr>
              <w:t>Conclusion</w:t>
            </w:r>
            <w:r w:rsidR="00536C9D">
              <w:rPr>
                <w:noProof/>
                <w:webHidden/>
              </w:rPr>
              <w:tab/>
            </w:r>
            <w:r w:rsidR="00536C9D">
              <w:rPr>
                <w:noProof/>
                <w:webHidden/>
              </w:rPr>
              <w:fldChar w:fldCharType="begin"/>
            </w:r>
            <w:r w:rsidR="00536C9D">
              <w:rPr>
                <w:noProof/>
                <w:webHidden/>
              </w:rPr>
              <w:instrText xml:space="preserve"> PAGEREF _Toc139639467 \h </w:instrText>
            </w:r>
            <w:r w:rsidR="00536C9D">
              <w:rPr>
                <w:noProof/>
                <w:webHidden/>
              </w:rPr>
            </w:r>
            <w:r w:rsidR="00536C9D">
              <w:rPr>
                <w:noProof/>
                <w:webHidden/>
              </w:rPr>
              <w:fldChar w:fldCharType="separate"/>
            </w:r>
            <w:r w:rsidR="00536C9D">
              <w:rPr>
                <w:noProof/>
                <w:webHidden/>
              </w:rPr>
              <w:t>23</w:t>
            </w:r>
            <w:r w:rsidR="00536C9D">
              <w:rPr>
                <w:noProof/>
                <w:webHidden/>
              </w:rPr>
              <w:fldChar w:fldCharType="end"/>
            </w:r>
          </w:hyperlink>
        </w:p>
        <w:p w14:paraId="19221044" w14:textId="1F9D7B75" w:rsidR="00536C9D" w:rsidRDefault="00482E13">
          <w:pPr>
            <w:pStyle w:val="TOC3"/>
            <w:tabs>
              <w:tab w:val="right" w:pos="9019"/>
            </w:tabs>
            <w:rPr>
              <w:rFonts w:asciiTheme="minorHAnsi" w:eastAsiaTheme="minorEastAsia" w:hAnsiTheme="minorHAnsi" w:cstheme="minorBidi"/>
              <w:noProof/>
              <w:kern w:val="2"/>
              <w14:ligatures w14:val="standardContextual"/>
            </w:rPr>
          </w:pPr>
          <w:hyperlink w:anchor="_Toc139639468" w:history="1">
            <w:r w:rsidR="00536C9D" w:rsidRPr="001A2AB8">
              <w:rPr>
                <w:rStyle w:val="Hyperlink"/>
                <w:noProof/>
              </w:rPr>
              <w:t>References</w:t>
            </w:r>
            <w:r w:rsidR="00536C9D">
              <w:rPr>
                <w:noProof/>
                <w:webHidden/>
              </w:rPr>
              <w:tab/>
            </w:r>
            <w:r w:rsidR="00536C9D">
              <w:rPr>
                <w:noProof/>
                <w:webHidden/>
              </w:rPr>
              <w:fldChar w:fldCharType="begin"/>
            </w:r>
            <w:r w:rsidR="00536C9D">
              <w:rPr>
                <w:noProof/>
                <w:webHidden/>
              </w:rPr>
              <w:instrText xml:space="preserve"> PAGEREF _Toc139639468 \h </w:instrText>
            </w:r>
            <w:r w:rsidR="00536C9D">
              <w:rPr>
                <w:noProof/>
                <w:webHidden/>
              </w:rPr>
            </w:r>
            <w:r w:rsidR="00536C9D">
              <w:rPr>
                <w:noProof/>
                <w:webHidden/>
              </w:rPr>
              <w:fldChar w:fldCharType="separate"/>
            </w:r>
            <w:r w:rsidR="00536C9D">
              <w:rPr>
                <w:noProof/>
                <w:webHidden/>
              </w:rPr>
              <w:t>25</w:t>
            </w:r>
            <w:r w:rsidR="00536C9D">
              <w:rPr>
                <w:noProof/>
                <w:webHidden/>
              </w:rPr>
              <w:fldChar w:fldCharType="end"/>
            </w:r>
          </w:hyperlink>
        </w:p>
        <w:p w14:paraId="00000017" w14:textId="4AD6CC75" w:rsidR="006864E3" w:rsidRDefault="00BC4AC1">
          <w:pPr>
            <w:widowControl w:val="0"/>
            <w:tabs>
              <w:tab w:val="right" w:pos="12000"/>
            </w:tabs>
            <w:spacing w:before="60" w:line="240" w:lineRule="auto"/>
            <w:rPr>
              <w:b/>
              <w:color w:val="000000"/>
            </w:rPr>
          </w:pPr>
          <w:r>
            <w:rPr>
              <w:color w:val="2B579A"/>
              <w:shd w:val="clear" w:color="auto" w:fill="E6E6E6"/>
            </w:rPr>
            <w:fldChar w:fldCharType="end"/>
          </w:r>
        </w:p>
      </w:sdtContent>
    </w:sdt>
    <w:p w14:paraId="1181AED9" w14:textId="0BE4AB34" w:rsidR="00B036F0" w:rsidRDefault="00B036F0" w:rsidP="00B036F0">
      <w:pPr>
        <w:rPr>
          <w:b/>
          <w:bCs/>
        </w:rPr>
      </w:pPr>
    </w:p>
    <w:p w14:paraId="0FDEF022" w14:textId="69C5E35E" w:rsidR="00B121AF" w:rsidRPr="00536C9D" w:rsidRDefault="00364933" w:rsidP="1D6FAAA3">
      <w:pPr>
        <w:rPr>
          <w:color w:val="434343"/>
          <w:sz w:val="28"/>
          <w:szCs w:val="28"/>
        </w:rPr>
      </w:pPr>
      <w:r>
        <w:br w:type="page"/>
      </w:r>
    </w:p>
    <w:p w14:paraId="0000001A" w14:textId="7079E32F" w:rsidR="006864E3" w:rsidRDefault="00536C9D">
      <w:pPr>
        <w:pStyle w:val="Heading3"/>
      </w:pPr>
      <w:bookmarkStart w:id="1" w:name="_Toc139639450"/>
      <w:r>
        <w:lastRenderedPageBreak/>
        <w:t>Abstract</w:t>
      </w:r>
      <w:bookmarkEnd w:id="1"/>
      <w:r>
        <w:t xml:space="preserve"> </w:t>
      </w:r>
    </w:p>
    <w:p w14:paraId="0000001B" w14:textId="77777777" w:rsidR="006864E3" w:rsidRDefault="006864E3"/>
    <w:p w14:paraId="0117C8CD" w14:textId="465EB6CB" w:rsidR="007B79F2" w:rsidRPr="000D3D5F" w:rsidRDefault="00DE2503">
      <w:pPr>
        <w:rPr>
          <w:color w:val="000000" w:themeColor="text1"/>
        </w:rPr>
      </w:pPr>
      <w:r>
        <w:t>P</w:t>
      </w:r>
      <w:r w:rsidR="2EC6826F">
        <w:t xml:space="preserve">lace-based decarbonisation is emerging as a significant </w:t>
      </w:r>
      <w:r>
        <w:t>element in</w:t>
      </w:r>
      <w:r w:rsidR="2EC6826F">
        <w:t xml:space="preserve"> the UK government’s </w:t>
      </w:r>
      <w:r w:rsidR="004E0CC7">
        <w:t>net zero</w:t>
      </w:r>
      <w:r>
        <w:t xml:space="preserve"> agenda</w:t>
      </w:r>
      <w:r w:rsidR="2EC6826F">
        <w:t xml:space="preserve">, </w:t>
      </w:r>
      <w:r w:rsidR="004E0CC7">
        <w:t>specifically</w:t>
      </w:r>
      <w:r w:rsidR="2EC6826F">
        <w:t xml:space="preserve"> </w:t>
      </w:r>
      <w:r>
        <w:t>through central government</w:t>
      </w:r>
      <w:r w:rsidR="2EC6826F">
        <w:t xml:space="preserve"> devolution deals. </w:t>
      </w:r>
      <w:r>
        <w:t>Such</w:t>
      </w:r>
      <w:r w:rsidR="2EC6826F">
        <w:t xml:space="preserve"> </w:t>
      </w:r>
      <w:r w:rsidR="00C331FE">
        <w:t>localised</w:t>
      </w:r>
      <w:r w:rsidR="2EC6826F">
        <w:t xml:space="preserve"> governance has the potential to reap social and economic benefits for communities whilst also potentially delivering</w:t>
      </w:r>
      <w:r w:rsidR="004F7B21">
        <w:t xml:space="preserve"> on</w:t>
      </w:r>
      <w:r w:rsidR="2EC6826F">
        <w:t xml:space="preserve"> net zero goals. However,</w:t>
      </w:r>
      <w:r w:rsidR="004E0CC7">
        <w:t xml:space="preserve"> </w:t>
      </w:r>
      <w:r w:rsidR="2EC6826F">
        <w:t xml:space="preserve">pre-existing institutional constraints and unresolved tensions </w:t>
      </w:r>
      <w:r>
        <w:t>remain such as the</w:t>
      </w:r>
      <w:r w:rsidR="004E0CC7">
        <w:t xml:space="preserve"> uneven </w:t>
      </w:r>
      <w:r w:rsidR="004E0CC7" w:rsidRPr="00676275">
        <w:t>distribution of initiatives across areas and the</w:t>
      </w:r>
      <w:r w:rsidRPr="00676275">
        <w:t xml:space="preserve"> fiscal limitations within local authoriti</w:t>
      </w:r>
      <w:r w:rsidRPr="000D3D5F">
        <w:rPr>
          <w:color w:val="000000" w:themeColor="text1"/>
        </w:rPr>
        <w:t>es</w:t>
      </w:r>
      <w:r w:rsidR="004F7B21" w:rsidRPr="000D3D5F">
        <w:rPr>
          <w:color w:val="000000" w:themeColor="text1"/>
        </w:rPr>
        <w:t xml:space="preserve">. </w:t>
      </w:r>
      <w:r w:rsidR="00676275" w:rsidRPr="000D3D5F">
        <w:rPr>
          <w:color w:val="000000" w:themeColor="text1"/>
          <w:shd w:val="clear" w:color="auto" w:fill="FFFFFF"/>
        </w:rPr>
        <w:t xml:space="preserve">These </w:t>
      </w:r>
      <w:r w:rsidR="0098137A" w:rsidRPr="000D3D5F">
        <w:rPr>
          <w:color w:val="000000" w:themeColor="text1"/>
          <w:shd w:val="clear" w:color="auto" w:fill="FFFFFF"/>
        </w:rPr>
        <w:t>could</w:t>
      </w:r>
      <w:r w:rsidR="00676275" w:rsidRPr="000D3D5F">
        <w:rPr>
          <w:color w:val="000000" w:themeColor="text1"/>
          <w:shd w:val="clear" w:color="auto" w:fill="FFFFFF"/>
        </w:rPr>
        <w:t xml:space="preserve"> potential</w:t>
      </w:r>
      <w:r w:rsidR="0098137A" w:rsidRPr="000D3D5F">
        <w:rPr>
          <w:color w:val="000000" w:themeColor="text1"/>
          <w:shd w:val="clear" w:color="auto" w:fill="FFFFFF"/>
        </w:rPr>
        <w:t>ly</w:t>
      </w:r>
      <w:r w:rsidR="00676275" w:rsidRPr="000D3D5F">
        <w:rPr>
          <w:color w:val="000000" w:themeColor="text1"/>
          <w:shd w:val="clear" w:color="auto" w:fill="FFFFFF"/>
        </w:rPr>
        <w:t xml:space="preserve"> exacerbate regional inequality rather than </w:t>
      </w:r>
      <w:r w:rsidR="0098137A" w:rsidRPr="000D3D5F">
        <w:rPr>
          <w:color w:val="000000" w:themeColor="text1"/>
          <w:shd w:val="clear" w:color="auto" w:fill="FFFFFF"/>
        </w:rPr>
        <w:t>promote</w:t>
      </w:r>
      <w:r w:rsidR="00676275" w:rsidRPr="000D3D5F">
        <w:rPr>
          <w:color w:val="000000" w:themeColor="text1"/>
          <w:shd w:val="clear" w:color="auto" w:fill="FFFFFF"/>
        </w:rPr>
        <w:t xml:space="preserve"> a just transition.</w:t>
      </w:r>
    </w:p>
    <w:p w14:paraId="0A7855B1" w14:textId="6EB02296" w:rsidR="00B036F0" w:rsidRPr="000D3D5F" w:rsidRDefault="00B036F0" w:rsidP="00B036F0">
      <w:pPr>
        <w:rPr>
          <w:color w:val="000000" w:themeColor="text1"/>
        </w:rPr>
      </w:pPr>
    </w:p>
    <w:p w14:paraId="0000001C" w14:textId="42E900A4" w:rsidR="006864E3" w:rsidRDefault="004F7B21">
      <w:pPr>
        <w:rPr>
          <w:color w:val="000000" w:themeColor="text1"/>
        </w:rPr>
      </w:pPr>
      <w:r w:rsidRPr="000D3D5F">
        <w:rPr>
          <w:color w:val="000000" w:themeColor="text1"/>
        </w:rPr>
        <w:t>The report</w:t>
      </w:r>
      <w:r w:rsidR="7D27908A" w:rsidRPr="000D3D5F">
        <w:rPr>
          <w:color w:val="000000" w:themeColor="text1"/>
        </w:rPr>
        <w:t xml:space="preserve"> </w:t>
      </w:r>
      <w:r w:rsidR="004E0CC7" w:rsidRPr="000D3D5F">
        <w:rPr>
          <w:color w:val="000000" w:themeColor="text1"/>
        </w:rPr>
        <w:t xml:space="preserve">characterises the current governance regimes and challenges to net zero delivery </w:t>
      </w:r>
      <w:r w:rsidR="7D27908A" w:rsidRPr="000D3D5F">
        <w:rPr>
          <w:color w:val="000000" w:themeColor="text1"/>
        </w:rPr>
        <w:t xml:space="preserve">in four parts of the Midlands: Coventry, Nottingham, </w:t>
      </w:r>
      <w:proofErr w:type="gramStart"/>
      <w:r w:rsidR="7D27908A" w:rsidRPr="000D3D5F">
        <w:rPr>
          <w:color w:val="000000" w:themeColor="text1"/>
        </w:rPr>
        <w:t>Leicester</w:t>
      </w:r>
      <w:proofErr w:type="gramEnd"/>
      <w:r w:rsidR="7D27908A" w:rsidRPr="000D3D5F">
        <w:rPr>
          <w:color w:val="000000" w:themeColor="text1"/>
        </w:rPr>
        <w:t xml:space="preserve"> and Staffordshire. </w:t>
      </w:r>
      <w:r w:rsidR="00496D90" w:rsidRPr="000D3D5F">
        <w:rPr>
          <w:color w:val="000000" w:themeColor="text1"/>
        </w:rPr>
        <w:t>It</w:t>
      </w:r>
      <w:r w:rsidR="7D27908A" w:rsidRPr="000D3D5F">
        <w:rPr>
          <w:color w:val="000000" w:themeColor="text1"/>
        </w:rPr>
        <w:t xml:space="preserve"> highlights </w:t>
      </w:r>
      <w:r w:rsidR="004E0CC7" w:rsidRPr="000D3D5F">
        <w:rPr>
          <w:color w:val="000000" w:themeColor="text1"/>
        </w:rPr>
        <w:t xml:space="preserve">variation </w:t>
      </w:r>
      <w:r w:rsidR="001707CF" w:rsidRPr="000D3D5F">
        <w:rPr>
          <w:color w:val="000000" w:themeColor="text1"/>
        </w:rPr>
        <w:t xml:space="preserve">in </w:t>
      </w:r>
      <w:r w:rsidR="00DE2503" w:rsidRPr="000D3D5F">
        <w:rPr>
          <w:color w:val="000000" w:themeColor="text1"/>
        </w:rPr>
        <w:t>local scale</w:t>
      </w:r>
      <w:r w:rsidR="004E0CC7" w:rsidRPr="000D3D5F">
        <w:rPr>
          <w:color w:val="000000" w:themeColor="text1"/>
        </w:rPr>
        <w:t xml:space="preserve"> </w:t>
      </w:r>
      <w:r w:rsidR="001707CF" w:rsidRPr="000D3D5F">
        <w:rPr>
          <w:color w:val="000000" w:themeColor="text1"/>
        </w:rPr>
        <w:t xml:space="preserve">action </w:t>
      </w:r>
      <w:r w:rsidR="00DE2503" w:rsidRPr="000D3D5F">
        <w:rPr>
          <w:color w:val="000000" w:themeColor="text1"/>
        </w:rPr>
        <w:t xml:space="preserve">and identifies </w:t>
      </w:r>
      <w:r w:rsidR="004E0CC7" w:rsidRPr="000D3D5F">
        <w:rPr>
          <w:color w:val="000000" w:themeColor="text1"/>
        </w:rPr>
        <w:t>the constraints</w:t>
      </w:r>
      <w:r w:rsidR="00DE2503" w:rsidRPr="000D3D5F">
        <w:rPr>
          <w:color w:val="000000" w:themeColor="text1"/>
        </w:rPr>
        <w:t xml:space="preserve"> to </w:t>
      </w:r>
      <w:r w:rsidR="7D27908A" w:rsidRPr="000D3D5F">
        <w:rPr>
          <w:color w:val="000000" w:themeColor="text1"/>
        </w:rPr>
        <w:t>multi</w:t>
      </w:r>
      <w:r w:rsidR="000D3D5F">
        <w:rPr>
          <w:color w:val="000000" w:themeColor="text1"/>
        </w:rPr>
        <w:t>-</w:t>
      </w:r>
      <w:r w:rsidR="7D27908A" w:rsidRPr="000D3D5F">
        <w:rPr>
          <w:color w:val="000000" w:themeColor="text1"/>
        </w:rPr>
        <w:t>scalar governance</w:t>
      </w:r>
      <w:r w:rsidR="000D3D5F" w:rsidRPr="000D3D5F">
        <w:rPr>
          <w:color w:val="000000" w:themeColor="text1"/>
        </w:rPr>
        <w:t xml:space="preserve"> </w:t>
      </w:r>
      <w:r w:rsidR="000D3D5F">
        <w:rPr>
          <w:color w:val="000000" w:themeColor="text1"/>
        </w:rPr>
        <w:t xml:space="preserve">for </w:t>
      </w:r>
      <w:r w:rsidR="000D3D5F" w:rsidRPr="000D3D5F">
        <w:rPr>
          <w:color w:val="000000" w:themeColor="text1"/>
        </w:rPr>
        <w:t>net zero</w:t>
      </w:r>
      <w:r w:rsidR="004E0CC7" w:rsidRPr="000D3D5F">
        <w:rPr>
          <w:color w:val="000000" w:themeColor="text1"/>
        </w:rPr>
        <w:t xml:space="preserve">. </w:t>
      </w:r>
      <w:r w:rsidR="000613DF">
        <w:rPr>
          <w:color w:val="000000" w:themeColor="text1"/>
        </w:rPr>
        <w:t xml:space="preserve">It </w:t>
      </w:r>
      <w:r w:rsidR="000613DF">
        <w:rPr>
          <w:color w:val="000000" w:themeColor="text1"/>
          <w:shd w:val="clear" w:color="auto" w:fill="FFFFFF"/>
        </w:rPr>
        <w:t>r</w:t>
      </w:r>
      <w:r w:rsidR="00676275" w:rsidRPr="000D3D5F">
        <w:rPr>
          <w:color w:val="000000" w:themeColor="text1"/>
          <w:shd w:val="clear" w:color="auto" w:fill="FFFFFF"/>
        </w:rPr>
        <w:t>ecommend</w:t>
      </w:r>
      <w:r w:rsidR="000613DF">
        <w:rPr>
          <w:color w:val="000000" w:themeColor="text1"/>
          <w:shd w:val="clear" w:color="auto" w:fill="FFFFFF"/>
        </w:rPr>
        <w:t>s</w:t>
      </w:r>
      <w:r w:rsidR="00676275" w:rsidRPr="000D3D5F">
        <w:rPr>
          <w:color w:val="000000" w:themeColor="text1"/>
          <w:shd w:val="clear" w:color="auto" w:fill="FFFFFF"/>
        </w:rPr>
        <w:t xml:space="preserve"> cultivating policy innovation, particularly to align planning with the net zero transition</w:t>
      </w:r>
      <w:r w:rsidR="000613DF">
        <w:rPr>
          <w:color w:val="000000" w:themeColor="text1"/>
          <w:shd w:val="clear" w:color="auto" w:fill="FFFFFF"/>
        </w:rPr>
        <w:t xml:space="preserve"> </w:t>
      </w:r>
      <w:r w:rsidR="000613DF">
        <w:rPr>
          <w:color w:val="000000" w:themeColor="text1"/>
        </w:rPr>
        <w:t>and</w:t>
      </w:r>
      <w:r w:rsidR="0098137A" w:rsidRPr="000D3D5F">
        <w:rPr>
          <w:color w:val="000000" w:themeColor="text1"/>
        </w:rPr>
        <w:t xml:space="preserve"> </w:t>
      </w:r>
      <w:r w:rsidR="00DE2503" w:rsidRPr="000D3D5F">
        <w:rPr>
          <w:color w:val="000000" w:themeColor="text1"/>
        </w:rPr>
        <w:t>identif</w:t>
      </w:r>
      <w:r w:rsidR="000613DF">
        <w:rPr>
          <w:color w:val="000000" w:themeColor="text1"/>
        </w:rPr>
        <w:t>ies</w:t>
      </w:r>
      <w:r w:rsidR="00DE2503" w:rsidRPr="000D3D5F">
        <w:rPr>
          <w:color w:val="000000" w:themeColor="text1"/>
        </w:rPr>
        <w:t xml:space="preserve"> the</w:t>
      </w:r>
      <w:r w:rsidR="435EC654" w:rsidRPr="000D3D5F">
        <w:rPr>
          <w:color w:val="000000" w:themeColor="text1"/>
        </w:rPr>
        <w:t xml:space="preserve"> potential role </w:t>
      </w:r>
      <w:r w:rsidR="00DE2503" w:rsidRPr="000D3D5F">
        <w:rPr>
          <w:color w:val="000000" w:themeColor="text1"/>
        </w:rPr>
        <w:t>of</w:t>
      </w:r>
      <w:r w:rsidR="435EC654" w:rsidRPr="000D3D5F">
        <w:rPr>
          <w:color w:val="000000" w:themeColor="text1"/>
        </w:rPr>
        <w:t xml:space="preserve"> regulatory sandboxes </w:t>
      </w:r>
      <w:r w:rsidR="00325A87" w:rsidRPr="000D3D5F">
        <w:rPr>
          <w:color w:val="000000" w:themeColor="text1"/>
        </w:rPr>
        <w:t>to</w:t>
      </w:r>
      <w:r w:rsidR="435EC654" w:rsidRPr="000D3D5F">
        <w:rPr>
          <w:color w:val="000000" w:themeColor="text1"/>
        </w:rPr>
        <w:t xml:space="preserve"> </w:t>
      </w:r>
      <w:r w:rsidR="000613DF">
        <w:rPr>
          <w:color w:val="000000" w:themeColor="text1"/>
        </w:rPr>
        <w:t>this end</w:t>
      </w:r>
      <w:r w:rsidR="001707CF" w:rsidRPr="000D3D5F">
        <w:rPr>
          <w:color w:val="000000" w:themeColor="text1"/>
        </w:rPr>
        <w:t xml:space="preserve"> </w:t>
      </w:r>
      <w:r w:rsidR="000613DF">
        <w:rPr>
          <w:color w:val="000000" w:themeColor="text1"/>
        </w:rPr>
        <w:t>as well as</w:t>
      </w:r>
      <w:r w:rsidR="001707CF" w:rsidRPr="000D3D5F">
        <w:rPr>
          <w:color w:val="000000" w:themeColor="text1"/>
        </w:rPr>
        <w:t xml:space="preserve"> </w:t>
      </w:r>
      <w:r w:rsidR="435EC654" w:rsidRPr="000D3D5F">
        <w:rPr>
          <w:color w:val="000000" w:themeColor="text1"/>
        </w:rPr>
        <w:t>communi</w:t>
      </w:r>
      <w:r w:rsidR="0083DFC8" w:rsidRPr="000D3D5F">
        <w:rPr>
          <w:color w:val="000000" w:themeColor="text1"/>
        </w:rPr>
        <w:t>ty ownershi</w:t>
      </w:r>
      <w:r w:rsidR="001707CF" w:rsidRPr="000D3D5F">
        <w:rPr>
          <w:color w:val="000000" w:themeColor="text1"/>
        </w:rPr>
        <w:t>p</w:t>
      </w:r>
      <w:r w:rsidR="0083DFC8" w:rsidRPr="000D3D5F">
        <w:rPr>
          <w:color w:val="000000" w:themeColor="text1"/>
        </w:rPr>
        <w:t>.</w:t>
      </w:r>
    </w:p>
    <w:p w14:paraId="51926F82" w14:textId="77777777" w:rsidR="00833E5A" w:rsidRDefault="00833E5A">
      <w:pPr>
        <w:rPr>
          <w:color w:val="000000" w:themeColor="text1"/>
        </w:rPr>
      </w:pPr>
    </w:p>
    <w:p w14:paraId="3C863845" w14:textId="72079217" w:rsidR="00833E5A" w:rsidRDefault="00833E5A" w:rsidP="00833E5A">
      <w:pPr>
        <w:pStyle w:val="Heading3"/>
      </w:pPr>
      <w:r>
        <w:t>Keywords</w:t>
      </w:r>
    </w:p>
    <w:p w14:paraId="016E94B8" w14:textId="5F4C3ECF" w:rsidR="00833E5A" w:rsidRPr="00833E5A" w:rsidRDefault="00833E5A" w:rsidP="00833E5A">
      <w:r>
        <w:t xml:space="preserve">Net zero, place-based decarbonisation, </w:t>
      </w:r>
      <w:r w:rsidR="000613DF">
        <w:t>multi</w:t>
      </w:r>
      <w:r>
        <w:t>-scalar</w:t>
      </w:r>
      <w:r w:rsidR="00886930">
        <w:t xml:space="preserve"> governance</w:t>
      </w:r>
      <w:r>
        <w:t xml:space="preserve">, </w:t>
      </w:r>
      <w:r w:rsidR="00886930">
        <w:t>policy innovation, regulatory sandboxes, community ownership</w:t>
      </w:r>
    </w:p>
    <w:p w14:paraId="46C8A94D" w14:textId="77777777" w:rsidR="00833E5A" w:rsidRDefault="00833E5A">
      <w:pPr>
        <w:rPr>
          <w:color w:val="000000" w:themeColor="text1"/>
        </w:rPr>
      </w:pPr>
    </w:p>
    <w:p w14:paraId="5E84E255" w14:textId="77777777" w:rsidR="00833E5A" w:rsidRDefault="00833E5A">
      <w:pPr>
        <w:rPr>
          <w:color w:val="000000" w:themeColor="text1"/>
        </w:rPr>
      </w:pPr>
    </w:p>
    <w:p w14:paraId="21A4CF9F" w14:textId="77777777" w:rsidR="00833E5A" w:rsidRDefault="00833E5A">
      <w:pPr>
        <w:rPr>
          <w:color w:val="000000" w:themeColor="text1"/>
        </w:rPr>
      </w:pPr>
    </w:p>
    <w:p w14:paraId="2EC42B6C" w14:textId="77777777" w:rsidR="00833E5A" w:rsidRDefault="00833E5A">
      <w:pPr>
        <w:rPr>
          <w:color w:val="000000" w:themeColor="text1"/>
        </w:rPr>
      </w:pPr>
    </w:p>
    <w:p w14:paraId="15EA2F62" w14:textId="77777777" w:rsidR="00833E5A" w:rsidRDefault="00833E5A">
      <w:pPr>
        <w:rPr>
          <w:color w:val="000000" w:themeColor="text1"/>
        </w:rPr>
      </w:pPr>
    </w:p>
    <w:p w14:paraId="26A395CF" w14:textId="77777777" w:rsidR="00833E5A" w:rsidRDefault="00833E5A">
      <w:pPr>
        <w:rPr>
          <w:color w:val="000000" w:themeColor="text1"/>
        </w:rPr>
      </w:pPr>
    </w:p>
    <w:p w14:paraId="7AC52D3B" w14:textId="77777777" w:rsidR="00833E5A" w:rsidRDefault="00833E5A">
      <w:pPr>
        <w:rPr>
          <w:color w:val="000000" w:themeColor="text1"/>
        </w:rPr>
      </w:pPr>
    </w:p>
    <w:p w14:paraId="6EA02180" w14:textId="77777777" w:rsidR="00833E5A" w:rsidRDefault="00833E5A">
      <w:pPr>
        <w:rPr>
          <w:color w:val="000000" w:themeColor="text1"/>
        </w:rPr>
      </w:pPr>
    </w:p>
    <w:p w14:paraId="214C2E92" w14:textId="77777777" w:rsidR="00833E5A" w:rsidRDefault="00833E5A">
      <w:pPr>
        <w:rPr>
          <w:color w:val="000000" w:themeColor="text1"/>
        </w:rPr>
      </w:pPr>
    </w:p>
    <w:p w14:paraId="1B5B0EF2" w14:textId="77777777" w:rsidR="00833E5A" w:rsidRDefault="00833E5A">
      <w:pPr>
        <w:rPr>
          <w:color w:val="000000" w:themeColor="text1"/>
        </w:rPr>
      </w:pPr>
    </w:p>
    <w:p w14:paraId="700D0E5E" w14:textId="77777777" w:rsidR="00833E5A" w:rsidRDefault="00833E5A">
      <w:pPr>
        <w:rPr>
          <w:color w:val="000000" w:themeColor="text1"/>
        </w:rPr>
      </w:pPr>
    </w:p>
    <w:p w14:paraId="1A6D3C81" w14:textId="77777777" w:rsidR="00833E5A" w:rsidRDefault="00833E5A">
      <w:pPr>
        <w:rPr>
          <w:color w:val="000000" w:themeColor="text1"/>
        </w:rPr>
      </w:pPr>
    </w:p>
    <w:p w14:paraId="30A3D594" w14:textId="77777777" w:rsidR="00833E5A" w:rsidRDefault="00833E5A">
      <w:pPr>
        <w:rPr>
          <w:color w:val="000000" w:themeColor="text1"/>
        </w:rPr>
      </w:pPr>
    </w:p>
    <w:p w14:paraId="34C5A29C" w14:textId="77777777" w:rsidR="00833E5A" w:rsidRDefault="00833E5A">
      <w:pPr>
        <w:rPr>
          <w:color w:val="000000" w:themeColor="text1"/>
        </w:rPr>
      </w:pPr>
    </w:p>
    <w:p w14:paraId="1949A5E3" w14:textId="77777777" w:rsidR="00833E5A" w:rsidRDefault="00833E5A">
      <w:pPr>
        <w:rPr>
          <w:color w:val="000000" w:themeColor="text1"/>
        </w:rPr>
      </w:pPr>
    </w:p>
    <w:p w14:paraId="6F52BCD7" w14:textId="77777777" w:rsidR="00833E5A" w:rsidRDefault="00833E5A">
      <w:pPr>
        <w:rPr>
          <w:color w:val="000000" w:themeColor="text1"/>
        </w:rPr>
      </w:pPr>
    </w:p>
    <w:p w14:paraId="40F6F999" w14:textId="77777777" w:rsidR="00833E5A" w:rsidRDefault="00833E5A">
      <w:pPr>
        <w:rPr>
          <w:color w:val="000000" w:themeColor="text1"/>
        </w:rPr>
      </w:pPr>
    </w:p>
    <w:p w14:paraId="4821019E" w14:textId="77777777" w:rsidR="00833E5A" w:rsidRDefault="00833E5A">
      <w:pPr>
        <w:rPr>
          <w:color w:val="000000" w:themeColor="text1"/>
        </w:rPr>
      </w:pPr>
    </w:p>
    <w:p w14:paraId="5E37CE44" w14:textId="77777777" w:rsidR="00833E5A" w:rsidRDefault="00833E5A">
      <w:pPr>
        <w:rPr>
          <w:color w:val="000000" w:themeColor="text1"/>
        </w:rPr>
      </w:pPr>
    </w:p>
    <w:p w14:paraId="366BF656" w14:textId="77777777" w:rsidR="00833E5A" w:rsidRDefault="00833E5A">
      <w:pPr>
        <w:rPr>
          <w:color w:val="000000" w:themeColor="text1"/>
        </w:rPr>
      </w:pPr>
    </w:p>
    <w:p w14:paraId="59A02AEF" w14:textId="77777777" w:rsidR="00833E5A" w:rsidRDefault="00833E5A">
      <w:pPr>
        <w:rPr>
          <w:color w:val="000000" w:themeColor="text1"/>
        </w:rPr>
      </w:pPr>
    </w:p>
    <w:p w14:paraId="1C082D2C" w14:textId="77777777" w:rsidR="00833E5A" w:rsidRDefault="00833E5A">
      <w:pPr>
        <w:rPr>
          <w:color w:val="000000" w:themeColor="text1"/>
        </w:rPr>
      </w:pPr>
    </w:p>
    <w:p w14:paraId="00A52D8F" w14:textId="77777777" w:rsidR="00833E5A" w:rsidRDefault="00833E5A">
      <w:pPr>
        <w:rPr>
          <w:color w:val="000000" w:themeColor="text1"/>
        </w:rPr>
      </w:pPr>
    </w:p>
    <w:p w14:paraId="2CB20158" w14:textId="77777777" w:rsidR="00833E5A" w:rsidRDefault="00833E5A">
      <w:pPr>
        <w:rPr>
          <w:color w:val="000000" w:themeColor="text1"/>
        </w:rPr>
      </w:pPr>
    </w:p>
    <w:p w14:paraId="6C060F77" w14:textId="77777777" w:rsidR="00833E5A" w:rsidRPr="000D3D5F" w:rsidRDefault="00833E5A">
      <w:pPr>
        <w:rPr>
          <w:color w:val="000000" w:themeColor="text1"/>
        </w:rPr>
      </w:pPr>
    </w:p>
    <w:p w14:paraId="0000001D" w14:textId="77777777" w:rsidR="006864E3" w:rsidRDefault="00BC4AC1">
      <w:pPr>
        <w:pStyle w:val="Heading3"/>
      </w:pPr>
      <w:bookmarkStart w:id="2" w:name="_Toc139410301"/>
      <w:bookmarkStart w:id="3" w:name="_Toc139639451"/>
      <w:r>
        <w:lastRenderedPageBreak/>
        <w:t>Introduction</w:t>
      </w:r>
      <w:bookmarkEnd w:id="2"/>
      <w:bookmarkEnd w:id="3"/>
    </w:p>
    <w:p w14:paraId="3D8C22F9" w14:textId="4BB4BF5E" w:rsidR="004D5979" w:rsidRDefault="004D5979" w:rsidP="004D5979">
      <w:r>
        <w:t xml:space="preserve">Place-based decarbonisation refers to reducing greenhouse gas emissions and transitioning towards a low-carbon economy at various spatial scales. This approach recognises that </w:t>
      </w:r>
      <w:proofErr w:type="gramStart"/>
      <w:r>
        <w:t>different places</w:t>
      </w:r>
      <w:proofErr w:type="gramEnd"/>
      <w:r>
        <w:t xml:space="preserve"> have different opportunities and challenges when it comes to reducing emissions and transitioning to renewable energy sources. Both the recent Skidmore Review</w:t>
      </w:r>
      <w:r>
        <w:rPr>
          <w:vertAlign w:val="superscript"/>
        </w:rPr>
        <w:footnoteReference w:id="1"/>
      </w:r>
      <w:r>
        <w:t xml:space="preserve"> and Climate Change Committee</w:t>
      </w:r>
      <w:r>
        <w:rPr>
          <w:vertAlign w:val="superscript"/>
        </w:rPr>
        <w:footnoteReference w:id="2"/>
      </w:r>
      <w:r>
        <w:t xml:space="preserve"> reports emphasise</w:t>
      </w:r>
      <w:r w:rsidR="009C3262">
        <w:t>d</w:t>
      </w:r>
      <w:r>
        <w:t xml:space="preserve"> the need for place-based decarbonisation to drive ambitious local action across the UK. Place-based transitions also have the potential to offer lower-cost decarbonisation, with greater social benefits (</w:t>
      </w:r>
      <w:r w:rsidR="009C3262">
        <w:t xml:space="preserve">though largely expressed by government </w:t>
      </w:r>
      <w:r>
        <w:t>in economic terms)</w:t>
      </w:r>
      <w:r>
        <w:rPr>
          <w:vertAlign w:val="superscript"/>
        </w:rPr>
        <w:footnoteReference w:id="3"/>
      </w:r>
      <w:r>
        <w:t>. The Climate Change Committee sees the importance of recognising the local challenges and enablers for action as crucial for climate action by local areas</w:t>
      </w:r>
      <w:r>
        <w:rPr>
          <w:vertAlign w:val="superscript"/>
        </w:rPr>
        <w:footnoteReference w:id="4"/>
      </w:r>
      <w:r>
        <w:t>.</w:t>
      </w:r>
      <w:r w:rsidR="009C3262">
        <w:t xml:space="preserve"> An example of how the</w:t>
      </w:r>
      <w:r>
        <w:t xml:space="preserve"> UK </w:t>
      </w:r>
      <w:r w:rsidR="009C3262">
        <w:t>g</w:t>
      </w:r>
      <w:r>
        <w:t>overnment</w:t>
      </w:r>
      <w:r w:rsidR="009C3262">
        <w:t xml:space="preserve"> characterises </w:t>
      </w:r>
      <w:r w:rsidR="00F865C3">
        <w:t xml:space="preserve">local action can </w:t>
      </w:r>
      <w:proofErr w:type="gramStart"/>
      <w:r w:rsidR="00F865C3">
        <w:t>be seen</w:t>
      </w:r>
      <w:proofErr w:type="gramEnd"/>
      <w:r w:rsidR="00F865C3">
        <w:t xml:space="preserve"> in </w:t>
      </w:r>
      <w:r>
        <w:t>March 2023</w:t>
      </w:r>
      <w:r w:rsidR="00F865C3">
        <w:t>’s</w:t>
      </w:r>
      <w:r>
        <w:t xml:space="preserve"> </w:t>
      </w:r>
      <w:r w:rsidRPr="00B036F0">
        <w:rPr>
          <w:i/>
          <w:iCs/>
        </w:rPr>
        <w:t>Powering Up Britain – The Net Zero Growth Plan</w:t>
      </w:r>
      <w:r>
        <w:t>:</w:t>
      </w:r>
    </w:p>
    <w:p w14:paraId="44267622" w14:textId="77777777" w:rsidR="004D5979" w:rsidRDefault="004D5979" w:rsidP="004D5979">
      <w:pPr>
        <w:spacing w:before="240" w:after="240"/>
        <w:ind w:left="720"/>
        <w:rPr>
          <w:b/>
        </w:rPr>
      </w:pPr>
      <w:r>
        <w:rPr>
          <w:b/>
        </w:rPr>
        <w:t xml:space="preserve">“Local areas play an integral role in supporting the transition to net zero. </w:t>
      </w:r>
      <w:r>
        <w:t xml:space="preserve">Local authorities have strong powers, assets, and responsibilities across </w:t>
      </w:r>
      <w:proofErr w:type="gramStart"/>
      <w:r>
        <w:t>many</w:t>
      </w:r>
      <w:proofErr w:type="gramEnd"/>
      <w:r>
        <w:t xml:space="preserve"> of the areas where emissions reductions are needed, and civil society organisations can enable communities to take collective action to accelerate the net zero transition in their neighbourhoods. Local government is also uniquely placed to attract private sector net zero investment that </w:t>
      </w:r>
      <w:proofErr w:type="gramStart"/>
      <w:r>
        <w:t>wouldn’t</w:t>
      </w:r>
      <w:proofErr w:type="gramEnd"/>
      <w:r>
        <w:t xml:space="preserve"> otherwise be obtained; maximising the local opportunities the transition will bring, such as the growth of green jobs and skills.”</w:t>
      </w:r>
      <w:r>
        <w:rPr>
          <w:vertAlign w:val="superscript"/>
        </w:rPr>
        <w:footnoteReference w:id="5"/>
      </w:r>
      <w:r>
        <w:t xml:space="preserve"> </w:t>
      </w:r>
    </w:p>
    <w:p w14:paraId="128EE1BA" w14:textId="366E31D0" w:rsidR="004D5979" w:rsidRDefault="004D5979" w:rsidP="004D5979">
      <w:r>
        <w:t xml:space="preserve">In this view, place-based decarbonisation is a model of decentralised governance which encourages networking between local organisations to produce incremental changes at the local scale. Local government is central to this approach by developing climate action plans and orchestrating coordinated local action between institutions and groups. This is a technocratic, depoliticised conception of the role and potential of the local scale and it can </w:t>
      </w:r>
      <w:proofErr w:type="gramStart"/>
      <w:r>
        <w:t>be contrasted</w:t>
      </w:r>
      <w:proofErr w:type="gramEnd"/>
      <w:r>
        <w:t xml:space="preserve"> with the more radical view of various environmental movements that seek to produce more transformational change through local action</w:t>
      </w:r>
      <w:r>
        <w:rPr>
          <w:rStyle w:val="FootnoteReference"/>
        </w:rPr>
        <w:footnoteReference w:id="6"/>
      </w:r>
      <w:r>
        <w:t xml:space="preserve">. These are two archetypes </w:t>
      </w:r>
      <w:r w:rsidR="00F865C3">
        <w:t>for identifying</w:t>
      </w:r>
      <w:r>
        <w:t xml:space="preserve"> the differences between the dominant government discourse on net zero and more radical projects which seek to transcend materialist, growth-centred political projects. </w:t>
      </w:r>
      <w:r w:rsidR="00F865C3">
        <w:t xml:space="preserve">While the latter approaches contain </w:t>
      </w:r>
      <w:proofErr w:type="gramStart"/>
      <w:r w:rsidR="00F865C3">
        <w:t>much</w:t>
      </w:r>
      <w:proofErr w:type="gramEnd"/>
      <w:r w:rsidR="00F865C3">
        <w:t xml:space="preserve"> that is imaginative in challenging economic orthodoxy and dominant systems of production, o</w:t>
      </w:r>
      <w:r>
        <w:t>ur concern in this paper is</w:t>
      </w:r>
      <w:r w:rsidR="00F865C3">
        <w:t xml:space="preserve"> </w:t>
      </w:r>
      <w:r>
        <w:t>to explore the ways in which the government</w:t>
      </w:r>
      <w:r w:rsidR="00F865C3">
        <w:t>-centred</w:t>
      </w:r>
      <w:r>
        <w:t xml:space="preserve"> model</w:t>
      </w:r>
      <w:r w:rsidR="00F865C3">
        <w:t xml:space="preserve"> </w:t>
      </w:r>
      <w:r>
        <w:t xml:space="preserve">is materialising on the ground. </w:t>
      </w:r>
      <w:r w:rsidR="00F865C3">
        <w:t>This is important because while p</w:t>
      </w:r>
      <w:r>
        <w:t>lace-based solutions are much vaunted</w:t>
      </w:r>
      <w:r w:rsidR="00F865C3">
        <w:t>,</w:t>
      </w:r>
      <w:r>
        <w:t xml:space="preserve"> </w:t>
      </w:r>
      <w:r w:rsidR="00F865C3">
        <w:t>there is</w:t>
      </w:r>
      <w:r>
        <w:t xml:space="preserve"> little agreement on what institutional and leadership form this can and should take. There is hence a need to </w:t>
      </w:r>
      <w:r>
        <w:lastRenderedPageBreak/>
        <w:t xml:space="preserve">better understand the </w:t>
      </w:r>
      <w:proofErr w:type="gramStart"/>
      <w:r>
        <w:t>important role</w:t>
      </w:r>
      <w:proofErr w:type="gramEnd"/>
      <w:r>
        <w:t xml:space="preserve"> of governance, its uneven geographies, and the agency open to subnational governments in England in driving net zero action. We seek to examine the variegated forms of local activities emerging in different areas and assess whether current policies directed towards the net zero transition are adequate to address the overlapping and systemic dangers of climate change. This paper offers an overview of the challenge of developing a policy framework that could support a context-sensitive, place-based net zero transition. </w:t>
      </w:r>
    </w:p>
    <w:p w14:paraId="575C80F4" w14:textId="77777777" w:rsidR="004D5979" w:rsidRDefault="004D5979" w:rsidP="00B036F0">
      <w:pPr>
        <w:shd w:val="clear" w:color="auto" w:fill="FFFFFF" w:themeFill="background1"/>
      </w:pPr>
    </w:p>
    <w:p w14:paraId="00000027" w14:textId="294F524F" w:rsidR="006864E3" w:rsidRDefault="00BC4AC1" w:rsidP="00B036F0">
      <w:pPr>
        <w:shd w:val="clear" w:color="auto" w:fill="FFFFFF" w:themeFill="background1"/>
      </w:pPr>
      <w:r>
        <w:t xml:space="preserve">The paper is organised into three parts. The first part offers an overview of the </w:t>
      </w:r>
      <w:r w:rsidR="009F2F6C">
        <w:t>governance and</w:t>
      </w:r>
      <w:r>
        <w:t xml:space="preserve"> policy context</w:t>
      </w:r>
      <w:r w:rsidR="00F865C3">
        <w:t xml:space="preserve"> for place-based </w:t>
      </w:r>
      <w:r w:rsidR="000C6E91">
        <w:t>decarbonisation</w:t>
      </w:r>
      <w:r>
        <w:t xml:space="preserve">, focusing particularly on the existing structures, </w:t>
      </w:r>
      <w:proofErr w:type="gramStart"/>
      <w:r>
        <w:t>processes</w:t>
      </w:r>
      <w:proofErr w:type="gramEnd"/>
      <w:r>
        <w:t xml:space="preserve"> and policies</w:t>
      </w:r>
      <w:r w:rsidR="000C6E91">
        <w:t xml:space="preserve"> for supporting the transition</w:t>
      </w:r>
      <w:r>
        <w:t xml:space="preserve">, particularly as these </w:t>
      </w:r>
      <w:r w:rsidR="006413EC">
        <w:t>apply to</w:t>
      </w:r>
      <w:r>
        <w:t xml:space="preserve"> </w:t>
      </w:r>
      <w:r w:rsidR="006413EC">
        <w:t xml:space="preserve">varying </w:t>
      </w:r>
      <w:r>
        <w:t>geographical scales</w:t>
      </w:r>
      <w:r w:rsidR="009F2F6C">
        <w:t xml:space="preserve"> and issues of environmental justice</w:t>
      </w:r>
      <w:r>
        <w:t>. In the second part, we draw upon recent fieldwork which engaged with local actors from four areas of the Midlands to understand the current state of net zero governance. We conclude by exploring how our research can inform the broader net zero governance landscape</w:t>
      </w:r>
      <w:r w:rsidR="009D125A">
        <w:t xml:space="preserve"> and what governance system could </w:t>
      </w:r>
      <w:proofErr w:type="gramStart"/>
      <w:r w:rsidR="009D125A">
        <w:t>be developed</w:t>
      </w:r>
      <w:proofErr w:type="gramEnd"/>
      <w:r w:rsidR="009D125A">
        <w:t xml:space="preserve"> to address the challenges of multi-scale governance for net zero</w:t>
      </w:r>
      <w:r>
        <w:t>.</w:t>
      </w:r>
    </w:p>
    <w:p w14:paraId="00000028" w14:textId="77777777" w:rsidR="006864E3" w:rsidRDefault="006864E3">
      <w:pPr>
        <w:shd w:val="clear" w:color="auto" w:fill="FFFFFF"/>
      </w:pPr>
    </w:p>
    <w:p w14:paraId="13AA8C5B" w14:textId="06B65FAC" w:rsidR="00F865C3" w:rsidRPr="00F865C3" w:rsidRDefault="00BC4AC1" w:rsidP="00F865C3">
      <w:pPr>
        <w:pStyle w:val="Heading3"/>
        <w:shd w:val="clear" w:color="auto" w:fill="FFFFFF"/>
        <w:rPr>
          <w:b/>
        </w:rPr>
      </w:pPr>
      <w:bookmarkStart w:id="4" w:name="_Toc139410302"/>
      <w:bookmarkStart w:id="5" w:name="_Toc139639452"/>
      <w:r>
        <w:t>Policy context</w:t>
      </w:r>
      <w:bookmarkEnd w:id="4"/>
      <w:bookmarkEnd w:id="5"/>
    </w:p>
    <w:p w14:paraId="0000002A" w14:textId="1396519A" w:rsidR="006864E3" w:rsidRDefault="00103732">
      <w:pPr>
        <w:pStyle w:val="Heading4"/>
        <w:shd w:val="clear" w:color="auto" w:fill="FFFFFF"/>
      </w:pPr>
      <w:bookmarkStart w:id="6" w:name="_Toc139410303"/>
      <w:bookmarkStart w:id="7" w:name="_Toc139639453"/>
      <w:r>
        <w:t>The changing nature of governance in the UK</w:t>
      </w:r>
      <w:bookmarkEnd w:id="6"/>
      <w:bookmarkEnd w:id="7"/>
    </w:p>
    <w:p w14:paraId="3C913278" w14:textId="77777777" w:rsidR="00F865C3" w:rsidRDefault="00F865C3" w:rsidP="00B036F0">
      <w:pPr>
        <w:shd w:val="clear" w:color="auto" w:fill="FFFFFF" w:themeFill="background1"/>
      </w:pPr>
    </w:p>
    <w:p w14:paraId="4B3F5623" w14:textId="5B2AD64E" w:rsidR="00103732" w:rsidRDefault="00BC4AC1" w:rsidP="00B036F0">
      <w:pPr>
        <w:shd w:val="clear" w:color="auto" w:fill="FFFFFF" w:themeFill="background1"/>
      </w:pPr>
      <w:r>
        <w:t>Alongside commitments to reduce emissions in line with their pledged Nationally Determined Contributions (NDCs), the UK has pledged to reduce emissions to net zero by 2050</w:t>
      </w:r>
      <w:r>
        <w:rPr>
          <w:vertAlign w:val="superscript"/>
        </w:rPr>
        <w:footnoteReference w:id="7"/>
      </w:r>
      <w:r>
        <w:t>. However, action and policy do not currently align with commitments as evidenced by the 2022 High Court</w:t>
      </w:r>
      <w:r>
        <w:rPr>
          <w:vertAlign w:val="superscript"/>
        </w:rPr>
        <w:footnoteReference w:id="8"/>
      </w:r>
      <w:r>
        <w:t xml:space="preserve"> ruling against the UK government for an inadequate net zero strategy with a lack of policy in place to reach their targets. </w:t>
      </w:r>
      <w:r w:rsidR="000C6E91">
        <w:t>In the UK emissions come from a variety of sectors with 25% of all emissions linked to energy supply, 18% from business, 34% from transports and 17% from domestic properties</w:t>
      </w:r>
      <w:r w:rsidR="000C6E91">
        <w:rPr>
          <w:vertAlign w:val="superscript"/>
        </w:rPr>
        <w:footnoteReference w:id="9"/>
      </w:r>
      <w:r w:rsidR="000C6E91">
        <w:t xml:space="preserve">. </w:t>
      </w:r>
      <w:r>
        <w:t xml:space="preserve">To keep global warming below the critical threshold of 1.5 degrees </w:t>
      </w:r>
      <w:r w:rsidR="006413EC">
        <w:t>Celsius</w:t>
      </w:r>
      <w:r>
        <w:rPr>
          <w:vertAlign w:val="superscript"/>
        </w:rPr>
        <w:footnoteReference w:id="10"/>
      </w:r>
      <w:r>
        <w:t xml:space="preserve"> rapid decarbonisation must occur</w:t>
      </w:r>
      <w:r w:rsidR="006413EC">
        <w:t>.</w:t>
      </w:r>
      <w:r>
        <w:t xml:space="preserve"> </w:t>
      </w:r>
      <w:r w:rsidR="006413EC">
        <w:t xml:space="preserve">This </w:t>
      </w:r>
      <w:r>
        <w:t xml:space="preserve">requires </w:t>
      </w:r>
      <w:proofErr w:type="gramStart"/>
      <w:r>
        <w:t>different ways</w:t>
      </w:r>
      <w:proofErr w:type="gramEnd"/>
      <w:r>
        <w:t xml:space="preserve"> of working and the need for dynamic, collaborative relationships across different spatial and temporal units</w:t>
      </w:r>
      <w:r>
        <w:rPr>
          <w:vertAlign w:val="superscript"/>
        </w:rPr>
        <w:footnoteReference w:id="11"/>
      </w:r>
      <w:r>
        <w:rPr>
          <w:vertAlign w:val="superscript"/>
        </w:rPr>
        <w:footnoteReference w:id="12"/>
      </w:r>
      <w:r>
        <w:t xml:space="preserve">. </w:t>
      </w:r>
      <w:r w:rsidR="000C6E91">
        <w:t>This need for multi</w:t>
      </w:r>
      <w:r w:rsidR="000D3D5F">
        <w:t>-</w:t>
      </w:r>
      <w:r w:rsidR="000C6E91">
        <w:t xml:space="preserve">scale action has long </w:t>
      </w:r>
      <w:proofErr w:type="gramStart"/>
      <w:r w:rsidR="000C6E91">
        <w:t>been recognised</w:t>
      </w:r>
      <w:proofErr w:type="gramEnd"/>
      <w:r w:rsidR="000C6E91">
        <w:t xml:space="preserve"> in </w:t>
      </w:r>
      <w:r>
        <w:t>academic debates</w:t>
      </w:r>
      <w:r w:rsidR="000C6E91">
        <w:t xml:space="preserve">, and it is increasingly becoming incorporated into public policy agendas. The increasing prominence of the </w:t>
      </w:r>
      <w:r w:rsidR="007934E0">
        <w:t>concept of</w:t>
      </w:r>
      <w:r w:rsidR="000C6E91">
        <w:t xml:space="preserve"> polycentricity</w:t>
      </w:r>
      <w:r w:rsidR="007934E0">
        <w:t xml:space="preserve"> – in both academic debates </w:t>
      </w:r>
      <w:r w:rsidR="00103732">
        <w:t>and</w:t>
      </w:r>
      <w:r w:rsidR="007934E0">
        <w:t xml:space="preserve"> increasingly in policy practice – is indicative of</w:t>
      </w:r>
      <w:r w:rsidR="006E61E5">
        <w:t xml:space="preserve"> the growing </w:t>
      </w:r>
      <w:r w:rsidR="000C6E91">
        <w:t xml:space="preserve">recognition of </w:t>
      </w:r>
      <w:r w:rsidR="007934E0">
        <w:t xml:space="preserve">the need to </w:t>
      </w:r>
      <w:r w:rsidR="006E61E5">
        <w:t xml:space="preserve">work </w:t>
      </w:r>
      <w:r w:rsidR="006E61E5">
        <w:lastRenderedPageBreak/>
        <w:t xml:space="preserve">across different scales, particularly the importance of </w:t>
      </w:r>
      <w:r w:rsidR="007934E0">
        <w:t>local-scale</w:t>
      </w:r>
      <w:r w:rsidR="006E61E5">
        <w:t xml:space="preserve"> experimentation with systems of governance</w:t>
      </w:r>
      <w:r w:rsidR="006E61E5">
        <w:rPr>
          <w:rStyle w:val="FootnoteReference"/>
        </w:rPr>
        <w:footnoteReference w:id="13"/>
      </w:r>
      <w:r w:rsidR="007934E0">
        <w:t xml:space="preserve">. </w:t>
      </w:r>
    </w:p>
    <w:p w14:paraId="249C734F" w14:textId="77777777" w:rsidR="00103732" w:rsidRDefault="00103732" w:rsidP="00B036F0">
      <w:pPr>
        <w:shd w:val="clear" w:color="auto" w:fill="FFFFFF" w:themeFill="background1"/>
      </w:pPr>
    </w:p>
    <w:p w14:paraId="6B8DB156" w14:textId="2F41A5E1" w:rsidR="00103732" w:rsidRDefault="1251066C" w:rsidP="1D6FAAA3">
      <w:pPr>
        <w:shd w:val="clear" w:color="auto" w:fill="FFFFFF" w:themeFill="background1"/>
        <w:rPr>
          <w:color w:val="FF0000"/>
        </w:rPr>
      </w:pPr>
      <w:r>
        <w:t>England offers a challenging case for place-based decarbonisation as it has one of the most centralised governance structures in the developed world</w:t>
      </w:r>
      <w:r w:rsidR="00103732">
        <w:rPr>
          <w:vertAlign w:val="superscript"/>
        </w:rPr>
        <w:footnoteReference w:id="14"/>
      </w:r>
      <w:r>
        <w:t>.</w:t>
      </w:r>
      <w:r w:rsidRPr="004D5979">
        <w:rPr>
          <w:color w:val="FF0000"/>
        </w:rPr>
        <w:t xml:space="preserve"> </w:t>
      </w:r>
      <w:r>
        <w:t>D</w:t>
      </w:r>
      <w:r w:rsidR="5868C3C9">
        <w:t>espite this growing acceptance of polycentric approaches, there remain contrasting interpretations of the role of the local scale by governments but also how different localities see their own potential role in terms of experimenting with new policies and techni</w:t>
      </w:r>
      <w:r w:rsidR="5868C3C9" w:rsidRPr="00103732">
        <w:rPr>
          <w:color w:val="000000" w:themeColor="text1"/>
        </w:rPr>
        <w:t>cal innovations or being policy takers, waiting for national or regional governmental leadership.</w:t>
      </w:r>
      <w:r w:rsidR="4192B945" w:rsidRPr="00103732">
        <w:rPr>
          <w:color w:val="000000" w:themeColor="text1"/>
        </w:rPr>
        <w:t xml:space="preserve"> </w:t>
      </w:r>
      <w:r w:rsidR="7FC97C72" w:rsidRPr="00103732">
        <w:rPr>
          <w:color w:val="000000" w:themeColor="text1"/>
        </w:rPr>
        <w:t xml:space="preserve">In devising place-based action, there is </w:t>
      </w:r>
      <w:r w:rsidRPr="00103732">
        <w:rPr>
          <w:color w:val="000000" w:themeColor="text1"/>
        </w:rPr>
        <w:t xml:space="preserve">hence </w:t>
      </w:r>
      <w:r w:rsidR="7FC97C72" w:rsidRPr="00103732">
        <w:rPr>
          <w:color w:val="000000" w:themeColor="text1"/>
        </w:rPr>
        <w:t>a tension between policy agendas often set in Westminster and Whitehall and locally coordinated action between actors concerned with achieving decarbonisation. Both the Climate Change Committee</w:t>
      </w:r>
      <w:r w:rsidR="00383859" w:rsidRPr="00103732">
        <w:rPr>
          <w:color w:val="000000" w:themeColor="text1"/>
          <w:vertAlign w:val="superscript"/>
        </w:rPr>
        <w:footnoteReference w:id="15"/>
      </w:r>
      <w:r w:rsidR="7FC97C72" w:rsidRPr="00103732">
        <w:rPr>
          <w:color w:val="000000" w:themeColor="text1"/>
        </w:rPr>
        <w:t xml:space="preserve"> and Skidmore Review</w:t>
      </w:r>
      <w:r w:rsidR="00383859" w:rsidRPr="00103732">
        <w:rPr>
          <w:color w:val="000000" w:themeColor="text1"/>
          <w:vertAlign w:val="superscript"/>
        </w:rPr>
        <w:footnoteReference w:id="16"/>
      </w:r>
      <w:r w:rsidR="7FC97C72" w:rsidRPr="00103732">
        <w:rPr>
          <w:color w:val="000000" w:themeColor="text1"/>
        </w:rPr>
        <w:t xml:space="preserve"> recommend that the role of local authorities as leaders in this challenge should be enhanced, due to their understanding of their ‘place</w:t>
      </w:r>
      <w:proofErr w:type="gramStart"/>
      <w:r w:rsidR="7FC97C72" w:rsidRPr="00103732">
        <w:rPr>
          <w:color w:val="000000" w:themeColor="text1"/>
        </w:rPr>
        <w:t>’.</w:t>
      </w:r>
      <w:proofErr w:type="gramEnd"/>
      <w:r w:rsidR="7FC97C72" w:rsidRPr="00103732">
        <w:rPr>
          <w:color w:val="000000" w:themeColor="text1"/>
        </w:rPr>
        <w:t xml:space="preserve"> In their 2020 report on local authorities, the Climate Change Committee</w:t>
      </w:r>
      <w:r w:rsidR="00383859" w:rsidRPr="00103732">
        <w:rPr>
          <w:color w:val="000000" w:themeColor="text1"/>
          <w:vertAlign w:val="superscript"/>
        </w:rPr>
        <w:footnoteReference w:id="17"/>
      </w:r>
      <w:r w:rsidR="7FC97C72" w:rsidRPr="00103732">
        <w:rPr>
          <w:color w:val="000000" w:themeColor="text1"/>
        </w:rPr>
        <w:t xml:space="preserve">, notes that local authorities have the capacity to influence </w:t>
      </w:r>
      <w:proofErr w:type="gramStart"/>
      <w:r w:rsidR="7FC97C72" w:rsidRPr="00103732">
        <w:rPr>
          <w:color w:val="000000" w:themeColor="text1"/>
        </w:rPr>
        <w:t>roughly one-third</w:t>
      </w:r>
      <w:proofErr w:type="gramEnd"/>
      <w:r w:rsidR="7FC97C72" w:rsidRPr="00103732">
        <w:rPr>
          <w:color w:val="000000" w:themeColor="text1"/>
        </w:rPr>
        <w:t xml:space="preserve"> of local emissions (through their </w:t>
      </w:r>
      <w:r w:rsidR="64B7E7FB">
        <w:rPr>
          <w:color w:val="000000" w:themeColor="text1"/>
        </w:rPr>
        <w:t>operational</w:t>
      </w:r>
      <w:r w:rsidR="64B7E7FB" w:rsidRPr="00103732">
        <w:rPr>
          <w:color w:val="000000" w:themeColor="text1"/>
        </w:rPr>
        <w:t xml:space="preserve"> </w:t>
      </w:r>
      <w:r w:rsidR="7FC97C72" w:rsidRPr="00103732">
        <w:rPr>
          <w:color w:val="000000" w:themeColor="text1"/>
        </w:rPr>
        <w:t xml:space="preserve">activities and other local engagement and influencing activities). However, in practice, local authorities, particularly two-tier authorities, </w:t>
      </w:r>
      <w:proofErr w:type="gramStart"/>
      <w:r w:rsidRPr="00103732">
        <w:rPr>
          <w:color w:val="000000" w:themeColor="text1"/>
        </w:rPr>
        <w:t>are</w:t>
      </w:r>
      <w:r w:rsidR="7FC97C72" w:rsidRPr="00103732">
        <w:rPr>
          <w:color w:val="000000" w:themeColor="text1"/>
        </w:rPr>
        <w:t xml:space="preserve"> </w:t>
      </w:r>
      <w:r w:rsidRPr="00103732">
        <w:rPr>
          <w:color w:val="000000" w:themeColor="text1"/>
        </w:rPr>
        <w:t>constrained</w:t>
      </w:r>
      <w:proofErr w:type="gramEnd"/>
      <w:r w:rsidR="7FC97C72" w:rsidRPr="00103732">
        <w:rPr>
          <w:color w:val="000000" w:themeColor="text1"/>
        </w:rPr>
        <w:t xml:space="preserve"> </w:t>
      </w:r>
      <w:r w:rsidRPr="00103732">
        <w:rPr>
          <w:color w:val="000000" w:themeColor="text1"/>
        </w:rPr>
        <w:t>in</w:t>
      </w:r>
      <w:r w:rsidR="7FC97C72" w:rsidRPr="00103732">
        <w:rPr>
          <w:color w:val="000000" w:themeColor="text1"/>
        </w:rPr>
        <w:t xml:space="preserve"> their legal powers with many unable to leverage action on key areas such as transport and agriculture</w:t>
      </w:r>
      <w:r w:rsidR="00012AFE">
        <w:rPr>
          <w:color w:val="000000" w:themeColor="text1"/>
        </w:rPr>
        <w:t>.</w:t>
      </w:r>
      <w:r w:rsidR="2B45F9A5" w:rsidRPr="00103732">
        <w:rPr>
          <w:color w:val="000000" w:themeColor="text1"/>
        </w:rPr>
        <w:t xml:space="preserve"> </w:t>
      </w:r>
      <w:r w:rsidR="00012AFE">
        <w:rPr>
          <w:color w:val="000000" w:themeColor="text1"/>
        </w:rPr>
        <w:t>Hence, this</w:t>
      </w:r>
      <w:r w:rsidR="2B45F9A5" w:rsidRPr="00103732">
        <w:rPr>
          <w:color w:val="000000" w:themeColor="text1"/>
        </w:rPr>
        <w:t xml:space="preserve"> limit</w:t>
      </w:r>
      <w:r w:rsidR="00012AFE">
        <w:rPr>
          <w:color w:val="000000" w:themeColor="text1"/>
        </w:rPr>
        <w:t>s the potential for</w:t>
      </w:r>
      <w:r w:rsidR="2B45F9A5" w:rsidRPr="00103732">
        <w:rPr>
          <w:color w:val="000000" w:themeColor="text1"/>
        </w:rPr>
        <w:t xml:space="preserve"> policy </w:t>
      </w:r>
      <w:r w:rsidR="2B45F9A5" w:rsidRPr="1D6FAAA3">
        <w:rPr>
          <w:color w:val="000000" w:themeColor="text1"/>
        </w:rPr>
        <w:t xml:space="preserve">innovation as local areas have limited scope for niche policy development, which could then enter mainstream policy discourse. </w:t>
      </w:r>
      <w:r w:rsidR="7FC97C72" w:rsidRPr="00103732">
        <w:rPr>
          <w:color w:val="000000" w:themeColor="text1"/>
        </w:rPr>
        <w:t xml:space="preserve">These constraints </w:t>
      </w:r>
      <w:proofErr w:type="gramStart"/>
      <w:r w:rsidR="7FC97C72" w:rsidRPr="00103732">
        <w:rPr>
          <w:color w:val="000000" w:themeColor="text1"/>
        </w:rPr>
        <w:t>are recognised</w:t>
      </w:r>
      <w:proofErr w:type="gramEnd"/>
      <w:r w:rsidR="7FC97C72" w:rsidRPr="00103732">
        <w:rPr>
          <w:color w:val="000000" w:themeColor="text1"/>
        </w:rPr>
        <w:t xml:space="preserve"> by the Climate Change Committee which adopts a realistic approach to local authorities as leaders, recognising local authority major budgetary constraints as a limiting factor for action and differing local powers. </w:t>
      </w:r>
    </w:p>
    <w:p w14:paraId="440D6FC6" w14:textId="77777777" w:rsidR="00364933" w:rsidRDefault="00364933" w:rsidP="00B036F0">
      <w:pPr>
        <w:shd w:val="clear" w:color="auto" w:fill="FFFFFF" w:themeFill="background1"/>
      </w:pPr>
    </w:p>
    <w:p w14:paraId="4CAF2F81" w14:textId="040003E6" w:rsidR="007C3962" w:rsidRDefault="00400F26" w:rsidP="00103732">
      <w:pPr>
        <w:shd w:val="clear" w:color="auto" w:fill="FFFFFF" w:themeFill="background1"/>
        <w:rPr>
          <w:color w:val="FF0000"/>
        </w:rPr>
      </w:pPr>
      <w:r>
        <w:t>To address these concerns, Westminster and Whitehall have enact</w:t>
      </w:r>
      <w:r w:rsidR="00103732">
        <w:t>ed</w:t>
      </w:r>
      <w:r>
        <w:t xml:space="preserve"> policies to devolve powers to different regions of England to potentially create more policy flexibility. By 2024, over 50% of England's population </w:t>
      </w:r>
      <w:proofErr w:type="gramStart"/>
      <w:r>
        <w:t>is expected</w:t>
      </w:r>
      <w:proofErr w:type="gramEnd"/>
      <w:r>
        <w:t xml:space="preserve"> to be covered by a mayoral devolution deal, </w:t>
      </w:r>
      <w:r w:rsidR="00D565F9">
        <w:t xml:space="preserve">a significant rise from </w:t>
      </w:r>
      <w:r>
        <w:t>20% in 2014</w:t>
      </w:r>
      <w:r>
        <w:rPr>
          <w:vertAlign w:val="superscript"/>
        </w:rPr>
        <w:footnoteReference w:id="18"/>
      </w:r>
      <w:r>
        <w:t xml:space="preserve">. </w:t>
      </w:r>
      <w:r w:rsidR="007C3962" w:rsidRPr="007C3962">
        <w:rPr>
          <w:color w:val="000000" w:themeColor="text1"/>
        </w:rPr>
        <w:t>The Department for Levelling Up, Housing and Communities sees mayors as key strong local leaders in these devolved areas</w:t>
      </w:r>
      <w:r w:rsidR="007C3962" w:rsidRPr="007C3962">
        <w:rPr>
          <w:color w:val="000000" w:themeColor="text1"/>
          <w:vertAlign w:val="superscript"/>
        </w:rPr>
        <w:footnoteReference w:id="19"/>
      </w:r>
      <w:r w:rsidR="007C3962" w:rsidRPr="007C3962">
        <w:rPr>
          <w:color w:val="000000" w:themeColor="text1"/>
        </w:rPr>
        <w:t xml:space="preserve"> and a key element of delivering on the goal of levelling.</w:t>
      </w:r>
      <w:r w:rsidR="00EC7470">
        <w:rPr>
          <w:color w:val="000000" w:themeColor="text1"/>
        </w:rPr>
        <w:t xml:space="preserve"> The</w:t>
      </w:r>
      <w:r w:rsidR="007C3962" w:rsidRPr="007C3962">
        <w:rPr>
          <w:color w:val="000000" w:themeColor="text1"/>
        </w:rPr>
        <w:t xml:space="preserve"> </w:t>
      </w:r>
      <w:r w:rsidR="00EC7470">
        <w:t xml:space="preserve">Skidmore Review echoes this view, </w:t>
      </w:r>
      <w:r w:rsidR="00482E13">
        <w:t>emphasizing</w:t>
      </w:r>
      <w:r w:rsidR="00EC7470">
        <w:t xml:space="preserve"> the importance of local leadership: “Each community will have a different path to net zero</w:t>
      </w:r>
      <w:proofErr w:type="gramStart"/>
      <w:r w:rsidR="00EC7470">
        <w:t>”.</w:t>
      </w:r>
      <w:proofErr w:type="gramEnd"/>
      <w:r w:rsidR="00EC7470">
        <w:t xml:space="preserve"> </w:t>
      </w:r>
      <w:r w:rsidR="00103732" w:rsidRPr="00103732">
        <w:rPr>
          <w:color w:val="000000" w:themeColor="text1"/>
        </w:rPr>
        <w:t>Skidmore highlights major metropolitan areas such as Manchester as exemplars</w:t>
      </w:r>
      <w:r w:rsidR="007C3962">
        <w:rPr>
          <w:color w:val="000000" w:themeColor="text1"/>
        </w:rPr>
        <w:t xml:space="preserve"> for achieving net zero</w:t>
      </w:r>
      <w:r w:rsidR="00103732" w:rsidRPr="00103732">
        <w:rPr>
          <w:color w:val="000000" w:themeColor="text1"/>
        </w:rPr>
        <w:t xml:space="preserve">, offering such areas as models of success which should </w:t>
      </w:r>
      <w:proofErr w:type="gramStart"/>
      <w:r w:rsidR="00103732" w:rsidRPr="00103732">
        <w:rPr>
          <w:color w:val="000000" w:themeColor="text1"/>
        </w:rPr>
        <w:t>be replicated</w:t>
      </w:r>
      <w:proofErr w:type="gramEnd"/>
      <w:r w:rsidR="00103732" w:rsidRPr="00103732">
        <w:rPr>
          <w:color w:val="000000" w:themeColor="text1"/>
        </w:rPr>
        <w:t xml:space="preserve">. </w:t>
      </w:r>
      <w:r w:rsidR="00022A6E">
        <w:t xml:space="preserve">This devolutionary process </w:t>
      </w:r>
      <w:r w:rsidR="007C3962">
        <w:t xml:space="preserve">in England </w:t>
      </w:r>
      <w:r w:rsidR="00022A6E">
        <w:t>has</w:t>
      </w:r>
      <w:r>
        <w:t xml:space="preserve"> been selective</w:t>
      </w:r>
      <w:r w:rsidR="00022A6E">
        <w:t xml:space="preserve"> and has</w:t>
      </w:r>
      <w:r>
        <w:t xml:space="preserve"> creat</w:t>
      </w:r>
      <w:r w:rsidR="00022A6E">
        <w:t>ed</w:t>
      </w:r>
      <w:r>
        <w:t xml:space="preserve"> a</w:t>
      </w:r>
      <w:r w:rsidR="00022A6E">
        <w:t xml:space="preserve"> complex and </w:t>
      </w:r>
      <w:r>
        <w:t xml:space="preserve">uneven </w:t>
      </w:r>
      <w:r w:rsidR="00022A6E">
        <w:t>system of multi</w:t>
      </w:r>
      <w:r w:rsidR="000D3D5F">
        <w:t>-</w:t>
      </w:r>
      <w:r w:rsidR="00022A6E">
        <w:t xml:space="preserve">scalar </w:t>
      </w:r>
      <w:r w:rsidR="00022A6E" w:rsidRPr="007C3962">
        <w:rPr>
          <w:color w:val="000000" w:themeColor="text1"/>
        </w:rPr>
        <w:t>governance</w:t>
      </w:r>
      <w:r w:rsidR="007C3962" w:rsidRPr="007C3962">
        <w:rPr>
          <w:color w:val="000000" w:themeColor="text1"/>
          <w:vertAlign w:val="superscript"/>
        </w:rPr>
        <w:footnoteReference w:id="20"/>
      </w:r>
      <w:r w:rsidR="00022A6E" w:rsidRPr="007C3962">
        <w:rPr>
          <w:color w:val="000000" w:themeColor="text1"/>
        </w:rPr>
        <w:t>.</w:t>
      </w:r>
      <w:r w:rsidR="00103732" w:rsidRPr="007C3962">
        <w:rPr>
          <w:color w:val="000000" w:themeColor="text1"/>
        </w:rPr>
        <w:t xml:space="preserve"> </w:t>
      </w:r>
      <w:r w:rsidR="00BC4AC1">
        <w:t>The interrelationship</w:t>
      </w:r>
      <w:r w:rsidR="00022A6E">
        <w:t>s</w:t>
      </w:r>
      <w:r w:rsidR="00BC4AC1">
        <w:t xml:space="preserve"> between local actors including local authorities</w:t>
      </w:r>
      <w:r w:rsidR="006602E0">
        <w:t>,</w:t>
      </w:r>
      <w:r w:rsidR="006602E0" w:rsidRPr="006602E0">
        <w:t xml:space="preserve"> </w:t>
      </w:r>
      <w:r w:rsidR="006602E0">
        <w:t>metro-mayors</w:t>
      </w:r>
      <w:r w:rsidR="00BC4AC1">
        <w:t xml:space="preserve">, </w:t>
      </w:r>
      <w:r w:rsidR="006602E0">
        <w:t xml:space="preserve">and other local actors </w:t>
      </w:r>
      <w:r w:rsidR="00BC4AC1">
        <w:t xml:space="preserve">are poorly </w:t>
      </w:r>
      <w:r w:rsidR="00BC4AC1">
        <w:lastRenderedPageBreak/>
        <w:t xml:space="preserve">defined </w:t>
      </w:r>
      <w:r w:rsidR="00022A6E">
        <w:t xml:space="preserve">and </w:t>
      </w:r>
      <w:r w:rsidR="00BC4AC1">
        <w:t xml:space="preserve">with </w:t>
      </w:r>
      <w:proofErr w:type="gramStart"/>
      <w:r w:rsidR="006413EC">
        <w:t>much</w:t>
      </w:r>
      <w:proofErr w:type="gramEnd"/>
      <w:r w:rsidR="006413EC">
        <w:t xml:space="preserve"> </w:t>
      </w:r>
      <w:r w:rsidR="00BC4AC1">
        <w:t>confusion about how</w:t>
      </w:r>
      <w:r w:rsidR="00022A6E">
        <w:t xml:space="preserve"> much</w:t>
      </w:r>
      <w:r w:rsidR="00BC4AC1">
        <w:t xml:space="preserve"> local </w:t>
      </w:r>
      <w:r w:rsidR="00022A6E">
        <w:t xml:space="preserve">areas can </w:t>
      </w:r>
      <w:r w:rsidR="00D565F9">
        <w:t xml:space="preserve">engage in policy </w:t>
      </w:r>
      <w:r w:rsidR="00022A6E">
        <w:t>innovat</w:t>
      </w:r>
      <w:r w:rsidR="00D565F9">
        <w:t>ion</w:t>
      </w:r>
      <w:r w:rsidR="00FC6E46">
        <w:t xml:space="preserve"> to develop place-based approaches</w:t>
      </w:r>
      <w:r w:rsidR="00022A6E">
        <w:t xml:space="preserve"> and how their</w:t>
      </w:r>
      <w:r w:rsidR="00BC4AC1">
        <w:t xml:space="preserve"> policies feed into national policy</w:t>
      </w:r>
      <w:r w:rsidR="00BC4AC1">
        <w:rPr>
          <w:vertAlign w:val="superscript"/>
        </w:rPr>
        <w:footnoteReference w:id="21"/>
      </w:r>
      <w:r w:rsidR="00BC4AC1">
        <w:t>.</w:t>
      </w:r>
      <w:r w:rsidR="00FC6E46">
        <w:t xml:space="preserve"> </w:t>
      </w:r>
      <w:r w:rsidR="007C3962" w:rsidRPr="007C3962">
        <w:rPr>
          <w:color w:val="000000" w:themeColor="text1"/>
        </w:rPr>
        <w:t xml:space="preserve">This asymmetrical process of spreading institutions and resources has not </w:t>
      </w:r>
      <w:proofErr w:type="gramStart"/>
      <w:r w:rsidR="007C3962" w:rsidRPr="007C3962">
        <w:rPr>
          <w:color w:val="000000" w:themeColor="text1"/>
        </w:rPr>
        <w:t>been ameliorated</w:t>
      </w:r>
      <w:proofErr w:type="gramEnd"/>
      <w:r w:rsidR="007C3962" w:rsidRPr="007C3962">
        <w:rPr>
          <w:color w:val="000000" w:themeColor="text1"/>
        </w:rPr>
        <w:t xml:space="preserve"> by the levelling up agenda, which has the declared aim of reducing regional inequality and improving the scope for local action. </w:t>
      </w:r>
      <w:r w:rsidR="008B3A22">
        <w:rPr>
          <w:color w:val="000000" w:themeColor="text1"/>
        </w:rPr>
        <w:t>A</w:t>
      </w:r>
      <w:r w:rsidR="007C3962" w:rsidRPr="007C3962">
        <w:rPr>
          <w:color w:val="000000" w:themeColor="text1"/>
        </w:rPr>
        <w:t xml:space="preserve"> recent assessment of the </w:t>
      </w:r>
      <w:r w:rsidR="00D565F9">
        <w:rPr>
          <w:color w:val="000000" w:themeColor="text1"/>
        </w:rPr>
        <w:t>levelling-up</w:t>
      </w:r>
      <w:r w:rsidR="007C3962" w:rsidRPr="007C3962">
        <w:rPr>
          <w:color w:val="000000" w:themeColor="text1"/>
        </w:rPr>
        <w:t xml:space="preserve"> process</w:t>
      </w:r>
      <w:r w:rsidR="007C3962" w:rsidRPr="007C3962">
        <w:rPr>
          <w:color w:val="000000" w:themeColor="text1"/>
          <w:vertAlign w:val="superscript"/>
        </w:rPr>
        <w:footnoteReference w:id="22"/>
      </w:r>
      <w:r w:rsidR="007C3962" w:rsidRPr="007C3962">
        <w:rPr>
          <w:color w:val="000000" w:themeColor="text1"/>
        </w:rPr>
        <w:t xml:space="preserve"> outlined </w:t>
      </w:r>
      <w:proofErr w:type="gramStart"/>
      <w:r w:rsidR="007C3962" w:rsidRPr="007C3962">
        <w:rPr>
          <w:color w:val="000000" w:themeColor="text1"/>
        </w:rPr>
        <w:t>several</w:t>
      </w:r>
      <w:proofErr w:type="gramEnd"/>
      <w:r w:rsidR="007C3962" w:rsidRPr="007C3962">
        <w:rPr>
          <w:color w:val="000000" w:themeColor="text1"/>
        </w:rPr>
        <w:t xml:space="preserve"> shortfalls with the new devolution deals, particularly resulting from national short-termism, funding constraints, and “a patchwork approach to devolution which leaves local areas lacking capacity, powers, or finance”</w:t>
      </w:r>
      <w:r w:rsidR="007C3962" w:rsidRPr="007C3962">
        <w:rPr>
          <w:color w:val="000000" w:themeColor="text1"/>
          <w:vertAlign w:val="superscript"/>
        </w:rPr>
        <w:footnoteReference w:id="23"/>
      </w:r>
      <w:r w:rsidR="007C3962" w:rsidRPr="007C3962">
        <w:rPr>
          <w:color w:val="000000" w:themeColor="text1"/>
        </w:rPr>
        <w:t>. Indeed, the levelling-up funding model approach was recently criticised for creating a begging bowl culture by West Midlands Metro Mayor Andy Street</w:t>
      </w:r>
      <w:r w:rsidR="007C3962" w:rsidRPr="007C3962">
        <w:rPr>
          <w:color w:val="000000" w:themeColor="text1"/>
          <w:vertAlign w:val="superscript"/>
        </w:rPr>
        <w:footnoteReference w:id="24"/>
      </w:r>
      <w:r w:rsidR="007C3962" w:rsidRPr="007C3962">
        <w:rPr>
          <w:color w:val="000000" w:themeColor="text1"/>
        </w:rPr>
        <w:t xml:space="preserve">, based on political </w:t>
      </w:r>
      <w:r w:rsidR="00FE5A98">
        <w:rPr>
          <w:color w:val="000000" w:themeColor="text1"/>
        </w:rPr>
        <w:t>considerations</w:t>
      </w:r>
      <w:r w:rsidR="00FE5A98" w:rsidRPr="007C3962">
        <w:rPr>
          <w:color w:val="000000" w:themeColor="text1"/>
        </w:rPr>
        <w:t xml:space="preserve"> </w:t>
      </w:r>
      <w:r w:rsidR="007C3962" w:rsidRPr="007C3962">
        <w:rPr>
          <w:color w:val="000000" w:themeColor="text1"/>
        </w:rPr>
        <w:t xml:space="preserve">rather than project merit. Given these constraints and the growing challenges </w:t>
      </w:r>
      <w:r w:rsidR="00D565F9">
        <w:rPr>
          <w:color w:val="000000" w:themeColor="text1"/>
        </w:rPr>
        <w:t>for</w:t>
      </w:r>
      <w:r w:rsidR="007C3962" w:rsidRPr="007C3962">
        <w:rPr>
          <w:color w:val="000000" w:themeColor="text1"/>
        </w:rPr>
        <w:t xml:space="preserve"> tackling climate change, it </w:t>
      </w:r>
      <w:proofErr w:type="gramStart"/>
      <w:r w:rsidR="007C3962" w:rsidRPr="007C3962">
        <w:rPr>
          <w:color w:val="000000" w:themeColor="text1"/>
        </w:rPr>
        <w:t>is expected</w:t>
      </w:r>
      <w:proofErr w:type="gramEnd"/>
      <w:r w:rsidR="007C3962" w:rsidRPr="007C3962">
        <w:rPr>
          <w:color w:val="000000" w:themeColor="text1"/>
        </w:rPr>
        <w:t xml:space="preserve"> that local areas will face many impediments to </w:t>
      </w:r>
      <w:r w:rsidR="00FE5A98">
        <w:rPr>
          <w:color w:val="000000" w:themeColor="text1"/>
        </w:rPr>
        <w:t>delivering</w:t>
      </w:r>
      <w:r w:rsidR="007C3962" w:rsidRPr="007C3962">
        <w:rPr>
          <w:color w:val="000000" w:themeColor="text1"/>
        </w:rPr>
        <w:t xml:space="preserve"> the necessary rate and scale of decarbonisation action, a notion that is reflected in the broader literature</w:t>
      </w:r>
      <w:r w:rsidR="007C3962" w:rsidRPr="007C3962">
        <w:rPr>
          <w:color w:val="000000" w:themeColor="text1"/>
          <w:vertAlign w:val="superscript"/>
        </w:rPr>
        <w:footnoteReference w:id="25"/>
      </w:r>
      <w:r w:rsidR="007C3962" w:rsidRPr="007C3962">
        <w:rPr>
          <w:color w:val="000000" w:themeColor="text1"/>
        </w:rPr>
        <w:t>.</w:t>
      </w:r>
    </w:p>
    <w:p w14:paraId="5B94A969" w14:textId="77777777" w:rsidR="007C3962" w:rsidRDefault="007C3962" w:rsidP="00103732">
      <w:pPr>
        <w:shd w:val="clear" w:color="auto" w:fill="FFFFFF" w:themeFill="background1"/>
        <w:rPr>
          <w:color w:val="FF0000"/>
        </w:rPr>
      </w:pPr>
    </w:p>
    <w:p w14:paraId="38B8C4B6" w14:textId="3C79D134" w:rsidR="004D5979" w:rsidRPr="007F3526" w:rsidRDefault="00D565F9" w:rsidP="004D5979">
      <w:pPr>
        <w:shd w:val="clear" w:color="auto" w:fill="FFFFFF" w:themeFill="background1"/>
        <w:rPr>
          <w:color w:val="000000" w:themeColor="text1"/>
        </w:rPr>
      </w:pPr>
      <w:r>
        <w:t xml:space="preserve">From what started as a </w:t>
      </w:r>
      <w:r w:rsidR="00FE4A85">
        <w:t xml:space="preserve">(select) few </w:t>
      </w:r>
      <w:r>
        <w:t xml:space="preserve">devolution deals, </w:t>
      </w:r>
      <w:proofErr w:type="gramStart"/>
      <w:r w:rsidR="3D1831A8">
        <w:t xml:space="preserve">most </w:t>
      </w:r>
      <w:r w:rsidR="56DDF0C1">
        <w:t>of</w:t>
      </w:r>
      <w:proofErr w:type="gramEnd"/>
      <w:r w:rsidR="56DDF0C1">
        <w:t xml:space="preserve"> England</w:t>
      </w:r>
      <w:r w:rsidR="3D1831A8">
        <w:t>’s population</w:t>
      </w:r>
      <w:r w:rsidR="56DDF0C1">
        <w:t xml:space="preserve"> </w:t>
      </w:r>
      <w:r w:rsidR="3D1831A8">
        <w:t xml:space="preserve">will </w:t>
      </w:r>
      <w:r w:rsidR="64B7E7FB">
        <w:t xml:space="preserve">soon be </w:t>
      </w:r>
      <w:r w:rsidR="56DDF0C1">
        <w:t>covered by some form of devolution deal</w:t>
      </w:r>
      <w:r>
        <w:t>. This has offered major cities a privileged position from which to begin their net zero journeys. In contrast</w:t>
      </w:r>
      <w:r w:rsidR="6EBD926B" w:rsidRPr="007F3526">
        <w:rPr>
          <w:color w:val="000000" w:themeColor="text1"/>
        </w:rPr>
        <w:t xml:space="preserve">, </w:t>
      </w:r>
      <w:r w:rsidR="4192B945" w:rsidRPr="007F3526">
        <w:rPr>
          <w:color w:val="000000" w:themeColor="text1"/>
        </w:rPr>
        <w:t>smaller settlements</w:t>
      </w:r>
      <w:r w:rsidR="6EBD926B" w:rsidRPr="007F3526">
        <w:rPr>
          <w:color w:val="000000" w:themeColor="text1"/>
        </w:rPr>
        <w:t xml:space="preserve"> </w:t>
      </w:r>
      <w:r w:rsidR="00A42D28">
        <w:rPr>
          <w:color w:val="000000" w:themeColor="text1"/>
        </w:rPr>
        <w:t>are</w:t>
      </w:r>
      <w:r w:rsidR="6EBD926B" w:rsidRPr="007F3526">
        <w:rPr>
          <w:color w:val="000000" w:themeColor="text1"/>
        </w:rPr>
        <w:t xml:space="preserve"> hamstrung in their scope for local action</w:t>
      </w:r>
      <w:r>
        <w:rPr>
          <w:color w:val="000000" w:themeColor="text1"/>
        </w:rPr>
        <w:t xml:space="preserve"> due to their</w:t>
      </w:r>
      <w:r w:rsidR="56DDF0C1" w:rsidRPr="007F3526">
        <w:rPr>
          <w:color w:val="000000" w:themeColor="text1"/>
        </w:rPr>
        <w:t xml:space="preserve"> </w:t>
      </w:r>
      <w:proofErr w:type="gramStart"/>
      <w:r w:rsidR="56DDF0C1" w:rsidRPr="007F3526">
        <w:rPr>
          <w:color w:val="000000" w:themeColor="text1"/>
        </w:rPr>
        <w:t>generally</w:t>
      </w:r>
      <w:r w:rsidR="4192B945" w:rsidRPr="007F3526">
        <w:rPr>
          <w:color w:val="000000" w:themeColor="text1"/>
        </w:rPr>
        <w:t xml:space="preserve"> </w:t>
      </w:r>
      <w:r>
        <w:rPr>
          <w:color w:val="000000" w:themeColor="text1"/>
        </w:rPr>
        <w:t>weak</w:t>
      </w:r>
      <w:r w:rsidR="00A42D28">
        <w:rPr>
          <w:color w:val="000000" w:themeColor="text1"/>
        </w:rPr>
        <w:t>er</w:t>
      </w:r>
      <w:proofErr w:type="gramEnd"/>
      <w:r>
        <w:rPr>
          <w:color w:val="000000" w:themeColor="text1"/>
        </w:rPr>
        <w:t xml:space="preserve"> ability to lobby </w:t>
      </w:r>
      <w:r w:rsidR="6EBD926B" w:rsidRPr="007F3526">
        <w:rPr>
          <w:color w:val="000000" w:themeColor="text1"/>
        </w:rPr>
        <w:t>national government</w:t>
      </w:r>
      <w:r w:rsidR="5868C3C9" w:rsidRPr="007F3526">
        <w:rPr>
          <w:color w:val="000000" w:themeColor="text1"/>
        </w:rPr>
        <w:t xml:space="preserve"> </w:t>
      </w:r>
      <w:r>
        <w:rPr>
          <w:color w:val="000000" w:themeColor="text1"/>
        </w:rPr>
        <w:t xml:space="preserve">for more resources </w:t>
      </w:r>
      <w:r w:rsidR="5868C3C9" w:rsidRPr="007F3526">
        <w:rPr>
          <w:color w:val="000000" w:themeColor="text1"/>
        </w:rPr>
        <w:t xml:space="preserve">and </w:t>
      </w:r>
      <w:r w:rsidR="56DDF0C1" w:rsidRPr="007F3526">
        <w:rPr>
          <w:color w:val="000000" w:themeColor="text1"/>
        </w:rPr>
        <w:t xml:space="preserve">have </w:t>
      </w:r>
      <w:r w:rsidR="0C9DC310" w:rsidRPr="007F3526">
        <w:rPr>
          <w:color w:val="000000" w:themeColor="text1"/>
        </w:rPr>
        <w:t>potentially limited ability to</w:t>
      </w:r>
      <w:r w:rsidR="56DDF0C1" w:rsidRPr="007F3526">
        <w:rPr>
          <w:color w:val="000000" w:themeColor="text1"/>
        </w:rPr>
        <w:t xml:space="preserve"> networ</w:t>
      </w:r>
      <w:r w:rsidR="0C9DC310" w:rsidRPr="007F3526">
        <w:rPr>
          <w:color w:val="000000" w:themeColor="text1"/>
        </w:rPr>
        <w:t>k</w:t>
      </w:r>
      <w:r w:rsidR="56DDF0C1" w:rsidRPr="007F3526">
        <w:rPr>
          <w:color w:val="000000" w:themeColor="text1"/>
        </w:rPr>
        <w:t xml:space="preserve"> with well-resourced organisation</w:t>
      </w:r>
      <w:r w:rsidR="0C9DC310" w:rsidRPr="007F3526">
        <w:rPr>
          <w:color w:val="000000" w:themeColor="text1"/>
        </w:rPr>
        <w:t>s</w:t>
      </w:r>
      <w:r w:rsidR="6EBD926B" w:rsidRPr="007F3526">
        <w:rPr>
          <w:color w:val="000000" w:themeColor="text1"/>
        </w:rPr>
        <w:t xml:space="preserve"> to engage in innovative approaches</w:t>
      </w:r>
      <w:r w:rsidRPr="007F3526">
        <w:rPr>
          <w:color w:val="000000" w:themeColor="text1"/>
          <w:vertAlign w:val="superscript"/>
        </w:rPr>
        <w:footnoteReference w:id="26"/>
      </w:r>
      <w:r w:rsidR="4300BE75" w:rsidRPr="007F3526">
        <w:rPr>
          <w:color w:val="000000" w:themeColor="text1"/>
        </w:rPr>
        <w:t>.</w:t>
      </w:r>
      <w:r w:rsidR="4B4840C2" w:rsidRPr="007F3526">
        <w:rPr>
          <w:color w:val="000000" w:themeColor="text1"/>
        </w:rPr>
        <w:t xml:space="preserve"> </w:t>
      </w:r>
    </w:p>
    <w:p w14:paraId="1E244158" w14:textId="679F7C1C" w:rsidR="004D5979" w:rsidRPr="007F3526" w:rsidRDefault="004D5979" w:rsidP="1D6FAAA3">
      <w:pPr>
        <w:shd w:val="clear" w:color="auto" w:fill="FFFFFF" w:themeFill="background1"/>
        <w:rPr>
          <w:color w:val="000000" w:themeColor="text1"/>
        </w:rPr>
      </w:pPr>
    </w:p>
    <w:p w14:paraId="62932B8C" w14:textId="3AE3E111" w:rsidR="004D5979" w:rsidRDefault="007F3526" w:rsidP="004D5979">
      <w:pPr>
        <w:shd w:val="clear" w:color="auto" w:fill="FFFFFF" w:themeFill="background1"/>
      </w:pPr>
      <w:r>
        <w:rPr>
          <w:color w:val="000000" w:themeColor="text1"/>
        </w:rPr>
        <w:t>T</w:t>
      </w:r>
      <w:r w:rsidR="0C9DC310" w:rsidRPr="007F3526">
        <w:rPr>
          <w:color w:val="000000" w:themeColor="text1"/>
        </w:rPr>
        <w:t>he challenge of delivering a</w:t>
      </w:r>
      <w:r w:rsidR="1251066C" w:rsidRPr="007F3526">
        <w:rPr>
          <w:color w:val="000000" w:themeColor="text1"/>
        </w:rPr>
        <w:t xml:space="preserve"> just</w:t>
      </w:r>
      <w:r w:rsidR="0C9DC310" w:rsidRPr="007F3526">
        <w:rPr>
          <w:color w:val="000000" w:themeColor="text1"/>
        </w:rPr>
        <w:t xml:space="preserve"> net zero </w:t>
      </w:r>
      <w:r w:rsidR="1251066C" w:rsidRPr="007F3526">
        <w:rPr>
          <w:color w:val="000000" w:themeColor="text1"/>
        </w:rPr>
        <w:t>transition</w:t>
      </w:r>
      <w:r w:rsidR="0C9DC310" w:rsidRPr="007F3526">
        <w:rPr>
          <w:color w:val="000000" w:themeColor="text1"/>
        </w:rPr>
        <w:t xml:space="preserve"> – where </w:t>
      </w:r>
      <w:r w:rsidR="64B7E7FB" w:rsidRPr="007F3526">
        <w:rPr>
          <w:color w:val="000000" w:themeColor="text1"/>
        </w:rPr>
        <w:t xml:space="preserve">communities </w:t>
      </w:r>
      <w:proofErr w:type="gramStart"/>
      <w:r w:rsidR="0C9DC310" w:rsidRPr="007F3526">
        <w:rPr>
          <w:color w:val="000000" w:themeColor="text1"/>
        </w:rPr>
        <w:t>are not disadvantaged</w:t>
      </w:r>
      <w:proofErr w:type="gramEnd"/>
      <w:r w:rsidR="0C9DC310" w:rsidRPr="007F3526">
        <w:rPr>
          <w:color w:val="000000" w:themeColor="text1"/>
        </w:rPr>
        <w:t xml:space="preserve"> in pursuing </w:t>
      </w:r>
      <w:r w:rsidR="0C9DC310">
        <w:rPr>
          <w:color w:val="000000" w:themeColor="text1"/>
        </w:rPr>
        <w:t xml:space="preserve">action due to </w:t>
      </w:r>
      <w:r w:rsidR="64B7E7FB">
        <w:rPr>
          <w:color w:val="000000" w:themeColor="text1"/>
        </w:rPr>
        <w:t xml:space="preserve">their </w:t>
      </w:r>
      <w:r w:rsidR="0C9DC310">
        <w:rPr>
          <w:color w:val="000000" w:themeColor="text1"/>
        </w:rPr>
        <w:t>loca</w:t>
      </w:r>
      <w:r w:rsidR="64B7E7FB">
        <w:rPr>
          <w:color w:val="000000" w:themeColor="text1"/>
        </w:rPr>
        <w:t xml:space="preserve">tion and associated </w:t>
      </w:r>
      <w:r w:rsidR="26C4F428">
        <w:rPr>
          <w:color w:val="000000" w:themeColor="text1"/>
        </w:rPr>
        <w:t>major employers</w:t>
      </w:r>
      <w:r w:rsidR="0C9DC310">
        <w:rPr>
          <w:color w:val="000000" w:themeColor="text1"/>
        </w:rPr>
        <w:t xml:space="preserve"> – is one that has received limited attention </w:t>
      </w:r>
      <w:r w:rsidR="7C21B98F">
        <w:rPr>
          <w:color w:val="000000" w:themeColor="text1"/>
        </w:rPr>
        <w:t>from</w:t>
      </w:r>
      <w:r w:rsidR="0C9DC310">
        <w:rPr>
          <w:color w:val="000000" w:themeColor="text1"/>
        </w:rPr>
        <w:t xml:space="preserve"> </w:t>
      </w:r>
      <w:r w:rsidR="7C21B98F">
        <w:rPr>
          <w:color w:val="000000" w:themeColor="text1"/>
        </w:rPr>
        <w:t>national policymakers</w:t>
      </w:r>
      <w:r w:rsidR="0C9DC310">
        <w:rPr>
          <w:color w:val="000000" w:themeColor="text1"/>
        </w:rPr>
        <w:t>. By developing various institutional innovations without an overarching design</w:t>
      </w:r>
      <w:r w:rsidR="00EB7050">
        <w:rPr>
          <w:color w:val="000000" w:themeColor="text1"/>
        </w:rPr>
        <w:t>, insufficient regulatory flexibility</w:t>
      </w:r>
      <w:r w:rsidR="0C9DC310">
        <w:rPr>
          <w:color w:val="000000" w:themeColor="text1"/>
        </w:rPr>
        <w:t xml:space="preserve"> and distributing resources without a clear framework to ensure genuine levelling up, national government has created a system which lacks the coherence of federal systems and hampers the </w:t>
      </w:r>
      <w:r w:rsidR="7C21B98F">
        <w:rPr>
          <w:color w:val="000000" w:themeColor="text1"/>
        </w:rPr>
        <w:t>potential</w:t>
      </w:r>
      <w:r w:rsidR="0C9DC310">
        <w:rPr>
          <w:color w:val="000000" w:themeColor="text1"/>
        </w:rPr>
        <w:t xml:space="preserve"> learning capacity of a genuinely polycentric system. As </w:t>
      </w:r>
      <w:r w:rsidR="043B363F">
        <w:rPr>
          <w:color w:val="000000" w:themeColor="text1"/>
        </w:rPr>
        <w:t>we discuss in the next section</w:t>
      </w:r>
      <w:r w:rsidR="0C9DC310">
        <w:rPr>
          <w:color w:val="000000" w:themeColor="text1"/>
        </w:rPr>
        <w:t xml:space="preserve">, in the context of place-based decarbonisation, some </w:t>
      </w:r>
      <w:r w:rsidR="043B363F">
        <w:rPr>
          <w:color w:val="000000" w:themeColor="text1"/>
        </w:rPr>
        <w:t xml:space="preserve">areas have benefited from this </w:t>
      </w:r>
      <w:r w:rsidR="588D9DB5">
        <w:rPr>
          <w:color w:val="000000" w:themeColor="text1"/>
        </w:rPr>
        <w:t>process,</w:t>
      </w:r>
      <w:r w:rsidR="043B363F">
        <w:rPr>
          <w:color w:val="000000" w:themeColor="text1"/>
        </w:rPr>
        <w:t xml:space="preserve"> </w:t>
      </w:r>
      <w:r w:rsidR="0C9DC310">
        <w:rPr>
          <w:color w:val="000000" w:themeColor="text1"/>
        </w:rPr>
        <w:t xml:space="preserve">but </w:t>
      </w:r>
      <w:r w:rsidR="043B363F" w:rsidRPr="1D6FAAA3">
        <w:rPr>
          <w:color w:val="000000" w:themeColor="text1"/>
        </w:rPr>
        <w:t>the system overall has produced</w:t>
      </w:r>
      <w:r w:rsidR="4300BE75">
        <w:t xml:space="preserve"> </w:t>
      </w:r>
      <w:r w:rsidR="4192B945">
        <w:t xml:space="preserve">a bias towards </w:t>
      </w:r>
      <w:r w:rsidR="4300BE75">
        <w:t xml:space="preserve">larger and </w:t>
      </w:r>
      <w:r w:rsidR="5868C3C9">
        <w:t>better-resourced</w:t>
      </w:r>
      <w:r w:rsidR="4300BE75">
        <w:t xml:space="preserve"> </w:t>
      </w:r>
      <w:r w:rsidR="4192B945">
        <w:t>areas</w:t>
      </w:r>
      <w:r w:rsidR="043B363F">
        <w:t>, although there is evidence that even these areas have not been enabled to pursue an advanced form of collaborative action</w:t>
      </w:r>
      <w:r w:rsidR="4192B945">
        <w:t xml:space="preserve">. </w:t>
      </w:r>
    </w:p>
    <w:p w14:paraId="00000030" w14:textId="7A91993C" w:rsidR="006864E3" w:rsidRDefault="00BC4AC1">
      <w:pPr>
        <w:pStyle w:val="Heading4"/>
        <w:shd w:val="clear" w:color="auto" w:fill="FFFFFF"/>
      </w:pPr>
      <w:bookmarkStart w:id="8" w:name="_Toc139410304"/>
      <w:bookmarkStart w:id="9" w:name="_Toc139639454"/>
      <w:r>
        <w:lastRenderedPageBreak/>
        <w:t>Place-Based Net Zero</w:t>
      </w:r>
      <w:bookmarkEnd w:id="8"/>
      <w:bookmarkEnd w:id="9"/>
    </w:p>
    <w:p w14:paraId="08B1CE4E" w14:textId="30FD9442" w:rsidR="00EC7470" w:rsidRDefault="1900FF1F" w:rsidP="00EC7470">
      <w:pPr>
        <w:shd w:val="clear" w:color="auto" w:fill="FFFFFF" w:themeFill="background1"/>
      </w:pPr>
      <w:r>
        <w:t>As noted above, t</w:t>
      </w:r>
      <w:r w:rsidR="4192B945">
        <w:t xml:space="preserve">he dominant government discourse and practice around </w:t>
      </w:r>
      <w:r>
        <w:t xml:space="preserve">place-based </w:t>
      </w:r>
      <w:r w:rsidR="4192B945">
        <w:t xml:space="preserve">decarbonisation has </w:t>
      </w:r>
      <w:proofErr w:type="gramStart"/>
      <w:r w:rsidR="4192B945">
        <w:t>been focused</w:t>
      </w:r>
      <w:proofErr w:type="gramEnd"/>
      <w:r w:rsidR="4192B945">
        <w:t xml:space="preserve"> on the technology mix within a specific area, for example, </w:t>
      </w:r>
      <w:r>
        <w:t>implementing</w:t>
      </w:r>
      <w:r w:rsidR="4192B945">
        <w:t xml:space="preserve"> housing retrofit or </w:t>
      </w:r>
      <w:r>
        <w:t xml:space="preserve">diversifying the </w:t>
      </w:r>
      <w:r w:rsidR="4192B945">
        <w:t>energy supply</w:t>
      </w:r>
      <w:r w:rsidR="00BC4AC1">
        <w:rPr>
          <w:vertAlign w:val="superscript"/>
        </w:rPr>
        <w:footnoteReference w:id="27"/>
      </w:r>
      <w:r w:rsidR="4192B945">
        <w:t xml:space="preserve">. </w:t>
      </w:r>
      <w:r w:rsidR="043B363F">
        <w:t>T</w:t>
      </w:r>
      <w:r w:rsidR="4192B945">
        <w:t xml:space="preserve">he </w:t>
      </w:r>
      <w:r>
        <w:t xml:space="preserve">strength of this approach is that </w:t>
      </w:r>
      <w:r w:rsidR="4192B945">
        <w:t>different technical opportunities within any given place</w:t>
      </w:r>
      <w:r w:rsidR="043B363F">
        <w:t xml:space="preserve"> </w:t>
      </w:r>
      <w:r>
        <w:t>are</w:t>
      </w:r>
      <w:r w:rsidR="043B363F">
        <w:t xml:space="preserve"> </w:t>
      </w:r>
      <w:r>
        <w:t xml:space="preserve">to a degree </w:t>
      </w:r>
      <w:r w:rsidR="043B363F">
        <w:t>recognised and encouraged</w:t>
      </w:r>
      <w:r w:rsidR="4192B945">
        <w:t xml:space="preserve">. </w:t>
      </w:r>
      <w:r>
        <w:t xml:space="preserve">However, this technocratic approach </w:t>
      </w:r>
      <w:r w:rsidR="4192B945">
        <w:t xml:space="preserve">does not by design ensure that justice for communities </w:t>
      </w:r>
      <w:proofErr w:type="gramStart"/>
      <w:r w:rsidR="4192B945">
        <w:t>is served</w:t>
      </w:r>
      <w:proofErr w:type="gramEnd"/>
      <w:r>
        <w:t xml:space="preserve">. </w:t>
      </w:r>
      <w:r w:rsidR="3D1831A8">
        <w:t xml:space="preserve">Several aspects of a just energy transition are commonly cited in social science debates and worth outlining here: 1) managing the </w:t>
      </w:r>
      <w:r w:rsidR="3D1831A8" w:rsidRPr="4395FF7F">
        <w:rPr>
          <w:i/>
          <w:iCs/>
        </w:rPr>
        <w:t>distributional</w:t>
      </w:r>
      <w:r w:rsidR="3D1831A8">
        <w:t xml:space="preserve"> impacts of new energy infrastructures to ensure that the poorest are not technologically left behind; 2) ensuring </w:t>
      </w:r>
      <w:r w:rsidR="3D1831A8" w:rsidRPr="4395FF7F">
        <w:rPr>
          <w:i/>
          <w:iCs/>
        </w:rPr>
        <w:t>procedural</w:t>
      </w:r>
      <w:r w:rsidR="3D1831A8">
        <w:t xml:space="preserve"> justice is adhered to so that local communities can feed into decision-making that affects them and their areas; 3) ensuring </w:t>
      </w:r>
      <w:r w:rsidR="3D1831A8" w:rsidRPr="4395FF7F">
        <w:rPr>
          <w:i/>
          <w:iCs/>
        </w:rPr>
        <w:t>recognition</w:t>
      </w:r>
      <w:r w:rsidR="3D1831A8">
        <w:t xml:space="preserve"> is given to past cases of injustice and being sensitive to the importance of </w:t>
      </w:r>
      <w:r w:rsidR="3D1831A8" w:rsidRPr="4395FF7F">
        <w:rPr>
          <w:i/>
          <w:iCs/>
        </w:rPr>
        <w:t>restorative</w:t>
      </w:r>
      <w:r w:rsidR="3D1831A8">
        <w:t xml:space="preserve"> justice</w:t>
      </w:r>
      <w:r w:rsidR="005A2940">
        <w:rPr>
          <w:rStyle w:val="FootnoteReference"/>
        </w:rPr>
        <w:footnoteReference w:id="28"/>
      </w:r>
      <w:r w:rsidR="3D1831A8">
        <w:t xml:space="preserve">. </w:t>
      </w:r>
      <w:r w:rsidR="3BA6C51C">
        <w:t xml:space="preserve">A place-based decarbonisation process may </w:t>
      </w:r>
      <w:r w:rsidR="16861853">
        <w:t xml:space="preserve">involve introducing </w:t>
      </w:r>
      <w:proofErr w:type="gramStart"/>
      <w:r w:rsidR="16861853">
        <w:t>new technologies</w:t>
      </w:r>
      <w:proofErr w:type="gramEnd"/>
      <w:r w:rsidR="16861853">
        <w:t xml:space="preserve"> and ways of living into an area, curtailing particular activities, which impact </w:t>
      </w:r>
      <w:r w:rsidR="3BA6C51C">
        <w:t>the lived experience of the community in which change occurs, having significant sociocultural impacts</w:t>
      </w:r>
      <w:r w:rsidR="00EC7470">
        <w:rPr>
          <w:vertAlign w:val="superscript"/>
        </w:rPr>
        <w:footnoteReference w:id="29"/>
      </w:r>
      <w:r w:rsidR="3BA6C51C">
        <w:t xml:space="preserve">. </w:t>
      </w:r>
      <w:r w:rsidR="16861853">
        <w:t>There is also a need to recognise the inherently spatial nature of (in)justice in pursuing a just transition approach to decarbonisation strategy</w:t>
      </w:r>
      <w:r w:rsidR="003006FB">
        <w:rPr>
          <w:rStyle w:val="FootnoteReference"/>
        </w:rPr>
        <w:footnoteReference w:id="30"/>
      </w:r>
      <w:r w:rsidR="16861853">
        <w:t>.</w:t>
      </w:r>
    </w:p>
    <w:p w14:paraId="284433D2" w14:textId="77777777" w:rsidR="00EC7470" w:rsidRDefault="00EC7470" w:rsidP="00EC7470">
      <w:pPr>
        <w:shd w:val="clear" w:color="auto" w:fill="FFFFFF"/>
      </w:pPr>
    </w:p>
    <w:p w14:paraId="2D91D694" w14:textId="5228FF89" w:rsidR="00BB227C" w:rsidRPr="00EC7470" w:rsidRDefault="44F58023" w:rsidP="00B036F0">
      <w:pPr>
        <w:shd w:val="clear" w:color="auto" w:fill="FFFFFF" w:themeFill="background1"/>
      </w:pPr>
      <w:proofErr w:type="gramStart"/>
      <w:r>
        <w:t>An important element</w:t>
      </w:r>
      <w:proofErr w:type="gramEnd"/>
      <w:r>
        <w:t xml:space="preserve"> of managing the distribution of benefits and costs involved in the net zero transition is being</w:t>
      </w:r>
      <w:r w:rsidR="4F4EB66E">
        <w:t xml:space="preserve"> </w:t>
      </w:r>
      <w:r w:rsidR="3BA6C51C">
        <w:t>sensitive</w:t>
      </w:r>
      <w:r w:rsidR="4F4EB66E">
        <w:t xml:space="preserve"> to those potentially disadvantaged by the process, but there also needs to be some </w:t>
      </w:r>
      <w:r>
        <w:t>scrutiny</w:t>
      </w:r>
      <w:r w:rsidR="4F4EB66E">
        <w:t xml:space="preserve"> about</w:t>
      </w:r>
      <w:r w:rsidR="3BA6C51C">
        <w:t xml:space="preserve"> who benefits from the process and the extent to which these are locally based. For example,</w:t>
      </w:r>
      <w:r w:rsidR="4F4EB66E">
        <w:t xml:space="preserve"> </w:t>
      </w:r>
      <w:r w:rsidR="4192B945">
        <w:t xml:space="preserve">the owners of assets </w:t>
      </w:r>
      <w:r>
        <w:t>(</w:t>
      </w:r>
      <w:r w:rsidR="3BA6C51C">
        <w:t>e.g.,</w:t>
      </w:r>
      <w:r>
        <w:t xml:space="preserve"> </w:t>
      </w:r>
      <w:r w:rsidR="16861853">
        <w:t>wind farms</w:t>
      </w:r>
      <w:r>
        <w:t xml:space="preserve"> or other renewable technology) </w:t>
      </w:r>
      <w:r w:rsidR="4192B945">
        <w:t xml:space="preserve">may </w:t>
      </w:r>
      <w:r w:rsidR="3BA6C51C">
        <w:t>be based</w:t>
      </w:r>
      <w:r w:rsidR="4192B945">
        <w:t xml:space="preserve"> outside of the place where technology </w:t>
      </w:r>
      <w:proofErr w:type="gramStart"/>
      <w:r w:rsidR="4192B945">
        <w:t xml:space="preserve">is </w:t>
      </w:r>
      <w:r w:rsidR="3BA6C51C">
        <w:t>deployed</w:t>
      </w:r>
      <w:proofErr w:type="gramEnd"/>
      <w:r w:rsidR="4192B945">
        <w:t xml:space="preserve">, resulting in financial </w:t>
      </w:r>
      <w:r w:rsidR="3BA6C51C">
        <w:t>out</w:t>
      </w:r>
      <w:r w:rsidR="4192B945">
        <w:t>flows</w:t>
      </w:r>
      <w:r w:rsidR="00AC4817">
        <w:rPr>
          <w:rStyle w:val="FootnoteReference"/>
        </w:rPr>
        <w:footnoteReference w:id="31"/>
      </w:r>
      <w:r w:rsidR="4192B945">
        <w:t xml:space="preserve">. </w:t>
      </w:r>
      <w:r w:rsidR="3BA6C51C">
        <w:t xml:space="preserve">A further round of inequality </w:t>
      </w:r>
      <w:proofErr w:type="gramStart"/>
      <w:r w:rsidR="3BA6C51C">
        <w:t>is driven</w:t>
      </w:r>
      <w:proofErr w:type="gramEnd"/>
      <w:r w:rsidR="3BA6C51C">
        <w:t xml:space="preserve"> by a recursive </w:t>
      </w:r>
      <w:r w:rsidR="7438487A">
        <w:t>process from previous rounds of policy action and the devolution process.</w:t>
      </w:r>
      <w:r w:rsidR="3BA6C51C">
        <w:t xml:space="preserve"> </w:t>
      </w:r>
      <w:r w:rsidR="4192B945">
        <w:t>Devine-Wright</w:t>
      </w:r>
      <w:r w:rsidR="00BC4AC1">
        <w:rPr>
          <w:vertAlign w:val="superscript"/>
        </w:rPr>
        <w:footnoteReference w:id="32"/>
      </w:r>
      <w:r w:rsidR="4192B945">
        <w:t xml:space="preserve"> notes that </w:t>
      </w:r>
      <w:r w:rsidR="7438487A">
        <w:t>in</w:t>
      </w:r>
      <w:r w:rsidR="4192B945">
        <w:t xml:space="preserve"> the dominant UK net zero policy discourse</w:t>
      </w:r>
      <w:r w:rsidR="7438487A">
        <w:t>,</w:t>
      </w:r>
      <w:r w:rsidR="4192B945">
        <w:t xml:space="preserve"> there has been a growth in the prominence of industrial “SuperPlaces</w:t>
      </w:r>
      <w:proofErr w:type="gramStart"/>
      <w:r w:rsidR="4192B945">
        <w:t>”.</w:t>
      </w:r>
      <w:proofErr w:type="gramEnd"/>
      <w:r w:rsidR="4192B945">
        <w:t xml:space="preserve"> A recent example in the net zero policy space is the deployment of new carbon capture utilisation and storage (CCUS) in places like industrial clusters in North East England. In short, these are areas which have become testbeds for various decarbonisation </w:t>
      </w:r>
      <w:r w:rsidR="4AA449DD">
        <w:t>technologies,</w:t>
      </w:r>
      <w:r w:rsidR="4192B945">
        <w:t xml:space="preserve"> and which endow these places with the ability to draw down potential further rounds of technological development and financing. The logic of SuperPlaces </w:t>
      </w:r>
      <w:proofErr w:type="gramStart"/>
      <w:r w:rsidR="4192B945">
        <w:t>is reproduced</w:t>
      </w:r>
      <w:proofErr w:type="gramEnd"/>
      <w:r w:rsidR="4192B945">
        <w:t xml:space="preserve"> in the March Net Zero Plan with the combined authorities in </w:t>
      </w:r>
      <w:r w:rsidR="4192B945">
        <w:lastRenderedPageBreak/>
        <w:t>Greater Manchester and the West Midlands being the first places to be given more powers over buildings' retrofit from 2025</w:t>
      </w:r>
      <w:r w:rsidR="00BC4AC1">
        <w:rPr>
          <w:vertAlign w:val="superscript"/>
        </w:rPr>
        <w:footnoteReference w:id="33"/>
      </w:r>
      <w:r w:rsidR="4192B945">
        <w:t>.</w:t>
      </w:r>
      <w:r w:rsidR="4192B945">
        <w:rPr>
          <w:sz w:val="24"/>
          <w:szCs w:val="24"/>
        </w:rPr>
        <w:t xml:space="preserve"> </w:t>
      </w:r>
    </w:p>
    <w:p w14:paraId="0203642E" w14:textId="77777777" w:rsidR="00BB227C" w:rsidRDefault="00BB227C" w:rsidP="00B036F0">
      <w:pPr>
        <w:shd w:val="clear" w:color="auto" w:fill="FFFFFF" w:themeFill="background1"/>
        <w:rPr>
          <w:sz w:val="24"/>
          <w:szCs w:val="24"/>
        </w:rPr>
      </w:pPr>
    </w:p>
    <w:p w14:paraId="00000033" w14:textId="6A5E2097" w:rsidR="006864E3" w:rsidRDefault="725D1119">
      <w:pPr>
        <w:shd w:val="clear" w:color="auto" w:fill="FFFFFF"/>
      </w:pPr>
      <w:r>
        <w:t xml:space="preserve">Injustice with SuperPlaces is not simply one of spatial justice across the country but also within these spaces. </w:t>
      </w:r>
      <w:r w:rsidR="4192B945">
        <w:t xml:space="preserve">Such SuperPlaces are </w:t>
      </w:r>
      <w:r>
        <w:t xml:space="preserve">often </w:t>
      </w:r>
      <w:r w:rsidR="4192B945">
        <w:t>top-down, government-identified spaces for policy and technological innovation. Devine-Wright</w:t>
      </w:r>
      <w:r w:rsidR="00BC4AC1">
        <w:rPr>
          <w:vertAlign w:val="superscript"/>
        </w:rPr>
        <w:footnoteReference w:id="34"/>
      </w:r>
      <w:r w:rsidR="4192B945">
        <w:t xml:space="preserve"> contests this top-down approach, emphasising the untapped capacity for the co-creation of alternative futures with communities in these areas. This top-down approach, without </w:t>
      </w:r>
      <w:r w:rsidR="26C4F428">
        <w:t xml:space="preserve">genuine </w:t>
      </w:r>
      <w:r w:rsidR="4192B945">
        <w:t>local engagement, risks exacerbating existing social injustices by failing to understand the variability in community and industry dynamics within any given SuperPlace</w:t>
      </w:r>
      <w:r w:rsidR="00BC4AC1">
        <w:rPr>
          <w:vertAlign w:val="superscript"/>
        </w:rPr>
        <w:footnoteReference w:id="35"/>
      </w:r>
      <w:r w:rsidR="4192B945">
        <w:t>. A broader academic literature recognises that greater community-based social learning is critical in informing local change, particularly for decarbonisation (see Cherry et al. 2022</w:t>
      </w:r>
      <w:r w:rsidR="00BC4AC1">
        <w:rPr>
          <w:vertAlign w:val="superscript"/>
        </w:rPr>
        <w:footnoteReference w:id="36"/>
      </w:r>
      <w:r w:rsidR="4192B945">
        <w:t>). Cherry et al.</w:t>
      </w:r>
      <w:r w:rsidR="00BC4AC1">
        <w:rPr>
          <w:vertAlign w:val="superscript"/>
        </w:rPr>
        <w:footnoteReference w:id="37"/>
      </w:r>
      <w:r w:rsidR="1CCA5448">
        <w:t xml:space="preserve"> </w:t>
      </w:r>
      <w:r w:rsidR="4192B945">
        <w:t xml:space="preserve">note that there is also a necessity to understand the broader social acceptability of each modality for decarbonisation across places to ensure a place-based model is beneficial to people within that place. Given the variable local histories, local capacities and social contexts, an optimal place-based approach should not be a list of ordained policies and processes focused on technological rollout but should recognise the need for local integration of social context and disparate policies linked with achieving place-based decarbonisation. </w:t>
      </w:r>
    </w:p>
    <w:p w14:paraId="00000034" w14:textId="77777777" w:rsidR="006864E3" w:rsidRDefault="006864E3">
      <w:pPr>
        <w:shd w:val="clear" w:color="auto" w:fill="FFFFFF"/>
      </w:pPr>
    </w:p>
    <w:p w14:paraId="00000035" w14:textId="00A45891" w:rsidR="006864E3" w:rsidRDefault="725D1119" w:rsidP="00B036F0">
      <w:pPr>
        <w:shd w:val="clear" w:color="auto" w:fill="FFFFFF" w:themeFill="background1"/>
      </w:pPr>
      <w:r>
        <w:t xml:space="preserve">The lack of a clear government plan to ensure </w:t>
      </w:r>
      <w:r w:rsidR="1CCA5448">
        <w:t xml:space="preserve">a fair process and </w:t>
      </w:r>
      <w:r>
        <w:t xml:space="preserve">the fair distribution of support for decarbonisation initiatives </w:t>
      </w:r>
      <w:proofErr w:type="gramStart"/>
      <w:r>
        <w:t>is compounded</w:t>
      </w:r>
      <w:proofErr w:type="gramEnd"/>
      <w:r>
        <w:t xml:space="preserve"> by the nature of English</w:t>
      </w:r>
      <w:r w:rsidR="4192B945">
        <w:t xml:space="preserve"> local government institutions</w:t>
      </w:r>
      <w:r>
        <w:t xml:space="preserve"> which </w:t>
      </w:r>
      <w:r w:rsidR="4192B945">
        <w:t>have been required to be risk-averse in nature</w:t>
      </w:r>
      <w:r>
        <w:t xml:space="preserve">, limiting their </w:t>
      </w:r>
      <w:r w:rsidR="1CCA5448">
        <w:t>scope for autonomous action</w:t>
      </w:r>
      <w:r w:rsidR="00BC4AC1">
        <w:rPr>
          <w:vertAlign w:val="superscript"/>
        </w:rPr>
        <w:footnoteReference w:id="38"/>
      </w:r>
      <w:r w:rsidR="35BB797A" w:rsidRPr="00B036F0">
        <w:rPr>
          <w:vertAlign w:val="superscript"/>
        </w:rPr>
        <w:t xml:space="preserve"> </w:t>
      </w:r>
      <w:r w:rsidR="00BC4AC1">
        <w:rPr>
          <w:vertAlign w:val="superscript"/>
        </w:rPr>
        <w:footnoteReference w:id="39"/>
      </w:r>
      <w:r w:rsidR="1CCA5448">
        <w:t xml:space="preserve">. </w:t>
      </w:r>
      <w:r w:rsidR="4192B945">
        <w:t>Place-based decarbonisation as a concept, therefore, faces major barriers to real-world implementatio</w:t>
      </w:r>
      <w:r w:rsidR="1CCA5448">
        <w:t>n</w:t>
      </w:r>
      <w:r w:rsidR="4192B945">
        <w:t>.</w:t>
      </w:r>
      <w:r w:rsidR="1CCA5448">
        <w:t xml:space="preserve"> The government’s approach to place-based decarbonisation has been to produce top-down policies which are highly selective and produce recursive benefits to </w:t>
      </w:r>
      <w:proofErr w:type="gramStart"/>
      <w:r w:rsidR="1CCA5448">
        <w:t>some</w:t>
      </w:r>
      <w:proofErr w:type="gramEnd"/>
      <w:r w:rsidR="1CCA5448">
        <w:t xml:space="preserve"> areas while also, at the same time, perpetuating injustices in these places. </w:t>
      </w:r>
      <w:r w:rsidR="4192B945">
        <w:t xml:space="preserve">If the government seeks a strategy on place-based decarbonisation </w:t>
      </w:r>
      <w:r w:rsidR="1CCA5448">
        <w:t xml:space="preserve">which recognises the importance of trust and social acceptance of this process </w:t>
      </w:r>
      <w:r w:rsidR="4192B945">
        <w:t xml:space="preserve">to reach the national net zero target, further work is required to improve local climate change governance and empower local areas to take action on place-specific climate issues and recognise local histories, conditions and capabilities.  </w:t>
      </w:r>
    </w:p>
    <w:p w14:paraId="00000036" w14:textId="77777777" w:rsidR="006864E3" w:rsidRDefault="006864E3">
      <w:pPr>
        <w:shd w:val="clear" w:color="auto" w:fill="FFFFFF"/>
      </w:pPr>
    </w:p>
    <w:p w14:paraId="00000037" w14:textId="6DC00B61" w:rsidR="006864E3" w:rsidRDefault="00BC4AC1">
      <w:pPr>
        <w:pStyle w:val="Heading4"/>
        <w:shd w:val="clear" w:color="auto" w:fill="FFFFFF"/>
      </w:pPr>
      <w:bookmarkStart w:id="10" w:name="_Toc139410305"/>
      <w:bookmarkStart w:id="11" w:name="_Toc139639455"/>
      <w:r>
        <w:t>Multi-</w:t>
      </w:r>
      <w:r w:rsidR="000C7808">
        <w:t>S</w:t>
      </w:r>
      <w:r>
        <w:t>calar Governance for Net Zero</w:t>
      </w:r>
      <w:r w:rsidR="00F51E1A">
        <w:t>: Planning for Net Zero?</w:t>
      </w:r>
      <w:bookmarkEnd w:id="10"/>
      <w:bookmarkEnd w:id="11"/>
      <w:r>
        <w:t xml:space="preserve"> </w:t>
      </w:r>
    </w:p>
    <w:p w14:paraId="00000038" w14:textId="77777777" w:rsidR="006864E3" w:rsidRDefault="006864E3">
      <w:pPr>
        <w:shd w:val="clear" w:color="auto" w:fill="FFFFFF"/>
      </w:pPr>
    </w:p>
    <w:p w14:paraId="08182D35" w14:textId="57C1738C" w:rsidR="00BB227C" w:rsidRDefault="4192B945">
      <w:r>
        <w:lastRenderedPageBreak/>
        <w:t xml:space="preserve">A key insight from social science literature regarding multi-scalar governance is that no one scale can operate effectively in isolation. Rather, what </w:t>
      </w:r>
      <w:proofErr w:type="gramStart"/>
      <w:r>
        <w:t>is required</w:t>
      </w:r>
      <w:proofErr w:type="gramEnd"/>
      <w:r>
        <w:t xml:space="preserve"> is effective collaborative governance systems which can support the ‘right-sizing’ of policy action. Polycentric systems have </w:t>
      </w:r>
      <w:proofErr w:type="gramStart"/>
      <w:r>
        <w:t>been proposed</w:t>
      </w:r>
      <w:proofErr w:type="gramEnd"/>
      <w:r>
        <w:t xml:space="preserve"> as</w:t>
      </w:r>
      <w:r w:rsidR="4AA449DD">
        <w:t xml:space="preserve"> </w:t>
      </w:r>
      <w:r>
        <w:t>developing the experimental capacity and legitimacy to achieve positive environmental outcomes</w:t>
      </w:r>
      <w:r w:rsidR="000C7808">
        <w:rPr>
          <w:rStyle w:val="FootnoteReference"/>
        </w:rPr>
        <w:footnoteReference w:id="40"/>
      </w:r>
      <w:r>
        <w:t xml:space="preserve">. </w:t>
      </w:r>
      <w:r w:rsidR="2B65299C">
        <w:t xml:space="preserve">Although local authorities in England are set within </w:t>
      </w:r>
      <w:r>
        <w:t>multi</w:t>
      </w:r>
      <w:r w:rsidR="000D3D5F">
        <w:t>-</w:t>
      </w:r>
      <w:r>
        <w:t>scalar regimes</w:t>
      </w:r>
      <w:r w:rsidR="15C504D4">
        <w:t>,</w:t>
      </w:r>
      <w:r w:rsidR="2B65299C">
        <w:t xml:space="preserve"> they lack the level of resources and scope for local action which is associated with genuinely polycentric systems. The UK system of multi</w:t>
      </w:r>
      <w:r w:rsidR="000D3D5F">
        <w:t>-</w:t>
      </w:r>
      <w:r w:rsidR="2B65299C">
        <w:t>scalar governmental relations is characterised as one</w:t>
      </w:r>
      <w:r>
        <w:t xml:space="preserve"> governed by semi-coherent structures which unify a multiplicity of actors each with their own institutional logic</w:t>
      </w:r>
      <w:r w:rsidR="00BC4AC1">
        <w:rPr>
          <w:vertAlign w:val="superscript"/>
        </w:rPr>
        <w:footnoteReference w:id="41"/>
      </w:r>
      <w:r>
        <w:t xml:space="preserve">. In the context of net zero, local authorities are </w:t>
      </w:r>
      <w:r w:rsidR="2B65299C">
        <w:t xml:space="preserve">largely ‘policy takers’, </w:t>
      </w:r>
      <w:r>
        <w:t>required to comply with the policies of various national ministries (</w:t>
      </w:r>
      <w:r w:rsidR="15C504D4">
        <w:t>e.g.,</w:t>
      </w:r>
      <w:r>
        <w:t xml:space="preserve"> the Department for Levelling Up, Housing and Local Communities, the Department for Environment, Food and Rural Affairs, the Department of Transport, HM Treasury, and so) which often have </w:t>
      </w:r>
      <w:r w:rsidR="15C504D4">
        <w:t>contradictory</w:t>
      </w:r>
      <w:r>
        <w:t xml:space="preserve"> policy objectives. </w:t>
      </w:r>
      <w:r w:rsidR="2B65299C">
        <w:t>In this context, t</w:t>
      </w:r>
      <w:r>
        <w:t>he challenge of achieving effective multi-scalar governance derives from the conflicting institutional logics which are based on predefined assumptions, values, meanings</w:t>
      </w:r>
      <w:r w:rsidR="4AA449DD">
        <w:t>,</w:t>
      </w:r>
      <w:r>
        <w:t xml:space="preserve"> and material practices</w:t>
      </w:r>
      <w:r w:rsidR="00BC4AC1">
        <w:rPr>
          <w:vertAlign w:val="superscript"/>
        </w:rPr>
        <w:footnoteReference w:id="42"/>
      </w:r>
      <w:r>
        <w:t xml:space="preserve">. </w:t>
      </w:r>
      <w:r w:rsidR="2B65299C">
        <w:t>While</w:t>
      </w:r>
      <w:r>
        <w:t xml:space="preserve"> local authorities are in theory well placed to resolve these conflictual logics, in practice this is seldom the case. </w:t>
      </w:r>
    </w:p>
    <w:p w14:paraId="060785EB" w14:textId="77777777" w:rsidR="00BB227C" w:rsidRDefault="00BB227C"/>
    <w:p w14:paraId="6891964A" w14:textId="2A6C85C1" w:rsidR="00F51E1A" w:rsidRDefault="4192B945" w:rsidP="00B02FC9">
      <w:r>
        <w:t xml:space="preserve">The </w:t>
      </w:r>
      <w:r w:rsidR="588D9DB5">
        <w:t xml:space="preserve">Climate Change Committee attributes the </w:t>
      </w:r>
      <w:r>
        <w:t xml:space="preserve">limited contribution to effective decarbonisation by local government </w:t>
      </w:r>
      <w:r w:rsidR="588D9DB5">
        <w:t>to</w:t>
      </w:r>
      <w:r>
        <w:t xml:space="preserve"> the lack of coordination between levels of governance, and their limited ability to integrate policies locally</w:t>
      </w:r>
      <w:r w:rsidR="00F92F55">
        <w:rPr>
          <w:vertAlign w:val="superscript"/>
        </w:rPr>
        <w:footnoteReference w:id="43"/>
      </w:r>
      <w:r>
        <w:t xml:space="preserve">. Furthermore, recent work commissioned by Innovate </w:t>
      </w:r>
      <w:r w:rsidR="5EF2C680">
        <w:t>UK has</w:t>
      </w:r>
      <w:r>
        <w:t xml:space="preserve"> shown that there is a “lack of a clear mandate for local authorities” to be the key agents of local net zero delivery,</w:t>
      </w:r>
      <w:r w:rsidR="2B65299C">
        <w:t xml:space="preserve"> indicating a worryingly low level</w:t>
      </w:r>
      <w:r>
        <w:t xml:space="preserve"> of local readiness across different English local authorities to drive action</w:t>
      </w:r>
      <w:r w:rsidR="00F92F55">
        <w:rPr>
          <w:vertAlign w:val="superscript"/>
        </w:rPr>
        <w:footnoteReference w:id="44"/>
      </w:r>
      <w:r>
        <w:t xml:space="preserve">. </w:t>
      </w:r>
      <w:r w:rsidR="11EE5A2D">
        <w:t>This lack of readiness does not, however, apply to all local authorities and c</w:t>
      </w:r>
      <w:r>
        <w:t>alls for strong local action hav</w:t>
      </w:r>
      <w:r w:rsidR="11EE5A2D">
        <w:t>e</w:t>
      </w:r>
      <w:r>
        <w:t xml:space="preserve"> come from local authorities themselves. An example of this was the collective call for climate change action when over 75% of local authorities declared climate emergencies throughout 2018/19, helping increase pressure across different scales of governance for improved national legislation</w:t>
      </w:r>
      <w:r w:rsidR="00BC4AC1">
        <w:rPr>
          <w:vertAlign w:val="superscript"/>
        </w:rPr>
        <w:footnoteReference w:id="45"/>
      </w:r>
      <w:r>
        <w:t xml:space="preserve"> leading to the updating of the 2008 Climate Change Act with a </w:t>
      </w:r>
      <w:r w:rsidR="588D9DB5">
        <w:t>target of n</w:t>
      </w:r>
      <w:r>
        <w:t xml:space="preserve">et </w:t>
      </w:r>
      <w:r w:rsidR="588D9DB5">
        <w:t>z</w:t>
      </w:r>
      <w:r>
        <w:t>ero by 2050. However, despite these local authority statements of commitment to climate action, this has not translated into delivering appropriate scales of action, as few (2% in 2021) had even created delivery plans two years on</w:t>
      </w:r>
      <w:r w:rsidR="00BC4AC1">
        <w:rPr>
          <w:vertAlign w:val="superscript"/>
        </w:rPr>
        <w:footnoteReference w:id="46"/>
      </w:r>
      <w:r>
        <w:t>.</w:t>
      </w:r>
      <w:bookmarkStart w:id="12" w:name="_bgxgvusg1qqo" w:colFirst="0" w:colLast="0"/>
      <w:bookmarkEnd w:id="12"/>
      <w:r w:rsidR="2B963BB9">
        <w:t xml:space="preserve"> </w:t>
      </w:r>
      <w:r w:rsidR="7C3B58A6">
        <w:t xml:space="preserve">There are </w:t>
      </w:r>
      <w:proofErr w:type="gramStart"/>
      <w:r w:rsidR="79F0A6A2">
        <w:t>a few</w:t>
      </w:r>
      <w:proofErr w:type="gramEnd"/>
      <w:r w:rsidR="7C3B58A6">
        <w:t xml:space="preserve"> factors </w:t>
      </w:r>
      <w:r w:rsidR="79F0A6A2">
        <w:t>which</w:t>
      </w:r>
      <w:r w:rsidR="7C3B58A6">
        <w:t xml:space="preserve"> explain this limited local leadership</w:t>
      </w:r>
      <w:r w:rsidR="79F0A6A2">
        <w:t>:</w:t>
      </w:r>
      <w:r w:rsidR="7C3B58A6">
        <w:t xml:space="preserve"> </w:t>
      </w:r>
    </w:p>
    <w:p w14:paraId="410F16D2" w14:textId="77777777" w:rsidR="00F51E1A" w:rsidRDefault="00F51E1A" w:rsidP="00B02FC9"/>
    <w:p w14:paraId="0886CB44" w14:textId="3AED8592" w:rsidR="003A0BB3" w:rsidRDefault="00A040C5" w:rsidP="00B02FC9">
      <w:r>
        <w:rPr>
          <w:i/>
          <w:iCs/>
        </w:rPr>
        <w:t>The dominance</w:t>
      </w:r>
      <w:r w:rsidR="46F9C623" w:rsidRPr="4395FF7F">
        <w:rPr>
          <w:i/>
          <w:iCs/>
        </w:rPr>
        <w:t xml:space="preserve"> of a </w:t>
      </w:r>
      <w:r>
        <w:rPr>
          <w:i/>
          <w:iCs/>
        </w:rPr>
        <w:t>pro</w:t>
      </w:r>
      <w:r w:rsidR="7C3B58A6" w:rsidRPr="4395FF7F">
        <w:rPr>
          <w:i/>
          <w:iCs/>
        </w:rPr>
        <w:t>-growth ideology</w:t>
      </w:r>
      <w:r w:rsidR="7C3B58A6">
        <w:t xml:space="preserve">: </w:t>
      </w:r>
      <w:r w:rsidR="5AC2E301">
        <w:t>The priority in local areas is to pursue conventional pro-growth policies, despite the Local Government Act 2000 declaring the need for local government to promote the social and environmental well-being of their areas</w:t>
      </w:r>
      <w:r w:rsidR="00B02FC9">
        <w:rPr>
          <w:vertAlign w:val="superscript"/>
        </w:rPr>
        <w:footnoteReference w:id="47"/>
      </w:r>
      <w:r w:rsidR="5AC2E301">
        <w:t xml:space="preserve">. These latter goals </w:t>
      </w:r>
      <w:proofErr w:type="gramStart"/>
      <w:r w:rsidR="5AC2E301">
        <w:t>are suborned</w:t>
      </w:r>
      <w:proofErr w:type="gramEnd"/>
      <w:r w:rsidR="5AC2E301">
        <w:t xml:space="preserve"> to growth-centred policies and plans, or at least are claimed to be compatible with these. Despite the growing interest in ideas associated with planning for degrowth</w:t>
      </w:r>
      <w:r w:rsidR="00B02FC9">
        <w:rPr>
          <w:rStyle w:val="FootnoteReference"/>
        </w:rPr>
        <w:footnoteReference w:id="48"/>
      </w:r>
      <w:r w:rsidR="5AC2E301">
        <w:t xml:space="preserve">, conventional development pathways remain the standard ones for local government. </w:t>
      </w:r>
      <w:r w:rsidR="79F0A6A2">
        <w:t xml:space="preserve">Where there have been advocates for more ambitious net zero policies and plans, these voices, often from council officers, </w:t>
      </w:r>
      <w:proofErr w:type="gramStart"/>
      <w:r w:rsidR="79F0A6A2">
        <w:t>are confounded</w:t>
      </w:r>
      <w:proofErr w:type="gramEnd"/>
      <w:r w:rsidR="79F0A6A2">
        <w:t xml:space="preserve"> by the preferences of elected officials who reject these ideas</w:t>
      </w:r>
      <w:r w:rsidR="003A0BB3">
        <w:rPr>
          <w:vertAlign w:val="superscript"/>
        </w:rPr>
        <w:footnoteReference w:id="49"/>
      </w:r>
      <w:r w:rsidR="79F0A6A2">
        <w:t xml:space="preserve">. Rather than confront </w:t>
      </w:r>
      <w:r>
        <w:t xml:space="preserve">the </w:t>
      </w:r>
      <w:r w:rsidR="79F0A6A2">
        <w:t>long-term imperatives</w:t>
      </w:r>
      <w:r w:rsidR="3DE9BA8B">
        <w:t xml:space="preserve"> of a climate emergency</w:t>
      </w:r>
      <w:r w:rsidR="79F0A6A2">
        <w:t xml:space="preserve">, elected politicians have </w:t>
      </w:r>
      <w:proofErr w:type="gramStart"/>
      <w:r w:rsidR="79F0A6A2">
        <w:t>generally preferred</w:t>
      </w:r>
      <w:proofErr w:type="gramEnd"/>
      <w:r w:rsidR="79F0A6A2">
        <w:t xml:space="preserve"> operating to shorter time horizons, principally related to the electoral cycle</w:t>
      </w:r>
      <w:r w:rsidR="003A0BB3">
        <w:rPr>
          <w:vertAlign w:val="superscript"/>
        </w:rPr>
        <w:footnoteReference w:id="50"/>
      </w:r>
      <w:r w:rsidR="79F0A6A2">
        <w:t>. Rather than engage in challenging conversations, local authority officers have tended to look for leadership at a national level for policies which can drive local action</w:t>
      </w:r>
      <w:r w:rsidR="003A0BB3">
        <w:rPr>
          <w:vertAlign w:val="superscript"/>
        </w:rPr>
        <w:footnoteReference w:id="51"/>
      </w:r>
      <w:r w:rsidR="79F0A6A2">
        <w:t>. The pro-growth ideology that currently guides England’s national planning system means that the development of a pro-net zero regime is a distant prospect</w:t>
      </w:r>
      <w:proofErr w:type="gramStart"/>
      <w:r w:rsidR="79F0A6A2">
        <w:t xml:space="preserve">.  </w:t>
      </w:r>
      <w:proofErr w:type="gramEnd"/>
    </w:p>
    <w:p w14:paraId="7D14AADF" w14:textId="77777777" w:rsidR="003A0BB3" w:rsidRDefault="003A0BB3" w:rsidP="00B02FC9"/>
    <w:p w14:paraId="4C0C6C58" w14:textId="3B3D972A" w:rsidR="00B02FC9" w:rsidRDefault="79F0A6A2" w:rsidP="4395FF7F">
      <w:r w:rsidRPr="4395FF7F">
        <w:rPr>
          <w:i/>
          <w:iCs/>
        </w:rPr>
        <w:t>National planning centralisation:</w:t>
      </w:r>
      <w:r>
        <w:t xml:space="preserve"> </w:t>
      </w:r>
      <w:r w:rsidR="3DE9BA8B">
        <w:t xml:space="preserve">The limited willingness to engage in climate leadership </w:t>
      </w:r>
      <w:proofErr w:type="gramStart"/>
      <w:r w:rsidR="3DE9BA8B">
        <w:t xml:space="preserve">is </w:t>
      </w:r>
      <w:r w:rsidR="5AC2E301">
        <w:t>partially conditioned</w:t>
      </w:r>
      <w:proofErr w:type="gramEnd"/>
      <w:r w:rsidR="5AC2E301">
        <w:t xml:space="preserve"> by central government</w:t>
      </w:r>
      <w:r w:rsidR="3DE9BA8B">
        <w:t>’s dominance within multi</w:t>
      </w:r>
      <w:r w:rsidR="000D3D5F">
        <w:t>-</w:t>
      </w:r>
      <w:r w:rsidR="3DE9BA8B">
        <w:t>scalar governance</w:t>
      </w:r>
      <w:r w:rsidR="5AC2E301">
        <w:t xml:space="preserve">. This </w:t>
      </w:r>
      <w:proofErr w:type="gramStart"/>
      <w:r w:rsidR="5AC2E301">
        <w:t xml:space="preserve">is </w:t>
      </w:r>
      <w:r w:rsidR="7C3B58A6">
        <w:t xml:space="preserve">most </w:t>
      </w:r>
      <w:r w:rsidR="5AC2E301">
        <w:t>clearly demonstrated</w:t>
      </w:r>
      <w:proofErr w:type="gramEnd"/>
      <w:r w:rsidR="5AC2E301">
        <w:t xml:space="preserve"> with local housing targets. As councils face economic sanctions for failing to meet building targets, pressures to reach them by relaxing planning permission limit their capacity to ensure that the correct type of housing </w:t>
      </w:r>
      <w:proofErr w:type="gramStart"/>
      <w:r w:rsidR="5AC2E301">
        <w:t>is provided</w:t>
      </w:r>
      <w:proofErr w:type="gramEnd"/>
      <w:r w:rsidR="5AC2E301">
        <w:t xml:space="preserve"> for the local area, including low-carbon housing</w:t>
      </w:r>
      <w:r w:rsidR="00B02FC9">
        <w:rPr>
          <w:vertAlign w:val="superscript"/>
        </w:rPr>
        <w:footnoteReference w:id="52"/>
      </w:r>
      <w:r w:rsidR="5AC2E301">
        <w:t xml:space="preserve">. This speaks to the broader systemic tensions which exist within the planning system in England and its suitability for the net zero transition. The centralisation of the English planning system, which allows the right to appeal planning decisions to national government where local planning bodies have rejected permission for development, limits the potential of planning bodies to pursue more radical policies for the net zero agenda. </w:t>
      </w:r>
      <w:r w:rsidR="6CE414AF" w:rsidRPr="4395FF7F">
        <w:rPr>
          <w:color w:val="000000" w:themeColor="text1"/>
        </w:rPr>
        <w:t xml:space="preserve">Moreover, the centralised nature of regulatory frameworks limits the scope to pursue genuine local policy innovation. This can </w:t>
      </w:r>
      <w:proofErr w:type="gramStart"/>
      <w:r w:rsidR="6CE414AF" w:rsidRPr="4395FF7F">
        <w:rPr>
          <w:color w:val="000000" w:themeColor="text1"/>
        </w:rPr>
        <w:t>be demonstrated</w:t>
      </w:r>
      <w:proofErr w:type="gramEnd"/>
      <w:r w:rsidR="6CE414AF" w:rsidRPr="4395FF7F">
        <w:rPr>
          <w:color w:val="000000" w:themeColor="text1"/>
        </w:rPr>
        <w:t xml:space="preserve"> in the context of buildings in conservation areas. Fetzer estimates this housing is responsible for 3.2 million tonnes of avoidable emissions annually</w:t>
      </w:r>
      <w:r w:rsidRPr="4395FF7F">
        <w:rPr>
          <w:rStyle w:val="FootnoteReference"/>
          <w:color w:val="000000" w:themeColor="text1"/>
        </w:rPr>
        <w:footnoteReference w:id="53"/>
      </w:r>
      <w:r w:rsidR="6CE414AF" w:rsidRPr="4395FF7F">
        <w:rPr>
          <w:color w:val="000000" w:themeColor="text1"/>
        </w:rPr>
        <w:t xml:space="preserve">. Rules on conservation areas such as the Planning (Listed Buildings and Conservation Areas) Act 1990 and 2021’s National Planning Framework set out principles for protecting such historic areas. But the </w:t>
      </w:r>
      <w:proofErr w:type="gramStart"/>
      <w:r w:rsidR="6CE414AF" w:rsidRPr="4395FF7F">
        <w:rPr>
          <w:color w:val="000000" w:themeColor="text1"/>
        </w:rPr>
        <w:t>relatively strict</w:t>
      </w:r>
      <w:proofErr w:type="gramEnd"/>
      <w:r w:rsidR="6CE414AF" w:rsidRPr="4395FF7F">
        <w:rPr>
          <w:color w:val="000000" w:themeColor="text1"/>
        </w:rPr>
        <w:t xml:space="preserve"> approach to regulating the deployment of retrofit to homes in conservation areas limits </w:t>
      </w:r>
      <w:r w:rsidR="6CE414AF" w:rsidRPr="4395FF7F">
        <w:rPr>
          <w:color w:val="000000" w:themeColor="text1"/>
        </w:rPr>
        <w:lastRenderedPageBreak/>
        <w:t xml:space="preserve">the scope for effective carbon savings, disadvantages communities in these areas and inhibits local planning authorities from engaging in innovation more generally. </w:t>
      </w:r>
      <w:r w:rsidR="6CE414AF">
        <w:t>Centralisation does not, however, reach as far as imposing an energy mandate on local planning authorities</w:t>
      </w:r>
      <w:r w:rsidRPr="4395FF7F">
        <w:rPr>
          <w:rStyle w:val="FootnoteReference"/>
        </w:rPr>
        <w:footnoteReference w:id="54"/>
      </w:r>
      <w:r w:rsidR="6CE414AF">
        <w:t>, which could stimulate action where local ambition for net zero. Hence, centralisation in the UK is consistent in reinforcing growth policies and limited in the pursuit of net zero principles.</w:t>
      </w:r>
    </w:p>
    <w:p w14:paraId="658ABDDD" w14:textId="1F91EF5E" w:rsidR="00B02FC9" w:rsidRDefault="00B02FC9" w:rsidP="4395FF7F">
      <w:pPr>
        <w:rPr>
          <w:color w:val="000000" w:themeColor="text1"/>
        </w:rPr>
      </w:pPr>
    </w:p>
    <w:p w14:paraId="0F8078A4" w14:textId="536EDD54" w:rsidR="00B02FC9" w:rsidRDefault="6CE414AF" w:rsidP="4395FF7F">
      <w:r w:rsidRPr="4395FF7F">
        <w:rPr>
          <w:color w:val="000000" w:themeColor="text1"/>
        </w:rPr>
        <w:t>There could be scope to produce greater policy experimentation</w:t>
      </w:r>
      <w:r w:rsidR="63C748AE" w:rsidRPr="4395FF7F">
        <w:rPr>
          <w:color w:val="000000" w:themeColor="text1"/>
        </w:rPr>
        <w:t xml:space="preserve"> and place-specific </w:t>
      </w:r>
      <w:r w:rsidRPr="4395FF7F">
        <w:rPr>
          <w:color w:val="000000" w:themeColor="text1"/>
        </w:rPr>
        <w:t xml:space="preserve">learning through processes to produce more local experimentation and wider regulatory change to facilitate effective net zero action. </w:t>
      </w:r>
      <w:r>
        <w:t>One approach which has emerged in the past decade to enable greater policy learning, innovation and regulatory change is a ‘regulatory sandbox</w:t>
      </w:r>
      <w:proofErr w:type="gramStart"/>
      <w:r>
        <w:t>’.</w:t>
      </w:r>
      <w:proofErr w:type="gramEnd"/>
      <w:r>
        <w:t xml:space="preserve"> The idea was to promote non-traditional models of business and governance which would in ordinary circumstances not </w:t>
      </w:r>
      <w:proofErr w:type="gramStart"/>
      <w:r>
        <w:t>be legally permitted</w:t>
      </w:r>
      <w:proofErr w:type="gramEnd"/>
      <w:r>
        <w:t xml:space="preserve"> in the current regulatory environment, which is a highly monitored and low-risk environment</w:t>
      </w:r>
      <w:r w:rsidR="79F0A6A2" w:rsidRPr="4395FF7F">
        <w:rPr>
          <w:rStyle w:val="FootnoteReference"/>
        </w:rPr>
        <w:footnoteReference w:id="55"/>
      </w:r>
      <w:r>
        <w:t>.</w:t>
      </w:r>
      <w:r w:rsidR="226C2DE0">
        <w:t xml:space="preserve"> By enabling </w:t>
      </w:r>
      <w:r w:rsidR="351BBEEA">
        <w:t>greater</w:t>
      </w:r>
      <w:r w:rsidR="226C2DE0">
        <w:t xml:space="preserve"> </w:t>
      </w:r>
      <w:r w:rsidR="3028F9FB">
        <w:t>flexibility</w:t>
      </w:r>
      <w:r w:rsidR="226C2DE0">
        <w:t xml:space="preserve"> to emerge in </w:t>
      </w:r>
      <w:proofErr w:type="gramStart"/>
      <w:r w:rsidR="226C2DE0">
        <w:t>different places</w:t>
      </w:r>
      <w:proofErr w:type="gramEnd"/>
      <w:r w:rsidR="226C2DE0">
        <w:t xml:space="preserve"> in the UK, there is the potential to impact regulatory change across different </w:t>
      </w:r>
      <w:r w:rsidR="00A040C5">
        <w:t>places</w:t>
      </w:r>
      <w:r w:rsidR="61111311">
        <w:t>.</w:t>
      </w:r>
      <w:r>
        <w:t xml:space="preserve"> In the UK, the energy regulator Ofgem </w:t>
      </w:r>
      <w:r w:rsidR="00A040C5">
        <w:t>used</w:t>
      </w:r>
      <w:r>
        <w:t xml:space="preserve"> sandboxing to explore the scope for regulatory flexibility on key areas such as short-term rule breaches</w:t>
      </w:r>
      <w:r w:rsidR="79F0A6A2" w:rsidRPr="4395FF7F">
        <w:rPr>
          <w:rStyle w:val="FootnoteReference"/>
        </w:rPr>
        <w:footnoteReference w:id="56"/>
      </w:r>
      <w:r>
        <w:t>.</w:t>
      </w:r>
      <w:r w:rsidR="0E91EE32">
        <w:t xml:space="preserve"> This exercise invited innovators to </w:t>
      </w:r>
      <w:r w:rsidR="00A040C5">
        <w:t>trial</w:t>
      </w:r>
      <w:r w:rsidR="0E91EE32">
        <w:t xml:space="preserve"> novel </w:t>
      </w:r>
      <w:r w:rsidR="6F293453">
        <w:t xml:space="preserve">products and services on the energy system which would not </w:t>
      </w:r>
      <w:r w:rsidR="00A040C5">
        <w:t xml:space="preserve">normally </w:t>
      </w:r>
      <w:proofErr w:type="gramStart"/>
      <w:r w:rsidR="6F293453">
        <w:t>be permitted</w:t>
      </w:r>
      <w:proofErr w:type="gramEnd"/>
      <w:r w:rsidR="6F293453">
        <w:t xml:space="preserve"> such as peer-to-peer energy trading</w:t>
      </w:r>
      <w:r w:rsidR="758FCAB7">
        <w:t xml:space="preserve"> (</w:t>
      </w:r>
      <w:r w:rsidR="0D208C1E">
        <w:t xml:space="preserve">due to a lack of regulatory framework for buying and selling energy at a domestic level) </w:t>
      </w:r>
      <w:r w:rsidR="758FCAB7">
        <w:t>and highlight critical regulatory c</w:t>
      </w:r>
      <w:r w:rsidR="13872282">
        <w:t>onstraints</w:t>
      </w:r>
      <w:r w:rsidR="79F0A6A2" w:rsidRPr="4395FF7F">
        <w:rPr>
          <w:rStyle w:val="FootnoteReference"/>
        </w:rPr>
        <w:footnoteReference w:id="57"/>
      </w:r>
      <w:r w:rsidR="13872282">
        <w:t>.</w:t>
      </w:r>
      <w:r w:rsidR="00A040C5">
        <w:t xml:space="preserve"> </w:t>
      </w:r>
      <w:r>
        <w:t xml:space="preserve">Such sandboxes can provide a space for experimental learning which could then </w:t>
      </w:r>
      <w:r w:rsidR="00A040C5">
        <w:t xml:space="preserve">lead to new phases of policy development, </w:t>
      </w:r>
      <w:r>
        <w:t xml:space="preserve">resulting in faster evolution of the regulatory environment to changing demands </w:t>
      </w:r>
      <w:r w:rsidR="00A040C5">
        <w:t>for</w:t>
      </w:r>
      <w:r>
        <w:t xml:space="preserve"> </w:t>
      </w:r>
      <w:proofErr w:type="gramStart"/>
      <w:r>
        <w:t>new technology</w:t>
      </w:r>
      <w:proofErr w:type="gramEnd"/>
      <w:r>
        <w:t xml:space="preserve"> or other aspects of the transition</w:t>
      </w:r>
      <w:r w:rsidR="79F0A6A2" w:rsidRPr="4395FF7F">
        <w:rPr>
          <w:rStyle w:val="FootnoteReference"/>
        </w:rPr>
        <w:footnoteReference w:id="58"/>
      </w:r>
      <w:r>
        <w:t xml:space="preserve">. However, the actual efficacy of this method is still a topic </w:t>
      </w:r>
      <w:r w:rsidR="00A040C5">
        <w:t xml:space="preserve">of </w:t>
      </w:r>
      <w:r>
        <w:t>academic and practitioner discussion</w:t>
      </w:r>
      <w:r w:rsidR="00A040C5">
        <w:t>;</w:t>
      </w:r>
      <w:r>
        <w:t xml:space="preserve"> a principal concern </w:t>
      </w:r>
      <w:r w:rsidR="00A040C5">
        <w:t>is</w:t>
      </w:r>
      <w:r>
        <w:t xml:space="preserve"> how less sizable organisations</w:t>
      </w:r>
      <w:r w:rsidR="00A040C5">
        <w:t xml:space="preserve"> can</w:t>
      </w:r>
      <w:r>
        <w:t xml:space="preserve"> contribut</w:t>
      </w:r>
      <w:r w:rsidR="00A040C5">
        <w:t>e</w:t>
      </w:r>
      <w:r>
        <w:t xml:space="preserve"> to </w:t>
      </w:r>
      <w:r w:rsidR="00A040C5">
        <w:t>sand</w:t>
      </w:r>
      <w:r>
        <w:t>pit</w:t>
      </w:r>
      <w:r w:rsidR="00A040C5">
        <w:t xml:space="preserve">s and </w:t>
      </w:r>
      <w:r>
        <w:t>not</w:t>
      </w:r>
      <w:r w:rsidR="00A040C5">
        <w:t xml:space="preserve"> </w:t>
      </w:r>
      <w:proofErr w:type="gramStart"/>
      <w:r w:rsidR="00A040C5">
        <w:t>be</w:t>
      </w:r>
      <w:r>
        <w:t xml:space="preserve"> drowned</w:t>
      </w:r>
      <w:proofErr w:type="gramEnd"/>
      <w:r>
        <w:t xml:space="preserve"> out due to their weaker capacity to engage in advanced policy discussions compared to larger organisations. </w:t>
      </w:r>
    </w:p>
    <w:p w14:paraId="2F5B2E74" w14:textId="13B91D61" w:rsidR="4395FF7F" w:rsidRDefault="4395FF7F" w:rsidP="4395FF7F"/>
    <w:p w14:paraId="4AA428A5" w14:textId="045BBCC7" w:rsidR="006E13BC" w:rsidRDefault="7C3AFD37" w:rsidP="0AE31BE2">
      <w:r w:rsidRPr="4395FF7F">
        <w:rPr>
          <w:i/>
          <w:iCs/>
        </w:rPr>
        <w:t xml:space="preserve">Inertia in the planning system: </w:t>
      </w:r>
      <w:r w:rsidR="45EC408E" w:rsidRPr="00253222">
        <w:t>Addressing</w:t>
      </w:r>
      <w:r w:rsidR="1A60D6F9" w:rsidRPr="00707CEF">
        <w:t xml:space="preserve"> net zero</w:t>
      </w:r>
      <w:r w:rsidR="1A60D6F9">
        <w:t xml:space="preserve"> requires rapid and eff</w:t>
      </w:r>
      <w:r w:rsidR="00676275">
        <w:t>ective</w:t>
      </w:r>
      <w:r w:rsidR="1A60D6F9">
        <w:t xml:space="preserve"> </w:t>
      </w:r>
      <w:r w:rsidR="27FA782A">
        <w:t xml:space="preserve">action to reduce emissions from across key sectors. </w:t>
      </w:r>
      <w:r w:rsidR="73970353">
        <w:t xml:space="preserve">However, repeated failures to improve </w:t>
      </w:r>
      <w:r w:rsidR="2C6783AE">
        <w:t xml:space="preserve">policy to compel key actors to reduce emissions across the </w:t>
      </w:r>
      <w:r w:rsidR="18DB0782">
        <w:t>lifecycle</w:t>
      </w:r>
      <w:r w:rsidR="2C6783AE">
        <w:t xml:space="preserve"> of products and services </w:t>
      </w:r>
      <w:r w:rsidR="00325A87">
        <w:t>have</w:t>
      </w:r>
      <w:r w:rsidR="2C6783AE">
        <w:t xml:space="preserve"> limited rap</w:t>
      </w:r>
      <w:r w:rsidR="19DBA172">
        <w:t>id decarbonisation</w:t>
      </w:r>
      <w:r w:rsidR="008E3519">
        <w:rPr>
          <w:rStyle w:val="FootnoteReference"/>
        </w:rPr>
        <w:footnoteReference w:id="59"/>
      </w:r>
      <w:r w:rsidR="19DBA172">
        <w:t>.</w:t>
      </w:r>
      <w:r w:rsidR="24983156">
        <w:t xml:space="preserve"> </w:t>
      </w:r>
      <w:r w:rsidR="008E3519">
        <w:t xml:space="preserve">The </w:t>
      </w:r>
      <w:r w:rsidR="006E13BC">
        <w:t xml:space="preserve">UK </w:t>
      </w:r>
      <w:r w:rsidR="008E3519">
        <w:t xml:space="preserve">land-use planning process has, in theory, </w:t>
      </w:r>
      <w:proofErr w:type="gramStart"/>
      <w:r w:rsidR="008E3519">
        <w:t>some</w:t>
      </w:r>
      <w:proofErr w:type="gramEnd"/>
      <w:r w:rsidR="008E3519">
        <w:t xml:space="preserve"> potential to set the direction </w:t>
      </w:r>
      <w:r w:rsidR="006E13BC">
        <w:t xml:space="preserve">for net zero at the local scale. However, it has been criticised for its </w:t>
      </w:r>
      <w:proofErr w:type="gramStart"/>
      <w:r w:rsidR="006E13BC">
        <w:t>essentially reactive</w:t>
      </w:r>
      <w:proofErr w:type="gramEnd"/>
      <w:r w:rsidR="006E13BC">
        <w:t xml:space="preserve"> nature to development proposals and for not being proactive when it comes to setting ambitious environmental standards (including for carbon savings), particularly in terms of housebuilding</w:t>
      </w:r>
      <w:r w:rsidR="006E13BC">
        <w:rPr>
          <w:rStyle w:val="FootnoteReference"/>
        </w:rPr>
        <w:footnoteReference w:id="60"/>
      </w:r>
      <w:r w:rsidR="006E13BC">
        <w:t xml:space="preserve">. </w:t>
      </w:r>
      <w:r w:rsidR="000B40B0">
        <w:t xml:space="preserve">For example, </w:t>
      </w:r>
      <w:r w:rsidR="00843EC5">
        <w:t>the recent changes to</w:t>
      </w:r>
      <w:r w:rsidR="000B40B0">
        <w:t xml:space="preserve"> Part L of the </w:t>
      </w:r>
      <w:r w:rsidR="000B40B0">
        <w:lastRenderedPageBreak/>
        <w:t xml:space="preserve">Building Regulations for energy efficiency requirements </w:t>
      </w:r>
      <w:r w:rsidR="00843EC5">
        <w:t>for</w:t>
      </w:r>
      <w:r w:rsidR="000B40B0">
        <w:t xml:space="preserve"> new buildings and the upcoming Future Homes Standard will help to drive decarbonisation in buildings, the </w:t>
      </w:r>
      <w:r w:rsidR="00843EC5">
        <w:t xml:space="preserve">potential </w:t>
      </w:r>
      <w:r w:rsidR="000B40B0">
        <w:t>emissions reduction</w:t>
      </w:r>
      <w:r w:rsidR="00843EC5">
        <w:t xml:space="preserve">s </w:t>
      </w:r>
      <w:r w:rsidR="000B40B0">
        <w:t>remain lower than</w:t>
      </w:r>
      <w:r w:rsidR="00843EC5">
        <w:t xml:space="preserve"> </w:t>
      </w:r>
      <w:proofErr w:type="gramStart"/>
      <w:r w:rsidR="00843EC5">
        <w:t xml:space="preserve">is </w:t>
      </w:r>
      <w:r w:rsidR="000B40B0">
        <w:t>needed</w:t>
      </w:r>
      <w:proofErr w:type="gramEnd"/>
      <w:r w:rsidR="000B40B0">
        <w:t xml:space="preserve"> for deep decarbonisation</w:t>
      </w:r>
      <w:r w:rsidR="1E4A6109">
        <w:t>.</w:t>
      </w:r>
      <w:r w:rsidR="00843EC5">
        <w:t xml:space="preserve"> </w:t>
      </w:r>
      <w:r w:rsidR="000B40B0">
        <w:t>Moreover, as previously noted</w:t>
      </w:r>
      <w:r w:rsidR="00843EC5">
        <w:t>,</w:t>
      </w:r>
      <w:r w:rsidR="000B40B0">
        <w:t xml:space="preserve"> stringent planning laws </w:t>
      </w:r>
      <w:proofErr w:type="gramStart"/>
      <w:r w:rsidR="000B40B0">
        <w:t>greatly limit</w:t>
      </w:r>
      <w:proofErr w:type="gramEnd"/>
      <w:r w:rsidR="000B40B0">
        <w:t xml:space="preserve"> the </w:t>
      </w:r>
      <w:r w:rsidR="00843EC5">
        <w:t>re</w:t>
      </w:r>
      <w:r w:rsidR="000B40B0">
        <w:t xml:space="preserve">development of existing buildings – particularly in conservation areas </w:t>
      </w:r>
      <w:r w:rsidR="00843EC5">
        <w:t>–</w:t>
      </w:r>
      <w:r w:rsidR="000B40B0">
        <w:t xml:space="preserve"> to reduce their carbon impact through measures such as retrofit, EV charger installation, heat pumps and solar PV installation. But problems with land-use planning </w:t>
      </w:r>
      <w:r w:rsidR="00B939B0">
        <w:t>are</w:t>
      </w:r>
      <w:r w:rsidR="000B40B0">
        <w:t xml:space="preserve"> not just evident with buildings but also with issues such as urban design to enable better environmental protection</w:t>
      </w:r>
      <w:r w:rsidR="00B939B0">
        <w:t xml:space="preserve"> (including biodiversity net gain)</w:t>
      </w:r>
      <w:r w:rsidR="000B40B0">
        <w:t xml:space="preserve">, addressing flash flooding, </w:t>
      </w:r>
      <w:r w:rsidR="00B939B0">
        <w:t xml:space="preserve">and </w:t>
      </w:r>
      <w:r w:rsidR="000B40B0">
        <w:t xml:space="preserve">enabling the better strategic use of </w:t>
      </w:r>
      <w:r w:rsidR="00B939B0">
        <w:t>the Community Infrastructure Levy for community benefit.</w:t>
      </w:r>
      <w:r w:rsidR="000B40B0">
        <w:t xml:space="preserve"> Wher</w:t>
      </w:r>
      <w:r w:rsidR="00843EC5">
        <w:t>e</w:t>
      </w:r>
      <w:r w:rsidR="000B40B0">
        <w:t xml:space="preserve"> there might be scope for local discretion</w:t>
      </w:r>
      <w:r w:rsidR="00253222">
        <w:t xml:space="preserve"> to </w:t>
      </w:r>
      <w:proofErr w:type="gramStart"/>
      <w:r w:rsidR="00253222">
        <w:t>be exercised</w:t>
      </w:r>
      <w:proofErr w:type="gramEnd"/>
      <w:r w:rsidR="00253222">
        <w:t xml:space="preserve">, this has often been rejected by planners due to feeling exposed </w:t>
      </w:r>
      <w:r w:rsidR="00B939B0">
        <w:t>for</w:t>
      </w:r>
      <w:r w:rsidR="00253222">
        <w:t xml:space="preserve"> decisions for which they might be blamed, </w:t>
      </w:r>
      <w:r w:rsidR="00B939B0">
        <w:t xml:space="preserve">particularly given the centralised nature of the planning process in England, </w:t>
      </w:r>
      <w:r w:rsidR="00253222">
        <w:t xml:space="preserve">hence they </w:t>
      </w:r>
      <w:r w:rsidR="00B939B0">
        <w:t>use</w:t>
      </w:r>
      <w:r w:rsidR="00253222">
        <w:t xml:space="preserve"> inactio</w:t>
      </w:r>
      <w:r w:rsidR="00B939B0">
        <w:t xml:space="preserve">n </w:t>
      </w:r>
      <w:r w:rsidR="00253222">
        <w:t>to avoid blame.</w:t>
      </w:r>
      <w:r w:rsidR="00253222">
        <w:rPr>
          <w:rStyle w:val="FootnoteReference"/>
        </w:rPr>
        <w:footnoteReference w:id="61"/>
      </w:r>
    </w:p>
    <w:p w14:paraId="0000003B" w14:textId="5F6CE4FD" w:rsidR="006864E3" w:rsidRDefault="006864E3" w:rsidP="1D6FAAA3">
      <w:pPr>
        <w:rPr>
          <w:rFonts w:ascii="Calibri" w:eastAsia="Calibri" w:hAnsi="Calibri" w:cs="Calibri"/>
          <w:i/>
          <w:iCs/>
          <w:color w:val="242424"/>
          <w:highlight w:val="yellow"/>
        </w:rPr>
      </w:pPr>
    </w:p>
    <w:p w14:paraId="6C5235EA" w14:textId="32E2879A" w:rsidR="008B3A22" w:rsidRDefault="7C3B58A6" w:rsidP="1D6FAAA3">
      <w:r w:rsidRPr="4395FF7F">
        <w:rPr>
          <w:i/>
          <w:iCs/>
        </w:rPr>
        <w:t xml:space="preserve">Limited capacity for </w:t>
      </w:r>
      <w:r w:rsidR="4911A95A" w:rsidRPr="4395FF7F">
        <w:rPr>
          <w:i/>
          <w:iCs/>
        </w:rPr>
        <w:t>long-term</w:t>
      </w:r>
      <w:r w:rsidRPr="4395FF7F">
        <w:rPr>
          <w:i/>
          <w:iCs/>
        </w:rPr>
        <w:t xml:space="preserve"> </w:t>
      </w:r>
      <w:r w:rsidR="79F0A6A2" w:rsidRPr="4395FF7F">
        <w:rPr>
          <w:i/>
          <w:iCs/>
        </w:rPr>
        <w:t>planning</w:t>
      </w:r>
      <w:r>
        <w:t xml:space="preserve">: </w:t>
      </w:r>
      <w:r w:rsidR="3DE9BA8B">
        <w:t>Even where there might be a willingness to act,</w:t>
      </w:r>
      <w:r w:rsidR="2B963BB9">
        <w:t xml:space="preserve"> </w:t>
      </w:r>
      <w:r w:rsidR="3DE9BA8B">
        <w:t>local areas</w:t>
      </w:r>
      <w:r w:rsidR="1D36B52B">
        <w:t xml:space="preserve"> lack </w:t>
      </w:r>
      <w:r w:rsidR="2B963BB9">
        <w:t xml:space="preserve">the </w:t>
      </w:r>
      <w:r w:rsidR="1D36B52B">
        <w:t>skills and capacity to create net zero plans</w:t>
      </w:r>
      <w:r w:rsidR="5A624F93">
        <w:t>,</w:t>
      </w:r>
      <w:r w:rsidR="1D36B52B">
        <w:t xml:space="preserve"> </w:t>
      </w:r>
      <w:r w:rsidR="4192B945">
        <w:t>particularly in smaller areas</w:t>
      </w:r>
      <w:r w:rsidR="1D36B52B">
        <w:t>.</w:t>
      </w:r>
      <w:r w:rsidR="4192B945">
        <w:t xml:space="preserve"> At a time when local authorities struggle to deliver </w:t>
      </w:r>
      <w:r w:rsidR="5EF2C680">
        <w:t xml:space="preserve">on </w:t>
      </w:r>
      <w:r w:rsidR="4192B945">
        <w:t xml:space="preserve">their statutory duties, additional non-statutory </w:t>
      </w:r>
      <w:r w:rsidR="5EF2C680">
        <w:t>requirements</w:t>
      </w:r>
      <w:r w:rsidR="4192B945">
        <w:t>, in a newly developing</w:t>
      </w:r>
      <w:r w:rsidR="5EF2C680">
        <w:t xml:space="preserve"> </w:t>
      </w:r>
      <w:r w:rsidR="4192B945">
        <w:t>and often contested field such as delivering on net zero</w:t>
      </w:r>
      <w:r w:rsidR="5EF2C680">
        <w:t>,</w:t>
      </w:r>
      <w:r w:rsidR="4192B945">
        <w:t xml:space="preserve"> have been </w:t>
      </w:r>
      <w:r w:rsidR="34711C56">
        <w:t>side-lined</w:t>
      </w:r>
      <w:r w:rsidR="4192B945">
        <w:t xml:space="preserve"> or outsourced to the community without the agency to drive the necessary scale of change</w:t>
      </w:r>
      <w:r w:rsidR="00BC4AC1">
        <w:rPr>
          <w:vertAlign w:val="superscript"/>
        </w:rPr>
        <w:footnoteReference w:id="62"/>
      </w:r>
      <w:r w:rsidR="4192B945">
        <w:t xml:space="preserve">. </w:t>
      </w:r>
      <w:r w:rsidR="5AC2E301">
        <w:t>Financial pressures resulting from austerity alongside reduced staff capacity – a general trend towards fewer in-house planners in local authorities – have limited long-term thinking in planning, essential when considering 2050 net zero targets.</w:t>
      </w:r>
      <w:r w:rsidR="5AC2E301" w:rsidRPr="00B036F0">
        <w:rPr>
          <w:rStyle w:val="FootnoteReference"/>
        </w:rPr>
        <w:t xml:space="preserve"> </w:t>
      </w:r>
      <w:r w:rsidR="5AC2E301">
        <w:t>Critically, in a review of planners in England, it was clear that planners were not trained or aware of key climate issues and their connection to planning beyond flooding</w:t>
      </w:r>
      <w:r w:rsidR="00B02FC9" w:rsidRPr="00B036F0">
        <w:rPr>
          <w:rStyle w:val="FootnoteReference"/>
        </w:rPr>
        <w:footnoteReference w:id="63"/>
      </w:r>
      <w:r w:rsidR="5AC2E301">
        <w:t>. This knowledge gap</w:t>
      </w:r>
      <w:r w:rsidR="2B963BB9">
        <w:t>,</w:t>
      </w:r>
      <w:r w:rsidR="5AC2E301">
        <w:t xml:space="preserve"> particularly in considering how complex systems operate</w:t>
      </w:r>
      <w:r w:rsidR="2B963BB9">
        <w:t>,</w:t>
      </w:r>
      <w:r w:rsidR="5AC2E301">
        <w:t xml:space="preserve"> has the potential to be a major barrier to deep action on climate change at a local level, particularly with a lack of central policy to improve the planning framework. </w:t>
      </w:r>
      <w:r w:rsidR="00843EC5">
        <w:t>L</w:t>
      </w:r>
      <w:r w:rsidR="5AC2E301">
        <w:t>ocal authorities have the capacity to improve local planning with supplementary plans, mandating the developers to build to lower carbon standards</w:t>
      </w:r>
      <w:r w:rsidR="00B02FC9" w:rsidRPr="00B036F0">
        <w:rPr>
          <w:rStyle w:val="FootnoteReference"/>
        </w:rPr>
        <w:footnoteReference w:id="64"/>
      </w:r>
      <w:r w:rsidR="5AC2E301">
        <w:t xml:space="preserve">. However, there are limits to what planning can achieve. Eighty per cent of the buildings that are set to be around in 2050 are already </w:t>
      </w:r>
      <w:r w:rsidR="5AC2E301" w:rsidRPr="00ED352D">
        <w:t>built, meaning additional work is needed to address the existing housing stock</w:t>
      </w:r>
      <w:r w:rsidR="00B02FC9" w:rsidRPr="00ED352D">
        <w:rPr>
          <w:rStyle w:val="FootnoteReference"/>
        </w:rPr>
        <w:footnoteReference w:id="65"/>
      </w:r>
      <w:r w:rsidR="5AC2E301" w:rsidRPr="00ED352D">
        <w:t xml:space="preserve">, something the planning system struggles to address because it is </w:t>
      </w:r>
      <w:proofErr w:type="gramStart"/>
      <w:r w:rsidR="5AC2E301" w:rsidRPr="00ED352D">
        <w:t>essentially reactive</w:t>
      </w:r>
      <w:proofErr w:type="gramEnd"/>
      <w:r w:rsidR="5AC2E301" w:rsidRPr="00ED352D">
        <w:t xml:space="preserve"> to development proposals. </w:t>
      </w:r>
    </w:p>
    <w:p w14:paraId="3B40D06E" w14:textId="77777777" w:rsidR="00CC6399" w:rsidRDefault="00CC6399" w:rsidP="00CC6399"/>
    <w:p w14:paraId="739936D7" w14:textId="02776AE9" w:rsidR="00ED352D" w:rsidRPr="00CC6399" w:rsidRDefault="4192B945" w:rsidP="00CC6399">
      <w:r w:rsidRPr="00ED352D">
        <w:t xml:space="preserve">To summarise, </w:t>
      </w:r>
      <w:r w:rsidR="1240A825" w:rsidRPr="00ED352D">
        <w:t xml:space="preserve">there is </w:t>
      </w:r>
      <w:proofErr w:type="gramStart"/>
      <w:r w:rsidR="1240A825" w:rsidRPr="00ED352D">
        <w:t>a clear lack</w:t>
      </w:r>
      <w:proofErr w:type="gramEnd"/>
      <w:r w:rsidR="1240A825" w:rsidRPr="00ED352D">
        <w:t xml:space="preserve"> of concerted action for net zero. </w:t>
      </w:r>
      <w:r w:rsidR="3DE9BA8B" w:rsidRPr="00ED352D">
        <w:t xml:space="preserve">This arises from both national and local factors. First, there is a pro-growth ideology which permeates local planning policy. </w:t>
      </w:r>
      <w:proofErr w:type="gramStart"/>
      <w:r w:rsidR="3DE9BA8B" w:rsidRPr="00ED352D">
        <w:t>This is held by local politicians</w:t>
      </w:r>
      <w:proofErr w:type="gramEnd"/>
      <w:r w:rsidR="3DE9BA8B" w:rsidRPr="00ED352D">
        <w:t xml:space="preserve"> as much as national ones. Having </w:t>
      </w:r>
      <w:r w:rsidR="3DE9BA8B" w:rsidRPr="00ED352D">
        <w:lastRenderedPageBreak/>
        <w:t xml:space="preserve">conversations about alternative pathways is challenging. Second, even where there is a desire at the local level to consider such ideas, there is a </w:t>
      </w:r>
      <w:r w:rsidRPr="00ED352D">
        <w:t xml:space="preserve">lack of local autonomy </w:t>
      </w:r>
      <w:r w:rsidR="3DE9BA8B" w:rsidRPr="00ED352D">
        <w:t xml:space="preserve">that </w:t>
      </w:r>
      <w:r w:rsidRPr="00ED352D">
        <w:t>has resulted in English local authorities being followers of centralised policies rather than innovators of unique place-based policy</w:t>
      </w:r>
      <w:r w:rsidR="00BC4AC1" w:rsidRPr="00ED352D">
        <w:rPr>
          <w:vertAlign w:val="superscript"/>
        </w:rPr>
        <w:footnoteReference w:id="66"/>
      </w:r>
      <w:r w:rsidRPr="00ED352D">
        <w:t xml:space="preserve">. This </w:t>
      </w:r>
      <w:proofErr w:type="gramStart"/>
      <w:r w:rsidRPr="00ED352D">
        <w:t>is supported</w:t>
      </w:r>
      <w:proofErr w:type="gramEnd"/>
      <w:r w:rsidRPr="00ED352D">
        <w:t xml:space="preserve"> by Goldthau and Sovacool</w:t>
      </w:r>
      <w:r w:rsidR="00BC4AC1" w:rsidRPr="00ED352D">
        <w:rPr>
          <w:vertAlign w:val="superscript"/>
        </w:rPr>
        <w:footnoteReference w:id="67"/>
      </w:r>
      <w:r w:rsidRPr="00ED352D">
        <w:t xml:space="preserve"> who emphasise that in place-based decarbonisation, clear authority for leading the transition at a local level is absent, resulting in a fragmented system of multi-scalar governance</w:t>
      </w:r>
      <w:r w:rsidR="00BC4AC1" w:rsidRPr="00ED352D">
        <w:rPr>
          <w:vertAlign w:val="superscript"/>
        </w:rPr>
        <w:footnoteReference w:id="68"/>
      </w:r>
      <w:r w:rsidRPr="00ED352D">
        <w:t xml:space="preserve">. </w:t>
      </w:r>
      <w:r w:rsidR="3DE9BA8B" w:rsidRPr="00ED352D">
        <w:t>Third, t</w:t>
      </w:r>
      <w:r w:rsidRPr="00ED352D">
        <w:t xml:space="preserve">aking the necessary action requires both financial and staff capacity and appropriate mechanisms to influence change, particularly through the </w:t>
      </w:r>
      <w:r w:rsidR="1240A825" w:rsidRPr="00ED352D">
        <w:t xml:space="preserve">land-use </w:t>
      </w:r>
      <w:r w:rsidRPr="00ED352D">
        <w:t xml:space="preserve">planning system. However, local authorities have had funding stripped back substantially in the years since 2010, with central government grants </w:t>
      </w:r>
      <w:r w:rsidR="1240A825" w:rsidRPr="00ED352D">
        <w:t>–</w:t>
      </w:r>
      <w:r w:rsidRPr="00ED352D">
        <w:t xml:space="preserve"> the main mechanism for local authority funding in the UK - decreasing by 37% in real terms between 2010-2020</w:t>
      </w:r>
      <w:r w:rsidR="00BC4AC1" w:rsidRPr="00ED352D">
        <w:rPr>
          <w:vertAlign w:val="superscript"/>
        </w:rPr>
        <w:footnoteReference w:id="69"/>
      </w:r>
      <w:r w:rsidRPr="00ED352D">
        <w:t xml:space="preserve">. Whilst </w:t>
      </w:r>
      <w:proofErr w:type="gramStart"/>
      <w:r w:rsidRPr="00ED352D">
        <w:t>many</w:t>
      </w:r>
      <w:proofErr w:type="gramEnd"/>
      <w:r w:rsidRPr="00ED352D">
        <w:t xml:space="preserve"> of the dominant financial and policy mechanisms to drive change are held centrally</w:t>
      </w:r>
      <w:r w:rsidR="00BC4AC1" w:rsidRPr="00ED352D">
        <w:rPr>
          <w:vertAlign w:val="superscript"/>
        </w:rPr>
        <w:footnoteReference w:id="70"/>
      </w:r>
      <w:r w:rsidRPr="00ED352D">
        <w:t>. Under current circumstances</w:t>
      </w:r>
      <w:r w:rsidRPr="00CC6399">
        <w:rPr>
          <w:color w:val="000000" w:themeColor="text1"/>
        </w:rPr>
        <w:t>, the potential for action by local authorities is likely to be limited, although the nature of the ongoing devolution process could affect this</w:t>
      </w:r>
      <w:r w:rsidR="06C1A04E" w:rsidRPr="00CC6399">
        <w:rPr>
          <w:color w:val="000000" w:themeColor="text1"/>
        </w:rPr>
        <w:t xml:space="preserve">, although this could </w:t>
      </w:r>
      <w:proofErr w:type="gramStart"/>
      <w:r w:rsidR="06C1A04E" w:rsidRPr="00CC6399">
        <w:rPr>
          <w:color w:val="000000" w:themeColor="text1"/>
        </w:rPr>
        <w:t>possibly increase</w:t>
      </w:r>
      <w:proofErr w:type="gramEnd"/>
      <w:r w:rsidR="06C1A04E" w:rsidRPr="00CC6399">
        <w:rPr>
          <w:color w:val="000000" w:themeColor="text1"/>
        </w:rPr>
        <w:t xml:space="preserve"> the spatial unevenness of net zero action</w:t>
      </w:r>
      <w:r w:rsidRPr="00CC6399">
        <w:rPr>
          <w:color w:val="000000" w:themeColor="text1"/>
        </w:rPr>
        <w:t>.</w:t>
      </w:r>
      <w:r w:rsidR="06C1A04E" w:rsidRPr="00CC6399">
        <w:rPr>
          <w:color w:val="000000" w:themeColor="text1"/>
        </w:rPr>
        <w:t xml:space="preserve"> To address these limitations, Localis has proposed the idea of a Local Resilience Act to impose a statutory duty on local authorities – with clear funding measures to support this mandate – to develop clear climate adaptation measures</w:t>
      </w:r>
      <w:r w:rsidR="00ED352D" w:rsidRPr="00CC6399">
        <w:rPr>
          <w:rStyle w:val="FootnoteReference"/>
          <w:color w:val="000000" w:themeColor="text1"/>
        </w:rPr>
        <w:footnoteReference w:id="71"/>
      </w:r>
      <w:r w:rsidR="06C1A04E" w:rsidRPr="00CC6399">
        <w:rPr>
          <w:color w:val="000000" w:themeColor="text1"/>
        </w:rPr>
        <w:t>. It would also rationalise policies</w:t>
      </w:r>
      <w:r w:rsidR="38CA3CAF">
        <w:rPr>
          <w:color w:val="000000" w:themeColor="text1"/>
        </w:rPr>
        <w:t xml:space="preserve"> like transportation and biodiversity policies</w:t>
      </w:r>
      <w:r w:rsidR="06C1A04E" w:rsidRPr="00CC6399">
        <w:rPr>
          <w:color w:val="000000" w:themeColor="text1"/>
        </w:rPr>
        <w:t xml:space="preserve"> to enable local authorities to develop novel, place-based actions. </w:t>
      </w:r>
      <w:r w:rsidR="38CA3CAF">
        <w:rPr>
          <w:color w:val="000000" w:themeColor="text1"/>
        </w:rPr>
        <w:t>Given the enduring centralism of the UK government in multi</w:t>
      </w:r>
      <w:r w:rsidR="000D3D5F">
        <w:rPr>
          <w:color w:val="000000" w:themeColor="text1"/>
        </w:rPr>
        <w:t>-</w:t>
      </w:r>
      <w:r w:rsidR="38CA3CAF">
        <w:rPr>
          <w:color w:val="000000" w:themeColor="text1"/>
        </w:rPr>
        <w:t>scalar governance, it would take a significant culture change for such a policy to be implemented in full</w:t>
      </w:r>
      <w:proofErr w:type="gramStart"/>
      <w:r w:rsidR="38CA3CAF">
        <w:rPr>
          <w:color w:val="000000" w:themeColor="text1"/>
        </w:rPr>
        <w:t xml:space="preserve">. </w:t>
      </w:r>
      <w:r w:rsidR="06C1A04E" w:rsidRPr="00CC6399">
        <w:rPr>
          <w:color w:val="000000" w:themeColor="text1"/>
        </w:rPr>
        <w:t xml:space="preserve"> </w:t>
      </w:r>
      <w:proofErr w:type="gramEnd"/>
    </w:p>
    <w:p w14:paraId="00000041" w14:textId="77777777" w:rsidR="006864E3" w:rsidRDefault="00BC4AC1">
      <w:pPr>
        <w:pStyle w:val="Heading3"/>
        <w:shd w:val="clear" w:color="auto" w:fill="FFFFFF"/>
      </w:pPr>
      <w:bookmarkStart w:id="13" w:name="_Toc139410306"/>
      <w:bookmarkStart w:id="14" w:name="_Toc139639456"/>
      <w:r>
        <w:t>Research Overview</w:t>
      </w:r>
      <w:bookmarkEnd w:id="13"/>
      <w:bookmarkEnd w:id="14"/>
    </w:p>
    <w:p w14:paraId="00000042" w14:textId="012672ED" w:rsidR="006864E3" w:rsidRDefault="4192B945">
      <w:r>
        <w:t xml:space="preserve">This section is based on primary research </w:t>
      </w:r>
      <w:proofErr w:type="gramStart"/>
      <w:r>
        <w:t>carried out</w:t>
      </w:r>
      <w:proofErr w:type="gramEnd"/>
      <w:r>
        <w:t xml:space="preserve"> </w:t>
      </w:r>
      <w:r w:rsidR="46F9C623">
        <w:t xml:space="preserve">in </w:t>
      </w:r>
      <w:r>
        <w:t>late 2022 which explored the variability of place-based net zero leadership. In undertaking this research</w:t>
      </w:r>
      <w:r w:rsidR="4AA449DD">
        <w:t>,</w:t>
      </w:r>
      <w:r>
        <w:t xml:space="preserve"> we aimed to identify a cross-section of local governance structures within the Midlands region</w:t>
      </w:r>
      <w:r w:rsidR="4FC1657B">
        <w:t>,</w:t>
      </w:r>
      <w:r>
        <w:t xml:space="preserve"> including at least one city where a new devolution deal </w:t>
      </w:r>
      <w:r w:rsidR="4FC1657B">
        <w:t>is in operation</w:t>
      </w:r>
      <w:r>
        <w:t xml:space="preserve">. </w:t>
      </w:r>
      <w:r w:rsidR="4FC1657B">
        <w:t>W</w:t>
      </w:r>
      <w:r>
        <w:t xml:space="preserve">e </w:t>
      </w:r>
      <w:r w:rsidR="4FC1657B">
        <w:t xml:space="preserve">also </w:t>
      </w:r>
      <w:r>
        <w:t xml:space="preserve">sought to understand </w:t>
      </w:r>
      <w:r w:rsidR="4FC1657B">
        <w:t xml:space="preserve">the variety </w:t>
      </w:r>
      <w:r>
        <w:t xml:space="preserve">of </w:t>
      </w:r>
      <w:r w:rsidR="4FC1657B">
        <w:t>actions</w:t>
      </w:r>
      <w:r>
        <w:t xml:space="preserve"> on climate change. To do this</w:t>
      </w:r>
      <w:r w:rsidR="39F5310D">
        <w:t>,</w:t>
      </w:r>
      <w:r>
        <w:t xml:space="preserve"> we </w:t>
      </w:r>
      <w:proofErr w:type="gramStart"/>
      <w:r>
        <w:t>utilised</w:t>
      </w:r>
      <w:proofErr w:type="gramEnd"/>
      <w:r>
        <w:t xml:space="preserve"> the recently published Council Climate Scorecards</w:t>
      </w:r>
      <w:r w:rsidR="00BC4AC1">
        <w:rPr>
          <w:vertAlign w:val="superscript"/>
        </w:rPr>
        <w:footnoteReference w:id="72"/>
      </w:r>
      <w:r>
        <w:t xml:space="preserve"> as a proxy to identify places that </w:t>
      </w:r>
      <w:r w:rsidR="39F5310D">
        <w:t>appeared</w:t>
      </w:r>
      <w:r>
        <w:t xml:space="preserve"> to have variable preparedness on net zero leadership and community engagement. The Scorecards appraise the extent and effectiveness of local authority plans on climate action. Included within these scores is an evaluation of ‘Governance, Development and Funding</w:t>
      </w:r>
      <w:proofErr w:type="gramStart"/>
      <w:r>
        <w:t>’,</w:t>
      </w:r>
      <w:proofErr w:type="gramEnd"/>
      <w:r>
        <w:t xml:space="preserve"> defined as “who will lead the plan, the net-zero targets, the council’s commitment to the plan, funding and </w:t>
      </w:r>
      <w:r>
        <w:lastRenderedPageBreak/>
        <w:t>costing, council limits and monitoring, reviewing and updating the plan”</w:t>
      </w:r>
      <w:r w:rsidR="00BC4AC1">
        <w:rPr>
          <w:vertAlign w:val="superscript"/>
        </w:rPr>
        <w:footnoteReference w:id="73"/>
      </w:r>
      <w:r>
        <w:t xml:space="preserve">. However, this definition does not consider local challenges/characteristics, differences in institutional capacities, and the variable will of local political leaders. </w:t>
      </w:r>
      <w:r w:rsidR="39F5310D">
        <w:t>Our research attempted to offer a preliminary assessment of these aspects to examine this place-based net zero governance in practice.</w:t>
      </w:r>
    </w:p>
    <w:p w14:paraId="00000043" w14:textId="77777777" w:rsidR="006864E3" w:rsidRDefault="006864E3"/>
    <w:p w14:paraId="00000044" w14:textId="0E1EC156" w:rsidR="006864E3" w:rsidRDefault="39F5310D">
      <w:r>
        <w:t>From this process</w:t>
      </w:r>
      <w:r w:rsidR="4192B945">
        <w:t xml:space="preserve">, four </w:t>
      </w:r>
      <w:r>
        <w:t xml:space="preserve">case study areas </w:t>
      </w:r>
      <w:proofErr w:type="gramStart"/>
      <w:r w:rsidR="4192B945">
        <w:t>were explored</w:t>
      </w:r>
      <w:proofErr w:type="gramEnd"/>
      <w:r w:rsidR="4192B945">
        <w:t xml:space="preserve"> including three distinct </w:t>
      </w:r>
      <w:r>
        <w:t xml:space="preserve">city </w:t>
      </w:r>
      <w:r w:rsidR="4192B945">
        <w:t>councils (Nottingham, Leicester, and Coventry) and an area with considerable rural areas (Staffordshire). Cities have particular importance in the net zero transition as they have a disproportionate impact on global emissions relative to their population, as they are responsible for 70% of carbon emissions yet house only 55% of the global population</w:t>
      </w:r>
      <w:r w:rsidR="00BC4AC1">
        <w:rPr>
          <w:vertAlign w:val="superscript"/>
        </w:rPr>
        <w:footnoteReference w:id="74"/>
      </w:r>
      <w:r w:rsidR="4192B945">
        <w:t xml:space="preserve">. Staffordshire County Council </w:t>
      </w:r>
      <w:proofErr w:type="gramStart"/>
      <w:r w:rsidR="4192B945">
        <w:t>was included</w:t>
      </w:r>
      <w:proofErr w:type="gramEnd"/>
      <w:r w:rsidR="4192B945">
        <w:t xml:space="preserve"> in our analysis to incorporate insights into a different form of local authority structure (that is, a two-tier system of the county council and borough and district councils, some of which surround Stoke-on-Trent City Council). Furthermore, the inclusion of a county area with significant rural areas (74% urban population, 26% rural population)</w:t>
      </w:r>
      <w:r w:rsidR="00BC4AC1">
        <w:rPr>
          <w:vertAlign w:val="superscript"/>
        </w:rPr>
        <w:footnoteReference w:id="75"/>
      </w:r>
      <w:r w:rsidR="4192B945">
        <w:t xml:space="preserve"> offered potential insights into achieving place-based net </w:t>
      </w:r>
      <w:r>
        <w:t xml:space="preserve">zero </w:t>
      </w:r>
      <w:r w:rsidR="4192B945">
        <w:t xml:space="preserve">leadership in other areas with these characteristics. The city study areas scored 14, 19, and 0 respectively out of </w:t>
      </w:r>
      <w:proofErr w:type="gramStart"/>
      <w:r w:rsidR="4192B945">
        <w:t>21</w:t>
      </w:r>
      <w:proofErr w:type="gramEnd"/>
      <w:r w:rsidR="4192B945">
        <w:t xml:space="preserve"> for their climate governance (noting Coventry had no plan at the time of plan appraisal), whilst Staffordshire scored 6. </w:t>
      </w:r>
    </w:p>
    <w:p w14:paraId="00000045" w14:textId="77777777" w:rsidR="006864E3" w:rsidRDefault="006864E3"/>
    <w:p w14:paraId="00000046" w14:textId="301F8618" w:rsidR="006864E3" w:rsidRDefault="00BC4AC1">
      <w:r>
        <w:t xml:space="preserve">In November 2022, 14 semi-structured interviews </w:t>
      </w:r>
      <w:proofErr w:type="gramStart"/>
      <w:r>
        <w:t>were undertaken</w:t>
      </w:r>
      <w:proofErr w:type="gramEnd"/>
      <w:r>
        <w:t xml:space="preserve"> in the three city local authorities covered. Approaches were made to both climate change portfolio holders and climate change officers (or where one was not present</w:t>
      </w:r>
      <w:r w:rsidR="00896F3B">
        <w:t>,</w:t>
      </w:r>
      <w:r>
        <w:t xml:space="preserve"> an appropriate </w:t>
      </w:r>
      <w:r w:rsidR="00896F3B">
        <w:t>substitute</w:t>
      </w:r>
      <w:r>
        <w:t xml:space="preserve">, </w:t>
      </w:r>
      <w:proofErr w:type="gramStart"/>
      <w:r>
        <w:t>e.g.</w:t>
      </w:r>
      <w:proofErr w:type="gramEnd"/>
      <w:r>
        <w:t xml:space="preserve"> environment, recycling, biodiversity). Representatives from Nottingham City Council and Coventry </w:t>
      </w:r>
      <w:r w:rsidR="00BB227C">
        <w:t>responded.</w:t>
      </w:r>
      <w:r>
        <w:t xml:space="preserve"> Leicester City Council did not respond to the request to participate in this study. To gain </w:t>
      </w:r>
      <w:r w:rsidR="00896F3B">
        <w:t xml:space="preserve">further </w:t>
      </w:r>
      <w:r>
        <w:t xml:space="preserve">insight into these areas, mainly where no local authority participation </w:t>
      </w:r>
      <w:proofErr w:type="gramStart"/>
      <w:r>
        <w:t>was offered</w:t>
      </w:r>
      <w:proofErr w:type="gramEnd"/>
      <w:r>
        <w:t xml:space="preserve">, additional interviews were undertaken with leading local stakeholders in these areas, including community groups, local businesses, membership bodies, and academic institutions. The groups </w:t>
      </w:r>
      <w:proofErr w:type="gramStart"/>
      <w:r>
        <w:t>were identified</w:t>
      </w:r>
      <w:proofErr w:type="gramEnd"/>
      <w:r>
        <w:t xml:space="preserve"> using a variety of local networks available online and mapping of key institutions, for example, educational institutions. In addition to local stakeholders, a further four interviews were </w:t>
      </w:r>
      <w:proofErr w:type="gramStart"/>
      <w:r>
        <w:t>carried out</w:t>
      </w:r>
      <w:proofErr w:type="gramEnd"/>
      <w:r>
        <w:t xml:space="preserve"> with a variety of regional actors who had a strategic overview, including the Midlands Net Zero Hub, Midlands Engine, East Midlands Chamber of Commerce and D2N2 (Nottingham and Derbyshire LEP). Following </w:t>
      </w:r>
      <w:r w:rsidR="009F2F6C">
        <w:t xml:space="preserve">the </w:t>
      </w:r>
      <w:r>
        <w:t xml:space="preserve">interviews, </w:t>
      </w:r>
      <w:r w:rsidR="009F2F6C">
        <w:t xml:space="preserve">all </w:t>
      </w:r>
      <w:proofErr w:type="gramStart"/>
      <w:r>
        <w:t>were transcribed</w:t>
      </w:r>
      <w:proofErr w:type="gramEnd"/>
      <w:r>
        <w:t>, coded, and thematically organised. The material below follows the themes identified from these interviews</w:t>
      </w:r>
      <w:proofErr w:type="gramStart"/>
      <w:r>
        <w:t xml:space="preserve">.  </w:t>
      </w:r>
      <w:proofErr w:type="gramEnd"/>
    </w:p>
    <w:p w14:paraId="00000047" w14:textId="77777777" w:rsidR="006864E3" w:rsidRDefault="006864E3"/>
    <w:p w14:paraId="00000048" w14:textId="6C6117DF" w:rsidR="006864E3" w:rsidRDefault="4192B945">
      <w:r>
        <w:t xml:space="preserve">A different approach to the research </w:t>
      </w:r>
      <w:proofErr w:type="gramStart"/>
      <w:r>
        <w:t>was adopted</w:t>
      </w:r>
      <w:proofErr w:type="gramEnd"/>
      <w:r>
        <w:t xml:space="preserve"> in Staffordshire. Due to the authors’ proximity - including professional practice</w:t>
      </w:r>
      <w:r w:rsidR="00BC4AC1">
        <w:rPr>
          <w:vertAlign w:val="superscript"/>
        </w:rPr>
        <w:footnoteReference w:id="76"/>
      </w:r>
      <w:r>
        <w:t xml:space="preserve"> - to the actors, policies and dynamics of the area, there </w:t>
      </w:r>
      <w:proofErr w:type="gramStart"/>
      <w:r>
        <w:t>was judged</w:t>
      </w:r>
      <w:proofErr w:type="gramEnd"/>
      <w:r>
        <w:t xml:space="preserve"> to be less need for capturing an overview of the governance </w:t>
      </w:r>
      <w:r>
        <w:lastRenderedPageBreak/>
        <w:t>networks</w:t>
      </w:r>
      <w:r w:rsidR="13CF5B1D">
        <w:t>. I</w:t>
      </w:r>
      <w:r>
        <w:t>nstead</w:t>
      </w:r>
      <w:r w:rsidR="15C504D4">
        <w:t>,</w:t>
      </w:r>
      <w:r>
        <w:t xml:space="preserve"> </w:t>
      </w:r>
      <w:r w:rsidR="13CF5B1D">
        <w:t>we sought to understand</w:t>
      </w:r>
      <w:r>
        <w:t xml:space="preserve"> </w:t>
      </w:r>
      <w:r w:rsidR="13CF5B1D">
        <w:t xml:space="preserve">the extent to which </w:t>
      </w:r>
      <w:r>
        <w:t xml:space="preserve">communities </w:t>
      </w:r>
      <w:r w:rsidR="13CF5B1D">
        <w:t>view</w:t>
      </w:r>
      <w:r>
        <w:t xml:space="preserve"> </w:t>
      </w:r>
      <w:r w:rsidR="13CF5B1D">
        <w:t>the net zero challenge (including the theme of the cost-of-living crisis) and the potential for collaborative forms of governance</w:t>
      </w:r>
      <w:r>
        <w:t>. To this end, a citizens</w:t>
      </w:r>
      <w:r w:rsidR="4AA449DD">
        <w:t>’</w:t>
      </w:r>
      <w:r>
        <w:t xml:space="preserve"> assembly was hosted in Spring 2022 which </w:t>
      </w:r>
      <w:proofErr w:type="gramStart"/>
      <w:r>
        <w:t>worked</w:t>
      </w:r>
      <w:proofErr w:type="gramEnd"/>
      <w:r>
        <w:t xml:space="preserve"> with local stakeholders and community members in North Staffordshire</w:t>
      </w:r>
      <w:r w:rsidR="13CF5B1D">
        <w:t>.</w:t>
      </w:r>
    </w:p>
    <w:p w14:paraId="0000004A" w14:textId="3EF2CE71" w:rsidR="006864E3" w:rsidRDefault="00BC4AC1" w:rsidP="00A074A3">
      <w:pPr>
        <w:pStyle w:val="Heading4"/>
      </w:pPr>
      <w:bookmarkStart w:id="15" w:name="_Toc139410307"/>
      <w:bookmarkStart w:id="16" w:name="_Toc139639457"/>
      <w:r>
        <w:t>Competing Priorities and Partisanship</w:t>
      </w:r>
      <w:bookmarkEnd w:id="15"/>
      <w:bookmarkEnd w:id="16"/>
      <w:r w:rsidR="00A074A3">
        <w:br/>
      </w:r>
    </w:p>
    <w:p w14:paraId="0E35A059" w14:textId="7C84D04D" w:rsidR="00522D73" w:rsidRDefault="4192B945">
      <w:r>
        <w:t>One feature noted in the interviews</w:t>
      </w:r>
      <w:r w:rsidR="4AA449DD">
        <w:t>,</w:t>
      </w:r>
      <w:r>
        <w:t xml:space="preserve"> and which contrasted across places</w:t>
      </w:r>
      <w:r w:rsidR="13CF5B1D">
        <w:t>,</w:t>
      </w:r>
      <w:r>
        <w:t xml:space="preserve"> was the priority given to net zero compared to immediate welfare needs.</w:t>
      </w:r>
      <w:r w:rsidR="0C7A32F2">
        <w:t xml:space="preserve"> Despite their clear differences, </w:t>
      </w:r>
      <w:r>
        <w:t>Leicester and Staffordshire</w:t>
      </w:r>
      <w:r w:rsidR="0C7A32F2">
        <w:t xml:space="preserve"> illustrated the tensions caused by political party divergences</w:t>
      </w:r>
      <w:r w:rsidR="001F0C5D">
        <w:rPr>
          <w:vertAlign w:val="superscript"/>
        </w:rPr>
        <w:footnoteReference w:id="77"/>
      </w:r>
      <w:r>
        <w:t>. One interviewee from Leicester noted that “sustainable development was keeping themselves alive on a week-to-week basis rather than worrying about carbon reduction initiatives</w:t>
      </w:r>
      <w:proofErr w:type="gramStart"/>
      <w:r>
        <w:t>”.</w:t>
      </w:r>
      <w:proofErr w:type="gramEnd"/>
      <w:r>
        <w:t xml:space="preserve"> Th</w:t>
      </w:r>
      <w:r w:rsidR="4AA449DD">
        <w:t>i</w:t>
      </w:r>
      <w:r>
        <w:t xml:space="preserve">s </w:t>
      </w:r>
      <w:r w:rsidR="4AA449DD">
        <w:t xml:space="preserve">emphasised </w:t>
      </w:r>
      <w:r>
        <w:t xml:space="preserve">that meeting basic needs was politically more important than delivering on net zero, a characteristic which </w:t>
      </w:r>
      <w:proofErr w:type="gramStart"/>
      <w:r>
        <w:t>was shared</w:t>
      </w:r>
      <w:proofErr w:type="gramEnd"/>
      <w:r>
        <w:t xml:space="preserve"> </w:t>
      </w:r>
      <w:r w:rsidR="0C7A32F2">
        <w:t>by stakeholders and</w:t>
      </w:r>
      <w:r>
        <w:t xml:space="preserve"> members of the public from Staffordshire. In Staffordshire</w:t>
      </w:r>
      <w:r w:rsidR="4AA449DD">
        <w:t xml:space="preserve"> collaboration</w:t>
      </w:r>
      <w:r>
        <w:t xml:space="preserve"> across a two-tier authority with a unitary city council (Stoke-on-Trent) limited action as the local authorities struggled to align given differing political priorities (particularly in relation to the urgency of climate change action), internal constraints and perceptions of public demand. </w:t>
      </w:r>
      <w:r w:rsidR="0C7A32F2">
        <w:t xml:space="preserve">Similarly, in Leicester, there were issues of cooperation and shared vision at the local scale due to differences in political control of the county and city levels of government. </w:t>
      </w:r>
      <w:r w:rsidR="52A302AE" w:rsidRPr="00C34077">
        <w:t xml:space="preserve">From our review, </w:t>
      </w:r>
      <w:r w:rsidR="52A302AE">
        <w:t xml:space="preserve">while </w:t>
      </w:r>
      <w:r w:rsidR="52A302AE" w:rsidRPr="00C34077">
        <w:t xml:space="preserve">there was evidence of the challenges of working across party lines, such as a case where the city council </w:t>
      </w:r>
      <w:proofErr w:type="gramStart"/>
      <w:r w:rsidR="52A302AE" w:rsidRPr="00C34077">
        <w:t>was controlled</w:t>
      </w:r>
      <w:proofErr w:type="gramEnd"/>
      <w:r w:rsidR="52A302AE" w:rsidRPr="00C34077">
        <w:t xml:space="preserve"> by Labour and the county by Conservatives</w:t>
      </w:r>
      <w:r w:rsidR="52A302AE">
        <w:t xml:space="preserve">, </w:t>
      </w:r>
      <w:r w:rsidR="52A302AE" w:rsidRPr="00C34077">
        <w:t>the challenge of collaboration also transcends partisan differences</w:t>
      </w:r>
      <w:r w:rsidR="52A302AE">
        <w:t>.</w:t>
      </w:r>
      <w:r w:rsidR="52A302AE" w:rsidRPr="00C34077">
        <w:t xml:space="preserve"> </w:t>
      </w:r>
      <w:r w:rsidR="52A302AE">
        <w:t>I</w:t>
      </w:r>
      <w:r w:rsidR="52A302AE" w:rsidRPr="00C34077">
        <w:t xml:space="preserve">t was clear that there were limitations to collaboration due to the contrasting perceptions </w:t>
      </w:r>
      <w:r w:rsidR="52A302AE">
        <w:t>of</w:t>
      </w:r>
      <w:r w:rsidR="52A302AE" w:rsidRPr="00C34077">
        <w:t xml:space="preserve"> individual places and their leadership teams of what their vision of net zero is and how it should </w:t>
      </w:r>
      <w:proofErr w:type="gramStart"/>
      <w:r w:rsidR="52A302AE" w:rsidRPr="00C34077">
        <w:t>be pursued</w:t>
      </w:r>
      <w:proofErr w:type="gramEnd"/>
      <w:r w:rsidR="52A302AE" w:rsidRPr="00C34077">
        <w:t>. The extent to which local areas asserted their uniqueness challenged their willingness to work across areas and scales.</w:t>
      </w:r>
    </w:p>
    <w:p w14:paraId="7145AF74" w14:textId="77777777" w:rsidR="00522D73" w:rsidRDefault="00522D73"/>
    <w:p w14:paraId="0000004B" w14:textId="1785A698" w:rsidR="006864E3" w:rsidRDefault="00522D73">
      <w:r>
        <w:t xml:space="preserve">As noted above, a barrier to net zero governance is the dichotomy between officers and elected officials. In Staffordshire, there was evidence of this political support gap, with officers able to see the impetus for net zeros </w:t>
      </w:r>
      <w:r w:rsidR="001F0C5D">
        <w:t>action but</w:t>
      </w:r>
      <w:r>
        <w:t xml:space="preserve"> hampered by local politicians. W</w:t>
      </w:r>
      <w:r w:rsidR="00BC4AC1">
        <w:t>ithout local political support or clear national mandates or mechanisms for coordinating local action within local areas or between local areas</w:t>
      </w:r>
      <w:r>
        <w:t>, inertia or incremental changes are probable</w:t>
      </w:r>
      <w:r w:rsidR="00BC4AC1">
        <w:t>. Without mechanisms to encourage inter-local collaboration,</w:t>
      </w:r>
      <w:r w:rsidR="001F0C5D">
        <w:t xml:space="preserve"> including means to pool resources and produce regional and sub-regional structures for policy learning,</w:t>
      </w:r>
      <w:r w:rsidR="00BC4AC1">
        <w:t xml:space="preserve"> effective joint working on regional issues such as transport</w:t>
      </w:r>
      <w:r w:rsidR="001F0C5D">
        <w:t xml:space="preserve"> will continue to </w:t>
      </w:r>
      <w:proofErr w:type="gramStart"/>
      <w:r w:rsidR="001F0C5D">
        <w:t>be fragmented</w:t>
      </w:r>
      <w:proofErr w:type="gramEnd"/>
      <w:r w:rsidR="00BC4AC1">
        <w:t xml:space="preserve">. </w:t>
      </w:r>
    </w:p>
    <w:p w14:paraId="0000004C" w14:textId="77777777" w:rsidR="006864E3" w:rsidRDefault="00BC4AC1">
      <w:pPr>
        <w:pStyle w:val="Heading4"/>
      </w:pPr>
      <w:bookmarkStart w:id="17" w:name="_Toc139410308"/>
      <w:bookmarkStart w:id="18" w:name="_Toc139639458"/>
      <w:r>
        <w:t>Local Leadership: By whom and how?</w:t>
      </w:r>
      <w:bookmarkEnd w:id="17"/>
      <w:bookmarkEnd w:id="18"/>
    </w:p>
    <w:p w14:paraId="0000004D" w14:textId="77777777" w:rsidR="006864E3" w:rsidRDefault="006864E3">
      <w:pPr>
        <w:rPr>
          <w:i/>
        </w:rPr>
      </w:pPr>
    </w:p>
    <w:p w14:paraId="0000004E" w14:textId="41EA152A" w:rsidR="006864E3" w:rsidRDefault="4192B945">
      <w:r>
        <w:t xml:space="preserve">Viewpoints in the areas studied varied about the nature of what constituted leadership, who should provide it and how it could </w:t>
      </w:r>
      <w:proofErr w:type="gramStart"/>
      <w:r>
        <w:t>be distributed</w:t>
      </w:r>
      <w:proofErr w:type="gramEnd"/>
      <w:r>
        <w:t xml:space="preserve">. There was a disparity in local interpretations of which actor is or should be the leading body for climate action </w:t>
      </w:r>
      <w:r w:rsidR="02AAE8CB">
        <w:t>for their area</w:t>
      </w:r>
      <w:r>
        <w:t xml:space="preserve">. </w:t>
      </w:r>
      <w:proofErr w:type="gramStart"/>
      <w:r>
        <w:t>Some</w:t>
      </w:r>
      <w:proofErr w:type="gramEnd"/>
      <w:r>
        <w:t xml:space="preserve"> interviewees asserted the necessity for local authority-led efforts as a means of </w:t>
      </w:r>
      <w:r>
        <w:lastRenderedPageBreak/>
        <w:t xml:space="preserve">swift action. This </w:t>
      </w:r>
      <w:proofErr w:type="gramStart"/>
      <w:r>
        <w:t>was exemplified</w:t>
      </w:r>
      <w:proofErr w:type="gramEnd"/>
      <w:r>
        <w:t xml:space="preserve"> by a Coventry interviewee who stated “We know the science. We know the technology. We know how the finance works. </w:t>
      </w:r>
      <w:proofErr w:type="gramStart"/>
      <w:r>
        <w:t>What's</w:t>
      </w:r>
      <w:proofErr w:type="gramEnd"/>
      <w:r>
        <w:t xml:space="preserve"> missing is leadership to drive change.” </w:t>
      </w:r>
      <w:r w:rsidR="2DF5504D">
        <w:t xml:space="preserve">However, actors </w:t>
      </w:r>
      <w:r w:rsidR="00B87AA1">
        <w:t>outside</w:t>
      </w:r>
      <w:r w:rsidR="2DF5504D">
        <w:t xml:space="preserve"> Coventry</w:t>
      </w:r>
      <w:r w:rsidR="00B87AA1">
        <w:t xml:space="preserve"> City Council</w:t>
      </w:r>
      <w:r w:rsidR="2DF5504D">
        <w:t xml:space="preserve"> noted that </w:t>
      </w:r>
      <w:r w:rsidR="00B87AA1">
        <w:t xml:space="preserve">it was beginning to demonstrate </w:t>
      </w:r>
      <w:r w:rsidR="2DF5504D">
        <w:t xml:space="preserve">dynamic and innovative leadership with </w:t>
      </w:r>
      <w:r w:rsidR="00B87AA1">
        <w:t xml:space="preserve">increasingly </w:t>
      </w:r>
      <w:r w:rsidR="0E487F53">
        <w:t>nuanced</w:t>
      </w:r>
      <w:r w:rsidR="2DF5504D">
        <w:t xml:space="preserve"> methods of </w:t>
      </w:r>
      <w:r w:rsidR="00325A87">
        <w:t>addressing</w:t>
      </w:r>
      <w:r w:rsidR="2DF5504D">
        <w:t xml:space="preserve"> climate change.</w:t>
      </w:r>
      <w:r w:rsidR="2978533D">
        <w:t xml:space="preserve"> </w:t>
      </w:r>
      <w:r w:rsidR="009A3736">
        <w:t>T</w:t>
      </w:r>
      <w:r w:rsidR="2978533D">
        <w:t xml:space="preserve">he framing of climate action in the local area </w:t>
      </w:r>
      <w:r w:rsidR="009A3736">
        <w:t>h</w:t>
      </w:r>
      <w:r w:rsidR="2978533D">
        <w:t xml:space="preserve">as </w:t>
      </w:r>
      <w:r w:rsidR="009A3736">
        <w:t xml:space="preserve">increasingly been on using </w:t>
      </w:r>
      <w:r w:rsidR="2978533D">
        <w:t xml:space="preserve">non-climate specific narratives </w:t>
      </w:r>
      <w:r w:rsidR="009A3736">
        <w:t xml:space="preserve">for </w:t>
      </w:r>
      <w:r w:rsidR="2978533D">
        <w:t>key issues</w:t>
      </w:r>
      <w:r w:rsidR="1AA3E32A">
        <w:t xml:space="preserve"> – </w:t>
      </w:r>
      <w:r w:rsidR="2978533D">
        <w:t>for</w:t>
      </w:r>
      <w:r w:rsidR="2DF5504D">
        <w:t xml:space="preserve"> </w:t>
      </w:r>
      <w:r w:rsidR="1AA3E32A">
        <w:t xml:space="preserve">example, </w:t>
      </w:r>
      <w:r w:rsidR="009A3736">
        <w:t xml:space="preserve">framing energy retrofit in </w:t>
      </w:r>
      <w:r w:rsidR="1AA3E32A">
        <w:t xml:space="preserve">health </w:t>
      </w:r>
      <w:r w:rsidR="009A3736">
        <w:t>terms</w:t>
      </w:r>
      <w:r w:rsidR="1CC601E7">
        <w:t xml:space="preserve"> </w:t>
      </w:r>
      <w:r w:rsidR="009A3736">
        <w:t xml:space="preserve">– </w:t>
      </w:r>
      <w:r w:rsidR="1CC601E7">
        <w:t>which could offer greater buy-in across other sectors</w:t>
      </w:r>
      <w:r w:rsidR="1AA3E32A">
        <w:t xml:space="preserve">. </w:t>
      </w:r>
      <w:r w:rsidR="009A3736">
        <w:t xml:space="preserve">However, not addressing the issues of climate change directly drew criticism from climate-orientated interviewees. The challenge of local leadership was made more complex in Coventry where there was also a lack of clarity on whether the West Midlands Combined Authority or the Coventry City Council should be the local leader on net zero, highlighting the challenges but possible opportunities of attempting to initiate ambitious net zero policies across an increasingly dense institution landscape. </w:t>
      </w:r>
      <w:r w:rsidR="6E8BA028">
        <w:t>I</w:t>
      </w:r>
      <w:r>
        <w:t xml:space="preserve">n Newcastle-under-Lyme, a borough of Staffordshire County Council, the language </w:t>
      </w:r>
      <w:r w:rsidR="009A3736">
        <w:t xml:space="preserve">used </w:t>
      </w:r>
      <w:r>
        <w:t xml:space="preserve">by senior politicians </w:t>
      </w:r>
      <w:r w:rsidR="009A3736">
        <w:t xml:space="preserve">on net zero </w:t>
      </w:r>
      <w:r>
        <w:t xml:space="preserve">recognised the necessity of council-led work, although it </w:t>
      </w:r>
      <w:proofErr w:type="gramStart"/>
      <w:r>
        <w:t>was also recognised</w:t>
      </w:r>
      <w:proofErr w:type="gramEnd"/>
      <w:r>
        <w:t xml:space="preserve"> that the borough and the county are both poorly positioned to undertake the work unilaterally due to their lack of resources. Senior council leaders hence emphasised the importance of </w:t>
      </w:r>
      <w:r w:rsidR="009A3736">
        <w:t>c</w:t>
      </w:r>
      <w:r>
        <w:t>oordination</w:t>
      </w:r>
      <w:r w:rsidR="009A3736">
        <w:t xml:space="preserve"> across all scales of government to enable greater </w:t>
      </w:r>
      <w:r>
        <w:t xml:space="preserve">resource </w:t>
      </w:r>
      <w:r w:rsidR="009A3736">
        <w:t>drawdown for local action.</w:t>
      </w:r>
      <w:r>
        <w:t xml:space="preserve"> </w:t>
      </w:r>
    </w:p>
    <w:p w14:paraId="0000004F" w14:textId="77777777" w:rsidR="006864E3" w:rsidRDefault="006864E3"/>
    <w:p w14:paraId="1A44EABB" w14:textId="77829F0E" w:rsidR="00CA13E4" w:rsidRDefault="4192B945" w:rsidP="00AB7090">
      <w:r>
        <w:t xml:space="preserve">In all cases, local authorities </w:t>
      </w:r>
      <w:proofErr w:type="gramStart"/>
      <w:r>
        <w:t>were seen</w:t>
      </w:r>
      <w:proofErr w:type="gramEnd"/>
      <w:r>
        <w:t xml:space="preserve"> as the </w:t>
      </w:r>
      <w:r w:rsidR="009A3736">
        <w:t>organisation</w:t>
      </w:r>
      <w:r>
        <w:t xml:space="preserve"> which should be leading on place-based solutions to climate change. Stakeholders within each area believed they were not leading on the issue, although there was </w:t>
      </w:r>
      <w:proofErr w:type="gramStart"/>
      <w:r>
        <w:t>some</w:t>
      </w:r>
      <w:proofErr w:type="gramEnd"/>
      <w:r>
        <w:t xml:space="preserve"> belief in the potential of local authorities to play more of a leading role. Regional bod</w:t>
      </w:r>
      <w:r w:rsidR="009A3736">
        <w:t xml:space="preserve">y interviewees </w:t>
      </w:r>
      <w:r>
        <w:t xml:space="preserve">noted that this was </w:t>
      </w:r>
      <w:proofErr w:type="gramStart"/>
      <w:r>
        <w:t>likely due</w:t>
      </w:r>
      <w:proofErr w:type="gramEnd"/>
      <w:r>
        <w:t xml:space="preserve"> to a lack of local knowledge and skills to deliver on the net zero agenda, as net zero exists outside of the statutory obligations of each local authority. This led to decisions </w:t>
      </w:r>
      <w:proofErr w:type="gramStart"/>
      <w:r>
        <w:t>being made</w:t>
      </w:r>
      <w:proofErr w:type="gramEnd"/>
      <w:r>
        <w:t xml:space="preserve"> in many cases which were focused only on one source of emission (for example, delivering a heat decarbonisation scheme OR a transport decarbonisation scheme). </w:t>
      </w:r>
      <w:proofErr w:type="gramStart"/>
      <w:r>
        <w:t>In</w:t>
      </w:r>
      <w:r w:rsidR="515E7CCF">
        <w:t xml:space="preserve"> so</w:t>
      </w:r>
      <w:r>
        <w:t xml:space="preserve"> doing, there</w:t>
      </w:r>
      <w:proofErr w:type="gramEnd"/>
      <w:r>
        <w:t xml:space="preserve"> is often a failure to recognise the potential for holistic action. Nottingham City Council recognised its potential for leading on the multiple challenges posed by net zero and </w:t>
      </w:r>
      <w:r w:rsidR="00AB7090">
        <w:t>we found it to be a leading model for net zero in the cases we examined. This approach to local leadership did not appear immediately and has been part of the city’s long engagement with environmental matters (stretching back to the 1990s). The council has sought to take leadership in part through institutional means, by</w:t>
      </w:r>
      <w:r>
        <w:t xml:space="preserve"> creat</w:t>
      </w:r>
      <w:r w:rsidR="00AB7090">
        <w:t>ing</w:t>
      </w:r>
      <w:r>
        <w:t xml:space="preserve"> a variety of internal council posts directed at net zero</w:t>
      </w:r>
      <w:r w:rsidR="00CA13E4">
        <w:t xml:space="preserve">. The breadth of the net zero challenge </w:t>
      </w:r>
      <w:proofErr w:type="gramStart"/>
      <w:r w:rsidR="00CA13E4">
        <w:t>was recognised</w:t>
      </w:r>
      <w:proofErr w:type="gramEnd"/>
      <w:r w:rsidR="00CA13E4">
        <w:t xml:space="preserve">, and various roles were created rather than passing the action to a single position. Specifically, it created specialist roles to support </w:t>
      </w:r>
      <w:proofErr w:type="gramStart"/>
      <w:r w:rsidR="00CA13E4">
        <w:t>particular elements</w:t>
      </w:r>
      <w:proofErr w:type="gramEnd"/>
      <w:r w:rsidR="00CA13E4">
        <w:t xml:space="preserve"> of decarbonisation such as retrofit and energy generation. </w:t>
      </w:r>
      <w:r w:rsidR="00AB7090">
        <w:t>But the approach in the city has been one that matches principles of collaborative governance with members from key anchor institutions in the area ‘</w:t>
      </w:r>
      <w:r w:rsidR="00CA13E4">
        <w:t>buying in</w:t>
      </w:r>
      <w:r w:rsidR="00AB7090">
        <w:t xml:space="preserve">’ to the need for action and hence ‘de-risking’ collaboration from other organisations in the local area. This hence enables a greater reach of civic actors involved in strategy and delivery for net zero. There is also a culture of engaging in active and honest dialogues between partner institutions around net zero, including a private forum to address challenges as they emerge. This offers the ability to engage in local problem-solving and to ensure that local actors </w:t>
      </w:r>
      <w:proofErr w:type="gramStart"/>
      <w:r w:rsidR="00AB7090">
        <w:t>are involved in</w:t>
      </w:r>
      <w:proofErr w:type="gramEnd"/>
      <w:r w:rsidR="00AB7090">
        <w:t xml:space="preserve"> the process. </w:t>
      </w:r>
      <w:r w:rsidR="00CA13E4">
        <w:t xml:space="preserve">These local processes </w:t>
      </w:r>
      <w:proofErr w:type="gramStart"/>
      <w:r w:rsidR="00CA13E4">
        <w:t>are supported</w:t>
      </w:r>
      <w:proofErr w:type="gramEnd"/>
      <w:r w:rsidR="00CA13E4">
        <w:t xml:space="preserve"> by regional-level institutional development: the creation of a major net zero infrastructure body in the region, the Midlands Net Zero Hub, which was established in 2019 to support the delivery of decarbonisation technologies and to help with the leveraging of financial support from the public and private </w:t>
      </w:r>
      <w:r w:rsidR="00CA13E4">
        <w:lastRenderedPageBreak/>
        <w:t>sectors. To date, it has been able to leverage £300 million to deliver decarbonisation projects within its geographical remit, supporting a variety of organisations and institutions to understand and take steps to decarbonise. But w</w:t>
      </w:r>
      <w:r w:rsidR="00AB7090">
        <w:t xml:space="preserve">hile these positive processes </w:t>
      </w:r>
      <w:r w:rsidR="00CA13E4">
        <w:t>have been</w:t>
      </w:r>
      <w:r w:rsidR="00AB7090">
        <w:t xml:space="preserve"> engaged</w:t>
      </w:r>
      <w:r w:rsidR="00CA13E4">
        <w:t xml:space="preserve"> in</w:t>
      </w:r>
      <w:r w:rsidR="00AB7090">
        <w:t xml:space="preserve">, issues </w:t>
      </w:r>
      <w:r w:rsidR="00E03635">
        <w:t>with</w:t>
      </w:r>
      <w:r w:rsidR="00AB7090">
        <w:t xml:space="preserve"> the planning system remain</w:t>
      </w:r>
      <w:r w:rsidR="00CA13E4">
        <w:t>.</w:t>
      </w:r>
      <w:r w:rsidR="1972D032">
        <w:t xml:space="preserve"> </w:t>
      </w:r>
      <w:r w:rsidR="00CA13E4">
        <w:t xml:space="preserve">Hence </w:t>
      </w:r>
      <w:r w:rsidR="00E03635">
        <w:t>striking a</w:t>
      </w:r>
      <w:r w:rsidR="00CA13E4">
        <w:t xml:space="preserve"> balance between local innovation and national policy flexibility remains a key element of ensuring an effective net zero transition.</w:t>
      </w:r>
    </w:p>
    <w:p w14:paraId="00000051" w14:textId="77777777" w:rsidR="006864E3" w:rsidRDefault="006864E3"/>
    <w:p w14:paraId="45C4620F" w14:textId="04A965D5" w:rsidR="00BC1164" w:rsidRDefault="00BC4AC1">
      <w:r>
        <w:t xml:space="preserve">An additional challenge which </w:t>
      </w:r>
      <w:proofErr w:type="gramStart"/>
      <w:r>
        <w:t>was faced</w:t>
      </w:r>
      <w:proofErr w:type="gramEnd"/>
      <w:r>
        <w:t xml:space="preserve"> by all areas was how to </w:t>
      </w:r>
      <w:r w:rsidR="1EF6A772">
        <w:t>act</w:t>
      </w:r>
      <w:r>
        <w:t xml:space="preserve"> on net zero whilst ensuring there was broad public consent for actions. From this research, </w:t>
      </w:r>
      <w:proofErr w:type="gramStart"/>
      <w:r>
        <w:t>several</w:t>
      </w:r>
      <w:proofErr w:type="gramEnd"/>
      <w:r>
        <w:t xml:space="preserve"> modes of governance were identified</w:t>
      </w:r>
      <w:r w:rsidR="005514A9">
        <w:t xml:space="preserve"> as currently existing</w:t>
      </w:r>
      <w:r>
        <w:t xml:space="preserve">. The first approach was non-consensual </w:t>
      </w:r>
      <w:r w:rsidR="00C85FBA">
        <w:t>decision-making.</w:t>
      </w:r>
      <w:r>
        <w:t xml:space="preserve"> This top-down approach </w:t>
      </w:r>
      <w:proofErr w:type="gramStart"/>
      <w:r>
        <w:t>was seen</w:t>
      </w:r>
      <w:proofErr w:type="gramEnd"/>
      <w:r>
        <w:t xml:space="preserve"> to undermine the legitimacy of action as public concerns and </w:t>
      </w:r>
      <w:r w:rsidR="00C85FBA">
        <w:t xml:space="preserve">local priorities and </w:t>
      </w:r>
      <w:r>
        <w:t xml:space="preserve">needs </w:t>
      </w:r>
      <w:r w:rsidR="00C85FBA">
        <w:t xml:space="preserve">of various communities and stakeholders </w:t>
      </w:r>
      <w:r>
        <w:t xml:space="preserve">were not adequately integrated into decision-making </w:t>
      </w:r>
      <w:r w:rsidR="00C85FBA">
        <w:t>for</w:t>
      </w:r>
      <w:r>
        <w:t xml:space="preserve"> net zero. This process of ‘localised centralisation’ (particularly by city mayors) </w:t>
      </w:r>
      <w:proofErr w:type="gramStart"/>
      <w:r>
        <w:t>was seen</w:t>
      </w:r>
      <w:proofErr w:type="gramEnd"/>
      <w:r>
        <w:t xml:space="preserve"> to be taking decisions away from local people, leaving them feeling a generalised disenfranchisement from political decision-making. </w:t>
      </w:r>
    </w:p>
    <w:p w14:paraId="7A3C3AD7" w14:textId="77777777" w:rsidR="00BC1164" w:rsidRDefault="00BC1164"/>
    <w:p w14:paraId="570C5147" w14:textId="1BCF6F71" w:rsidR="00BC1164" w:rsidRDefault="4192B945" w:rsidP="007771EF">
      <w:r>
        <w:t>The second method identified was inertia</w:t>
      </w:r>
      <w:r w:rsidR="00BC4AC1">
        <w:rPr>
          <w:vertAlign w:val="superscript"/>
        </w:rPr>
        <w:footnoteReference w:id="78"/>
      </w:r>
      <w:r>
        <w:t xml:space="preserve"> as local areas did not or could not garner support for local action. Inaction </w:t>
      </w:r>
      <w:proofErr w:type="gramStart"/>
      <w:r>
        <w:t>was seen</w:t>
      </w:r>
      <w:proofErr w:type="gramEnd"/>
      <w:r>
        <w:t xml:space="preserve"> as the path of least resistance</w:t>
      </w:r>
      <w:r w:rsidR="139F36AB">
        <w:t xml:space="preserve"> by local authorities</w:t>
      </w:r>
      <w:r>
        <w:t>. With a lack of a clear political mandate to act, political leaders felt they did not have the necessary consent to pursue ambitious net zero policies. However, this approach presents a major risk of missing the opportunities that will emerge from the green economy.</w:t>
      </w:r>
      <w:r w:rsidR="00FF2F76">
        <w:t xml:space="preserve"> Creative policies </w:t>
      </w:r>
      <w:proofErr w:type="gramStart"/>
      <w:r w:rsidR="00FF2F76">
        <w:t>are needed</w:t>
      </w:r>
      <w:proofErr w:type="gramEnd"/>
      <w:r w:rsidR="00FF2F76">
        <w:t xml:space="preserve"> to overcome potential inertia. An example of this can be seen in Coventry where messages and policies – including </w:t>
      </w:r>
      <w:r w:rsidR="007771EF">
        <w:t>health providers supporting low-income households’ fuel bills to reduce hospital admissions –</w:t>
      </w:r>
      <w:r w:rsidR="00FF2F76">
        <w:t xml:space="preserve"> were</w:t>
      </w:r>
      <w:r w:rsidR="007771EF">
        <w:t xml:space="preserve"> </w:t>
      </w:r>
      <w:r w:rsidR="00FF2F76">
        <w:t xml:space="preserve">cast in terms of other than climate change which led to </w:t>
      </w:r>
      <w:proofErr w:type="gramStart"/>
      <w:r w:rsidR="00FF2F76">
        <w:t>action</w:t>
      </w:r>
      <w:proofErr w:type="gramEnd"/>
      <w:r w:rsidR="00FF2F76">
        <w:t xml:space="preserve"> and which produced community take-up.</w:t>
      </w:r>
      <w:r w:rsidR="007771EF">
        <w:t xml:space="preserve"> The strategic combining of decarbonisation goals with other issues where these could realise co-benefits for (particularly vulnerable) communities could have the potential to reduce inertia by creating demand for such actions.</w:t>
      </w:r>
    </w:p>
    <w:p w14:paraId="7177B85F" w14:textId="77777777" w:rsidR="00BC1164" w:rsidRDefault="00BC1164"/>
    <w:p w14:paraId="00000052" w14:textId="3D836F14" w:rsidR="006864E3" w:rsidRDefault="4192B945">
      <w:r>
        <w:t>The third process, particularly seen in Nottingham, was a process of ‘collective leadership’ on net zero, through a collaborative decision-making vehicle, the Green Partnership. The Green Partnership aims to bring together organisations from across the public and private sectors with academic institutions to co-create and advance Nottingham's green future. The Partnership acts as a forum to deliver local strategies across different sectors</w:t>
      </w:r>
      <w:r w:rsidR="139F36AB">
        <w:t>.</w:t>
      </w:r>
      <w:r>
        <w:t xml:space="preserve"> </w:t>
      </w:r>
      <w:r w:rsidR="139F36AB">
        <w:t>T</w:t>
      </w:r>
      <w:r>
        <w:t xml:space="preserve">he City Council has representation and actively engages </w:t>
      </w:r>
      <w:r w:rsidR="139F36AB">
        <w:t>in collective</w:t>
      </w:r>
      <w:r>
        <w:t xml:space="preserve"> decision-making. In part due to such mechanisms, the council embarked on riskier projects (for example, the municipal energy company, Robin Hood Energy) as there was a </w:t>
      </w:r>
      <w:r w:rsidR="139F36AB">
        <w:t>recognition</w:t>
      </w:r>
      <w:r>
        <w:t xml:space="preserve"> of the public acceptability of </w:t>
      </w:r>
      <w:r w:rsidR="139F36AB">
        <w:t xml:space="preserve">such </w:t>
      </w:r>
      <w:r>
        <w:t>projects</w:t>
      </w:r>
      <w:r w:rsidR="00BC4AC1">
        <w:rPr>
          <w:vertAlign w:val="superscript"/>
        </w:rPr>
        <w:footnoteReference w:id="79"/>
      </w:r>
      <w:r>
        <w:t>.</w:t>
      </w:r>
      <w:r w:rsidR="060C4655">
        <w:t xml:space="preserve"> Similarly</w:t>
      </w:r>
      <w:r w:rsidR="139F36AB">
        <w:t>,</w:t>
      </w:r>
      <w:r w:rsidR="060C4655">
        <w:t xml:space="preserve"> interviewees in Leicester noted the</w:t>
      </w:r>
      <w:r w:rsidR="181DFE64">
        <w:t xml:space="preserve"> City Council </w:t>
      </w:r>
      <w:r w:rsidR="139F36AB">
        <w:t>was</w:t>
      </w:r>
      <w:r w:rsidR="181DFE64">
        <w:t xml:space="preserve"> </w:t>
      </w:r>
      <w:r w:rsidR="139F36AB">
        <w:t xml:space="preserve">an </w:t>
      </w:r>
      <w:r w:rsidR="181DFE64">
        <w:t xml:space="preserve">active </w:t>
      </w:r>
      <w:r w:rsidR="139F36AB">
        <w:lastRenderedPageBreak/>
        <w:t>leader</w:t>
      </w:r>
      <w:r w:rsidR="181DFE64">
        <w:t xml:space="preserve"> </w:t>
      </w:r>
      <w:r w:rsidR="139F36AB">
        <w:t>in</w:t>
      </w:r>
      <w:r w:rsidR="181DFE64">
        <w:t xml:space="preserve"> the challenge of Net Zero, specifically noting the active travel infrastructure which </w:t>
      </w:r>
      <w:r w:rsidR="7A6BFFAB">
        <w:t xml:space="preserve">had </w:t>
      </w:r>
      <w:proofErr w:type="gramStart"/>
      <w:r w:rsidR="7A6BFFAB">
        <w:t>been created</w:t>
      </w:r>
      <w:proofErr w:type="gramEnd"/>
      <w:r w:rsidR="7A6BFFAB">
        <w:t xml:space="preserve">. However, </w:t>
      </w:r>
      <w:r w:rsidR="139F36AB">
        <w:t>for</w:t>
      </w:r>
      <w:r w:rsidR="7A6BFFAB">
        <w:t xml:space="preserve"> </w:t>
      </w:r>
      <w:proofErr w:type="gramStart"/>
      <w:r w:rsidR="7A6BFFAB">
        <w:t>some</w:t>
      </w:r>
      <w:proofErr w:type="gramEnd"/>
      <w:r w:rsidR="7A6BFFAB">
        <w:t xml:space="preserve"> local actors, there was seen to be a prioritisation </w:t>
      </w:r>
      <w:r w:rsidR="5A624F93">
        <w:t>of</w:t>
      </w:r>
      <w:r w:rsidR="7A6BFFAB">
        <w:t xml:space="preserve"> actions which were </w:t>
      </w:r>
      <w:r w:rsidR="139F36AB">
        <w:t>more high-profile</w:t>
      </w:r>
      <w:r w:rsidR="7A6BFFAB">
        <w:t xml:space="preserve"> in the environment over the softer and potentially more transformative issues.</w:t>
      </w:r>
      <w:r w:rsidR="060C4655">
        <w:t xml:space="preserve"> </w:t>
      </w:r>
      <w:r>
        <w:t>The novelty of Nottingham</w:t>
      </w:r>
      <w:r w:rsidR="139F36AB">
        <w:t>’s</w:t>
      </w:r>
      <w:r>
        <w:t xml:space="preserve"> approach also stemmed from </w:t>
      </w:r>
      <w:r w:rsidR="139F36AB">
        <w:t xml:space="preserve">the </w:t>
      </w:r>
      <w:r>
        <w:t>local authorit</w:t>
      </w:r>
      <w:r w:rsidR="139F36AB">
        <w:t>y</w:t>
      </w:r>
      <w:r>
        <w:t>’</w:t>
      </w:r>
      <w:r w:rsidR="139F36AB">
        <w:t>s</w:t>
      </w:r>
      <w:r>
        <w:t xml:space="preserve"> desire to ensure organisations participating </w:t>
      </w:r>
      <w:proofErr w:type="gramStart"/>
      <w:r>
        <w:t>were held</w:t>
      </w:r>
      <w:proofErr w:type="gramEnd"/>
      <w:r>
        <w:t xml:space="preserve"> to account for their pledges (by asking organisations to review their actions annually and report to the authority)</w:t>
      </w:r>
      <w:r w:rsidR="139F36AB">
        <w:t xml:space="preserve">. This </w:t>
      </w:r>
      <w:r>
        <w:t>aim</w:t>
      </w:r>
      <w:r w:rsidR="139F36AB">
        <w:t>ed</w:t>
      </w:r>
      <w:r>
        <w:t xml:space="preserve"> to mitigate the risk of tokenistic gestures. This collective leadership model was occasionally criticised due to feelings that power should be more distributed and that communities should be further engaged to create holistic local plans. In Staffordshire, the </w:t>
      </w:r>
      <w:r w:rsidR="515E7CCF">
        <w:t>recently established</w:t>
      </w:r>
      <w:r>
        <w:t xml:space="preserve"> Climate Commission is looking to replicate this collective governance-style mechanism. </w:t>
      </w:r>
    </w:p>
    <w:p w14:paraId="00000053" w14:textId="77777777" w:rsidR="006864E3" w:rsidRDefault="006864E3"/>
    <w:p w14:paraId="00000054" w14:textId="77777777" w:rsidR="006864E3" w:rsidRDefault="00BC4AC1">
      <w:pPr>
        <w:pStyle w:val="Heading4"/>
      </w:pPr>
      <w:bookmarkStart w:id="19" w:name="_Toc139410309"/>
      <w:bookmarkStart w:id="20" w:name="_Toc139639459"/>
      <w:r>
        <w:t>Net Zero Communication</w:t>
      </w:r>
      <w:bookmarkEnd w:id="19"/>
      <w:bookmarkEnd w:id="20"/>
    </w:p>
    <w:p w14:paraId="00000055" w14:textId="77777777" w:rsidR="006864E3" w:rsidRDefault="006864E3"/>
    <w:p w14:paraId="00000056" w14:textId="4781D6B6" w:rsidR="006864E3" w:rsidRDefault="139F36AB">
      <w:r>
        <w:t xml:space="preserve">While there were various </w:t>
      </w:r>
      <w:r w:rsidR="4192B945">
        <w:t xml:space="preserve">net zero action initiatives </w:t>
      </w:r>
      <w:proofErr w:type="gramStart"/>
      <w:r w:rsidR="4192B945">
        <w:t>being undertaken</w:t>
      </w:r>
      <w:proofErr w:type="gramEnd"/>
      <w:r>
        <w:t xml:space="preserve"> across the areas</w:t>
      </w:r>
      <w:r w:rsidR="4192B945">
        <w:t xml:space="preserve">, there was a general lack of communication between those actions and the broader population. Notably, the language of net zero </w:t>
      </w:r>
      <w:proofErr w:type="gramStart"/>
      <w:r w:rsidR="4192B945">
        <w:t>was not seen</w:t>
      </w:r>
      <w:proofErr w:type="gramEnd"/>
      <w:r w:rsidR="4192B945">
        <w:t xml:space="preserve"> as </w:t>
      </w:r>
      <w:r>
        <w:t>politically acceptable</w:t>
      </w:r>
      <w:r w:rsidR="4192B945">
        <w:t xml:space="preserve"> to communicate with the population unless t</w:t>
      </w:r>
      <w:r>
        <w:t xml:space="preserve">here was the perception of </w:t>
      </w:r>
      <w:r w:rsidR="4192B945">
        <w:t>wholescale local acceptance</w:t>
      </w:r>
      <w:r w:rsidR="00BC4AC1">
        <w:rPr>
          <w:vertAlign w:val="superscript"/>
        </w:rPr>
        <w:footnoteReference w:id="80"/>
      </w:r>
      <w:r w:rsidR="4192B945">
        <w:t xml:space="preserve">. Furthermore, challenges existed in communicating the complexity of the </w:t>
      </w:r>
      <w:r>
        <w:t xml:space="preserve">large-scale and </w:t>
      </w:r>
      <w:r w:rsidR="4192B945">
        <w:t>holistic change</w:t>
      </w:r>
      <w:r>
        <w:t>s</w:t>
      </w:r>
      <w:r w:rsidR="4192B945">
        <w:t xml:space="preserve"> necessary across all sectors of the economy. This </w:t>
      </w:r>
      <w:proofErr w:type="gramStart"/>
      <w:r>
        <w:t>generally led</w:t>
      </w:r>
      <w:proofErr w:type="gramEnd"/>
      <w:r>
        <w:t xml:space="preserve"> to</w:t>
      </w:r>
      <w:r w:rsidR="4192B945">
        <w:t xml:space="preserve"> a piecemeal approach where a single </w:t>
      </w:r>
      <w:r>
        <w:t xml:space="preserve">policy </w:t>
      </w:r>
      <w:r w:rsidR="4192B945">
        <w:t xml:space="preserve">sector was identified as the locus for decarbonisation, for example, transport decarbonisation through cycle networks. Critically, there was a major limit on the level of climate risk communicated within the local authority and externally to other community actors as </w:t>
      </w:r>
      <w:proofErr w:type="gramStart"/>
      <w:r w:rsidR="4192B945">
        <w:t>many</w:t>
      </w:r>
      <w:proofErr w:type="gramEnd"/>
      <w:r w:rsidR="4192B945">
        <w:t xml:space="preserve"> interviewees did not fully grasp the level of risk that climate change presented. Nottingham was working to overcome this through its Carbon-Neutral Nottingham 2028 (CN28) programme, a strategy body which engages in active communication campaigns, for example, adding signage to the electric taxi ranks to explain why they were in place and the benefits to both people and the climate.</w:t>
      </w:r>
    </w:p>
    <w:p w14:paraId="00000057" w14:textId="77777777" w:rsidR="006864E3" w:rsidRDefault="00BC4AC1">
      <w:pPr>
        <w:pStyle w:val="Heading3"/>
      </w:pPr>
      <w:bookmarkStart w:id="21" w:name="_Toc139410310"/>
      <w:bookmarkStart w:id="22" w:name="_Toc139639460"/>
      <w:r>
        <w:t>Discussion</w:t>
      </w:r>
      <w:bookmarkEnd w:id="21"/>
      <w:bookmarkEnd w:id="22"/>
    </w:p>
    <w:p w14:paraId="00000058" w14:textId="77777777" w:rsidR="006864E3" w:rsidRDefault="00BC4AC1">
      <w:pPr>
        <w:pStyle w:val="Heading4"/>
      </w:pPr>
      <w:bookmarkStart w:id="23" w:name="_Toc139410311"/>
      <w:bookmarkStart w:id="24" w:name="_Toc139639461"/>
      <w:r>
        <w:t>Who owns climate action?</w:t>
      </w:r>
      <w:bookmarkEnd w:id="23"/>
      <w:bookmarkEnd w:id="24"/>
    </w:p>
    <w:p w14:paraId="00000059" w14:textId="77777777" w:rsidR="006864E3" w:rsidRDefault="006864E3"/>
    <w:p w14:paraId="0000005A" w14:textId="1AACDAF1" w:rsidR="006864E3" w:rsidRDefault="4192B945">
      <w:r>
        <w:t xml:space="preserve">Across the study areas, </w:t>
      </w:r>
      <w:r w:rsidR="139F36AB">
        <w:t xml:space="preserve">in the absence of a clear framework to support action, </w:t>
      </w:r>
      <w:r>
        <w:t>local actors did not know wh</w:t>
      </w:r>
      <w:r w:rsidR="139F36AB">
        <w:t>ether the local authorities could</w:t>
      </w:r>
      <w:r>
        <w:t xml:space="preserve"> lead on </w:t>
      </w:r>
      <w:r w:rsidR="139F36AB">
        <w:t>the net zero transition. Outside the local scale, r</w:t>
      </w:r>
      <w:r>
        <w:t xml:space="preserve">egional actors lacked clarity on who was the key contact and driver of action within each local authority. In </w:t>
      </w:r>
      <w:proofErr w:type="gramStart"/>
      <w:r>
        <w:t>many</w:t>
      </w:r>
      <w:proofErr w:type="gramEnd"/>
      <w:r>
        <w:t xml:space="preserve"> cases, this resulted in inertia, blame avoidance or deflection as areas attributed responsibility for leadership across different layers of governance rather than owning action.</w:t>
      </w:r>
      <w:r w:rsidR="6E00B908">
        <w:t xml:space="preserve"> This </w:t>
      </w:r>
      <w:proofErr w:type="gramStart"/>
      <w:r w:rsidR="6E00B908">
        <w:t>was clearly highlighted</w:t>
      </w:r>
      <w:proofErr w:type="gramEnd"/>
      <w:r w:rsidR="6E00B908">
        <w:t xml:space="preserve"> by the Citizens Assembly model employed in Staffordshire. This model invited a </w:t>
      </w:r>
      <w:r w:rsidR="34711C56">
        <w:t>cross-section</w:t>
      </w:r>
      <w:r w:rsidR="6E00B908">
        <w:t xml:space="preserve"> of local people to share their thoughts and insights on decarbonisation solutions within the area, </w:t>
      </w:r>
      <w:proofErr w:type="gramStart"/>
      <w:r w:rsidR="6E00B908">
        <w:t xml:space="preserve">the work was </w:t>
      </w:r>
      <w:r w:rsidR="10635971">
        <w:t>supported</w:t>
      </w:r>
      <w:r w:rsidR="41F18B7A">
        <w:t xml:space="preserve"> by local experts and the local authority</w:t>
      </w:r>
      <w:proofErr w:type="gramEnd"/>
      <w:r w:rsidR="41F18B7A">
        <w:t xml:space="preserve">. </w:t>
      </w:r>
      <w:r w:rsidR="687A062C">
        <w:t>T</w:t>
      </w:r>
      <w:r w:rsidR="74310AD6">
        <w:t>here</w:t>
      </w:r>
      <w:r w:rsidR="41F18B7A">
        <w:t xml:space="preserve"> was a </w:t>
      </w:r>
      <w:r w:rsidR="0CF4A57C">
        <w:t>divergence</w:t>
      </w:r>
      <w:r w:rsidR="41F18B7A">
        <w:t xml:space="preserve"> of views </w:t>
      </w:r>
      <w:r w:rsidR="41F18B7A">
        <w:lastRenderedPageBreak/>
        <w:t xml:space="preserve">regarding who should own </w:t>
      </w:r>
      <w:r w:rsidR="34711C56">
        <w:t>follow-up</w:t>
      </w:r>
      <w:r w:rsidR="41F18B7A">
        <w:t xml:space="preserve"> action on climate change, with citizens calling for greater support from local autho</w:t>
      </w:r>
      <w:r w:rsidR="082ADBBA">
        <w:t>rities</w:t>
      </w:r>
      <w:r w:rsidR="12B6D21F">
        <w:t xml:space="preserve"> to deliver place-based solutions</w:t>
      </w:r>
      <w:r w:rsidR="082ADBBA">
        <w:t xml:space="preserve"> and local authorities asking for greater citizen engagement</w:t>
      </w:r>
      <w:r w:rsidR="6DF48A2D">
        <w:t xml:space="preserve"> and further views to </w:t>
      </w:r>
      <w:r w:rsidR="262A769A">
        <w:t>legitimise</w:t>
      </w:r>
      <w:r w:rsidR="6DF48A2D">
        <w:t xml:space="preserve"> any action taken</w:t>
      </w:r>
      <w:r w:rsidR="42DA0E22">
        <w:t>.</w:t>
      </w:r>
      <w:r>
        <w:t xml:space="preserve"> This highlights the unresolved tensions in providing leadership, noting the lack of clear systematic and structural interconnection between multiple layers of governance</w:t>
      </w:r>
      <w:r w:rsidR="3456370C">
        <w:t xml:space="preserve"> from individuals in the community and local government</w:t>
      </w:r>
      <w:r>
        <w:t xml:space="preserve">. The horizontal and vertical </w:t>
      </w:r>
      <w:r w:rsidR="007771EF">
        <w:t>scales</w:t>
      </w:r>
      <w:r>
        <w:t xml:space="preserve"> of governance need greater clarity, </w:t>
      </w:r>
      <w:proofErr w:type="gramStart"/>
      <w:r>
        <w:t>coordination</w:t>
      </w:r>
      <w:proofErr w:type="gramEnd"/>
      <w:r>
        <w:t xml:space="preserve"> and consistency</w:t>
      </w:r>
      <w:r w:rsidR="00BC4AC1">
        <w:rPr>
          <w:vertAlign w:val="superscript"/>
        </w:rPr>
        <w:footnoteReference w:id="81"/>
      </w:r>
      <w:r>
        <w:t xml:space="preserve">, a general and ongoing challenge </w:t>
      </w:r>
      <w:r w:rsidR="687A062C">
        <w:t>to</w:t>
      </w:r>
      <w:r>
        <w:t xml:space="preserve"> multi-scalar governance in England. Increasing institutional innovation and density at various scales - for example, climate commissions - is necessary, but it also presents considerable transaction costs</w:t>
      </w:r>
      <w:r w:rsidR="001520D7">
        <w:rPr>
          <w:rStyle w:val="FootnoteReference"/>
        </w:rPr>
        <w:footnoteReference w:id="82"/>
      </w:r>
      <w:r>
        <w:t>. This challenge of coordination for net zero was recognised with the Climate Change Committee’s Local Authority report</w:t>
      </w:r>
      <w:r w:rsidR="00BC4AC1">
        <w:rPr>
          <w:vertAlign w:val="superscript"/>
        </w:rPr>
        <w:footnoteReference w:id="83"/>
      </w:r>
      <w:r>
        <w:t xml:space="preserve"> which notes “the onus is on local authorities to work their course based on piecemeal policy and communications from Government</w:t>
      </w:r>
      <w:proofErr w:type="gramStart"/>
      <w:r>
        <w:t>”.</w:t>
      </w:r>
      <w:proofErr w:type="gramEnd"/>
      <w:r>
        <w:t xml:space="preserve"> Three years on from their report, our work indicates that the issues are yet to </w:t>
      </w:r>
      <w:proofErr w:type="gramStart"/>
      <w:r>
        <w:t>be resolved</w:t>
      </w:r>
      <w:proofErr w:type="gramEnd"/>
      <w:r>
        <w:t>.</w:t>
      </w:r>
    </w:p>
    <w:p w14:paraId="0EB9FB82" w14:textId="7910D40A" w:rsidR="00B036F0" w:rsidRDefault="00B036F0" w:rsidP="00B036F0"/>
    <w:p w14:paraId="4FAF35CA" w14:textId="66E46649" w:rsidR="00D369C2" w:rsidRDefault="001520D7" w:rsidP="001520D7">
      <w:pPr>
        <w:pStyle w:val="Heading4"/>
      </w:pPr>
      <w:bookmarkStart w:id="25" w:name="_Toc139410312"/>
      <w:bookmarkStart w:id="26" w:name="_Toc139639462"/>
      <w:r>
        <w:t>Planning</w:t>
      </w:r>
      <w:r w:rsidR="002C0FED">
        <w:t xml:space="preserve"> for Net Zero</w:t>
      </w:r>
      <w:bookmarkEnd w:id="25"/>
      <w:bookmarkEnd w:id="26"/>
    </w:p>
    <w:p w14:paraId="0FA5B6E8" w14:textId="77777777" w:rsidR="002C0FED" w:rsidRDefault="00D369C2" w:rsidP="002C0FED">
      <w:r>
        <w:br/>
      </w:r>
      <w:r w:rsidR="6621F5B0">
        <w:t xml:space="preserve">As discussed </w:t>
      </w:r>
      <w:r w:rsidR="0F5ED092">
        <w:t>above</w:t>
      </w:r>
      <w:r w:rsidR="6621F5B0">
        <w:t>, the planning system is a barrier to achieving net zero governance, but it is also an essential part of a successful transition</w:t>
      </w:r>
      <w:r w:rsidR="002C0FED" w:rsidRPr="00B036F0">
        <w:rPr>
          <w:rStyle w:val="FootnoteReference"/>
        </w:rPr>
        <w:footnoteReference w:id="84"/>
      </w:r>
      <w:r w:rsidR="6621F5B0">
        <w:t xml:space="preserve">. </w:t>
      </w:r>
      <w:r w:rsidR="687A062C">
        <w:t>Our interviews showed concerns about</w:t>
      </w:r>
      <w:r w:rsidR="364E9549">
        <w:t xml:space="preserve"> the</w:t>
      </w:r>
      <w:r w:rsidR="687A062C">
        <w:t xml:space="preserve"> current nature of</w:t>
      </w:r>
      <w:r w:rsidR="364E9549">
        <w:t xml:space="preserve"> </w:t>
      </w:r>
      <w:r w:rsidR="687A062C">
        <w:t xml:space="preserve">the </w:t>
      </w:r>
      <w:r w:rsidR="364E9549">
        <w:t>planning system</w:t>
      </w:r>
      <w:r w:rsidR="7E33795F">
        <w:t xml:space="preserve">, but there </w:t>
      </w:r>
      <w:proofErr w:type="gramStart"/>
      <w:r w:rsidR="7E33795F">
        <w:t>was also limited</w:t>
      </w:r>
      <w:proofErr w:type="gramEnd"/>
      <w:r w:rsidR="7E33795F">
        <w:t xml:space="preserve"> articulation by interviewees about the role planning could play in shaping alternative energy pathways.</w:t>
      </w:r>
      <w:r w:rsidR="7E33795F" w:rsidRPr="002C0FED">
        <w:t xml:space="preserve"> </w:t>
      </w:r>
      <w:r w:rsidR="7E33795F">
        <w:t xml:space="preserve">This lack of articulation of planning’s potential is potentially reflective of its current shortcomings with failings in the planning process leading to considerable delays in the deployment of low-carbon technology. This </w:t>
      </w:r>
      <w:proofErr w:type="gramStart"/>
      <w:r w:rsidR="7E33795F">
        <w:t>is recognised</w:t>
      </w:r>
      <w:proofErr w:type="gramEnd"/>
      <w:r w:rsidR="7E33795F">
        <w:t xml:space="preserve"> in the Skidmore Review, noting that such delays and complications limit local action and ambition. </w:t>
      </w:r>
    </w:p>
    <w:p w14:paraId="75157C68" w14:textId="116842BD" w:rsidR="002C0FED" w:rsidRDefault="002C0FED" w:rsidP="1D6FAAA3">
      <w:pPr>
        <w:rPr>
          <w:highlight w:val="yellow"/>
        </w:rPr>
      </w:pPr>
    </w:p>
    <w:p w14:paraId="6ED06E2A" w14:textId="766B42F2" w:rsidR="002C0FED" w:rsidRDefault="00423281" w:rsidP="002C0FED">
      <w:r>
        <w:t>Our interview data suggest that t</w:t>
      </w:r>
      <w:r w:rsidR="002C0FED">
        <w:t xml:space="preserve">he failure of planning </w:t>
      </w:r>
      <w:proofErr w:type="gramStart"/>
      <w:r w:rsidR="002C0FED">
        <w:t>is entwined</w:t>
      </w:r>
      <w:proofErr w:type="gramEnd"/>
      <w:r w:rsidR="002C0FED">
        <w:t xml:space="preserve"> w</w:t>
      </w:r>
      <w:r>
        <w:t xml:space="preserve">ith the failure of central government to </w:t>
      </w:r>
      <w:r w:rsidR="002C0FED">
        <w:t xml:space="preserve">provide a framework to support local net zero action. </w:t>
      </w:r>
      <w:r>
        <w:t xml:space="preserve">As discussed earlier, the lack of a clear national framework to support local leadership and innovation is a clear limit on action. </w:t>
      </w:r>
      <w:r w:rsidR="002C0FED">
        <w:t xml:space="preserve">This </w:t>
      </w:r>
      <w:proofErr w:type="gramStart"/>
      <w:r w:rsidR="002C0FED">
        <w:t>is clearly exemplified</w:t>
      </w:r>
      <w:proofErr w:type="gramEnd"/>
      <w:r w:rsidR="002C0FED">
        <w:t xml:space="preserve"> by one planner in Staffordshire who noted an infinite regress whereby action is not taken as they are waiting for a policy steer from central government and central government fails to act due to limited collective lobbying on the issue by local actors. </w:t>
      </w:r>
    </w:p>
    <w:p w14:paraId="6712A07D" w14:textId="77777777" w:rsidR="002C0FED" w:rsidRDefault="002C0FED" w:rsidP="00D369C2"/>
    <w:p w14:paraId="0000005B" w14:textId="5CCBC49D" w:rsidR="006864E3" w:rsidRDefault="33051A3A" w:rsidP="00D369C2">
      <w:r>
        <w:t xml:space="preserve">Therefore, a greater emphasis </w:t>
      </w:r>
      <w:r w:rsidR="34711C56">
        <w:t>should</w:t>
      </w:r>
      <w:r>
        <w:t xml:space="preserve"> be placed on upskilling and training planners to recognise their role in enabling, </w:t>
      </w:r>
      <w:proofErr w:type="gramStart"/>
      <w:r>
        <w:t>advising</w:t>
      </w:r>
      <w:proofErr w:type="gramEnd"/>
      <w:r>
        <w:t xml:space="preserve"> and investing </w:t>
      </w:r>
      <w:r w:rsidR="34711C56">
        <w:t xml:space="preserve">in </w:t>
      </w:r>
      <w:r>
        <w:t xml:space="preserve">energy </w:t>
      </w:r>
      <w:r w:rsidR="5E973BFF">
        <w:t>system futures within their locality</w:t>
      </w:r>
      <w:r w:rsidR="7891CB37" w:rsidRPr="00B036F0">
        <w:rPr>
          <w:rStyle w:val="FootnoteReference"/>
        </w:rPr>
        <w:footnoteReference w:id="85"/>
      </w:r>
      <w:r w:rsidR="0F5ED092">
        <w:t xml:space="preserve">. </w:t>
      </w:r>
      <w:r w:rsidR="23FCA2A2">
        <w:t xml:space="preserve">Furthermore, training on the intersection between planning and climate will be </w:t>
      </w:r>
      <w:r w:rsidR="23FCA2A2">
        <w:lastRenderedPageBreak/>
        <w:t>needed to increase resilience to climate shocks - by encouraging planner</w:t>
      </w:r>
      <w:r w:rsidR="284F393D">
        <w:t xml:space="preserve">s to be aware of the </w:t>
      </w:r>
      <w:proofErr w:type="gramStart"/>
      <w:r w:rsidR="284F393D">
        <w:t>likely implications</w:t>
      </w:r>
      <w:proofErr w:type="gramEnd"/>
      <w:r w:rsidR="284F393D">
        <w:t xml:space="preserve"> of </w:t>
      </w:r>
      <w:r w:rsidR="00CA13E4">
        <w:t xml:space="preserve">a </w:t>
      </w:r>
      <w:r w:rsidR="284F393D">
        <w:t xml:space="preserve">warming world on their locality - and the critical role of planning in the net zero transition. </w:t>
      </w:r>
      <w:r w:rsidR="45C29721">
        <w:t xml:space="preserve">Moreover, </w:t>
      </w:r>
      <w:r w:rsidR="284F393D">
        <w:t>i</w:t>
      </w:r>
      <w:r w:rsidR="7D165304">
        <w:t xml:space="preserve">ncreased local </w:t>
      </w:r>
      <w:r w:rsidR="36081D0C">
        <w:t xml:space="preserve">knowledge </w:t>
      </w:r>
      <w:r w:rsidR="7D165304">
        <w:t>has the potential to</w:t>
      </w:r>
      <w:r w:rsidR="2917BFCF">
        <w:t xml:space="preserve"> reduc</w:t>
      </w:r>
      <w:r w:rsidR="7D165304">
        <w:t>e</w:t>
      </w:r>
      <w:r w:rsidR="2917BFCF">
        <w:t xml:space="preserve"> deficit</w:t>
      </w:r>
      <w:r w:rsidR="7E33795F">
        <w:t>s</w:t>
      </w:r>
      <w:r w:rsidR="7D165304">
        <w:t xml:space="preserve"> and</w:t>
      </w:r>
      <w:r w:rsidR="2917BFCF">
        <w:t xml:space="preserve"> improve local capacity to </w:t>
      </w:r>
      <w:r w:rsidR="7D165304">
        <w:t>support</w:t>
      </w:r>
      <w:r w:rsidR="2917BFCF">
        <w:t xml:space="preserve"> </w:t>
      </w:r>
      <w:r w:rsidR="7E33795F">
        <w:t>decision-making</w:t>
      </w:r>
      <w:r w:rsidR="2917BFCF">
        <w:t xml:space="preserve"> for local plans</w:t>
      </w:r>
      <w:r w:rsidR="112B44F5">
        <w:t xml:space="preserve">, by helping to shape local plans which are conducive to climate action or by helping local authorities develop place-based </w:t>
      </w:r>
      <w:r w:rsidR="00CA13E4">
        <w:t>supplementary</w:t>
      </w:r>
      <w:r w:rsidR="112B44F5">
        <w:t xml:space="preserve"> planning documents.</w:t>
      </w:r>
      <w:r w:rsidR="7D165304">
        <w:t xml:space="preserve"> Such action</w:t>
      </w:r>
      <w:r w:rsidR="32CBACD4">
        <w:t xml:space="preserve"> </w:t>
      </w:r>
      <w:r w:rsidR="2917BFCF">
        <w:t>also has the potential to increase</w:t>
      </w:r>
      <w:r w:rsidR="32CBACD4">
        <w:t xml:space="preserve"> mobilisation </w:t>
      </w:r>
      <w:r w:rsidR="0DA6B778">
        <w:t xml:space="preserve">at </w:t>
      </w:r>
      <w:r w:rsidR="32CBACD4">
        <w:t>the local scale to improve policy framework</w:t>
      </w:r>
      <w:r w:rsidR="7F5B64AD">
        <w:t>s</w:t>
      </w:r>
      <w:r w:rsidR="32CBACD4">
        <w:t>.</w:t>
      </w:r>
      <w:r w:rsidR="7D165304">
        <w:t xml:space="preserve"> </w:t>
      </w:r>
    </w:p>
    <w:p w14:paraId="0000005C" w14:textId="77777777" w:rsidR="006864E3" w:rsidRDefault="006864E3"/>
    <w:p w14:paraId="0000005D" w14:textId="45A8369E" w:rsidR="006864E3" w:rsidRDefault="4192B945">
      <w:r>
        <w:t>From this research, Nottingham stood out as having adopted a different model of local governance to other parts of England</w:t>
      </w:r>
      <w:r w:rsidR="004C03C9">
        <w:rPr>
          <w:rStyle w:val="FootnoteReference"/>
        </w:rPr>
        <w:footnoteReference w:id="86"/>
      </w:r>
      <w:r>
        <w:t xml:space="preserve">. Using a collaborative approach has the potential to mitigate risk within decision-making, by </w:t>
      </w:r>
      <w:proofErr w:type="gramStart"/>
      <w:r>
        <w:t>utilising</w:t>
      </w:r>
      <w:proofErr w:type="gramEnd"/>
      <w:r>
        <w:t xml:space="preserve"> a clear framework to facilitate a multitude of semi-autonomous actors' engagement with complex issues</w:t>
      </w:r>
      <w:r w:rsidR="00BC4AC1">
        <w:rPr>
          <w:vertAlign w:val="superscript"/>
        </w:rPr>
        <w:footnoteReference w:id="87"/>
      </w:r>
      <w:r>
        <w:t xml:space="preserve">. Nottingham has more effectively </w:t>
      </w:r>
      <w:proofErr w:type="gramStart"/>
      <w:r>
        <w:t>utilised</w:t>
      </w:r>
      <w:proofErr w:type="gramEnd"/>
      <w:r>
        <w:t xml:space="preserve"> this approach </w:t>
      </w:r>
      <w:r w:rsidR="2D88DEF7">
        <w:t xml:space="preserve">than other areas studies </w:t>
      </w:r>
      <w:r>
        <w:t>with the development and continued operation of the Nottingham Green Partnership</w:t>
      </w:r>
      <w:r w:rsidR="2D88DEF7">
        <w:t>. The partnership has</w:t>
      </w:r>
      <w:r>
        <w:t xml:space="preserve"> invit</w:t>
      </w:r>
      <w:r w:rsidR="2D88DEF7">
        <w:t>ed</w:t>
      </w:r>
      <w:r>
        <w:t xml:space="preserve"> a </w:t>
      </w:r>
      <w:r w:rsidR="2D88DEF7">
        <w:t>variety</w:t>
      </w:r>
      <w:r>
        <w:t xml:space="preserve"> of actors in</w:t>
      </w:r>
      <w:r w:rsidR="2D88DEF7">
        <w:t>to the</w:t>
      </w:r>
      <w:r>
        <w:t xml:space="preserve"> decision</w:t>
      </w:r>
      <w:r w:rsidR="2D88DEF7">
        <w:t>-</w:t>
      </w:r>
      <w:r>
        <w:t xml:space="preserve">making </w:t>
      </w:r>
      <w:r w:rsidR="2D88DEF7">
        <w:t xml:space="preserve">arena, </w:t>
      </w:r>
      <w:r>
        <w:t xml:space="preserve">creating shared ownership of net zero as an issue and allowing stakeholders to positively engage with the necessary action, whilst continuing to </w:t>
      </w:r>
      <w:proofErr w:type="gramStart"/>
      <w:r>
        <w:t>act as</w:t>
      </w:r>
      <w:proofErr w:type="gramEnd"/>
      <w:r>
        <w:t xml:space="preserve"> a central point of leadership. </w:t>
      </w:r>
      <w:r w:rsidR="3074E01F">
        <w:t>Nottingham’s</w:t>
      </w:r>
      <w:r>
        <w:t xml:space="preserve"> interpretation of what leadership is and the need for collective governance to act on environmental issues within the broader social context of the area has played </w:t>
      </w:r>
      <w:proofErr w:type="gramStart"/>
      <w:r>
        <w:t>a major role</w:t>
      </w:r>
      <w:proofErr w:type="gramEnd"/>
      <w:r>
        <w:t xml:space="preserve"> in delivering on net zero. This approach has the potential to develop synergies between different actors in contrast to a unilateral/top-down approach to governance which can limit collaborative action on climate change and contrasts</w:t>
      </w:r>
      <w:r w:rsidR="00BC4AC1">
        <w:rPr>
          <w:vertAlign w:val="superscript"/>
        </w:rPr>
        <w:footnoteReference w:id="88"/>
      </w:r>
      <w:r w:rsidR="00BC4AC1">
        <w:rPr>
          <w:vertAlign w:val="superscript"/>
        </w:rPr>
        <w:footnoteReference w:id="89"/>
      </w:r>
      <w:r>
        <w:t xml:space="preserve">. </w:t>
      </w:r>
      <w:r w:rsidR="3074E01F">
        <w:t xml:space="preserve">Our </w:t>
      </w:r>
      <w:r>
        <w:t xml:space="preserve">research </w:t>
      </w:r>
      <w:r w:rsidR="3074E01F">
        <w:t>indicates</w:t>
      </w:r>
      <w:r>
        <w:t xml:space="preserve"> </w:t>
      </w:r>
      <w:r w:rsidR="3074E01F">
        <w:t xml:space="preserve">that </w:t>
      </w:r>
      <w:r>
        <w:t xml:space="preserve">place-based local collaborative leadership is </w:t>
      </w:r>
      <w:r w:rsidR="3074E01F">
        <w:t xml:space="preserve">an important dimension to ensure a just transition (recognising the procedural and recognitional elements). A dialogic approach can potentially ensure that there is a flow of information and knowledge between actors at the local scale and better scales, particularly mitigating the harmful impacts of the transition of particularly vulnerable groups. It can also help with the distributional impacts of the transition, </w:t>
      </w:r>
      <w:r w:rsidR="545060B3">
        <w:t xml:space="preserve">ensuring </w:t>
      </w:r>
      <w:r w:rsidR="3074E01F">
        <w:t xml:space="preserve">that local </w:t>
      </w:r>
      <w:r w:rsidR="545060B3">
        <w:t>communities</w:t>
      </w:r>
      <w:r w:rsidR="3074E01F">
        <w:t xml:space="preserve"> could</w:t>
      </w:r>
      <w:r w:rsidR="0DEE1A23">
        <w:t xml:space="preserve"> benefit from the deployment and installation of technologies</w:t>
      </w:r>
      <w:r w:rsidR="545060B3">
        <w:t>.</w:t>
      </w:r>
      <w:r>
        <w:t xml:space="preserve"> A collaborative approach has the </w:t>
      </w:r>
      <w:r w:rsidR="0DEE1A23">
        <w:t>potential</w:t>
      </w:r>
      <w:r>
        <w:t xml:space="preserve"> to reimagine community consent for projects by centring them in the heart of local decision-making. This builds on previous work noting the need for intermediary bodies for sustainability transitions - bodies independent of government with potentially greater trust, hence able to reach broader social groups - to be </w:t>
      </w:r>
      <w:r>
        <w:lastRenderedPageBreak/>
        <w:t xml:space="preserve">supported in their </w:t>
      </w:r>
      <w:proofErr w:type="gramStart"/>
      <w:r>
        <w:t>early stages</w:t>
      </w:r>
      <w:proofErr w:type="gramEnd"/>
      <w:r>
        <w:t xml:space="preserve">, </w:t>
      </w:r>
      <w:r w:rsidR="10635971">
        <w:t>to</w:t>
      </w:r>
      <w:r>
        <w:t xml:space="preserve"> build capacity, knowledge and greater institutional support</w:t>
      </w:r>
      <w:r w:rsidR="00BC4AC1">
        <w:rPr>
          <w:vertAlign w:val="superscript"/>
        </w:rPr>
        <w:footnoteReference w:id="90"/>
      </w:r>
      <w:r w:rsidR="00BC4AC1">
        <w:rPr>
          <w:vertAlign w:val="superscript"/>
        </w:rPr>
        <w:footnoteReference w:id="91"/>
      </w:r>
      <w:r>
        <w:t>.</w:t>
      </w:r>
    </w:p>
    <w:p w14:paraId="4465D68A" w14:textId="553197E5" w:rsidR="1D6FAAA3" w:rsidRDefault="1D6FAAA3" w:rsidP="1D6FAAA3"/>
    <w:p w14:paraId="5AED1B01" w14:textId="4CF99329" w:rsidR="001600D4" w:rsidRDefault="001600D4" w:rsidP="001600D4">
      <w:pPr>
        <w:pStyle w:val="Heading4"/>
      </w:pPr>
      <w:bookmarkStart w:id="27" w:name="_Toc139639463"/>
      <w:r>
        <w:t>Planning regulatory sandboxes</w:t>
      </w:r>
      <w:bookmarkEnd w:id="27"/>
    </w:p>
    <w:p w14:paraId="2401FE6D" w14:textId="5B61B4EE" w:rsidR="00CA13E4" w:rsidRDefault="00CA13E4" w:rsidP="00CA13E4">
      <w:pPr>
        <w:rPr>
          <w:i/>
          <w:iCs/>
        </w:rPr>
      </w:pPr>
      <w:bookmarkStart w:id="28" w:name="_Toc139410313"/>
    </w:p>
    <w:p w14:paraId="5B855B63" w14:textId="6E535FD2" w:rsidR="3E1DF96B" w:rsidRDefault="3E1DF96B" w:rsidP="00CA13E4">
      <w:r>
        <w:t xml:space="preserve">Although there were divergences in the level of success in leading climate action at a local level, there were shared frustrations </w:t>
      </w:r>
      <w:r w:rsidR="66FF764A">
        <w:t xml:space="preserve">regarding </w:t>
      </w:r>
      <w:r>
        <w:t>structural constraints</w:t>
      </w:r>
      <w:r w:rsidR="00CA13E4">
        <w:t>. These include the</w:t>
      </w:r>
      <w:r>
        <w:t xml:space="preserve"> lack of devolved power</w:t>
      </w:r>
      <w:r w:rsidR="78A537D4">
        <w:t>, planning regulations</w:t>
      </w:r>
      <w:r>
        <w:t xml:space="preserve"> and finance to support action. </w:t>
      </w:r>
      <w:r w:rsidR="30F8CA05">
        <w:t xml:space="preserve">To begin to overcome these </w:t>
      </w:r>
      <w:r w:rsidR="4675B2A9">
        <w:t>challenges, policy</w:t>
      </w:r>
      <w:r w:rsidR="30F8CA05">
        <w:t xml:space="preserve"> and regulatory innovation </w:t>
      </w:r>
      <w:proofErr w:type="gramStart"/>
      <w:r w:rsidR="00CA13E4">
        <w:t>are</w:t>
      </w:r>
      <w:r w:rsidR="30F8CA05">
        <w:t xml:space="preserve"> required</w:t>
      </w:r>
      <w:proofErr w:type="gramEnd"/>
      <w:r w:rsidR="30F8CA05">
        <w:t xml:space="preserve"> with more agility within the planning framework. </w:t>
      </w:r>
      <w:r w:rsidR="00626CDE">
        <w:t>D</w:t>
      </w:r>
      <w:r w:rsidR="25C82542">
        <w:t xml:space="preserve">ifferent challenges exist in the planning framework in </w:t>
      </w:r>
      <w:proofErr w:type="gramStart"/>
      <w:r w:rsidR="25C82542">
        <w:t xml:space="preserve">different </w:t>
      </w:r>
      <w:r w:rsidR="001600D4">
        <w:t>places</w:t>
      </w:r>
      <w:proofErr w:type="gramEnd"/>
      <w:r w:rsidR="25C82542">
        <w:t xml:space="preserve"> of the UK, with some areas facing particular challenges on the road to net zero</w:t>
      </w:r>
      <w:r w:rsidR="2A599BBB">
        <w:t xml:space="preserve"> such as conservation areas. </w:t>
      </w:r>
      <w:r w:rsidR="12BF0BFC">
        <w:t>To enable local areas to overcome the diverse challenges which exist in this space, we suggested the</w:t>
      </w:r>
      <w:r w:rsidR="284379A1">
        <w:t xml:space="preserve"> exploration of </w:t>
      </w:r>
      <w:r w:rsidR="12BF0BFC">
        <w:t xml:space="preserve">regulatory </w:t>
      </w:r>
      <w:r w:rsidR="4BFCE205">
        <w:t>sandboxes</w:t>
      </w:r>
      <w:r w:rsidR="179CF752">
        <w:t xml:space="preserve"> in </w:t>
      </w:r>
      <w:r w:rsidR="001600D4">
        <w:t xml:space="preserve">various </w:t>
      </w:r>
      <w:r w:rsidR="179CF752">
        <w:t>key challenge areas</w:t>
      </w:r>
      <w:r w:rsidR="4EF3C77B">
        <w:t>. Planning</w:t>
      </w:r>
      <w:r w:rsidR="0AB486AE">
        <w:t>,</w:t>
      </w:r>
      <w:r w:rsidR="4EF3C77B">
        <w:t xml:space="preserve"> as has </w:t>
      </w:r>
      <w:proofErr w:type="gramStart"/>
      <w:r w:rsidR="4EF3C77B">
        <w:t>been highlighted</w:t>
      </w:r>
      <w:proofErr w:type="gramEnd"/>
      <w:r w:rsidR="4EF3C77B">
        <w:t xml:space="preserve"> throughout this </w:t>
      </w:r>
      <w:r w:rsidR="001600D4">
        <w:t>paper</w:t>
      </w:r>
      <w:r w:rsidR="66E902D5">
        <w:t>,</w:t>
      </w:r>
      <w:r w:rsidR="4EF3C77B">
        <w:t xml:space="preserve"> remains a major constraint </w:t>
      </w:r>
      <w:r w:rsidR="4C0A5C61">
        <w:t xml:space="preserve">to deliver on net zero. Therefore, we suggest that a priority sandbox should </w:t>
      </w:r>
      <w:proofErr w:type="gramStart"/>
      <w:r w:rsidR="4C0A5C61">
        <w:t>be created</w:t>
      </w:r>
      <w:proofErr w:type="gramEnd"/>
      <w:r w:rsidR="4C0A5C61">
        <w:t xml:space="preserve"> and run by the Planning Inspectorate</w:t>
      </w:r>
      <w:r w:rsidR="001600D4">
        <w:t xml:space="preserve">. Various outcomes from this might include allowing </w:t>
      </w:r>
      <w:r w:rsidR="03D85F62">
        <w:t xml:space="preserve">businesses </w:t>
      </w:r>
      <w:r w:rsidR="7A55909D">
        <w:t>to</w:t>
      </w:r>
      <w:r w:rsidR="001600D4">
        <w:t xml:space="preserve"> temporarily</w:t>
      </w:r>
      <w:r w:rsidR="7A55909D">
        <w:t xml:space="preserve"> </w:t>
      </w:r>
      <w:r w:rsidR="04406619">
        <w:t>derogate</w:t>
      </w:r>
      <w:r w:rsidR="70FCC21A">
        <w:t xml:space="preserve"> on planning laws </w:t>
      </w:r>
      <w:r w:rsidR="001600D4">
        <w:t xml:space="preserve">where this could lead to </w:t>
      </w:r>
      <w:r w:rsidR="5ACACC73">
        <w:t>reduc</w:t>
      </w:r>
      <w:r w:rsidR="001600D4">
        <w:t>ed</w:t>
      </w:r>
      <w:r w:rsidR="70FCC21A">
        <w:t xml:space="preserve"> carbon emissions aligned with </w:t>
      </w:r>
      <w:r w:rsidR="6D87088E">
        <w:t xml:space="preserve">the net zero </w:t>
      </w:r>
      <w:r w:rsidR="001600D4">
        <w:t>strategies</w:t>
      </w:r>
      <w:r w:rsidR="3F6D3866">
        <w:t>, such as changing the category of some net zero interventions to ‘permitted development</w:t>
      </w:r>
      <w:proofErr w:type="gramStart"/>
      <w:r w:rsidR="3F6D3866">
        <w:t>’</w:t>
      </w:r>
      <w:r w:rsidR="27750A55">
        <w:t>.</w:t>
      </w:r>
      <w:proofErr w:type="gramEnd"/>
      <w:r w:rsidR="74215BC1">
        <w:t xml:space="preserve"> Critically, learning from previous sandboxes in the UK, there should be greater inclusion during </w:t>
      </w:r>
      <w:r w:rsidR="521CC66E">
        <w:t xml:space="preserve">the </w:t>
      </w:r>
      <w:r w:rsidR="283E21E7">
        <w:t>lifetime</w:t>
      </w:r>
      <w:r w:rsidR="134D066C">
        <w:t xml:space="preserve"> of the scheme</w:t>
      </w:r>
      <w:r w:rsidR="283E21E7">
        <w:t xml:space="preserve">, enabling not only major industrial players to innovate but also </w:t>
      </w:r>
      <w:r w:rsidR="46EC7E34">
        <w:t>community-based</w:t>
      </w:r>
      <w:r w:rsidR="283E21E7">
        <w:t xml:space="preserve"> innovation. </w:t>
      </w:r>
      <w:r w:rsidR="0BE96E6E">
        <w:t xml:space="preserve">One potentially impactful way this could </w:t>
      </w:r>
      <w:proofErr w:type="gramStart"/>
      <w:r w:rsidR="0BE96E6E">
        <w:t xml:space="preserve">be </w:t>
      </w:r>
      <w:r w:rsidR="0A8E0F63">
        <w:t>implemented</w:t>
      </w:r>
      <w:proofErr w:type="gramEnd"/>
      <w:r w:rsidR="0BE96E6E">
        <w:t xml:space="preserve"> </w:t>
      </w:r>
      <w:r w:rsidR="001600D4">
        <w:t xml:space="preserve">is </w:t>
      </w:r>
      <w:r w:rsidR="0BE96E6E">
        <w:t xml:space="preserve">by creating places </w:t>
      </w:r>
      <w:r w:rsidR="001600D4">
        <w:t xml:space="preserve">– regulatory bubbles – </w:t>
      </w:r>
      <w:r w:rsidR="0BE96E6E">
        <w:t>where</w:t>
      </w:r>
      <w:r w:rsidR="3F62465D">
        <w:t xml:space="preserve"> </w:t>
      </w:r>
      <w:r w:rsidR="6305C5E1">
        <w:t xml:space="preserve">planning </w:t>
      </w:r>
      <w:r w:rsidR="3F62465D">
        <w:t xml:space="preserve">permission is less </w:t>
      </w:r>
      <w:r w:rsidR="7ABFE982">
        <w:t>stringent</w:t>
      </w:r>
      <w:r w:rsidR="3F62465D">
        <w:t xml:space="preserve"> whe</w:t>
      </w:r>
      <w:r w:rsidR="5A28F8A7">
        <w:t>n</w:t>
      </w:r>
      <w:r w:rsidR="3F62465D">
        <w:t xml:space="preserve"> genuine community benefit can be realise</w:t>
      </w:r>
      <w:r w:rsidR="7A842441">
        <w:t>d</w:t>
      </w:r>
      <w:r w:rsidR="135B6D71">
        <w:t xml:space="preserve"> through </w:t>
      </w:r>
      <w:r w:rsidR="001600D4">
        <w:t>community-owned</w:t>
      </w:r>
      <w:r w:rsidR="135B6D71">
        <w:t xml:space="preserve"> enterpri</w:t>
      </w:r>
      <w:r w:rsidR="406BAB36">
        <w:t>s</w:t>
      </w:r>
      <w:r w:rsidR="135B6D71">
        <w:t>e, distributing the benefits of any action within local are</w:t>
      </w:r>
      <w:r w:rsidR="75B5967A">
        <w:t xml:space="preserve">as. </w:t>
      </w:r>
      <w:r w:rsidR="564EEFE2">
        <w:t xml:space="preserve">Alternatively, greater agency will need to </w:t>
      </w:r>
      <w:proofErr w:type="gramStart"/>
      <w:r w:rsidR="564EEFE2">
        <w:t>be devolved</w:t>
      </w:r>
      <w:proofErr w:type="gramEnd"/>
      <w:r w:rsidR="564EEFE2">
        <w:t xml:space="preserve"> to local planners </w:t>
      </w:r>
      <w:r w:rsidR="14F3D514">
        <w:t>to encourage the growth of net zero assets - both generation</w:t>
      </w:r>
      <w:r w:rsidR="008F4253">
        <w:t>al</w:t>
      </w:r>
      <w:r w:rsidR="14F3D514">
        <w:t xml:space="preserve"> and demand reduction</w:t>
      </w:r>
      <w:r w:rsidR="5398BA45">
        <w:t xml:space="preserve"> – where climate emergencies have been declared, </w:t>
      </w:r>
      <w:r w:rsidR="32EB2CDE">
        <w:t>reimaging the planning appeals process</w:t>
      </w:r>
      <w:r w:rsidR="14F3D514">
        <w:t>.</w:t>
      </w:r>
      <w:bookmarkEnd w:id="28"/>
      <w:r w:rsidR="14F3D514">
        <w:t xml:space="preserve"> </w:t>
      </w:r>
    </w:p>
    <w:p w14:paraId="50DFF8F8" w14:textId="73198248" w:rsidR="4395FF7F" w:rsidRDefault="4395FF7F" w:rsidP="4395FF7F"/>
    <w:p w14:paraId="22E0546D" w14:textId="48A212E4" w:rsidR="08BF77D2" w:rsidRDefault="08BF77D2" w:rsidP="4395FF7F">
      <w:pPr>
        <w:pStyle w:val="Heading4"/>
        <w:rPr>
          <w:rFonts w:ascii="Calibri" w:eastAsia="Calibri" w:hAnsi="Calibri" w:cs="Calibri"/>
          <w:color w:val="242424"/>
          <w:sz w:val="22"/>
          <w:szCs w:val="22"/>
        </w:rPr>
      </w:pPr>
      <w:bookmarkStart w:id="29" w:name="_Toc139639464"/>
      <w:r>
        <w:t>Design principles for collaborative multi-scalar governance</w:t>
      </w:r>
      <w:bookmarkEnd w:id="29"/>
    </w:p>
    <w:p w14:paraId="64458BA3" w14:textId="1A6DD069" w:rsidR="4395FF7F" w:rsidRDefault="4395FF7F" w:rsidP="4395FF7F"/>
    <w:p w14:paraId="39DC7DEA" w14:textId="5A10EDB5" w:rsidR="105D61FB" w:rsidRDefault="105D61FB" w:rsidP="4395FF7F">
      <w:r>
        <w:t>Throughout this research</w:t>
      </w:r>
      <w:r w:rsidR="00482E13">
        <w:t xml:space="preserve"> </w:t>
      </w:r>
      <w:r w:rsidR="7DADD0F0">
        <w:t xml:space="preserve">several emergent principles that can be </w:t>
      </w:r>
      <w:proofErr w:type="gramStart"/>
      <w:r w:rsidR="7DADD0F0">
        <w:t>utilised</w:t>
      </w:r>
      <w:proofErr w:type="gramEnd"/>
      <w:r w:rsidR="7DADD0F0">
        <w:t xml:space="preserve"> to support collaborative multi-scalar governance</w:t>
      </w:r>
      <w:r w:rsidR="6366D9ED">
        <w:t xml:space="preserve"> have been </w:t>
      </w:r>
      <w:r w:rsidR="55B26B48">
        <w:t>identified</w:t>
      </w:r>
      <w:r w:rsidR="7DADD0F0">
        <w:t>.</w:t>
      </w:r>
      <w:r w:rsidR="1A7A9D08">
        <w:t xml:space="preserve"> </w:t>
      </w:r>
      <w:r w:rsidR="5F3157BC">
        <w:t xml:space="preserve">First, there is </w:t>
      </w:r>
      <w:r w:rsidR="00A47421">
        <w:t xml:space="preserve">a </w:t>
      </w:r>
      <w:r w:rsidR="5F3157BC">
        <w:t xml:space="preserve">need for greater regulatory flexibility between </w:t>
      </w:r>
      <w:r w:rsidR="00A47421">
        <w:t>scales</w:t>
      </w:r>
      <w:r w:rsidR="5F3157BC">
        <w:t xml:space="preserve"> of governance. As parts of the UK continue to </w:t>
      </w:r>
      <w:proofErr w:type="gramStart"/>
      <w:r w:rsidR="6D688F42">
        <w:t>be granted</w:t>
      </w:r>
      <w:proofErr w:type="gramEnd"/>
      <w:r w:rsidR="6D688F42">
        <w:t xml:space="preserve"> </w:t>
      </w:r>
      <w:r w:rsidR="5F3157BC">
        <w:t>devolution deals</w:t>
      </w:r>
      <w:r w:rsidR="42B94C86">
        <w:t xml:space="preserve">, there is an opportunity </w:t>
      </w:r>
      <w:r w:rsidR="00A47421">
        <w:t>for</w:t>
      </w:r>
      <w:r w:rsidR="42B94C86">
        <w:t xml:space="preserve"> decentralised governance tools, increasing local ability to </w:t>
      </w:r>
      <w:r w:rsidR="009B299C">
        <w:t>adapt</w:t>
      </w:r>
      <w:r w:rsidR="42B94C86">
        <w:t xml:space="preserve"> to meet local needs. </w:t>
      </w:r>
      <w:r w:rsidR="015E31B8">
        <w:t xml:space="preserve">Second, the emergence of SuperPlaces in place-based decarbonisation has the potential to further </w:t>
      </w:r>
      <w:r w:rsidR="400316E9">
        <w:t>exacerbate</w:t>
      </w:r>
      <w:r w:rsidR="015E31B8">
        <w:t xml:space="preserve"> regional inequalities as resources </w:t>
      </w:r>
      <w:proofErr w:type="gramStart"/>
      <w:r w:rsidR="015E31B8">
        <w:t>are diverted</w:t>
      </w:r>
      <w:proofErr w:type="gramEnd"/>
      <w:r w:rsidR="015E31B8">
        <w:t xml:space="preserve"> to key industrial clu</w:t>
      </w:r>
      <w:r w:rsidR="2240D01E">
        <w:t>sters or city regions in the UK</w:t>
      </w:r>
      <w:r w:rsidR="5903FC81">
        <w:t>, rather than being evenly distributed</w:t>
      </w:r>
      <w:r w:rsidR="2240D01E">
        <w:t>. It is therefore necessary to</w:t>
      </w:r>
      <w:r w:rsidR="65807F88">
        <w:t xml:space="preserve"> develop and implement mechanisms to ensure that resources </w:t>
      </w:r>
      <w:proofErr w:type="gramStart"/>
      <w:r w:rsidR="65807F88">
        <w:t>are spread</w:t>
      </w:r>
      <w:proofErr w:type="gramEnd"/>
      <w:r w:rsidR="65807F88">
        <w:t xml:space="preserve"> geographically and can support genuine levelling up </w:t>
      </w:r>
      <w:r w:rsidR="65807F88">
        <w:lastRenderedPageBreak/>
        <w:t>across the UK</w:t>
      </w:r>
      <w:r w:rsidR="7EA7FC1A">
        <w:t xml:space="preserve"> rather than </w:t>
      </w:r>
      <w:r w:rsidR="009B299C">
        <w:t>being concentrated in</w:t>
      </w:r>
      <w:r w:rsidR="7EA7FC1A">
        <w:t xml:space="preserve"> resourcing hotspots. Third, </w:t>
      </w:r>
      <w:r w:rsidR="009B299C">
        <w:t xml:space="preserve">while place-based decarbonisation </w:t>
      </w:r>
      <w:r w:rsidR="7EA7FC1A">
        <w:t xml:space="preserve">action was </w:t>
      </w:r>
      <w:proofErr w:type="gramStart"/>
      <w:r w:rsidR="7EA7FC1A">
        <w:t>being taken</w:t>
      </w:r>
      <w:proofErr w:type="gramEnd"/>
      <w:r w:rsidR="7EA7FC1A">
        <w:t xml:space="preserve"> </w:t>
      </w:r>
      <w:r w:rsidR="28641C69">
        <w:t xml:space="preserve">across </w:t>
      </w:r>
      <w:r w:rsidR="00BD1D15">
        <w:t xml:space="preserve">all </w:t>
      </w:r>
      <w:r w:rsidR="28641C69">
        <w:t>the case study areas</w:t>
      </w:r>
      <w:r w:rsidR="009B299C">
        <w:t xml:space="preserve">, it was clear that these were sometimes aided by </w:t>
      </w:r>
      <w:r w:rsidR="00BD1D15">
        <w:t>actions</w:t>
      </w:r>
      <w:r w:rsidR="009B299C">
        <w:t xml:space="preserve"> </w:t>
      </w:r>
      <w:r w:rsidR="00BD1D15">
        <w:t>arising from organisations</w:t>
      </w:r>
      <w:r w:rsidR="009B299C">
        <w:t xml:space="preserve"> working across scales</w:t>
      </w:r>
      <w:r w:rsidR="730F01F8">
        <w:t>.</w:t>
      </w:r>
      <w:r w:rsidR="31BC7D0C">
        <w:t xml:space="preserve"> </w:t>
      </w:r>
      <w:r w:rsidR="009B299C">
        <w:t xml:space="preserve">For example, </w:t>
      </w:r>
      <w:r w:rsidR="3EBD057E">
        <w:t xml:space="preserve">Net Zero Hubs </w:t>
      </w:r>
      <w:r w:rsidR="009B299C">
        <w:t>have facilitated</w:t>
      </w:r>
      <w:r w:rsidR="2A0FFB2B">
        <w:t xml:space="preserve"> local access to</w:t>
      </w:r>
      <w:r w:rsidR="1483BBCA">
        <w:t xml:space="preserve"> funding</w:t>
      </w:r>
      <w:r w:rsidR="608912DE">
        <w:t xml:space="preserve"> pots to drive</w:t>
      </w:r>
      <w:r w:rsidR="1483BBCA">
        <w:t xml:space="preserve"> key initiatives. </w:t>
      </w:r>
      <w:r w:rsidR="28641C69">
        <w:t>However,</w:t>
      </w:r>
      <w:r w:rsidR="009B299C">
        <w:t xml:space="preserve"> </w:t>
      </w:r>
      <w:r w:rsidR="3A96ABAF">
        <w:t>Net Zero Forums</w:t>
      </w:r>
      <w:r w:rsidR="009B299C">
        <w:t xml:space="preserve"> have limited resources</w:t>
      </w:r>
      <w:r w:rsidR="00482E13">
        <w:t>,</w:t>
      </w:r>
      <w:r w:rsidR="009B299C">
        <w:t xml:space="preserve"> and this has limited their scope to bring policy actors together to address complex</w:t>
      </w:r>
      <w:r w:rsidR="00BD1D15">
        <w:t xml:space="preserve"> issues</w:t>
      </w:r>
      <w:r w:rsidR="3A96ABAF">
        <w:t>. Therefore, refocusing and support</w:t>
      </w:r>
      <w:r w:rsidR="182D13D5">
        <w:t>ing</w:t>
      </w:r>
      <w:r w:rsidR="3A96ABAF">
        <w:t xml:space="preserve"> r</w:t>
      </w:r>
      <w:r w:rsidR="5C7D4558">
        <w:t xml:space="preserve">egional and national policy forums </w:t>
      </w:r>
      <w:r w:rsidR="19E91E48">
        <w:t xml:space="preserve">should </w:t>
      </w:r>
      <w:proofErr w:type="gramStart"/>
      <w:r w:rsidR="19E91E48">
        <w:t>be pursued</w:t>
      </w:r>
      <w:proofErr w:type="gramEnd"/>
      <w:r w:rsidR="19E91E48">
        <w:t xml:space="preserve"> to facilitate knowledge exchange</w:t>
      </w:r>
      <w:r w:rsidR="37E07612">
        <w:t>, grow local capacity – particularly important for smaller areas -</w:t>
      </w:r>
      <w:r w:rsidR="19E91E48">
        <w:t xml:space="preserve"> and help novel policy innovations move into mainstream local policy discourse.</w:t>
      </w:r>
      <w:r w:rsidR="588E0379">
        <w:t xml:space="preserve"> This could also enable the growth of place-specific policies based on local </w:t>
      </w:r>
      <w:r w:rsidR="40635BBE">
        <w:t>knowledge</w:t>
      </w:r>
      <w:r w:rsidR="588E0379">
        <w:t xml:space="preserve"> exchange.</w:t>
      </w:r>
      <w:r w:rsidR="19E91E48">
        <w:t xml:space="preserve"> </w:t>
      </w:r>
      <w:r w:rsidR="332838BD">
        <w:t xml:space="preserve">Finally, </w:t>
      </w:r>
      <w:r w:rsidR="00626CDE">
        <w:t>the</w:t>
      </w:r>
      <w:r w:rsidR="332838BD">
        <w:t xml:space="preserve"> economic focus of historic initiatives can have local benefits, however, in </w:t>
      </w:r>
      <w:proofErr w:type="gramStart"/>
      <w:r w:rsidR="332838BD">
        <w:t>many</w:t>
      </w:r>
      <w:proofErr w:type="gramEnd"/>
      <w:r w:rsidR="332838BD">
        <w:t xml:space="preserve"> </w:t>
      </w:r>
      <w:r w:rsidR="41733B1B">
        <w:t>cases</w:t>
      </w:r>
      <w:r w:rsidR="00A47421">
        <w:t>,</w:t>
      </w:r>
      <w:r w:rsidR="332838BD">
        <w:t xml:space="preserve"> genuine community participation is highly limited within </w:t>
      </w:r>
      <w:r w:rsidR="2004774D">
        <w:t>governance</w:t>
      </w:r>
      <w:r w:rsidR="332838BD">
        <w:t xml:space="preserve"> structures. </w:t>
      </w:r>
      <w:r w:rsidR="1D997F0F">
        <w:t xml:space="preserve">Given the emerging barriers to decarbonisation </w:t>
      </w:r>
      <w:r w:rsidR="00A47421">
        <w:t xml:space="preserve">from </w:t>
      </w:r>
      <w:r w:rsidR="1D997F0F">
        <w:t xml:space="preserve">misinformation and mistrust </w:t>
      </w:r>
      <w:r w:rsidR="00A47421">
        <w:t>of</w:t>
      </w:r>
      <w:r w:rsidR="1D997F0F">
        <w:t xml:space="preserve"> net zero, deeper participatory community engagement is a necessity. Critically, this should </w:t>
      </w:r>
      <w:proofErr w:type="gramStart"/>
      <w:r w:rsidR="1D997F0F">
        <w:t>utilise</w:t>
      </w:r>
      <w:proofErr w:type="gramEnd"/>
      <w:r w:rsidR="1D997F0F">
        <w:t xml:space="preserve"> existing anc</w:t>
      </w:r>
      <w:r w:rsidR="71512A77">
        <w:t xml:space="preserve">hor institutions </w:t>
      </w:r>
      <w:r w:rsidR="616D8077">
        <w:t xml:space="preserve">as a conduit to engage local people with policy </w:t>
      </w:r>
      <w:r w:rsidR="00A47421">
        <w:t>processes</w:t>
      </w:r>
      <w:r w:rsidR="616D8077">
        <w:t xml:space="preserve"> such as local </w:t>
      </w:r>
      <w:r w:rsidR="00A47421">
        <w:t>citizens'</w:t>
      </w:r>
      <w:r w:rsidR="616D8077">
        <w:t xml:space="preserve"> assemblies.</w:t>
      </w:r>
    </w:p>
    <w:p w14:paraId="761F5CE7" w14:textId="77777777" w:rsidR="001600D4" w:rsidRDefault="001600D4" w:rsidP="00CA13E4"/>
    <w:p w14:paraId="20C59F8C" w14:textId="184A05E6" w:rsidR="001600D4" w:rsidRDefault="001600D4" w:rsidP="001600D4">
      <w:pPr>
        <w:pStyle w:val="Heading4"/>
      </w:pPr>
      <w:bookmarkStart w:id="30" w:name="_Toc139639465"/>
      <w:r>
        <w:t>Promoting climate communicators</w:t>
      </w:r>
      <w:bookmarkEnd w:id="30"/>
    </w:p>
    <w:p w14:paraId="00000060" w14:textId="77777777" w:rsidR="006864E3" w:rsidRDefault="006864E3"/>
    <w:p w14:paraId="00000062" w14:textId="72EB13D1" w:rsidR="006864E3" w:rsidRDefault="4192B945">
      <w:r>
        <w:t xml:space="preserve">Our research suggests that while there has been </w:t>
      </w:r>
      <w:proofErr w:type="gramStart"/>
      <w:r>
        <w:t>significant progress</w:t>
      </w:r>
      <w:proofErr w:type="gramEnd"/>
      <w:r>
        <w:t xml:space="preserve"> in understanding the risks of climate change, there remains a need to increase the number of climate risk communicators to help local authorities and other local actors widen the social acceptance of radical net zero action. Critical to this is the need to build more </w:t>
      </w:r>
      <w:proofErr w:type="gramStart"/>
      <w:r w:rsidR="6E89AD6E">
        <w:t>locally-sensitive</w:t>
      </w:r>
      <w:proofErr w:type="gramEnd"/>
      <w:r>
        <w:t xml:space="preserve"> narratives </w:t>
      </w:r>
      <w:r w:rsidR="26681CE9">
        <w:t xml:space="preserve">(including, for example, a recognition of the industrial heritage of an area) </w:t>
      </w:r>
      <w:r>
        <w:t xml:space="preserve">around </w:t>
      </w:r>
      <w:r w:rsidR="6E89AD6E">
        <w:t>net zero,</w:t>
      </w:r>
      <w:r>
        <w:t xml:space="preserve"> considering t</w:t>
      </w:r>
      <w:r w:rsidR="00BD1D15">
        <w:t>he</w:t>
      </w:r>
      <w:r>
        <w:t xml:space="preserve"> local issue</w:t>
      </w:r>
      <w:r w:rsidR="6E89AD6E">
        <w:t>s</w:t>
      </w:r>
      <w:r>
        <w:t xml:space="preserve"> which resonate with communities and areas in which place-based decarbonisation will occur. Howarth et al.</w:t>
      </w:r>
      <w:r w:rsidR="00BC4AC1">
        <w:rPr>
          <w:vertAlign w:val="superscript"/>
        </w:rPr>
        <w:footnoteReference w:id="92"/>
      </w:r>
      <w:r>
        <w:t xml:space="preserve"> indicate that such narratives can provide meaning to complex</w:t>
      </w:r>
      <w:r w:rsidR="515E7CCF">
        <w:t>,</w:t>
      </w:r>
      <w:r>
        <w:t xml:space="preserve"> and practitioners.</w:t>
      </w:r>
      <w:r w:rsidR="515E7CCF">
        <w:t xml:space="preserve"> T</w:t>
      </w:r>
      <w:r>
        <w:t xml:space="preserve">o </w:t>
      </w:r>
      <w:r w:rsidR="515E7CCF">
        <w:t xml:space="preserve">create </w:t>
      </w:r>
      <w:r>
        <w:t>an effective narrative</w:t>
      </w:r>
      <w:r w:rsidR="515E7CCF">
        <w:t>,</w:t>
      </w:r>
      <w:r>
        <w:t xml:space="preserve"> resources need to be available at a local scale for actors to understand the level of risk they face. Once a narrative </w:t>
      </w:r>
      <w:proofErr w:type="gramStart"/>
      <w:r>
        <w:t>is co-created</w:t>
      </w:r>
      <w:proofErr w:type="gramEnd"/>
      <w:r w:rsidR="6E89AD6E">
        <w:t xml:space="preserve"> with stakeholders and the community,</w:t>
      </w:r>
      <w:r>
        <w:t xml:space="preserve"> one potential improvement is a greater emphasis on the role of communications to share narrative</w:t>
      </w:r>
      <w:r w:rsidR="6E89AD6E">
        <w:t>s</w:t>
      </w:r>
      <w:r>
        <w:t xml:space="preserve"> and facilitate public debate </w:t>
      </w:r>
      <w:r w:rsidR="10635971">
        <w:t>to</w:t>
      </w:r>
      <w:r>
        <w:t xml:space="preserve"> improve governance in an area, which further facilitates civic buy-in of projects</w:t>
      </w:r>
      <w:r w:rsidR="00BC4AC1">
        <w:rPr>
          <w:vertAlign w:val="superscript"/>
        </w:rPr>
        <w:footnoteReference w:id="93"/>
      </w:r>
      <w:r>
        <w:t>. Nottingham City Council ha</w:t>
      </w:r>
      <w:r w:rsidR="6E89AD6E">
        <w:t>s</w:t>
      </w:r>
      <w:r>
        <w:t xml:space="preserve"> achieved this by having dedicated members of the team </w:t>
      </w:r>
      <w:proofErr w:type="gramStart"/>
      <w:r>
        <w:t>working on engaging</w:t>
      </w:r>
      <w:proofErr w:type="gramEnd"/>
      <w:r>
        <w:t xml:space="preserve"> with the public whilst also building a positive brand image around the CN28 target. Our work with local communities in Staffordshire piloted this approach, seeking to bring together ordinary citizens with scientists and local council actors. </w:t>
      </w:r>
    </w:p>
    <w:p w14:paraId="00000064" w14:textId="7A537014" w:rsidR="006864E3" w:rsidRDefault="00BC4AC1" w:rsidP="0079295E">
      <w:pPr>
        <w:pStyle w:val="Heading4"/>
      </w:pPr>
      <w:bookmarkStart w:id="31" w:name="_Toc139410315"/>
      <w:bookmarkStart w:id="32" w:name="_Toc139639466"/>
      <w:r>
        <w:t>Reshaping the dominance of local economic development</w:t>
      </w:r>
      <w:bookmarkEnd w:id="31"/>
      <w:bookmarkEnd w:id="32"/>
      <w:r>
        <w:t xml:space="preserve"> </w:t>
      </w:r>
      <w:r w:rsidR="0079295E">
        <w:br/>
      </w:r>
    </w:p>
    <w:p w14:paraId="4CD1D5D5" w14:textId="4F326EE4" w:rsidR="006864E3" w:rsidRDefault="4192B945">
      <w:r>
        <w:t xml:space="preserve">The past couple of decades have seen the institutional landscape for regional, </w:t>
      </w:r>
      <w:r w:rsidR="10635971">
        <w:t>subregional,</w:t>
      </w:r>
      <w:r>
        <w:t xml:space="preserve"> and local governance evolve rapidly and unevenly. The general trend has been towards </w:t>
      </w:r>
      <w:r>
        <w:lastRenderedPageBreak/>
        <w:t xml:space="preserve">institutional thickening, </w:t>
      </w:r>
      <w:proofErr w:type="gramStart"/>
      <w:r>
        <w:t>generally directed</w:t>
      </w:r>
      <w:proofErr w:type="gramEnd"/>
      <w:r>
        <w:t xml:space="preserve"> towards economic innovation. A key example is that of the development of Local Enterprise Partnerships, themselves </w:t>
      </w:r>
      <w:r w:rsidR="6440FE83">
        <w:t xml:space="preserve">potentially </w:t>
      </w:r>
      <w:r>
        <w:t xml:space="preserve">soon to </w:t>
      </w:r>
      <w:proofErr w:type="gramStart"/>
      <w:r>
        <w:t xml:space="preserve">be </w:t>
      </w:r>
      <w:r w:rsidR="6440FE83">
        <w:t>jettisoned</w:t>
      </w:r>
      <w:proofErr w:type="gramEnd"/>
      <w:r>
        <w:t xml:space="preserve"> as new fora are developed to try and address the increasingly complex challenges of uneven development. A thread running through these </w:t>
      </w:r>
      <w:proofErr w:type="gramStart"/>
      <w:r>
        <w:t>different phases</w:t>
      </w:r>
      <w:proofErr w:type="gramEnd"/>
      <w:r>
        <w:t xml:space="preserve"> of </w:t>
      </w:r>
      <w:r w:rsidR="6440FE83">
        <w:t xml:space="preserve">institutional </w:t>
      </w:r>
      <w:r>
        <w:t xml:space="preserve">innovation has been to </w:t>
      </w:r>
      <w:r w:rsidR="6440FE83">
        <w:t>make</w:t>
      </w:r>
      <w:r>
        <w:t xml:space="preserve"> local authorities marginal actors</w:t>
      </w:r>
      <w:r w:rsidR="515E7CCF">
        <w:t>.</w:t>
      </w:r>
      <w:r>
        <w:t xml:space="preserve"> Yet, the place of local authorities in driving place-based net zero decarbonisation cannot be </w:t>
      </w:r>
      <w:r w:rsidR="6440FE83">
        <w:t>so</w:t>
      </w:r>
      <w:r>
        <w:t xml:space="preserve"> limited if it is to succeed. A critical limit is the continued financial constraints confronting local authorities. </w:t>
      </w:r>
      <w:r w:rsidR="2803FC45">
        <w:t xml:space="preserve">However, as Local Enterprise Partnerships </w:t>
      </w:r>
      <w:proofErr w:type="gramStart"/>
      <w:r w:rsidR="2803FC45">
        <w:t>are removed</w:t>
      </w:r>
      <w:proofErr w:type="gramEnd"/>
      <w:r w:rsidR="2803FC45">
        <w:t xml:space="preserve"> from local </w:t>
      </w:r>
      <w:r w:rsidR="285F5A47">
        <w:t>governance</w:t>
      </w:r>
      <w:r w:rsidR="2803FC45">
        <w:t xml:space="preserve"> models, </w:t>
      </w:r>
      <w:r w:rsidR="6440FE83">
        <w:t>with</w:t>
      </w:r>
      <w:r w:rsidR="2803FC45">
        <w:t xml:space="preserve"> their decline </w:t>
      </w:r>
      <w:r w:rsidR="6440FE83">
        <w:t>there</w:t>
      </w:r>
      <w:r w:rsidR="2803FC45">
        <w:t xml:space="preserve"> </w:t>
      </w:r>
      <w:r w:rsidR="6440FE83">
        <w:t>is</w:t>
      </w:r>
      <w:r w:rsidR="2803FC45">
        <w:t xml:space="preserve"> an </w:t>
      </w:r>
      <w:r w:rsidR="058E418B">
        <w:t>opportunity</w:t>
      </w:r>
      <w:r w:rsidR="2803FC45">
        <w:t xml:space="preserve"> for a </w:t>
      </w:r>
      <w:r w:rsidR="0555CB44">
        <w:t>transformational rethink of</w:t>
      </w:r>
      <w:r w:rsidR="20460E3E">
        <w:t xml:space="preserve"> local</w:t>
      </w:r>
      <w:r w:rsidR="0555CB44">
        <w:t xml:space="preserve"> central support bodies</w:t>
      </w:r>
      <w:r w:rsidR="3653C25E">
        <w:t xml:space="preserve"> of development</w:t>
      </w:r>
      <w:r w:rsidR="0555CB44">
        <w:t>.</w:t>
      </w:r>
      <w:r w:rsidR="43A9EE0C">
        <w:t xml:space="preserve"> Our research has highlighted a </w:t>
      </w:r>
      <w:r w:rsidR="10B241EB">
        <w:t>fundamental</w:t>
      </w:r>
      <w:r w:rsidR="43A9EE0C">
        <w:t xml:space="preserve"> lack of aligned and systemised support for </w:t>
      </w:r>
      <w:r w:rsidR="76CECFA5">
        <w:t xml:space="preserve">decarbonisation across spaces even within </w:t>
      </w:r>
      <w:proofErr w:type="gramStart"/>
      <w:r w:rsidR="76CECFA5">
        <w:t>close proximity</w:t>
      </w:r>
      <w:proofErr w:type="gramEnd"/>
      <w:r w:rsidR="76CECFA5">
        <w:t>, resulting in places reinventing the wheel continuously and facing similar challenges. Criticall</w:t>
      </w:r>
      <w:r w:rsidR="7261CC56">
        <w:t xml:space="preserve">y, in its current form local net zero </w:t>
      </w:r>
      <w:r w:rsidR="4F1F1A36">
        <w:t>governance</w:t>
      </w:r>
      <w:r w:rsidR="7261CC56">
        <w:t xml:space="preserve"> does not provide an adequate framework </w:t>
      </w:r>
      <w:r w:rsidR="10635971">
        <w:t>for</w:t>
      </w:r>
      <w:r w:rsidR="7261CC56">
        <w:t xml:space="preserve"> the dissemination of knowledge across instit</w:t>
      </w:r>
      <w:r w:rsidR="5D0D636D">
        <w:t>ut</w:t>
      </w:r>
      <w:r w:rsidR="7261CC56">
        <w:t>ional boundaries. Therefore</w:t>
      </w:r>
      <w:r w:rsidR="16D5B457">
        <w:t xml:space="preserve">, it is essential to fill the gap left by the loss of Local Enterprise </w:t>
      </w:r>
      <w:r w:rsidR="10635971">
        <w:t>Partnerships</w:t>
      </w:r>
      <w:r w:rsidR="16D5B457">
        <w:t xml:space="preserve"> with new institutions which focus on </w:t>
      </w:r>
      <w:r w:rsidR="10635971">
        <w:t>supporting</w:t>
      </w:r>
      <w:r w:rsidR="16D5B457">
        <w:t xml:space="preserve"> organis</w:t>
      </w:r>
      <w:r w:rsidR="2EF34D72">
        <w:t>ations within their locality through the turmoil of net zero</w:t>
      </w:r>
      <w:r w:rsidR="0966515F">
        <w:t xml:space="preserve">. </w:t>
      </w:r>
      <w:r w:rsidR="10635971">
        <w:t>Building</w:t>
      </w:r>
      <w:r w:rsidR="0E5EA293">
        <w:t xml:space="preserve"> on this work, </w:t>
      </w:r>
      <w:r w:rsidR="10635971">
        <w:t>these</w:t>
      </w:r>
      <w:r w:rsidR="0E5EA293">
        <w:t xml:space="preserve"> bodies need to move beyond an economic and business focus, building greater connectivity between state and non-state actors to deliver </w:t>
      </w:r>
      <w:r w:rsidR="4001D668">
        <w:t xml:space="preserve">well-constructed and deliberative processes to support place-specific decarbonisation. </w:t>
      </w:r>
      <w:r w:rsidR="6440FE83">
        <w:t>In civil society there are examples of such inclusive approaches</w:t>
      </w:r>
      <w:r w:rsidR="26681CE9">
        <w:t>, which seek, to a degree, to offer a radical critique of production and consumption</w:t>
      </w:r>
      <w:r w:rsidR="6440FE83">
        <w:t xml:space="preserve"> from which local government could learn</w:t>
      </w:r>
      <w:r w:rsidR="0079295E">
        <w:rPr>
          <w:rStyle w:val="FootnoteReference"/>
        </w:rPr>
        <w:footnoteReference w:id="94"/>
      </w:r>
      <w:r w:rsidR="6440FE83">
        <w:t>.</w:t>
      </w:r>
    </w:p>
    <w:p w14:paraId="55BA4BB6" w14:textId="3F46EC89" w:rsidR="006864E3" w:rsidRDefault="006864E3" w:rsidP="00B036F0"/>
    <w:p w14:paraId="00000065" w14:textId="5A7D6B68" w:rsidR="006864E3" w:rsidRDefault="4192B945">
      <w:r>
        <w:t>Our research has shown that local authorities lack clarity on which actions are best for net zero whilst national as well as local discourses remain focused on economic development. This discourse remains central from a national government perspective with the</w:t>
      </w:r>
      <w:r w:rsidR="26681CE9">
        <w:t xml:space="preserve"> 2023</w:t>
      </w:r>
      <w:r>
        <w:t xml:space="preserve"> </w:t>
      </w:r>
      <w:r w:rsidR="26681CE9">
        <w:t>S</w:t>
      </w:r>
      <w:r>
        <w:t xml:space="preserve">pring </w:t>
      </w:r>
      <w:r w:rsidR="26681CE9">
        <w:t>B</w:t>
      </w:r>
      <w:r>
        <w:t>udget focusing on increased devolution with a focus on local investment funding</w:t>
      </w:r>
      <w:r w:rsidR="00BC4AC1">
        <w:rPr>
          <w:vertAlign w:val="superscript"/>
        </w:rPr>
        <w:footnoteReference w:id="95"/>
      </w:r>
      <w:r>
        <w:t xml:space="preserve">. But actions to change this </w:t>
      </w:r>
      <w:r w:rsidR="26681CE9">
        <w:t>approach</w:t>
      </w:r>
      <w:r>
        <w:t xml:space="preserve"> are starting to emerge. These are </w:t>
      </w:r>
      <w:proofErr w:type="gramStart"/>
      <w:r>
        <w:t>largely focused</w:t>
      </w:r>
      <w:proofErr w:type="gramEnd"/>
      <w:r>
        <w:t xml:space="preserve"> on improving access to information and supporting the delivery of net zero retrofit technologies and policies through Net Zero Forums (noted throughout the Net Zero Strategy) which can play an important role in overcoming challenges of capacity across different areas. </w:t>
      </w:r>
      <w:r w:rsidR="515E7CCF">
        <w:t>F</w:t>
      </w:r>
      <w:r>
        <w:t xml:space="preserve">or this not to be tokenistic, this must be coupled with </w:t>
      </w:r>
      <w:proofErr w:type="gramStart"/>
      <w:r>
        <w:t>new resources</w:t>
      </w:r>
      <w:proofErr w:type="gramEnd"/>
      <w:r>
        <w:t xml:space="preserve"> and tools to enable rigorous engagement with deep decarbonisation.</w:t>
      </w:r>
      <w:r w:rsidR="26681CE9">
        <w:t xml:space="preserve"> </w:t>
      </w:r>
      <w:r>
        <w:t xml:space="preserve">To ensure that net zero is at the heart of local decision-making, there is a necessity to ensure that levelling up partnerships and devolution deals include a clear and specific focus on net zero, alongside economics. With funding for Local Enterprise Partnerships ending in Summer 2023 this creates an opportunity to reimagine the focus of devolution and ensure economic empowerment is not the sole focus of decentralisation. </w:t>
      </w:r>
      <w:r w:rsidR="26681CE9">
        <w:t>But without a clear framework, it risks fuelling the division between SuperPlaces and the rest.</w:t>
      </w:r>
    </w:p>
    <w:p w14:paraId="7163D78C" w14:textId="77777777" w:rsidR="00077EDD" w:rsidRDefault="00077EDD"/>
    <w:p w14:paraId="00000067" w14:textId="77777777" w:rsidR="006864E3" w:rsidRDefault="00BC4AC1">
      <w:pPr>
        <w:pStyle w:val="Heading3"/>
      </w:pPr>
      <w:bookmarkStart w:id="33" w:name="_Toc139410316"/>
      <w:bookmarkStart w:id="34" w:name="_Toc139639467"/>
      <w:r>
        <w:t>Conclusion</w:t>
      </w:r>
      <w:bookmarkEnd w:id="33"/>
      <w:bookmarkEnd w:id="34"/>
    </w:p>
    <w:p w14:paraId="00000068" w14:textId="77777777" w:rsidR="006864E3" w:rsidRDefault="006864E3">
      <w:pPr>
        <w:rPr>
          <w:b/>
        </w:rPr>
      </w:pPr>
    </w:p>
    <w:p w14:paraId="00000069" w14:textId="74D99B28" w:rsidR="006864E3" w:rsidRDefault="00BC4AC1">
      <w:r>
        <w:lastRenderedPageBreak/>
        <w:t xml:space="preserve">A central pillar in determining the success of net zero delivery is likely to be local leadership and its capacity to be open, multi-stakeholder (that is, </w:t>
      </w:r>
      <w:r w:rsidR="00F16DA3">
        <w:t xml:space="preserve">working within and across </w:t>
      </w:r>
      <w:r>
        <w:t xml:space="preserve">scales), and offering transdisciplinary solutions in their region. Place-based decarbonisation has the potential to play a critical, potentially cost-effective, </w:t>
      </w:r>
      <w:proofErr w:type="gramStart"/>
      <w:r>
        <w:t>possibly transformative</w:t>
      </w:r>
      <w:proofErr w:type="gramEnd"/>
      <w:r>
        <w:t xml:space="preserve"> role in driving tailored local decarbonisation solutions. Local authorities are likely to be an increasingly critical actor in this as the number of devolution deals rises. It is therefore paramount to understand the governance systems which guide the net zero transition, as well as their potential limitations. Our research has </w:t>
      </w:r>
      <w:r w:rsidR="00F16DA3">
        <w:t xml:space="preserve">offered a preliminary </w:t>
      </w:r>
      <w:r>
        <w:t>characteris</w:t>
      </w:r>
      <w:r w:rsidR="00F16DA3">
        <w:t>ation of</w:t>
      </w:r>
      <w:r>
        <w:t xml:space="preserve"> the net zero governance regime in four different areas of the Midlands: Nottingham, Leicester, Coventry</w:t>
      </w:r>
      <w:r w:rsidR="00BC1164">
        <w:t>,</w:t>
      </w:r>
      <w:r>
        <w:t xml:space="preserve"> and Staffordshire. Each area had distinct approaches to governing the net zero transition, with differing levels of success. But these distinctive approaches </w:t>
      </w:r>
      <w:proofErr w:type="gramStart"/>
      <w:r>
        <w:t>were not necessarily informed</w:t>
      </w:r>
      <w:proofErr w:type="gramEnd"/>
      <w:r>
        <w:t xml:space="preserve"> by a deep reflection on the possibilities and challenges of net zero. In </w:t>
      </w:r>
      <w:r w:rsidR="00F16DA3">
        <w:t>Nottingham,</w:t>
      </w:r>
      <w:r>
        <w:t xml:space="preserve"> which used collective governance methods, there is </w:t>
      </w:r>
      <w:proofErr w:type="gramStart"/>
      <w:r>
        <w:t>some</w:t>
      </w:r>
      <w:proofErr w:type="gramEnd"/>
      <w:r>
        <w:t xml:space="preserve"> evidence of increased local support to address the challenges of net zero action</w:t>
      </w:r>
      <w:r w:rsidR="00F16DA3">
        <w:t xml:space="preserve"> (the citizens’ assembly also showed evidence in Staffordshire)</w:t>
      </w:r>
      <w:r>
        <w:t xml:space="preserve">. There were also indications that a more collaborative form of governance increased the agency of </w:t>
      </w:r>
      <w:r w:rsidR="00F16DA3">
        <w:t>the local scale</w:t>
      </w:r>
      <w:r>
        <w:t xml:space="preserve">. Organisations engaged in a more open, reflexive, and inclusive approach to governance are more likely to engage in effective social learning. This open form of leadership is likely to inspire further action by other actors in other sectors and wider society. </w:t>
      </w:r>
    </w:p>
    <w:p w14:paraId="0000006A" w14:textId="77777777" w:rsidR="006864E3" w:rsidRDefault="006864E3"/>
    <w:p w14:paraId="7D8CB36D" w14:textId="3A4D13FC" w:rsidR="00413BF1" w:rsidRPr="00434633" w:rsidRDefault="00BC4AC1">
      <w:r>
        <w:t>However, further work is necessary to understand the ways in which local histories matter in developing robust net zero policies that work along the grain of local identities and norms on net zero and build on local opportunities afforded in the transition to net zero. Moreover, each area has encountered challenges, particularly in understanding and conveying risk. To overcome this, policies should be implemented which enable local areas to understand the risks they face, how to communicate those risks with the local population, and critically</w:t>
      </w:r>
      <w:r w:rsidR="00133855">
        <w:t xml:space="preserve"> to consider</w:t>
      </w:r>
      <w:r>
        <w:t xml:space="preserve"> the opportunities which can emerge from taking decisive and </w:t>
      </w:r>
      <w:proofErr w:type="gramStart"/>
      <w:r>
        <w:t>early action</w:t>
      </w:r>
      <w:proofErr w:type="gramEnd"/>
      <w:r>
        <w:t xml:space="preserve"> on net zero. Finally, even after </w:t>
      </w:r>
      <w:proofErr w:type="gramStart"/>
      <w:r>
        <w:t>several</w:t>
      </w:r>
      <w:proofErr w:type="gramEnd"/>
      <w:r>
        <w:t xml:space="preserve"> years and continued pledges to improve multi</w:t>
      </w:r>
      <w:r w:rsidR="000D3D5F">
        <w:t>-</w:t>
      </w:r>
      <w:r>
        <w:t>scalar governance</w:t>
      </w:r>
      <w:r w:rsidR="00F16DA3">
        <w:t xml:space="preserve">, </w:t>
      </w:r>
      <w:r>
        <w:t xml:space="preserve">there remains great uncertainty on sub-national leadership and which </w:t>
      </w:r>
      <w:r w:rsidR="00133855">
        <w:t xml:space="preserve">actors </w:t>
      </w:r>
      <w:r>
        <w:t xml:space="preserve">are and should be leading the net zero transition at a local authority level. This must </w:t>
      </w:r>
      <w:proofErr w:type="gramStart"/>
      <w:r>
        <w:t>be resolved</w:t>
      </w:r>
      <w:proofErr w:type="gramEnd"/>
      <w:r>
        <w:t xml:space="preserve"> to support local places to lead their own place-based net zero transition. </w:t>
      </w:r>
      <w:r w:rsidR="00133855">
        <w:t>It</w:t>
      </w:r>
      <w:r>
        <w:t xml:space="preserve"> </w:t>
      </w:r>
      <w:proofErr w:type="gramStart"/>
      <w:r>
        <w:t>is suggested</w:t>
      </w:r>
      <w:proofErr w:type="gramEnd"/>
      <w:r>
        <w:t xml:space="preserve"> that central government</w:t>
      </w:r>
      <w:r w:rsidR="00434633">
        <w:t xml:space="preserve"> provide a framework and support to enable local actors to have more confidence in pursuing</w:t>
      </w:r>
      <w:r>
        <w:t xml:space="preserve"> more novel and cooperative governance models within local areas</w:t>
      </w:r>
      <w:r w:rsidR="00434633">
        <w:t>.</w:t>
      </w:r>
      <w:bookmarkStart w:id="35" w:name="_832uoudyrxip" w:colFirst="0" w:colLast="0"/>
      <w:bookmarkEnd w:id="35"/>
      <w:r w:rsidR="00413BF1">
        <w:br w:type="page"/>
      </w:r>
    </w:p>
    <w:p w14:paraId="1BD1F312" w14:textId="3A921235" w:rsidR="00CC36DF" w:rsidRPr="00F526B8" w:rsidRDefault="00BC4AC1" w:rsidP="00F526B8">
      <w:pPr>
        <w:pStyle w:val="Heading3"/>
      </w:pPr>
      <w:bookmarkStart w:id="36" w:name="_Toc139410317"/>
      <w:bookmarkStart w:id="37" w:name="_Toc139639468"/>
      <w:r>
        <w:lastRenderedPageBreak/>
        <w:t>References</w:t>
      </w:r>
      <w:bookmarkEnd w:id="36"/>
      <w:bookmarkEnd w:id="37"/>
    </w:p>
    <w:p w14:paraId="5D5BCBE2" w14:textId="77777777" w:rsidR="00CC36DF" w:rsidRDefault="00CC36DF" w:rsidP="00245559">
      <w:pPr>
        <w:spacing w:line="240" w:lineRule="auto"/>
        <w:rPr>
          <w:sz w:val="20"/>
          <w:szCs w:val="20"/>
        </w:rPr>
      </w:pPr>
    </w:p>
    <w:p w14:paraId="3E9C0D5A" w14:textId="6066A884" w:rsidR="00245559" w:rsidRDefault="00245559" w:rsidP="00245559">
      <w:pPr>
        <w:spacing w:line="240" w:lineRule="auto"/>
        <w:rPr>
          <w:sz w:val="20"/>
          <w:szCs w:val="20"/>
        </w:rPr>
      </w:pPr>
      <w:r w:rsidRPr="00C34077">
        <w:rPr>
          <w:sz w:val="20"/>
          <w:szCs w:val="20"/>
        </w:rPr>
        <w:t>Atkins G., Hoddinott S. (2020) Local government funding in England, Institute for Government Online last accessed 15/03/2022</w:t>
      </w:r>
      <w:r>
        <w:rPr>
          <w:sz w:val="20"/>
          <w:szCs w:val="20"/>
        </w:rPr>
        <w:t>.</w:t>
      </w:r>
    </w:p>
    <w:p w14:paraId="77BE7810" w14:textId="77777777" w:rsidR="00245559" w:rsidRPr="00C34077" w:rsidRDefault="00245559" w:rsidP="00245559">
      <w:pPr>
        <w:spacing w:line="240" w:lineRule="auto"/>
        <w:rPr>
          <w:sz w:val="20"/>
          <w:szCs w:val="20"/>
          <w:u w:val="single"/>
        </w:rPr>
      </w:pPr>
    </w:p>
    <w:p w14:paraId="29119067" w14:textId="77777777" w:rsidR="00FE4A85" w:rsidRDefault="00245559" w:rsidP="00245559">
      <w:pPr>
        <w:pStyle w:val="EndnoteText"/>
      </w:pPr>
      <w:r w:rsidRPr="003006FB">
        <w:t xml:space="preserve">Banerjee, A. &amp; Schuitema, G. (2023) Spatial justice as a prerequisite for a just transition in rural areas? The case study from the Irish peatlands. </w:t>
      </w:r>
      <w:r w:rsidRPr="003006FB">
        <w:rPr>
          <w:i/>
          <w:iCs/>
        </w:rPr>
        <w:t>Environment and Planning C: Politics and Space</w:t>
      </w:r>
      <w:r w:rsidRPr="003006FB">
        <w:t xml:space="preserve">, 0(0). </w:t>
      </w:r>
      <w:hyperlink r:id="rId11" w:history="1">
        <w:r w:rsidRPr="000F73D4">
          <w:rPr>
            <w:rStyle w:val="Hyperlink"/>
          </w:rPr>
          <w:t>https://doi.org/10.1177/23996544231173210</w:t>
        </w:r>
      </w:hyperlink>
      <w:r>
        <w:t xml:space="preserve"> </w:t>
      </w:r>
    </w:p>
    <w:p w14:paraId="4BB51D03" w14:textId="77777777" w:rsidR="00FE4A85" w:rsidRDefault="00FE4A85" w:rsidP="00245559">
      <w:pPr>
        <w:pStyle w:val="EndnoteText"/>
      </w:pPr>
    </w:p>
    <w:p w14:paraId="4F9F3CF8" w14:textId="21DD8E9F" w:rsidR="00FE4A85" w:rsidRDefault="00FE4A85" w:rsidP="00245559">
      <w:pPr>
        <w:pStyle w:val="EndnoteText"/>
      </w:pPr>
      <w:proofErr w:type="spellStart"/>
      <w:r>
        <w:t>Beckstedde</w:t>
      </w:r>
      <w:proofErr w:type="spellEnd"/>
      <w:r>
        <w:t xml:space="preserve">, E., Ramírez, M.C., </w:t>
      </w:r>
      <w:proofErr w:type="spellStart"/>
      <w:r>
        <w:t>Cossent</w:t>
      </w:r>
      <w:proofErr w:type="spellEnd"/>
      <w:r>
        <w:t xml:space="preserve">, R., </w:t>
      </w:r>
      <w:proofErr w:type="spellStart"/>
      <w:r>
        <w:t>Vanschoenwinkel</w:t>
      </w:r>
      <w:proofErr w:type="spellEnd"/>
      <w:r>
        <w:t xml:space="preserve">, J. and </w:t>
      </w:r>
      <w:proofErr w:type="spellStart"/>
      <w:r>
        <w:t>Meeus</w:t>
      </w:r>
      <w:proofErr w:type="spellEnd"/>
      <w:r>
        <w:t xml:space="preserve">, L. (2023) Regulatory sandboxes: Do they speed up innovation in </w:t>
      </w:r>
      <w:proofErr w:type="gramStart"/>
      <w:r>
        <w:t>energy?.</w:t>
      </w:r>
      <w:proofErr w:type="gramEnd"/>
      <w:r>
        <w:t xml:space="preserve"> </w:t>
      </w:r>
      <w:r w:rsidRPr="00FE4A85">
        <w:rPr>
          <w:i/>
          <w:iCs/>
        </w:rPr>
        <w:t>Energy Policy</w:t>
      </w:r>
      <w:r>
        <w:t>,180,113656</w:t>
      </w:r>
    </w:p>
    <w:p w14:paraId="62BA1EF6" w14:textId="77777777" w:rsidR="00245559" w:rsidRDefault="00245559" w:rsidP="00245559">
      <w:pPr>
        <w:pStyle w:val="EndnoteText"/>
      </w:pPr>
    </w:p>
    <w:p w14:paraId="6D848D37" w14:textId="77777777" w:rsidR="00245559" w:rsidRDefault="00245559" w:rsidP="00245559">
      <w:pPr>
        <w:spacing w:line="240" w:lineRule="auto"/>
        <w:rPr>
          <w:color w:val="222222"/>
          <w:sz w:val="20"/>
          <w:szCs w:val="20"/>
        </w:rPr>
      </w:pPr>
      <w:r w:rsidRPr="00C34077">
        <w:rPr>
          <w:color w:val="222222"/>
          <w:sz w:val="20"/>
          <w:szCs w:val="20"/>
          <w:highlight w:val="white"/>
        </w:rPr>
        <w:t xml:space="preserve">Bick, N. &amp; Keele, D. (2022). Sustainability and climate change: Understanding the political use of environmental terms in municipal governments. </w:t>
      </w:r>
      <w:r w:rsidRPr="00C34077">
        <w:rPr>
          <w:i/>
          <w:color w:val="222222"/>
          <w:sz w:val="20"/>
          <w:szCs w:val="20"/>
          <w:highlight w:val="white"/>
        </w:rPr>
        <w:t>Current Research in Environmental Sustainability</w:t>
      </w:r>
      <w:r w:rsidRPr="00C34077">
        <w:rPr>
          <w:color w:val="222222"/>
          <w:sz w:val="20"/>
          <w:szCs w:val="20"/>
          <w:highlight w:val="white"/>
        </w:rPr>
        <w:t xml:space="preserve">, </w:t>
      </w:r>
      <w:r w:rsidRPr="00C34077">
        <w:rPr>
          <w:i/>
          <w:color w:val="222222"/>
          <w:sz w:val="20"/>
          <w:szCs w:val="20"/>
          <w:highlight w:val="white"/>
        </w:rPr>
        <w:t>4</w:t>
      </w:r>
      <w:r w:rsidRPr="00C34077">
        <w:rPr>
          <w:color w:val="222222"/>
          <w:sz w:val="20"/>
          <w:szCs w:val="20"/>
          <w:highlight w:val="white"/>
        </w:rPr>
        <w:t>, 100145.</w:t>
      </w:r>
    </w:p>
    <w:p w14:paraId="2E5BCBFC" w14:textId="77777777" w:rsidR="00245559" w:rsidRDefault="00245559" w:rsidP="00245559">
      <w:pPr>
        <w:spacing w:line="240" w:lineRule="auto"/>
        <w:rPr>
          <w:sz w:val="20"/>
          <w:szCs w:val="20"/>
        </w:rPr>
      </w:pPr>
    </w:p>
    <w:p w14:paraId="112A6919" w14:textId="77777777" w:rsidR="00245559" w:rsidRDefault="00245559" w:rsidP="00245559">
      <w:pPr>
        <w:spacing w:line="240" w:lineRule="auto"/>
        <w:rPr>
          <w:color w:val="000000" w:themeColor="text1"/>
          <w:sz w:val="20"/>
          <w:szCs w:val="20"/>
        </w:rPr>
      </w:pPr>
      <w:r w:rsidRPr="00C34077">
        <w:rPr>
          <w:color w:val="000000" w:themeColor="text1"/>
          <w:sz w:val="20"/>
          <w:szCs w:val="20"/>
          <w:highlight w:val="white"/>
        </w:rPr>
        <w:t>Billing, C., McCann, P., &amp; Ortega-</w:t>
      </w:r>
      <w:proofErr w:type="spellStart"/>
      <w:r w:rsidRPr="00C34077">
        <w:rPr>
          <w:color w:val="000000" w:themeColor="text1"/>
          <w:sz w:val="20"/>
          <w:szCs w:val="20"/>
          <w:highlight w:val="white"/>
        </w:rPr>
        <w:t>Argilés</w:t>
      </w:r>
      <w:proofErr w:type="spellEnd"/>
      <w:r w:rsidRPr="00C34077">
        <w:rPr>
          <w:color w:val="000000" w:themeColor="text1"/>
          <w:sz w:val="20"/>
          <w:szCs w:val="20"/>
          <w:highlight w:val="white"/>
        </w:rPr>
        <w:t xml:space="preserve">, R. (2019) Interregional inequalities and UK sub-national governance responses to Brexit. </w:t>
      </w:r>
      <w:r w:rsidRPr="00C34077">
        <w:rPr>
          <w:i/>
          <w:color w:val="000000" w:themeColor="text1"/>
          <w:sz w:val="20"/>
          <w:szCs w:val="20"/>
          <w:highlight w:val="white"/>
        </w:rPr>
        <w:t>Regional Studies</w:t>
      </w:r>
      <w:r w:rsidRPr="00C34077">
        <w:rPr>
          <w:color w:val="000000" w:themeColor="text1"/>
          <w:sz w:val="20"/>
          <w:szCs w:val="20"/>
          <w:highlight w:val="white"/>
        </w:rPr>
        <w:t xml:space="preserve">, </w:t>
      </w:r>
      <w:r w:rsidRPr="00C34077">
        <w:rPr>
          <w:i/>
          <w:color w:val="000000" w:themeColor="text1"/>
          <w:sz w:val="20"/>
          <w:szCs w:val="20"/>
          <w:highlight w:val="white"/>
        </w:rPr>
        <w:t>53</w:t>
      </w:r>
      <w:r w:rsidRPr="00C34077">
        <w:rPr>
          <w:color w:val="000000" w:themeColor="text1"/>
          <w:sz w:val="20"/>
          <w:szCs w:val="20"/>
          <w:highlight w:val="white"/>
        </w:rPr>
        <w:t>(5), 741-760.</w:t>
      </w:r>
    </w:p>
    <w:p w14:paraId="1C9C17B9" w14:textId="77777777" w:rsidR="00245559" w:rsidRDefault="00245559" w:rsidP="00245559">
      <w:pPr>
        <w:spacing w:line="240" w:lineRule="auto"/>
        <w:rPr>
          <w:color w:val="000000" w:themeColor="text1"/>
          <w:sz w:val="20"/>
          <w:szCs w:val="20"/>
        </w:rPr>
      </w:pPr>
    </w:p>
    <w:p w14:paraId="0304F14B" w14:textId="56CED719" w:rsidR="00245559" w:rsidRPr="00245559" w:rsidRDefault="00245559" w:rsidP="00245559">
      <w:pPr>
        <w:spacing w:line="240" w:lineRule="auto"/>
        <w:rPr>
          <w:color w:val="000000" w:themeColor="text1"/>
          <w:sz w:val="18"/>
          <w:szCs w:val="18"/>
        </w:rPr>
      </w:pPr>
      <w:proofErr w:type="spellStart"/>
      <w:r w:rsidRPr="00245559">
        <w:rPr>
          <w:sz w:val="20"/>
          <w:szCs w:val="20"/>
        </w:rPr>
        <w:t>Bouzarovski</w:t>
      </w:r>
      <w:proofErr w:type="spellEnd"/>
      <w:r w:rsidRPr="00245559">
        <w:rPr>
          <w:sz w:val="20"/>
          <w:szCs w:val="20"/>
        </w:rPr>
        <w:t xml:space="preserve">, S &amp; Simcock, N. (2017) Spatializing energy justice. </w:t>
      </w:r>
      <w:r w:rsidRPr="00245559">
        <w:rPr>
          <w:i/>
          <w:iCs/>
          <w:sz w:val="20"/>
          <w:szCs w:val="20"/>
        </w:rPr>
        <w:t>Energy Policy</w:t>
      </w:r>
      <w:r w:rsidRPr="00245559">
        <w:rPr>
          <w:sz w:val="20"/>
          <w:szCs w:val="20"/>
        </w:rPr>
        <w:t>, 107, 640-648</w:t>
      </w:r>
    </w:p>
    <w:p w14:paraId="34C0782B" w14:textId="77777777" w:rsidR="00245559" w:rsidRPr="00C34077" w:rsidRDefault="00245559" w:rsidP="00245559">
      <w:pPr>
        <w:spacing w:line="240" w:lineRule="auto"/>
        <w:rPr>
          <w:color w:val="000000" w:themeColor="text1"/>
          <w:sz w:val="20"/>
          <w:szCs w:val="20"/>
        </w:rPr>
      </w:pPr>
    </w:p>
    <w:p w14:paraId="230EB023" w14:textId="77777777" w:rsidR="00245559" w:rsidRDefault="00245559" w:rsidP="00245559">
      <w:pPr>
        <w:spacing w:line="240" w:lineRule="auto"/>
        <w:rPr>
          <w:color w:val="000000" w:themeColor="text1"/>
          <w:sz w:val="20"/>
          <w:szCs w:val="20"/>
        </w:rPr>
      </w:pPr>
      <w:r w:rsidRPr="00C34077">
        <w:rPr>
          <w:color w:val="000000" w:themeColor="text1"/>
          <w:sz w:val="20"/>
          <w:szCs w:val="20"/>
          <w:highlight w:val="white"/>
        </w:rPr>
        <w:t xml:space="preserve">Carlisle, K., &amp; Gruby, R. L. (2019) Polycentric systems of governance: A theoretical model for the commons. </w:t>
      </w:r>
      <w:r w:rsidRPr="00C34077">
        <w:rPr>
          <w:i/>
          <w:color w:val="000000" w:themeColor="text1"/>
          <w:sz w:val="20"/>
          <w:szCs w:val="20"/>
          <w:highlight w:val="white"/>
        </w:rPr>
        <w:t>Policy Studies Journal</w:t>
      </w:r>
      <w:r w:rsidRPr="00C34077">
        <w:rPr>
          <w:color w:val="000000" w:themeColor="text1"/>
          <w:sz w:val="20"/>
          <w:szCs w:val="20"/>
          <w:highlight w:val="white"/>
        </w:rPr>
        <w:t xml:space="preserve">, </w:t>
      </w:r>
      <w:r w:rsidRPr="00C34077">
        <w:rPr>
          <w:i/>
          <w:color w:val="000000" w:themeColor="text1"/>
          <w:sz w:val="20"/>
          <w:szCs w:val="20"/>
          <w:highlight w:val="white"/>
        </w:rPr>
        <w:t>47</w:t>
      </w:r>
      <w:r w:rsidRPr="00C34077">
        <w:rPr>
          <w:color w:val="000000" w:themeColor="text1"/>
          <w:sz w:val="20"/>
          <w:szCs w:val="20"/>
          <w:highlight w:val="white"/>
        </w:rPr>
        <w:t>(4), 927-952.</w:t>
      </w:r>
    </w:p>
    <w:p w14:paraId="552AF8F6" w14:textId="77777777" w:rsidR="00245559" w:rsidRDefault="00245559" w:rsidP="00245559">
      <w:pPr>
        <w:spacing w:line="240" w:lineRule="auto"/>
        <w:rPr>
          <w:sz w:val="20"/>
          <w:szCs w:val="20"/>
        </w:rPr>
      </w:pPr>
    </w:p>
    <w:p w14:paraId="2018B8EE" w14:textId="77777777" w:rsidR="00245559" w:rsidRPr="00253222" w:rsidRDefault="00245559" w:rsidP="00245559">
      <w:pPr>
        <w:pStyle w:val="EndnoteText"/>
      </w:pPr>
      <w:r w:rsidRPr="00C34077">
        <w:t xml:space="preserve">Catney et al. (2014) Big society, little justice? Community renewable energy and the politics of localism, </w:t>
      </w:r>
      <w:r w:rsidRPr="00C34077">
        <w:rPr>
          <w:i/>
          <w:iCs/>
        </w:rPr>
        <w:t>Local Environment</w:t>
      </w:r>
      <w:r w:rsidRPr="00C34077">
        <w:t>, 19:7, 715-730</w:t>
      </w:r>
    </w:p>
    <w:p w14:paraId="3F820677" w14:textId="77777777" w:rsidR="00245559" w:rsidRPr="00253222" w:rsidRDefault="00245559" w:rsidP="00245559">
      <w:pPr>
        <w:pStyle w:val="EndnoteText"/>
      </w:pPr>
    </w:p>
    <w:p w14:paraId="4B16CB4A" w14:textId="77777777" w:rsidR="00245559" w:rsidRPr="00253222" w:rsidRDefault="00245559" w:rsidP="00245559">
      <w:pPr>
        <w:spacing w:line="240" w:lineRule="auto"/>
        <w:rPr>
          <w:color w:val="000000" w:themeColor="text1"/>
          <w:sz w:val="20"/>
          <w:szCs w:val="20"/>
        </w:rPr>
      </w:pPr>
      <w:r w:rsidRPr="00253222">
        <w:rPr>
          <w:color w:val="000000" w:themeColor="text1"/>
          <w:sz w:val="20"/>
          <w:szCs w:val="20"/>
        </w:rPr>
        <w:t>Catney, P. and Doyle, T. (2011) Challenges to the State. In Fitzpatrick, T. (ed.) Understanding the Environment and Social Policy, pp.91-109 Bristol: Policy Press.</w:t>
      </w:r>
    </w:p>
    <w:p w14:paraId="1BA0BDAC" w14:textId="77777777" w:rsidR="00253222" w:rsidRPr="00253222" w:rsidRDefault="00253222" w:rsidP="00245559">
      <w:pPr>
        <w:spacing w:line="240" w:lineRule="auto"/>
        <w:rPr>
          <w:color w:val="000000" w:themeColor="text1"/>
          <w:sz w:val="20"/>
          <w:szCs w:val="20"/>
        </w:rPr>
      </w:pPr>
    </w:p>
    <w:p w14:paraId="0F09FB98" w14:textId="0D05A2A8" w:rsidR="00253222" w:rsidRPr="00253222" w:rsidRDefault="00253222" w:rsidP="00245559">
      <w:pPr>
        <w:spacing w:line="240" w:lineRule="auto"/>
        <w:rPr>
          <w:color w:val="000000" w:themeColor="text1"/>
          <w:sz w:val="20"/>
          <w:szCs w:val="20"/>
        </w:rPr>
      </w:pPr>
      <w:r w:rsidRPr="00253222">
        <w:rPr>
          <w:sz w:val="20"/>
          <w:szCs w:val="20"/>
        </w:rPr>
        <w:t xml:space="preserve">Catney, P. &amp; Henneberry, J. (2012) (Not) Exercising Discretion: Environmental Planning and the Politics of Blame-Avoidance, </w:t>
      </w:r>
      <w:r w:rsidRPr="00253222">
        <w:rPr>
          <w:i/>
          <w:iCs/>
          <w:sz w:val="20"/>
          <w:szCs w:val="20"/>
        </w:rPr>
        <w:t>Planning Theory &amp; Practice</w:t>
      </w:r>
      <w:r w:rsidRPr="00253222">
        <w:rPr>
          <w:sz w:val="20"/>
          <w:szCs w:val="20"/>
        </w:rPr>
        <w:t>, 13(4), 549-568</w:t>
      </w:r>
    </w:p>
    <w:p w14:paraId="434A55E0" w14:textId="77777777" w:rsidR="00245559" w:rsidRPr="00253222" w:rsidRDefault="00245559" w:rsidP="00245559">
      <w:pPr>
        <w:spacing w:line="240" w:lineRule="auto"/>
        <w:rPr>
          <w:sz w:val="20"/>
          <w:szCs w:val="20"/>
        </w:rPr>
      </w:pPr>
    </w:p>
    <w:p w14:paraId="4481ABE7" w14:textId="77777777" w:rsidR="00245559" w:rsidRDefault="00245559" w:rsidP="00245559">
      <w:pPr>
        <w:spacing w:line="240" w:lineRule="auto"/>
        <w:rPr>
          <w:color w:val="000000" w:themeColor="text1"/>
          <w:sz w:val="20"/>
          <w:szCs w:val="20"/>
        </w:rPr>
      </w:pPr>
      <w:r w:rsidRPr="00253222">
        <w:rPr>
          <w:color w:val="000000" w:themeColor="text1"/>
          <w:sz w:val="20"/>
          <w:szCs w:val="20"/>
          <w:highlight w:val="white"/>
        </w:rPr>
        <w:t>Catney, P., &amp; Henneberry, J. M. (2016) Public entrepreneurship</w:t>
      </w:r>
      <w:r w:rsidRPr="00C34077">
        <w:rPr>
          <w:color w:val="000000" w:themeColor="text1"/>
          <w:sz w:val="20"/>
          <w:szCs w:val="20"/>
          <w:highlight w:val="white"/>
        </w:rPr>
        <w:t xml:space="preserve"> and the politics of regeneration in multi-level governance. </w:t>
      </w:r>
      <w:r w:rsidRPr="00C34077">
        <w:rPr>
          <w:i/>
          <w:color w:val="000000" w:themeColor="text1"/>
          <w:sz w:val="20"/>
          <w:szCs w:val="20"/>
          <w:highlight w:val="white"/>
        </w:rPr>
        <w:t>Environment and Planning C: Government and Policy</w:t>
      </w:r>
      <w:r w:rsidRPr="00C34077">
        <w:rPr>
          <w:color w:val="000000" w:themeColor="text1"/>
          <w:sz w:val="20"/>
          <w:szCs w:val="20"/>
          <w:highlight w:val="white"/>
        </w:rPr>
        <w:t xml:space="preserve">, </w:t>
      </w:r>
      <w:r w:rsidRPr="00C34077">
        <w:rPr>
          <w:i/>
          <w:color w:val="000000" w:themeColor="text1"/>
          <w:sz w:val="20"/>
          <w:szCs w:val="20"/>
          <w:highlight w:val="white"/>
        </w:rPr>
        <w:t>34</w:t>
      </w:r>
      <w:r w:rsidRPr="00C34077">
        <w:rPr>
          <w:color w:val="000000" w:themeColor="text1"/>
          <w:sz w:val="20"/>
          <w:szCs w:val="20"/>
          <w:highlight w:val="white"/>
        </w:rPr>
        <w:t>(7), 1324-1343.</w:t>
      </w:r>
    </w:p>
    <w:p w14:paraId="02810E2C" w14:textId="77777777" w:rsidR="00245559" w:rsidRPr="00C34077" w:rsidRDefault="00245559" w:rsidP="00245559">
      <w:pPr>
        <w:spacing w:line="240" w:lineRule="auto"/>
        <w:rPr>
          <w:color w:val="000000" w:themeColor="text1"/>
          <w:sz w:val="20"/>
          <w:szCs w:val="20"/>
        </w:rPr>
      </w:pPr>
    </w:p>
    <w:p w14:paraId="3DAC847A" w14:textId="77777777" w:rsidR="00245559" w:rsidRDefault="00245559" w:rsidP="00245559">
      <w:pPr>
        <w:spacing w:line="240" w:lineRule="auto"/>
        <w:rPr>
          <w:color w:val="000000" w:themeColor="text1"/>
          <w:sz w:val="20"/>
          <w:szCs w:val="20"/>
        </w:rPr>
      </w:pPr>
      <w:r w:rsidRPr="009F2F6C">
        <w:rPr>
          <w:color w:val="000000" w:themeColor="text1"/>
          <w:sz w:val="20"/>
          <w:szCs w:val="20"/>
          <w:highlight w:val="white"/>
        </w:rPr>
        <w:t xml:space="preserve">Cherry, C., Thomas, G., Groves, C., Roberts, E., Shirani, F., Henwood, K., &amp; Pidgeon, N. (2022) A personas-based approach to deliberating local decarbonisation scenarios: Findings and methodological insights. </w:t>
      </w:r>
      <w:r w:rsidRPr="009F2F6C">
        <w:rPr>
          <w:i/>
          <w:color w:val="000000" w:themeColor="text1"/>
          <w:sz w:val="20"/>
          <w:szCs w:val="20"/>
          <w:highlight w:val="white"/>
        </w:rPr>
        <w:t>Energy Research &amp; Social Science</w:t>
      </w:r>
      <w:r w:rsidRPr="009F2F6C">
        <w:rPr>
          <w:color w:val="000000" w:themeColor="text1"/>
          <w:sz w:val="20"/>
          <w:szCs w:val="20"/>
          <w:highlight w:val="white"/>
        </w:rPr>
        <w:t xml:space="preserve">, </w:t>
      </w:r>
      <w:r w:rsidRPr="009F2F6C">
        <w:rPr>
          <w:i/>
          <w:color w:val="000000" w:themeColor="text1"/>
          <w:sz w:val="20"/>
          <w:szCs w:val="20"/>
          <w:highlight w:val="white"/>
        </w:rPr>
        <w:t>87</w:t>
      </w:r>
      <w:r w:rsidRPr="009F2F6C">
        <w:rPr>
          <w:color w:val="000000" w:themeColor="text1"/>
          <w:sz w:val="20"/>
          <w:szCs w:val="20"/>
          <w:highlight w:val="white"/>
        </w:rPr>
        <w:t>, 102455.</w:t>
      </w:r>
    </w:p>
    <w:p w14:paraId="7C071EE7" w14:textId="77777777" w:rsidR="00245559" w:rsidRPr="009F2F6C" w:rsidRDefault="00245559" w:rsidP="00245559">
      <w:pPr>
        <w:spacing w:line="240" w:lineRule="auto"/>
        <w:rPr>
          <w:color w:val="000000" w:themeColor="text1"/>
          <w:sz w:val="20"/>
          <w:szCs w:val="20"/>
        </w:rPr>
      </w:pPr>
    </w:p>
    <w:p w14:paraId="1E6301B5" w14:textId="77777777" w:rsidR="00245559" w:rsidRDefault="00245559" w:rsidP="00245559">
      <w:pPr>
        <w:spacing w:line="240" w:lineRule="auto"/>
        <w:rPr>
          <w:color w:val="000000" w:themeColor="text1"/>
          <w:sz w:val="20"/>
          <w:szCs w:val="20"/>
        </w:rPr>
      </w:pPr>
      <w:proofErr w:type="spellStart"/>
      <w:r w:rsidRPr="00D37903">
        <w:rPr>
          <w:color w:val="000000" w:themeColor="text1"/>
          <w:sz w:val="20"/>
          <w:szCs w:val="20"/>
          <w:highlight w:val="white"/>
        </w:rPr>
        <w:t>Chipidza</w:t>
      </w:r>
      <w:proofErr w:type="spellEnd"/>
      <w:r w:rsidRPr="00D37903">
        <w:rPr>
          <w:color w:val="000000" w:themeColor="text1"/>
          <w:sz w:val="20"/>
          <w:szCs w:val="20"/>
          <w:highlight w:val="white"/>
        </w:rPr>
        <w:t xml:space="preserve">, W., &amp; Leidner, D. (2019) A review of the ICT-enabled development literature: Towards a power parity theory of ICT4D. </w:t>
      </w:r>
      <w:r w:rsidRPr="00D37903">
        <w:rPr>
          <w:i/>
          <w:color w:val="000000" w:themeColor="text1"/>
          <w:sz w:val="20"/>
          <w:szCs w:val="20"/>
          <w:highlight w:val="white"/>
        </w:rPr>
        <w:t>The Journal of Strategic Information Systems</w:t>
      </w:r>
      <w:r w:rsidRPr="00D37903">
        <w:rPr>
          <w:color w:val="000000" w:themeColor="text1"/>
          <w:sz w:val="20"/>
          <w:szCs w:val="20"/>
          <w:highlight w:val="white"/>
        </w:rPr>
        <w:t xml:space="preserve">, </w:t>
      </w:r>
      <w:r w:rsidRPr="00D37903">
        <w:rPr>
          <w:i/>
          <w:color w:val="000000" w:themeColor="text1"/>
          <w:sz w:val="20"/>
          <w:szCs w:val="20"/>
          <w:highlight w:val="white"/>
        </w:rPr>
        <w:t>28</w:t>
      </w:r>
      <w:r w:rsidRPr="00D37903">
        <w:rPr>
          <w:color w:val="000000" w:themeColor="text1"/>
          <w:sz w:val="20"/>
          <w:szCs w:val="20"/>
          <w:highlight w:val="white"/>
        </w:rPr>
        <w:t>(2),145-174.</w:t>
      </w:r>
    </w:p>
    <w:p w14:paraId="2594C857" w14:textId="77777777" w:rsidR="00CC36DF" w:rsidRPr="00D37903" w:rsidRDefault="00CC36DF" w:rsidP="00245559">
      <w:pPr>
        <w:spacing w:line="240" w:lineRule="auto"/>
        <w:rPr>
          <w:color w:val="000000" w:themeColor="text1"/>
          <w:sz w:val="20"/>
          <w:szCs w:val="20"/>
        </w:rPr>
      </w:pPr>
    </w:p>
    <w:p w14:paraId="574537DF" w14:textId="77777777" w:rsidR="00245559" w:rsidRDefault="00245559" w:rsidP="00245559">
      <w:pPr>
        <w:spacing w:line="240" w:lineRule="auto"/>
        <w:rPr>
          <w:color w:val="000000" w:themeColor="text1"/>
          <w:sz w:val="20"/>
          <w:szCs w:val="20"/>
        </w:rPr>
      </w:pPr>
      <w:r w:rsidRPr="00F865C3">
        <w:rPr>
          <w:color w:val="000000" w:themeColor="text1"/>
          <w:sz w:val="20"/>
          <w:szCs w:val="20"/>
        </w:rPr>
        <w:t xml:space="preserve">Climate Change Committee </w:t>
      </w:r>
      <w:r>
        <w:rPr>
          <w:color w:val="000000" w:themeColor="text1"/>
          <w:sz w:val="20"/>
          <w:szCs w:val="20"/>
        </w:rPr>
        <w:t>(</w:t>
      </w:r>
      <w:r w:rsidRPr="00F865C3">
        <w:rPr>
          <w:color w:val="000000" w:themeColor="text1"/>
          <w:sz w:val="20"/>
          <w:szCs w:val="20"/>
        </w:rPr>
        <w:t>2020</w:t>
      </w:r>
      <w:r>
        <w:rPr>
          <w:color w:val="000000" w:themeColor="text1"/>
          <w:sz w:val="20"/>
          <w:szCs w:val="20"/>
        </w:rPr>
        <w:t>)</w:t>
      </w:r>
      <w:r w:rsidRPr="00F865C3">
        <w:rPr>
          <w:color w:val="000000" w:themeColor="text1"/>
          <w:sz w:val="20"/>
          <w:szCs w:val="20"/>
        </w:rPr>
        <w:t xml:space="preserve"> </w:t>
      </w:r>
      <w:r w:rsidRPr="00F865C3">
        <w:rPr>
          <w:i/>
          <w:color w:val="000000" w:themeColor="text1"/>
          <w:sz w:val="20"/>
          <w:szCs w:val="20"/>
        </w:rPr>
        <w:t xml:space="preserve">Local Authorities and the Sixth Carbon Budget, </w:t>
      </w:r>
      <w:r w:rsidRPr="00F865C3">
        <w:rPr>
          <w:color w:val="000000" w:themeColor="text1"/>
          <w:sz w:val="20"/>
          <w:szCs w:val="20"/>
        </w:rPr>
        <w:t>Climate Change Committee</w:t>
      </w:r>
      <w:r>
        <w:rPr>
          <w:color w:val="000000" w:themeColor="text1"/>
          <w:sz w:val="20"/>
          <w:szCs w:val="20"/>
        </w:rPr>
        <w:t>.</w:t>
      </w:r>
    </w:p>
    <w:p w14:paraId="5B09D918" w14:textId="77777777" w:rsidR="00CC36DF" w:rsidRPr="00F865C3" w:rsidRDefault="00CC36DF" w:rsidP="00245559">
      <w:pPr>
        <w:spacing w:line="240" w:lineRule="auto"/>
        <w:rPr>
          <w:color w:val="000000" w:themeColor="text1"/>
          <w:sz w:val="20"/>
          <w:szCs w:val="20"/>
        </w:rPr>
      </w:pPr>
    </w:p>
    <w:p w14:paraId="072E3B82" w14:textId="77777777" w:rsidR="00245559" w:rsidRDefault="00245559" w:rsidP="00245559">
      <w:pPr>
        <w:spacing w:line="240" w:lineRule="auto"/>
        <w:rPr>
          <w:sz w:val="20"/>
          <w:szCs w:val="20"/>
        </w:rPr>
      </w:pPr>
      <w:r w:rsidRPr="00C34077">
        <w:rPr>
          <w:sz w:val="20"/>
          <w:szCs w:val="20"/>
        </w:rPr>
        <w:t xml:space="preserve">Climate Change Committee (2022), </w:t>
      </w:r>
      <w:r w:rsidRPr="00C34077">
        <w:rPr>
          <w:i/>
          <w:sz w:val="20"/>
          <w:szCs w:val="20"/>
        </w:rPr>
        <w:t xml:space="preserve">2022 Progress Report to Parliament, </w:t>
      </w:r>
      <w:r w:rsidRPr="00C34077">
        <w:rPr>
          <w:sz w:val="20"/>
          <w:szCs w:val="20"/>
        </w:rPr>
        <w:t xml:space="preserve">Climate Change Committee </w:t>
      </w:r>
    </w:p>
    <w:p w14:paraId="0C72F706" w14:textId="77777777" w:rsidR="00CC36DF" w:rsidRPr="00C34077" w:rsidRDefault="00CC36DF" w:rsidP="00245559">
      <w:pPr>
        <w:spacing w:line="240" w:lineRule="auto"/>
        <w:rPr>
          <w:sz w:val="20"/>
          <w:szCs w:val="20"/>
        </w:rPr>
      </w:pPr>
    </w:p>
    <w:p w14:paraId="0922B610" w14:textId="52DBB174" w:rsidR="00245559" w:rsidRDefault="00245559" w:rsidP="00245559">
      <w:pPr>
        <w:spacing w:line="240" w:lineRule="auto"/>
        <w:rPr>
          <w:sz w:val="20"/>
          <w:szCs w:val="20"/>
        </w:rPr>
      </w:pPr>
      <w:r w:rsidRPr="00C34077">
        <w:rPr>
          <w:sz w:val="20"/>
          <w:szCs w:val="20"/>
        </w:rPr>
        <w:t xml:space="preserve">Coffey International Development, </w:t>
      </w:r>
      <w:r w:rsidR="00CC36DF">
        <w:rPr>
          <w:sz w:val="20"/>
          <w:szCs w:val="20"/>
        </w:rPr>
        <w:t>(</w:t>
      </w:r>
      <w:r w:rsidRPr="00C34077">
        <w:rPr>
          <w:sz w:val="20"/>
          <w:szCs w:val="20"/>
        </w:rPr>
        <w:t>2007</w:t>
      </w:r>
      <w:r w:rsidR="00CC36DF">
        <w:rPr>
          <w:sz w:val="20"/>
          <w:szCs w:val="20"/>
        </w:rPr>
        <w:t>)</w:t>
      </w:r>
      <w:r w:rsidRPr="00C34077">
        <w:rPr>
          <w:sz w:val="20"/>
          <w:szCs w:val="20"/>
        </w:rPr>
        <w:t>, The Role of Communication in Governance: Detailed Analysis</w:t>
      </w:r>
    </w:p>
    <w:p w14:paraId="64265A4C" w14:textId="77777777" w:rsidR="00CC36DF" w:rsidRDefault="00CC36DF" w:rsidP="00245559">
      <w:pPr>
        <w:spacing w:line="240" w:lineRule="auto"/>
        <w:rPr>
          <w:sz w:val="20"/>
          <w:szCs w:val="20"/>
        </w:rPr>
      </w:pPr>
    </w:p>
    <w:p w14:paraId="13AF39D7" w14:textId="77777777" w:rsidR="00245559" w:rsidRDefault="00245559" w:rsidP="00245559">
      <w:pPr>
        <w:spacing w:line="240" w:lineRule="auto"/>
        <w:rPr>
          <w:color w:val="000000" w:themeColor="text1"/>
          <w:sz w:val="20"/>
          <w:szCs w:val="20"/>
        </w:rPr>
      </w:pPr>
      <w:r w:rsidRPr="00C34077">
        <w:rPr>
          <w:color w:val="000000" w:themeColor="text1"/>
          <w:sz w:val="20"/>
          <w:szCs w:val="20"/>
        </w:rPr>
        <w:t xml:space="preserve">Copus, C., Roberts, M and Wall, R. (2017) </w:t>
      </w:r>
      <w:r w:rsidRPr="00C34077">
        <w:rPr>
          <w:i/>
          <w:color w:val="000000" w:themeColor="text1"/>
          <w:sz w:val="20"/>
          <w:szCs w:val="20"/>
        </w:rPr>
        <w:t>Local Government in England: Centralisation, Autonomy and Control</w:t>
      </w:r>
      <w:r w:rsidRPr="00C34077">
        <w:rPr>
          <w:color w:val="000000" w:themeColor="text1"/>
          <w:sz w:val="20"/>
          <w:szCs w:val="20"/>
        </w:rPr>
        <w:t>. London: Palgrave Macmillan.</w:t>
      </w:r>
    </w:p>
    <w:p w14:paraId="24918010" w14:textId="77777777" w:rsidR="00CC36DF" w:rsidRPr="00FC6E46" w:rsidRDefault="00CC36DF" w:rsidP="00245559">
      <w:pPr>
        <w:spacing w:line="240" w:lineRule="auto"/>
        <w:rPr>
          <w:color w:val="000000" w:themeColor="text1"/>
          <w:sz w:val="20"/>
          <w:szCs w:val="20"/>
        </w:rPr>
      </w:pPr>
    </w:p>
    <w:p w14:paraId="444A9F28" w14:textId="77777777" w:rsidR="00245559" w:rsidRDefault="00245559" w:rsidP="00245559">
      <w:pPr>
        <w:spacing w:line="240" w:lineRule="auto"/>
        <w:rPr>
          <w:sz w:val="20"/>
          <w:szCs w:val="20"/>
        </w:rPr>
      </w:pPr>
      <w:r w:rsidRPr="00C34077">
        <w:rPr>
          <w:sz w:val="20"/>
          <w:szCs w:val="20"/>
        </w:rPr>
        <w:t>Council Climate Scorecards, 2022, Scorecards, online accessed 12/12/2022.</w:t>
      </w:r>
    </w:p>
    <w:p w14:paraId="432BBF0F" w14:textId="77777777" w:rsidR="00CC36DF" w:rsidRPr="00C34077" w:rsidRDefault="00CC36DF" w:rsidP="00245559">
      <w:pPr>
        <w:spacing w:line="240" w:lineRule="auto"/>
        <w:rPr>
          <w:sz w:val="20"/>
          <w:szCs w:val="20"/>
        </w:rPr>
      </w:pPr>
    </w:p>
    <w:p w14:paraId="7DC8A841" w14:textId="77777777" w:rsidR="00245559" w:rsidRDefault="00245559" w:rsidP="00245559">
      <w:pPr>
        <w:spacing w:line="240" w:lineRule="auto"/>
        <w:rPr>
          <w:sz w:val="20"/>
          <w:szCs w:val="20"/>
        </w:rPr>
      </w:pPr>
      <w:r w:rsidRPr="00C34077">
        <w:rPr>
          <w:sz w:val="20"/>
          <w:szCs w:val="20"/>
          <w:highlight w:val="white"/>
        </w:rPr>
        <w:t xml:space="preserve">Cowell, R., Ellis, G., Sherry-Brennan, F., Strachan, P. A., &amp; Toke, D. (2017) Rescaling the governance of renewable energy: lessons from the UK devolution experience. </w:t>
      </w:r>
      <w:r w:rsidRPr="00C34077">
        <w:rPr>
          <w:i/>
          <w:sz w:val="20"/>
          <w:szCs w:val="20"/>
          <w:highlight w:val="white"/>
        </w:rPr>
        <w:t>Journal of Environmental Policy &amp; Planning</w:t>
      </w:r>
      <w:r w:rsidRPr="00C34077">
        <w:rPr>
          <w:sz w:val="20"/>
          <w:szCs w:val="20"/>
          <w:highlight w:val="white"/>
        </w:rPr>
        <w:t xml:space="preserve">, </w:t>
      </w:r>
      <w:r w:rsidRPr="00C34077">
        <w:rPr>
          <w:i/>
          <w:sz w:val="20"/>
          <w:szCs w:val="20"/>
          <w:highlight w:val="white"/>
        </w:rPr>
        <w:t>19</w:t>
      </w:r>
      <w:r w:rsidRPr="00C34077">
        <w:rPr>
          <w:sz w:val="20"/>
          <w:szCs w:val="20"/>
          <w:highlight w:val="white"/>
        </w:rPr>
        <w:t>(5), 480-502.</w:t>
      </w:r>
    </w:p>
    <w:p w14:paraId="38EDA5D0" w14:textId="77777777" w:rsidR="00CC36DF" w:rsidRDefault="00CC36DF" w:rsidP="00245559">
      <w:pPr>
        <w:spacing w:line="240" w:lineRule="auto"/>
        <w:rPr>
          <w:sz w:val="20"/>
          <w:szCs w:val="20"/>
        </w:rPr>
      </w:pPr>
    </w:p>
    <w:p w14:paraId="15EBC6F1" w14:textId="77777777" w:rsidR="00245559" w:rsidRDefault="00245559" w:rsidP="00245559">
      <w:pPr>
        <w:pStyle w:val="EndnoteText"/>
        <w:rPr>
          <w:color w:val="000000" w:themeColor="text1"/>
        </w:rPr>
      </w:pPr>
      <w:r w:rsidRPr="00C34077">
        <w:rPr>
          <w:color w:val="000000" w:themeColor="text1"/>
        </w:rPr>
        <w:t xml:space="preserve">Davoudi, S. (2013) Climate change and the role of spatial planning in England. </w:t>
      </w:r>
      <w:r w:rsidRPr="00C34077">
        <w:rPr>
          <w:i/>
          <w:iCs/>
          <w:color w:val="000000" w:themeColor="text1"/>
        </w:rPr>
        <w:t>Climate Change Governance</w:t>
      </w:r>
      <w:r w:rsidRPr="00C34077">
        <w:rPr>
          <w:color w:val="000000" w:themeColor="text1"/>
        </w:rPr>
        <w:t>, 153-169.</w:t>
      </w:r>
    </w:p>
    <w:p w14:paraId="41C43E8C" w14:textId="77777777" w:rsidR="00CC36DF" w:rsidRPr="00C34077" w:rsidRDefault="00CC36DF" w:rsidP="00245559">
      <w:pPr>
        <w:pStyle w:val="EndnoteText"/>
        <w:rPr>
          <w:color w:val="000000" w:themeColor="text1"/>
        </w:rPr>
      </w:pPr>
    </w:p>
    <w:p w14:paraId="113BD2D0" w14:textId="77777777" w:rsidR="00245559" w:rsidRDefault="00245559" w:rsidP="00245559">
      <w:pPr>
        <w:spacing w:line="240" w:lineRule="auto"/>
        <w:rPr>
          <w:color w:val="000000" w:themeColor="text1"/>
          <w:sz w:val="20"/>
          <w:szCs w:val="20"/>
        </w:rPr>
      </w:pPr>
      <w:r w:rsidRPr="00F865C3">
        <w:rPr>
          <w:color w:val="000000" w:themeColor="text1"/>
          <w:sz w:val="20"/>
          <w:szCs w:val="20"/>
        </w:rPr>
        <w:t xml:space="preserve">de Moor, J., Catney, P. &amp; Doherty, B. (2021) What hampers ‘political’ action in environmental alternative action organizations? Exploring the scope for strategic agency under post-political conditions, </w:t>
      </w:r>
      <w:r w:rsidRPr="00F865C3">
        <w:rPr>
          <w:i/>
          <w:iCs/>
          <w:color w:val="000000" w:themeColor="text1"/>
          <w:sz w:val="20"/>
          <w:szCs w:val="20"/>
        </w:rPr>
        <w:t>Social Movement Studies</w:t>
      </w:r>
      <w:r w:rsidRPr="00F865C3">
        <w:rPr>
          <w:color w:val="000000" w:themeColor="text1"/>
          <w:sz w:val="20"/>
          <w:szCs w:val="20"/>
        </w:rPr>
        <w:t>, 20(3), 312-328.</w:t>
      </w:r>
    </w:p>
    <w:p w14:paraId="430393DB" w14:textId="77777777" w:rsidR="00CC36DF" w:rsidRDefault="00CC36DF" w:rsidP="00245559">
      <w:pPr>
        <w:spacing w:line="240" w:lineRule="auto"/>
        <w:rPr>
          <w:color w:val="000000" w:themeColor="text1"/>
          <w:sz w:val="20"/>
          <w:szCs w:val="20"/>
        </w:rPr>
      </w:pPr>
    </w:p>
    <w:p w14:paraId="5B9BE781" w14:textId="77777777" w:rsidR="00245559" w:rsidRDefault="00245559" w:rsidP="00245559">
      <w:pPr>
        <w:spacing w:line="240" w:lineRule="auto"/>
        <w:rPr>
          <w:sz w:val="20"/>
          <w:szCs w:val="20"/>
        </w:rPr>
      </w:pPr>
      <w:r w:rsidRPr="00C34077">
        <w:rPr>
          <w:sz w:val="20"/>
          <w:szCs w:val="20"/>
        </w:rPr>
        <w:t>Department for Energy Security and Net Zero (2023) 2022 UK Greenhouse Gas Emissions, Office for National Statistics, p18.</w:t>
      </w:r>
    </w:p>
    <w:p w14:paraId="6377B9D2" w14:textId="77777777" w:rsidR="00CC36DF" w:rsidRPr="00C34077" w:rsidRDefault="00CC36DF" w:rsidP="00245559">
      <w:pPr>
        <w:spacing w:line="240" w:lineRule="auto"/>
        <w:rPr>
          <w:sz w:val="20"/>
          <w:szCs w:val="20"/>
        </w:rPr>
      </w:pPr>
    </w:p>
    <w:p w14:paraId="070D2445" w14:textId="77777777" w:rsidR="00245559" w:rsidRDefault="00245559" w:rsidP="00245559">
      <w:pPr>
        <w:spacing w:line="240" w:lineRule="auto"/>
        <w:rPr>
          <w:color w:val="222222"/>
          <w:sz w:val="20"/>
          <w:szCs w:val="20"/>
        </w:rPr>
      </w:pPr>
      <w:r w:rsidRPr="00C34077">
        <w:rPr>
          <w:color w:val="222222"/>
          <w:sz w:val="20"/>
          <w:szCs w:val="20"/>
          <w:highlight w:val="white"/>
        </w:rPr>
        <w:t xml:space="preserve">Devine-Wright, P. (2022) Decarbonisation of industrial clusters: A place-based research agenda. </w:t>
      </w:r>
      <w:r w:rsidRPr="00C34077">
        <w:rPr>
          <w:i/>
          <w:color w:val="222222"/>
          <w:sz w:val="20"/>
          <w:szCs w:val="20"/>
          <w:highlight w:val="white"/>
        </w:rPr>
        <w:t>Energy Research &amp; Social Science</w:t>
      </w:r>
      <w:r w:rsidRPr="00C34077">
        <w:rPr>
          <w:color w:val="222222"/>
          <w:sz w:val="20"/>
          <w:szCs w:val="20"/>
          <w:highlight w:val="white"/>
        </w:rPr>
        <w:t xml:space="preserve">, </w:t>
      </w:r>
      <w:r w:rsidRPr="00C34077">
        <w:rPr>
          <w:i/>
          <w:color w:val="222222"/>
          <w:sz w:val="20"/>
          <w:szCs w:val="20"/>
          <w:highlight w:val="white"/>
        </w:rPr>
        <w:t>91</w:t>
      </w:r>
      <w:r w:rsidRPr="00C34077">
        <w:rPr>
          <w:color w:val="222222"/>
          <w:sz w:val="20"/>
          <w:szCs w:val="20"/>
          <w:highlight w:val="white"/>
        </w:rPr>
        <w:t>, 102725.</w:t>
      </w:r>
    </w:p>
    <w:p w14:paraId="14DDECC8" w14:textId="77777777" w:rsidR="00CC36DF" w:rsidRPr="00C34077" w:rsidRDefault="00CC36DF" w:rsidP="00245559">
      <w:pPr>
        <w:spacing w:line="240" w:lineRule="auto"/>
        <w:rPr>
          <w:sz w:val="20"/>
          <w:szCs w:val="20"/>
        </w:rPr>
      </w:pPr>
    </w:p>
    <w:p w14:paraId="25E788B5" w14:textId="77777777" w:rsidR="00245559" w:rsidRPr="00C34077" w:rsidRDefault="00245559" w:rsidP="00245559">
      <w:pPr>
        <w:spacing w:line="240" w:lineRule="auto"/>
        <w:rPr>
          <w:color w:val="000000" w:themeColor="text1"/>
          <w:sz w:val="20"/>
          <w:szCs w:val="20"/>
          <w:highlight w:val="white"/>
        </w:rPr>
      </w:pPr>
      <w:r w:rsidRPr="00C34077">
        <w:rPr>
          <w:color w:val="000000" w:themeColor="text1"/>
          <w:sz w:val="20"/>
          <w:szCs w:val="20"/>
          <w:highlight w:val="white"/>
        </w:rPr>
        <w:t xml:space="preserve">Di Gregorio, M., </w:t>
      </w:r>
      <w:proofErr w:type="spellStart"/>
      <w:r w:rsidRPr="00C34077">
        <w:rPr>
          <w:color w:val="000000" w:themeColor="text1"/>
          <w:sz w:val="20"/>
          <w:szCs w:val="20"/>
          <w:highlight w:val="white"/>
        </w:rPr>
        <w:t>Fatorelli</w:t>
      </w:r>
      <w:proofErr w:type="spellEnd"/>
      <w:r w:rsidRPr="00C34077">
        <w:rPr>
          <w:color w:val="000000" w:themeColor="text1"/>
          <w:sz w:val="20"/>
          <w:szCs w:val="20"/>
          <w:highlight w:val="white"/>
        </w:rPr>
        <w:t xml:space="preserve">, L., Paavola, J., Locatelli, B., </w:t>
      </w:r>
      <w:proofErr w:type="spellStart"/>
      <w:r w:rsidRPr="00C34077">
        <w:rPr>
          <w:color w:val="000000" w:themeColor="text1"/>
          <w:sz w:val="20"/>
          <w:szCs w:val="20"/>
          <w:highlight w:val="white"/>
        </w:rPr>
        <w:t>Pramova</w:t>
      </w:r>
      <w:proofErr w:type="spellEnd"/>
      <w:r w:rsidRPr="00C34077">
        <w:rPr>
          <w:color w:val="000000" w:themeColor="text1"/>
          <w:sz w:val="20"/>
          <w:szCs w:val="20"/>
          <w:highlight w:val="white"/>
        </w:rPr>
        <w:t xml:space="preserve">, E., </w:t>
      </w:r>
      <w:proofErr w:type="spellStart"/>
      <w:r w:rsidRPr="00C34077">
        <w:rPr>
          <w:color w:val="000000" w:themeColor="text1"/>
          <w:sz w:val="20"/>
          <w:szCs w:val="20"/>
          <w:highlight w:val="white"/>
        </w:rPr>
        <w:t>Nurrochmat</w:t>
      </w:r>
      <w:proofErr w:type="spellEnd"/>
      <w:r w:rsidRPr="00C34077">
        <w:rPr>
          <w:color w:val="000000" w:themeColor="text1"/>
          <w:sz w:val="20"/>
          <w:szCs w:val="20"/>
          <w:highlight w:val="white"/>
        </w:rPr>
        <w:t xml:space="preserve">, D. R., ... &amp; </w:t>
      </w:r>
      <w:proofErr w:type="spellStart"/>
      <w:r w:rsidRPr="00C34077">
        <w:rPr>
          <w:color w:val="000000" w:themeColor="text1"/>
          <w:sz w:val="20"/>
          <w:szCs w:val="20"/>
          <w:highlight w:val="white"/>
        </w:rPr>
        <w:t>Kusumadewi</w:t>
      </w:r>
      <w:proofErr w:type="spellEnd"/>
      <w:r w:rsidRPr="00C34077">
        <w:rPr>
          <w:color w:val="000000" w:themeColor="text1"/>
          <w:sz w:val="20"/>
          <w:szCs w:val="20"/>
          <w:highlight w:val="white"/>
        </w:rPr>
        <w:t xml:space="preserve">, S. D. (2019). Multi-level governance and power in climate change policy networks. </w:t>
      </w:r>
      <w:r w:rsidRPr="00C34077">
        <w:rPr>
          <w:i/>
          <w:color w:val="000000" w:themeColor="text1"/>
          <w:sz w:val="20"/>
          <w:szCs w:val="20"/>
          <w:highlight w:val="white"/>
        </w:rPr>
        <w:t>Global environmental change</w:t>
      </w:r>
      <w:r w:rsidRPr="00C34077">
        <w:rPr>
          <w:color w:val="000000" w:themeColor="text1"/>
          <w:sz w:val="20"/>
          <w:szCs w:val="20"/>
          <w:highlight w:val="white"/>
        </w:rPr>
        <w:t xml:space="preserve">, </w:t>
      </w:r>
      <w:r w:rsidRPr="00C34077">
        <w:rPr>
          <w:i/>
          <w:color w:val="000000" w:themeColor="text1"/>
          <w:sz w:val="20"/>
          <w:szCs w:val="20"/>
          <w:highlight w:val="white"/>
        </w:rPr>
        <w:t>54</w:t>
      </w:r>
      <w:r w:rsidRPr="00C34077">
        <w:rPr>
          <w:color w:val="000000" w:themeColor="text1"/>
          <w:sz w:val="20"/>
          <w:szCs w:val="20"/>
          <w:highlight w:val="white"/>
        </w:rPr>
        <w:t>, 64-77.</w:t>
      </w:r>
    </w:p>
    <w:p w14:paraId="484CC3FA" w14:textId="77777777" w:rsidR="00CC36DF" w:rsidRDefault="00CC36DF" w:rsidP="00CC36DF">
      <w:pPr>
        <w:pStyle w:val="EndnoteText"/>
      </w:pPr>
    </w:p>
    <w:p w14:paraId="28396366" w14:textId="6FC3DEF1" w:rsidR="00CC36DF" w:rsidRDefault="00CC36DF" w:rsidP="00CC36DF">
      <w:pPr>
        <w:pStyle w:val="EndnoteText"/>
      </w:pPr>
      <w:proofErr w:type="spellStart"/>
      <w:r>
        <w:t>Fourat</w:t>
      </w:r>
      <w:proofErr w:type="spellEnd"/>
      <w:r>
        <w:t xml:space="preserve">, E., Closson, C., Holzemer, L. &amp; Hudon, M. (2020) Social inclusion in an alternative food network: Values, </w:t>
      </w:r>
      <w:proofErr w:type="gramStart"/>
      <w:r>
        <w:t>practices</w:t>
      </w:r>
      <w:proofErr w:type="gramEnd"/>
      <w:r>
        <w:t xml:space="preserve"> and tensions. </w:t>
      </w:r>
      <w:r w:rsidRPr="002528D4">
        <w:rPr>
          <w:i/>
          <w:iCs/>
        </w:rPr>
        <w:t>Journal of Rural Studies</w:t>
      </w:r>
      <w:r>
        <w:t>, 76, 49-57,</w:t>
      </w:r>
    </w:p>
    <w:p w14:paraId="1891B0D4" w14:textId="77777777" w:rsidR="00CC36DF" w:rsidRDefault="00CC36DF" w:rsidP="00245559">
      <w:pPr>
        <w:spacing w:line="240" w:lineRule="auto"/>
        <w:rPr>
          <w:color w:val="000000" w:themeColor="text1"/>
          <w:sz w:val="20"/>
          <w:szCs w:val="20"/>
          <w:highlight w:val="white"/>
        </w:rPr>
      </w:pPr>
    </w:p>
    <w:p w14:paraId="3E7455C1" w14:textId="73C2F082" w:rsidR="00245559" w:rsidRDefault="00245559" w:rsidP="00245559">
      <w:pPr>
        <w:spacing w:line="240" w:lineRule="auto"/>
        <w:rPr>
          <w:color w:val="000000" w:themeColor="text1"/>
          <w:sz w:val="20"/>
          <w:szCs w:val="20"/>
        </w:rPr>
      </w:pPr>
      <w:proofErr w:type="spellStart"/>
      <w:r w:rsidRPr="00C34077">
        <w:rPr>
          <w:color w:val="000000" w:themeColor="text1"/>
          <w:sz w:val="20"/>
          <w:szCs w:val="20"/>
          <w:highlight w:val="white"/>
        </w:rPr>
        <w:t>Fransham</w:t>
      </w:r>
      <w:proofErr w:type="spellEnd"/>
      <w:r w:rsidRPr="00C34077">
        <w:rPr>
          <w:color w:val="000000" w:themeColor="text1"/>
          <w:sz w:val="20"/>
          <w:szCs w:val="20"/>
          <w:highlight w:val="white"/>
        </w:rPr>
        <w:t xml:space="preserve">, M., Herbertson, M., Pop, M., Bandeira Morais, M., &amp; Lee, N. (2023) Level best? The levelling up agenda and UK regional inequality. </w:t>
      </w:r>
      <w:r w:rsidRPr="00C34077">
        <w:rPr>
          <w:i/>
          <w:color w:val="000000" w:themeColor="text1"/>
          <w:sz w:val="20"/>
          <w:szCs w:val="20"/>
          <w:highlight w:val="white"/>
        </w:rPr>
        <w:t>Regional Studies</w:t>
      </w:r>
      <w:r w:rsidRPr="00C34077">
        <w:rPr>
          <w:color w:val="000000" w:themeColor="text1"/>
          <w:sz w:val="20"/>
          <w:szCs w:val="20"/>
          <w:highlight w:val="white"/>
        </w:rPr>
        <w:t>, 1-14, p12.</w:t>
      </w:r>
    </w:p>
    <w:p w14:paraId="53B0E12F" w14:textId="77777777" w:rsidR="00CC36DF" w:rsidRPr="00C34077" w:rsidRDefault="00CC36DF" w:rsidP="00245559">
      <w:pPr>
        <w:spacing w:line="240" w:lineRule="auto"/>
        <w:rPr>
          <w:color w:val="000000" w:themeColor="text1"/>
          <w:sz w:val="20"/>
          <w:szCs w:val="20"/>
        </w:rPr>
      </w:pPr>
    </w:p>
    <w:p w14:paraId="100AAA54" w14:textId="77777777" w:rsidR="00245559" w:rsidRDefault="00245559" w:rsidP="00245559">
      <w:pPr>
        <w:spacing w:line="240" w:lineRule="auto"/>
        <w:rPr>
          <w:color w:val="000000" w:themeColor="text1"/>
          <w:sz w:val="20"/>
          <w:szCs w:val="20"/>
        </w:rPr>
      </w:pPr>
      <w:r w:rsidRPr="009F2F6C">
        <w:rPr>
          <w:color w:val="000000" w:themeColor="text1"/>
          <w:sz w:val="20"/>
          <w:szCs w:val="20"/>
          <w:highlight w:val="white"/>
        </w:rPr>
        <w:t xml:space="preserve">Garvey, A., Norman, J. B., </w:t>
      </w:r>
      <w:proofErr w:type="spellStart"/>
      <w:r w:rsidRPr="009F2F6C">
        <w:rPr>
          <w:color w:val="000000" w:themeColor="text1"/>
          <w:sz w:val="20"/>
          <w:szCs w:val="20"/>
          <w:highlight w:val="white"/>
        </w:rPr>
        <w:t>Büchs</w:t>
      </w:r>
      <w:proofErr w:type="spellEnd"/>
      <w:r w:rsidRPr="009F2F6C">
        <w:rPr>
          <w:color w:val="000000" w:themeColor="text1"/>
          <w:sz w:val="20"/>
          <w:szCs w:val="20"/>
          <w:highlight w:val="white"/>
        </w:rPr>
        <w:t xml:space="preserve">, M., &amp; Barrett, J. (2022) A “spatially just” transition? A critical review of regional equity in decarbonisation pathways. </w:t>
      </w:r>
      <w:r w:rsidRPr="009F2F6C">
        <w:rPr>
          <w:i/>
          <w:color w:val="000000" w:themeColor="text1"/>
          <w:sz w:val="20"/>
          <w:szCs w:val="20"/>
          <w:highlight w:val="white"/>
        </w:rPr>
        <w:t>Energy Research &amp; Social Science</w:t>
      </w:r>
      <w:r w:rsidRPr="009F2F6C">
        <w:rPr>
          <w:color w:val="000000" w:themeColor="text1"/>
          <w:sz w:val="20"/>
          <w:szCs w:val="20"/>
          <w:highlight w:val="white"/>
        </w:rPr>
        <w:t xml:space="preserve">, </w:t>
      </w:r>
      <w:r w:rsidRPr="009F2F6C">
        <w:rPr>
          <w:i/>
          <w:color w:val="000000" w:themeColor="text1"/>
          <w:sz w:val="20"/>
          <w:szCs w:val="20"/>
          <w:highlight w:val="white"/>
        </w:rPr>
        <w:t>88</w:t>
      </w:r>
      <w:r w:rsidRPr="009F2F6C">
        <w:rPr>
          <w:color w:val="000000" w:themeColor="text1"/>
          <w:sz w:val="20"/>
          <w:szCs w:val="20"/>
          <w:highlight w:val="white"/>
        </w:rPr>
        <w:t>, 102630.</w:t>
      </w:r>
    </w:p>
    <w:p w14:paraId="12B2037D" w14:textId="77777777" w:rsidR="00CC36DF" w:rsidRPr="009F2F6C" w:rsidRDefault="00CC36DF" w:rsidP="00245559">
      <w:pPr>
        <w:spacing w:line="240" w:lineRule="auto"/>
        <w:rPr>
          <w:color w:val="000000" w:themeColor="text1"/>
          <w:sz w:val="20"/>
          <w:szCs w:val="20"/>
        </w:rPr>
      </w:pPr>
    </w:p>
    <w:p w14:paraId="04350A7F" w14:textId="77777777" w:rsidR="00245559" w:rsidRDefault="00245559" w:rsidP="00245559">
      <w:pPr>
        <w:pStyle w:val="EndnoteText"/>
      </w:pPr>
      <w:r>
        <w:t xml:space="preserve">Gillard, R., </w:t>
      </w:r>
      <w:proofErr w:type="spellStart"/>
      <w:r>
        <w:t>Gouldson</w:t>
      </w:r>
      <w:proofErr w:type="spellEnd"/>
      <w:r>
        <w:t xml:space="preserve">, A., Paavola, J. &amp; Van </w:t>
      </w:r>
      <w:proofErr w:type="spellStart"/>
      <w:proofErr w:type="gramStart"/>
      <w:r>
        <w:t>Alstine,V</w:t>
      </w:r>
      <w:proofErr w:type="spellEnd"/>
      <w:r>
        <w:t>.</w:t>
      </w:r>
      <w:proofErr w:type="gramEnd"/>
      <w:r>
        <w:t xml:space="preserve"> (2017) Can national policy blockages accelerate the development of polycentric governance? Evidence from climate change policy in the United Kingdom. </w:t>
      </w:r>
      <w:r w:rsidRPr="000C7808">
        <w:rPr>
          <w:i/>
          <w:iCs/>
        </w:rPr>
        <w:t>Global Environmental Change</w:t>
      </w:r>
      <w:r>
        <w:t xml:space="preserve">, 45, 174-182. </w:t>
      </w:r>
    </w:p>
    <w:p w14:paraId="7A30815F" w14:textId="77777777" w:rsidR="00CC36DF" w:rsidRDefault="00CC36DF" w:rsidP="00245559">
      <w:pPr>
        <w:pStyle w:val="EndnoteText"/>
      </w:pPr>
    </w:p>
    <w:p w14:paraId="01E06389" w14:textId="77777777" w:rsidR="00245559" w:rsidRDefault="00245559" w:rsidP="00245559">
      <w:pPr>
        <w:spacing w:line="240" w:lineRule="auto"/>
        <w:rPr>
          <w:sz w:val="20"/>
          <w:szCs w:val="20"/>
        </w:rPr>
      </w:pPr>
      <w:r w:rsidRPr="00C34077">
        <w:rPr>
          <w:color w:val="222222"/>
          <w:sz w:val="20"/>
          <w:szCs w:val="20"/>
          <w:highlight w:val="white"/>
        </w:rPr>
        <w:t xml:space="preserve">Goldthau, A., &amp; Sovacool, B. K. (2012) The uniqueness of the energy security, justice, and governance problem. </w:t>
      </w:r>
      <w:r w:rsidRPr="00C34077">
        <w:rPr>
          <w:i/>
          <w:color w:val="222222"/>
          <w:sz w:val="20"/>
          <w:szCs w:val="20"/>
          <w:highlight w:val="white"/>
        </w:rPr>
        <w:t>Energy policy</w:t>
      </w:r>
      <w:r w:rsidRPr="00C34077">
        <w:rPr>
          <w:color w:val="222222"/>
          <w:sz w:val="20"/>
          <w:szCs w:val="20"/>
          <w:highlight w:val="white"/>
        </w:rPr>
        <w:t xml:space="preserve">, </w:t>
      </w:r>
      <w:r w:rsidRPr="00C34077">
        <w:rPr>
          <w:i/>
          <w:color w:val="222222"/>
          <w:sz w:val="20"/>
          <w:szCs w:val="20"/>
          <w:highlight w:val="white"/>
        </w:rPr>
        <w:t>41</w:t>
      </w:r>
      <w:r w:rsidRPr="00C34077">
        <w:rPr>
          <w:color w:val="222222"/>
          <w:sz w:val="20"/>
          <w:szCs w:val="20"/>
          <w:highlight w:val="white"/>
        </w:rPr>
        <w:t>, 232-240.</w:t>
      </w:r>
      <w:r w:rsidRPr="00C34077">
        <w:rPr>
          <w:sz w:val="20"/>
          <w:szCs w:val="20"/>
        </w:rPr>
        <w:t xml:space="preserve"> </w:t>
      </w:r>
    </w:p>
    <w:p w14:paraId="7B19AC50" w14:textId="77777777" w:rsidR="00CC36DF" w:rsidRPr="00C34077" w:rsidRDefault="00CC36DF" w:rsidP="00245559">
      <w:pPr>
        <w:spacing w:line="240" w:lineRule="auto"/>
        <w:rPr>
          <w:sz w:val="20"/>
          <w:szCs w:val="20"/>
        </w:rPr>
      </w:pPr>
    </w:p>
    <w:p w14:paraId="64F8A382" w14:textId="77777777" w:rsidR="00245559" w:rsidRDefault="00245559" w:rsidP="00245559">
      <w:pPr>
        <w:spacing w:line="240" w:lineRule="auto"/>
        <w:rPr>
          <w:color w:val="222222"/>
          <w:sz w:val="20"/>
          <w:szCs w:val="20"/>
        </w:rPr>
      </w:pPr>
      <w:r w:rsidRPr="00C34077">
        <w:rPr>
          <w:color w:val="222222"/>
          <w:sz w:val="20"/>
          <w:szCs w:val="20"/>
          <w:highlight w:val="white"/>
        </w:rPr>
        <w:t xml:space="preserve">Gudde, P., Oakes, J., Cochrane, P., Caldwell, N., &amp; Bury, N. (2021) The role of UK local government in delivering on net zero carbon commitments: You've declared a Climate Emergency, so what's the </w:t>
      </w:r>
      <w:proofErr w:type="gramStart"/>
      <w:r w:rsidRPr="00C34077">
        <w:rPr>
          <w:color w:val="222222"/>
          <w:sz w:val="20"/>
          <w:szCs w:val="20"/>
          <w:highlight w:val="white"/>
        </w:rPr>
        <w:t>plan?.</w:t>
      </w:r>
      <w:proofErr w:type="gramEnd"/>
      <w:r w:rsidRPr="00C34077">
        <w:rPr>
          <w:color w:val="222222"/>
          <w:sz w:val="20"/>
          <w:szCs w:val="20"/>
          <w:highlight w:val="white"/>
        </w:rPr>
        <w:t xml:space="preserve"> </w:t>
      </w:r>
      <w:r w:rsidRPr="00C34077">
        <w:rPr>
          <w:i/>
          <w:color w:val="222222"/>
          <w:sz w:val="20"/>
          <w:szCs w:val="20"/>
          <w:highlight w:val="white"/>
        </w:rPr>
        <w:t>Energy Policy</w:t>
      </w:r>
      <w:r w:rsidRPr="00C34077">
        <w:rPr>
          <w:color w:val="222222"/>
          <w:sz w:val="20"/>
          <w:szCs w:val="20"/>
          <w:highlight w:val="white"/>
        </w:rPr>
        <w:t xml:space="preserve">, </w:t>
      </w:r>
      <w:r w:rsidRPr="00C34077">
        <w:rPr>
          <w:i/>
          <w:color w:val="222222"/>
          <w:sz w:val="20"/>
          <w:szCs w:val="20"/>
          <w:highlight w:val="white"/>
        </w:rPr>
        <w:t>154</w:t>
      </w:r>
      <w:r w:rsidRPr="00C34077">
        <w:rPr>
          <w:color w:val="222222"/>
          <w:sz w:val="20"/>
          <w:szCs w:val="20"/>
          <w:highlight w:val="white"/>
        </w:rPr>
        <w:t>, 112245.</w:t>
      </w:r>
    </w:p>
    <w:p w14:paraId="23D7FCC4" w14:textId="77777777" w:rsidR="00F526B8" w:rsidRDefault="00245559" w:rsidP="00245559">
      <w:pPr>
        <w:pStyle w:val="EndnoteText"/>
        <w:rPr>
          <w:color w:val="000000" w:themeColor="text1"/>
        </w:rPr>
      </w:pPr>
      <w:r>
        <w:rPr>
          <w:color w:val="000000" w:themeColor="text1"/>
        </w:rPr>
        <w:t xml:space="preserve"> </w:t>
      </w:r>
    </w:p>
    <w:p w14:paraId="375FD552" w14:textId="77777777" w:rsidR="00245559" w:rsidRDefault="00245559" w:rsidP="00245559">
      <w:pPr>
        <w:spacing w:line="240" w:lineRule="auto"/>
        <w:rPr>
          <w:color w:val="222222"/>
          <w:sz w:val="20"/>
          <w:szCs w:val="20"/>
        </w:rPr>
      </w:pPr>
      <w:r w:rsidRPr="00C34077">
        <w:rPr>
          <w:color w:val="222222"/>
          <w:sz w:val="20"/>
          <w:szCs w:val="20"/>
          <w:highlight w:val="white"/>
        </w:rPr>
        <w:t xml:space="preserve">Hambleton, R. (2014) Place-based leadership. In </w:t>
      </w:r>
      <w:r w:rsidRPr="00C34077">
        <w:rPr>
          <w:i/>
          <w:color w:val="222222"/>
          <w:sz w:val="20"/>
          <w:szCs w:val="20"/>
          <w:highlight w:val="white"/>
        </w:rPr>
        <w:t>Leading the inclusive city</w:t>
      </w:r>
      <w:r w:rsidRPr="00C34077">
        <w:rPr>
          <w:color w:val="222222"/>
          <w:sz w:val="20"/>
          <w:szCs w:val="20"/>
          <w:highlight w:val="white"/>
        </w:rPr>
        <w:t xml:space="preserve"> (pp. 109-138). Policy Press.</w:t>
      </w:r>
    </w:p>
    <w:p w14:paraId="5288B42D" w14:textId="77777777" w:rsidR="00F526B8" w:rsidRPr="00C34077" w:rsidRDefault="00F526B8" w:rsidP="00245559">
      <w:pPr>
        <w:spacing w:line="240" w:lineRule="auto"/>
        <w:rPr>
          <w:sz w:val="20"/>
          <w:szCs w:val="20"/>
        </w:rPr>
      </w:pPr>
    </w:p>
    <w:p w14:paraId="72878D64" w14:textId="77777777" w:rsidR="00245559" w:rsidRDefault="00245559" w:rsidP="00245559">
      <w:pPr>
        <w:spacing w:line="240" w:lineRule="auto"/>
        <w:rPr>
          <w:color w:val="000000" w:themeColor="text1"/>
          <w:sz w:val="20"/>
          <w:szCs w:val="20"/>
        </w:rPr>
      </w:pPr>
      <w:r w:rsidRPr="009F2F6C">
        <w:rPr>
          <w:color w:val="000000" w:themeColor="text1"/>
          <w:sz w:val="20"/>
          <w:szCs w:val="20"/>
          <w:highlight w:val="white"/>
        </w:rPr>
        <w:t xml:space="preserve">Harris, P. G. (2014) Risk-averse governments. </w:t>
      </w:r>
      <w:r w:rsidRPr="009F2F6C">
        <w:rPr>
          <w:i/>
          <w:color w:val="000000" w:themeColor="text1"/>
          <w:sz w:val="20"/>
          <w:szCs w:val="20"/>
          <w:highlight w:val="white"/>
        </w:rPr>
        <w:t>Nature Climate Change</w:t>
      </w:r>
      <w:r w:rsidRPr="009F2F6C">
        <w:rPr>
          <w:color w:val="000000" w:themeColor="text1"/>
          <w:sz w:val="20"/>
          <w:szCs w:val="20"/>
          <w:highlight w:val="white"/>
        </w:rPr>
        <w:t xml:space="preserve">, </w:t>
      </w:r>
      <w:r w:rsidRPr="009F2F6C">
        <w:rPr>
          <w:i/>
          <w:color w:val="000000" w:themeColor="text1"/>
          <w:sz w:val="20"/>
          <w:szCs w:val="20"/>
          <w:highlight w:val="white"/>
        </w:rPr>
        <w:t>4</w:t>
      </w:r>
      <w:r w:rsidRPr="009F2F6C">
        <w:rPr>
          <w:color w:val="000000" w:themeColor="text1"/>
          <w:sz w:val="20"/>
          <w:szCs w:val="20"/>
          <w:highlight w:val="white"/>
        </w:rPr>
        <w:t>(4), 245-246.</w:t>
      </w:r>
    </w:p>
    <w:p w14:paraId="5FDED067" w14:textId="77777777" w:rsidR="00F526B8" w:rsidRPr="009F2F6C" w:rsidRDefault="00F526B8" w:rsidP="00245559">
      <w:pPr>
        <w:spacing w:line="240" w:lineRule="auto"/>
        <w:rPr>
          <w:color w:val="000000" w:themeColor="text1"/>
          <w:sz w:val="20"/>
          <w:szCs w:val="20"/>
        </w:rPr>
      </w:pPr>
    </w:p>
    <w:p w14:paraId="3A5D2683" w14:textId="229B3679" w:rsidR="00245559" w:rsidRDefault="00245559" w:rsidP="00245559">
      <w:pPr>
        <w:spacing w:line="240" w:lineRule="auto"/>
        <w:rPr>
          <w:sz w:val="20"/>
          <w:szCs w:val="20"/>
        </w:rPr>
      </w:pPr>
      <w:r w:rsidRPr="00245559">
        <w:rPr>
          <w:sz w:val="20"/>
          <w:szCs w:val="20"/>
        </w:rPr>
        <w:t>Heffron, R.J. &amp; McCauley, D (2017) The concept of energy justice across the disciplines. Energy Policy,105, 658-667</w:t>
      </w:r>
    </w:p>
    <w:p w14:paraId="1D108683" w14:textId="77777777" w:rsidR="00F526B8" w:rsidRPr="00245559" w:rsidRDefault="00F526B8" w:rsidP="00245559">
      <w:pPr>
        <w:spacing w:line="240" w:lineRule="auto"/>
        <w:rPr>
          <w:color w:val="000000" w:themeColor="text1"/>
          <w:sz w:val="18"/>
          <w:szCs w:val="18"/>
        </w:rPr>
      </w:pPr>
    </w:p>
    <w:p w14:paraId="55483707" w14:textId="299E5630" w:rsidR="00245559" w:rsidRDefault="00245559" w:rsidP="00245559">
      <w:pPr>
        <w:spacing w:line="240" w:lineRule="auto"/>
        <w:rPr>
          <w:color w:val="000000" w:themeColor="text1"/>
          <w:sz w:val="20"/>
          <w:szCs w:val="20"/>
        </w:rPr>
      </w:pPr>
      <w:r w:rsidRPr="00D37903">
        <w:rPr>
          <w:color w:val="000000" w:themeColor="text1"/>
          <w:sz w:val="20"/>
          <w:szCs w:val="20"/>
        </w:rPr>
        <w:t>HM Government (</w:t>
      </w:r>
      <w:proofErr w:type="gramStart"/>
      <w:r w:rsidRPr="00D37903">
        <w:rPr>
          <w:color w:val="000000" w:themeColor="text1"/>
          <w:sz w:val="20"/>
          <w:szCs w:val="20"/>
        </w:rPr>
        <w:t>2000</w:t>
      </w:r>
      <w:proofErr w:type="gramEnd"/>
      <w:r w:rsidRPr="00D37903">
        <w:rPr>
          <w:color w:val="000000" w:themeColor="text1"/>
          <w:sz w:val="20"/>
          <w:szCs w:val="20"/>
        </w:rPr>
        <w:t>), Local Government Act.</w:t>
      </w:r>
    </w:p>
    <w:p w14:paraId="447E2761" w14:textId="77777777" w:rsidR="00F526B8" w:rsidRPr="00C34077" w:rsidRDefault="00F526B8" w:rsidP="00245559">
      <w:pPr>
        <w:spacing w:line="240" w:lineRule="auto"/>
        <w:rPr>
          <w:color w:val="000000" w:themeColor="text1"/>
          <w:sz w:val="20"/>
          <w:szCs w:val="20"/>
        </w:rPr>
      </w:pPr>
    </w:p>
    <w:p w14:paraId="4E73F191" w14:textId="77777777" w:rsidR="00245559" w:rsidRDefault="00245559" w:rsidP="00245559">
      <w:pPr>
        <w:spacing w:line="240" w:lineRule="auto"/>
        <w:rPr>
          <w:color w:val="000000" w:themeColor="text1"/>
          <w:sz w:val="20"/>
          <w:szCs w:val="20"/>
        </w:rPr>
      </w:pPr>
      <w:r w:rsidRPr="00F865C3">
        <w:rPr>
          <w:color w:val="000000" w:themeColor="text1"/>
          <w:sz w:val="20"/>
          <w:szCs w:val="20"/>
        </w:rPr>
        <w:t>HM Government</w:t>
      </w:r>
      <w:r>
        <w:rPr>
          <w:color w:val="000000" w:themeColor="text1"/>
          <w:sz w:val="20"/>
          <w:szCs w:val="20"/>
        </w:rPr>
        <w:t xml:space="preserve"> </w:t>
      </w:r>
      <w:r w:rsidRPr="00F865C3">
        <w:rPr>
          <w:color w:val="000000" w:themeColor="text1"/>
          <w:sz w:val="20"/>
          <w:szCs w:val="20"/>
        </w:rPr>
        <w:t>(2023) Powering Up Britain - The Net Zero Growth Plan, Open Government License, p109.</w:t>
      </w:r>
    </w:p>
    <w:p w14:paraId="0A2FE88D" w14:textId="77777777" w:rsidR="00F526B8" w:rsidRPr="008E3519" w:rsidRDefault="00F526B8" w:rsidP="00245559">
      <w:pPr>
        <w:spacing w:line="240" w:lineRule="auto"/>
        <w:rPr>
          <w:color w:val="000000" w:themeColor="text1"/>
          <w:sz w:val="20"/>
          <w:szCs w:val="20"/>
        </w:rPr>
      </w:pPr>
    </w:p>
    <w:p w14:paraId="51072257" w14:textId="5FB3BB14" w:rsidR="00245559" w:rsidRPr="008E3519" w:rsidRDefault="00245559" w:rsidP="00245559">
      <w:pPr>
        <w:spacing w:line="240" w:lineRule="auto"/>
        <w:rPr>
          <w:color w:val="000000" w:themeColor="text1"/>
          <w:sz w:val="20"/>
          <w:szCs w:val="20"/>
        </w:rPr>
      </w:pPr>
      <w:r w:rsidRPr="008E3519">
        <w:rPr>
          <w:color w:val="000000" w:themeColor="text1"/>
          <w:sz w:val="20"/>
          <w:szCs w:val="20"/>
        </w:rPr>
        <w:t>HM Government (2023) Powering Up Britain: The Net Zero Growth Plan. London: HMSO.</w:t>
      </w:r>
    </w:p>
    <w:p w14:paraId="2685AAD7" w14:textId="77777777" w:rsidR="00F526B8" w:rsidRPr="008E3519" w:rsidRDefault="00F526B8" w:rsidP="00245559">
      <w:pPr>
        <w:spacing w:line="240" w:lineRule="auto"/>
        <w:rPr>
          <w:color w:val="000000" w:themeColor="text1"/>
          <w:sz w:val="20"/>
          <w:szCs w:val="20"/>
        </w:rPr>
      </w:pPr>
    </w:p>
    <w:p w14:paraId="19BD3534" w14:textId="70F7CE8C" w:rsidR="00245559" w:rsidRPr="008E3519" w:rsidRDefault="00245559" w:rsidP="00245559">
      <w:pPr>
        <w:spacing w:line="240" w:lineRule="auto"/>
        <w:rPr>
          <w:sz w:val="20"/>
          <w:szCs w:val="20"/>
        </w:rPr>
      </w:pPr>
      <w:r w:rsidRPr="008E3519">
        <w:rPr>
          <w:sz w:val="20"/>
          <w:szCs w:val="20"/>
        </w:rPr>
        <w:t xml:space="preserve">HM Government, (2019) </w:t>
      </w:r>
      <w:r w:rsidRPr="008E3519">
        <w:rPr>
          <w:i/>
          <w:sz w:val="20"/>
          <w:szCs w:val="20"/>
        </w:rPr>
        <w:t xml:space="preserve">Climate Change Act 2008 (2050 Amendment), </w:t>
      </w:r>
      <w:r w:rsidRPr="008E3519">
        <w:rPr>
          <w:sz w:val="20"/>
          <w:szCs w:val="20"/>
        </w:rPr>
        <w:t>HM Government</w:t>
      </w:r>
      <w:r w:rsidR="00F526B8" w:rsidRPr="008E3519">
        <w:rPr>
          <w:sz w:val="20"/>
          <w:szCs w:val="20"/>
        </w:rPr>
        <w:t>.</w:t>
      </w:r>
    </w:p>
    <w:p w14:paraId="725597F7" w14:textId="77777777" w:rsidR="008E3519" w:rsidRPr="008E3519" w:rsidRDefault="008E3519" w:rsidP="00245559">
      <w:pPr>
        <w:spacing w:line="240" w:lineRule="auto"/>
        <w:rPr>
          <w:sz w:val="20"/>
          <w:szCs w:val="20"/>
        </w:rPr>
      </w:pPr>
    </w:p>
    <w:p w14:paraId="0825E0DF" w14:textId="30307114" w:rsidR="008E3519" w:rsidRPr="008E3519" w:rsidRDefault="008E3519" w:rsidP="00245559">
      <w:pPr>
        <w:spacing w:line="240" w:lineRule="auto"/>
        <w:rPr>
          <w:sz w:val="20"/>
          <w:szCs w:val="20"/>
        </w:rPr>
      </w:pPr>
      <w:r w:rsidRPr="008E3519">
        <w:rPr>
          <w:sz w:val="20"/>
          <w:szCs w:val="20"/>
        </w:rPr>
        <w:t xml:space="preserve">Hobbs, M.S., Murphy, L., Emden, J., Massey-Chase, B., Rankin, L and Frost, S. (2023) </w:t>
      </w:r>
      <w:r w:rsidRPr="008E3519">
        <w:rPr>
          <w:i/>
          <w:iCs/>
          <w:sz w:val="20"/>
          <w:szCs w:val="20"/>
        </w:rPr>
        <w:t>Planning for Net Zero and Nature: A Better, Greener Planning System That Empowers Local Places.</w:t>
      </w:r>
      <w:r w:rsidRPr="008E3519">
        <w:rPr>
          <w:sz w:val="20"/>
          <w:szCs w:val="20"/>
        </w:rPr>
        <w:t xml:space="preserve"> London: IPPR.</w:t>
      </w:r>
    </w:p>
    <w:p w14:paraId="57A3D7E7" w14:textId="77777777" w:rsidR="00F526B8" w:rsidRPr="008E3519" w:rsidRDefault="00F526B8" w:rsidP="00245559">
      <w:pPr>
        <w:spacing w:line="240" w:lineRule="auto"/>
        <w:rPr>
          <w:sz w:val="20"/>
          <w:szCs w:val="20"/>
        </w:rPr>
      </w:pPr>
    </w:p>
    <w:p w14:paraId="0AAEDE51" w14:textId="77777777" w:rsidR="00245559" w:rsidRPr="008E3519" w:rsidRDefault="00245559" w:rsidP="00245559">
      <w:pPr>
        <w:spacing w:line="240" w:lineRule="auto"/>
        <w:rPr>
          <w:sz w:val="20"/>
          <w:szCs w:val="20"/>
        </w:rPr>
      </w:pPr>
      <w:r w:rsidRPr="008E3519">
        <w:rPr>
          <w:sz w:val="20"/>
          <w:szCs w:val="20"/>
        </w:rPr>
        <w:lastRenderedPageBreak/>
        <w:t xml:space="preserve">Hodgson, M, Evans, J. and </w:t>
      </w:r>
      <w:proofErr w:type="spellStart"/>
      <w:r w:rsidRPr="008E3519">
        <w:rPr>
          <w:sz w:val="20"/>
          <w:szCs w:val="20"/>
        </w:rPr>
        <w:t>Schliwa</w:t>
      </w:r>
      <w:proofErr w:type="spellEnd"/>
      <w:r w:rsidRPr="008E3519">
        <w:rPr>
          <w:sz w:val="20"/>
          <w:szCs w:val="20"/>
        </w:rPr>
        <w:t>, G. (2018) Conditioning experimentation: The struggle for place-based discretion in shaping urban infrastructures, Environment and Planning C: Politics and Space, 36, 1480–1498.</w:t>
      </w:r>
    </w:p>
    <w:p w14:paraId="3781D65A" w14:textId="77777777" w:rsidR="00F526B8" w:rsidRPr="008E3519" w:rsidRDefault="00F526B8" w:rsidP="00245559">
      <w:pPr>
        <w:spacing w:line="240" w:lineRule="auto"/>
        <w:rPr>
          <w:sz w:val="20"/>
          <w:szCs w:val="20"/>
        </w:rPr>
      </w:pPr>
    </w:p>
    <w:p w14:paraId="71937568" w14:textId="77777777" w:rsidR="00245559" w:rsidRDefault="00245559" w:rsidP="00245559">
      <w:pPr>
        <w:spacing w:line="240" w:lineRule="auto"/>
        <w:rPr>
          <w:color w:val="222222"/>
          <w:sz w:val="20"/>
          <w:szCs w:val="20"/>
        </w:rPr>
      </w:pPr>
      <w:r w:rsidRPr="008E3519">
        <w:rPr>
          <w:color w:val="222222"/>
          <w:sz w:val="20"/>
          <w:szCs w:val="20"/>
          <w:highlight w:val="white"/>
        </w:rPr>
        <w:t xml:space="preserve">Howarth, C., Morse-Jones, S., </w:t>
      </w:r>
      <w:proofErr w:type="spellStart"/>
      <w:r w:rsidRPr="008E3519">
        <w:rPr>
          <w:color w:val="222222"/>
          <w:sz w:val="20"/>
          <w:szCs w:val="20"/>
          <w:highlight w:val="white"/>
        </w:rPr>
        <w:t>Kythreotis</w:t>
      </w:r>
      <w:proofErr w:type="spellEnd"/>
      <w:r w:rsidRPr="008E3519">
        <w:rPr>
          <w:color w:val="222222"/>
          <w:sz w:val="20"/>
          <w:szCs w:val="20"/>
          <w:highlight w:val="white"/>
        </w:rPr>
        <w:t>, A., Brooks, K., &amp; Lane, M. (2020). Informing UK governance of resilience</w:t>
      </w:r>
      <w:r w:rsidRPr="00C34077">
        <w:rPr>
          <w:color w:val="222222"/>
          <w:sz w:val="20"/>
          <w:szCs w:val="20"/>
          <w:highlight w:val="white"/>
        </w:rPr>
        <w:t xml:space="preserve"> to climate risks: improving the local evidence-base. </w:t>
      </w:r>
      <w:r w:rsidRPr="00C34077">
        <w:rPr>
          <w:i/>
          <w:color w:val="222222"/>
          <w:sz w:val="20"/>
          <w:szCs w:val="20"/>
          <w:highlight w:val="white"/>
        </w:rPr>
        <w:t>Climatic Change</w:t>
      </w:r>
      <w:r w:rsidRPr="00C34077">
        <w:rPr>
          <w:color w:val="222222"/>
          <w:sz w:val="20"/>
          <w:szCs w:val="20"/>
          <w:highlight w:val="white"/>
        </w:rPr>
        <w:t xml:space="preserve">, </w:t>
      </w:r>
      <w:r w:rsidRPr="00C34077">
        <w:rPr>
          <w:i/>
          <w:color w:val="222222"/>
          <w:sz w:val="20"/>
          <w:szCs w:val="20"/>
          <w:highlight w:val="white"/>
        </w:rPr>
        <w:t>163</w:t>
      </w:r>
      <w:r w:rsidRPr="00C34077">
        <w:rPr>
          <w:color w:val="222222"/>
          <w:sz w:val="20"/>
          <w:szCs w:val="20"/>
          <w:highlight w:val="white"/>
        </w:rPr>
        <w:t>(1), 499-520.</w:t>
      </w:r>
    </w:p>
    <w:p w14:paraId="77AD4EB2" w14:textId="77777777" w:rsidR="00F526B8" w:rsidRPr="00C34077" w:rsidRDefault="00F526B8" w:rsidP="00245559">
      <w:pPr>
        <w:spacing w:line="240" w:lineRule="auto"/>
        <w:rPr>
          <w:sz w:val="20"/>
          <w:szCs w:val="20"/>
        </w:rPr>
      </w:pPr>
    </w:p>
    <w:p w14:paraId="05AFCC55" w14:textId="77777777" w:rsidR="00245559" w:rsidRDefault="00245559" w:rsidP="00245559">
      <w:pPr>
        <w:spacing w:line="240" w:lineRule="auto"/>
        <w:rPr>
          <w:sz w:val="20"/>
          <w:szCs w:val="20"/>
        </w:rPr>
      </w:pPr>
      <w:r w:rsidRPr="00C34077">
        <w:rPr>
          <w:sz w:val="20"/>
          <w:szCs w:val="20"/>
        </w:rPr>
        <w:t>Hunt J., 2023, Spring Budget 2023.</w:t>
      </w:r>
    </w:p>
    <w:p w14:paraId="764C6177" w14:textId="77777777" w:rsidR="00F526B8" w:rsidRPr="00C34077" w:rsidRDefault="00F526B8" w:rsidP="00245559">
      <w:pPr>
        <w:spacing w:line="240" w:lineRule="auto"/>
        <w:rPr>
          <w:sz w:val="20"/>
          <w:szCs w:val="20"/>
        </w:rPr>
      </w:pPr>
    </w:p>
    <w:p w14:paraId="443E8F94" w14:textId="14B0AFE7" w:rsidR="00245559" w:rsidRDefault="00245559" w:rsidP="00245559">
      <w:pPr>
        <w:spacing w:line="240" w:lineRule="auto"/>
        <w:rPr>
          <w:sz w:val="20"/>
          <w:szCs w:val="20"/>
        </w:rPr>
      </w:pPr>
      <w:r w:rsidRPr="00C34077">
        <w:rPr>
          <w:sz w:val="20"/>
          <w:szCs w:val="20"/>
        </w:rPr>
        <w:t xml:space="preserve">Huxley R., </w:t>
      </w:r>
      <w:proofErr w:type="spellStart"/>
      <w:r w:rsidRPr="00C34077">
        <w:rPr>
          <w:sz w:val="20"/>
          <w:szCs w:val="20"/>
        </w:rPr>
        <w:t>Berensson</w:t>
      </w:r>
      <w:proofErr w:type="spellEnd"/>
      <w:r w:rsidRPr="00C34077">
        <w:rPr>
          <w:sz w:val="20"/>
          <w:szCs w:val="20"/>
        </w:rPr>
        <w:t xml:space="preserve"> M., Broek </w:t>
      </w:r>
      <w:proofErr w:type="spellStart"/>
      <w:r w:rsidRPr="00C34077">
        <w:rPr>
          <w:sz w:val="20"/>
          <w:szCs w:val="20"/>
        </w:rPr>
        <w:t>d’Obrenan</w:t>
      </w:r>
      <w:proofErr w:type="spellEnd"/>
      <w:r w:rsidRPr="00C34077">
        <w:rPr>
          <w:sz w:val="20"/>
          <w:szCs w:val="20"/>
        </w:rPr>
        <w:t xml:space="preserve"> H., Farhad N., Garg S., Roderick W., Gander S., Rao A., </w:t>
      </w:r>
      <w:proofErr w:type="spellStart"/>
      <w:r w:rsidRPr="00C34077">
        <w:rPr>
          <w:sz w:val="20"/>
          <w:szCs w:val="20"/>
        </w:rPr>
        <w:t>Sarfatti</w:t>
      </w:r>
      <w:proofErr w:type="spellEnd"/>
      <w:r w:rsidRPr="00C34077">
        <w:rPr>
          <w:sz w:val="20"/>
          <w:szCs w:val="20"/>
        </w:rPr>
        <w:t xml:space="preserve"> C., </w:t>
      </w:r>
      <w:proofErr w:type="spellStart"/>
      <w:r w:rsidRPr="00C34077">
        <w:rPr>
          <w:sz w:val="20"/>
          <w:szCs w:val="20"/>
        </w:rPr>
        <w:t>Ghojeh</w:t>
      </w:r>
      <w:proofErr w:type="spellEnd"/>
      <w:r w:rsidRPr="00C34077">
        <w:rPr>
          <w:sz w:val="20"/>
          <w:szCs w:val="20"/>
        </w:rPr>
        <w:t xml:space="preserve"> M., </w:t>
      </w:r>
      <w:proofErr w:type="spellStart"/>
      <w:r w:rsidRPr="00C34077">
        <w:rPr>
          <w:sz w:val="20"/>
          <w:szCs w:val="20"/>
        </w:rPr>
        <w:t>Coccol</w:t>
      </w:r>
      <w:proofErr w:type="spellEnd"/>
      <w:r w:rsidRPr="00C34077">
        <w:rPr>
          <w:sz w:val="20"/>
          <w:szCs w:val="20"/>
        </w:rPr>
        <w:t xml:space="preserve"> C. (2021) Benefits of Urban Climate Action, C40 Cities.</w:t>
      </w:r>
    </w:p>
    <w:p w14:paraId="42E580DD" w14:textId="77777777" w:rsidR="00F526B8" w:rsidRPr="00C34077" w:rsidRDefault="00F526B8" w:rsidP="00245559">
      <w:pPr>
        <w:spacing w:line="240" w:lineRule="auto"/>
        <w:rPr>
          <w:sz w:val="20"/>
          <w:szCs w:val="20"/>
        </w:rPr>
      </w:pPr>
    </w:p>
    <w:p w14:paraId="2F16EB2C" w14:textId="77777777" w:rsidR="00245559" w:rsidRDefault="00245559" w:rsidP="00245559">
      <w:pPr>
        <w:spacing w:line="240" w:lineRule="auto"/>
        <w:rPr>
          <w:sz w:val="20"/>
          <w:szCs w:val="20"/>
        </w:rPr>
      </w:pPr>
      <w:r w:rsidRPr="00D37903">
        <w:rPr>
          <w:sz w:val="20"/>
          <w:szCs w:val="20"/>
        </w:rPr>
        <w:t xml:space="preserve">Innovate UK (2022) </w:t>
      </w:r>
      <w:r w:rsidRPr="00D37903">
        <w:rPr>
          <w:i/>
          <w:sz w:val="20"/>
          <w:szCs w:val="20"/>
        </w:rPr>
        <w:t xml:space="preserve">Accelerating Net Zero Delivery: Unlocking the benefits of climate action in UK city-regions, </w:t>
      </w:r>
      <w:r w:rsidRPr="00D37903">
        <w:rPr>
          <w:sz w:val="20"/>
          <w:szCs w:val="20"/>
        </w:rPr>
        <w:t xml:space="preserve">Innovate UK. </w:t>
      </w:r>
    </w:p>
    <w:p w14:paraId="41E1C555" w14:textId="77777777" w:rsidR="00F526B8" w:rsidRPr="00D37903" w:rsidRDefault="00F526B8" w:rsidP="00245559">
      <w:pPr>
        <w:spacing w:line="240" w:lineRule="auto"/>
        <w:rPr>
          <w:sz w:val="20"/>
          <w:szCs w:val="20"/>
        </w:rPr>
      </w:pPr>
    </w:p>
    <w:p w14:paraId="1D48B8A0" w14:textId="77777777" w:rsidR="00245559" w:rsidRDefault="00245559" w:rsidP="00245559">
      <w:pPr>
        <w:spacing w:line="240" w:lineRule="auto"/>
        <w:rPr>
          <w:color w:val="000000" w:themeColor="text1"/>
          <w:sz w:val="20"/>
          <w:szCs w:val="20"/>
        </w:rPr>
      </w:pPr>
      <w:r w:rsidRPr="00C34077">
        <w:rPr>
          <w:color w:val="000000" w:themeColor="text1"/>
          <w:sz w:val="20"/>
          <w:szCs w:val="20"/>
        </w:rPr>
        <w:t xml:space="preserve">Institute for Government (2023) </w:t>
      </w:r>
      <w:r w:rsidRPr="00C34077">
        <w:rPr>
          <w:i/>
          <w:color w:val="000000" w:themeColor="text1"/>
          <w:sz w:val="20"/>
          <w:szCs w:val="20"/>
        </w:rPr>
        <w:t xml:space="preserve">English Devolution, </w:t>
      </w:r>
      <w:r w:rsidRPr="00C34077">
        <w:rPr>
          <w:color w:val="000000" w:themeColor="text1"/>
          <w:sz w:val="20"/>
          <w:szCs w:val="20"/>
        </w:rPr>
        <w:t xml:space="preserve">Accessed on </w:t>
      </w:r>
      <w:proofErr w:type="gramStart"/>
      <w:r w:rsidRPr="00C34077">
        <w:rPr>
          <w:color w:val="000000" w:themeColor="text1"/>
          <w:sz w:val="20"/>
          <w:szCs w:val="20"/>
        </w:rPr>
        <w:t>12/03/2023</w:t>
      </w:r>
      <w:proofErr w:type="gramEnd"/>
    </w:p>
    <w:p w14:paraId="25387AD3" w14:textId="77777777" w:rsidR="00F526B8" w:rsidRPr="00C34077" w:rsidRDefault="00F526B8" w:rsidP="00245559">
      <w:pPr>
        <w:spacing w:line="240" w:lineRule="auto"/>
        <w:rPr>
          <w:color w:val="000000" w:themeColor="text1"/>
          <w:sz w:val="20"/>
          <w:szCs w:val="20"/>
        </w:rPr>
      </w:pPr>
    </w:p>
    <w:p w14:paraId="09DF8A1A" w14:textId="02CCC2DA" w:rsidR="00245559" w:rsidRDefault="00245559" w:rsidP="00245559">
      <w:pPr>
        <w:spacing w:line="240" w:lineRule="auto"/>
        <w:rPr>
          <w:sz w:val="20"/>
          <w:szCs w:val="20"/>
        </w:rPr>
      </w:pPr>
      <w:r w:rsidRPr="00C34077">
        <w:rPr>
          <w:sz w:val="20"/>
          <w:szCs w:val="20"/>
        </w:rPr>
        <w:t xml:space="preserve"> IPCC, 2018, </w:t>
      </w:r>
      <w:r w:rsidRPr="00C34077">
        <w:rPr>
          <w:i/>
          <w:sz w:val="20"/>
          <w:szCs w:val="20"/>
        </w:rPr>
        <w:t xml:space="preserve">Summary for Policymakers, </w:t>
      </w:r>
      <w:r w:rsidRPr="00C34077">
        <w:rPr>
          <w:sz w:val="20"/>
          <w:szCs w:val="20"/>
        </w:rPr>
        <w:t>In: Global Warming of 1.5C</w:t>
      </w:r>
    </w:p>
    <w:p w14:paraId="54125EF5" w14:textId="77777777" w:rsidR="00F526B8" w:rsidRPr="00C34077" w:rsidRDefault="00F526B8" w:rsidP="00245559">
      <w:pPr>
        <w:spacing w:line="240" w:lineRule="auto"/>
        <w:rPr>
          <w:sz w:val="20"/>
          <w:szCs w:val="20"/>
        </w:rPr>
      </w:pPr>
    </w:p>
    <w:p w14:paraId="5FC1AEDB" w14:textId="77777777" w:rsidR="00245559" w:rsidRDefault="00245559" w:rsidP="00245559">
      <w:pPr>
        <w:pStyle w:val="EndnoteText"/>
        <w:rPr>
          <w:color w:val="000000" w:themeColor="text1"/>
        </w:rPr>
      </w:pPr>
      <w:r w:rsidRPr="00C34077">
        <w:rPr>
          <w:color w:val="000000" w:themeColor="text1"/>
        </w:rPr>
        <w:t xml:space="preserve">Jankovic, L., Bharadwaj, P., &amp; Carta, S. (2021) How can UK housing projects </w:t>
      </w:r>
      <w:proofErr w:type="gramStart"/>
      <w:r w:rsidRPr="00C34077">
        <w:rPr>
          <w:color w:val="000000" w:themeColor="text1"/>
        </w:rPr>
        <w:t>be brought</w:t>
      </w:r>
      <w:proofErr w:type="gramEnd"/>
      <w:r w:rsidRPr="00C34077">
        <w:rPr>
          <w:color w:val="000000" w:themeColor="text1"/>
        </w:rPr>
        <w:t xml:space="preserve"> in line with net-zero carbon emission targets? </w:t>
      </w:r>
      <w:r w:rsidRPr="00C34077">
        <w:rPr>
          <w:i/>
          <w:iCs/>
          <w:color w:val="000000" w:themeColor="text1"/>
        </w:rPr>
        <w:t>Frontiers in Built Environment</w:t>
      </w:r>
      <w:r w:rsidRPr="00C34077">
        <w:rPr>
          <w:color w:val="000000" w:themeColor="text1"/>
        </w:rPr>
        <w:t>, 157.</w:t>
      </w:r>
    </w:p>
    <w:p w14:paraId="0D1A9E37" w14:textId="77777777" w:rsidR="00F526B8" w:rsidRDefault="00F526B8" w:rsidP="00245559">
      <w:pPr>
        <w:pStyle w:val="EndnoteText"/>
      </w:pPr>
    </w:p>
    <w:p w14:paraId="245DF63B" w14:textId="77777777" w:rsidR="00245559" w:rsidRDefault="00245559" w:rsidP="00245559">
      <w:pPr>
        <w:spacing w:line="240" w:lineRule="auto"/>
        <w:rPr>
          <w:color w:val="222222"/>
          <w:sz w:val="20"/>
          <w:szCs w:val="20"/>
        </w:rPr>
      </w:pPr>
      <w:proofErr w:type="spellStart"/>
      <w:r w:rsidRPr="00C34077">
        <w:rPr>
          <w:color w:val="222222"/>
          <w:sz w:val="20"/>
          <w:szCs w:val="20"/>
          <w:highlight w:val="white"/>
        </w:rPr>
        <w:t>Kivimaa</w:t>
      </w:r>
      <w:proofErr w:type="spellEnd"/>
      <w:r w:rsidRPr="00C34077">
        <w:rPr>
          <w:color w:val="222222"/>
          <w:sz w:val="20"/>
          <w:szCs w:val="20"/>
          <w:highlight w:val="white"/>
        </w:rPr>
        <w:t xml:space="preserve">, P., </w:t>
      </w:r>
      <w:proofErr w:type="spellStart"/>
      <w:r w:rsidRPr="00C34077">
        <w:rPr>
          <w:color w:val="222222"/>
          <w:sz w:val="20"/>
          <w:szCs w:val="20"/>
          <w:highlight w:val="white"/>
        </w:rPr>
        <w:t>Hyysalo</w:t>
      </w:r>
      <w:proofErr w:type="spellEnd"/>
      <w:r w:rsidRPr="00C34077">
        <w:rPr>
          <w:color w:val="222222"/>
          <w:sz w:val="20"/>
          <w:szCs w:val="20"/>
          <w:highlight w:val="white"/>
        </w:rPr>
        <w:t xml:space="preserve">, S., Boon, W., Klerkx, L., </w:t>
      </w:r>
      <w:proofErr w:type="spellStart"/>
      <w:r w:rsidRPr="00C34077">
        <w:rPr>
          <w:color w:val="222222"/>
          <w:sz w:val="20"/>
          <w:szCs w:val="20"/>
          <w:highlight w:val="white"/>
        </w:rPr>
        <w:t>Martiskainen</w:t>
      </w:r>
      <w:proofErr w:type="spellEnd"/>
      <w:r w:rsidRPr="00C34077">
        <w:rPr>
          <w:color w:val="222222"/>
          <w:sz w:val="20"/>
          <w:szCs w:val="20"/>
          <w:highlight w:val="white"/>
        </w:rPr>
        <w:t xml:space="preserve">, M., &amp; </w:t>
      </w:r>
      <w:proofErr w:type="spellStart"/>
      <w:r w:rsidRPr="00C34077">
        <w:rPr>
          <w:color w:val="222222"/>
          <w:sz w:val="20"/>
          <w:szCs w:val="20"/>
          <w:highlight w:val="white"/>
        </w:rPr>
        <w:t>Schot</w:t>
      </w:r>
      <w:proofErr w:type="spellEnd"/>
      <w:r w:rsidRPr="00C34077">
        <w:rPr>
          <w:color w:val="222222"/>
          <w:sz w:val="20"/>
          <w:szCs w:val="20"/>
          <w:highlight w:val="white"/>
        </w:rPr>
        <w:t xml:space="preserve">, J. (2019) Passing the baton: How intermediaries advance sustainability transitions in </w:t>
      </w:r>
      <w:proofErr w:type="gramStart"/>
      <w:r w:rsidRPr="00C34077">
        <w:rPr>
          <w:color w:val="222222"/>
          <w:sz w:val="20"/>
          <w:szCs w:val="20"/>
          <w:highlight w:val="white"/>
        </w:rPr>
        <w:t>different phases</w:t>
      </w:r>
      <w:proofErr w:type="gramEnd"/>
      <w:r w:rsidRPr="00C34077">
        <w:rPr>
          <w:color w:val="222222"/>
          <w:sz w:val="20"/>
          <w:szCs w:val="20"/>
          <w:highlight w:val="white"/>
        </w:rPr>
        <w:t xml:space="preserve">. </w:t>
      </w:r>
      <w:r w:rsidRPr="00C34077">
        <w:rPr>
          <w:i/>
          <w:color w:val="222222"/>
          <w:sz w:val="20"/>
          <w:szCs w:val="20"/>
          <w:highlight w:val="white"/>
        </w:rPr>
        <w:t>Environmental Innovation and Societal Transitions</w:t>
      </w:r>
      <w:r w:rsidRPr="00C34077">
        <w:rPr>
          <w:color w:val="222222"/>
          <w:sz w:val="20"/>
          <w:szCs w:val="20"/>
          <w:highlight w:val="white"/>
        </w:rPr>
        <w:t xml:space="preserve">, </w:t>
      </w:r>
      <w:r w:rsidRPr="00C34077">
        <w:rPr>
          <w:i/>
          <w:color w:val="222222"/>
          <w:sz w:val="20"/>
          <w:szCs w:val="20"/>
          <w:highlight w:val="white"/>
        </w:rPr>
        <w:t>31</w:t>
      </w:r>
      <w:r w:rsidRPr="00C34077">
        <w:rPr>
          <w:color w:val="222222"/>
          <w:sz w:val="20"/>
          <w:szCs w:val="20"/>
          <w:highlight w:val="white"/>
        </w:rPr>
        <w:t>, 110-125.</w:t>
      </w:r>
    </w:p>
    <w:p w14:paraId="38E8A4E4" w14:textId="77777777" w:rsidR="00245559" w:rsidRPr="00C34077" w:rsidRDefault="00245559" w:rsidP="00245559">
      <w:pPr>
        <w:spacing w:line="240" w:lineRule="auto"/>
        <w:rPr>
          <w:sz w:val="20"/>
          <w:szCs w:val="20"/>
        </w:rPr>
      </w:pPr>
    </w:p>
    <w:p w14:paraId="0C8497BA" w14:textId="0568B2A4" w:rsidR="00245559" w:rsidRDefault="00245559" w:rsidP="00245559">
      <w:pPr>
        <w:pStyle w:val="EndnoteText"/>
      </w:pPr>
      <w:r w:rsidRPr="00C34077">
        <w:t xml:space="preserve">Lacey-Barnacle, M. (2020) Proximities of energy justice: contesting community energy and austerity in England. </w:t>
      </w:r>
      <w:r w:rsidRPr="00C34077">
        <w:rPr>
          <w:i/>
          <w:iCs/>
        </w:rPr>
        <w:t>Energy Research &amp; Social Science</w:t>
      </w:r>
      <w:r w:rsidRPr="00C34077">
        <w:t>,69, 101713.</w:t>
      </w:r>
    </w:p>
    <w:p w14:paraId="5734C99B" w14:textId="77777777" w:rsidR="00245559" w:rsidRDefault="00245559" w:rsidP="00245559">
      <w:pPr>
        <w:pStyle w:val="EndnoteText"/>
      </w:pPr>
    </w:p>
    <w:p w14:paraId="43BBF3C6" w14:textId="57059727" w:rsidR="00245559" w:rsidRDefault="00245559" w:rsidP="00245559">
      <w:pPr>
        <w:spacing w:line="240" w:lineRule="auto"/>
        <w:rPr>
          <w:color w:val="0F1111"/>
          <w:sz w:val="20"/>
          <w:szCs w:val="20"/>
        </w:rPr>
      </w:pPr>
      <w:r w:rsidRPr="00C34077">
        <w:rPr>
          <w:sz w:val="20"/>
          <w:szCs w:val="20"/>
        </w:rPr>
        <w:t xml:space="preserve">Laffin, M. (1986) </w:t>
      </w:r>
      <w:r w:rsidRPr="00C34077">
        <w:rPr>
          <w:color w:val="0F1111"/>
          <w:sz w:val="20"/>
          <w:szCs w:val="20"/>
        </w:rPr>
        <w:t xml:space="preserve">Professionalism and Policy: </w:t>
      </w:r>
      <w:r w:rsidRPr="00C34077">
        <w:rPr>
          <w:i/>
          <w:color w:val="0F1111"/>
          <w:sz w:val="20"/>
          <w:szCs w:val="20"/>
        </w:rPr>
        <w:t>The Role of the Professions in the Central/Local Government Relationship</w:t>
      </w:r>
      <w:r w:rsidRPr="00C34077">
        <w:rPr>
          <w:color w:val="0F1111"/>
          <w:sz w:val="20"/>
          <w:szCs w:val="20"/>
        </w:rPr>
        <w:t>. Farnham: Ashgate</w:t>
      </w:r>
      <w:r>
        <w:rPr>
          <w:color w:val="0F1111"/>
          <w:sz w:val="20"/>
          <w:szCs w:val="20"/>
        </w:rPr>
        <w:t>.</w:t>
      </w:r>
    </w:p>
    <w:p w14:paraId="624ADB4F" w14:textId="77777777" w:rsidR="00F526B8" w:rsidRPr="00C34077" w:rsidRDefault="00F526B8" w:rsidP="00245559">
      <w:pPr>
        <w:spacing w:line="240" w:lineRule="auto"/>
        <w:rPr>
          <w:sz w:val="20"/>
          <w:szCs w:val="20"/>
        </w:rPr>
      </w:pPr>
    </w:p>
    <w:p w14:paraId="1C83D191" w14:textId="77777777" w:rsidR="00245559" w:rsidRDefault="00245559" w:rsidP="00245559">
      <w:pPr>
        <w:spacing w:line="240" w:lineRule="auto"/>
        <w:rPr>
          <w:color w:val="222222"/>
          <w:sz w:val="20"/>
          <w:szCs w:val="20"/>
        </w:rPr>
      </w:pPr>
      <w:r w:rsidRPr="00C34077">
        <w:rPr>
          <w:color w:val="222222"/>
          <w:sz w:val="20"/>
          <w:szCs w:val="20"/>
          <w:highlight w:val="white"/>
        </w:rPr>
        <w:t xml:space="preserve">Leck, H., &amp; Simon, D. (2013) Fostering </w:t>
      </w:r>
      <w:proofErr w:type="spellStart"/>
      <w:r w:rsidRPr="00C34077">
        <w:rPr>
          <w:color w:val="222222"/>
          <w:sz w:val="20"/>
          <w:szCs w:val="20"/>
          <w:highlight w:val="white"/>
        </w:rPr>
        <w:t>multiscalar</w:t>
      </w:r>
      <w:proofErr w:type="spellEnd"/>
      <w:r w:rsidRPr="00C34077">
        <w:rPr>
          <w:color w:val="222222"/>
          <w:sz w:val="20"/>
          <w:szCs w:val="20"/>
          <w:highlight w:val="white"/>
        </w:rPr>
        <w:t xml:space="preserve"> collaboration and co-operation for effective governance of climate change adaptation. </w:t>
      </w:r>
      <w:r w:rsidRPr="00C34077">
        <w:rPr>
          <w:i/>
          <w:color w:val="222222"/>
          <w:sz w:val="20"/>
          <w:szCs w:val="20"/>
          <w:highlight w:val="white"/>
        </w:rPr>
        <w:t>Urban Studies</w:t>
      </w:r>
      <w:r w:rsidRPr="00C34077">
        <w:rPr>
          <w:color w:val="222222"/>
          <w:sz w:val="20"/>
          <w:szCs w:val="20"/>
          <w:highlight w:val="white"/>
        </w:rPr>
        <w:t xml:space="preserve">, </w:t>
      </w:r>
      <w:r w:rsidRPr="00C34077">
        <w:rPr>
          <w:i/>
          <w:color w:val="222222"/>
          <w:sz w:val="20"/>
          <w:szCs w:val="20"/>
          <w:highlight w:val="white"/>
        </w:rPr>
        <w:t>50</w:t>
      </w:r>
      <w:r w:rsidRPr="00C34077">
        <w:rPr>
          <w:color w:val="222222"/>
          <w:sz w:val="20"/>
          <w:szCs w:val="20"/>
          <w:highlight w:val="white"/>
        </w:rPr>
        <w:t>(6), 1221-1238.</w:t>
      </w:r>
    </w:p>
    <w:p w14:paraId="75940170" w14:textId="77777777" w:rsidR="00F526B8" w:rsidRPr="00C34077" w:rsidRDefault="00F526B8" w:rsidP="00245559">
      <w:pPr>
        <w:spacing w:line="240" w:lineRule="auto"/>
        <w:rPr>
          <w:sz w:val="20"/>
          <w:szCs w:val="20"/>
        </w:rPr>
      </w:pPr>
    </w:p>
    <w:p w14:paraId="080B6AF7" w14:textId="77777777" w:rsidR="00245559" w:rsidRDefault="00245559" w:rsidP="00245559">
      <w:pPr>
        <w:pStyle w:val="EndnoteText"/>
      </w:pPr>
      <w:r>
        <w:t xml:space="preserve">Localis (2022) Local Resilience Act: Policy and Finance for Climate Resilience: </w:t>
      </w:r>
      <w:hyperlink r:id="rId12" w:history="1">
        <w:r w:rsidRPr="0044104F">
          <w:rPr>
            <w:rStyle w:val="Hyperlink"/>
          </w:rPr>
          <w:t>https://www.localis.org.uk/research/local-resilience-act/</w:t>
        </w:r>
      </w:hyperlink>
      <w:r>
        <w:t xml:space="preserve"> (accessed: 18/6/23)</w:t>
      </w:r>
    </w:p>
    <w:p w14:paraId="39133D8E" w14:textId="59F3817A" w:rsidR="00245559" w:rsidRDefault="00245559" w:rsidP="00245559">
      <w:pPr>
        <w:pStyle w:val="EndnoteText"/>
      </w:pPr>
      <w:r>
        <w:t xml:space="preserve">McKinsey (2021) Call for action: Seizing the decarbonization opportunity in construction, [online] available at </w:t>
      </w:r>
      <w:hyperlink r:id="rId13" w:history="1">
        <w:r w:rsidR="00F526B8" w:rsidRPr="00C45984">
          <w:rPr>
            <w:rStyle w:val="Hyperlink"/>
          </w:rPr>
          <w:t>https://www.mckinsey.com/industries/engineering-construction-and-building-materials/our-insights/call-for-action-seizing-the-decarbonization-opportunity-in-construction</w:t>
        </w:r>
      </w:hyperlink>
    </w:p>
    <w:p w14:paraId="31751DAF" w14:textId="77777777" w:rsidR="00F526B8" w:rsidRDefault="00F526B8" w:rsidP="00245559">
      <w:pPr>
        <w:pStyle w:val="EndnoteText"/>
      </w:pPr>
    </w:p>
    <w:p w14:paraId="322D306D" w14:textId="77777777" w:rsidR="00245559" w:rsidRDefault="00245559" w:rsidP="00245559">
      <w:pPr>
        <w:spacing w:line="240" w:lineRule="auto"/>
        <w:rPr>
          <w:color w:val="000000" w:themeColor="text1"/>
          <w:sz w:val="20"/>
          <w:szCs w:val="20"/>
        </w:rPr>
      </w:pPr>
      <w:proofErr w:type="spellStart"/>
      <w:r w:rsidRPr="00D37903">
        <w:rPr>
          <w:color w:val="000000" w:themeColor="text1"/>
          <w:sz w:val="20"/>
          <w:szCs w:val="20"/>
          <w:highlight w:val="white"/>
        </w:rPr>
        <w:t>Miörner</w:t>
      </w:r>
      <w:proofErr w:type="spellEnd"/>
      <w:r w:rsidRPr="00D37903">
        <w:rPr>
          <w:color w:val="000000" w:themeColor="text1"/>
          <w:sz w:val="20"/>
          <w:szCs w:val="20"/>
          <w:highlight w:val="white"/>
        </w:rPr>
        <w:t xml:space="preserve">, J. and Binz, C. (2021) Towards a multi-scalar perspective on transition trajectories. </w:t>
      </w:r>
      <w:r w:rsidRPr="00D37903">
        <w:rPr>
          <w:i/>
          <w:color w:val="000000" w:themeColor="text1"/>
          <w:sz w:val="20"/>
          <w:szCs w:val="20"/>
          <w:highlight w:val="white"/>
        </w:rPr>
        <w:t>Environmental Innovation and Societal Transitions</w:t>
      </w:r>
      <w:r w:rsidRPr="00D37903">
        <w:rPr>
          <w:color w:val="000000" w:themeColor="text1"/>
          <w:sz w:val="20"/>
          <w:szCs w:val="20"/>
          <w:highlight w:val="white"/>
        </w:rPr>
        <w:t xml:space="preserve">, </w:t>
      </w:r>
      <w:r w:rsidRPr="00D37903">
        <w:rPr>
          <w:i/>
          <w:color w:val="000000" w:themeColor="text1"/>
          <w:sz w:val="20"/>
          <w:szCs w:val="20"/>
          <w:highlight w:val="white"/>
        </w:rPr>
        <w:t>40</w:t>
      </w:r>
      <w:r w:rsidRPr="00D37903">
        <w:rPr>
          <w:color w:val="000000" w:themeColor="text1"/>
          <w:sz w:val="20"/>
          <w:szCs w:val="20"/>
          <w:highlight w:val="white"/>
        </w:rPr>
        <w:t>, pp.172-188.</w:t>
      </w:r>
    </w:p>
    <w:p w14:paraId="6603D510" w14:textId="77777777" w:rsidR="00F526B8" w:rsidRPr="00D37903" w:rsidRDefault="00F526B8" w:rsidP="00245559">
      <w:pPr>
        <w:spacing w:line="240" w:lineRule="auto"/>
        <w:rPr>
          <w:color w:val="000000" w:themeColor="text1"/>
          <w:sz w:val="20"/>
          <w:szCs w:val="20"/>
        </w:rPr>
      </w:pPr>
    </w:p>
    <w:p w14:paraId="0AA79626" w14:textId="77777777" w:rsidR="00245559" w:rsidRDefault="00245559" w:rsidP="00245559">
      <w:pPr>
        <w:spacing w:line="240" w:lineRule="auto"/>
        <w:rPr>
          <w:color w:val="000000" w:themeColor="text1"/>
          <w:sz w:val="20"/>
          <w:szCs w:val="20"/>
        </w:rPr>
      </w:pPr>
      <w:r w:rsidRPr="00C34077">
        <w:rPr>
          <w:color w:val="000000" w:themeColor="text1"/>
          <w:sz w:val="20"/>
          <w:szCs w:val="20"/>
          <w:highlight w:val="white"/>
        </w:rPr>
        <w:t xml:space="preserve">Munck </w:t>
      </w:r>
      <w:proofErr w:type="spellStart"/>
      <w:r w:rsidRPr="00C34077">
        <w:rPr>
          <w:color w:val="000000" w:themeColor="text1"/>
          <w:sz w:val="20"/>
          <w:szCs w:val="20"/>
          <w:highlight w:val="white"/>
        </w:rPr>
        <w:t>af</w:t>
      </w:r>
      <w:proofErr w:type="spellEnd"/>
      <w:r w:rsidRPr="00C34077">
        <w:rPr>
          <w:color w:val="000000" w:themeColor="text1"/>
          <w:sz w:val="20"/>
          <w:szCs w:val="20"/>
          <w:highlight w:val="white"/>
        </w:rPr>
        <w:t xml:space="preserve"> </w:t>
      </w:r>
      <w:proofErr w:type="spellStart"/>
      <w:r w:rsidRPr="00C34077">
        <w:rPr>
          <w:color w:val="000000" w:themeColor="text1"/>
          <w:sz w:val="20"/>
          <w:szCs w:val="20"/>
          <w:highlight w:val="white"/>
        </w:rPr>
        <w:t>Rosenschöld</w:t>
      </w:r>
      <w:proofErr w:type="spellEnd"/>
      <w:r w:rsidRPr="00C34077">
        <w:rPr>
          <w:color w:val="000000" w:themeColor="text1"/>
          <w:sz w:val="20"/>
          <w:szCs w:val="20"/>
          <w:highlight w:val="white"/>
        </w:rPr>
        <w:t>, J., Rozema, J. G., &amp; Frye</w:t>
      </w:r>
      <w:r w:rsidRPr="00C34077">
        <w:rPr>
          <w:rFonts w:ascii="Cambria Math" w:hAnsi="Cambria Math" w:cs="Cambria Math"/>
          <w:color w:val="000000" w:themeColor="text1"/>
          <w:sz w:val="20"/>
          <w:szCs w:val="20"/>
          <w:highlight w:val="white"/>
        </w:rPr>
        <w:t>‐</w:t>
      </w:r>
      <w:r w:rsidRPr="00C34077">
        <w:rPr>
          <w:color w:val="000000" w:themeColor="text1"/>
          <w:sz w:val="20"/>
          <w:szCs w:val="20"/>
          <w:highlight w:val="white"/>
        </w:rPr>
        <w:t xml:space="preserve">Levine, L. A. (2014). Institutional inertia and climate change: a review of the new institutionalist literature. </w:t>
      </w:r>
      <w:r w:rsidRPr="00C34077">
        <w:rPr>
          <w:i/>
          <w:color w:val="000000" w:themeColor="text1"/>
          <w:sz w:val="20"/>
          <w:szCs w:val="20"/>
          <w:highlight w:val="white"/>
        </w:rPr>
        <w:t>Wiley Interdisciplinary Reviews: Climate Change</w:t>
      </w:r>
      <w:r w:rsidRPr="00C34077">
        <w:rPr>
          <w:color w:val="000000" w:themeColor="text1"/>
          <w:sz w:val="20"/>
          <w:szCs w:val="20"/>
          <w:highlight w:val="white"/>
        </w:rPr>
        <w:t xml:space="preserve">, </w:t>
      </w:r>
      <w:r w:rsidRPr="00C34077">
        <w:rPr>
          <w:i/>
          <w:color w:val="000000" w:themeColor="text1"/>
          <w:sz w:val="20"/>
          <w:szCs w:val="20"/>
          <w:highlight w:val="white"/>
        </w:rPr>
        <w:t>5</w:t>
      </w:r>
      <w:r w:rsidRPr="00C34077">
        <w:rPr>
          <w:color w:val="000000" w:themeColor="text1"/>
          <w:sz w:val="20"/>
          <w:szCs w:val="20"/>
          <w:highlight w:val="white"/>
        </w:rPr>
        <w:t>(5), 639-648.</w:t>
      </w:r>
    </w:p>
    <w:p w14:paraId="0FBF4521" w14:textId="77777777" w:rsidR="00F526B8" w:rsidRPr="00C34077" w:rsidRDefault="00F526B8" w:rsidP="00245559">
      <w:pPr>
        <w:spacing w:line="240" w:lineRule="auto"/>
        <w:rPr>
          <w:color w:val="000000" w:themeColor="text1"/>
          <w:sz w:val="20"/>
          <w:szCs w:val="20"/>
        </w:rPr>
      </w:pPr>
    </w:p>
    <w:p w14:paraId="5A37ED65" w14:textId="77777777" w:rsidR="00245559" w:rsidRDefault="00245559" w:rsidP="00245559">
      <w:pPr>
        <w:pStyle w:val="EndnoteText"/>
        <w:rPr>
          <w:color w:val="000000" w:themeColor="text1"/>
        </w:rPr>
      </w:pPr>
      <w:r w:rsidRPr="009F2F6C">
        <w:rPr>
          <w:color w:val="000000" w:themeColor="text1"/>
        </w:rPr>
        <w:t xml:space="preserve">Mundaca, L., Busch, H. &amp; Schwer, S. (2018) ‘Successful’ low-carbon energy transitions at the community level? An energy justice perspective. </w:t>
      </w:r>
      <w:r w:rsidRPr="009F2F6C">
        <w:rPr>
          <w:i/>
          <w:iCs/>
          <w:color w:val="000000" w:themeColor="text1"/>
        </w:rPr>
        <w:t>Applied Energy</w:t>
      </w:r>
      <w:r w:rsidRPr="009F2F6C">
        <w:rPr>
          <w:color w:val="000000" w:themeColor="text1"/>
        </w:rPr>
        <w:t xml:space="preserve">, 218, 292-303; Hanke, F., Guyet, R., &amp; Feenstra, M. (2021) Do renewable energy communities deliver energy justice? Exploring insights from 71 European cases. </w:t>
      </w:r>
      <w:r w:rsidRPr="009F2F6C">
        <w:rPr>
          <w:i/>
          <w:iCs/>
          <w:color w:val="000000" w:themeColor="text1"/>
        </w:rPr>
        <w:t>Energy Research &amp; Social Science</w:t>
      </w:r>
      <w:r w:rsidRPr="009F2F6C">
        <w:rPr>
          <w:color w:val="000000" w:themeColor="text1"/>
        </w:rPr>
        <w:t>, 80, 102244.</w:t>
      </w:r>
    </w:p>
    <w:p w14:paraId="1FB8E729" w14:textId="77777777" w:rsidR="00F526B8" w:rsidRPr="00726D01" w:rsidRDefault="00F526B8" w:rsidP="00245559">
      <w:pPr>
        <w:pStyle w:val="EndnoteText"/>
      </w:pPr>
    </w:p>
    <w:p w14:paraId="2E9B215F" w14:textId="77777777" w:rsidR="00245559" w:rsidRDefault="00245559" w:rsidP="00245559">
      <w:pPr>
        <w:pStyle w:val="EndnoteText"/>
        <w:rPr>
          <w:color w:val="000000" w:themeColor="text1"/>
        </w:rPr>
      </w:pPr>
      <w:r w:rsidRPr="00C34077">
        <w:rPr>
          <w:color w:val="000000" w:themeColor="text1"/>
        </w:rPr>
        <w:t xml:space="preserve">Murtagh, N., </w:t>
      </w:r>
      <w:proofErr w:type="spellStart"/>
      <w:r w:rsidRPr="00C34077">
        <w:rPr>
          <w:color w:val="000000" w:themeColor="text1"/>
        </w:rPr>
        <w:t>Odeleye</w:t>
      </w:r>
      <w:proofErr w:type="spellEnd"/>
      <w:r w:rsidRPr="00C34077">
        <w:rPr>
          <w:color w:val="000000" w:themeColor="text1"/>
        </w:rPr>
        <w:t xml:space="preserve">, N. D., &amp; Maidment, C. (2019, September) Do Town Planners in England feel a professional responsibility for a climate-resilient built </w:t>
      </w:r>
      <w:proofErr w:type="gramStart"/>
      <w:r w:rsidRPr="00C34077">
        <w:rPr>
          <w:color w:val="000000" w:themeColor="text1"/>
        </w:rPr>
        <w:t>environment?.</w:t>
      </w:r>
      <w:proofErr w:type="gramEnd"/>
      <w:r w:rsidRPr="00C34077">
        <w:rPr>
          <w:color w:val="000000" w:themeColor="text1"/>
        </w:rPr>
        <w:t xml:space="preserve"> In </w:t>
      </w:r>
      <w:r w:rsidRPr="00C34077">
        <w:rPr>
          <w:i/>
          <w:iCs/>
          <w:color w:val="000000" w:themeColor="text1"/>
        </w:rPr>
        <w:t>IOP Conference Series: Earth and Environmental Science</w:t>
      </w:r>
      <w:r w:rsidRPr="00C34077">
        <w:rPr>
          <w:color w:val="000000" w:themeColor="text1"/>
        </w:rPr>
        <w:t xml:space="preserve"> (Vol. 297, p. 012036). IOP Publishing.</w:t>
      </w:r>
    </w:p>
    <w:p w14:paraId="0259D291" w14:textId="77777777" w:rsidR="00F526B8" w:rsidRPr="00C34077" w:rsidRDefault="00F526B8" w:rsidP="00245559">
      <w:pPr>
        <w:pStyle w:val="EndnoteText"/>
        <w:rPr>
          <w:color w:val="000000" w:themeColor="text1"/>
        </w:rPr>
      </w:pPr>
    </w:p>
    <w:p w14:paraId="105BFFA6" w14:textId="66B561A7" w:rsidR="00245559" w:rsidRDefault="00245559" w:rsidP="00245559">
      <w:pPr>
        <w:pStyle w:val="EndnoteText"/>
      </w:pPr>
      <w:r w:rsidRPr="00120702">
        <w:lastRenderedPageBreak/>
        <w:t>Nelson,</w:t>
      </w:r>
      <w:r>
        <w:t xml:space="preserve"> A. &amp;</w:t>
      </w:r>
      <w:r w:rsidRPr="00120702">
        <w:t xml:space="preserve"> Schneider</w:t>
      </w:r>
      <w:r>
        <w:t xml:space="preserve">, F. (eds) (2018) </w:t>
      </w:r>
      <w:r w:rsidRPr="00120702">
        <w:rPr>
          <w:i/>
          <w:iCs/>
        </w:rPr>
        <w:t xml:space="preserve">Housing for Degrowth: Principles, Models, Challenges and Opportunities. </w:t>
      </w:r>
      <w:r>
        <w:t xml:space="preserve">Abingdon: Routledge. </w:t>
      </w:r>
    </w:p>
    <w:p w14:paraId="08FCB2C8" w14:textId="77777777" w:rsidR="00F526B8" w:rsidRDefault="00F526B8" w:rsidP="00245559">
      <w:pPr>
        <w:pStyle w:val="EndnoteText"/>
      </w:pPr>
    </w:p>
    <w:p w14:paraId="05F0DC62" w14:textId="67F3C4F4" w:rsidR="3760DE8E" w:rsidRDefault="3760DE8E" w:rsidP="4395FF7F">
      <w:pPr>
        <w:pStyle w:val="EndnoteText"/>
      </w:pPr>
      <w:r>
        <w:t xml:space="preserve">Ofgem, (2020), </w:t>
      </w:r>
      <w:r w:rsidRPr="4395FF7F">
        <w:rPr>
          <w:i/>
          <w:iCs/>
        </w:rPr>
        <w:t>Energy Regulation Sandbox: Guidance for Innovators</w:t>
      </w:r>
      <w:r>
        <w:t>, Open Government Licence.</w:t>
      </w:r>
    </w:p>
    <w:p w14:paraId="720AEE8F" w14:textId="7C7DA77D" w:rsidR="4395FF7F" w:rsidRDefault="4395FF7F" w:rsidP="4395FF7F">
      <w:pPr>
        <w:pStyle w:val="EndnoteText"/>
      </w:pPr>
    </w:p>
    <w:p w14:paraId="346B3762" w14:textId="77777777" w:rsidR="00245559" w:rsidRDefault="00245559" w:rsidP="00245559">
      <w:pPr>
        <w:pStyle w:val="EndnoteText"/>
      </w:pPr>
      <w:r w:rsidRPr="00C34077">
        <w:t xml:space="preserve">Ostrom, E (2012) Nested externalities and polycentric institutions: must we wait for global solutions to climate change before taking actions at other scales? </w:t>
      </w:r>
      <w:r w:rsidRPr="00C34077">
        <w:rPr>
          <w:i/>
          <w:iCs/>
        </w:rPr>
        <w:t>Economic Theory</w:t>
      </w:r>
      <w:r w:rsidRPr="00C34077">
        <w:t>, 49, 353–369</w:t>
      </w:r>
    </w:p>
    <w:p w14:paraId="470ECC2D" w14:textId="77777777" w:rsidR="00F526B8" w:rsidRPr="00C34077" w:rsidRDefault="00F526B8" w:rsidP="00245559">
      <w:pPr>
        <w:pStyle w:val="EndnoteText"/>
      </w:pPr>
    </w:p>
    <w:p w14:paraId="1038674C" w14:textId="77777777" w:rsidR="00245559" w:rsidRDefault="00245559" w:rsidP="00245559">
      <w:pPr>
        <w:spacing w:line="240" w:lineRule="auto"/>
        <w:rPr>
          <w:sz w:val="20"/>
          <w:szCs w:val="20"/>
        </w:rPr>
      </w:pPr>
      <w:r w:rsidRPr="00C34077">
        <w:rPr>
          <w:color w:val="222222"/>
          <w:sz w:val="20"/>
          <w:szCs w:val="20"/>
          <w:highlight w:val="white"/>
        </w:rPr>
        <w:t xml:space="preserve">Ostrom, E. (1990) </w:t>
      </w:r>
      <w:r w:rsidRPr="00C34077">
        <w:rPr>
          <w:i/>
          <w:color w:val="222222"/>
          <w:sz w:val="20"/>
          <w:szCs w:val="20"/>
          <w:highlight w:val="white"/>
        </w:rPr>
        <w:t>Governing the commons: The evolution of institutions for collective action</w:t>
      </w:r>
      <w:r w:rsidRPr="00C34077">
        <w:rPr>
          <w:color w:val="222222"/>
          <w:sz w:val="20"/>
          <w:szCs w:val="20"/>
          <w:highlight w:val="white"/>
        </w:rPr>
        <w:t>. Cambridge University Press.</w:t>
      </w:r>
      <w:r w:rsidRPr="00C34077">
        <w:rPr>
          <w:sz w:val="20"/>
          <w:szCs w:val="20"/>
        </w:rPr>
        <w:t xml:space="preserve"> </w:t>
      </w:r>
    </w:p>
    <w:p w14:paraId="428CA32C" w14:textId="77777777" w:rsidR="00F526B8" w:rsidRPr="00C34077" w:rsidRDefault="00F526B8" w:rsidP="00245559">
      <w:pPr>
        <w:spacing w:line="240" w:lineRule="auto"/>
        <w:rPr>
          <w:sz w:val="20"/>
          <w:szCs w:val="20"/>
        </w:rPr>
      </w:pPr>
    </w:p>
    <w:p w14:paraId="5EDF8707" w14:textId="77777777" w:rsidR="00245559" w:rsidRDefault="00245559" w:rsidP="00245559">
      <w:pPr>
        <w:spacing w:line="240" w:lineRule="auto"/>
        <w:rPr>
          <w:color w:val="222222"/>
          <w:sz w:val="20"/>
          <w:szCs w:val="20"/>
        </w:rPr>
      </w:pPr>
      <w:r w:rsidRPr="00C34077">
        <w:rPr>
          <w:color w:val="222222"/>
          <w:sz w:val="20"/>
          <w:szCs w:val="20"/>
          <w:highlight w:val="white"/>
        </w:rPr>
        <w:t xml:space="preserve">Porter, J. J., </w:t>
      </w:r>
      <w:proofErr w:type="spellStart"/>
      <w:r w:rsidRPr="00C34077">
        <w:rPr>
          <w:color w:val="222222"/>
          <w:sz w:val="20"/>
          <w:szCs w:val="20"/>
          <w:highlight w:val="white"/>
        </w:rPr>
        <w:t>Demeritt</w:t>
      </w:r>
      <w:proofErr w:type="spellEnd"/>
      <w:r w:rsidRPr="00C34077">
        <w:rPr>
          <w:color w:val="222222"/>
          <w:sz w:val="20"/>
          <w:szCs w:val="20"/>
          <w:highlight w:val="white"/>
        </w:rPr>
        <w:t xml:space="preserve">, D., &amp; </w:t>
      </w:r>
      <w:proofErr w:type="spellStart"/>
      <w:r w:rsidRPr="00C34077">
        <w:rPr>
          <w:color w:val="222222"/>
          <w:sz w:val="20"/>
          <w:szCs w:val="20"/>
          <w:highlight w:val="white"/>
        </w:rPr>
        <w:t>Dessai</w:t>
      </w:r>
      <w:proofErr w:type="spellEnd"/>
      <w:r w:rsidRPr="00C34077">
        <w:rPr>
          <w:color w:val="222222"/>
          <w:sz w:val="20"/>
          <w:szCs w:val="20"/>
          <w:highlight w:val="white"/>
        </w:rPr>
        <w:t xml:space="preserve">, S. (2015) The right stuff? Informing adaptation to climate change in British local government. </w:t>
      </w:r>
      <w:r w:rsidRPr="00C34077">
        <w:rPr>
          <w:i/>
          <w:color w:val="222222"/>
          <w:sz w:val="20"/>
          <w:szCs w:val="20"/>
          <w:highlight w:val="white"/>
        </w:rPr>
        <w:t>Global Environmental Change</w:t>
      </w:r>
      <w:r w:rsidRPr="00C34077">
        <w:rPr>
          <w:color w:val="222222"/>
          <w:sz w:val="20"/>
          <w:szCs w:val="20"/>
          <w:highlight w:val="white"/>
        </w:rPr>
        <w:t xml:space="preserve">, </w:t>
      </w:r>
      <w:r w:rsidRPr="00C34077">
        <w:rPr>
          <w:i/>
          <w:color w:val="222222"/>
          <w:sz w:val="20"/>
          <w:szCs w:val="20"/>
          <w:highlight w:val="white"/>
        </w:rPr>
        <w:t>35</w:t>
      </w:r>
      <w:r w:rsidRPr="00C34077">
        <w:rPr>
          <w:color w:val="222222"/>
          <w:sz w:val="20"/>
          <w:szCs w:val="20"/>
          <w:highlight w:val="white"/>
        </w:rPr>
        <w:t>, p420.</w:t>
      </w:r>
    </w:p>
    <w:p w14:paraId="077D448B" w14:textId="77777777" w:rsidR="00F526B8" w:rsidRPr="00C34077" w:rsidRDefault="00F526B8" w:rsidP="00245559">
      <w:pPr>
        <w:spacing w:line="240" w:lineRule="auto"/>
        <w:rPr>
          <w:sz w:val="20"/>
          <w:szCs w:val="20"/>
        </w:rPr>
      </w:pPr>
    </w:p>
    <w:p w14:paraId="404C0F21" w14:textId="77777777" w:rsidR="00245559" w:rsidRDefault="00245559" w:rsidP="00245559">
      <w:pPr>
        <w:pStyle w:val="EndnoteText"/>
      </w:pPr>
      <w:r>
        <w:t xml:space="preserve">Sandström, A., Söderberg, C. &amp; Nilsson, J. (2020) Adaptive capacity in different multi-level governance models: a comparative analysis of Swedish water and large carnivore management. </w:t>
      </w:r>
      <w:r w:rsidRPr="00BF46DF">
        <w:rPr>
          <w:i/>
          <w:iCs/>
        </w:rPr>
        <w:t>Journal of Environmental Management</w:t>
      </w:r>
      <w:r>
        <w:t>, 270: 110890.</w:t>
      </w:r>
    </w:p>
    <w:p w14:paraId="06664EC0" w14:textId="77777777" w:rsidR="00F526B8" w:rsidRDefault="00F526B8" w:rsidP="00245559">
      <w:pPr>
        <w:pStyle w:val="EndnoteText"/>
      </w:pPr>
    </w:p>
    <w:p w14:paraId="4CF528CA" w14:textId="6B9C4B7B" w:rsidR="6777A975" w:rsidRDefault="6777A975" w:rsidP="4395FF7F">
      <w:pPr>
        <w:pStyle w:val="EndnoteText"/>
      </w:pPr>
      <w:r w:rsidRPr="4395FF7F">
        <w:rPr>
          <w:color w:val="222222"/>
        </w:rPr>
        <w:t xml:space="preserve">Schneiders, A. (2021, August). Regulatory sandboxes in the energy sector: are they key to the transition to a net zero </w:t>
      </w:r>
      <w:proofErr w:type="gramStart"/>
      <w:r w:rsidRPr="4395FF7F">
        <w:rPr>
          <w:color w:val="222222"/>
        </w:rPr>
        <w:t>future?.</w:t>
      </w:r>
      <w:proofErr w:type="gramEnd"/>
      <w:r w:rsidRPr="4395FF7F">
        <w:rPr>
          <w:color w:val="222222"/>
        </w:rPr>
        <w:t xml:space="preserve"> In </w:t>
      </w:r>
      <w:r w:rsidRPr="4395FF7F">
        <w:rPr>
          <w:i/>
          <w:iCs/>
          <w:color w:val="222222"/>
        </w:rPr>
        <w:t xml:space="preserve">https://www. </w:t>
      </w:r>
      <w:proofErr w:type="spellStart"/>
      <w:r w:rsidRPr="4395FF7F">
        <w:rPr>
          <w:i/>
          <w:iCs/>
          <w:color w:val="222222"/>
        </w:rPr>
        <w:t>biee</w:t>
      </w:r>
      <w:proofErr w:type="spellEnd"/>
      <w:r w:rsidRPr="4395FF7F">
        <w:rPr>
          <w:i/>
          <w:iCs/>
          <w:color w:val="222222"/>
        </w:rPr>
        <w:t>. org/resources/regulatory-sandboxes-in-the-energy-sector-are-they-key-to-the-transition-to-a-net-zero-future/</w:t>
      </w:r>
      <w:r w:rsidRPr="4395FF7F">
        <w:rPr>
          <w:color w:val="222222"/>
        </w:rPr>
        <w:t>. British Institute of Energy Economics: BIEE.</w:t>
      </w:r>
    </w:p>
    <w:p w14:paraId="60084769" w14:textId="2FA1DF90" w:rsidR="4395FF7F" w:rsidRDefault="4395FF7F" w:rsidP="4395FF7F">
      <w:pPr>
        <w:pStyle w:val="EndnoteText"/>
      </w:pPr>
    </w:p>
    <w:p w14:paraId="40ED3AEE" w14:textId="77777777" w:rsidR="00245559" w:rsidRDefault="00245559" w:rsidP="00245559">
      <w:pPr>
        <w:spacing w:line="240" w:lineRule="auto"/>
        <w:rPr>
          <w:color w:val="000000" w:themeColor="text1"/>
          <w:sz w:val="20"/>
          <w:szCs w:val="20"/>
        </w:rPr>
      </w:pPr>
      <w:r w:rsidRPr="00C34077">
        <w:rPr>
          <w:color w:val="000000" w:themeColor="text1"/>
          <w:sz w:val="20"/>
          <w:szCs w:val="20"/>
          <w:highlight w:val="white"/>
        </w:rPr>
        <w:t>Simcock, N., MacGregor, S., Catney, P., Dobson, A., Ormerod, M., Robinson, Z.,</w:t>
      </w:r>
      <w:r>
        <w:rPr>
          <w:color w:val="000000" w:themeColor="text1"/>
          <w:sz w:val="20"/>
          <w:szCs w:val="20"/>
          <w:highlight w:val="white"/>
        </w:rPr>
        <w:t xml:space="preserve"> </w:t>
      </w:r>
      <w:r w:rsidRPr="00C34077">
        <w:rPr>
          <w:color w:val="000000" w:themeColor="text1"/>
          <w:sz w:val="20"/>
          <w:szCs w:val="20"/>
          <w:highlight w:val="white"/>
        </w:rPr>
        <w:t xml:space="preserve">&amp; Hall, S. M. (2014). Factors influencing perceptions of domestic energy information: Content, </w:t>
      </w:r>
      <w:proofErr w:type="gramStart"/>
      <w:r w:rsidRPr="00C34077">
        <w:rPr>
          <w:color w:val="000000" w:themeColor="text1"/>
          <w:sz w:val="20"/>
          <w:szCs w:val="20"/>
          <w:highlight w:val="white"/>
        </w:rPr>
        <w:t>source</w:t>
      </w:r>
      <w:proofErr w:type="gramEnd"/>
      <w:r w:rsidRPr="00C34077">
        <w:rPr>
          <w:color w:val="000000" w:themeColor="text1"/>
          <w:sz w:val="20"/>
          <w:szCs w:val="20"/>
          <w:highlight w:val="white"/>
        </w:rPr>
        <w:t xml:space="preserve"> and process. </w:t>
      </w:r>
      <w:r w:rsidRPr="00C34077">
        <w:rPr>
          <w:i/>
          <w:color w:val="000000" w:themeColor="text1"/>
          <w:sz w:val="20"/>
          <w:szCs w:val="20"/>
          <w:highlight w:val="white"/>
        </w:rPr>
        <w:t>Energy Policy</w:t>
      </w:r>
      <w:r w:rsidRPr="00C34077">
        <w:rPr>
          <w:color w:val="000000" w:themeColor="text1"/>
          <w:sz w:val="20"/>
          <w:szCs w:val="20"/>
          <w:highlight w:val="white"/>
        </w:rPr>
        <w:t xml:space="preserve">, </w:t>
      </w:r>
      <w:r w:rsidRPr="00C34077">
        <w:rPr>
          <w:i/>
          <w:color w:val="000000" w:themeColor="text1"/>
          <w:sz w:val="20"/>
          <w:szCs w:val="20"/>
          <w:highlight w:val="white"/>
        </w:rPr>
        <w:t>65</w:t>
      </w:r>
      <w:r w:rsidRPr="00C34077">
        <w:rPr>
          <w:color w:val="000000" w:themeColor="text1"/>
          <w:sz w:val="20"/>
          <w:szCs w:val="20"/>
          <w:highlight w:val="white"/>
        </w:rPr>
        <w:t>, 455-464.</w:t>
      </w:r>
    </w:p>
    <w:p w14:paraId="5EAA10E6" w14:textId="77777777" w:rsidR="00F526B8" w:rsidRPr="00C34077" w:rsidRDefault="00F526B8" w:rsidP="00245559">
      <w:pPr>
        <w:spacing w:line="240" w:lineRule="auto"/>
        <w:rPr>
          <w:color w:val="000000" w:themeColor="text1"/>
          <w:sz w:val="20"/>
          <w:szCs w:val="20"/>
        </w:rPr>
      </w:pPr>
    </w:p>
    <w:p w14:paraId="67FAA369" w14:textId="77777777" w:rsidR="00245559" w:rsidRDefault="00245559" w:rsidP="00245559">
      <w:pPr>
        <w:spacing w:line="240" w:lineRule="auto"/>
        <w:rPr>
          <w:sz w:val="20"/>
          <w:szCs w:val="20"/>
        </w:rPr>
      </w:pPr>
      <w:r w:rsidRPr="00C34077">
        <w:rPr>
          <w:sz w:val="20"/>
          <w:szCs w:val="20"/>
        </w:rPr>
        <w:t xml:space="preserve">Skidmore (2023) </w:t>
      </w:r>
      <w:r w:rsidRPr="00C34077">
        <w:rPr>
          <w:i/>
          <w:sz w:val="20"/>
          <w:szCs w:val="20"/>
        </w:rPr>
        <w:t>Mission Zero</w:t>
      </w:r>
      <w:r w:rsidRPr="00C34077">
        <w:rPr>
          <w:sz w:val="20"/>
          <w:szCs w:val="20"/>
        </w:rPr>
        <w:t>, HM Government</w:t>
      </w:r>
    </w:p>
    <w:p w14:paraId="55CDCD27" w14:textId="77777777" w:rsidR="00F526B8" w:rsidRPr="00C34077" w:rsidRDefault="00F526B8" w:rsidP="00245559">
      <w:pPr>
        <w:spacing w:line="240" w:lineRule="auto"/>
        <w:rPr>
          <w:sz w:val="20"/>
          <w:szCs w:val="20"/>
          <w:vertAlign w:val="subscript"/>
        </w:rPr>
      </w:pPr>
    </w:p>
    <w:p w14:paraId="155BE304" w14:textId="77777777" w:rsidR="00245559" w:rsidRPr="00C34077" w:rsidRDefault="00245559" w:rsidP="00245559">
      <w:pPr>
        <w:spacing w:line="240" w:lineRule="auto"/>
        <w:rPr>
          <w:sz w:val="20"/>
          <w:szCs w:val="20"/>
        </w:rPr>
      </w:pPr>
      <w:r w:rsidRPr="00C34077">
        <w:rPr>
          <w:sz w:val="20"/>
          <w:szCs w:val="20"/>
        </w:rPr>
        <w:t xml:space="preserve">Street, A. (2023) [Twitter] Available at: </w:t>
      </w:r>
      <w:hyperlink r:id="rId14">
        <w:r w:rsidRPr="00C34077">
          <w:rPr>
            <w:color w:val="1155CC"/>
            <w:sz w:val="20"/>
            <w:szCs w:val="20"/>
            <w:u w:val="single"/>
          </w:rPr>
          <w:t>https://twitter.com/andy4wm/status/1616079092880637952?ref_src=twsrc%5Etfw%7Ctwcamp%5Etweetembed%7Ctwterm%5E1616079092880637952%7Ctwgr%5Ea927a4273800a210a5e8b38e1cbb4da9f217f1aa%7Ctwcon%5Es1_&amp;ref_url=https%3A%2F%2Fwww.huffingtonpost.co.uk%2Fentry%2Ftory-mayor-accuses-government-of-creating-begging-bowl-culture_uk_63c96d79e4b07c0c7dfaa958</w:t>
        </w:r>
      </w:hyperlink>
      <w:r w:rsidRPr="00C34077">
        <w:rPr>
          <w:sz w:val="20"/>
          <w:szCs w:val="20"/>
        </w:rPr>
        <w:t xml:space="preserve"> (Accessed 15 March 2023)</w:t>
      </w:r>
    </w:p>
    <w:p w14:paraId="2E96AF5D" w14:textId="77777777" w:rsidR="00F526B8" w:rsidRDefault="00F526B8" w:rsidP="00F526B8">
      <w:pPr>
        <w:pStyle w:val="EndnoteText"/>
        <w:rPr>
          <w:color w:val="000000" w:themeColor="text1"/>
        </w:rPr>
      </w:pPr>
    </w:p>
    <w:p w14:paraId="3C92F00B" w14:textId="1E75F723" w:rsidR="00F526B8" w:rsidRPr="00C34077" w:rsidRDefault="00F526B8" w:rsidP="00F526B8">
      <w:pPr>
        <w:pStyle w:val="EndnoteText"/>
        <w:rPr>
          <w:color w:val="000000" w:themeColor="text1"/>
        </w:rPr>
      </w:pPr>
      <w:proofErr w:type="spellStart"/>
      <w:r w:rsidRPr="00F9097E">
        <w:rPr>
          <w:color w:val="000000" w:themeColor="text1"/>
        </w:rPr>
        <w:t>Sudmant</w:t>
      </w:r>
      <w:proofErr w:type="spellEnd"/>
      <w:r w:rsidRPr="00F9097E">
        <w:rPr>
          <w:color w:val="000000" w:themeColor="text1"/>
        </w:rPr>
        <w:t>, A</w:t>
      </w:r>
      <w:r>
        <w:rPr>
          <w:color w:val="000000" w:themeColor="text1"/>
        </w:rPr>
        <w:t xml:space="preserve">., </w:t>
      </w:r>
      <w:r w:rsidRPr="00F9097E">
        <w:rPr>
          <w:color w:val="000000" w:themeColor="text1"/>
        </w:rPr>
        <w:t>Howarth, C</w:t>
      </w:r>
      <w:r>
        <w:rPr>
          <w:color w:val="000000" w:themeColor="text1"/>
        </w:rPr>
        <w:t>.</w:t>
      </w:r>
      <w:r w:rsidRPr="00F9097E">
        <w:rPr>
          <w:color w:val="000000" w:themeColor="text1"/>
        </w:rPr>
        <w:t xml:space="preserve"> </w:t>
      </w:r>
      <w:r>
        <w:rPr>
          <w:color w:val="000000" w:themeColor="text1"/>
        </w:rPr>
        <w:t>&amp; Lane, M. (2022)</w:t>
      </w:r>
      <w:r w:rsidRPr="00F9097E">
        <w:rPr>
          <w:color w:val="000000" w:themeColor="text1"/>
        </w:rPr>
        <w:t xml:space="preserve"> Missing the Target: Are Local Climate Targets Aligned with National Net Zero </w:t>
      </w:r>
      <w:proofErr w:type="gramStart"/>
      <w:r w:rsidRPr="00F9097E">
        <w:rPr>
          <w:color w:val="000000" w:themeColor="text1"/>
        </w:rPr>
        <w:t>Ambitions?.</w:t>
      </w:r>
      <w:proofErr w:type="gramEnd"/>
      <w:r w:rsidRPr="00F9097E">
        <w:rPr>
          <w:color w:val="000000" w:themeColor="text1"/>
        </w:rPr>
        <w:t xml:space="preserve"> Available at SSRN: </w:t>
      </w:r>
      <w:hyperlink r:id="rId15" w:history="1">
        <w:r w:rsidRPr="00823325">
          <w:rPr>
            <w:rStyle w:val="Hyperlink"/>
          </w:rPr>
          <w:t>https://ssrn.com/abstract=4021672</w:t>
        </w:r>
      </w:hyperlink>
      <w:r>
        <w:rPr>
          <w:color w:val="000000" w:themeColor="text1"/>
        </w:rPr>
        <w:t xml:space="preserve"> </w:t>
      </w:r>
      <w:r w:rsidRPr="00F9097E">
        <w:rPr>
          <w:color w:val="000000" w:themeColor="text1"/>
        </w:rPr>
        <w:t xml:space="preserve">or </w:t>
      </w:r>
      <w:hyperlink r:id="rId16" w:history="1">
        <w:r w:rsidRPr="00823325">
          <w:rPr>
            <w:rStyle w:val="Hyperlink"/>
          </w:rPr>
          <w:t>http://dx.doi.org/10.2139/ssrn.4021672</w:t>
        </w:r>
      </w:hyperlink>
      <w:r>
        <w:rPr>
          <w:color w:val="000000" w:themeColor="text1"/>
        </w:rPr>
        <w:t xml:space="preserve"> </w:t>
      </w:r>
    </w:p>
    <w:p w14:paraId="1D115267" w14:textId="77777777" w:rsidR="00F526B8" w:rsidRDefault="00F526B8" w:rsidP="00245559">
      <w:pPr>
        <w:pStyle w:val="EndnoteText"/>
        <w:rPr>
          <w:color w:val="000000" w:themeColor="text1"/>
        </w:rPr>
      </w:pPr>
    </w:p>
    <w:p w14:paraId="0120CB33" w14:textId="5AC6F0D0" w:rsidR="00245559" w:rsidRDefault="00245559" w:rsidP="00245559">
      <w:pPr>
        <w:pStyle w:val="EndnoteText"/>
        <w:rPr>
          <w:color w:val="000000" w:themeColor="text1"/>
        </w:rPr>
      </w:pPr>
      <w:r w:rsidRPr="00C34077">
        <w:rPr>
          <w:color w:val="000000" w:themeColor="text1"/>
        </w:rPr>
        <w:t xml:space="preserve">Sugar, K., &amp; Webb, J. (2022) Value for money: Local authority action on clean energy for net zero. </w:t>
      </w:r>
      <w:r w:rsidRPr="00C34077">
        <w:rPr>
          <w:i/>
          <w:iCs/>
          <w:color w:val="000000" w:themeColor="text1"/>
        </w:rPr>
        <w:t>Energies</w:t>
      </w:r>
      <w:r w:rsidRPr="00C34077">
        <w:rPr>
          <w:color w:val="000000" w:themeColor="text1"/>
        </w:rPr>
        <w:t xml:space="preserve">, </w:t>
      </w:r>
      <w:r w:rsidRPr="00C34077">
        <w:rPr>
          <w:i/>
          <w:iCs/>
          <w:color w:val="000000" w:themeColor="text1"/>
        </w:rPr>
        <w:t>15</w:t>
      </w:r>
      <w:r w:rsidRPr="00C34077">
        <w:rPr>
          <w:color w:val="000000" w:themeColor="text1"/>
        </w:rPr>
        <w:t>(12), 4359.</w:t>
      </w:r>
    </w:p>
    <w:p w14:paraId="78AE8358" w14:textId="77777777" w:rsidR="00F526B8" w:rsidRPr="00C34077" w:rsidRDefault="00F526B8" w:rsidP="00245559">
      <w:pPr>
        <w:pStyle w:val="EndnoteText"/>
        <w:rPr>
          <w:color w:val="000000" w:themeColor="text1"/>
        </w:rPr>
      </w:pPr>
    </w:p>
    <w:p w14:paraId="62202696" w14:textId="77777777" w:rsidR="00245559" w:rsidRDefault="00245559" w:rsidP="00245559">
      <w:pPr>
        <w:spacing w:line="240" w:lineRule="auto"/>
        <w:rPr>
          <w:color w:val="222222"/>
          <w:sz w:val="20"/>
          <w:szCs w:val="20"/>
        </w:rPr>
      </w:pPr>
      <w:r w:rsidRPr="00C34077">
        <w:rPr>
          <w:color w:val="222222"/>
          <w:sz w:val="20"/>
          <w:szCs w:val="20"/>
          <w:highlight w:val="white"/>
        </w:rPr>
        <w:t xml:space="preserve">Tingey, M., &amp; Webb, J. (2020) Governance institutions and prospects for local energy innovation: Laggards and leaders among UK local authorities. </w:t>
      </w:r>
      <w:r w:rsidRPr="00C34077">
        <w:rPr>
          <w:i/>
          <w:color w:val="222222"/>
          <w:sz w:val="20"/>
          <w:szCs w:val="20"/>
          <w:highlight w:val="white"/>
        </w:rPr>
        <w:t>Energy Policy</w:t>
      </w:r>
      <w:r w:rsidRPr="00C34077">
        <w:rPr>
          <w:color w:val="222222"/>
          <w:sz w:val="20"/>
          <w:szCs w:val="20"/>
          <w:highlight w:val="white"/>
        </w:rPr>
        <w:t xml:space="preserve">, </w:t>
      </w:r>
      <w:r w:rsidRPr="00C34077">
        <w:rPr>
          <w:i/>
          <w:color w:val="222222"/>
          <w:sz w:val="20"/>
          <w:szCs w:val="20"/>
          <w:highlight w:val="white"/>
        </w:rPr>
        <w:t>138</w:t>
      </w:r>
      <w:r w:rsidRPr="00C34077">
        <w:rPr>
          <w:color w:val="222222"/>
          <w:sz w:val="20"/>
          <w:szCs w:val="20"/>
          <w:highlight w:val="white"/>
        </w:rPr>
        <w:t>, 111211.</w:t>
      </w:r>
    </w:p>
    <w:p w14:paraId="2B0B3963" w14:textId="77777777" w:rsidR="00F526B8" w:rsidRPr="00C34077" w:rsidRDefault="00F526B8" w:rsidP="00245559">
      <w:pPr>
        <w:spacing w:line="240" w:lineRule="auto"/>
        <w:rPr>
          <w:sz w:val="20"/>
          <w:szCs w:val="20"/>
        </w:rPr>
      </w:pPr>
    </w:p>
    <w:p w14:paraId="06753824" w14:textId="77777777" w:rsidR="00245559" w:rsidRDefault="00245559" w:rsidP="00245559">
      <w:pPr>
        <w:pStyle w:val="EndnoteText"/>
      </w:pPr>
      <w:r>
        <w:t>Torfing, J., Peters B.G., Pierre, J. &amp; Sørensen, E. (2012</w:t>
      </w:r>
      <w:r w:rsidRPr="001520D7">
        <w:rPr>
          <w:i/>
          <w:iCs/>
        </w:rPr>
        <w:t>) Interactive Governance: Advancing the Paradigm</w:t>
      </w:r>
      <w:r>
        <w:t>. Oxford: Oxford University Press.</w:t>
      </w:r>
    </w:p>
    <w:p w14:paraId="2C4FA20D" w14:textId="77777777" w:rsidR="00F526B8" w:rsidRDefault="00F526B8" w:rsidP="00245559">
      <w:pPr>
        <w:pStyle w:val="EndnoteText"/>
      </w:pPr>
    </w:p>
    <w:p w14:paraId="59F76E61" w14:textId="77777777" w:rsidR="00245559" w:rsidRDefault="00245559" w:rsidP="00245559">
      <w:pPr>
        <w:spacing w:line="240" w:lineRule="auto"/>
        <w:rPr>
          <w:color w:val="000000" w:themeColor="text1"/>
          <w:sz w:val="20"/>
          <w:szCs w:val="20"/>
        </w:rPr>
      </w:pPr>
      <w:r w:rsidRPr="009F2F6C">
        <w:rPr>
          <w:color w:val="000000" w:themeColor="text1"/>
          <w:sz w:val="20"/>
          <w:szCs w:val="20"/>
          <w:highlight w:val="white"/>
        </w:rPr>
        <w:t xml:space="preserve">Traill, H., &amp; Cumbers, A. (2022) The state of municipal energy transitions: </w:t>
      </w:r>
      <w:proofErr w:type="gramStart"/>
      <w:r w:rsidRPr="009F2F6C">
        <w:rPr>
          <w:color w:val="000000" w:themeColor="text1"/>
          <w:sz w:val="20"/>
          <w:szCs w:val="20"/>
          <w:highlight w:val="white"/>
        </w:rPr>
        <w:t>Multi-scalar</w:t>
      </w:r>
      <w:proofErr w:type="gramEnd"/>
      <w:r w:rsidRPr="009F2F6C">
        <w:rPr>
          <w:color w:val="000000" w:themeColor="text1"/>
          <w:sz w:val="20"/>
          <w:szCs w:val="20"/>
          <w:highlight w:val="white"/>
        </w:rPr>
        <w:t xml:space="preserve"> constraints and enablers of Europe’s post-carbon energy ambitions. </w:t>
      </w:r>
      <w:r w:rsidRPr="009F2F6C">
        <w:rPr>
          <w:i/>
          <w:color w:val="000000" w:themeColor="text1"/>
          <w:sz w:val="20"/>
          <w:szCs w:val="20"/>
          <w:highlight w:val="white"/>
        </w:rPr>
        <w:t>European Urban and Regional Studies</w:t>
      </w:r>
      <w:r w:rsidRPr="009F2F6C">
        <w:rPr>
          <w:color w:val="000000" w:themeColor="text1"/>
          <w:sz w:val="20"/>
          <w:szCs w:val="20"/>
          <w:highlight w:val="white"/>
        </w:rPr>
        <w:t>, 09697764221101740.</w:t>
      </w:r>
    </w:p>
    <w:p w14:paraId="149D177B" w14:textId="77777777" w:rsidR="00F526B8" w:rsidRPr="009F2F6C" w:rsidRDefault="00F526B8" w:rsidP="00245559">
      <w:pPr>
        <w:spacing w:line="240" w:lineRule="auto"/>
        <w:rPr>
          <w:color w:val="000000" w:themeColor="text1"/>
          <w:sz w:val="20"/>
          <w:szCs w:val="20"/>
        </w:rPr>
      </w:pPr>
    </w:p>
    <w:p w14:paraId="04526D03" w14:textId="77777777" w:rsidR="00245559" w:rsidRDefault="00245559" w:rsidP="00245559">
      <w:pPr>
        <w:spacing w:line="240" w:lineRule="auto"/>
        <w:rPr>
          <w:color w:val="000000" w:themeColor="text1"/>
          <w:sz w:val="20"/>
          <w:szCs w:val="20"/>
        </w:rPr>
      </w:pPr>
      <w:r w:rsidRPr="00C34077">
        <w:rPr>
          <w:color w:val="000000" w:themeColor="text1"/>
          <w:sz w:val="20"/>
          <w:szCs w:val="20"/>
        </w:rPr>
        <w:t xml:space="preserve">UK Parliament (2022) The Affordable Homes Programme, House of Commons. </w:t>
      </w:r>
    </w:p>
    <w:p w14:paraId="7167EA3D" w14:textId="77777777" w:rsidR="00F526B8" w:rsidRPr="00C34077" w:rsidRDefault="00F526B8" w:rsidP="00245559">
      <w:pPr>
        <w:spacing w:line="240" w:lineRule="auto"/>
        <w:rPr>
          <w:color w:val="000000" w:themeColor="text1"/>
          <w:sz w:val="20"/>
          <w:szCs w:val="20"/>
        </w:rPr>
      </w:pPr>
    </w:p>
    <w:p w14:paraId="692CC389" w14:textId="77777777" w:rsidR="00245559" w:rsidRDefault="00245559" w:rsidP="00245559">
      <w:pPr>
        <w:spacing w:line="240" w:lineRule="auto"/>
        <w:rPr>
          <w:color w:val="222222"/>
          <w:sz w:val="20"/>
          <w:szCs w:val="20"/>
        </w:rPr>
      </w:pPr>
      <w:proofErr w:type="spellStart"/>
      <w:r w:rsidRPr="00C34077">
        <w:rPr>
          <w:color w:val="222222"/>
          <w:sz w:val="20"/>
          <w:szCs w:val="20"/>
          <w:highlight w:val="white"/>
        </w:rPr>
        <w:t>Underdal</w:t>
      </w:r>
      <w:proofErr w:type="spellEnd"/>
      <w:r w:rsidRPr="00C34077">
        <w:rPr>
          <w:color w:val="222222"/>
          <w:sz w:val="20"/>
          <w:szCs w:val="20"/>
          <w:highlight w:val="white"/>
        </w:rPr>
        <w:t xml:space="preserve">, A. (2010) Complexity and challenges of long-term environmental governance. </w:t>
      </w:r>
      <w:r w:rsidRPr="00C34077">
        <w:rPr>
          <w:i/>
          <w:color w:val="222222"/>
          <w:sz w:val="20"/>
          <w:szCs w:val="20"/>
          <w:highlight w:val="white"/>
        </w:rPr>
        <w:t>Global Environmental Change</w:t>
      </w:r>
      <w:r w:rsidRPr="00C34077">
        <w:rPr>
          <w:color w:val="222222"/>
          <w:sz w:val="20"/>
          <w:szCs w:val="20"/>
          <w:highlight w:val="white"/>
        </w:rPr>
        <w:t xml:space="preserve">, </w:t>
      </w:r>
      <w:r w:rsidRPr="00C34077">
        <w:rPr>
          <w:i/>
          <w:color w:val="222222"/>
          <w:sz w:val="20"/>
          <w:szCs w:val="20"/>
          <w:highlight w:val="white"/>
        </w:rPr>
        <w:t>20</w:t>
      </w:r>
      <w:r w:rsidRPr="00C34077">
        <w:rPr>
          <w:color w:val="222222"/>
          <w:sz w:val="20"/>
          <w:szCs w:val="20"/>
          <w:highlight w:val="white"/>
        </w:rPr>
        <w:t>(3), 386-393.</w:t>
      </w:r>
    </w:p>
    <w:p w14:paraId="661C86F0" w14:textId="77777777" w:rsidR="00F526B8" w:rsidRPr="00C34077" w:rsidRDefault="00F526B8" w:rsidP="00245559">
      <w:pPr>
        <w:spacing w:line="240" w:lineRule="auto"/>
        <w:rPr>
          <w:sz w:val="20"/>
          <w:szCs w:val="20"/>
        </w:rPr>
      </w:pPr>
    </w:p>
    <w:p w14:paraId="7556487E" w14:textId="77777777" w:rsidR="00245559" w:rsidRDefault="00245559" w:rsidP="00245559">
      <w:pPr>
        <w:spacing w:line="240" w:lineRule="auto"/>
        <w:rPr>
          <w:sz w:val="20"/>
          <w:szCs w:val="20"/>
        </w:rPr>
      </w:pPr>
      <w:proofErr w:type="spellStart"/>
      <w:r w:rsidRPr="00C34077">
        <w:rPr>
          <w:sz w:val="20"/>
          <w:szCs w:val="20"/>
        </w:rPr>
        <w:t>Varbes</w:t>
      </w:r>
      <w:proofErr w:type="spellEnd"/>
      <w:r w:rsidRPr="00C34077">
        <w:rPr>
          <w:sz w:val="20"/>
          <w:szCs w:val="20"/>
        </w:rPr>
        <w:t>, (2023) Demographic Data for Staffordshire, [online] last accessed 15/03/2023</w:t>
      </w:r>
      <w:r>
        <w:rPr>
          <w:sz w:val="20"/>
          <w:szCs w:val="20"/>
        </w:rPr>
        <w:t>.</w:t>
      </w:r>
    </w:p>
    <w:p w14:paraId="0A27EEEE" w14:textId="77777777" w:rsidR="00245559" w:rsidRDefault="00245559" w:rsidP="00245559">
      <w:pPr>
        <w:pStyle w:val="EndnoteText"/>
      </w:pPr>
      <w:r>
        <w:lastRenderedPageBreak/>
        <w:t xml:space="preserve">Wade, F., Webb, J. &amp; Creamer, E. (2022) Local government capacities to support net zero: Developing comprehensive heat and energy efficiency strategies in Scotland. </w:t>
      </w:r>
      <w:r w:rsidRPr="004C03C9">
        <w:rPr>
          <w:i/>
          <w:iCs/>
        </w:rPr>
        <w:t>Energy Research &amp; Social Science</w:t>
      </w:r>
      <w:r>
        <w:t>, 89, 102544.</w:t>
      </w:r>
    </w:p>
    <w:p w14:paraId="70C6D9D7" w14:textId="77777777" w:rsidR="00F526B8" w:rsidRDefault="00F526B8" w:rsidP="00245559">
      <w:pPr>
        <w:pStyle w:val="EndnoteText"/>
      </w:pPr>
    </w:p>
    <w:p w14:paraId="3905DC54" w14:textId="77777777" w:rsidR="00245559" w:rsidRPr="00C34077" w:rsidRDefault="00245559" w:rsidP="00245559">
      <w:pPr>
        <w:spacing w:line="240" w:lineRule="auto"/>
        <w:rPr>
          <w:sz w:val="20"/>
          <w:szCs w:val="20"/>
        </w:rPr>
      </w:pPr>
      <w:r w:rsidRPr="00C34077">
        <w:rPr>
          <w:color w:val="222222"/>
          <w:sz w:val="20"/>
          <w:szCs w:val="20"/>
          <w:highlight w:val="white"/>
        </w:rPr>
        <w:t xml:space="preserve">Walker, B. J., Adger, W. N., &amp; Russel, D. (2015) Institutional barriers to climate change adaptation in decentralised governance structures: Transport planning in England. </w:t>
      </w:r>
      <w:r w:rsidRPr="00C34077">
        <w:rPr>
          <w:i/>
          <w:color w:val="222222"/>
          <w:sz w:val="20"/>
          <w:szCs w:val="20"/>
          <w:highlight w:val="white"/>
        </w:rPr>
        <w:t>Urban studies</w:t>
      </w:r>
      <w:r w:rsidRPr="00C34077">
        <w:rPr>
          <w:color w:val="222222"/>
          <w:sz w:val="20"/>
          <w:szCs w:val="20"/>
          <w:highlight w:val="white"/>
        </w:rPr>
        <w:t xml:space="preserve">, </w:t>
      </w:r>
      <w:r w:rsidRPr="00C34077">
        <w:rPr>
          <w:i/>
          <w:color w:val="222222"/>
          <w:sz w:val="20"/>
          <w:szCs w:val="20"/>
          <w:highlight w:val="white"/>
        </w:rPr>
        <w:t>52</w:t>
      </w:r>
      <w:r w:rsidRPr="00C34077">
        <w:rPr>
          <w:color w:val="222222"/>
          <w:sz w:val="20"/>
          <w:szCs w:val="20"/>
          <w:highlight w:val="white"/>
        </w:rPr>
        <w:t>(12), p2254.</w:t>
      </w:r>
    </w:p>
    <w:p w14:paraId="278ED37A" w14:textId="77777777" w:rsidR="00245559" w:rsidRDefault="00245559">
      <w:pPr>
        <w:spacing w:line="240" w:lineRule="auto"/>
        <w:rPr>
          <w:color w:val="000000" w:themeColor="text1"/>
          <w:sz w:val="20"/>
          <w:szCs w:val="20"/>
        </w:rPr>
      </w:pPr>
    </w:p>
    <w:p w14:paraId="1F0E2D78" w14:textId="77777777" w:rsidR="00F526B8" w:rsidRDefault="00F526B8" w:rsidP="00F526B8">
      <w:pPr>
        <w:pStyle w:val="EndnoteText"/>
      </w:pPr>
      <w:r w:rsidRPr="00120702">
        <w:t>Xue</w:t>
      </w:r>
      <w:r>
        <w:t>, J.</w:t>
      </w:r>
      <w:r w:rsidRPr="00120702">
        <w:t xml:space="preserve"> (2022) Urban planning and degrowth: a missing dialogue</w:t>
      </w:r>
      <w:r>
        <w:t>.</w:t>
      </w:r>
      <w:r w:rsidRPr="00120702">
        <w:t xml:space="preserve"> </w:t>
      </w:r>
      <w:r w:rsidRPr="00120702">
        <w:rPr>
          <w:i/>
          <w:iCs/>
        </w:rPr>
        <w:t>Local Environment</w:t>
      </w:r>
      <w:r w:rsidRPr="00120702">
        <w:t>, 27</w:t>
      </w:r>
      <w:r>
        <w:t>(</w:t>
      </w:r>
      <w:r w:rsidRPr="00120702">
        <w:t>4</w:t>
      </w:r>
      <w:r>
        <w:t>)</w:t>
      </w:r>
      <w:r w:rsidRPr="00120702">
        <w:t>, 404-422</w:t>
      </w:r>
    </w:p>
    <w:p w14:paraId="746EB3D2" w14:textId="77777777" w:rsidR="00F526B8" w:rsidRDefault="00F526B8" w:rsidP="00F526B8">
      <w:pPr>
        <w:pStyle w:val="EndnoteText"/>
      </w:pPr>
      <w:r>
        <w:t xml:space="preserve"> </w:t>
      </w:r>
    </w:p>
    <w:p w14:paraId="30105457" w14:textId="7DF328BC" w:rsidR="00F526B8" w:rsidRDefault="00F526B8" w:rsidP="00F526B8">
      <w:pPr>
        <w:pStyle w:val="EndnoteText"/>
      </w:pPr>
      <w:r w:rsidRPr="00120702">
        <w:t>Xue</w:t>
      </w:r>
      <w:r>
        <w:t>, J.</w:t>
      </w:r>
      <w:r w:rsidRPr="00120702">
        <w:t xml:space="preserve"> &amp; </w:t>
      </w:r>
      <w:proofErr w:type="spellStart"/>
      <w:r w:rsidRPr="00120702">
        <w:t>Kębłowski</w:t>
      </w:r>
      <w:proofErr w:type="spellEnd"/>
      <w:r>
        <w:t>, W.</w:t>
      </w:r>
      <w:r w:rsidRPr="00120702">
        <w:t xml:space="preserve"> (2022) Spatialising degrowth, degrowing urban planning</w:t>
      </w:r>
      <w:r>
        <w:t>.</w:t>
      </w:r>
      <w:r w:rsidRPr="00120702">
        <w:rPr>
          <w:i/>
          <w:iCs/>
        </w:rPr>
        <w:t xml:space="preserve"> Local Environment</w:t>
      </w:r>
      <w:r>
        <w:t>.</w:t>
      </w:r>
      <w:r w:rsidRPr="00120702">
        <w:t xml:space="preserve"> 27</w:t>
      </w:r>
      <w:r>
        <w:t>(</w:t>
      </w:r>
      <w:r w:rsidRPr="00120702">
        <w:t>4</w:t>
      </w:r>
      <w:r>
        <w:t>)</w:t>
      </w:r>
      <w:r w:rsidRPr="00120702">
        <w:t>, 397-403</w:t>
      </w:r>
      <w:r>
        <w:t>.</w:t>
      </w:r>
    </w:p>
    <w:p w14:paraId="3C47F860" w14:textId="77777777" w:rsidR="00F526B8" w:rsidRPr="00120702" w:rsidRDefault="00F526B8">
      <w:pPr>
        <w:spacing w:line="240" w:lineRule="auto"/>
        <w:rPr>
          <w:color w:val="000000" w:themeColor="text1"/>
          <w:sz w:val="20"/>
          <w:szCs w:val="20"/>
        </w:rPr>
      </w:pPr>
    </w:p>
    <w:sectPr w:rsidR="00F526B8" w:rsidRPr="00120702">
      <w:headerReference w:type="default" r:id="rId17"/>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3FA2" w14:textId="77777777" w:rsidR="00533089" w:rsidRDefault="00533089">
      <w:pPr>
        <w:spacing w:line="240" w:lineRule="auto"/>
      </w:pPr>
      <w:r>
        <w:separator/>
      </w:r>
    </w:p>
  </w:endnote>
  <w:endnote w:type="continuationSeparator" w:id="0">
    <w:p w14:paraId="0972B248" w14:textId="77777777" w:rsidR="00533089" w:rsidRDefault="00533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8" w14:textId="77777777" w:rsidR="006864E3" w:rsidRDefault="006864E3"/>
  <w:p w14:paraId="000000E9" w14:textId="77777777" w:rsidR="006864E3" w:rsidRDefault="006864E3"/>
  <w:p w14:paraId="000000EA" w14:textId="371B3363" w:rsidR="006864E3" w:rsidRDefault="00BC4AC1">
    <w:pPr>
      <w:jc w:val="right"/>
    </w:pPr>
    <w:r>
      <w:rPr>
        <w:color w:val="2B579A"/>
        <w:shd w:val="clear" w:color="auto" w:fill="E6E6E6"/>
      </w:rPr>
      <w:fldChar w:fldCharType="begin"/>
    </w:r>
    <w:r>
      <w:instrText>PAGE</w:instrText>
    </w:r>
    <w:r>
      <w:rPr>
        <w:color w:val="2B579A"/>
        <w:shd w:val="clear" w:color="auto" w:fill="E6E6E6"/>
      </w:rPr>
      <w:fldChar w:fldCharType="separate"/>
    </w:r>
    <w:r w:rsidR="006B5A80">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6299" w14:textId="77777777" w:rsidR="00533089" w:rsidRDefault="00533089">
      <w:pPr>
        <w:spacing w:line="240" w:lineRule="auto"/>
      </w:pPr>
      <w:r>
        <w:separator/>
      </w:r>
    </w:p>
  </w:footnote>
  <w:footnote w:type="continuationSeparator" w:id="0">
    <w:p w14:paraId="7983316E" w14:textId="77777777" w:rsidR="00533089" w:rsidRDefault="00533089">
      <w:pPr>
        <w:spacing w:line="240" w:lineRule="auto"/>
      </w:pPr>
      <w:r>
        <w:continuationSeparator/>
      </w:r>
    </w:p>
  </w:footnote>
  <w:footnote w:id="1">
    <w:p w14:paraId="6DFCBF1E" w14:textId="3FF1DCF9" w:rsidR="004D5979" w:rsidRPr="00F13C9F" w:rsidRDefault="004D5979" w:rsidP="004D5979">
      <w:pPr>
        <w:spacing w:line="240" w:lineRule="auto"/>
        <w:rPr>
          <w:sz w:val="20"/>
          <w:szCs w:val="20"/>
        </w:rPr>
      </w:pPr>
      <w:r w:rsidRPr="00F13C9F">
        <w:rPr>
          <w:sz w:val="20"/>
          <w:szCs w:val="20"/>
          <w:vertAlign w:val="superscript"/>
        </w:rPr>
        <w:footnoteRef/>
      </w:r>
      <w:r w:rsidRPr="00F13C9F">
        <w:rPr>
          <w:sz w:val="20"/>
          <w:szCs w:val="20"/>
        </w:rPr>
        <w:t xml:space="preserve"> Skidmore </w:t>
      </w:r>
      <w:r w:rsidR="006E61E5">
        <w:rPr>
          <w:sz w:val="20"/>
          <w:szCs w:val="20"/>
        </w:rPr>
        <w:t>(</w:t>
      </w:r>
      <w:r w:rsidRPr="00F13C9F">
        <w:rPr>
          <w:sz w:val="20"/>
          <w:szCs w:val="20"/>
        </w:rPr>
        <w:t>2023</w:t>
      </w:r>
      <w:r w:rsidR="006E61E5">
        <w:rPr>
          <w:sz w:val="20"/>
          <w:szCs w:val="20"/>
        </w:rPr>
        <w:t>)</w:t>
      </w:r>
      <w:r w:rsidRPr="00F13C9F">
        <w:rPr>
          <w:sz w:val="20"/>
          <w:szCs w:val="20"/>
        </w:rPr>
        <w:t xml:space="preserve"> </w:t>
      </w:r>
      <w:r w:rsidRPr="00F13C9F">
        <w:rPr>
          <w:i/>
          <w:sz w:val="20"/>
          <w:szCs w:val="20"/>
        </w:rPr>
        <w:t>Mission Zero</w:t>
      </w:r>
      <w:r w:rsidRPr="00F13C9F">
        <w:rPr>
          <w:sz w:val="20"/>
          <w:szCs w:val="20"/>
        </w:rPr>
        <w:t>, HM Government</w:t>
      </w:r>
      <w:r w:rsidR="00C34077">
        <w:rPr>
          <w:sz w:val="20"/>
          <w:szCs w:val="20"/>
        </w:rPr>
        <w:t>.</w:t>
      </w:r>
    </w:p>
  </w:footnote>
  <w:footnote w:id="2">
    <w:p w14:paraId="143CDC69" w14:textId="3072D213" w:rsidR="004D5979" w:rsidRPr="00F865C3" w:rsidRDefault="004D5979" w:rsidP="004D5979">
      <w:pPr>
        <w:spacing w:line="240" w:lineRule="auto"/>
        <w:rPr>
          <w:color w:val="000000" w:themeColor="text1"/>
          <w:sz w:val="20"/>
          <w:szCs w:val="20"/>
        </w:rPr>
      </w:pPr>
      <w:r w:rsidRPr="00F13C9F">
        <w:rPr>
          <w:sz w:val="20"/>
          <w:szCs w:val="20"/>
          <w:vertAlign w:val="superscript"/>
        </w:rPr>
        <w:footnoteRef/>
      </w:r>
      <w:r w:rsidRPr="00F13C9F">
        <w:rPr>
          <w:sz w:val="20"/>
          <w:szCs w:val="20"/>
        </w:rPr>
        <w:t xml:space="preserve"> </w:t>
      </w:r>
      <w:r w:rsidRPr="00F865C3">
        <w:rPr>
          <w:color w:val="000000" w:themeColor="text1"/>
          <w:sz w:val="20"/>
          <w:szCs w:val="20"/>
        </w:rPr>
        <w:t xml:space="preserve">Climate Change Committee </w:t>
      </w:r>
      <w:r w:rsidR="006E61E5">
        <w:rPr>
          <w:color w:val="000000" w:themeColor="text1"/>
          <w:sz w:val="20"/>
          <w:szCs w:val="20"/>
        </w:rPr>
        <w:t>(</w:t>
      </w:r>
      <w:r w:rsidRPr="00F865C3">
        <w:rPr>
          <w:color w:val="000000" w:themeColor="text1"/>
          <w:sz w:val="20"/>
          <w:szCs w:val="20"/>
        </w:rPr>
        <w:t>2022</w:t>
      </w:r>
      <w:r w:rsidR="006E61E5">
        <w:rPr>
          <w:color w:val="000000" w:themeColor="text1"/>
          <w:sz w:val="20"/>
          <w:szCs w:val="20"/>
        </w:rPr>
        <w:t>)</w:t>
      </w:r>
      <w:r w:rsidRPr="00F865C3">
        <w:rPr>
          <w:color w:val="000000" w:themeColor="text1"/>
          <w:sz w:val="20"/>
          <w:szCs w:val="20"/>
        </w:rPr>
        <w:t xml:space="preserve"> </w:t>
      </w:r>
      <w:r w:rsidRPr="00F865C3">
        <w:rPr>
          <w:i/>
          <w:color w:val="000000" w:themeColor="text1"/>
          <w:sz w:val="20"/>
          <w:szCs w:val="20"/>
        </w:rPr>
        <w:t xml:space="preserve">2022 Progress Report to Parliament, </w:t>
      </w:r>
      <w:r w:rsidRPr="00F865C3">
        <w:rPr>
          <w:color w:val="000000" w:themeColor="text1"/>
          <w:sz w:val="20"/>
          <w:szCs w:val="20"/>
        </w:rPr>
        <w:t>Climate Change Committee</w:t>
      </w:r>
      <w:r w:rsidR="00C34077">
        <w:rPr>
          <w:color w:val="000000" w:themeColor="text1"/>
          <w:sz w:val="20"/>
          <w:szCs w:val="20"/>
        </w:rPr>
        <w:t>.</w:t>
      </w:r>
      <w:r w:rsidRPr="00F865C3">
        <w:rPr>
          <w:color w:val="000000" w:themeColor="text1"/>
          <w:sz w:val="20"/>
          <w:szCs w:val="20"/>
        </w:rPr>
        <w:t xml:space="preserve"> </w:t>
      </w:r>
    </w:p>
  </w:footnote>
  <w:footnote w:id="3">
    <w:p w14:paraId="3FDDC851" w14:textId="5E02E75D" w:rsidR="004D5979" w:rsidRPr="00F865C3" w:rsidRDefault="004D5979" w:rsidP="004D5979">
      <w:pPr>
        <w:spacing w:line="240" w:lineRule="auto"/>
        <w:rPr>
          <w:color w:val="000000" w:themeColor="text1"/>
          <w:sz w:val="20"/>
          <w:szCs w:val="20"/>
        </w:rPr>
      </w:pPr>
      <w:r w:rsidRPr="00F865C3">
        <w:rPr>
          <w:color w:val="000000" w:themeColor="text1"/>
          <w:sz w:val="20"/>
          <w:szCs w:val="20"/>
          <w:vertAlign w:val="superscript"/>
        </w:rPr>
        <w:footnoteRef/>
      </w:r>
      <w:r w:rsidRPr="00F865C3">
        <w:rPr>
          <w:color w:val="000000" w:themeColor="text1"/>
          <w:sz w:val="20"/>
          <w:szCs w:val="20"/>
        </w:rPr>
        <w:t xml:space="preserve"> Innovate UK </w:t>
      </w:r>
      <w:r w:rsidR="006E61E5">
        <w:rPr>
          <w:color w:val="000000" w:themeColor="text1"/>
          <w:sz w:val="20"/>
          <w:szCs w:val="20"/>
        </w:rPr>
        <w:t>(</w:t>
      </w:r>
      <w:r w:rsidRPr="00F865C3">
        <w:rPr>
          <w:color w:val="000000" w:themeColor="text1"/>
          <w:sz w:val="20"/>
          <w:szCs w:val="20"/>
        </w:rPr>
        <w:t>2022</w:t>
      </w:r>
      <w:r w:rsidR="006E61E5">
        <w:rPr>
          <w:color w:val="000000" w:themeColor="text1"/>
          <w:sz w:val="20"/>
          <w:szCs w:val="20"/>
        </w:rPr>
        <w:t>)</w:t>
      </w:r>
      <w:r w:rsidRPr="00F865C3">
        <w:rPr>
          <w:color w:val="000000" w:themeColor="text1"/>
          <w:sz w:val="20"/>
          <w:szCs w:val="20"/>
        </w:rPr>
        <w:t xml:space="preserve"> </w:t>
      </w:r>
      <w:r w:rsidRPr="00F865C3">
        <w:rPr>
          <w:i/>
          <w:color w:val="000000" w:themeColor="text1"/>
          <w:sz w:val="20"/>
          <w:szCs w:val="20"/>
        </w:rPr>
        <w:t xml:space="preserve">Accelerating Net Zero Delivery: Unlocking the benefits of climate action in UK city-regions, </w:t>
      </w:r>
      <w:r w:rsidRPr="00F865C3">
        <w:rPr>
          <w:color w:val="000000" w:themeColor="text1"/>
          <w:sz w:val="20"/>
          <w:szCs w:val="20"/>
        </w:rPr>
        <w:t>Innovate UK</w:t>
      </w:r>
      <w:r w:rsidR="00C34077">
        <w:rPr>
          <w:color w:val="000000" w:themeColor="text1"/>
          <w:sz w:val="20"/>
          <w:szCs w:val="20"/>
        </w:rPr>
        <w:t>.</w:t>
      </w:r>
    </w:p>
  </w:footnote>
  <w:footnote w:id="4">
    <w:p w14:paraId="3A5AB274" w14:textId="2A20D22F" w:rsidR="004D5979" w:rsidRPr="00F865C3" w:rsidRDefault="004D5979" w:rsidP="004D5979">
      <w:pPr>
        <w:spacing w:line="240" w:lineRule="auto"/>
        <w:rPr>
          <w:color w:val="000000" w:themeColor="text1"/>
          <w:sz w:val="20"/>
          <w:szCs w:val="20"/>
        </w:rPr>
      </w:pPr>
      <w:r w:rsidRPr="00F865C3">
        <w:rPr>
          <w:color w:val="000000" w:themeColor="text1"/>
          <w:sz w:val="20"/>
          <w:szCs w:val="20"/>
          <w:vertAlign w:val="superscript"/>
        </w:rPr>
        <w:footnoteRef/>
      </w:r>
      <w:r w:rsidRPr="00F865C3">
        <w:rPr>
          <w:color w:val="000000" w:themeColor="text1"/>
          <w:sz w:val="20"/>
          <w:szCs w:val="20"/>
        </w:rPr>
        <w:t xml:space="preserve"> Climate Change Committee </w:t>
      </w:r>
      <w:r w:rsidR="006E61E5">
        <w:rPr>
          <w:color w:val="000000" w:themeColor="text1"/>
          <w:sz w:val="20"/>
          <w:szCs w:val="20"/>
        </w:rPr>
        <w:t>(</w:t>
      </w:r>
      <w:r w:rsidRPr="00F865C3">
        <w:rPr>
          <w:color w:val="000000" w:themeColor="text1"/>
          <w:sz w:val="20"/>
          <w:szCs w:val="20"/>
        </w:rPr>
        <w:t>2020</w:t>
      </w:r>
      <w:r w:rsidR="006E61E5">
        <w:rPr>
          <w:color w:val="000000" w:themeColor="text1"/>
          <w:sz w:val="20"/>
          <w:szCs w:val="20"/>
        </w:rPr>
        <w:t>)</w:t>
      </w:r>
      <w:r w:rsidRPr="00F865C3">
        <w:rPr>
          <w:color w:val="000000" w:themeColor="text1"/>
          <w:sz w:val="20"/>
          <w:szCs w:val="20"/>
        </w:rPr>
        <w:t xml:space="preserve"> </w:t>
      </w:r>
      <w:r w:rsidRPr="00F865C3">
        <w:rPr>
          <w:i/>
          <w:color w:val="000000" w:themeColor="text1"/>
          <w:sz w:val="20"/>
          <w:szCs w:val="20"/>
        </w:rPr>
        <w:t xml:space="preserve">Local Authorities and the Sixth Carbon Budget, </w:t>
      </w:r>
      <w:r w:rsidRPr="00F865C3">
        <w:rPr>
          <w:color w:val="000000" w:themeColor="text1"/>
          <w:sz w:val="20"/>
          <w:szCs w:val="20"/>
        </w:rPr>
        <w:t>Climate Change Committee</w:t>
      </w:r>
      <w:r w:rsidR="00C34077">
        <w:rPr>
          <w:color w:val="000000" w:themeColor="text1"/>
          <w:sz w:val="20"/>
          <w:szCs w:val="20"/>
        </w:rPr>
        <w:t>.</w:t>
      </w:r>
    </w:p>
  </w:footnote>
  <w:footnote w:id="5">
    <w:p w14:paraId="0E765B37" w14:textId="50EFEA3B" w:rsidR="004D5979" w:rsidRPr="00F865C3" w:rsidRDefault="004D5979" w:rsidP="004D5979">
      <w:pPr>
        <w:spacing w:line="240" w:lineRule="auto"/>
        <w:rPr>
          <w:color w:val="000000" w:themeColor="text1"/>
          <w:sz w:val="20"/>
          <w:szCs w:val="20"/>
        </w:rPr>
      </w:pPr>
      <w:r w:rsidRPr="00F865C3">
        <w:rPr>
          <w:color w:val="000000" w:themeColor="text1"/>
          <w:sz w:val="20"/>
          <w:szCs w:val="20"/>
          <w:vertAlign w:val="superscript"/>
        </w:rPr>
        <w:footnoteRef/>
      </w:r>
      <w:r w:rsidRPr="00F865C3">
        <w:rPr>
          <w:color w:val="000000" w:themeColor="text1"/>
          <w:sz w:val="20"/>
          <w:szCs w:val="20"/>
        </w:rPr>
        <w:t xml:space="preserve"> HM Government</w:t>
      </w:r>
      <w:r w:rsidR="006E61E5">
        <w:rPr>
          <w:color w:val="000000" w:themeColor="text1"/>
          <w:sz w:val="20"/>
          <w:szCs w:val="20"/>
        </w:rPr>
        <w:t xml:space="preserve"> </w:t>
      </w:r>
      <w:r w:rsidRPr="00F865C3">
        <w:rPr>
          <w:color w:val="000000" w:themeColor="text1"/>
          <w:sz w:val="20"/>
          <w:szCs w:val="20"/>
        </w:rPr>
        <w:t>(2023) Powering Up Britain - The Net Zero Growth Plan, Open Government License, p109.</w:t>
      </w:r>
    </w:p>
  </w:footnote>
  <w:footnote w:id="6">
    <w:p w14:paraId="6D95FAC2" w14:textId="4972F984" w:rsidR="004D5979" w:rsidRPr="00F13C9F" w:rsidRDefault="004D5979" w:rsidP="004D5979">
      <w:pPr>
        <w:spacing w:line="240" w:lineRule="auto"/>
        <w:rPr>
          <w:sz w:val="20"/>
          <w:szCs w:val="20"/>
        </w:rPr>
      </w:pPr>
      <w:r w:rsidRPr="00F865C3">
        <w:rPr>
          <w:rStyle w:val="FootnoteReference"/>
          <w:color w:val="000000" w:themeColor="text1"/>
          <w:sz w:val="20"/>
          <w:szCs w:val="20"/>
        </w:rPr>
        <w:footnoteRef/>
      </w:r>
      <w:r w:rsidRPr="00F865C3">
        <w:rPr>
          <w:color w:val="000000" w:themeColor="text1"/>
          <w:sz w:val="20"/>
          <w:szCs w:val="20"/>
        </w:rPr>
        <w:t xml:space="preserve"> de Moor, J., Catney, P. &amp; Doherty, B. (2021) What hampers ‘political’ action in environmental alternative action organizations? Exploring the scope for strategic agency under post-political conditions, </w:t>
      </w:r>
      <w:r w:rsidRPr="00F865C3">
        <w:rPr>
          <w:i/>
          <w:iCs/>
          <w:color w:val="000000" w:themeColor="text1"/>
          <w:sz w:val="20"/>
          <w:szCs w:val="20"/>
        </w:rPr>
        <w:t>Social Movement Studies</w:t>
      </w:r>
      <w:r w:rsidRPr="00F865C3">
        <w:rPr>
          <w:color w:val="000000" w:themeColor="text1"/>
          <w:sz w:val="20"/>
          <w:szCs w:val="20"/>
        </w:rPr>
        <w:t>, 20(3), 312-328. See also: Catney, P. and Doyle, T. (2011) Challenges to the State</w:t>
      </w:r>
      <w:r w:rsidR="00413BF1">
        <w:rPr>
          <w:color w:val="000000" w:themeColor="text1"/>
          <w:sz w:val="20"/>
          <w:szCs w:val="20"/>
        </w:rPr>
        <w:t>. I</w:t>
      </w:r>
      <w:r w:rsidRPr="00F865C3">
        <w:rPr>
          <w:color w:val="000000" w:themeColor="text1"/>
          <w:sz w:val="20"/>
          <w:szCs w:val="20"/>
        </w:rPr>
        <w:t>n Fitzpatrick, T. (ed.) Understanding the Environment and Social Policy, pp.91-109 Bristol: Policy Press.</w:t>
      </w:r>
    </w:p>
  </w:footnote>
  <w:footnote w:id="7">
    <w:p w14:paraId="000000F4" w14:textId="1EF9BE97"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HM Government, </w:t>
      </w:r>
      <w:r w:rsidR="006E61E5" w:rsidRPr="00C34077">
        <w:rPr>
          <w:sz w:val="20"/>
          <w:szCs w:val="20"/>
        </w:rPr>
        <w:t>(</w:t>
      </w:r>
      <w:r w:rsidRPr="00C34077">
        <w:rPr>
          <w:sz w:val="20"/>
          <w:szCs w:val="20"/>
        </w:rPr>
        <w:t>2019</w:t>
      </w:r>
      <w:r w:rsidR="006E61E5" w:rsidRPr="00C34077">
        <w:rPr>
          <w:sz w:val="20"/>
          <w:szCs w:val="20"/>
        </w:rPr>
        <w:t>)</w:t>
      </w:r>
      <w:r w:rsidRPr="00C34077">
        <w:rPr>
          <w:sz w:val="20"/>
          <w:szCs w:val="20"/>
        </w:rPr>
        <w:t xml:space="preserve"> </w:t>
      </w:r>
      <w:r w:rsidRPr="00C34077">
        <w:rPr>
          <w:i/>
          <w:sz w:val="20"/>
          <w:szCs w:val="20"/>
        </w:rPr>
        <w:t xml:space="preserve">Climate Change Act 2008 (2050 Amendment), </w:t>
      </w:r>
      <w:r w:rsidRPr="00C34077">
        <w:rPr>
          <w:sz w:val="20"/>
          <w:szCs w:val="20"/>
        </w:rPr>
        <w:t>HM Government</w:t>
      </w:r>
    </w:p>
  </w:footnote>
  <w:footnote w:id="8">
    <w:p w14:paraId="000000F5" w14:textId="77777777"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w:t>
      </w:r>
      <w:hyperlink r:id="rId1">
        <w:r w:rsidRPr="00C34077">
          <w:rPr>
            <w:color w:val="1155CC"/>
            <w:sz w:val="20"/>
            <w:szCs w:val="20"/>
            <w:u w:val="single"/>
          </w:rPr>
          <w:t>https://www.judiciary.uk/wp-content/uploads/2022/07/FoE-v-BEIS-judgment-180722.pdf</w:t>
        </w:r>
      </w:hyperlink>
      <w:r w:rsidRPr="00C34077">
        <w:rPr>
          <w:sz w:val="20"/>
          <w:szCs w:val="20"/>
        </w:rPr>
        <w:t xml:space="preserve"> </w:t>
      </w:r>
    </w:p>
  </w:footnote>
  <w:footnote w:id="9">
    <w:p w14:paraId="654DF6BA" w14:textId="02EA1B5C" w:rsidR="000C6E91" w:rsidRPr="00C34077" w:rsidRDefault="000C6E91" w:rsidP="000C6E91">
      <w:pPr>
        <w:spacing w:line="240" w:lineRule="auto"/>
        <w:rPr>
          <w:sz w:val="20"/>
          <w:szCs w:val="20"/>
        </w:rPr>
      </w:pPr>
      <w:r w:rsidRPr="00C34077">
        <w:rPr>
          <w:sz w:val="20"/>
          <w:szCs w:val="20"/>
          <w:vertAlign w:val="superscript"/>
        </w:rPr>
        <w:footnoteRef/>
      </w:r>
      <w:r w:rsidRPr="00C34077">
        <w:rPr>
          <w:sz w:val="20"/>
          <w:szCs w:val="20"/>
        </w:rPr>
        <w:t xml:space="preserve"> Department for Energy Security and Net Zero</w:t>
      </w:r>
      <w:r w:rsidR="006E61E5" w:rsidRPr="00C34077">
        <w:rPr>
          <w:sz w:val="20"/>
          <w:szCs w:val="20"/>
        </w:rPr>
        <w:t xml:space="preserve"> (</w:t>
      </w:r>
      <w:r w:rsidRPr="00C34077">
        <w:rPr>
          <w:sz w:val="20"/>
          <w:szCs w:val="20"/>
        </w:rPr>
        <w:t>2023</w:t>
      </w:r>
      <w:r w:rsidR="006E61E5" w:rsidRPr="00C34077">
        <w:rPr>
          <w:sz w:val="20"/>
          <w:szCs w:val="20"/>
        </w:rPr>
        <w:t>)</w:t>
      </w:r>
      <w:r w:rsidRPr="00C34077">
        <w:rPr>
          <w:sz w:val="20"/>
          <w:szCs w:val="20"/>
        </w:rPr>
        <w:t xml:space="preserve"> 2022 UK Greenhouse Gas Emissions, Office for National Statistics, p18.</w:t>
      </w:r>
    </w:p>
  </w:footnote>
  <w:footnote w:id="10">
    <w:p w14:paraId="000000F6" w14:textId="77777777"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IPCC, 2018, </w:t>
      </w:r>
      <w:r w:rsidRPr="00C34077">
        <w:rPr>
          <w:i/>
          <w:sz w:val="20"/>
          <w:szCs w:val="20"/>
        </w:rPr>
        <w:t xml:space="preserve">Summary for Policymakers, </w:t>
      </w:r>
      <w:r w:rsidRPr="00C34077">
        <w:rPr>
          <w:sz w:val="20"/>
          <w:szCs w:val="20"/>
        </w:rPr>
        <w:t>In: Global Warming of 1.5C</w:t>
      </w:r>
    </w:p>
  </w:footnote>
  <w:footnote w:id="11">
    <w:p w14:paraId="000000F7" w14:textId="6A2837E4"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w:t>
      </w:r>
      <w:r w:rsidRPr="00C34077">
        <w:rPr>
          <w:color w:val="222222"/>
          <w:sz w:val="20"/>
          <w:szCs w:val="20"/>
          <w:highlight w:val="white"/>
        </w:rPr>
        <w:t xml:space="preserve">Leck, H., &amp; Simon, D. (2013) Fostering </w:t>
      </w:r>
      <w:proofErr w:type="spellStart"/>
      <w:r w:rsidRPr="00C34077">
        <w:rPr>
          <w:color w:val="222222"/>
          <w:sz w:val="20"/>
          <w:szCs w:val="20"/>
          <w:highlight w:val="white"/>
        </w:rPr>
        <w:t>multiscalar</w:t>
      </w:r>
      <w:proofErr w:type="spellEnd"/>
      <w:r w:rsidRPr="00C34077">
        <w:rPr>
          <w:color w:val="222222"/>
          <w:sz w:val="20"/>
          <w:szCs w:val="20"/>
          <w:highlight w:val="white"/>
        </w:rPr>
        <w:t xml:space="preserve"> collaboration and co-operation for effective governance of climate change adaptation. </w:t>
      </w:r>
      <w:r w:rsidRPr="00C34077">
        <w:rPr>
          <w:i/>
          <w:color w:val="222222"/>
          <w:sz w:val="20"/>
          <w:szCs w:val="20"/>
          <w:highlight w:val="white"/>
        </w:rPr>
        <w:t>Urban Studies</w:t>
      </w:r>
      <w:r w:rsidRPr="00C34077">
        <w:rPr>
          <w:color w:val="222222"/>
          <w:sz w:val="20"/>
          <w:szCs w:val="20"/>
          <w:highlight w:val="white"/>
        </w:rPr>
        <w:t xml:space="preserve">, </w:t>
      </w:r>
      <w:r w:rsidRPr="00C34077">
        <w:rPr>
          <w:i/>
          <w:color w:val="222222"/>
          <w:sz w:val="20"/>
          <w:szCs w:val="20"/>
          <w:highlight w:val="white"/>
        </w:rPr>
        <w:t>50</w:t>
      </w:r>
      <w:r w:rsidRPr="00C34077">
        <w:rPr>
          <w:color w:val="222222"/>
          <w:sz w:val="20"/>
          <w:szCs w:val="20"/>
          <w:highlight w:val="white"/>
        </w:rPr>
        <w:t>(6), 1221-1238.</w:t>
      </w:r>
    </w:p>
  </w:footnote>
  <w:footnote w:id="12">
    <w:p w14:paraId="000000F8" w14:textId="23F50AC3"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Climate Change Committee </w:t>
      </w:r>
      <w:r w:rsidR="006E61E5" w:rsidRPr="00C34077">
        <w:rPr>
          <w:sz w:val="20"/>
          <w:szCs w:val="20"/>
        </w:rPr>
        <w:t>(</w:t>
      </w:r>
      <w:r w:rsidRPr="00C34077">
        <w:rPr>
          <w:sz w:val="20"/>
          <w:szCs w:val="20"/>
        </w:rPr>
        <w:t>2020</w:t>
      </w:r>
      <w:r w:rsidR="006E61E5" w:rsidRPr="00C34077">
        <w:rPr>
          <w:sz w:val="20"/>
          <w:szCs w:val="20"/>
        </w:rPr>
        <w:t>)</w:t>
      </w:r>
      <w:r w:rsidRPr="00C34077">
        <w:rPr>
          <w:sz w:val="20"/>
          <w:szCs w:val="20"/>
        </w:rPr>
        <w:t xml:space="preserve"> </w:t>
      </w:r>
      <w:r w:rsidRPr="00C34077">
        <w:rPr>
          <w:i/>
          <w:sz w:val="20"/>
          <w:szCs w:val="20"/>
        </w:rPr>
        <w:t xml:space="preserve">Local Authorities and the Sixth Carbon Budget, </w:t>
      </w:r>
      <w:r w:rsidRPr="00C34077">
        <w:rPr>
          <w:sz w:val="20"/>
          <w:szCs w:val="20"/>
        </w:rPr>
        <w:t>Climate Change Committee</w:t>
      </w:r>
    </w:p>
  </w:footnote>
  <w:footnote w:id="13">
    <w:p w14:paraId="5BB25DBE" w14:textId="3CF56DFF" w:rsidR="006E61E5" w:rsidRPr="00C34077" w:rsidRDefault="006E61E5">
      <w:pPr>
        <w:pStyle w:val="FootnoteText"/>
      </w:pPr>
      <w:r w:rsidRPr="00C34077">
        <w:rPr>
          <w:rStyle w:val="FootnoteReference"/>
        </w:rPr>
        <w:footnoteRef/>
      </w:r>
      <w:r w:rsidRPr="00C34077">
        <w:t xml:space="preserve"> Ostrom, E (2012) Nested externalities and polycentric institutions: must we wait for global solutions to climate change before taking actions at other scales? </w:t>
      </w:r>
      <w:r w:rsidRPr="00C34077">
        <w:rPr>
          <w:i/>
          <w:iCs/>
        </w:rPr>
        <w:t>Economic Theory</w:t>
      </w:r>
      <w:r w:rsidRPr="00C34077">
        <w:t>, 49, 353–369</w:t>
      </w:r>
    </w:p>
  </w:footnote>
  <w:footnote w:id="14">
    <w:p w14:paraId="2C15F90C" w14:textId="5B8F78F9" w:rsidR="00103732" w:rsidRPr="00FC6E46" w:rsidRDefault="00103732" w:rsidP="00103732">
      <w:pPr>
        <w:spacing w:line="240" w:lineRule="auto"/>
        <w:rPr>
          <w:color w:val="000000" w:themeColor="text1"/>
          <w:sz w:val="20"/>
          <w:szCs w:val="20"/>
        </w:rPr>
      </w:pPr>
      <w:r w:rsidRPr="00C34077">
        <w:rPr>
          <w:color w:val="000000" w:themeColor="text1"/>
          <w:sz w:val="20"/>
          <w:szCs w:val="20"/>
          <w:vertAlign w:val="superscript"/>
        </w:rPr>
        <w:footnoteRef/>
      </w:r>
      <w:r w:rsidRPr="00C34077">
        <w:rPr>
          <w:color w:val="000000" w:themeColor="text1"/>
          <w:sz w:val="20"/>
          <w:szCs w:val="20"/>
        </w:rPr>
        <w:t xml:space="preserve"> Copus, C., Roberts, M and Wall, R. (2017) </w:t>
      </w:r>
      <w:r w:rsidRPr="00C34077">
        <w:rPr>
          <w:i/>
          <w:color w:val="000000" w:themeColor="text1"/>
          <w:sz w:val="20"/>
          <w:szCs w:val="20"/>
        </w:rPr>
        <w:t>Local Government in England: Centralisation, Autonomy and Control</w:t>
      </w:r>
      <w:r w:rsidRPr="00C34077">
        <w:rPr>
          <w:color w:val="000000" w:themeColor="text1"/>
          <w:sz w:val="20"/>
          <w:szCs w:val="20"/>
        </w:rPr>
        <w:t>. London: Palgrave Macmillan</w:t>
      </w:r>
      <w:r w:rsidR="00C34077" w:rsidRPr="00C34077">
        <w:rPr>
          <w:color w:val="000000" w:themeColor="text1"/>
          <w:sz w:val="20"/>
          <w:szCs w:val="20"/>
        </w:rPr>
        <w:t>.</w:t>
      </w:r>
    </w:p>
  </w:footnote>
  <w:footnote w:id="15">
    <w:p w14:paraId="43A3F984" w14:textId="77777777" w:rsidR="00383859" w:rsidRPr="00C34077" w:rsidRDefault="00383859" w:rsidP="00383859">
      <w:pPr>
        <w:spacing w:line="240" w:lineRule="auto"/>
        <w:rPr>
          <w:sz w:val="20"/>
          <w:szCs w:val="20"/>
        </w:rPr>
      </w:pPr>
      <w:r>
        <w:rPr>
          <w:vertAlign w:val="superscript"/>
        </w:rPr>
        <w:footnoteRef/>
      </w:r>
      <w:r>
        <w:rPr>
          <w:sz w:val="20"/>
          <w:szCs w:val="20"/>
        </w:rPr>
        <w:t xml:space="preserve"> </w:t>
      </w:r>
      <w:r w:rsidRPr="00C34077">
        <w:rPr>
          <w:sz w:val="20"/>
          <w:szCs w:val="20"/>
        </w:rPr>
        <w:t xml:space="preserve">Climate Change Committee (2022), </w:t>
      </w:r>
      <w:r w:rsidRPr="00C34077">
        <w:rPr>
          <w:i/>
          <w:sz w:val="20"/>
          <w:szCs w:val="20"/>
        </w:rPr>
        <w:t xml:space="preserve">2022 Progress Report to Parliament, </w:t>
      </w:r>
      <w:r w:rsidRPr="00C34077">
        <w:rPr>
          <w:sz w:val="20"/>
          <w:szCs w:val="20"/>
        </w:rPr>
        <w:t xml:space="preserve">Climate Change Committee </w:t>
      </w:r>
    </w:p>
  </w:footnote>
  <w:footnote w:id="16">
    <w:p w14:paraId="04A80A82" w14:textId="77777777" w:rsidR="00383859" w:rsidRPr="00C34077" w:rsidRDefault="00383859" w:rsidP="00383859">
      <w:pPr>
        <w:spacing w:line="240" w:lineRule="auto"/>
        <w:rPr>
          <w:sz w:val="20"/>
          <w:szCs w:val="20"/>
          <w:vertAlign w:val="subscript"/>
        </w:rPr>
      </w:pPr>
      <w:r w:rsidRPr="00C34077">
        <w:rPr>
          <w:sz w:val="20"/>
          <w:szCs w:val="20"/>
          <w:vertAlign w:val="superscript"/>
        </w:rPr>
        <w:footnoteRef/>
      </w:r>
      <w:r w:rsidRPr="00C34077">
        <w:rPr>
          <w:sz w:val="20"/>
          <w:szCs w:val="20"/>
          <w:vertAlign w:val="subscript"/>
        </w:rPr>
        <w:t xml:space="preserve"> </w:t>
      </w:r>
      <w:r w:rsidRPr="00C34077">
        <w:rPr>
          <w:sz w:val="20"/>
          <w:szCs w:val="20"/>
        </w:rPr>
        <w:t xml:space="preserve">Skidmore (2023) </w:t>
      </w:r>
      <w:r w:rsidRPr="00C34077">
        <w:rPr>
          <w:i/>
          <w:sz w:val="20"/>
          <w:szCs w:val="20"/>
        </w:rPr>
        <w:t>Mission Zero</w:t>
      </w:r>
      <w:r w:rsidRPr="00C34077">
        <w:rPr>
          <w:sz w:val="20"/>
          <w:szCs w:val="20"/>
        </w:rPr>
        <w:t>, HM Government</w:t>
      </w:r>
    </w:p>
  </w:footnote>
  <w:footnote w:id="17">
    <w:p w14:paraId="3DA7D0A1" w14:textId="77777777" w:rsidR="00383859" w:rsidRPr="00C34077" w:rsidRDefault="00383859" w:rsidP="00383859">
      <w:pPr>
        <w:spacing w:line="240" w:lineRule="auto"/>
        <w:rPr>
          <w:sz w:val="20"/>
          <w:szCs w:val="20"/>
          <w:vertAlign w:val="subscript"/>
        </w:rPr>
      </w:pPr>
      <w:r w:rsidRPr="00C34077">
        <w:rPr>
          <w:sz w:val="20"/>
          <w:szCs w:val="20"/>
          <w:vertAlign w:val="superscript"/>
        </w:rPr>
        <w:footnoteRef/>
      </w:r>
      <w:r w:rsidRPr="00C34077">
        <w:rPr>
          <w:sz w:val="20"/>
          <w:szCs w:val="20"/>
          <w:vertAlign w:val="subscript"/>
        </w:rPr>
        <w:t xml:space="preserve"> </w:t>
      </w:r>
      <w:r w:rsidRPr="00C34077">
        <w:rPr>
          <w:sz w:val="20"/>
          <w:szCs w:val="20"/>
        </w:rPr>
        <w:t xml:space="preserve">Climate Change Committee (2020) </w:t>
      </w:r>
      <w:r w:rsidRPr="00C34077">
        <w:rPr>
          <w:i/>
          <w:sz w:val="20"/>
          <w:szCs w:val="20"/>
        </w:rPr>
        <w:t xml:space="preserve">Local Authorities and the Sixth Carbon Budget, </w:t>
      </w:r>
      <w:r w:rsidRPr="00C34077">
        <w:rPr>
          <w:sz w:val="20"/>
          <w:szCs w:val="20"/>
        </w:rPr>
        <w:t>Climate Change Committee</w:t>
      </w:r>
    </w:p>
  </w:footnote>
  <w:footnote w:id="18">
    <w:p w14:paraId="59C10667" w14:textId="77777777" w:rsidR="00400F26" w:rsidRPr="00C34077" w:rsidRDefault="00400F26" w:rsidP="00400F26">
      <w:pPr>
        <w:spacing w:line="240" w:lineRule="auto"/>
        <w:rPr>
          <w:color w:val="000000" w:themeColor="text1"/>
          <w:sz w:val="20"/>
          <w:szCs w:val="20"/>
        </w:rPr>
      </w:pPr>
      <w:r w:rsidRPr="00C34077">
        <w:rPr>
          <w:color w:val="000000" w:themeColor="text1"/>
          <w:sz w:val="20"/>
          <w:szCs w:val="20"/>
          <w:vertAlign w:val="superscript"/>
        </w:rPr>
        <w:footnoteRef/>
      </w:r>
      <w:r w:rsidRPr="00C34077">
        <w:rPr>
          <w:color w:val="000000" w:themeColor="text1"/>
          <w:sz w:val="20"/>
          <w:szCs w:val="20"/>
        </w:rPr>
        <w:t xml:space="preserve"> Institute for Government (2023) </w:t>
      </w:r>
      <w:r w:rsidRPr="00C34077">
        <w:rPr>
          <w:i/>
          <w:color w:val="000000" w:themeColor="text1"/>
          <w:sz w:val="20"/>
          <w:szCs w:val="20"/>
        </w:rPr>
        <w:t xml:space="preserve">English Devolution, </w:t>
      </w:r>
      <w:r w:rsidRPr="00C34077">
        <w:rPr>
          <w:color w:val="000000" w:themeColor="text1"/>
          <w:sz w:val="20"/>
          <w:szCs w:val="20"/>
        </w:rPr>
        <w:t xml:space="preserve">Accessed on </w:t>
      </w:r>
      <w:proofErr w:type="gramStart"/>
      <w:r w:rsidRPr="00C34077">
        <w:rPr>
          <w:color w:val="000000" w:themeColor="text1"/>
          <w:sz w:val="20"/>
          <w:szCs w:val="20"/>
        </w:rPr>
        <w:t>12/03/2023</w:t>
      </w:r>
      <w:proofErr w:type="gramEnd"/>
    </w:p>
  </w:footnote>
  <w:footnote w:id="19">
    <w:p w14:paraId="0F3C3ABE" w14:textId="77777777" w:rsidR="007C3962" w:rsidRPr="00C34077" w:rsidRDefault="007C3962" w:rsidP="007C3962">
      <w:pPr>
        <w:spacing w:line="240" w:lineRule="auto"/>
        <w:rPr>
          <w:color w:val="000000" w:themeColor="text1"/>
          <w:sz w:val="20"/>
          <w:szCs w:val="20"/>
        </w:rPr>
      </w:pPr>
      <w:r w:rsidRPr="00C34077">
        <w:rPr>
          <w:color w:val="000000" w:themeColor="text1"/>
          <w:sz w:val="20"/>
          <w:szCs w:val="20"/>
          <w:vertAlign w:val="superscript"/>
        </w:rPr>
        <w:footnoteRef/>
      </w:r>
      <w:r w:rsidRPr="00C34077">
        <w:rPr>
          <w:color w:val="000000" w:themeColor="text1"/>
          <w:sz w:val="20"/>
          <w:szCs w:val="20"/>
        </w:rPr>
        <w:t>Ibid</w:t>
      </w:r>
    </w:p>
  </w:footnote>
  <w:footnote w:id="20">
    <w:p w14:paraId="4EC09AFE" w14:textId="77777777" w:rsidR="007C3962" w:rsidRPr="00C34077" w:rsidRDefault="007C3962" w:rsidP="007C3962">
      <w:pPr>
        <w:spacing w:line="240" w:lineRule="auto"/>
        <w:rPr>
          <w:color w:val="000000" w:themeColor="text1"/>
          <w:sz w:val="20"/>
          <w:szCs w:val="20"/>
        </w:rPr>
      </w:pPr>
      <w:r w:rsidRPr="00C34077">
        <w:rPr>
          <w:color w:val="000000" w:themeColor="text1"/>
          <w:sz w:val="20"/>
          <w:szCs w:val="20"/>
          <w:vertAlign w:val="superscript"/>
        </w:rPr>
        <w:footnoteRef/>
      </w:r>
      <w:r w:rsidRPr="00C34077">
        <w:rPr>
          <w:color w:val="000000" w:themeColor="text1"/>
          <w:sz w:val="20"/>
          <w:szCs w:val="20"/>
        </w:rPr>
        <w:t xml:space="preserve"> </w:t>
      </w:r>
      <w:r w:rsidRPr="00C34077">
        <w:rPr>
          <w:color w:val="000000" w:themeColor="text1"/>
          <w:sz w:val="20"/>
          <w:szCs w:val="20"/>
          <w:highlight w:val="white"/>
        </w:rPr>
        <w:t xml:space="preserve">Catney, P., &amp; Henneberry, J. M. (2016) Public entrepreneurship and the politics of regeneration in multi-level governance. </w:t>
      </w:r>
      <w:r w:rsidRPr="00C34077">
        <w:rPr>
          <w:i/>
          <w:color w:val="000000" w:themeColor="text1"/>
          <w:sz w:val="20"/>
          <w:szCs w:val="20"/>
          <w:highlight w:val="white"/>
        </w:rPr>
        <w:t>Environment and Planning C: Government and Policy</w:t>
      </w:r>
      <w:r w:rsidRPr="00C34077">
        <w:rPr>
          <w:color w:val="000000" w:themeColor="text1"/>
          <w:sz w:val="20"/>
          <w:szCs w:val="20"/>
          <w:highlight w:val="white"/>
        </w:rPr>
        <w:t xml:space="preserve">, </w:t>
      </w:r>
      <w:r w:rsidRPr="00C34077">
        <w:rPr>
          <w:i/>
          <w:color w:val="000000" w:themeColor="text1"/>
          <w:sz w:val="20"/>
          <w:szCs w:val="20"/>
          <w:highlight w:val="white"/>
        </w:rPr>
        <w:t>34</w:t>
      </w:r>
      <w:r w:rsidRPr="00C34077">
        <w:rPr>
          <w:color w:val="000000" w:themeColor="text1"/>
          <w:sz w:val="20"/>
          <w:szCs w:val="20"/>
          <w:highlight w:val="white"/>
        </w:rPr>
        <w:t>(7), 1324-1343.</w:t>
      </w:r>
    </w:p>
  </w:footnote>
  <w:footnote w:id="21">
    <w:p w14:paraId="000000FB" w14:textId="4DAF3940" w:rsidR="006864E3" w:rsidRPr="00C34077" w:rsidRDefault="00BC4AC1">
      <w:pPr>
        <w:spacing w:line="240" w:lineRule="auto"/>
        <w:rPr>
          <w:color w:val="000000" w:themeColor="text1"/>
          <w:sz w:val="20"/>
          <w:szCs w:val="20"/>
        </w:rPr>
      </w:pPr>
      <w:r w:rsidRPr="00C34077">
        <w:rPr>
          <w:color w:val="000000" w:themeColor="text1"/>
          <w:sz w:val="20"/>
          <w:szCs w:val="20"/>
          <w:vertAlign w:val="superscript"/>
        </w:rPr>
        <w:footnoteRef/>
      </w:r>
      <w:r w:rsidRPr="00C34077">
        <w:rPr>
          <w:color w:val="000000" w:themeColor="text1"/>
          <w:sz w:val="20"/>
          <w:szCs w:val="20"/>
        </w:rPr>
        <w:t xml:space="preserve"> </w:t>
      </w:r>
      <w:r w:rsidRPr="00C34077">
        <w:rPr>
          <w:color w:val="000000" w:themeColor="text1"/>
          <w:sz w:val="20"/>
          <w:szCs w:val="20"/>
          <w:highlight w:val="white"/>
        </w:rPr>
        <w:t>Billing, C., McCann, P., &amp; Ortega-</w:t>
      </w:r>
      <w:proofErr w:type="spellStart"/>
      <w:r w:rsidRPr="00C34077">
        <w:rPr>
          <w:color w:val="000000" w:themeColor="text1"/>
          <w:sz w:val="20"/>
          <w:szCs w:val="20"/>
          <w:highlight w:val="white"/>
        </w:rPr>
        <w:t>Argilés</w:t>
      </w:r>
      <w:proofErr w:type="spellEnd"/>
      <w:r w:rsidRPr="00C34077">
        <w:rPr>
          <w:color w:val="000000" w:themeColor="text1"/>
          <w:sz w:val="20"/>
          <w:szCs w:val="20"/>
          <w:highlight w:val="white"/>
        </w:rPr>
        <w:t xml:space="preserve">, R. (2019) Interregional inequalities and UK sub-national governance responses to Brexit. </w:t>
      </w:r>
      <w:r w:rsidRPr="00C34077">
        <w:rPr>
          <w:i/>
          <w:color w:val="000000" w:themeColor="text1"/>
          <w:sz w:val="20"/>
          <w:szCs w:val="20"/>
          <w:highlight w:val="white"/>
        </w:rPr>
        <w:t>Regional Studies</w:t>
      </w:r>
      <w:r w:rsidRPr="00C34077">
        <w:rPr>
          <w:color w:val="000000" w:themeColor="text1"/>
          <w:sz w:val="20"/>
          <w:szCs w:val="20"/>
          <w:highlight w:val="white"/>
        </w:rPr>
        <w:t xml:space="preserve">, </w:t>
      </w:r>
      <w:r w:rsidRPr="00C34077">
        <w:rPr>
          <w:i/>
          <w:color w:val="000000" w:themeColor="text1"/>
          <w:sz w:val="20"/>
          <w:szCs w:val="20"/>
          <w:highlight w:val="white"/>
        </w:rPr>
        <w:t>53</w:t>
      </w:r>
      <w:r w:rsidRPr="00C34077">
        <w:rPr>
          <w:color w:val="000000" w:themeColor="text1"/>
          <w:sz w:val="20"/>
          <w:szCs w:val="20"/>
          <w:highlight w:val="white"/>
        </w:rPr>
        <w:t>(5), 741-760.</w:t>
      </w:r>
    </w:p>
  </w:footnote>
  <w:footnote w:id="22">
    <w:p w14:paraId="2E95B833" w14:textId="77777777" w:rsidR="007C3962" w:rsidRPr="00C34077" w:rsidRDefault="007C3962" w:rsidP="007C3962">
      <w:pPr>
        <w:spacing w:line="240" w:lineRule="auto"/>
        <w:rPr>
          <w:color w:val="000000" w:themeColor="text1"/>
          <w:sz w:val="20"/>
          <w:szCs w:val="20"/>
        </w:rPr>
      </w:pPr>
      <w:r w:rsidRPr="00C34077">
        <w:rPr>
          <w:color w:val="000000" w:themeColor="text1"/>
          <w:sz w:val="20"/>
          <w:szCs w:val="20"/>
          <w:vertAlign w:val="superscript"/>
        </w:rPr>
        <w:footnoteRef/>
      </w:r>
      <w:r w:rsidRPr="00C34077">
        <w:rPr>
          <w:color w:val="000000" w:themeColor="text1"/>
          <w:sz w:val="20"/>
          <w:szCs w:val="20"/>
        </w:rPr>
        <w:t xml:space="preserve"> </w:t>
      </w:r>
      <w:proofErr w:type="spellStart"/>
      <w:r w:rsidRPr="00C34077">
        <w:rPr>
          <w:color w:val="000000" w:themeColor="text1"/>
          <w:sz w:val="20"/>
          <w:szCs w:val="20"/>
          <w:highlight w:val="white"/>
        </w:rPr>
        <w:t>Fransham</w:t>
      </w:r>
      <w:proofErr w:type="spellEnd"/>
      <w:r w:rsidRPr="00C34077">
        <w:rPr>
          <w:color w:val="000000" w:themeColor="text1"/>
          <w:sz w:val="20"/>
          <w:szCs w:val="20"/>
          <w:highlight w:val="white"/>
        </w:rPr>
        <w:t xml:space="preserve">, M., Herbertson, M., Pop, M., Bandeira Morais, M., &amp; Lee, N. (2023) Level best? The levelling up agenda and UK regional inequality. </w:t>
      </w:r>
      <w:r w:rsidRPr="00C34077">
        <w:rPr>
          <w:i/>
          <w:color w:val="000000" w:themeColor="text1"/>
          <w:sz w:val="20"/>
          <w:szCs w:val="20"/>
          <w:highlight w:val="white"/>
        </w:rPr>
        <w:t>Regional Studies</w:t>
      </w:r>
      <w:r w:rsidRPr="00C34077">
        <w:rPr>
          <w:color w:val="000000" w:themeColor="text1"/>
          <w:sz w:val="20"/>
          <w:szCs w:val="20"/>
          <w:highlight w:val="white"/>
        </w:rPr>
        <w:t>, 1-14, p12.</w:t>
      </w:r>
    </w:p>
  </w:footnote>
  <w:footnote w:id="23">
    <w:p w14:paraId="40C8588A" w14:textId="77777777" w:rsidR="007C3962" w:rsidRPr="00C34077" w:rsidRDefault="007C3962" w:rsidP="007C3962">
      <w:pPr>
        <w:spacing w:line="240" w:lineRule="auto"/>
        <w:rPr>
          <w:sz w:val="20"/>
          <w:szCs w:val="20"/>
        </w:rPr>
      </w:pPr>
      <w:r w:rsidRPr="00C34077">
        <w:rPr>
          <w:color w:val="000000" w:themeColor="text1"/>
          <w:sz w:val="20"/>
          <w:szCs w:val="20"/>
          <w:vertAlign w:val="superscript"/>
        </w:rPr>
        <w:footnoteRef/>
      </w:r>
      <w:r w:rsidRPr="00C34077">
        <w:rPr>
          <w:color w:val="000000" w:themeColor="text1"/>
          <w:sz w:val="20"/>
          <w:szCs w:val="20"/>
        </w:rPr>
        <w:t xml:space="preserve"> Ibid </w:t>
      </w:r>
    </w:p>
  </w:footnote>
  <w:footnote w:id="24">
    <w:p w14:paraId="60F98211" w14:textId="77777777" w:rsidR="007C3962" w:rsidRPr="00C34077" w:rsidRDefault="007C3962" w:rsidP="007C3962">
      <w:pPr>
        <w:spacing w:line="240" w:lineRule="auto"/>
        <w:rPr>
          <w:sz w:val="20"/>
          <w:szCs w:val="20"/>
        </w:rPr>
      </w:pPr>
      <w:r w:rsidRPr="00C34077">
        <w:rPr>
          <w:sz w:val="20"/>
          <w:szCs w:val="20"/>
          <w:vertAlign w:val="superscript"/>
        </w:rPr>
        <w:footnoteRef/>
      </w:r>
      <w:r w:rsidRPr="00C34077">
        <w:rPr>
          <w:sz w:val="20"/>
          <w:szCs w:val="20"/>
        </w:rPr>
        <w:t xml:space="preserve"> Street, A. (2023) [Twitter] Available at: </w:t>
      </w:r>
      <w:hyperlink r:id="rId2">
        <w:r w:rsidRPr="00C34077">
          <w:rPr>
            <w:color w:val="1155CC"/>
            <w:sz w:val="20"/>
            <w:szCs w:val="20"/>
            <w:u w:val="single"/>
          </w:rPr>
          <w:t>https://twitter.com/andy4wm/status/1616079092880637952?ref_src=twsrc%5Etfw%7Ctwcamp%5Etweetembed%7Ctwterm%5E1616079092880637952%7Ctwgr%5Ea927a4273800a210a5e8b38e1cbb4da9f217f1aa%7Ctwcon%5Es1_&amp;ref_url=https%3A%2F%2Fwww.huffingtonpost.co.uk%2Fentry%2Ftory-mayor-accuses-government-of-creating-begging-bowl-culture_uk_63c96d79e4b07c0c7dfaa958</w:t>
        </w:r>
      </w:hyperlink>
      <w:r w:rsidRPr="00C34077">
        <w:rPr>
          <w:sz w:val="20"/>
          <w:szCs w:val="20"/>
        </w:rPr>
        <w:t xml:space="preserve"> (Accessed 15 March 2023)</w:t>
      </w:r>
    </w:p>
  </w:footnote>
  <w:footnote w:id="25">
    <w:p w14:paraId="5EFFC182" w14:textId="77777777" w:rsidR="007C3962" w:rsidRPr="00A42D28" w:rsidRDefault="007C3962" w:rsidP="007C3962">
      <w:pPr>
        <w:spacing w:line="240" w:lineRule="auto"/>
        <w:rPr>
          <w:sz w:val="20"/>
          <w:szCs w:val="20"/>
        </w:rPr>
      </w:pPr>
      <w:r w:rsidRPr="00C34077">
        <w:rPr>
          <w:sz w:val="20"/>
          <w:szCs w:val="20"/>
          <w:vertAlign w:val="superscript"/>
        </w:rPr>
        <w:footnoteRef/>
      </w:r>
      <w:r w:rsidRPr="00C34077">
        <w:rPr>
          <w:sz w:val="20"/>
          <w:szCs w:val="20"/>
        </w:rPr>
        <w:t xml:space="preserve"> </w:t>
      </w:r>
      <w:r w:rsidRPr="00A42D28">
        <w:rPr>
          <w:color w:val="222222"/>
          <w:sz w:val="20"/>
          <w:szCs w:val="20"/>
          <w:highlight w:val="white"/>
        </w:rPr>
        <w:t xml:space="preserve">Gudde, P., Oakes, J., Cochrane, P., Caldwell, N., &amp; Bury, N. (2021) The role of UK local government in delivering on net zero carbon commitments: You've declared a Climate Emergency, so what's the </w:t>
      </w:r>
      <w:proofErr w:type="gramStart"/>
      <w:r w:rsidRPr="00A42D28">
        <w:rPr>
          <w:color w:val="222222"/>
          <w:sz w:val="20"/>
          <w:szCs w:val="20"/>
          <w:highlight w:val="white"/>
        </w:rPr>
        <w:t>plan?.</w:t>
      </w:r>
      <w:proofErr w:type="gramEnd"/>
      <w:r w:rsidRPr="00A42D28">
        <w:rPr>
          <w:color w:val="222222"/>
          <w:sz w:val="20"/>
          <w:szCs w:val="20"/>
          <w:highlight w:val="white"/>
        </w:rPr>
        <w:t xml:space="preserve"> </w:t>
      </w:r>
      <w:r w:rsidRPr="00A42D28">
        <w:rPr>
          <w:i/>
          <w:color w:val="222222"/>
          <w:sz w:val="20"/>
          <w:szCs w:val="20"/>
          <w:highlight w:val="white"/>
        </w:rPr>
        <w:t>Energy Policy</w:t>
      </w:r>
      <w:r w:rsidRPr="00A42D28">
        <w:rPr>
          <w:color w:val="222222"/>
          <w:sz w:val="20"/>
          <w:szCs w:val="20"/>
          <w:highlight w:val="white"/>
        </w:rPr>
        <w:t xml:space="preserve">, </w:t>
      </w:r>
      <w:r w:rsidRPr="00A42D28">
        <w:rPr>
          <w:i/>
          <w:color w:val="222222"/>
          <w:sz w:val="20"/>
          <w:szCs w:val="20"/>
          <w:highlight w:val="white"/>
        </w:rPr>
        <w:t>154</w:t>
      </w:r>
      <w:r w:rsidRPr="00A42D28">
        <w:rPr>
          <w:color w:val="222222"/>
          <w:sz w:val="20"/>
          <w:szCs w:val="20"/>
          <w:highlight w:val="white"/>
        </w:rPr>
        <w:t>, 112245.</w:t>
      </w:r>
    </w:p>
  </w:footnote>
  <w:footnote w:id="26">
    <w:p w14:paraId="6CED7B94" w14:textId="77777777" w:rsidR="00D565F9" w:rsidRPr="00A42D28" w:rsidRDefault="00D565F9" w:rsidP="00D565F9">
      <w:pPr>
        <w:spacing w:line="240" w:lineRule="auto"/>
        <w:rPr>
          <w:color w:val="000000" w:themeColor="text1"/>
          <w:sz w:val="20"/>
          <w:szCs w:val="20"/>
        </w:rPr>
      </w:pPr>
      <w:r w:rsidRPr="00A42D28">
        <w:rPr>
          <w:color w:val="000000" w:themeColor="text1"/>
          <w:sz w:val="20"/>
          <w:szCs w:val="20"/>
          <w:vertAlign w:val="superscript"/>
        </w:rPr>
        <w:footnoteRef/>
      </w:r>
      <w:r w:rsidRPr="00A42D28">
        <w:rPr>
          <w:color w:val="000000" w:themeColor="text1"/>
          <w:sz w:val="20"/>
          <w:szCs w:val="20"/>
        </w:rPr>
        <w:t xml:space="preserve"> </w:t>
      </w:r>
      <w:r w:rsidRPr="00A42D28">
        <w:rPr>
          <w:color w:val="000000" w:themeColor="text1"/>
          <w:sz w:val="20"/>
          <w:szCs w:val="20"/>
          <w:highlight w:val="white"/>
        </w:rPr>
        <w:t>Ibid</w:t>
      </w:r>
    </w:p>
  </w:footnote>
  <w:footnote w:id="27">
    <w:p w14:paraId="00000104" w14:textId="78442782"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w:t>
      </w:r>
      <w:r w:rsidRPr="00C34077">
        <w:rPr>
          <w:color w:val="222222"/>
          <w:sz w:val="20"/>
          <w:szCs w:val="20"/>
          <w:highlight w:val="white"/>
        </w:rPr>
        <w:t xml:space="preserve">Devine-Wright, P. (2022) Decarbonisation of industrial clusters: A place-based research agenda. </w:t>
      </w:r>
      <w:r w:rsidRPr="00C34077">
        <w:rPr>
          <w:i/>
          <w:color w:val="222222"/>
          <w:sz w:val="20"/>
          <w:szCs w:val="20"/>
          <w:highlight w:val="white"/>
        </w:rPr>
        <w:t>Energy Research &amp; Social Science</w:t>
      </w:r>
      <w:r w:rsidRPr="00C34077">
        <w:rPr>
          <w:color w:val="222222"/>
          <w:sz w:val="20"/>
          <w:szCs w:val="20"/>
          <w:highlight w:val="white"/>
        </w:rPr>
        <w:t xml:space="preserve">, </w:t>
      </w:r>
      <w:r w:rsidRPr="00C34077">
        <w:rPr>
          <w:i/>
          <w:color w:val="222222"/>
          <w:sz w:val="20"/>
          <w:szCs w:val="20"/>
          <w:highlight w:val="white"/>
        </w:rPr>
        <w:t>91</w:t>
      </w:r>
      <w:r w:rsidRPr="00C34077">
        <w:rPr>
          <w:color w:val="222222"/>
          <w:sz w:val="20"/>
          <w:szCs w:val="20"/>
          <w:highlight w:val="white"/>
        </w:rPr>
        <w:t>, 102725.</w:t>
      </w:r>
    </w:p>
  </w:footnote>
  <w:footnote w:id="28">
    <w:p w14:paraId="2210E479" w14:textId="77777777" w:rsidR="005A2940" w:rsidRDefault="005A2940" w:rsidP="005A2940">
      <w:pPr>
        <w:pStyle w:val="FootnoteText"/>
      </w:pPr>
      <w:r w:rsidRPr="00C34077">
        <w:rPr>
          <w:rStyle w:val="FootnoteReference"/>
        </w:rPr>
        <w:footnoteRef/>
      </w:r>
      <w:r w:rsidRPr="00C34077">
        <w:t xml:space="preserve"> See Catney et al. (2014) Big society, little justice? Community renewable energy and the politics of localism, </w:t>
      </w:r>
      <w:r w:rsidRPr="00C34077">
        <w:rPr>
          <w:i/>
          <w:iCs/>
        </w:rPr>
        <w:t>Local Environment</w:t>
      </w:r>
      <w:r w:rsidRPr="00C34077">
        <w:t xml:space="preserve">, 19:7, 715-730; </w:t>
      </w:r>
      <w:proofErr w:type="spellStart"/>
      <w:r w:rsidRPr="00C34077">
        <w:t>Bouzarovski</w:t>
      </w:r>
      <w:proofErr w:type="spellEnd"/>
      <w:r w:rsidRPr="00C34077">
        <w:t xml:space="preserve">, S &amp; Simcock, N. (2017) Spatializing energy justice. </w:t>
      </w:r>
      <w:r w:rsidRPr="00C34077">
        <w:rPr>
          <w:i/>
          <w:iCs/>
        </w:rPr>
        <w:t>Energy Policy</w:t>
      </w:r>
      <w:r w:rsidRPr="00C34077">
        <w:t xml:space="preserve">, 107, 640-648; Heffron, R.J. &amp; McCauley, D (2017) The concept of energy justice across the disciplines. Energy Policy,105, 658-667; Lacey-Barnacle, M. (2020) Proximities of energy justice: contesting community energy and austerity in England. </w:t>
      </w:r>
      <w:r w:rsidRPr="00C34077">
        <w:rPr>
          <w:i/>
          <w:iCs/>
        </w:rPr>
        <w:t>Energy Research &amp; Social Science</w:t>
      </w:r>
      <w:r w:rsidRPr="00C34077">
        <w:t>,69, 101713.</w:t>
      </w:r>
    </w:p>
  </w:footnote>
  <w:footnote w:id="29">
    <w:p w14:paraId="0E4369F0" w14:textId="1CEFCA9E" w:rsidR="00EC7470" w:rsidRDefault="00EC7470" w:rsidP="00EC7470">
      <w:pPr>
        <w:spacing w:line="240" w:lineRule="auto"/>
        <w:rPr>
          <w:sz w:val="20"/>
          <w:szCs w:val="20"/>
        </w:rPr>
      </w:pPr>
      <w:r>
        <w:rPr>
          <w:vertAlign w:val="superscript"/>
        </w:rPr>
        <w:footnoteRef/>
      </w:r>
      <w:r w:rsidRPr="00C34077">
        <w:rPr>
          <w:color w:val="222222"/>
          <w:sz w:val="20"/>
          <w:szCs w:val="20"/>
          <w:highlight w:val="white"/>
        </w:rPr>
        <w:t>Devine-Wright, P. (2022) Decarbonisation of industrial clusters</w:t>
      </w:r>
    </w:p>
  </w:footnote>
  <w:footnote w:id="30">
    <w:p w14:paraId="6863C670" w14:textId="4B45DF17" w:rsidR="003006FB" w:rsidRDefault="003006FB">
      <w:pPr>
        <w:pStyle w:val="FootnoteText"/>
      </w:pPr>
      <w:r>
        <w:rPr>
          <w:rStyle w:val="FootnoteReference"/>
        </w:rPr>
        <w:footnoteRef/>
      </w:r>
      <w:r>
        <w:t xml:space="preserve"> </w:t>
      </w:r>
      <w:r w:rsidRPr="003006FB">
        <w:t xml:space="preserve">Banerjee, A. &amp; Schuitema, G. (2023) Spatial justice as a prerequisite for a just transition in rural areas? The case study from the Irish peatlands. </w:t>
      </w:r>
      <w:r w:rsidRPr="003006FB">
        <w:rPr>
          <w:i/>
          <w:iCs/>
        </w:rPr>
        <w:t>Environment and Planning C: Politics and Space</w:t>
      </w:r>
      <w:r w:rsidRPr="003006FB">
        <w:t xml:space="preserve">, 0(0). </w:t>
      </w:r>
      <w:hyperlink r:id="rId3" w:history="1">
        <w:r w:rsidRPr="000F73D4">
          <w:rPr>
            <w:rStyle w:val="Hyperlink"/>
          </w:rPr>
          <w:t>https://doi.org/10.1177/23996544231173210</w:t>
        </w:r>
      </w:hyperlink>
      <w:r>
        <w:t xml:space="preserve"> </w:t>
      </w:r>
    </w:p>
  </w:footnote>
  <w:footnote w:id="31">
    <w:p w14:paraId="626CCB37" w14:textId="6E48519B" w:rsidR="00AC4817" w:rsidRPr="009F2F6C" w:rsidRDefault="00AC4817" w:rsidP="003F58E8">
      <w:pPr>
        <w:spacing w:line="240" w:lineRule="auto"/>
        <w:rPr>
          <w:color w:val="000000" w:themeColor="text1"/>
          <w:sz w:val="20"/>
          <w:szCs w:val="20"/>
        </w:rPr>
      </w:pPr>
      <w:r w:rsidRPr="009F2F6C">
        <w:rPr>
          <w:rStyle w:val="FootnoteReference"/>
          <w:color w:val="000000" w:themeColor="text1"/>
          <w:sz w:val="20"/>
          <w:szCs w:val="20"/>
        </w:rPr>
        <w:footnoteRef/>
      </w:r>
      <w:r w:rsidRPr="009F2F6C">
        <w:rPr>
          <w:color w:val="000000" w:themeColor="text1"/>
          <w:sz w:val="20"/>
          <w:szCs w:val="20"/>
        </w:rPr>
        <w:t xml:space="preserve"> Mundaca, L., Busch, H. &amp; Schwer, S. (2018) ‘Successful’ low-carbon energy transitions at the community level? An energy justice perspective. </w:t>
      </w:r>
      <w:r w:rsidRPr="009F2F6C">
        <w:rPr>
          <w:i/>
          <w:iCs/>
          <w:color w:val="000000" w:themeColor="text1"/>
          <w:sz w:val="20"/>
          <w:szCs w:val="20"/>
        </w:rPr>
        <w:t>Applied Energy</w:t>
      </w:r>
      <w:r w:rsidRPr="009F2F6C">
        <w:rPr>
          <w:color w:val="000000" w:themeColor="text1"/>
          <w:sz w:val="20"/>
          <w:szCs w:val="20"/>
        </w:rPr>
        <w:t>, 218, 292-303</w:t>
      </w:r>
      <w:r w:rsidR="003F58E8" w:rsidRPr="009F2F6C">
        <w:rPr>
          <w:color w:val="000000" w:themeColor="text1"/>
          <w:sz w:val="20"/>
          <w:szCs w:val="20"/>
        </w:rPr>
        <w:t xml:space="preserve">; Hanke, F., Guyet, R., &amp; Feenstra, M. (2021) Do renewable energy communities deliver energy justice? Exploring insights from 71 European cases. </w:t>
      </w:r>
      <w:r w:rsidR="003F58E8" w:rsidRPr="009F2F6C">
        <w:rPr>
          <w:i/>
          <w:iCs/>
          <w:color w:val="000000" w:themeColor="text1"/>
          <w:sz w:val="20"/>
          <w:szCs w:val="20"/>
        </w:rPr>
        <w:t>Energy Research &amp; Social Science</w:t>
      </w:r>
      <w:r w:rsidR="003F58E8" w:rsidRPr="009F2F6C">
        <w:rPr>
          <w:color w:val="000000" w:themeColor="text1"/>
          <w:sz w:val="20"/>
          <w:szCs w:val="20"/>
        </w:rPr>
        <w:t>, 80, 102244.</w:t>
      </w:r>
    </w:p>
  </w:footnote>
  <w:footnote w:id="32">
    <w:p w14:paraId="00000106" w14:textId="77777777" w:rsidR="006864E3" w:rsidRPr="009F2F6C" w:rsidRDefault="00BC4AC1">
      <w:pPr>
        <w:spacing w:line="240" w:lineRule="auto"/>
        <w:rPr>
          <w:color w:val="000000" w:themeColor="text1"/>
          <w:sz w:val="20"/>
          <w:szCs w:val="20"/>
        </w:rPr>
      </w:pPr>
      <w:r w:rsidRPr="009F2F6C">
        <w:rPr>
          <w:color w:val="000000" w:themeColor="text1"/>
          <w:sz w:val="20"/>
          <w:szCs w:val="20"/>
          <w:vertAlign w:val="superscript"/>
        </w:rPr>
        <w:footnoteRef/>
      </w:r>
      <w:r w:rsidRPr="009F2F6C">
        <w:rPr>
          <w:color w:val="000000" w:themeColor="text1"/>
          <w:sz w:val="20"/>
          <w:szCs w:val="20"/>
        </w:rPr>
        <w:t>ibid</w:t>
      </w:r>
      <w:r w:rsidRPr="009F2F6C">
        <w:rPr>
          <w:color w:val="000000" w:themeColor="text1"/>
          <w:sz w:val="20"/>
          <w:szCs w:val="20"/>
          <w:highlight w:val="white"/>
        </w:rPr>
        <w:t xml:space="preserve"> </w:t>
      </w:r>
    </w:p>
  </w:footnote>
  <w:footnote w:id="33">
    <w:p w14:paraId="00000107" w14:textId="77777777" w:rsidR="006864E3" w:rsidRPr="009F2F6C" w:rsidRDefault="00BC4AC1">
      <w:pPr>
        <w:spacing w:line="240" w:lineRule="auto"/>
        <w:rPr>
          <w:color w:val="000000" w:themeColor="text1"/>
          <w:sz w:val="20"/>
          <w:szCs w:val="20"/>
        </w:rPr>
      </w:pPr>
      <w:r w:rsidRPr="009F2F6C">
        <w:rPr>
          <w:color w:val="000000" w:themeColor="text1"/>
          <w:sz w:val="20"/>
          <w:szCs w:val="20"/>
          <w:vertAlign w:val="superscript"/>
        </w:rPr>
        <w:footnoteRef/>
      </w:r>
      <w:r w:rsidRPr="009F2F6C">
        <w:rPr>
          <w:color w:val="000000" w:themeColor="text1"/>
          <w:sz w:val="20"/>
          <w:szCs w:val="20"/>
        </w:rPr>
        <w:t xml:space="preserve"> HM Government (2023) Powering Up Britain: The Net Zero Growth Plan. London: HMSO, p.109.</w:t>
      </w:r>
    </w:p>
  </w:footnote>
  <w:footnote w:id="34">
    <w:p w14:paraId="00000108" w14:textId="77777777" w:rsidR="006864E3" w:rsidRPr="009F2F6C" w:rsidRDefault="00BC4AC1">
      <w:pPr>
        <w:spacing w:line="240" w:lineRule="auto"/>
        <w:rPr>
          <w:color w:val="000000" w:themeColor="text1"/>
          <w:sz w:val="20"/>
          <w:szCs w:val="20"/>
          <w:highlight w:val="white"/>
        </w:rPr>
      </w:pPr>
      <w:r w:rsidRPr="009F2F6C">
        <w:rPr>
          <w:color w:val="000000" w:themeColor="text1"/>
          <w:sz w:val="20"/>
          <w:szCs w:val="20"/>
          <w:vertAlign w:val="superscript"/>
        </w:rPr>
        <w:footnoteRef/>
      </w:r>
      <w:r w:rsidRPr="009F2F6C">
        <w:rPr>
          <w:color w:val="000000" w:themeColor="text1"/>
          <w:sz w:val="20"/>
          <w:szCs w:val="20"/>
        </w:rPr>
        <w:t xml:space="preserve">  </w:t>
      </w:r>
      <w:r w:rsidRPr="009F2F6C">
        <w:rPr>
          <w:color w:val="000000" w:themeColor="text1"/>
          <w:sz w:val="20"/>
          <w:szCs w:val="20"/>
          <w:highlight w:val="white"/>
        </w:rPr>
        <w:t xml:space="preserve">Devine-Wright, P. Decarbonisation of industrial clusters </w:t>
      </w:r>
    </w:p>
  </w:footnote>
  <w:footnote w:id="35">
    <w:p w14:paraId="00000109" w14:textId="69AC9126" w:rsidR="006864E3" w:rsidRPr="009F2F6C" w:rsidRDefault="00BC4AC1">
      <w:pPr>
        <w:spacing w:line="240" w:lineRule="auto"/>
        <w:rPr>
          <w:color w:val="000000" w:themeColor="text1"/>
          <w:sz w:val="20"/>
          <w:szCs w:val="20"/>
        </w:rPr>
      </w:pPr>
      <w:r w:rsidRPr="009F2F6C">
        <w:rPr>
          <w:color w:val="000000" w:themeColor="text1"/>
          <w:sz w:val="20"/>
          <w:szCs w:val="20"/>
          <w:vertAlign w:val="superscript"/>
        </w:rPr>
        <w:footnoteRef/>
      </w:r>
      <w:r w:rsidRPr="009F2F6C">
        <w:rPr>
          <w:color w:val="000000" w:themeColor="text1"/>
          <w:sz w:val="20"/>
          <w:szCs w:val="20"/>
        </w:rPr>
        <w:t xml:space="preserve"> </w:t>
      </w:r>
      <w:r w:rsidRPr="009F2F6C">
        <w:rPr>
          <w:color w:val="000000" w:themeColor="text1"/>
          <w:sz w:val="20"/>
          <w:szCs w:val="20"/>
          <w:highlight w:val="white"/>
        </w:rPr>
        <w:t xml:space="preserve">Garvey, A., Norman, J. B., </w:t>
      </w:r>
      <w:proofErr w:type="spellStart"/>
      <w:r w:rsidRPr="009F2F6C">
        <w:rPr>
          <w:color w:val="000000" w:themeColor="text1"/>
          <w:sz w:val="20"/>
          <w:szCs w:val="20"/>
          <w:highlight w:val="white"/>
        </w:rPr>
        <w:t>Büchs</w:t>
      </w:r>
      <w:proofErr w:type="spellEnd"/>
      <w:r w:rsidRPr="009F2F6C">
        <w:rPr>
          <w:color w:val="000000" w:themeColor="text1"/>
          <w:sz w:val="20"/>
          <w:szCs w:val="20"/>
          <w:highlight w:val="white"/>
        </w:rPr>
        <w:t xml:space="preserve">, M., &amp; Barrett, J. (2022) A “spatially just” transition? A critical review of regional equity in decarbonisation pathways. </w:t>
      </w:r>
      <w:r w:rsidRPr="009F2F6C">
        <w:rPr>
          <w:i/>
          <w:color w:val="000000" w:themeColor="text1"/>
          <w:sz w:val="20"/>
          <w:szCs w:val="20"/>
          <w:highlight w:val="white"/>
        </w:rPr>
        <w:t>Energy Research &amp; Social Science</w:t>
      </w:r>
      <w:r w:rsidRPr="009F2F6C">
        <w:rPr>
          <w:color w:val="000000" w:themeColor="text1"/>
          <w:sz w:val="20"/>
          <w:szCs w:val="20"/>
          <w:highlight w:val="white"/>
        </w:rPr>
        <w:t xml:space="preserve">, </w:t>
      </w:r>
      <w:r w:rsidRPr="009F2F6C">
        <w:rPr>
          <w:i/>
          <w:color w:val="000000" w:themeColor="text1"/>
          <w:sz w:val="20"/>
          <w:szCs w:val="20"/>
          <w:highlight w:val="white"/>
        </w:rPr>
        <w:t>88</w:t>
      </w:r>
      <w:r w:rsidRPr="009F2F6C">
        <w:rPr>
          <w:color w:val="000000" w:themeColor="text1"/>
          <w:sz w:val="20"/>
          <w:szCs w:val="20"/>
          <w:highlight w:val="white"/>
        </w:rPr>
        <w:t>, 102630.</w:t>
      </w:r>
    </w:p>
  </w:footnote>
  <w:footnote w:id="36">
    <w:p w14:paraId="0000010A" w14:textId="62D9DC0D" w:rsidR="006864E3" w:rsidRPr="009F2F6C" w:rsidRDefault="00BC4AC1">
      <w:pPr>
        <w:spacing w:line="240" w:lineRule="auto"/>
        <w:rPr>
          <w:color w:val="000000" w:themeColor="text1"/>
          <w:sz w:val="20"/>
          <w:szCs w:val="20"/>
        </w:rPr>
      </w:pPr>
      <w:r w:rsidRPr="009F2F6C">
        <w:rPr>
          <w:color w:val="000000" w:themeColor="text1"/>
          <w:sz w:val="20"/>
          <w:szCs w:val="20"/>
          <w:vertAlign w:val="superscript"/>
        </w:rPr>
        <w:footnoteRef/>
      </w:r>
      <w:r w:rsidRPr="009F2F6C">
        <w:rPr>
          <w:color w:val="000000" w:themeColor="text1"/>
          <w:sz w:val="20"/>
          <w:szCs w:val="20"/>
        </w:rPr>
        <w:t xml:space="preserve"> </w:t>
      </w:r>
      <w:r w:rsidRPr="009F2F6C">
        <w:rPr>
          <w:color w:val="000000" w:themeColor="text1"/>
          <w:sz w:val="20"/>
          <w:szCs w:val="20"/>
          <w:highlight w:val="white"/>
        </w:rPr>
        <w:t>Cherry, C., Thomas, G., Groves, C., Roberts, E., Shirani, F., Henwood, K., &amp; Pidgeon, N. (2022)</w:t>
      </w:r>
      <w:r w:rsidR="006E61E5" w:rsidRPr="009F2F6C">
        <w:rPr>
          <w:color w:val="000000" w:themeColor="text1"/>
          <w:sz w:val="20"/>
          <w:szCs w:val="20"/>
          <w:highlight w:val="white"/>
        </w:rPr>
        <w:t xml:space="preserve"> </w:t>
      </w:r>
      <w:r w:rsidRPr="009F2F6C">
        <w:rPr>
          <w:color w:val="000000" w:themeColor="text1"/>
          <w:sz w:val="20"/>
          <w:szCs w:val="20"/>
          <w:highlight w:val="white"/>
        </w:rPr>
        <w:t xml:space="preserve">A personas-based approach to deliberating local decarbonisation scenarios: Findings and methodological insights. </w:t>
      </w:r>
      <w:r w:rsidRPr="009F2F6C">
        <w:rPr>
          <w:i/>
          <w:color w:val="000000" w:themeColor="text1"/>
          <w:sz w:val="20"/>
          <w:szCs w:val="20"/>
          <w:highlight w:val="white"/>
        </w:rPr>
        <w:t>Energy Research &amp; Social Science</w:t>
      </w:r>
      <w:r w:rsidRPr="009F2F6C">
        <w:rPr>
          <w:color w:val="000000" w:themeColor="text1"/>
          <w:sz w:val="20"/>
          <w:szCs w:val="20"/>
          <w:highlight w:val="white"/>
        </w:rPr>
        <w:t xml:space="preserve">, </w:t>
      </w:r>
      <w:r w:rsidRPr="009F2F6C">
        <w:rPr>
          <w:i/>
          <w:color w:val="000000" w:themeColor="text1"/>
          <w:sz w:val="20"/>
          <w:szCs w:val="20"/>
          <w:highlight w:val="white"/>
        </w:rPr>
        <w:t>87</w:t>
      </w:r>
      <w:r w:rsidRPr="009F2F6C">
        <w:rPr>
          <w:color w:val="000000" w:themeColor="text1"/>
          <w:sz w:val="20"/>
          <w:szCs w:val="20"/>
          <w:highlight w:val="white"/>
        </w:rPr>
        <w:t>, 102455.</w:t>
      </w:r>
    </w:p>
  </w:footnote>
  <w:footnote w:id="37">
    <w:p w14:paraId="0000010B" w14:textId="77777777" w:rsidR="006864E3" w:rsidRPr="00C34077" w:rsidRDefault="00BC4AC1">
      <w:pPr>
        <w:spacing w:line="240" w:lineRule="auto"/>
        <w:rPr>
          <w:sz w:val="20"/>
          <w:szCs w:val="20"/>
        </w:rPr>
      </w:pPr>
      <w:r w:rsidRPr="009F2F6C">
        <w:rPr>
          <w:color w:val="000000" w:themeColor="text1"/>
          <w:sz w:val="20"/>
          <w:szCs w:val="20"/>
          <w:vertAlign w:val="superscript"/>
        </w:rPr>
        <w:footnoteRef/>
      </w:r>
      <w:r w:rsidRPr="009F2F6C">
        <w:rPr>
          <w:color w:val="000000" w:themeColor="text1"/>
          <w:sz w:val="20"/>
          <w:szCs w:val="20"/>
        </w:rPr>
        <w:t xml:space="preserve"> Ibid</w:t>
      </w:r>
    </w:p>
  </w:footnote>
  <w:footnote w:id="38">
    <w:p w14:paraId="0000010C" w14:textId="5ADBD3E9" w:rsidR="006864E3" w:rsidRPr="009F2F6C" w:rsidRDefault="00BC4AC1">
      <w:pPr>
        <w:spacing w:line="240" w:lineRule="auto"/>
        <w:rPr>
          <w:color w:val="000000" w:themeColor="text1"/>
          <w:sz w:val="20"/>
          <w:szCs w:val="20"/>
        </w:rPr>
      </w:pPr>
      <w:r w:rsidRPr="009F2F6C">
        <w:rPr>
          <w:color w:val="000000" w:themeColor="text1"/>
          <w:sz w:val="20"/>
          <w:szCs w:val="20"/>
          <w:vertAlign w:val="superscript"/>
        </w:rPr>
        <w:footnoteRef/>
      </w:r>
      <w:r w:rsidRPr="009F2F6C">
        <w:rPr>
          <w:color w:val="000000" w:themeColor="text1"/>
          <w:sz w:val="20"/>
          <w:szCs w:val="20"/>
        </w:rPr>
        <w:t xml:space="preserve"> </w:t>
      </w:r>
      <w:r w:rsidRPr="009F2F6C">
        <w:rPr>
          <w:color w:val="000000" w:themeColor="text1"/>
          <w:sz w:val="20"/>
          <w:szCs w:val="20"/>
          <w:highlight w:val="white"/>
        </w:rPr>
        <w:t xml:space="preserve">Harris, P. G. (2014) Risk-averse governments. </w:t>
      </w:r>
      <w:r w:rsidRPr="009F2F6C">
        <w:rPr>
          <w:i/>
          <w:color w:val="000000" w:themeColor="text1"/>
          <w:sz w:val="20"/>
          <w:szCs w:val="20"/>
          <w:highlight w:val="white"/>
        </w:rPr>
        <w:t>Nature Climate Change</w:t>
      </w:r>
      <w:r w:rsidRPr="009F2F6C">
        <w:rPr>
          <w:color w:val="000000" w:themeColor="text1"/>
          <w:sz w:val="20"/>
          <w:szCs w:val="20"/>
          <w:highlight w:val="white"/>
        </w:rPr>
        <w:t xml:space="preserve">, </w:t>
      </w:r>
      <w:r w:rsidRPr="009F2F6C">
        <w:rPr>
          <w:i/>
          <w:color w:val="000000" w:themeColor="text1"/>
          <w:sz w:val="20"/>
          <w:szCs w:val="20"/>
          <w:highlight w:val="white"/>
        </w:rPr>
        <w:t>4</w:t>
      </w:r>
      <w:r w:rsidRPr="009F2F6C">
        <w:rPr>
          <w:color w:val="000000" w:themeColor="text1"/>
          <w:sz w:val="20"/>
          <w:szCs w:val="20"/>
          <w:highlight w:val="white"/>
        </w:rPr>
        <w:t>(4), 245-246.</w:t>
      </w:r>
    </w:p>
  </w:footnote>
  <w:footnote w:id="39">
    <w:p w14:paraId="0000010D" w14:textId="3E5D6EC8" w:rsidR="006864E3" w:rsidRPr="009F2F6C" w:rsidRDefault="00BC4AC1">
      <w:pPr>
        <w:spacing w:line="240" w:lineRule="auto"/>
        <w:rPr>
          <w:color w:val="000000" w:themeColor="text1"/>
          <w:sz w:val="20"/>
          <w:szCs w:val="20"/>
        </w:rPr>
      </w:pPr>
      <w:r w:rsidRPr="009F2F6C">
        <w:rPr>
          <w:color w:val="000000" w:themeColor="text1"/>
          <w:sz w:val="20"/>
          <w:szCs w:val="20"/>
          <w:vertAlign w:val="superscript"/>
        </w:rPr>
        <w:footnoteRef/>
      </w:r>
      <w:r w:rsidRPr="009F2F6C">
        <w:rPr>
          <w:color w:val="000000" w:themeColor="text1"/>
          <w:sz w:val="20"/>
          <w:szCs w:val="20"/>
        </w:rPr>
        <w:t xml:space="preserve"> </w:t>
      </w:r>
      <w:r w:rsidRPr="009F2F6C">
        <w:rPr>
          <w:color w:val="000000" w:themeColor="text1"/>
          <w:sz w:val="20"/>
          <w:szCs w:val="20"/>
          <w:highlight w:val="white"/>
        </w:rPr>
        <w:t xml:space="preserve">Traill, H., &amp; Cumbers, A. (2022) The state of municipal energy transitions: </w:t>
      </w:r>
      <w:proofErr w:type="gramStart"/>
      <w:r w:rsidRPr="009F2F6C">
        <w:rPr>
          <w:color w:val="000000" w:themeColor="text1"/>
          <w:sz w:val="20"/>
          <w:szCs w:val="20"/>
          <w:highlight w:val="white"/>
        </w:rPr>
        <w:t>Multi-scalar</w:t>
      </w:r>
      <w:proofErr w:type="gramEnd"/>
      <w:r w:rsidRPr="009F2F6C">
        <w:rPr>
          <w:color w:val="000000" w:themeColor="text1"/>
          <w:sz w:val="20"/>
          <w:szCs w:val="20"/>
          <w:highlight w:val="white"/>
        </w:rPr>
        <w:t xml:space="preserve"> constraints and enablers of Europe’s post-carbon energy ambitions. </w:t>
      </w:r>
      <w:r w:rsidRPr="009F2F6C">
        <w:rPr>
          <w:i/>
          <w:color w:val="000000" w:themeColor="text1"/>
          <w:sz w:val="20"/>
          <w:szCs w:val="20"/>
          <w:highlight w:val="white"/>
        </w:rPr>
        <w:t>European Urban and Regional Studies</w:t>
      </w:r>
      <w:r w:rsidRPr="009F2F6C">
        <w:rPr>
          <w:color w:val="000000" w:themeColor="text1"/>
          <w:sz w:val="20"/>
          <w:szCs w:val="20"/>
          <w:highlight w:val="white"/>
        </w:rPr>
        <w:t>, 09697764221101740.</w:t>
      </w:r>
    </w:p>
  </w:footnote>
  <w:footnote w:id="40">
    <w:p w14:paraId="2A6B55A8" w14:textId="32F11A24" w:rsidR="000C7808" w:rsidRDefault="000C7808" w:rsidP="00BF46DF">
      <w:pPr>
        <w:pStyle w:val="FootnoteText"/>
      </w:pPr>
      <w:r>
        <w:rPr>
          <w:rStyle w:val="FootnoteReference"/>
        </w:rPr>
        <w:footnoteRef/>
      </w:r>
      <w:r>
        <w:t xml:space="preserve"> Gillard et al. (2017) find evidence of polycentric governance emerging in the United Kingdom for climate change policy: Gillard, R., </w:t>
      </w:r>
      <w:proofErr w:type="spellStart"/>
      <w:r>
        <w:t>Gouldson</w:t>
      </w:r>
      <w:proofErr w:type="spellEnd"/>
      <w:r>
        <w:t xml:space="preserve">, A., Paavola, J. &amp; Van </w:t>
      </w:r>
      <w:proofErr w:type="spellStart"/>
      <w:proofErr w:type="gramStart"/>
      <w:r>
        <w:t>Alstine,V</w:t>
      </w:r>
      <w:proofErr w:type="spellEnd"/>
      <w:r>
        <w:t>.</w:t>
      </w:r>
      <w:proofErr w:type="gramEnd"/>
      <w:r>
        <w:t xml:space="preserve"> (2017) Can national policy blockages accelerate the development of polycentric governance? Evidence from climate change policy in the United Kingdom. </w:t>
      </w:r>
      <w:r w:rsidRPr="000C7808">
        <w:rPr>
          <w:i/>
          <w:iCs/>
        </w:rPr>
        <w:t>Global Environmental Change</w:t>
      </w:r>
      <w:r>
        <w:t>, 45, 174-182.</w:t>
      </w:r>
      <w:r w:rsidR="00BF46DF">
        <w:t xml:space="preserve"> See also: Sandström, A., Söderberg, C. &amp; Nilsson, J. (2020) Adaptive capacity in different multi-level governance models: a comparative analysis of Swedish water and large carnivore management. </w:t>
      </w:r>
      <w:r w:rsidR="00BF46DF" w:rsidRPr="00BF46DF">
        <w:rPr>
          <w:i/>
          <w:iCs/>
        </w:rPr>
        <w:t>Journal of Environmental Management</w:t>
      </w:r>
      <w:r w:rsidR="00BF46DF">
        <w:t>, 270: 110890.</w:t>
      </w:r>
    </w:p>
  </w:footnote>
  <w:footnote w:id="41">
    <w:p w14:paraId="0000010F" w14:textId="4A007905" w:rsidR="006864E3" w:rsidRPr="00D37903" w:rsidRDefault="00BC4AC1">
      <w:pPr>
        <w:spacing w:line="240" w:lineRule="auto"/>
        <w:rPr>
          <w:color w:val="000000" w:themeColor="text1"/>
          <w:sz w:val="20"/>
          <w:szCs w:val="20"/>
        </w:rPr>
      </w:pPr>
      <w:r w:rsidRPr="00D37903">
        <w:rPr>
          <w:color w:val="000000" w:themeColor="text1"/>
          <w:sz w:val="20"/>
          <w:szCs w:val="20"/>
          <w:vertAlign w:val="superscript"/>
        </w:rPr>
        <w:footnoteRef/>
      </w:r>
      <w:r w:rsidRPr="00D37903">
        <w:rPr>
          <w:color w:val="000000" w:themeColor="text1"/>
          <w:sz w:val="20"/>
          <w:szCs w:val="20"/>
        </w:rPr>
        <w:t xml:space="preserve"> </w:t>
      </w:r>
      <w:proofErr w:type="spellStart"/>
      <w:r w:rsidRPr="00D37903">
        <w:rPr>
          <w:color w:val="000000" w:themeColor="text1"/>
          <w:sz w:val="20"/>
          <w:szCs w:val="20"/>
          <w:highlight w:val="white"/>
        </w:rPr>
        <w:t>Miörner</w:t>
      </w:r>
      <w:proofErr w:type="spellEnd"/>
      <w:r w:rsidRPr="00D37903">
        <w:rPr>
          <w:color w:val="000000" w:themeColor="text1"/>
          <w:sz w:val="20"/>
          <w:szCs w:val="20"/>
          <w:highlight w:val="white"/>
        </w:rPr>
        <w:t>, J. and Binz, C.</w:t>
      </w:r>
      <w:r w:rsidR="006E61E5" w:rsidRPr="00D37903">
        <w:rPr>
          <w:color w:val="000000" w:themeColor="text1"/>
          <w:sz w:val="20"/>
          <w:szCs w:val="20"/>
          <w:highlight w:val="white"/>
        </w:rPr>
        <w:t xml:space="preserve"> (</w:t>
      </w:r>
      <w:r w:rsidRPr="00D37903">
        <w:rPr>
          <w:color w:val="000000" w:themeColor="text1"/>
          <w:sz w:val="20"/>
          <w:szCs w:val="20"/>
          <w:highlight w:val="white"/>
        </w:rPr>
        <w:t>2021</w:t>
      </w:r>
      <w:r w:rsidR="006E61E5" w:rsidRPr="00D37903">
        <w:rPr>
          <w:color w:val="000000" w:themeColor="text1"/>
          <w:sz w:val="20"/>
          <w:szCs w:val="20"/>
          <w:highlight w:val="white"/>
        </w:rPr>
        <w:t>)</w:t>
      </w:r>
      <w:r w:rsidRPr="00D37903">
        <w:rPr>
          <w:color w:val="000000" w:themeColor="text1"/>
          <w:sz w:val="20"/>
          <w:szCs w:val="20"/>
          <w:highlight w:val="white"/>
        </w:rPr>
        <w:t xml:space="preserve"> Towards a multi-scalar perspective on transition trajectories. </w:t>
      </w:r>
      <w:r w:rsidRPr="00D37903">
        <w:rPr>
          <w:i/>
          <w:color w:val="000000" w:themeColor="text1"/>
          <w:sz w:val="20"/>
          <w:szCs w:val="20"/>
          <w:highlight w:val="white"/>
        </w:rPr>
        <w:t>Environmental Innovation and Societal Transitions</w:t>
      </w:r>
      <w:r w:rsidRPr="00D37903">
        <w:rPr>
          <w:color w:val="000000" w:themeColor="text1"/>
          <w:sz w:val="20"/>
          <w:szCs w:val="20"/>
          <w:highlight w:val="white"/>
        </w:rPr>
        <w:t xml:space="preserve">, </w:t>
      </w:r>
      <w:r w:rsidRPr="00D37903">
        <w:rPr>
          <w:i/>
          <w:color w:val="000000" w:themeColor="text1"/>
          <w:sz w:val="20"/>
          <w:szCs w:val="20"/>
          <w:highlight w:val="white"/>
        </w:rPr>
        <w:t>40</w:t>
      </w:r>
      <w:r w:rsidRPr="00D37903">
        <w:rPr>
          <w:color w:val="000000" w:themeColor="text1"/>
          <w:sz w:val="20"/>
          <w:szCs w:val="20"/>
          <w:highlight w:val="white"/>
        </w:rPr>
        <w:t>, pp.172-188.</w:t>
      </w:r>
    </w:p>
  </w:footnote>
  <w:footnote w:id="42">
    <w:p w14:paraId="00000110" w14:textId="31971124" w:rsidR="006864E3" w:rsidRPr="00D37903" w:rsidRDefault="00BC4AC1">
      <w:pPr>
        <w:spacing w:line="240" w:lineRule="auto"/>
        <w:rPr>
          <w:color w:val="000000" w:themeColor="text1"/>
          <w:sz w:val="20"/>
          <w:szCs w:val="20"/>
        </w:rPr>
      </w:pPr>
      <w:r w:rsidRPr="00D37903">
        <w:rPr>
          <w:color w:val="000000" w:themeColor="text1"/>
          <w:sz w:val="20"/>
          <w:szCs w:val="20"/>
          <w:vertAlign w:val="superscript"/>
        </w:rPr>
        <w:footnoteRef/>
      </w:r>
      <w:r w:rsidRPr="00D37903">
        <w:rPr>
          <w:color w:val="000000" w:themeColor="text1"/>
          <w:sz w:val="20"/>
          <w:szCs w:val="20"/>
        </w:rPr>
        <w:t xml:space="preserve"> </w:t>
      </w:r>
      <w:proofErr w:type="spellStart"/>
      <w:r w:rsidRPr="00D37903">
        <w:rPr>
          <w:color w:val="000000" w:themeColor="text1"/>
          <w:sz w:val="20"/>
          <w:szCs w:val="20"/>
          <w:highlight w:val="white"/>
        </w:rPr>
        <w:t>Chipidza</w:t>
      </w:r>
      <w:proofErr w:type="spellEnd"/>
      <w:r w:rsidRPr="00D37903">
        <w:rPr>
          <w:color w:val="000000" w:themeColor="text1"/>
          <w:sz w:val="20"/>
          <w:szCs w:val="20"/>
          <w:highlight w:val="white"/>
        </w:rPr>
        <w:t xml:space="preserve">, W., &amp; Leidner, D. (2019) A review of the ICT-enabled development literature: Towards a power parity theory of ICT4D. </w:t>
      </w:r>
      <w:r w:rsidRPr="00D37903">
        <w:rPr>
          <w:i/>
          <w:color w:val="000000" w:themeColor="text1"/>
          <w:sz w:val="20"/>
          <w:szCs w:val="20"/>
          <w:highlight w:val="white"/>
        </w:rPr>
        <w:t>The Journal of Strategic Information Systems</w:t>
      </w:r>
      <w:r w:rsidRPr="00D37903">
        <w:rPr>
          <w:color w:val="000000" w:themeColor="text1"/>
          <w:sz w:val="20"/>
          <w:szCs w:val="20"/>
          <w:highlight w:val="white"/>
        </w:rPr>
        <w:t xml:space="preserve">, </w:t>
      </w:r>
      <w:r w:rsidRPr="00D37903">
        <w:rPr>
          <w:i/>
          <w:color w:val="000000" w:themeColor="text1"/>
          <w:sz w:val="20"/>
          <w:szCs w:val="20"/>
          <w:highlight w:val="white"/>
        </w:rPr>
        <w:t>28</w:t>
      </w:r>
      <w:r w:rsidRPr="00D37903">
        <w:rPr>
          <w:color w:val="000000" w:themeColor="text1"/>
          <w:sz w:val="20"/>
          <w:szCs w:val="20"/>
          <w:highlight w:val="white"/>
        </w:rPr>
        <w:t>(2),145-174.</w:t>
      </w:r>
    </w:p>
  </w:footnote>
  <w:footnote w:id="43">
    <w:p w14:paraId="352A1564" w14:textId="77777777" w:rsidR="00F92F55" w:rsidRPr="00D37903" w:rsidRDefault="00F92F55" w:rsidP="00F92F55">
      <w:pPr>
        <w:spacing w:line="240" w:lineRule="auto"/>
        <w:rPr>
          <w:sz w:val="20"/>
          <w:szCs w:val="20"/>
        </w:rPr>
      </w:pPr>
      <w:r w:rsidRPr="00D37903">
        <w:rPr>
          <w:color w:val="000000" w:themeColor="text1"/>
          <w:sz w:val="20"/>
          <w:szCs w:val="20"/>
          <w:vertAlign w:val="superscript"/>
        </w:rPr>
        <w:footnoteRef/>
      </w:r>
      <w:r w:rsidRPr="00D37903">
        <w:rPr>
          <w:color w:val="000000" w:themeColor="text1"/>
          <w:sz w:val="20"/>
          <w:szCs w:val="20"/>
        </w:rPr>
        <w:t xml:space="preserve"> Climate Change Committee (2020) </w:t>
      </w:r>
      <w:r w:rsidRPr="00D37903">
        <w:rPr>
          <w:i/>
          <w:color w:val="000000" w:themeColor="text1"/>
          <w:sz w:val="20"/>
          <w:szCs w:val="20"/>
        </w:rPr>
        <w:t xml:space="preserve">Local Authorities and the Sixth Carbon Budget, </w:t>
      </w:r>
      <w:r w:rsidRPr="00D37903">
        <w:rPr>
          <w:color w:val="000000" w:themeColor="text1"/>
          <w:sz w:val="20"/>
          <w:szCs w:val="20"/>
        </w:rPr>
        <w:t>Climate Change Committee.</w:t>
      </w:r>
    </w:p>
  </w:footnote>
  <w:footnote w:id="44">
    <w:p w14:paraId="38F25F3C" w14:textId="77777777" w:rsidR="00F92F55" w:rsidRPr="00D37903" w:rsidRDefault="00F92F55" w:rsidP="00F92F55">
      <w:pPr>
        <w:spacing w:line="240" w:lineRule="auto"/>
        <w:rPr>
          <w:sz w:val="20"/>
          <w:szCs w:val="20"/>
        </w:rPr>
      </w:pPr>
      <w:r w:rsidRPr="00D37903">
        <w:rPr>
          <w:sz w:val="20"/>
          <w:szCs w:val="20"/>
          <w:vertAlign w:val="superscript"/>
        </w:rPr>
        <w:footnoteRef/>
      </w:r>
      <w:r w:rsidRPr="00D37903">
        <w:rPr>
          <w:sz w:val="20"/>
          <w:szCs w:val="20"/>
        </w:rPr>
        <w:t xml:space="preserve"> Innovate UK (2022) </w:t>
      </w:r>
      <w:r w:rsidRPr="00D37903">
        <w:rPr>
          <w:i/>
          <w:sz w:val="20"/>
          <w:szCs w:val="20"/>
        </w:rPr>
        <w:t xml:space="preserve">Accelerating Net Zero Delivery: Unlocking the benefits of climate action in UK city-regions, </w:t>
      </w:r>
      <w:r w:rsidRPr="00D37903">
        <w:rPr>
          <w:sz w:val="20"/>
          <w:szCs w:val="20"/>
        </w:rPr>
        <w:t xml:space="preserve">Innovate UK. </w:t>
      </w:r>
    </w:p>
  </w:footnote>
  <w:footnote w:id="45">
    <w:p w14:paraId="00000113" w14:textId="5F27CB6F" w:rsidR="006864E3" w:rsidRPr="00D37903" w:rsidRDefault="00BC4AC1">
      <w:pPr>
        <w:spacing w:line="240" w:lineRule="auto"/>
        <w:rPr>
          <w:color w:val="000000" w:themeColor="text1"/>
          <w:sz w:val="20"/>
          <w:szCs w:val="20"/>
        </w:rPr>
      </w:pPr>
      <w:r w:rsidRPr="00D37903">
        <w:rPr>
          <w:sz w:val="20"/>
          <w:szCs w:val="20"/>
          <w:vertAlign w:val="superscript"/>
        </w:rPr>
        <w:footnoteRef/>
      </w:r>
      <w:r w:rsidRPr="00D37903">
        <w:rPr>
          <w:sz w:val="20"/>
          <w:szCs w:val="20"/>
        </w:rPr>
        <w:t xml:space="preserve"> </w:t>
      </w:r>
      <w:r w:rsidRPr="00D37903">
        <w:rPr>
          <w:color w:val="000000" w:themeColor="text1"/>
          <w:sz w:val="20"/>
          <w:szCs w:val="20"/>
          <w:highlight w:val="white"/>
        </w:rPr>
        <w:t>Gudde, P.</w:t>
      </w:r>
      <w:r w:rsidR="006E61E5" w:rsidRPr="00D37903">
        <w:rPr>
          <w:color w:val="000000" w:themeColor="text1"/>
          <w:sz w:val="20"/>
          <w:szCs w:val="20"/>
          <w:highlight w:val="white"/>
        </w:rPr>
        <w:t xml:space="preserve"> </w:t>
      </w:r>
      <w:r w:rsidRPr="00D37903">
        <w:rPr>
          <w:color w:val="000000" w:themeColor="text1"/>
          <w:sz w:val="20"/>
          <w:szCs w:val="20"/>
          <w:highlight w:val="white"/>
        </w:rPr>
        <w:t>The role of UK local government in delivering on net zero carbon commitments</w:t>
      </w:r>
    </w:p>
  </w:footnote>
  <w:footnote w:id="46">
    <w:p w14:paraId="00000114" w14:textId="77777777" w:rsidR="006864E3" w:rsidRPr="00D37903" w:rsidRDefault="00BC4AC1">
      <w:pPr>
        <w:spacing w:line="240" w:lineRule="auto"/>
        <w:rPr>
          <w:color w:val="000000" w:themeColor="text1"/>
          <w:sz w:val="20"/>
          <w:szCs w:val="20"/>
        </w:rPr>
      </w:pPr>
      <w:r w:rsidRPr="00D37903">
        <w:rPr>
          <w:color w:val="000000" w:themeColor="text1"/>
          <w:sz w:val="20"/>
          <w:szCs w:val="20"/>
          <w:vertAlign w:val="superscript"/>
        </w:rPr>
        <w:footnoteRef/>
      </w:r>
      <w:r w:rsidRPr="00D37903">
        <w:rPr>
          <w:color w:val="000000" w:themeColor="text1"/>
          <w:sz w:val="20"/>
          <w:szCs w:val="20"/>
        </w:rPr>
        <w:t xml:space="preserve"> Ibid</w:t>
      </w:r>
    </w:p>
  </w:footnote>
  <w:footnote w:id="47">
    <w:p w14:paraId="7FDB9410" w14:textId="77777777" w:rsidR="00B02FC9" w:rsidRPr="00C34077" w:rsidRDefault="00B02FC9" w:rsidP="00B02FC9">
      <w:pPr>
        <w:spacing w:line="240" w:lineRule="auto"/>
        <w:rPr>
          <w:color w:val="000000" w:themeColor="text1"/>
          <w:sz w:val="20"/>
          <w:szCs w:val="20"/>
        </w:rPr>
      </w:pPr>
      <w:r w:rsidRPr="00D37903">
        <w:rPr>
          <w:color w:val="000000" w:themeColor="text1"/>
          <w:sz w:val="20"/>
          <w:szCs w:val="20"/>
          <w:vertAlign w:val="superscript"/>
        </w:rPr>
        <w:footnoteRef/>
      </w:r>
      <w:r w:rsidRPr="00D37903">
        <w:rPr>
          <w:color w:val="000000" w:themeColor="text1"/>
          <w:sz w:val="20"/>
          <w:szCs w:val="20"/>
        </w:rPr>
        <w:t>HM Government (</w:t>
      </w:r>
      <w:proofErr w:type="gramStart"/>
      <w:r w:rsidRPr="00D37903">
        <w:rPr>
          <w:color w:val="000000" w:themeColor="text1"/>
          <w:sz w:val="20"/>
          <w:szCs w:val="20"/>
        </w:rPr>
        <w:t>2000</w:t>
      </w:r>
      <w:proofErr w:type="gramEnd"/>
      <w:r w:rsidRPr="00D37903">
        <w:rPr>
          <w:color w:val="000000" w:themeColor="text1"/>
          <w:sz w:val="20"/>
          <w:szCs w:val="20"/>
        </w:rPr>
        <w:t>), Local Government Act.</w:t>
      </w:r>
    </w:p>
  </w:footnote>
  <w:footnote w:id="48">
    <w:p w14:paraId="25CC3243" w14:textId="77777777" w:rsidR="00B02FC9" w:rsidRDefault="00B02FC9" w:rsidP="00B02FC9">
      <w:pPr>
        <w:pStyle w:val="FootnoteText"/>
      </w:pPr>
      <w:r>
        <w:rPr>
          <w:rStyle w:val="FootnoteReference"/>
        </w:rPr>
        <w:footnoteRef/>
      </w:r>
      <w:r>
        <w:t xml:space="preserve"> </w:t>
      </w:r>
      <w:r w:rsidRPr="00120702">
        <w:t>Nelson,</w:t>
      </w:r>
      <w:r>
        <w:t xml:space="preserve"> A. &amp;</w:t>
      </w:r>
      <w:r w:rsidRPr="00120702">
        <w:t xml:space="preserve"> Schneider</w:t>
      </w:r>
      <w:r>
        <w:t xml:space="preserve">, F. (eds) (2018) </w:t>
      </w:r>
      <w:r w:rsidRPr="00120702">
        <w:rPr>
          <w:i/>
          <w:iCs/>
        </w:rPr>
        <w:t xml:space="preserve">Housing for Degrowth: Principles, Models, Challenges and Opportunities. </w:t>
      </w:r>
      <w:r>
        <w:t xml:space="preserve">Abingdon: Routledge. </w:t>
      </w:r>
      <w:r w:rsidRPr="00120702">
        <w:t>Xue</w:t>
      </w:r>
      <w:r>
        <w:t>, J.</w:t>
      </w:r>
      <w:r w:rsidRPr="00120702">
        <w:t xml:space="preserve"> (2022) Urban planning and degrowth: a missing dialogue</w:t>
      </w:r>
      <w:r>
        <w:t>.</w:t>
      </w:r>
      <w:r w:rsidRPr="00120702">
        <w:t xml:space="preserve"> </w:t>
      </w:r>
      <w:r w:rsidRPr="00120702">
        <w:rPr>
          <w:i/>
          <w:iCs/>
        </w:rPr>
        <w:t>Local Environment</w:t>
      </w:r>
      <w:r w:rsidRPr="00120702">
        <w:t>, 27</w:t>
      </w:r>
      <w:r>
        <w:t>(</w:t>
      </w:r>
      <w:r w:rsidRPr="00120702">
        <w:t>4</w:t>
      </w:r>
      <w:r>
        <w:t>)</w:t>
      </w:r>
      <w:r w:rsidRPr="00120702">
        <w:t>, 404-422</w:t>
      </w:r>
      <w:r>
        <w:t xml:space="preserve">; </w:t>
      </w:r>
      <w:r w:rsidRPr="00120702">
        <w:t>Xue</w:t>
      </w:r>
      <w:r>
        <w:t>, J.</w:t>
      </w:r>
      <w:r w:rsidRPr="00120702">
        <w:t xml:space="preserve"> &amp; </w:t>
      </w:r>
      <w:proofErr w:type="spellStart"/>
      <w:r w:rsidRPr="00120702">
        <w:t>Kębłowski</w:t>
      </w:r>
      <w:proofErr w:type="spellEnd"/>
      <w:r>
        <w:t>, W.</w:t>
      </w:r>
      <w:r w:rsidRPr="00120702">
        <w:t xml:space="preserve"> (2022) Spatialising degrowth, degrowing urban planning</w:t>
      </w:r>
      <w:r>
        <w:t>.</w:t>
      </w:r>
      <w:r w:rsidRPr="00120702">
        <w:rPr>
          <w:i/>
          <w:iCs/>
        </w:rPr>
        <w:t xml:space="preserve"> Local Environment</w:t>
      </w:r>
      <w:r>
        <w:t>.</w:t>
      </w:r>
      <w:r w:rsidRPr="00120702">
        <w:t xml:space="preserve"> 27</w:t>
      </w:r>
      <w:r>
        <w:t>(</w:t>
      </w:r>
      <w:r w:rsidRPr="00120702">
        <w:t>4</w:t>
      </w:r>
      <w:r>
        <w:t>)</w:t>
      </w:r>
      <w:r w:rsidRPr="00120702">
        <w:t>, 397-403</w:t>
      </w:r>
      <w:r>
        <w:t>.</w:t>
      </w:r>
    </w:p>
  </w:footnote>
  <w:footnote w:id="49">
    <w:p w14:paraId="05549274" w14:textId="77777777" w:rsidR="003A0BB3" w:rsidRPr="00C34077" w:rsidRDefault="003A0BB3" w:rsidP="003A0BB3">
      <w:pPr>
        <w:spacing w:line="240" w:lineRule="auto"/>
        <w:rPr>
          <w:sz w:val="20"/>
          <w:szCs w:val="20"/>
        </w:rPr>
      </w:pPr>
      <w:r w:rsidRPr="00C34077">
        <w:rPr>
          <w:sz w:val="20"/>
          <w:szCs w:val="20"/>
          <w:vertAlign w:val="superscript"/>
        </w:rPr>
        <w:footnoteRef/>
      </w:r>
      <w:r w:rsidRPr="00C34077">
        <w:rPr>
          <w:sz w:val="20"/>
          <w:szCs w:val="20"/>
        </w:rPr>
        <w:t xml:space="preserve"> </w:t>
      </w:r>
      <w:r w:rsidRPr="00C34077">
        <w:rPr>
          <w:color w:val="222222"/>
          <w:sz w:val="20"/>
          <w:szCs w:val="20"/>
          <w:highlight w:val="white"/>
        </w:rPr>
        <w:t xml:space="preserve">Porter, J. J., </w:t>
      </w:r>
      <w:proofErr w:type="spellStart"/>
      <w:r w:rsidRPr="00C34077">
        <w:rPr>
          <w:color w:val="222222"/>
          <w:sz w:val="20"/>
          <w:szCs w:val="20"/>
          <w:highlight w:val="white"/>
        </w:rPr>
        <w:t>Demeritt</w:t>
      </w:r>
      <w:proofErr w:type="spellEnd"/>
      <w:r w:rsidRPr="00C34077">
        <w:rPr>
          <w:color w:val="222222"/>
          <w:sz w:val="20"/>
          <w:szCs w:val="20"/>
          <w:highlight w:val="white"/>
        </w:rPr>
        <w:t xml:space="preserve">, D., &amp; </w:t>
      </w:r>
      <w:proofErr w:type="spellStart"/>
      <w:r w:rsidRPr="00C34077">
        <w:rPr>
          <w:color w:val="222222"/>
          <w:sz w:val="20"/>
          <w:szCs w:val="20"/>
          <w:highlight w:val="white"/>
        </w:rPr>
        <w:t>Dessai</w:t>
      </w:r>
      <w:proofErr w:type="spellEnd"/>
      <w:r w:rsidRPr="00C34077">
        <w:rPr>
          <w:color w:val="222222"/>
          <w:sz w:val="20"/>
          <w:szCs w:val="20"/>
          <w:highlight w:val="white"/>
        </w:rPr>
        <w:t xml:space="preserve">, S. (2015) The right stuff? Informing adaptation to climate change in British local government. </w:t>
      </w:r>
      <w:r w:rsidRPr="00C34077">
        <w:rPr>
          <w:i/>
          <w:color w:val="222222"/>
          <w:sz w:val="20"/>
          <w:szCs w:val="20"/>
          <w:highlight w:val="white"/>
        </w:rPr>
        <w:t>Global Environmental Change</w:t>
      </w:r>
      <w:r w:rsidRPr="00C34077">
        <w:rPr>
          <w:color w:val="222222"/>
          <w:sz w:val="20"/>
          <w:szCs w:val="20"/>
          <w:highlight w:val="white"/>
        </w:rPr>
        <w:t xml:space="preserve">, </w:t>
      </w:r>
      <w:r w:rsidRPr="00C34077">
        <w:rPr>
          <w:i/>
          <w:color w:val="222222"/>
          <w:sz w:val="20"/>
          <w:szCs w:val="20"/>
          <w:highlight w:val="white"/>
        </w:rPr>
        <w:t>35</w:t>
      </w:r>
      <w:r w:rsidRPr="00C34077">
        <w:rPr>
          <w:color w:val="222222"/>
          <w:sz w:val="20"/>
          <w:szCs w:val="20"/>
          <w:highlight w:val="white"/>
        </w:rPr>
        <w:t>, p420.</w:t>
      </w:r>
    </w:p>
  </w:footnote>
  <w:footnote w:id="50">
    <w:p w14:paraId="18832B75" w14:textId="77777777" w:rsidR="003A0BB3" w:rsidRPr="00C34077" w:rsidRDefault="003A0BB3" w:rsidP="003A0BB3">
      <w:pPr>
        <w:spacing w:line="240" w:lineRule="auto"/>
        <w:rPr>
          <w:sz w:val="20"/>
          <w:szCs w:val="20"/>
        </w:rPr>
      </w:pPr>
      <w:r w:rsidRPr="00C34077">
        <w:rPr>
          <w:sz w:val="20"/>
          <w:szCs w:val="20"/>
          <w:vertAlign w:val="superscript"/>
        </w:rPr>
        <w:footnoteRef/>
      </w:r>
      <w:r w:rsidRPr="00C34077">
        <w:rPr>
          <w:sz w:val="20"/>
          <w:szCs w:val="20"/>
        </w:rPr>
        <w:t xml:space="preserve"> </w:t>
      </w:r>
      <w:r w:rsidRPr="00C34077">
        <w:rPr>
          <w:color w:val="222222"/>
          <w:sz w:val="20"/>
          <w:szCs w:val="20"/>
          <w:highlight w:val="white"/>
        </w:rPr>
        <w:t xml:space="preserve">Walker, B. J., Adger, W. N., &amp; Russel, D. (2015) Institutional barriers to climate change adaptation in decentralised governance structures: Transport planning in England. </w:t>
      </w:r>
      <w:r w:rsidRPr="00C34077">
        <w:rPr>
          <w:i/>
          <w:color w:val="222222"/>
          <w:sz w:val="20"/>
          <w:szCs w:val="20"/>
          <w:highlight w:val="white"/>
        </w:rPr>
        <w:t>Urban studies</w:t>
      </w:r>
      <w:r w:rsidRPr="00C34077">
        <w:rPr>
          <w:color w:val="222222"/>
          <w:sz w:val="20"/>
          <w:szCs w:val="20"/>
          <w:highlight w:val="white"/>
        </w:rPr>
        <w:t xml:space="preserve">, </w:t>
      </w:r>
      <w:r w:rsidRPr="00C34077">
        <w:rPr>
          <w:i/>
          <w:color w:val="222222"/>
          <w:sz w:val="20"/>
          <w:szCs w:val="20"/>
          <w:highlight w:val="white"/>
        </w:rPr>
        <w:t>52</w:t>
      </w:r>
      <w:r w:rsidRPr="00C34077">
        <w:rPr>
          <w:color w:val="222222"/>
          <w:sz w:val="20"/>
          <w:szCs w:val="20"/>
          <w:highlight w:val="white"/>
        </w:rPr>
        <w:t>(12), p2254.</w:t>
      </w:r>
    </w:p>
  </w:footnote>
  <w:footnote w:id="51">
    <w:p w14:paraId="7B26EDA2" w14:textId="77777777" w:rsidR="003A0BB3" w:rsidRPr="00C34077" w:rsidRDefault="003A0BB3" w:rsidP="003A0BB3">
      <w:pPr>
        <w:spacing w:line="240" w:lineRule="auto"/>
        <w:rPr>
          <w:sz w:val="20"/>
          <w:szCs w:val="20"/>
        </w:rPr>
      </w:pPr>
      <w:r w:rsidRPr="00C34077">
        <w:rPr>
          <w:sz w:val="20"/>
          <w:szCs w:val="20"/>
          <w:vertAlign w:val="superscript"/>
        </w:rPr>
        <w:footnoteRef/>
      </w:r>
      <w:r w:rsidRPr="00C34077">
        <w:rPr>
          <w:sz w:val="20"/>
          <w:szCs w:val="20"/>
        </w:rPr>
        <w:t xml:space="preserve"> Similarly, Laffin notes the long-term tendency to look to national ministries for policy leadership: Laffin, M. (1986) </w:t>
      </w:r>
      <w:r w:rsidRPr="00C34077">
        <w:rPr>
          <w:color w:val="0F1111"/>
          <w:sz w:val="20"/>
          <w:szCs w:val="20"/>
        </w:rPr>
        <w:t xml:space="preserve">Professionalism and Policy: </w:t>
      </w:r>
      <w:r w:rsidRPr="00C34077">
        <w:rPr>
          <w:i/>
          <w:color w:val="0F1111"/>
          <w:sz w:val="20"/>
          <w:szCs w:val="20"/>
        </w:rPr>
        <w:t>The Role of the Professions in the Central/Local Government Relationship</w:t>
      </w:r>
      <w:r w:rsidRPr="00C34077">
        <w:rPr>
          <w:color w:val="0F1111"/>
          <w:sz w:val="20"/>
          <w:szCs w:val="20"/>
        </w:rPr>
        <w:t>. Farnham: Ashgate</w:t>
      </w:r>
      <w:r>
        <w:rPr>
          <w:color w:val="0F1111"/>
          <w:sz w:val="20"/>
          <w:szCs w:val="20"/>
        </w:rPr>
        <w:t>.</w:t>
      </w:r>
    </w:p>
  </w:footnote>
  <w:footnote w:id="52">
    <w:p w14:paraId="25B0EA5D" w14:textId="77777777" w:rsidR="00B02FC9" w:rsidRPr="00C34077" w:rsidRDefault="00B02FC9" w:rsidP="00B02FC9">
      <w:pPr>
        <w:spacing w:line="240" w:lineRule="auto"/>
        <w:rPr>
          <w:color w:val="000000" w:themeColor="text1"/>
          <w:sz w:val="20"/>
          <w:szCs w:val="20"/>
        </w:rPr>
      </w:pPr>
      <w:r w:rsidRPr="00C34077">
        <w:rPr>
          <w:color w:val="000000" w:themeColor="text1"/>
          <w:sz w:val="20"/>
          <w:szCs w:val="20"/>
          <w:vertAlign w:val="superscript"/>
        </w:rPr>
        <w:footnoteRef/>
      </w:r>
      <w:r w:rsidRPr="00C34077">
        <w:rPr>
          <w:color w:val="000000" w:themeColor="text1"/>
          <w:sz w:val="20"/>
          <w:szCs w:val="20"/>
        </w:rPr>
        <w:t xml:space="preserve"> UK Parliament (2022) The Affordable Homes Programme, House of Commons. </w:t>
      </w:r>
    </w:p>
  </w:footnote>
  <w:footnote w:id="53">
    <w:p w14:paraId="1C2FA2E1" w14:textId="77777777" w:rsidR="4395FF7F" w:rsidRDefault="4395FF7F" w:rsidP="4395FF7F">
      <w:pPr>
        <w:pStyle w:val="FootnoteText"/>
      </w:pPr>
      <w:r w:rsidRPr="4395FF7F">
        <w:rPr>
          <w:rStyle w:val="FootnoteReference"/>
        </w:rPr>
        <w:footnoteRef/>
      </w:r>
      <w:r>
        <w:t xml:space="preserve"> </w:t>
      </w:r>
      <w:r w:rsidRPr="4395FF7F">
        <w:rPr>
          <w:color w:val="222222"/>
        </w:rPr>
        <w:t>Fetzer, T. (2023). Regulatory barriers to climate action: evidence from conservation areas in England.</w:t>
      </w:r>
    </w:p>
  </w:footnote>
  <w:footnote w:id="54">
    <w:p w14:paraId="0449D9E2" w14:textId="77777777" w:rsidR="4395FF7F" w:rsidRDefault="4395FF7F" w:rsidP="4395FF7F">
      <w:pPr>
        <w:pStyle w:val="FootnoteText"/>
        <w:rPr>
          <w:color w:val="000000" w:themeColor="text1"/>
        </w:rPr>
      </w:pPr>
      <w:r w:rsidRPr="4395FF7F">
        <w:rPr>
          <w:rStyle w:val="FootnoteReference"/>
          <w:color w:val="000000" w:themeColor="text1"/>
        </w:rPr>
        <w:footnoteRef/>
      </w:r>
      <w:r w:rsidRPr="4395FF7F">
        <w:rPr>
          <w:color w:val="000000" w:themeColor="text1"/>
        </w:rPr>
        <w:t xml:space="preserve"> Sugar, K., &amp; Webb, J. (2022) Value for money: Local authority action on clean energy for net zero. </w:t>
      </w:r>
      <w:r w:rsidRPr="4395FF7F">
        <w:rPr>
          <w:i/>
          <w:iCs/>
          <w:color w:val="000000" w:themeColor="text1"/>
        </w:rPr>
        <w:t>Energies</w:t>
      </w:r>
      <w:r w:rsidRPr="4395FF7F">
        <w:rPr>
          <w:color w:val="000000" w:themeColor="text1"/>
        </w:rPr>
        <w:t xml:space="preserve">, </w:t>
      </w:r>
      <w:r w:rsidRPr="4395FF7F">
        <w:rPr>
          <w:i/>
          <w:iCs/>
          <w:color w:val="000000" w:themeColor="text1"/>
        </w:rPr>
        <w:t>15</w:t>
      </w:r>
      <w:r w:rsidRPr="4395FF7F">
        <w:rPr>
          <w:color w:val="000000" w:themeColor="text1"/>
        </w:rPr>
        <w:t>(12), 4359.</w:t>
      </w:r>
    </w:p>
  </w:footnote>
  <w:footnote w:id="55">
    <w:p w14:paraId="27F62D78" w14:textId="1AC07CDE" w:rsidR="4395FF7F" w:rsidRDefault="4395FF7F" w:rsidP="4395FF7F">
      <w:pPr>
        <w:pStyle w:val="FootnoteText"/>
      </w:pPr>
      <w:r w:rsidRPr="4395FF7F">
        <w:rPr>
          <w:rStyle w:val="FootnoteReference"/>
        </w:rPr>
        <w:footnoteRef/>
      </w:r>
      <w:r>
        <w:t xml:space="preserve"> </w:t>
      </w:r>
      <w:r w:rsidRPr="4395FF7F">
        <w:rPr>
          <w:color w:val="222222"/>
        </w:rPr>
        <w:t xml:space="preserve">Schneiders, A. (2021, August). Regulatory sandboxes in the energy sector: are they key to the transition to a net zero </w:t>
      </w:r>
      <w:proofErr w:type="gramStart"/>
      <w:r w:rsidRPr="4395FF7F">
        <w:rPr>
          <w:color w:val="222222"/>
        </w:rPr>
        <w:t>future?.</w:t>
      </w:r>
      <w:proofErr w:type="gramEnd"/>
      <w:r w:rsidRPr="4395FF7F">
        <w:rPr>
          <w:color w:val="222222"/>
        </w:rPr>
        <w:t xml:space="preserve"> In </w:t>
      </w:r>
      <w:hyperlink r:id="rId4" w:history="1">
        <w:r w:rsidR="00843EC5" w:rsidRPr="000E0E9C">
          <w:rPr>
            <w:rStyle w:val="Hyperlink"/>
            <w:i/>
            <w:iCs/>
          </w:rPr>
          <w:t>https://www.biee.org/resources/regulatory-sandboxes-in-the-energy-sector-are-they-key-to-the-transition-to-a-net-zero-future/</w:t>
        </w:r>
      </w:hyperlink>
      <w:r w:rsidR="00843EC5">
        <w:rPr>
          <w:color w:val="222222"/>
        </w:rPr>
        <w:t xml:space="preserve"> </w:t>
      </w:r>
      <w:r w:rsidRPr="4395FF7F">
        <w:rPr>
          <w:color w:val="222222"/>
        </w:rPr>
        <w:t>British Institute of Energy Economics: BIEE.</w:t>
      </w:r>
    </w:p>
  </w:footnote>
  <w:footnote w:id="56">
    <w:p w14:paraId="517BD6B7" w14:textId="00E3E3FF" w:rsidR="4395FF7F" w:rsidRDefault="4395FF7F" w:rsidP="4395FF7F">
      <w:pPr>
        <w:pStyle w:val="FootnoteText"/>
        <w:rPr>
          <w:color w:val="222222"/>
        </w:rPr>
      </w:pPr>
      <w:r w:rsidRPr="4395FF7F">
        <w:rPr>
          <w:rStyle w:val="FootnoteReference"/>
        </w:rPr>
        <w:footnoteRef/>
      </w:r>
      <w:r>
        <w:t xml:space="preserve"> Ibid</w:t>
      </w:r>
    </w:p>
  </w:footnote>
  <w:footnote w:id="57">
    <w:p w14:paraId="782F00DF" w14:textId="516B7C37" w:rsidR="4395FF7F" w:rsidRDefault="4395FF7F" w:rsidP="4395FF7F">
      <w:pPr>
        <w:pStyle w:val="FootnoteText"/>
      </w:pPr>
      <w:r w:rsidRPr="4395FF7F">
        <w:rPr>
          <w:rStyle w:val="FootnoteReference"/>
        </w:rPr>
        <w:footnoteRef/>
      </w:r>
      <w:r>
        <w:t xml:space="preserve"> Ofgem, (2020), Energy Regulation Sandbox: Guidance for Innovators, Open Government Licence. </w:t>
      </w:r>
    </w:p>
  </w:footnote>
  <w:footnote w:id="58">
    <w:p w14:paraId="6E435050" w14:textId="34089307" w:rsidR="4395FF7F" w:rsidRDefault="4395FF7F" w:rsidP="4395FF7F">
      <w:pPr>
        <w:pStyle w:val="FootnoteText"/>
      </w:pPr>
      <w:r w:rsidRPr="4395FF7F">
        <w:rPr>
          <w:rStyle w:val="FootnoteReference"/>
        </w:rPr>
        <w:footnoteRef/>
      </w:r>
      <w:r>
        <w:t xml:space="preserve"> </w:t>
      </w:r>
      <w:proofErr w:type="spellStart"/>
      <w:r>
        <w:t>Beckstedde</w:t>
      </w:r>
      <w:proofErr w:type="spellEnd"/>
      <w:r>
        <w:t xml:space="preserve">, E., Ramírez, M.C., </w:t>
      </w:r>
      <w:proofErr w:type="spellStart"/>
      <w:r>
        <w:t>Cossent</w:t>
      </w:r>
      <w:proofErr w:type="spellEnd"/>
      <w:r>
        <w:t xml:space="preserve">, R., </w:t>
      </w:r>
      <w:proofErr w:type="spellStart"/>
      <w:r>
        <w:t>Vanschoenwinkel</w:t>
      </w:r>
      <w:proofErr w:type="spellEnd"/>
      <w:r>
        <w:t xml:space="preserve">, J. and </w:t>
      </w:r>
      <w:proofErr w:type="spellStart"/>
      <w:r>
        <w:t>Meeus</w:t>
      </w:r>
      <w:proofErr w:type="spellEnd"/>
      <w:r>
        <w:t xml:space="preserve">, L. (2023) Regulatory sandboxes: Do they speed up innovation in </w:t>
      </w:r>
      <w:proofErr w:type="gramStart"/>
      <w:r>
        <w:t>energy?.</w:t>
      </w:r>
      <w:proofErr w:type="gramEnd"/>
      <w:r>
        <w:t xml:space="preserve"> </w:t>
      </w:r>
      <w:r w:rsidRPr="4395FF7F">
        <w:rPr>
          <w:i/>
          <w:iCs/>
        </w:rPr>
        <w:t>Energy Policy</w:t>
      </w:r>
      <w:r>
        <w:t>,180,113656</w:t>
      </w:r>
    </w:p>
  </w:footnote>
  <w:footnote w:id="59">
    <w:p w14:paraId="672FDFC7" w14:textId="25B86FE7" w:rsidR="008E3519" w:rsidRDefault="008E3519">
      <w:pPr>
        <w:pStyle w:val="FootnoteText"/>
      </w:pPr>
      <w:r>
        <w:rPr>
          <w:rStyle w:val="FootnoteReference"/>
        </w:rPr>
        <w:footnoteRef/>
      </w:r>
      <w:r>
        <w:t xml:space="preserve"> Hobbs, M.S., Murphy, L., Emden, J., Massey-Chase, B., Rankin, L and Frost, S. (2023) </w:t>
      </w:r>
      <w:r w:rsidRPr="008E3519">
        <w:rPr>
          <w:i/>
          <w:iCs/>
        </w:rPr>
        <w:t>Planning for Net Zero and Nature: A Better, Greener Planning System That Empowers Local Places.</w:t>
      </w:r>
      <w:r>
        <w:t xml:space="preserve"> London: IPPR.</w:t>
      </w:r>
    </w:p>
  </w:footnote>
  <w:footnote w:id="60">
    <w:p w14:paraId="60C6CA09" w14:textId="429C6EF7" w:rsidR="006E13BC" w:rsidRDefault="006E13BC">
      <w:pPr>
        <w:pStyle w:val="FootnoteText"/>
      </w:pPr>
      <w:r>
        <w:rPr>
          <w:rStyle w:val="FootnoteReference"/>
        </w:rPr>
        <w:footnoteRef/>
      </w:r>
      <w:r>
        <w:t xml:space="preserve"> Ibid</w:t>
      </w:r>
    </w:p>
  </w:footnote>
  <w:footnote w:id="61">
    <w:p w14:paraId="2AB16B5D" w14:textId="5302ADD9" w:rsidR="00253222" w:rsidRDefault="00253222">
      <w:pPr>
        <w:pStyle w:val="FootnoteText"/>
      </w:pPr>
      <w:r>
        <w:rPr>
          <w:rStyle w:val="FootnoteReference"/>
        </w:rPr>
        <w:footnoteRef/>
      </w:r>
      <w:r>
        <w:t xml:space="preserve"> </w:t>
      </w:r>
      <w:r w:rsidRPr="00253222">
        <w:t>Catney</w:t>
      </w:r>
      <w:r>
        <w:t>, P.</w:t>
      </w:r>
      <w:r w:rsidRPr="00253222">
        <w:t xml:space="preserve"> &amp; Henneberry</w:t>
      </w:r>
      <w:r>
        <w:t>, J.</w:t>
      </w:r>
      <w:r w:rsidRPr="00253222">
        <w:t xml:space="preserve"> (2012) (Not) Exercising Discretion: Environmental Planning and the Politics of Blame-Avoidance, </w:t>
      </w:r>
      <w:r w:rsidRPr="00253222">
        <w:rPr>
          <w:i/>
          <w:iCs/>
        </w:rPr>
        <w:t>Planning Theory &amp; Practice</w:t>
      </w:r>
      <w:r w:rsidRPr="00253222">
        <w:t>, 13</w:t>
      </w:r>
      <w:r>
        <w:t>(</w:t>
      </w:r>
      <w:r w:rsidRPr="00253222">
        <w:t>4</w:t>
      </w:r>
      <w:r>
        <w:t>)</w:t>
      </w:r>
      <w:r w:rsidRPr="00253222">
        <w:t>, 549-568 10.1080/14649357.2012.728002</w:t>
      </w:r>
    </w:p>
  </w:footnote>
  <w:footnote w:id="62">
    <w:p w14:paraId="00000115" w14:textId="27823C8D" w:rsidR="006864E3" w:rsidRPr="00D37903" w:rsidRDefault="00BC4AC1">
      <w:pPr>
        <w:spacing w:line="240" w:lineRule="auto"/>
        <w:rPr>
          <w:color w:val="000000" w:themeColor="text1"/>
          <w:sz w:val="20"/>
          <w:szCs w:val="20"/>
        </w:rPr>
      </w:pPr>
      <w:r w:rsidRPr="00D37903">
        <w:rPr>
          <w:color w:val="000000" w:themeColor="text1"/>
          <w:sz w:val="20"/>
          <w:szCs w:val="20"/>
          <w:vertAlign w:val="superscript"/>
        </w:rPr>
        <w:footnoteRef/>
      </w:r>
      <w:r w:rsidRPr="00D37903">
        <w:rPr>
          <w:color w:val="000000" w:themeColor="text1"/>
          <w:sz w:val="20"/>
          <w:szCs w:val="20"/>
        </w:rPr>
        <w:t xml:space="preserve"> </w:t>
      </w:r>
      <w:r w:rsidR="006E13BC" w:rsidRPr="00C34077">
        <w:rPr>
          <w:color w:val="000000" w:themeColor="text1"/>
        </w:rPr>
        <w:t>Sugar, K., &amp; Webb, J. (2022) Value for money</w:t>
      </w:r>
    </w:p>
  </w:footnote>
  <w:footnote w:id="63">
    <w:p w14:paraId="10097AC1" w14:textId="77777777" w:rsidR="00B02FC9" w:rsidRPr="00C34077" w:rsidRDefault="00B02FC9" w:rsidP="00B02FC9">
      <w:pPr>
        <w:pStyle w:val="FootnoteText"/>
        <w:rPr>
          <w:color w:val="000000" w:themeColor="text1"/>
        </w:rPr>
      </w:pPr>
      <w:r w:rsidRPr="00C34077">
        <w:rPr>
          <w:rStyle w:val="FootnoteReference"/>
          <w:color w:val="000000" w:themeColor="text1"/>
        </w:rPr>
        <w:footnoteRef/>
      </w:r>
      <w:r w:rsidRPr="00C34077">
        <w:rPr>
          <w:color w:val="000000" w:themeColor="text1"/>
        </w:rPr>
        <w:t xml:space="preserve"> Murtagh, N., </w:t>
      </w:r>
      <w:proofErr w:type="spellStart"/>
      <w:r w:rsidRPr="00C34077">
        <w:rPr>
          <w:color w:val="000000" w:themeColor="text1"/>
        </w:rPr>
        <w:t>Odeleye</w:t>
      </w:r>
      <w:proofErr w:type="spellEnd"/>
      <w:r w:rsidRPr="00C34077">
        <w:rPr>
          <w:color w:val="000000" w:themeColor="text1"/>
        </w:rPr>
        <w:t xml:space="preserve">, N. D., &amp; Maidment, C. (2019, September) Do Town Planners in England feel a professional responsibility for a climate-resilient built </w:t>
      </w:r>
      <w:proofErr w:type="gramStart"/>
      <w:r w:rsidRPr="00C34077">
        <w:rPr>
          <w:color w:val="000000" w:themeColor="text1"/>
        </w:rPr>
        <w:t>environment?.</w:t>
      </w:r>
      <w:proofErr w:type="gramEnd"/>
      <w:r w:rsidRPr="00C34077">
        <w:rPr>
          <w:color w:val="000000" w:themeColor="text1"/>
        </w:rPr>
        <w:t xml:space="preserve"> In </w:t>
      </w:r>
      <w:r w:rsidRPr="00C34077">
        <w:rPr>
          <w:i/>
          <w:iCs/>
          <w:color w:val="000000" w:themeColor="text1"/>
        </w:rPr>
        <w:t>IOP Conference Series: Earth and Environmental Science</w:t>
      </w:r>
      <w:r w:rsidRPr="00C34077">
        <w:rPr>
          <w:color w:val="000000" w:themeColor="text1"/>
        </w:rPr>
        <w:t xml:space="preserve"> (Vol. 297, p. 012036). IOP Publishing.</w:t>
      </w:r>
    </w:p>
  </w:footnote>
  <w:footnote w:id="64">
    <w:p w14:paraId="497CC5AC" w14:textId="77777777" w:rsidR="00B02FC9" w:rsidRDefault="00B02FC9" w:rsidP="00B02FC9">
      <w:pPr>
        <w:pStyle w:val="FootnoteText"/>
      </w:pPr>
      <w:r w:rsidRPr="00C34077">
        <w:rPr>
          <w:rStyle w:val="FootnoteReference"/>
          <w:color w:val="000000" w:themeColor="text1"/>
        </w:rPr>
        <w:footnoteRef/>
      </w:r>
      <w:r w:rsidRPr="00C34077">
        <w:rPr>
          <w:color w:val="000000" w:themeColor="text1"/>
        </w:rPr>
        <w:t xml:space="preserve"> Jankovic, L., Bharadwaj, P., &amp; Carta, S. (2021) How can UK housing projects </w:t>
      </w:r>
      <w:proofErr w:type="gramStart"/>
      <w:r w:rsidRPr="00C34077">
        <w:rPr>
          <w:color w:val="000000" w:themeColor="text1"/>
        </w:rPr>
        <w:t>be brought</w:t>
      </w:r>
      <w:proofErr w:type="gramEnd"/>
      <w:r w:rsidRPr="00C34077">
        <w:rPr>
          <w:color w:val="000000" w:themeColor="text1"/>
        </w:rPr>
        <w:t xml:space="preserve"> in line with net-zero carbon emission targets? </w:t>
      </w:r>
      <w:r w:rsidRPr="00C34077">
        <w:rPr>
          <w:i/>
          <w:iCs/>
          <w:color w:val="000000" w:themeColor="text1"/>
        </w:rPr>
        <w:t>Frontiers in Built Environment</w:t>
      </w:r>
      <w:r w:rsidRPr="00C34077">
        <w:rPr>
          <w:color w:val="000000" w:themeColor="text1"/>
        </w:rPr>
        <w:t>, 157.</w:t>
      </w:r>
    </w:p>
  </w:footnote>
  <w:footnote w:id="65">
    <w:p w14:paraId="52B84541" w14:textId="77777777" w:rsidR="00B02FC9" w:rsidRDefault="00B02FC9" w:rsidP="00B02FC9">
      <w:pPr>
        <w:pStyle w:val="FootnoteText"/>
      </w:pPr>
      <w:r w:rsidRPr="00B036F0">
        <w:rPr>
          <w:rStyle w:val="FootnoteReference"/>
        </w:rPr>
        <w:footnoteRef/>
      </w:r>
      <w:r>
        <w:t xml:space="preserve"> McKinsey (2021) Call for action: Seizing the decarbonization opportunity in construction, [online] available at </w:t>
      </w:r>
      <w:proofErr w:type="gramStart"/>
      <w:r>
        <w:t>https://www.mckinsey.com/industries/engineering-construction-and-building-materials/our-insights/call-for-action-seizing-the-decarbonization-opportunity-in-construction</w:t>
      </w:r>
      <w:proofErr w:type="gramEnd"/>
    </w:p>
  </w:footnote>
  <w:footnote w:id="66">
    <w:p w14:paraId="0000011D" w14:textId="13A21333" w:rsidR="006864E3" w:rsidRPr="00C34077" w:rsidRDefault="00BC4AC1">
      <w:pPr>
        <w:spacing w:line="240" w:lineRule="auto"/>
        <w:rPr>
          <w:sz w:val="20"/>
          <w:szCs w:val="20"/>
        </w:rPr>
      </w:pPr>
      <w:r w:rsidRPr="00C34077">
        <w:rPr>
          <w:sz w:val="20"/>
          <w:szCs w:val="20"/>
          <w:vertAlign w:val="superscript"/>
        </w:rPr>
        <w:footnoteRef/>
      </w:r>
      <w:r w:rsidRPr="00C34077">
        <w:rPr>
          <w:color w:val="222222"/>
          <w:sz w:val="20"/>
          <w:szCs w:val="20"/>
          <w:highlight w:val="white"/>
        </w:rPr>
        <w:t xml:space="preserve">Tingey, M., &amp; Webb, J. (2020) Governance institutions and prospects for local energy innovation: Laggards and leaders among UK local authorities. </w:t>
      </w:r>
      <w:r w:rsidRPr="00C34077">
        <w:rPr>
          <w:i/>
          <w:color w:val="222222"/>
          <w:sz w:val="20"/>
          <w:szCs w:val="20"/>
          <w:highlight w:val="white"/>
        </w:rPr>
        <w:t>Energy Policy</w:t>
      </w:r>
      <w:r w:rsidRPr="00C34077">
        <w:rPr>
          <w:color w:val="222222"/>
          <w:sz w:val="20"/>
          <w:szCs w:val="20"/>
          <w:highlight w:val="white"/>
        </w:rPr>
        <w:t xml:space="preserve">, </w:t>
      </w:r>
      <w:r w:rsidRPr="00C34077">
        <w:rPr>
          <w:i/>
          <w:color w:val="222222"/>
          <w:sz w:val="20"/>
          <w:szCs w:val="20"/>
          <w:highlight w:val="white"/>
        </w:rPr>
        <w:t>138</w:t>
      </w:r>
      <w:r w:rsidRPr="00C34077">
        <w:rPr>
          <w:color w:val="222222"/>
          <w:sz w:val="20"/>
          <w:szCs w:val="20"/>
          <w:highlight w:val="white"/>
        </w:rPr>
        <w:t>, 111211.</w:t>
      </w:r>
    </w:p>
  </w:footnote>
  <w:footnote w:id="67">
    <w:p w14:paraId="0000011E" w14:textId="4BC736FC" w:rsidR="006864E3" w:rsidRPr="00C34077" w:rsidRDefault="00BC4AC1">
      <w:pPr>
        <w:spacing w:line="240" w:lineRule="auto"/>
        <w:rPr>
          <w:sz w:val="20"/>
          <w:szCs w:val="20"/>
        </w:rPr>
      </w:pPr>
      <w:r w:rsidRPr="00C34077">
        <w:rPr>
          <w:sz w:val="20"/>
          <w:szCs w:val="20"/>
          <w:vertAlign w:val="superscript"/>
        </w:rPr>
        <w:footnoteRef/>
      </w:r>
      <w:r w:rsidRPr="00C34077">
        <w:rPr>
          <w:color w:val="222222"/>
          <w:sz w:val="20"/>
          <w:szCs w:val="20"/>
          <w:highlight w:val="white"/>
        </w:rPr>
        <w:t xml:space="preserve">Goldthau, A., &amp; Sovacool, B. K. (2012) The uniqueness of the energy security, justice, and governance problem. </w:t>
      </w:r>
      <w:r w:rsidRPr="00C34077">
        <w:rPr>
          <w:i/>
          <w:color w:val="222222"/>
          <w:sz w:val="20"/>
          <w:szCs w:val="20"/>
          <w:highlight w:val="white"/>
        </w:rPr>
        <w:t>Energy policy</w:t>
      </w:r>
      <w:r w:rsidRPr="00C34077">
        <w:rPr>
          <w:color w:val="222222"/>
          <w:sz w:val="20"/>
          <w:szCs w:val="20"/>
          <w:highlight w:val="white"/>
        </w:rPr>
        <w:t xml:space="preserve">, </w:t>
      </w:r>
      <w:r w:rsidRPr="00C34077">
        <w:rPr>
          <w:i/>
          <w:color w:val="222222"/>
          <w:sz w:val="20"/>
          <w:szCs w:val="20"/>
          <w:highlight w:val="white"/>
        </w:rPr>
        <w:t>41</w:t>
      </w:r>
      <w:r w:rsidRPr="00C34077">
        <w:rPr>
          <w:color w:val="222222"/>
          <w:sz w:val="20"/>
          <w:szCs w:val="20"/>
          <w:highlight w:val="white"/>
        </w:rPr>
        <w:t>, 232-240.</w:t>
      </w:r>
      <w:r w:rsidRPr="00C34077">
        <w:rPr>
          <w:sz w:val="20"/>
          <w:szCs w:val="20"/>
        </w:rPr>
        <w:t xml:space="preserve"> </w:t>
      </w:r>
    </w:p>
  </w:footnote>
  <w:footnote w:id="68">
    <w:p w14:paraId="0000011F" w14:textId="63C3A892"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Hodgson, M, Evans, J. and </w:t>
      </w:r>
      <w:proofErr w:type="spellStart"/>
      <w:r w:rsidRPr="00C34077">
        <w:rPr>
          <w:sz w:val="20"/>
          <w:szCs w:val="20"/>
        </w:rPr>
        <w:t>Schliwa</w:t>
      </w:r>
      <w:proofErr w:type="spellEnd"/>
      <w:r w:rsidRPr="00C34077">
        <w:rPr>
          <w:sz w:val="20"/>
          <w:szCs w:val="20"/>
        </w:rPr>
        <w:t xml:space="preserve">, G. (2018) Conditioning experimentation: The struggle for place-based discretion in shaping urban </w:t>
      </w:r>
      <w:r w:rsidR="006E61E5" w:rsidRPr="00C34077">
        <w:rPr>
          <w:sz w:val="20"/>
          <w:szCs w:val="20"/>
        </w:rPr>
        <w:t>infrastructures, Environment</w:t>
      </w:r>
      <w:r w:rsidRPr="00C34077">
        <w:rPr>
          <w:sz w:val="20"/>
          <w:szCs w:val="20"/>
        </w:rPr>
        <w:t xml:space="preserve"> and Planning C: Politics and Space, 36, 1480–1498</w:t>
      </w:r>
      <w:r w:rsidR="00C34077">
        <w:rPr>
          <w:sz w:val="20"/>
          <w:szCs w:val="20"/>
        </w:rPr>
        <w:t>.</w:t>
      </w:r>
    </w:p>
  </w:footnote>
  <w:footnote w:id="69">
    <w:p w14:paraId="00000120" w14:textId="7DEF635B" w:rsidR="006864E3" w:rsidRPr="00C34077" w:rsidRDefault="00BC4AC1">
      <w:pPr>
        <w:spacing w:line="240" w:lineRule="auto"/>
        <w:rPr>
          <w:sz w:val="20"/>
          <w:szCs w:val="20"/>
          <w:u w:val="single"/>
        </w:rPr>
      </w:pPr>
      <w:r w:rsidRPr="00C34077">
        <w:rPr>
          <w:sz w:val="20"/>
          <w:szCs w:val="20"/>
          <w:vertAlign w:val="superscript"/>
        </w:rPr>
        <w:footnoteRef/>
      </w:r>
      <w:r w:rsidRPr="00C34077">
        <w:rPr>
          <w:sz w:val="20"/>
          <w:szCs w:val="20"/>
        </w:rPr>
        <w:t xml:space="preserve"> Atkins G., Hoddinott S. (2020) Local government funding in England, Institute for Government Online last accessed 15/03/2022</w:t>
      </w:r>
      <w:r w:rsidR="00C34077">
        <w:rPr>
          <w:sz w:val="20"/>
          <w:szCs w:val="20"/>
        </w:rPr>
        <w:t>.</w:t>
      </w:r>
    </w:p>
  </w:footnote>
  <w:footnote w:id="70">
    <w:p w14:paraId="00000121" w14:textId="28060DF1" w:rsidR="006864E3" w:rsidRDefault="00BC4AC1">
      <w:pPr>
        <w:spacing w:line="240" w:lineRule="auto"/>
        <w:rPr>
          <w:sz w:val="20"/>
          <w:szCs w:val="20"/>
        </w:rPr>
      </w:pPr>
      <w:r w:rsidRPr="00C34077">
        <w:rPr>
          <w:sz w:val="20"/>
          <w:szCs w:val="20"/>
          <w:vertAlign w:val="superscript"/>
        </w:rPr>
        <w:footnoteRef/>
      </w:r>
      <w:r w:rsidRPr="00C34077">
        <w:rPr>
          <w:sz w:val="20"/>
          <w:szCs w:val="20"/>
        </w:rPr>
        <w:t xml:space="preserve"> </w:t>
      </w:r>
      <w:r w:rsidRPr="00C34077">
        <w:rPr>
          <w:sz w:val="20"/>
          <w:szCs w:val="20"/>
          <w:highlight w:val="white"/>
        </w:rPr>
        <w:t xml:space="preserve">Cowell, R., Ellis, G., Sherry-Brennan, F., Strachan, P. A., &amp; Toke, D. (2017) Rescaling the governance of renewable energy: lessons from the UK devolution experience. </w:t>
      </w:r>
      <w:r w:rsidRPr="00C34077">
        <w:rPr>
          <w:i/>
          <w:sz w:val="20"/>
          <w:szCs w:val="20"/>
          <w:highlight w:val="white"/>
        </w:rPr>
        <w:t>Journal of Environmental Policy &amp; Planning</w:t>
      </w:r>
      <w:r w:rsidRPr="00C34077">
        <w:rPr>
          <w:sz w:val="20"/>
          <w:szCs w:val="20"/>
          <w:highlight w:val="white"/>
        </w:rPr>
        <w:t xml:space="preserve">, </w:t>
      </w:r>
      <w:r w:rsidRPr="00C34077">
        <w:rPr>
          <w:i/>
          <w:sz w:val="20"/>
          <w:szCs w:val="20"/>
          <w:highlight w:val="white"/>
        </w:rPr>
        <w:t>19</w:t>
      </w:r>
      <w:r w:rsidRPr="00C34077">
        <w:rPr>
          <w:sz w:val="20"/>
          <w:szCs w:val="20"/>
          <w:highlight w:val="white"/>
        </w:rPr>
        <w:t>(5), 480-502.</w:t>
      </w:r>
    </w:p>
  </w:footnote>
  <w:footnote w:id="71">
    <w:p w14:paraId="66C36989" w14:textId="541B3915" w:rsidR="00ED352D" w:rsidRDefault="00ED352D">
      <w:pPr>
        <w:pStyle w:val="FootnoteText"/>
      </w:pPr>
      <w:r>
        <w:rPr>
          <w:rStyle w:val="FootnoteReference"/>
        </w:rPr>
        <w:footnoteRef/>
      </w:r>
      <w:r>
        <w:t xml:space="preserve"> </w:t>
      </w:r>
      <w:r w:rsidR="00383CB3">
        <w:t xml:space="preserve">Localis (2022) Local Resilience Act: Policy and Finance for Climate Resilience: </w:t>
      </w:r>
      <w:hyperlink r:id="rId5" w:history="1">
        <w:r w:rsidR="00383CB3" w:rsidRPr="0044104F">
          <w:rPr>
            <w:rStyle w:val="Hyperlink"/>
          </w:rPr>
          <w:t>https://www.localis.org.uk/research/local-resilience-act/</w:t>
        </w:r>
      </w:hyperlink>
      <w:r w:rsidR="00383CB3">
        <w:t xml:space="preserve"> (accessed: 18/6/23)</w:t>
      </w:r>
    </w:p>
  </w:footnote>
  <w:footnote w:id="72">
    <w:p w14:paraId="00000122" w14:textId="77777777"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Council Climate Scorecards, 2022, Scorecards, online accessed 12/12/2022.</w:t>
      </w:r>
    </w:p>
  </w:footnote>
  <w:footnote w:id="73">
    <w:p w14:paraId="00000123" w14:textId="77777777"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Council Climate Scorecards, 2022, Methodology, online accessed 12/12/2022.</w:t>
      </w:r>
    </w:p>
  </w:footnote>
  <w:footnote w:id="74">
    <w:p w14:paraId="00000124" w14:textId="4F4BE197"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Huxley R., </w:t>
      </w:r>
      <w:proofErr w:type="spellStart"/>
      <w:r w:rsidRPr="00C34077">
        <w:rPr>
          <w:sz w:val="20"/>
          <w:szCs w:val="20"/>
        </w:rPr>
        <w:t>Berensson</w:t>
      </w:r>
      <w:proofErr w:type="spellEnd"/>
      <w:r w:rsidRPr="00C34077">
        <w:rPr>
          <w:sz w:val="20"/>
          <w:szCs w:val="20"/>
        </w:rPr>
        <w:t xml:space="preserve"> M., Broek </w:t>
      </w:r>
      <w:proofErr w:type="spellStart"/>
      <w:r w:rsidRPr="00C34077">
        <w:rPr>
          <w:sz w:val="20"/>
          <w:szCs w:val="20"/>
        </w:rPr>
        <w:t>d’Obrenan</w:t>
      </w:r>
      <w:proofErr w:type="spellEnd"/>
      <w:r w:rsidRPr="00C34077">
        <w:rPr>
          <w:sz w:val="20"/>
          <w:szCs w:val="20"/>
        </w:rPr>
        <w:t xml:space="preserve"> H., Farhad N., Garg S., Roderick W., Gander S., Rao A., </w:t>
      </w:r>
      <w:proofErr w:type="spellStart"/>
      <w:r w:rsidRPr="00C34077">
        <w:rPr>
          <w:sz w:val="20"/>
          <w:szCs w:val="20"/>
        </w:rPr>
        <w:t>Sarfatti</w:t>
      </w:r>
      <w:proofErr w:type="spellEnd"/>
      <w:r w:rsidRPr="00C34077">
        <w:rPr>
          <w:sz w:val="20"/>
          <w:szCs w:val="20"/>
        </w:rPr>
        <w:t xml:space="preserve"> C., </w:t>
      </w:r>
      <w:proofErr w:type="spellStart"/>
      <w:r w:rsidRPr="00C34077">
        <w:rPr>
          <w:sz w:val="20"/>
          <w:szCs w:val="20"/>
        </w:rPr>
        <w:t>Ghojeh</w:t>
      </w:r>
      <w:proofErr w:type="spellEnd"/>
      <w:r w:rsidRPr="00C34077">
        <w:rPr>
          <w:sz w:val="20"/>
          <w:szCs w:val="20"/>
        </w:rPr>
        <w:t xml:space="preserve"> M., </w:t>
      </w:r>
      <w:proofErr w:type="spellStart"/>
      <w:r w:rsidRPr="00C34077">
        <w:rPr>
          <w:sz w:val="20"/>
          <w:szCs w:val="20"/>
        </w:rPr>
        <w:t>Coccol</w:t>
      </w:r>
      <w:proofErr w:type="spellEnd"/>
      <w:r w:rsidRPr="00C34077">
        <w:rPr>
          <w:sz w:val="20"/>
          <w:szCs w:val="20"/>
        </w:rPr>
        <w:t xml:space="preserve"> C</w:t>
      </w:r>
      <w:r w:rsidR="006E61E5" w:rsidRPr="00C34077">
        <w:rPr>
          <w:sz w:val="20"/>
          <w:szCs w:val="20"/>
        </w:rPr>
        <w:t>.</w:t>
      </w:r>
      <w:r w:rsidRPr="00C34077">
        <w:rPr>
          <w:sz w:val="20"/>
          <w:szCs w:val="20"/>
        </w:rPr>
        <w:t xml:space="preserve"> </w:t>
      </w:r>
      <w:r w:rsidR="006E61E5" w:rsidRPr="00C34077">
        <w:rPr>
          <w:sz w:val="20"/>
          <w:szCs w:val="20"/>
        </w:rPr>
        <w:t>(</w:t>
      </w:r>
      <w:r w:rsidRPr="00C34077">
        <w:rPr>
          <w:sz w:val="20"/>
          <w:szCs w:val="20"/>
        </w:rPr>
        <w:t>2021</w:t>
      </w:r>
      <w:r w:rsidR="006E61E5" w:rsidRPr="00C34077">
        <w:rPr>
          <w:sz w:val="20"/>
          <w:szCs w:val="20"/>
        </w:rPr>
        <w:t>)</w:t>
      </w:r>
      <w:r w:rsidRPr="00C34077">
        <w:rPr>
          <w:sz w:val="20"/>
          <w:szCs w:val="20"/>
        </w:rPr>
        <w:t xml:space="preserve"> Benefits of Urban Climate Action, C40 Cities, p7.</w:t>
      </w:r>
    </w:p>
  </w:footnote>
  <w:footnote w:id="75">
    <w:p w14:paraId="00000125" w14:textId="6590C556" w:rsidR="006864E3" w:rsidRDefault="00BC4AC1">
      <w:pPr>
        <w:spacing w:line="240" w:lineRule="auto"/>
        <w:rPr>
          <w:sz w:val="20"/>
          <w:szCs w:val="20"/>
        </w:rPr>
      </w:pPr>
      <w:r w:rsidRPr="00C34077">
        <w:rPr>
          <w:sz w:val="20"/>
          <w:szCs w:val="20"/>
          <w:vertAlign w:val="superscript"/>
        </w:rPr>
        <w:footnoteRef/>
      </w:r>
      <w:r w:rsidRPr="00C34077">
        <w:rPr>
          <w:sz w:val="20"/>
          <w:szCs w:val="20"/>
        </w:rPr>
        <w:t xml:space="preserve"> Data from Census 2021, in </w:t>
      </w:r>
      <w:proofErr w:type="spellStart"/>
      <w:r w:rsidRPr="00C34077">
        <w:rPr>
          <w:sz w:val="20"/>
          <w:szCs w:val="20"/>
        </w:rPr>
        <w:t>Varbes</w:t>
      </w:r>
      <w:proofErr w:type="spellEnd"/>
      <w:r w:rsidRPr="00C34077">
        <w:rPr>
          <w:sz w:val="20"/>
          <w:szCs w:val="20"/>
        </w:rPr>
        <w:t>, (2023) Demographic Data for Staffordshire, [online] last accessed 15/03/2023</w:t>
      </w:r>
      <w:r w:rsidR="00C34077">
        <w:rPr>
          <w:sz w:val="20"/>
          <w:szCs w:val="20"/>
        </w:rPr>
        <w:t>.</w:t>
      </w:r>
    </w:p>
  </w:footnote>
  <w:footnote w:id="76">
    <w:p w14:paraId="00000126" w14:textId="0581D894"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w:t>
      </w:r>
      <w:r w:rsidR="00D37903" w:rsidRPr="00C34077">
        <w:rPr>
          <w:sz w:val="20"/>
          <w:szCs w:val="20"/>
        </w:rPr>
        <w:t>All</w:t>
      </w:r>
      <w:r w:rsidRPr="00C34077">
        <w:rPr>
          <w:sz w:val="20"/>
          <w:szCs w:val="20"/>
        </w:rPr>
        <w:t xml:space="preserve"> the authors have </w:t>
      </w:r>
      <w:proofErr w:type="gramStart"/>
      <w:r w:rsidRPr="00C34077">
        <w:rPr>
          <w:sz w:val="20"/>
          <w:szCs w:val="20"/>
        </w:rPr>
        <w:t>extensive experience</w:t>
      </w:r>
      <w:proofErr w:type="gramEnd"/>
      <w:r w:rsidRPr="00C34077">
        <w:rPr>
          <w:sz w:val="20"/>
          <w:szCs w:val="20"/>
        </w:rPr>
        <w:t xml:space="preserve"> as local climate educators and practitioners within Staffordshire working with public, private and community groups to deliver change. Robinson (as chair) and Bedford sit on the Staffordshire Climate Commission, a cross sector climate collaboration within the county.</w:t>
      </w:r>
    </w:p>
  </w:footnote>
  <w:footnote w:id="77">
    <w:p w14:paraId="0E38123C" w14:textId="77777777" w:rsidR="001F0C5D" w:rsidRDefault="001F0C5D" w:rsidP="001F0C5D">
      <w:pPr>
        <w:spacing w:line="240" w:lineRule="auto"/>
        <w:rPr>
          <w:sz w:val="20"/>
          <w:szCs w:val="20"/>
        </w:rPr>
      </w:pPr>
      <w:r w:rsidRPr="00C34077">
        <w:rPr>
          <w:sz w:val="20"/>
          <w:szCs w:val="20"/>
          <w:vertAlign w:val="superscript"/>
        </w:rPr>
        <w:footnoteRef/>
      </w:r>
      <w:r w:rsidRPr="00C34077">
        <w:rPr>
          <w:sz w:val="20"/>
          <w:szCs w:val="20"/>
        </w:rPr>
        <w:t xml:space="preserve"> </w:t>
      </w:r>
      <w:r w:rsidRPr="00B87AA1">
        <w:rPr>
          <w:color w:val="000000" w:themeColor="text1"/>
          <w:sz w:val="20"/>
          <w:szCs w:val="20"/>
        </w:rPr>
        <w:t xml:space="preserve">In an America context this </w:t>
      </w:r>
      <w:proofErr w:type="gramStart"/>
      <w:r w:rsidRPr="00B87AA1">
        <w:rPr>
          <w:color w:val="000000" w:themeColor="text1"/>
          <w:sz w:val="20"/>
          <w:szCs w:val="20"/>
        </w:rPr>
        <w:t>was seen</w:t>
      </w:r>
      <w:proofErr w:type="gramEnd"/>
      <w:r w:rsidRPr="00B87AA1">
        <w:rPr>
          <w:color w:val="000000" w:themeColor="text1"/>
          <w:sz w:val="20"/>
          <w:szCs w:val="20"/>
        </w:rPr>
        <w:t xml:space="preserve"> in: </w:t>
      </w:r>
      <w:r w:rsidRPr="00B87AA1">
        <w:rPr>
          <w:color w:val="000000" w:themeColor="text1"/>
          <w:sz w:val="20"/>
          <w:szCs w:val="20"/>
          <w:highlight w:val="white"/>
        </w:rPr>
        <w:t xml:space="preserve">Bick, N. &amp; Keele, D. (2022). Sustainability and climate change: Understanding the political use of environmental terms in municipal governments. </w:t>
      </w:r>
      <w:r w:rsidRPr="00B87AA1">
        <w:rPr>
          <w:i/>
          <w:color w:val="000000" w:themeColor="text1"/>
          <w:sz w:val="20"/>
          <w:szCs w:val="20"/>
          <w:highlight w:val="white"/>
        </w:rPr>
        <w:t>Current Research in Environmental Sustainability</w:t>
      </w:r>
      <w:r w:rsidRPr="00B87AA1">
        <w:rPr>
          <w:color w:val="000000" w:themeColor="text1"/>
          <w:sz w:val="20"/>
          <w:szCs w:val="20"/>
          <w:highlight w:val="white"/>
        </w:rPr>
        <w:t xml:space="preserve">, </w:t>
      </w:r>
      <w:r w:rsidRPr="00B87AA1">
        <w:rPr>
          <w:i/>
          <w:color w:val="000000" w:themeColor="text1"/>
          <w:sz w:val="20"/>
          <w:szCs w:val="20"/>
          <w:highlight w:val="white"/>
        </w:rPr>
        <w:t>4</w:t>
      </w:r>
      <w:r w:rsidRPr="00B87AA1">
        <w:rPr>
          <w:color w:val="000000" w:themeColor="text1"/>
          <w:sz w:val="20"/>
          <w:szCs w:val="20"/>
          <w:highlight w:val="white"/>
        </w:rPr>
        <w:t>, 100145.</w:t>
      </w:r>
    </w:p>
  </w:footnote>
  <w:footnote w:id="78">
    <w:p w14:paraId="00000129" w14:textId="77777777" w:rsidR="006864E3" w:rsidRPr="00C34077" w:rsidRDefault="00BC4AC1">
      <w:pPr>
        <w:spacing w:line="240" w:lineRule="auto"/>
        <w:rPr>
          <w:color w:val="000000" w:themeColor="text1"/>
          <w:sz w:val="20"/>
          <w:szCs w:val="20"/>
        </w:rPr>
      </w:pPr>
      <w:r w:rsidRPr="00C34077">
        <w:rPr>
          <w:color w:val="000000" w:themeColor="text1"/>
          <w:sz w:val="20"/>
          <w:szCs w:val="20"/>
          <w:vertAlign w:val="superscript"/>
        </w:rPr>
        <w:footnoteRef/>
      </w:r>
      <w:r w:rsidRPr="00C34077">
        <w:rPr>
          <w:color w:val="000000" w:themeColor="text1"/>
          <w:sz w:val="20"/>
          <w:szCs w:val="20"/>
        </w:rPr>
        <w:t xml:space="preserve"> </w:t>
      </w:r>
      <w:r w:rsidRPr="00C34077">
        <w:rPr>
          <w:color w:val="000000" w:themeColor="text1"/>
          <w:sz w:val="20"/>
          <w:szCs w:val="20"/>
          <w:highlight w:val="white"/>
        </w:rPr>
        <w:t xml:space="preserve">Munck </w:t>
      </w:r>
      <w:proofErr w:type="spellStart"/>
      <w:r w:rsidRPr="00C34077">
        <w:rPr>
          <w:color w:val="000000" w:themeColor="text1"/>
          <w:sz w:val="20"/>
          <w:szCs w:val="20"/>
          <w:highlight w:val="white"/>
        </w:rPr>
        <w:t>af</w:t>
      </w:r>
      <w:proofErr w:type="spellEnd"/>
      <w:r w:rsidRPr="00C34077">
        <w:rPr>
          <w:color w:val="000000" w:themeColor="text1"/>
          <w:sz w:val="20"/>
          <w:szCs w:val="20"/>
          <w:highlight w:val="white"/>
        </w:rPr>
        <w:t xml:space="preserve"> </w:t>
      </w:r>
      <w:proofErr w:type="spellStart"/>
      <w:r w:rsidRPr="00C34077">
        <w:rPr>
          <w:color w:val="000000" w:themeColor="text1"/>
          <w:sz w:val="20"/>
          <w:szCs w:val="20"/>
          <w:highlight w:val="white"/>
        </w:rPr>
        <w:t>Rosenschöld</w:t>
      </w:r>
      <w:proofErr w:type="spellEnd"/>
      <w:r w:rsidRPr="00C34077">
        <w:rPr>
          <w:color w:val="000000" w:themeColor="text1"/>
          <w:sz w:val="20"/>
          <w:szCs w:val="20"/>
          <w:highlight w:val="white"/>
        </w:rPr>
        <w:t xml:space="preserve">, J., Rozema, J. G., &amp; Frye‐Levine, L. A. (2014). Institutional inertia and climate change: a review of the new institutionalist literature. </w:t>
      </w:r>
      <w:r w:rsidRPr="00C34077">
        <w:rPr>
          <w:i/>
          <w:color w:val="000000" w:themeColor="text1"/>
          <w:sz w:val="20"/>
          <w:szCs w:val="20"/>
          <w:highlight w:val="white"/>
        </w:rPr>
        <w:t>Wiley Interdisciplinary Reviews: Climate Change</w:t>
      </w:r>
      <w:r w:rsidRPr="00C34077">
        <w:rPr>
          <w:color w:val="000000" w:themeColor="text1"/>
          <w:sz w:val="20"/>
          <w:szCs w:val="20"/>
          <w:highlight w:val="white"/>
        </w:rPr>
        <w:t xml:space="preserve">, </w:t>
      </w:r>
      <w:r w:rsidRPr="00C34077">
        <w:rPr>
          <w:i/>
          <w:color w:val="000000" w:themeColor="text1"/>
          <w:sz w:val="20"/>
          <w:szCs w:val="20"/>
          <w:highlight w:val="white"/>
        </w:rPr>
        <w:t>5</w:t>
      </w:r>
      <w:r w:rsidRPr="00C34077">
        <w:rPr>
          <w:color w:val="000000" w:themeColor="text1"/>
          <w:sz w:val="20"/>
          <w:szCs w:val="20"/>
          <w:highlight w:val="white"/>
        </w:rPr>
        <w:t>(5), 639-648.</w:t>
      </w:r>
    </w:p>
  </w:footnote>
  <w:footnote w:id="79">
    <w:p w14:paraId="0000012A" w14:textId="78815B5F" w:rsidR="006864E3" w:rsidRDefault="00BC4AC1">
      <w:pPr>
        <w:spacing w:line="240" w:lineRule="auto"/>
        <w:rPr>
          <w:sz w:val="20"/>
          <w:szCs w:val="20"/>
        </w:rPr>
      </w:pPr>
      <w:r w:rsidRPr="00C34077">
        <w:rPr>
          <w:color w:val="000000" w:themeColor="text1"/>
          <w:sz w:val="20"/>
          <w:szCs w:val="20"/>
          <w:vertAlign w:val="superscript"/>
        </w:rPr>
        <w:footnoteRef/>
      </w:r>
      <w:r w:rsidRPr="00C34077">
        <w:rPr>
          <w:color w:val="000000" w:themeColor="text1"/>
          <w:sz w:val="20"/>
          <w:szCs w:val="20"/>
        </w:rPr>
        <w:t xml:space="preserve"> Our research offers a snapshot of action undertaken in 2022, but in trying to explain why areas like Nottingham or Leicester have adopted </w:t>
      </w:r>
      <w:proofErr w:type="gramStart"/>
      <w:r w:rsidR="00D37903">
        <w:rPr>
          <w:color w:val="000000" w:themeColor="text1"/>
          <w:sz w:val="20"/>
          <w:szCs w:val="20"/>
        </w:rPr>
        <w:t xml:space="preserve">particular </w:t>
      </w:r>
      <w:r w:rsidR="00ED35F3" w:rsidRPr="00C34077">
        <w:rPr>
          <w:color w:val="000000" w:themeColor="text1"/>
          <w:sz w:val="20"/>
          <w:szCs w:val="20"/>
        </w:rPr>
        <w:t>approaches</w:t>
      </w:r>
      <w:proofErr w:type="gramEnd"/>
      <w:r w:rsidRPr="00C34077">
        <w:rPr>
          <w:color w:val="000000" w:themeColor="text1"/>
          <w:sz w:val="20"/>
          <w:szCs w:val="20"/>
        </w:rPr>
        <w:t xml:space="preserve"> to environmental matters, it is clear that the policy inheritance of past decades matters. Leicester, for example, has </w:t>
      </w:r>
      <w:proofErr w:type="gramStart"/>
      <w:r w:rsidRPr="00C34077">
        <w:rPr>
          <w:color w:val="000000" w:themeColor="text1"/>
          <w:sz w:val="20"/>
          <w:szCs w:val="20"/>
        </w:rPr>
        <w:t>been considered</w:t>
      </w:r>
      <w:proofErr w:type="gramEnd"/>
      <w:r w:rsidRPr="00C34077">
        <w:rPr>
          <w:color w:val="000000" w:themeColor="text1"/>
          <w:sz w:val="20"/>
          <w:szCs w:val="20"/>
        </w:rPr>
        <w:t xml:space="preserve"> an environmental leader for decades and hence wants to retain this reputation. Similar consciousness of past actions and reputation played into the decisions of Nottingham, the city where the Nottingham Declaration </w:t>
      </w:r>
      <w:proofErr w:type="gramStart"/>
      <w:r w:rsidRPr="00C34077">
        <w:rPr>
          <w:color w:val="000000" w:themeColor="text1"/>
          <w:sz w:val="20"/>
          <w:szCs w:val="20"/>
        </w:rPr>
        <w:t>was agreed</w:t>
      </w:r>
      <w:proofErr w:type="gramEnd"/>
      <w:r w:rsidRPr="00C34077">
        <w:rPr>
          <w:color w:val="000000" w:themeColor="text1"/>
          <w:sz w:val="20"/>
          <w:szCs w:val="20"/>
        </w:rPr>
        <w:t xml:space="preserve"> in 2000.</w:t>
      </w:r>
    </w:p>
  </w:footnote>
  <w:footnote w:id="80">
    <w:p w14:paraId="0000012B" w14:textId="44F6DCF6" w:rsidR="006864E3" w:rsidRPr="00C34077" w:rsidRDefault="00BC4AC1">
      <w:pPr>
        <w:spacing w:line="240" w:lineRule="auto"/>
        <w:rPr>
          <w:color w:val="000000" w:themeColor="text1"/>
          <w:sz w:val="20"/>
          <w:szCs w:val="20"/>
        </w:rPr>
      </w:pPr>
      <w:r w:rsidRPr="00C34077">
        <w:rPr>
          <w:color w:val="000000" w:themeColor="text1"/>
          <w:sz w:val="20"/>
          <w:szCs w:val="20"/>
          <w:vertAlign w:val="superscript"/>
        </w:rPr>
        <w:footnoteRef/>
      </w:r>
      <w:r w:rsidRPr="00C34077">
        <w:rPr>
          <w:color w:val="000000" w:themeColor="text1"/>
          <w:sz w:val="20"/>
          <w:szCs w:val="20"/>
        </w:rPr>
        <w:t xml:space="preserve"> </w:t>
      </w:r>
      <w:r w:rsidRPr="00C34077">
        <w:rPr>
          <w:color w:val="000000" w:themeColor="text1"/>
          <w:sz w:val="20"/>
          <w:szCs w:val="20"/>
          <w:highlight w:val="white"/>
        </w:rPr>
        <w:t>Simcock, N., MacGregor, S., Catney, P., Dobson, A., Ormerod, M., Robinson, Z.,</w:t>
      </w:r>
      <w:r w:rsidR="00D37903">
        <w:rPr>
          <w:color w:val="000000" w:themeColor="text1"/>
          <w:sz w:val="20"/>
          <w:szCs w:val="20"/>
          <w:highlight w:val="white"/>
        </w:rPr>
        <w:t xml:space="preserve"> </w:t>
      </w:r>
      <w:r w:rsidRPr="00C34077">
        <w:rPr>
          <w:color w:val="000000" w:themeColor="text1"/>
          <w:sz w:val="20"/>
          <w:szCs w:val="20"/>
          <w:highlight w:val="white"/>
        </w:rPr>
        <w:t xml:space="preserve">&amp; Hall, S. M. (2014). Factors influencing perceptions of domestic energy information: Content, </w:t>
      </w:r>
      <w:proofErr w:type="gramStart"/>
      <w:r w:rsidRPr="00C34077">
        <w:rPr>
          <w:color w:val="000000" w:themeColor="text1"/>
          <w:sz w:val="20"/>
          <w:szCs w:val="20"/>
          <w:highlight w:val="white"/>
        </w:rPr>
        <w:t>source</w:t>
      </w:r>
      <w:proofErr w:type="gramEnd"/>
      <w:r w:rsidRPr="00C34077">
        <w:rPr>
          <w:color w:val="000000" w:themeColor="text1"/>
          <w:sz w:val="20"/>
          <w:szCs w:val="20"/>
          <w:highlight w:val="white"/>
        </w:rPr>
        <w:t xml:space="preserve"> and process. </w:t>
      </w:r>
      <w:r w:rsidRPr="00C34077">
        <w:rPr>
          <w:i/>
          <w:color w:val="000000" w:themeColor="text1"/>
          <w:sz w:val="20"/>
          <w:szCs w:val="20"/>
          <w:highlight w:val="white"/>
        </w:rPr>
        <w:t>Energy Policy</w:t>
      </w:r>
      <w:r w:rsidRPr="00C34077">
        <w:rPr>
          <w:color w:val="000000" w:themeColor="text1"/>
          <w:sz w:val="20"/>
          <w:szCs w:val="20"/>
          <w:highlight w:val="white"/>
        </w:rPr>
        <w:t xml:space="preserve">, </w:t>
      </w:r>
      <w:r w:rsidRPr="00C34077">
        <w:rPr>
          <w:i/>
          <w:color w:val="000000" w:themeColor="text1"/>
          <w:sz w:val="20"/>
          <w:szCs w:val="20"/>
          <w:highlight w:val="white"/>
        </w:rPr>
        <w:t>65</w:t>
      </w:r>
      <w:r w:rsidRPr="00C34077">
        <w:rPr>
          <w:color w:val="000000" w:themeColor="text1"/>
          <w:sz w:val="20"/>
          <w:szCs w:val="20"/>
          <w:highlight w:val="white"/>
        </w:rPr>
        <w:t>, 455-464.</w:t>
      </w:r>
    </w:p>
  </w:footnote>
  <w:footnote w:id="81">
    <w:p w14:paraId="0000012C" w14:textId="77777777" w:rsidR="006864E3" w:rsidRPr="00C34077" w:rsidRDefault="00BC4AC1">
      <w:pPr>
        <w:spacing w:line="240" w:lineRule="auto"/>
        <w:rPr>
          <w:color w:val="000000" w:themeColor="text1"/>
          <w:sz w:val="20"/>
          <w:szCs w:val="20"/>
          <w:highlight w:val="white"/>
        </w:rPr>
      </w:pPr>
      <w:r w:rsidRPr="00C34077">
        <w:rPr>
          <w:color w:val="000000" w:themeColor="text1"/>
          <w:sz w:val="20"/>
          <w:szCs w:val="20"/>
          <w:vertAlign w:val="superscript"/>
        </w:rPr>
        <w:footnoteRef/>
      </w:r>
      <w:r w:rsidRPr="00C34077">
        <w:rPr>
          <w:color w:val="000000" w:themeColor="text1"/>
          <w:sz w:val="20"/>
          <w:szCs w:val="20"/>
        </w:rPr>
        <w:t xml:space="preserve"> </w:t>
      </w:r>
      <w:r w:rsidRPr="00C34077">
        <w:rPr>
          <w:color w:val="000000" w:themeColor="text1"/>
          <w:sz w:val="20"/>
          <w:szCs w:val="20"/>
          <w:highlight w:val="white"/>
        </w:rPr>
        <w:t xml:space="preserve">Di Gregorio, M., </w:t>
      </w:r>
      <w:proofErr w:type="spellStart"/>
      <w:r w:rsidRPr="00C34077">
        <w:rPr>
          <w:color w:val="000000" w:themeColor="text1"/>
          <w:sz w:val="20"/>
          <w:szCs w:val="20"/>
          <w:highlight w:val="white"/>
        </w:rPr>
        <w:t>Fatorelli</w:t>
      </w:r>
      <w:proofErr w:type="spellEnd"/>
      <w:r w:rsidRPr="00C34077">
        <w:rPr>
          <w:color w:val="000000" w:themeColor="text1"/>
          <w:sz w:val="20"/>
          <w:szCs w:val="20"/>
          <w:highlight w:val="white"/>
        </w:rPr>
        <w:t xml:space="preserve">, L., Paavola, J., Locatelli, B., </w:t>
      </w:r>
      <w:proofErr w:type="spellStart"/>
      <w:r w:rsidRPr="00C34077">
        <w:rPr>
          <w:color w:val="000000" w:themeColor="text1"/>
          <w:sz w:val="20"/>
          <w:szCs w:val="20"/>
          <w:highlight w:val="white"/>
        </w:rPr>
        <w:t>Pramova</w:t>
      </w:r>
      <w:proofErr w:type="spellEnd"/>
      <w:r w:rsidRPr="00C34077">
        <w:rPr>
          <w:color w:val="000000" w:themeColor="text1"/>
          <w:sz w:val="20"/>
          <w:szCs w:val="20"/>
          <w:highlight w:val="white"/>
        </w:rPr>
        <w:t xml:space="preserve">, E., </w:t>
      </w:r>
      <w:proofErr w:type="spellStart"/>
      <w:r w:rsidRPr="00C34077">
        <w:rPr>
          <w:color w:val="000000" w:themeColor="text1"/>
          <w:sz w:val="20"/>
          <w:szCs w:val="20"/>
          <w:highlight w:val="white"/>
        </w:rPr>
        <w:t>Nurrochmat</w:t>
      </w:r>
      <w:proofErr w:type="spellEnd"/>
      <w:r w:rsidRPr="00C34077">
        <w:rPr>
          <w:color w:val="000000" w:themeColor="text1"/>
          <w:sz w:val="20"/>
          <w:szCs w:val="20"/>
          <w:highlight w:val="white"/>
        </w:rPr>
        <w:t xml:space="preserve">, D. R., ... &amp; </w:t>
      </w:r>
      <w:proofErr w:type="spellStart"/>
      <w:r w:rsidRPr="00C34077">
        <w:rPr>
          <w:color w:val="000000" w:themeColor="text1"/>
          <w:sz w:val="20"/>
          <w:szCs w:val="20"/>
          <w:highlight w:val="white"/>
        </w:rPr>
        <w:t>Kusumadewi</w:t>
      </w:r>
      <w:proofErr w:type="spellEnd"/>
      <w:r w:rsidRPr="00C34077">
        <w:rPr>
          <w:color w:val="000000" w:themeColor="text1"/>
          <w:sz w:val="20"/>
          <w:szCs w:val="20"/>
          <w:highlight w:val="white"/>
        </w:rPr>
        <w:t xml:space="preserve">, S. D. (2019). Multi-level governance and power in climate change policy networks. </w:t>
      </w:r>
      <w:r w:rsidRPr="00C34077">
        <w:rPr>
          <w:i/>
          <w:color w:val="000000" w:themeColor="text1"/>
          <w:sz w:val="20"/>
          <w:szCs w:val="20"/>
          <w:highlight w:val="white"/>
        </w:rPr>
        <w:t>Global environmental change</w:t>
      </w:r>
      <w:r w:rsidRPr="00C34077">
        <w:rPr>
          <w:color w:val="000000" w:themeColor="text1"/>
          <w:sz w:val="20"/>
          <w:szCs w:val="20"/>
          <w:highlight w:val="white"/>
        </w:rPr>
        <w:t xml:space="preserve">, </w:t>
      </w:r>
      <w:r w:rsidRPr="00C34077">
        <w:rPr>
          <w:i/>
          <w:color w:val="000000" w:themeColor="text1"/>
          <w:sz w:val="20"/>
          <w:szCs w:val="20"/>
          <w:highlight w:val="white"/>
        </w:rPr>
        <w:t>54</w:t>
      </w:r>
      <w:r w:rsidRPr="00C34077">
        <w:rPr>
          <w:color w:val="000000" w:themeColor="text1"/>
          <w:sz w:val="20"/>
          <w:szCs w:val="20"/>
          <w:highlight w:val="white"/>
        </w:rPr>
        <w:t>, 64-77.</w:t>
      </w:r>
    </w:p>
  </w:footnote>
  <w:footnote w:id="82">
    <w:p w14:paraId="6C721B37" w14:textId="0734C2B7" w:rsidR="001520D7" w:rsidRDefault="001520D7" w:rsidP="001520D7">
      <w:pPr>
        <w:pStyle w:val="FootnoteText"/>
      </w:pPr>
      <w:r>
        <w:rPr>
          <w:rStyle w:val="FootnoteReference"/>
        </w:rPr>
        <w:footnoteRef/>
      </w:r>
      <w:r>
        <w:t xml:space="preserve"> Torfing, J., Peters B.G., Pierre, J. &amp; Sørensen, E. (2012</w:t>
      </w:r>
      <w:r w:rsidRPr="001520D7">
        <w:rPr>
          <w:i/>
          <w:iCs/>
        </w:rPr>
        <w:t>) Interactive Governance: Advancing the Paradigm</w:t>
      </w:r>
      <w:r>
        <w:t>. Oxford: Oxford University Press.</w:t>
      </w:r>
    </w:p>
  </w:footnote>
  <w:footnote w:id="83">
    <w:p w14:paraId="0000012D" w14:textId="77777777" w:rsidR="006864E3" w:rsidRDefault="00BC4AC1">
      <w:pPr>
        <w:spacing w:line="240" w:lineRule="auto"/>
        <w:rPr>
          <w:sz w:val="20"/>
          <w:szCs w:val="20"/>
        </w:rPr>
      </w:pPr>
      <w:r w:rsidRPr="00C34077">
        <w:rPr>
          <w:color w:val="000000" w:themeColor="text1"/>
          <w:sz w:val="20"/>
          <w:szCs w:val="20"/>
          <w:vertAlign w:val="superscript"/>
        </w:rPr>
        <w:footnoteRef/>
      </w:r>
      <w:r w:rsidRPr="00C34077">
        <w:rPr>
          <w:color w:val="000000" w:themeColor="text1"/>
          <w:sz w:val="20"/>
          <w:szCs w:val="20"/>
        </w:rPr>
        <w:t xml:space="preserve"> Climate Change Committee, 2020, </w:t>
      </w:r>
      <w:r w:rsidRPr="00C34077">
        <w:rPr>
          <w:i/>
          <w:color w:val="000000" w:themeColor="text1"/>
          <w:sz w:val="20"/>
          <w:szCs w:val="20"/>
        </w:rPr>
        <w:t xml:space="preserve">Local Authorities, </w:t>
      </w:r>
      <w:r w:rsidRPr="00C34077">
        <w:rPr>
          <w:color w:val="000000" w:themeColor="text1"/>
          <w:sz w:val="20"/>
          <w:szCs w:val="20"/>
        </w:rPr>
        <w:t xml:space="preserve">p7. </w:t>
      </w:r>
    </w:p>
  </w:footnote>
  <w:footnote w:id="84">
    <w:p w14:paraId="22470A00" w14:textId="77777777" w:rsidR="002C0FED" w:rsidRPr="00C34077" w:rsidRDefault="002C0FED" w:rsidP="002C0FED">
      <w:pPr>
        <w:pStyle w:val="FootnoteText"/>
        <w:rPr>
          <w:color w:val="000000" w:themeColor="text1"/>
        </w:rPr>
      </w:pPr>
      <w:r w:rsidRPr="00C34077">
        <w:rPr>
          <w:rStyle w:val="FootnoteReference"/>
          <w:color w:val="000000" w:themeColor="text1"/>
        </w:rPr>
        <w:footnoteRef/>
      </w:r>
      <w:r w:rsidRPr="00C34077">
        <w:rPr>
          <w:color w:val="000000" w:themeColor="text1"/>
        </w:rPr>
        <w:t xml:space="preserve"> Davoudi, S. (2013) Climate change and the role of spatial planning in England. </w:t>
      </w:r>
      <w:r w:rsidRPr="00C34077">
        <w:rPr>
          <w:i/>
          <w:iCs/>
          <w:color w:val="000000" w:themeColor="text1"/>
        </w:rPr>
        <w:t>Climate Change Governance</w:t>
      </w:r>
      <w:r w:rsidRPr="00C34077">
        <w:rPr>
          <w:color w:val="000000" w:themeColor="text1"/>
        </w:rPr>
        <w:t>, 153-169.</w:t>
      </w:r>
    </w:p>
  </w:footnote>
  <w:footnote w:id="85">
    <w:p w14:paraId="10987C81" w14:textId="12BBB5EA" w:rsidR="00B036F0" w:rsidRPr="00C34077" w:rsidRDefault="00B036F0" w:rsidP="00404057">
      <w:pPr>
        <w:pStyle w:val="FootnoteText"/>
        <w:rPr>
          <w:color w:val="000000" w:themeColor="text1"/>
        </w:rPr>
      </w:pPr>
      <w:r w:rsidRPr="00C34077">
        <w:rPr>
          <w:rStyle w:val="FootnoteReference"/>
          <w:color w:val="000000" w:themeColor="text1"/>
        </w:rPr>
        <w:footnoteRef/>
      </w:r>
      <w:r w:rsidRPr="00C34077">
        <w:rPr>
          <w:color w:val="000000" w:themeColor="text1"/>
        </w:rPr>
        <w:t xml:space="preserve"> Gudde, P., Oakes, J., Cochrane, P., Caldwell, N., &amp; Bury, N. (2021) The role of UK local government in delivering on net zero carbon commitments: You've declared a Climate Emergency, so what's the </w:t>
      </w:r>
      <w:proofErr w:type="gramStart"/>
      <w:r w:rsidRPr="00C34077">
        <w:rPr>
          <w:color w:val="000000" w:themeColor="text1"/>
        </w:rPr>
        <w:t>plan?.</w:t>
      </w:r>
      <w:proofErr w:type="gramEnd"/>
      <w:r w:rsidRPr="00C34077">
        <w:rPr>
          <w:color w:val="000000" w:themeColor="text1"/>
        </w:rPr>
        <w:t xml:space="preserve"> </w:t>
      </w:r>
      <w:r w:rsidRPr="00C34077">
        <w:rPr>
          <w:i/>
          <w:iCs/>
          <w:color w:val="000000" w:themeColor="text1"/>
        </w:rPr>
        <w:t>Energy Policy</w:t>
      </w:r>
      <w:r w:rsidRPr="00C34077">
        <w:rPr>
          <w:color w:val="000000" w:themeColor="text1"/>
        </w:rPr>
        <w:t xml:space="preserve">, </w:t>
      </w:r>
      <w:r w:rsidRPr="00C34077">
        <w:rPr>
          <w:i/>
          <w:iCs/>
          <w:color w:val="000000" w:themeColor="text1"/>
        </w:rPr>
        <w:t>154</w:t>
      </w:r>
      <w:r w:rsidRPr="00C34077">
        <w:rPr>
          <w:color w:val="000000" w:themeColor="text1"/>
        </w:rPr>
        <w:t>, 112245</w:t>
      </w:r>
      <w:r w:rsidR="00F9097E">
        <w:rPr>
          <w:color w:val="000000" w:themeColor="text1"/>
        </w:rPr>
        <w:t xml:space="preserve">; </w:t>
      </w:r>
      <w:proofErr w:type="spellStart"/>
      <w:r w:rsidR="00F9097E" w:rsidRPr="00F9097E">
        <w:rPr>
          <w:color w:val="000000" w:themeColor="text1"/>
        </w:rPr>
        <w:t>Sudmant</w:t>
      </w:r>
      <w:proofErr w:type="spellEnd"/>
      <w:r w:rsidR="00F9097E" w:rsidRPr="00F9097E">
        <w:rPr>
          <w:color w:val="000000" w:themeColor="text1"/>
        </w:rPr>
        <w:t>, A</w:t>
      </w:r>
      <w:r w:rsidR="00F9097E">
        <w:rPr>
          <w:color w:val="000000" w:themeColor="text1"/>
        </w:rPr>
        <w:t xml:space="preserve">., </w:t>
      </w:r>
      <w:r w:rsidR="00F9097E" w:rsidRPr="00F9097E">
        <w:rPr>
          <w:color w:val="000000" w:themeColor="text1"/>
        </w:rPr>
        <w:t>Howarth, C</w:t>
      </w:r>
      <w:r w:rsidR="00F9097E">
        <w:rPr>
          <w:color w:val="000000" w:themeColor="text1"/>
        </w:rPr>
        <w:t>.</w:t>
      </w:r>
      <w:r w:rsidR="00F9097E" w:rsidRPr="00F9097E">
        <w:rPr>
          <w:color w:val="000000" w:themeColor="text1"/>
        </w:rPr>
        <w:t xml:space="preserve"> </w:t>
      </w:r>
      <w:r w:rsidR="00F9097E">
        <w:rPr>
          <w:color w:val="000000" w:themeColor="text1"/>
        </w:rPr>
        <w:t>&amp; Lane, M. (2022)</w:t>
      </w:r>
      <w:r w:rsidR="00F9097E" w:rsidRPr="00F9097E">
        <w:rPr>
          <w:color w:val="000000" w:themeColor="text1"/>
        </w:rPr>
        <w:t xml:space="preserve"> Missing the Target: Are Local Climate Targets Aligned with National Net Zero </w:t>
      </w:r>
      <w:proofErr w:type="gramStart"/>
      <w:r w:rsidR="00F9097E" w:rsidRPr="00F9097E">
        <w:rPr>
          <w:color w:val="000000" w:themeColor="text1"/>
        </w:rPr>
        <w:t>Ambitions?.</w:t>
      </w:r>
      <w:proofErr w:type="gramEnd"/>
      <w:r w:rsidR="00F9097E" w:rsidRPr="00F9097E">
        <w:rPr>
          <w:color w:val="000000" w:themeColor="text1"/>
        </w:rPr>
        <w:t xml:space="preserve"> Available at SSRN: </w:t>
      </w:r>
      <w:hyperlink r:id="rId6" w:history="1">
        <w:r w:rsidR="00F9097E" w:rsidRPr="00823325">
          <w:rPr>
            <w:rStyle w:val="Hyperlink"/>
          </w:rPr>
          <w:t>https://ssrn.com/abstract=4021672</w:t>
        </w:r>
      </w:hyperlink>
      <w:r w:rsidR="00F9097E">
        <w:rPr>
          <w:color w:val="000000" w:themeColor="text1"/>
        </w:rPr>
        <w:t xml:space="preserve"> </w:t>
      </w:r>
      <w:r w:rsidR="00F9097E" w:rsidRPr="00F9097E">
        <w:rPr>
          <w:color w:val="000000" w:themeColor="text1"/>
        </w:rPr>
        <w:t xml:space="preserve">or </w:t>
      </w:r>
      <w:hyperlink r:id="rId7" w:history="1">
        <w:r w:rsidR="00F9097E" w:rsidRPr="00823325">
          <w:rPr>
            <w:rStyle w:val="Hyperlink"/>
          </w:rPr>
          <w:t>http://dx.doi.org/10.2139/ssrn.4021672</w:t>
        </w:r>
      </w:hyperlink>
      <w:r w:rsidR="00F9097E">
        <w:rPr>
          <w:color w:val="000000" w:themeColor="text1"/>
        </w:rPr>
        <w:t xml:space="preserve"> </w:t>
      </w:r>
    </w:p>
  </w:footnote>
  <w:footnote w:id="86">
    <w:p w14:paraId="27386968" w14:textId="0C8D56C4" w:rsidR="004C03C9" w:rsidRDefault="004C03C9" w:rsidP="004C03C9">
      <w:pPr>
        <w:pStyle w:val="FootnoteText"/>
      </w:pPr>
      <w:r>
        <w:rPr>
          <w:rStyle w:val="FootnoteReference"/>
        </w:rPr>
        <w:footnoteRef/>
      </w:r>
      <w:r>
        <w:t xml:space="preserve"> </w:t>
      </w:r>
      <w:proofErr w:type="gramStart"/>
      <w:r>
        <w:t>Ibid;</w:t>
      </w:r>
      <w:proofErr w:type="gramEnd"/>
      <w:r>
        <w:t xml:space="preserve"> see also: Wade, F., Webb, J. &amp; Creamer, E. (2022) Local government capacities to support net zero: Developing comprehensive heat and energy efficiency strategies in Scotland. </w:t>
      </w:r>
      <w:r w:rsidRPr="004C03C9">
        <w:rPr>
          <w:i/>
          <w:iCs/>
        </w:rPr>
        <w:t>Energy Research &amp; Social Science</w:t>
      </w:r>
      <w:r>
        <w:t>, 89, 102544.</w:t>
      </w:r>
    </w:p>
  </w:footnote>
  <w:footnote w:id="87">
    <w:p w14:paraId="0000012E" w14:textId="34A036DA" w:rsidR="006864E3" w:rsidRDefault="00BC4AC1">
      <w:pPr>
        <w:spacing w:line="240" w:lineRule="auto"/>
        <w:rPr>
          <w:sz w:val="20"/>
          <w:szCs w:val="20"/>
        </w:rPr>
      </w:pPr>
      <w:r w:rsidRPr="00C34077">
        <w:rPr>
          <w:color w:val="000000" w:themeColor="text1"/>
          <w:sz w:val="20"/>
          <w:szCs w:val="20"/>
          <w:vertAlign w:val="superscript"/>
        </w:rPr>
        <w:footnoteRef/>
      </w:r>
      <w:r w:rsidRPr="00C34077">
        <w:rPr>
          <w:color w:val="000000" w:themeColor="text1"/>
          <w:sz w:val="20"/>
          <w:szCs w:val="20"/>
        </w:rPr>
        <w:t xml:space="preserve"> </w:t>
      </w:r>
      <w:r w:rsidRPr="00C34077">
        <w:rPr>
          <w:color w:val="000000" w:themeColor="text1"/>
          <w:sz w:val="20"/>
          <w:szCs w:val="20"/>
          <w:highlight w:val="white"/>
        </w:rPr>
        <w:t xml:space="preserve">Carlisle, K., &amp; Gruby, R. L. (2019) Polycentric systems of governance: A theoretical model for the commons. </w:t>
      </w:r>
      <w:r w:rsidRPr="00C34077">
        <w:rPr>
          <w:i/>
          <w:color w:val="000000" w:themeColor="text1"/>
          <w:sz w:val="20"/>
          <w:szCs w:val="20"/>
          <w:highlight w:val="white"/>
        </w:rPr>
        <w:t>Policy Studies Journal</w:t>
      </w:r>
      <w:r w:rsidRPr="00C34077">
        <w:rPr>
          <w:color w:val="000000" w:themeColor="text1"/>
          <w:sz w:val="20"/>
          <w:szCs w:val="20"/>
          <w:highlight w:val="white"/>
        </w:rPr>
        <w:t xml:space="preserve">, </w:t>
      </w:r>
      <w:r w:rsidRPr="00C34077">
        <w:rPr>
          <w:i/>
          <w:color w:val="000000" w:themeColor="text1"/>
          <w:sz w:val="20"/>
          <w:szCs w:val="20"/>
          <w:highlight w:val="white"/>
        </w:rPr>
        <w:t>47</w:t>
      </w:r>
      <w:r w:rsidRPr="00C34077">
        <w:rPr>
          <w:color w:val="000000" w:themeColor="text1"/>
          <w:sz w:val="20"/>
          <w:szCs w:val="20"/>
          <w:highlight w:val="white"/>
        </w:rPr>
        <w:t>(4), 927-952.</w:t>
      </w:r>
    </w:p>
  </w:footnote>
  <w:footnote w:id="88">
    <w:p w14:paraId="0000012F" w14:textId="4BE25710" w:rsidR="006864E3" w:rsidRPr="00C34077" w:rsidRDefault="00BC4AC1">
      <w:pPr>
        <w:spacing w:line="240" w:lineRule="auto"/>
        <w:rPr>
          <w:sz w:val="20"/>
          <w:szCs w:val="20"/>
        </w:rPr>
      </w:pPr>
      <w:r w:rsidRPr="00C34077">
        <w:rPr>
          <w:sz w:val="20"/>
          <w:szCs w:val="20"/>
          <w:vertAlign w:val="superscript"/>
        </w:rPr>
        <w:footnoteRef/>
      </w:r>
      <w:r w:rsidRPr="00C34077">
        <w:rPr>
          <w:color w:val="222222"/>
          <w:sz w:val="20"/>
          <w:szCs w:val="20"/>
          <w:highlight w:val="white"/>
        </w:rPr>
        <w:t xml:space="preserve">Ostrom, E. (1990) </w:t>
      </w:r>
      <w:r w:rsidRPr="00C34077">
        <w:rPr>
          <w:i/>
          <w:color w:val="222222"/>
          <w:sz w:val="20"/>
          <w:szCs w:val="20"/>
          <w:highlight w:val="white"/>
        </w:rPr>
        <w:t>Governing the commons: The evolution of institutions for collective action</w:t>
      </w:r>
      <w:r w:rsidRPr="00C34077">
        <w:rPr>
          <w:color w:val="222222"/>
          <w:sz w:val="20"/>
          <w:szCs w:val="20"/>
          <w:highlight w:val="white"/>
        </w:rPr>
        <w:t xml:space="preserve">. Cambridge </w:t>
      </w:r>
      <w:r w:rsidR="00404057" w:rsidRPr="00C34077">
        <w:rPr>
          <w:color w:val="222222"/>
          <w:sz w:val="20"/>
          <w:szCs w:val="20"/>
          <w:highlight w:val="white"/>
        </w:rPr>
        <w:t>U</w:t>
      </w:r>
      <w:r w:rsidRPr="00C34077">
        <w:rPr>
          <w:color w:val="222222"/>
          <w:sz w:val="20"/>
          <w:szCs w:val="20"/>
          <w:highlight w:val="white"/>
        </w:rPr>
        <w:t xml:space="preserve">niversity </w:t>
      </w:r>
      <w:r w:rsidR="00404057" w:rsidRPr="00C34077">
        <w:rPr>
          <w:color w:val="222222"/>
          <w:sz w:val="20"/>
          <w:szCs w:val="20"/>
          <w:highlight w:val="white"/>
        </w:rPr>
        <w:t>P</w:t>
      </w:r>
      <w:r w:rsidRPr="00C34077">
        <w:rPr>
          <w:color w:val="222222"/>
          <w:sz w:val="20"/>
          <w:szCs w:val="20"/>
          <w:highlight w:val="white"/>
        </w:rPr>
        <w:t>ress.</w:t>
      </w:r>
      <w:r w:rsidRPr="00C34077">
        <w:rPr>
          <w:sz w:val="20"/>
          <w:szCs w:val="20"/>
        </w:rPr>
        <w:t xml:space="preserve"> </w:t>
      </w:r>
    </w:p>
  </w:footnote>
  <w:footnote w:id="89">
    <w:p w14:paraId="00000130" w14:textId="6F7ED440"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w:t>
      </w:r>
      <w:proofErr w:type="spellStart"/>
      <w:r w:rsidRPr="00C34077">
        <w:rPr>
          <w:color w:val="222222"/>
          <w:sz w:val="20"/>
          <w:szCs w:val="20"/>
          <w:highlight w:val="white"/>
        </w:rPr>
        <w:t>Underdal</w:t>
      </w:r>
      <w:proofErr w:type="spellEnd"/>
      <w:r w:rsidRPr="00C34077">
        <w:rPr>
          <w:color w:val="222222"/>
          <w:sz w:val="20"/>
          <w:szCs w:val="20"/>
          <w:highlight w:val="white"/>
        </w:rPr>
        <w:t xml:space="preserve">, A. (2010) Complexity and challenges of long-term environmental governance. </w:t>
      </w:r>
      <w:r w:rsidRPr="00C34077">
        <w:rPr>
          <w:i/>
          <w:color w:val="222222"/>
          <w:sz w:val="20"/>
          <w:szCs w:val="20"/>
          <w:highlight w:val="white"/>
        </w:rPr>
        <w:t>Global Environmental Change</w:t>
      </w:r>
      <w:r w:rsidRPr="00C34077">
        <w:rPr>
          <w:color w:val="222222"/>
          <w:sz w:val="20"/>
          <w:szCs w:val="20"/>
          <w:highlight w:val="white"/>
        </w:rPr>
        <w:t xml:space="preserve">, </w:t>
      </w:r>
      <w:r w:rsidRPr="00C34077">
        <w:rPr>
          <w:i/>
          <w:color w:val="222222"/>
          <w:sz w:val="20"/>
          <w:szCs w:val="20"/>
          <w:highlight w:val="white"/>
        </w:rPr>
        <w:t>20</w:t>
      </w:r>
      <w:r w:rsidRPr="00C34077">
        <w:rPr>
          <w:color w:val="222222"/>
          <w:sz w:val="20"/>
          <w:szCs w:val="20"/>
          <w:highlight w:val="white"/>
        </w:rPr>
        <w:t>(3), 386-393.</w:t>
      </w:r>
    </w:p>
  </w:footnote>
  <w:footnote w:id="90">
    <w:p w14:paraId="00000131" w14:textId="24214E22"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w:t>
      </w:r>
      <w:r w:rsidRPr="00C34077">
        <w:rPr>
          <w:color w:val="222222"/>
          <w:sz w:val="20"/>
          <w:szCs w:val="20"/>
          <w:highlight w:val="white"/>
        </w:rPr>
        <w:t xml:space="preserve">Hambleton, R. (2014) Place-based leadership. In </w:t>
      </w:r>
      <w:r w:rsidRPr="00C34077">
        <w:rPr>
          <w:i/>
          <w:color w:val="222222"/>
          <w:sz w:val="20"/>
          <w:szCs w:val="20"/>
          <w:highlight w:val="white"/>
        </w:rPr>
        <w:t>Leading the inclusive city</w:t>
      </w:r>
      <w:r w:rsidRPr="00C34077">
        <w:rPr>
          <w:color w:val="222222"/>
          <w:sz w:val="20"/>
          <w:szCs w:val="20"/>
          <w:highlight w:val="white"/>
        </w:rPr>
        <w:t xml:space="preserve"> (pp. 109-138). Policy Press.</w:t>
      </w:r>
    </w:p>
  </w:footnote>
  <w:footnote w:id="91">
    <w:p w14:paraId="00000132" w14:textId="19CBF716"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w:t>
      </w:r>
      <w:proofErr w:type="spellStart"/>
      <w:r w:rsidRPr="00C34077">
        <w:rPr>
          <w:color w:val="222222"/>
          <w:sz w:val="20"/>
          <w:szCs w:val="20"/>
          <w:highlight w:val="white"/>
        </w:rPr>
        <w:t>Kivimaa</w:t>
      </w:r>
      <w:proofErr w:type="spellEnd"/>
      <w:r w:rsidRPr="00C34077">
        <w:rPr>
          <w:color w:val="222222"/>
          <w:sz w:val="20"/>
          <w:szCs w:val="20"/>
          <w:highlight w:val="white"/>
        </w:rPr>
        <w:t xml:space="preserve">, P., </w:t>
      </w:r>
      <w:proofErr w:type="spellStart"/>
      <w:r w:rsidRPr="00C34077">
        <w:rPr>
          <w:color w:val="222222"/>
          <w:sz w:val="20"/>
          <w:szCs w:val="20"/>
          <w:highlight w:val="white"/>
        </w:rPr>
        <w:t>Hyysalo</w:t>
      </w:r>
      <w:proofErr w:type="spellEnd"/>
      <w:r w:rsidRPr="00C34077">
        <w:rPr>
          <w:color w:val="222222"/>
          <w:sz w:val="20"/>
          <w:szCs w:val="20"/>
          <w:highlight w:val="white"/>
        </w:rPr>
        <w:t xml:space="preserve">, S., Boon, W., Klerkx, L., </w:t>
      </w:r>
      <w:proofErr w:type="spellStart"/>
      <w:r w:rsidRPr="00C34077">
        <w:rPr>
          <w:color w:val="222222"/>
          <w:sz w:val="20"/>
          <w:szCs w:val="20"/>
          <w:highlight w:val="white"/>
        </w:rPr>
        <w:t>Martiskainen</w:t>
      </w:r>
      <w:proofErr w:type="spellEnd"/>
      <w:r w:rsidRPr="00C34077">
        <w:rPr>
          <w:color w:val="222222"/>
          <w:sz w:val="20"/>
          <w:szCs w:val="20"/>
          <w:highlight w:val="white"/>
        </w:rPr>
        <w:t xml:space="preserve">, M., &amp; </w:t>
      </w:r>
      <w:proofErr w:type="spellStart"/>
      <w:r w:rsidRPr="00C34077">
        <w:rPr>
          <w:color w:val="222222"/>
          <w:sz w:val="20"/>
          <w:szCs w:val="20"/>
          <w:highlight w:val="white"/>
        </w:rPr>
        <w:t>Schot</w:t>
      </w:r>
      <w:proofErr w:type="spellEnd"/>
      <w:r w:rsidRPr="00C34077">
        <w:rPr>
          <w:color w:val="222222"/>
          <w:sz w:val="20"/>
          <w:szCs w:val="20"/>
          <w:highlight w:val="white"/>
        </w:rPr>
        <w:t xml:space="preserve">, J. (2019) Passing the baton: How intermediaries advance sustainability transitions in </w:t>
      </w:r>
      <w:proofErr w:type="gramStart"/>
      <w:r w:rsidRPr="00C34077">
        <w:rPr>
          <w:color w:val="222222"/>
          <w:sz w:val="20"/>
          <w:szCs w:val="20"/>
          <w:highlight w:val="white"/>
        </w:rPr>
        <w:t>different phases</w:t>
      </w:r>
      <w:proofErr w:type="gramEnd"/>
      <w:r w:rsidRPr="00C34077">
        <w:rPr>
          <w:color w:val="222222"/>
          <w:sz w:val="20"/>
          <w:szCs w:val="20"/>
          <w:highlight w:val="white"/>
        </w:rPr>
        <w:t xml:space="preserve">. </w:t>
      </w:r>
      <w:r w:rsidRPr="00C34077">
        <w:rPr>
          <w:i/>
          <w:color w:val="222222"/>
          <w:sz w:val="20"/>
          <w:szCs w:val="20"/>
          <w:highlight w:val="white"/>
        </w:rPr>
        <w:t>Environmental Innovation and Societal Transitions</w:t>
      </w:r>
      <w:r w:rsidRPr="00C34077">
        <w:rPr>
          <w:color w:val="222222"/>
          <w:sz w:val="20"/>
          <w:szCs w:val="20"/>
          <w:highlight w:val="white"/>
        </w:rPr>
        <w:t xml:space="preserve">, </w:t>
      </w:r>
      <w:r w:rsidRPr="00C34077">
        <w:rPr>
          <w:i/>
          <w:color w:val="222222"/>
          <w:sz w:val="20"/>
          <w:szCs w:val="20"/>
          <w:highlight w:val="white"/>
        </w:rPr>
        <w:t>31</w:t>
      </w:r>
      <w:r w:rsidRPr="00C34077">
        <w:rPr>
          <w:color w:val="222222"/>
          <w:sz w:val="20"/>
          <w:szCs w:val="20"/>
          <w:highlight w:val="white"/>
        </w:rPr>
        <w:t>, 110-125.</w:t>
      </w:r>
    </w:p>
  </w:footnote>
  <w:footnote w:id="92">
    <w:p w14:paraId="00000133" w14:textId="77777777"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w:t>
      </w:r>
      <w:r w:rsidRPr="00C34077">
        <w:rPr>
          <w:color w:val="222222"/>
          <w:sz w:val="20"/>
          <w:szCs w:val="20"/>
          <w:highlight w:val="white"/>
        </w:rPr>
        <w:t xml:space="preserve">Howarth, C., Morse-Jones, S., </w:t>
      </w:r>
      <w:proofErr w:type="spellStart"/>
      <w:r w:rsidRPr="00C34077">
        <w:rPr>
          <w:color w:val="222222"/>
          <w:sz w:val="20"/>
          <w:szCs w:val="20"/>
          <w:highlight w:val="white"/>
        </w:rPr>
        <w:t>Kythreotis</w:t>
      </w:r>
      <w:proofErr w:type="spellEnd"/>
      <w:r w:rsidRPr="00C34077">
        <w:rPr>
          <w:color w:val="222222"/>
          <w:sz w:val="20"/>
          <w:szCs w:val="20"/>
          <w:highlight w:val="white"/>
        </w:rPr>
        <w:t xml:space="preserve">, A., Brooks, K., &amp; Lane, M. (2020). Informing UK governance of resilience to climate risks: improving the local evidence-base. </w:t>
      </w:r>
      <w:r w:rsidRPr="00C34077">
        <w:rPr>
          <w:i/>
          <w:color w:val="222222"/>
          <w:sz w:val="20"/>
          <w:szCs w:val="20"/>
          <w:highlight w:val="white"/>
        </w:rPr>
        <w:t>Climatic Change</w:t>
      </w:r>
      <w:r w:rsidRPr="00C34077">
        <w:rPr>
          <w:color w:val="222222"/>
          <w:sz w:val="20"/>
          <w:szCs w:val="20"/>
          <w:highlight w:val="white"/>
        </w:rPr>
        <w:t xml:space="preserve">, </w:t>
      </w:r>
      <w:r w:rsidRPr="00C34077">
        <w:rPr>
          <w:i/>
          <w:color w:val="222222"/>
          <w:sz w:val="20"/>
          <w:szCs w:val="20"/>
          <w:highlight w:val="white"/>
        </w:rPr>
        <w:t>163</w:t>
      </w:r>
      <w:r w:rsidRPr="00C34077">
        <w:rPr>
          <w:color w:val="222222"/>
          <w:sz w:val="20"/>
          <w:szCs w:val="20"/>
          <w:highlight w:val="white"/>
        </w:rPr>
        <w:t>(1), 499-520.</w:t>
      </w:r>
    </w:p>
  </w:footnote>
  <w:footnote w:id="93">
    <w:p w14:paraId="00000134" w14:textId="77777777" w:rsidR="006864E3" w:rsidRDefault="00BC4AC1">
      <w:pPr>
        <w:spacing w:line="240" w:lineRule="auto"/>
        <w:rPr>
          <w:sz w:val="20"/>
          <w:szCs w:val="20"/>
        </w:rPr>
      </w:pPr>
      <w:r w:rsidRPr="00C34077">
        <w:rPr>
          <w:sz w:val="20"/>
          <w:szCs w:val="20"/>
          <w:vertAlign w:val="superscript"/>
        </w:rPr>
        <w:footnoteRef/>
      </w:r>
      <w:r w:rsidRPr="00C34077">
        <w:rPr>
          <w:sz w:val="20"/>
          <w:szCs w:val="20"/>
        </w:rPr>
        <w:t xml:space="preserve"> Coffey International Development, 2007, The Role of Communication in Governance: Detailed Analysis</w:t>
      </w:r>
    </w:p>
  </w:footnote>
  <w:footnote w:id="94">
    <w:p w14:paraId="35576847" w14:textId="29E78351" w:rsidR="0079295E" w:rsidRDefault="0079295E" w:rsidP="0079295E">
      <w:pPr>
        <w:pStyle w:val="FootnoteText"/>
      </w:pPr>
      <w:r>
        <w:rPr>
          <w:rStyle w:val="FootnoteReference"/>
        </w:rPr>
        <w:footnoteRef/>
      </w:r>
      <w:r>
        <w:t xml:space="preserve"> de Moor, J.</w:t>
      </w:r>
      <w:r w:rsidR="00CC36DF">
        <w:t xml:space="preserve"> et al., </w:t>
      </w:r>
      <w:r>
        <w:t>(2021)</w:t>
      </w:r>
      <w:r w:rsidR="002528D4">
        <w:t xml:space="preserve"> </w:t>
      </w:r>
      <w:r w:rsidR="002528D4" w:rsidRPr="00120702">
        <w:rPr>
          <w:rStyle w:val="arttitle"/>
          <w:color w:val="000000" w:themeColor="text1"/>
        </w:rPr>
        <w:t xml:space="preserve">What hampers ‘political’ action in environmental alternative action organizations? </w:t>
      </w:r>
      <w:r>
        <w:t xml:space="preserve">See also: </w:t>
      </w:r>
      <w:proofErr w:type="spellStart"/>
      <w:r>
        <w:t>Fourat</w:t>
      </w:r>
      <w:proofErr w:type="spellEnd"/>
      <w:r>
        <w:t xml:space="preserve">, </w:t>
      </w:r>
      <w:r w:rsidR="002528D4">
        <w:t xml:space="preserve">E., </w:t>
      </w:r>
      <w:r>
        <w:t>Closson,</w:t>
      </w:r>
      <w:r w:rsidR="002528D4">
        <w:t xml:space="preserve"> C.,</w:t>
      </w:r>
      <w:r>
        <w:t xml:space="preserve"> Holzemer,</w:t>
      </w:r>
      <w:r w:rsidR="002528D4">
        <w:t xml:space="preserve"> L. &amp;</w:t>
      </w:r>
      <w:r>
        <w:t xml:space="preserve"> Hudon,</w:t>
      </w:r>
      <w:r w:rsidR="002528D4">
        <w:t xml:space="preserve"> M.</w:t>
      </w:r>
      <w:r>
        <w:t xml:space="preserve"> (2020) Social inclusion in an alternative food network: Values, </w:t>
      </w:r>
      <w:proofErr w:type="gramStart"/>
      <w:r>
        <w:t>practices</w:t>
      </w:r>
      <w:proofErr w:type="gramEnd"/>
      <w:r>
        <w:t xml:space="preserve"> and tensions</w:t>
      </w:r>
      <w:r w:rsidR="002528D4">
        <w:t xml:space="preserve">. </w:t>
      </w:r>
      <w:r w:rsidRPr="002528D4">
        <w:rPr>
          <w:i/>
          <w:iCs/>
        </w:rPr>
        <w:t>Journal of Rural Studies</w:t>
      </w:r>
      <w:r>
        <w:t>, 76, 49-57,</w:t>
      </w:r>
    </w:p>
  </w:footnote>
  <w:footnote w:id="95">
    <w:p w14:paraId="000000EB" w14:textId="77777777" w:rsidR="006864E3" w:rsidRPr="00C34077" w:rsidRDefault="00BC4AC1">
      <w:pPr>
        <w:spacing w:line="240" w:lineRule="auto"/>
        <w:rPr>
          <w:sz w:val="20"/>
          <w:szCs w:val="20"/>
        </w:rPr>
      </w:pPr>
      <w:r w:rsidRPr="00C34077">
        <w:rPr>
          <w:sz w:val="20"/>
          <w:szCs w:val="20"/>
          <w:vertAlign w:val="superscript"/>
        </w:rPr>
        <w:footnoteRef/>
      </w:r>
      <w:r w:rsidRPr="00C34077">
        <w:rPr>
          <w:sz w:val="20"/>
          <w:szCs w:val="20"/>
        </w:rPr>
        <w:t xml:space="preserve"> Hunt J., 2023, Spring Budget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6864E3" w:rsidRDefault="006864E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C94F"/>
    <w:multiLevelType w:val="hybridMultilevel"/>
    <w:tmpl w:val="AD12FFF6"/>
    <w:lvl w:ilvl="0" w:tplc="3ED036C2">
      <w:start w:val="1"/>
      <w:numFmt w:val="bullet"/>
      <w:lvlText w:val=""/>
      <w:lvlJc w:val="left"/>
      <w:pPr>
        <w:ind w:left="720" w:hanging="360"/>
      </w:pPr>
      <w:rPr>
        <w:rFonts w:ascii="Symbol" w:hAnsi="Symbol" w:hint="default"/>
      </w:rPr>
    </w:lvl>
    <w:lvl w:ilvl="1" w:tplc="3DE63090">
      <w:start w:val="1"/>
      <w:numFmt w:val="bullet"/>
      <w:lvlText w:val="o"/>
      <w:lvlJc w:val="left"/>
      <w:pPr>
        <w:ind w:left="1440" w:hanging="360"/>
      </w:pPr>
      <w:rPr>
        <w:rFonts w:ascii="Courier New" w:hAnsi="Courier New" w:hint="default"/>
      </w:rPr>
    </w:lvl>
    <w:lvl w:ilvl="2" w:tplc="4ECC5016">
      <w:start w:val="1"/>
      <w:numFmt w:val="bullet"/>
      <w:lvlText w:val=""/>
      <w:lvlJc w:val="left"/>
      <w:pPr>
        <w:ind w:left="2160" w:hanging="360"/>
      </w:pPr>
      <w:rPr>
        <w:rFonts w:ascii="Wingdings" w:hAnsi="Wingdings" w:hint="default"/>
      </w:rPr>
    </w:lvl>
    <w:lvl w:ilvl="3" w:tplc="F1865B1C">
      <w:start w:val="1"/>
      <w:numFmt w:val="bullet"/>
      <w:lvlText w:val=""/>
      <w:lvlJc w:val="left"/>
      <w:pPr>
        <w:ind w:left="2880" w:hanging="360"/>
      </w:pPr>
      <w:rPr>
        <w:rFonts w:ascii="Symbol" w:hAnsi="Symbol" w:hint="default"/>
      </w:rPr>
    </w:lvl>
    <w:lvl w:ilvl="4" w:tplc="D738134E">
      <w:start w:val="1"/>
      <w:numFmt w:val="bullet"/>
      <w:lvlText w:val="o"/>
      <w:lvlJc w:val="left"/>
      <w:pPr>
        <w:ind w:left="3600" w:hanging="360"/>
      </w:pPr>
      <w:rPr>
        <w:rFonts w:ascii="Courier New" w:hAnsi="Courier New" w:hint="default"/>
      </w:rPr>
    </w:lvl>
    <w:lvl w:ilvl="5" w:tplc="0B08B44C">
      <w:start w:val="1"/>
      <w:numFmt w:val="bullet"/>
      <w:lvlText w:val=""/>
      <w:lvlJc w:val="left"/>
      <w:pPr>
        <w:ind w:left="4320" w:hanging="360"/>
      </w:pPr>
      <w:rPr>
        <w:rFonts w:ascii="Wingdings" w:hAnsi="Wingdings" w:hint="default"/>
      </w:rPr>
    </w:lvl>
    <w:lvl w:ilvl="6" w:tplc="55E6D470">
      <w:start w:val="1"/>
      <w:numFmt w:val="bullet"/>
      <w:lvlText w:val=""/>
      <w:lvlJc w:val="left"/>
      <w:pPr>
        <w:ind w:left="5040" w:hanging="360"/>
      </w:pPr>
      <w:rPr>
        <w:rFonts w:ascii="Symbol" w:hAnsi="Symbol" w:hint="default"/>
      </w:rPr>
    </w:lvl>
    <w:lvl w:ilvl="7" w:tplc="89A4F752">
      <w:start w:val="1"/>
      <w:numFmt w:val="bullet"/>
      <w:lvlText w:val="o"/>
      <w:lvlJc w:val="left"/>
      <w:pPr>
        <w:ind w:left="5760" w:hanging="360"/>
      </w:pPr>
      <w:rPr>
        <w:rFonts w:ascii="Courier New" w:hAnsi="Courier New" w:hint="default"/>
      </w:rPr>
    </w:lvl>
    <w:lvl w:ilvl="8" w:tplc="A2BCA95E">
      <w:start w:val="1"/>
      <w:numFmt w:val="bullet"/>
      <w:lvlText w:val=""/>
      <w:lvlJc w:val="left"/>
      <w:pPr>
        <w:ind w:left="6480" w:hanging="360"/>
      </w:pPr>
      <w:rPr>
        <w:rFonts w:ascii="Wingdings" w:hAnsi="Wingdings" w:hint="default"/>
      </w:rPr>
    </w:lvl>
  </w:abstractNum>
  <w:abstractNum w:abstractNumId="1" w15:restartNumberingAfterBreak="0">
    <w:nsid w:val="169467D0"/>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D3DEFB1"/>
    <w:multiLevelType w:val="hybridMultilevel"/>
    <w:tmpl w:val="8C1EE124"/>
    <w:lvl w:ilvl="0" w:tplc="B5DE9B48">
      <w:start w:val="1"/>
      <w:numFmt w:val="bullet"/>
      <w:lvlText w:val=""/>
      <w:lvlJc w:val="left"/>
      <w:pPr>
        <w:ind w:left="720" w:hanging="360"/>
      </w:pPr>
      <w:rPr>
        <w:rFonts w:ascii="Symbol" w:hAnsi="Symbol" w:hint="default"/>
      </w:rPr>
    </w:lvl>
    <w:lvl w:ilvl="1" w:tplc="985C973C">
      <w:start w:val="1"/>
      <w:numFmt w:val="bullet"/>
      <w:lvlText w:val="o"/>
      <w:lvlJc w:val="left"/>
      <w:pPr>
        <w:ind w:left="1440" w:hanging="360"/>
      </w:pPr>
      <w:rPr>
        <w:rFonts w:ascii="Courier New" w:hAnsi="Courier New" w:hint="default"/>
      </w:rPr>
    </w:lvl>
    <w:lvl w:ilvl="2" w:tplc="44560646">
      <w:start w:val="1"/>
      <w:numFmt w:val="bullet"/>
      <w:lvlText w:val=""/>
      <w:lvlJc w:val="left"/>
      <w:pPr>
        <w:ind w:left="2160" w:hanging="360"/>
      </w:pPr>
      <w:rPr>
        <w:rFonts w:ascii="Wingdings" w:hAnsi="Wingdings" w:hint="default"/>
      </w:rPr>
    </w:lvl>
    <w:lvl w:ilvl="3" w:tplc="13562026">
      <w:start w:val="1"/>
      <w:numFmt w:val="bullet"/>
      <w:lvlText w:val=""/>
      <w:lvlJc w:val="left"/>
      <w:pPr>
        <w:ind w:left="2880" w:hanging="360"/>
      </w:pPr>
      <w:rPr>
        <w:rFonts w:ascii="Symbol" w:hAnsi="Symbol" w:hint="default"/>
      </w:rPr>
    </w:lvl>
    <w:lvl w:ilvl="4" w:tplc="B2446E9C">
      <w:start w:val="1"/>
      <w:numFmt w:val="bullet"/>
      <w:lvlText w:val="o"/>
      <w:lvlJc w:val="left"/>
      <w:pPr>
        <w:ind w:left="3600" w:hanging="360"/>
      </w:pPr>
      <w:rPr>
        <w:rFonts w:ascii="Courier New" w:hAnsi="Courier New" w:hint="default"/>
      </w:rPr>
    </w:lvl>
    <w:lvl w:ilvl="5" w:tplc="DD105F2A">
      <w:start w:val="1"/>
      <w:numFmt w:val="bullet"/>
      <w:lvlText w:val=""/>
      <w:lvlJc w:val="left"/>
      <w:pPr>
        <w:ind w:left="4320" w:hanging="360"/>
      </w:pPr>
      <w:rPr>
        <w:rFonts w:ascii="Wingdings" w:hAnsi="Wingdings" w:hint="default"/>
      </w:rPr>
    </w:lvl>
    <w:lvl w:ilvl="6" w:tplc="25A699C8">
      <w:start w:val="1"/>
      <w:numFmt w:val="bullet"/>
      <w:lvlText w:val=""/>
      <w:lvlJc w:val="left"/>
      <w:pPr>
        <w:ind w:left="5040" w:hanging="360"/>
      </w:pPr>
      <w:rPr>
        <w:rFonts w:ascii="Symbol" w:hAnsi="Symbol" w:hint="default"/>
      </w:rPr>
    </w:lvl>
    <w:lvl w:ilvl="7" w:tplc="0F348724">
      <w:start w:val="1"/>
      <w:numFmt w:val="bullet"/>
      <w:lvlText w:val="o"/>
      <w:lvlJc w:val="left"/>
      <w:pPr>
        <w:ind w:left="5760" w:hanging="360"/>
      </w:pPr>
      <w:rPr>
        <w:rFonts w:ascii="Courier New" w:hAnsi="Courier New" w:hint="default"/>
      </w:rPr>
    </w:lvl>
    <w:lvl w:ilvl="8" w:tplc="05B680F2">
      <w:start w:val="1"/>
      <w:numFmt w:val="bullet"/>
      <w:lvlText w:val=""/>
      <w:lvlJc w:val="left"/>
      <w:pPr>
        <w:ind w:left="6480" w:hanging="360"/>
      </w:pPr>
      <w:rPr>
        <w:rFonts w:ascii="Wingdings" w:hAnsi="Wingdings" w:hint="default"/>
      </w:rPr>
    </w:lvl>
  </w:abstractNum>
  <w:abstractNum w:abstractNumId="3" w15:restartNumberingAfterBreak="0">
    <w:nsid w:val="31A93E96"/>
    <w:multiLevelType w:val="hybridMultilevel"/>
    <w:tmpl w:val="E6B6677C"/>
    <w:lvl w:ilvl="0" w:tplc="63960080">
      <w:start w:val="1"/>
      <w:numFmt w:val="bullet"/>
      <w:lvlText w:val="-"/>
      <w:lvlJc w:val="left"/>
      <w:pPr>
        <w:ind w:left="720" w:hanging="360"/>
      </w:pPr>
      <w:rPr>
        <w:rFonts w:ascii="Calibri" w:hAnsi="Calibri" w:hint="default"/>
      </w:rPr>
    </w:lvl>
    <w:lvl w:ilvl="1" w:tplc="75CA4B14">
      <w:start w:val="1"/>
      <w:numFmt w:val="bullet"/>
      <w:lvlText w:val="o"/>
      <w:lvlJc w:val="left"/>
      <w:pPr>
        <w:ind w:left="1440" w:hanging="360"/>
      </w:pPr>
      <w:rPr>
        <w:rFonts w:ascii="Courier New" w:hAnsi="Courier New" w:hint="default"/>
      </w:rPr>
    </w:lvl>
    <w:lvl w:ilvl="2" w:tplc="9372F256">
      <w:start w:val="1"/>
      <w:numFmt w:val="bullet"/>
      <w:lvlText w:val=""/>
      <w:lvlJc w:val="left"/>
      <w:pPr>
        <w:ind w:left="2160" w:hanging="360"/>
      </w:pPr>
      <w:rPr>
        <w:rFonts w:ascii="Wingdings" w:hAnsi="Wingdings" w:hint="default"/>
      </w:rPr>
    </w:lvl>
    <w:lvl w:ilvl="3" w:tplc="8348F39E">
      <w:start w:val="1"/>
      <w:numFmt w:val="bullet"/>
      <w:lvlText w:val=""/>
      <w:lvlJc w:val="left"/>
      <w:pPr>
        <w:ind w:left="2880" w:hanging="360"/>
      </w:pPr>
      <w:rPr>
        <w:rFonts w:ascii="Symbol" w:hAnsi="Symbol" w:hint="default"/>
      </w:rPr>
    </w:lvl>
    <w:lvl w:ilvl="4" w:tplc="BB30C146">
      <w:start w:val="1"/>
      <w:numFmt w:val="bullet"/>
      <w:lvlText w:val="o"/>
      <w:lvlJc w:val="left"/>
      <w:pPr>
        <w:ind w:left="3600" w:hanging="360"/>
      </w:pPr>
      <w:rPr>
        <w:rFonts w:ascii="Courier New" w:hAnsi="Courier New" w:hint="default"/>
      </w:rPr>
    </w:lvl>
    <w:lvl w:ilvl="5" w:tplc="29062D54">
      <w:start w:val="1"/>
      <w:numFmt w:val="bullet"/>
      <w:lvlText w:val=""/>
      <w:lvlJc w:val="left"/>
      <w:pPr>
        <w:ind w:left="4320" w:hanging="360"/>
      </w:pPr>
      <w:rPr>
        <w:rFonts w:ascii="Wingdings" w:hAnsi="Wingdings" w:hint="default"/>
      </w:rPr>
    </w:lvl>
    <w:lvl w:ilvl="6" w:tplc="4426E9B8">
      <w:start w:val="1"/>
      <w:numFmt w:val="bullet"/>
      <w:lvlText w:val=""/>
      <w:lvlJc w:val="left"/>
      <w:pPr>
        <w:ind w:left="5040" w:hanging="360"/>
      </w:pPr>
      <w:rPr>
        <w:rFonts w:ascii="Symbol" w:hAnsi="Symbol" w:hint="default"/>
      </w:rPr>
    </w:lvl>
    <w:lvl w:ilvl="7" w:tplc="E4AC1F80">
      <w:start w:val="1"/>
      <w:numFmt w:val="bullet"/>
      <w:lvlText w:val="o"/>
      <w:lvlJc w:val="left"/>
      <w:pPr>
        <w:ind w:left="5760" w:hanging="360"/>
      </w:pPr>
      <w:rPr>
        <w:rFonts w:ascii="Courier New" w:hAnsi="Courier New" w:hint="default"/>
      </w:rPr>
    </w:lvl>
    <w:lvl w:ilvl="8" w:tplc="CEDC602E">
      <w:start w:val="1"/>
      <w:numFmt w:val="bullet"/>
      <w:lvlText w:val=""/>
      <w:lvlJc w:val="left"/>
      <w:pPr>
        <w:ind w:left="6480" w:hanging="360"/>
      </w:pPr>
      <w:rPr>
        <w:rFonts w:ascii="Wingdings" w:hAnsi="Wingdings" w:hint="default"/>
      </w:rPr>
    </w:lvl>
  </w:abstractNum>
  <w:abstractNum w:abstractNumId="4" w15:restartNumberingAfterBreak="0">
    <w:nsid w:val="637A6726"/>
    <w:multiLevelType w:val="hybridMultilevel"/>
    <w:tmpl w:val="9E50D3E4"/>
    <w:lvl w:ilvl="0" w:tplc="61C63E7A">
      <w:start w:val="1"/>
      <w:numFmt w:val="bullet"/>
      <w:lvlText w:val="-"/>
      <w:lvlJc w:val="left"/>
      <w:pPr>
        <w:ind w:left="720" w:hanging="360"/>
      </w:pPr>
      <w:rPr>
        <w:rFonts w:ascii="Calibri" w:hAnsi="Calibri" w:hint="default"/>
      </w:rPr>
    </w:lvl>
    <w:lvl w:ilvl="1" w:tplc="613005F4">
      <w:start w:val="1"/>
      <w:numFmt w:val="bullet"/>
      <w:lvlText w:val="o"/>
      <w:lvlJc w:val="left"/>
      <w:pPr>
        <w:ind w:left="1440" w:hanging="360"/>
      </w:pPr>
      <w:rPr>
        <w:rFonts w:ascii="Courier New" w:hAnsi="Courier New" w:hint="default"/>
      </w:rPr>
    </w:lvl>
    <w:lvl w:ilvl="2" w:tplc="E0DA9A18">
      <w:start w:val="1"/>
      <w:numFmt w:val="bullet"/>
      <w:lvlText w:val=""/>
      <w:lvlJc w:val="left"/>
      <w:pPr>
        <w:ind w:left="2160" w:hanging="360"/>
      </w:pPr>
      <w:rPr>
        <w:rFonts w:ascii="Wingdings" w:hAnsi="Wingdings" w:hint="default"/>
      </w:rPr>
    </w:lvl>
    <w:lvl w:ilvl="3" w:tplc="33FA7324">
      <w:start w:val="1"/>
      <w:numFmt w:val="bullet"/>
      <w:lvlText w:val=""/>
      <w:lvlJc w:val="left"/>
      <w:pPr>
        <w:ind w:left="2880" w:hanging="360"/>
      </w:pPr>
      <w:rPr>
        <w:rFonts w:ascii="Symbol" w:hAnsi="Symbol" w:hint="default"/>
      </w:rPr>
    </w:lvl>
    <w:lvl w:ilvl="4" w:tplc="C394B136">
      <w:start w:val="1"/>
      <w:numFmt w:val="bullet"/>
      <w:lvlText w:val="o"/>
      <w:lvlJc w:val="left"/>
      <w:pPr>
        <w:ind w:left="3600" w:hanging="360"/>
      </w:pPr>
      <w:rPr>
        <w:rFonts w:ascii="Courier New" w:hAnsi="Courier New" w:hint="default"/>
      </w:rPr>
    </w:lvl>
    <w:lvl w:ilvl="5" w:tplc="E4E6DD1A">
      <w:start w:val="1"/>
      <w:numFmt w:val="bullet"/>
      <w:lvlText w:val=""/>
      <w:lvlJc w:val="left"/>
      <w:pPr>
        <w:ind w:left="4320" w:hanging="360"/>
      </w:pPr>
      <w:rPr>
        <w:rFonts w:ascii="Wingdings" w:hAnsi="Wingdings" w:hint="default"/>
      </w:rPr>
    </w:lvl>
    <w:lvl w:ilvl="6" w:tplc="AFBC6A1A">
      <w:start w:val="1"/>
      <w:numFmt w:val="bullet"/>
      <w:lvlText w:val=""/>
      <w:lvlJc w:val="left"/>
      <w:pPr>
        <w:ind w:left="5040" w:hanging="360"/>
      </w:pPr>
      <w:rPr>
        <w:rFonts w:ascii="Symbol" w:hAnsi="Symbol" w:hint="default"/>
      </w:rPr>
    </w:lvl>
    <w:lvl w:ilvl="7" w:tplc="C496233C">
      <w:start w:val="1"/>
      <w:numFmt w:val="bullet"/>
      <w:lvlText w:val="o"/>
      <w:lvlJc w:val="left"/>
      <w:pPr>
        <w:ind w:left="5760" w:hanging="360"/>
      </w:pPr>
      <w:rPr>
        <w:rFonts w:ascii="Courier New" w:hAnsi="Courier New" w:hint="default"/>
      </w:rPr>
    </w:lvl>
    <w:lvl w:ilvl="8" w:tplc="39EC7364">
      <w:start w:val="1"/>
      <w:numFmt w:val="bullet"/>
      <w:lvlText w:val=""/>
      <w:lvlJc w:val="left"/>
      <w:pPr>
        <w:ind w:left="6480" w:hanging="360"/>
      </w:pPr>
      <w:rPr>
        <w:rFonts w:ascii="Wingdings" w:hAnsi="Wingdings" w:hint="default"/>
      </w:rPr>
    </w:lvl>
  </w:abstractNum>
  <w:abstractNum w:abstractNumId="5" w15:restartNumberingAfterBreak="0">
    <w:nsid w:val="6CD14D45"/>
    <w:multiLevelType w:val="hybridMultilevel"/>
    <w:tmpl w:val="FFFFFFFF"/>
    <w:lvl w:ilvl="0" w:tplc="81A8A50C">
      <w:start w:val="1"/>
      <w:numFmt w:val="decimal"/>
      <w:lvlText w:val="%1."/>
      <w:lvlJc w:val="left"/>
      <w:pPr>
        <w:ind w:left="720" w:hanging="360"/>
      </w:pPr>
    </w:lvl>
    <w:lvl w:ilvl="1" w:tplc="261206A4">
      <w:start w:val="1"/>
      <w:numFmt w:val="lowerLetter"/>
      <w:lvlText w:val="%2."/>
      <w:lvlJc w:val="left"/>
      <w:pPr>
        <w:ind w:left="1440" w:hanging="360"/>
      </w:pPr>
    </w:lvl>
    <w:lvl w:ilvl="2" w:tplc="2CA870B4">
      <w:start w:val="1"/>
      <w:numFmt w:val="lowerRoman"/>
      <w:lvlText w:val="%3."/>
      <w:lvlJc w:val="right"/>
      <w:pPr>
        <w:ind w:left="2160" w:hanging="180"/>
      </w:pPr>
    </w:lvl>
    <w:lvl w:ilvl="3" w:tplc="221CD0E4">
      <w:start w:val="1"/>
      <w:numFmt w:val="decimal"/>
      <w:lvlText w:val="%4."/>
      <w:lvlJc w:val="left"/>
      <w:pPr>
        <w:ind w:left="2880" w:hanging="360"/>
      </w:pPr>
    </w:lvl>
    <w:lvl w:ilvl="4" w:tplc="7506E48C">
      <w:start w:val="1"/>
      <w:numFmt w:val="lowerLetter"/>
      <w:lvlText w:val="%5."/>
      <w:lvlJc w:val="left"/>
      <w:pPr>
        <w:ind w:left="3600" w:hanging="360"/>
      </w:pPr>
    </w:lvl>
    <w:lvl w:ilvl="5" w:tplc="8212540E">
      <w:start w:val="1"/>
      <w:numFmt w:val="lowerRoman"/>
      <w:lvlText w:val="%6."/>
      <w:lvlJc w:val="right"/>
      <w:pPr>
        <w:ind w:left="4320" w:hanging="180"/>
      </w:pPr>
    </w:lvl>
    <w:lvl w:ilvl="6" w:tplc="1932D248">
      <w:start w:val="1"/>
      <w:numFmt w:val="decimal"/>
      <w:lvlText w:val="%7."/>
      <w:lvlJc w:val="left"/>
      <w:pPr>
        <w:ind w:left="5040" w:hanging="360"/>
      </w:pPr>
    </w:lvl>
    <w:lvl w:ilvl="7" w:tplc="B4F6D0C0">
      <w:start w:val="1"/>
      <w:numFmt w:val="lowerLetter"/>
      <w:lvlText w:val="%8."/>
      <w:lvlJc w:val="left"/>
      <w:pPr>
        <w:ind w:left="5760" w:hanging="360"/>
      </w:pPr>
    </w:lvl>
    <w:lvl w:ilvl="8" w:tplc="F24A8DF8">
      <w:start w:val="1"/>
      <w:numFmt w:val="lowerRoman"/>
      <w:lvlText w:val="%9."/>
      <w:lvlJc w:val="right"/>
      <w:pPr>
        <w:ind w:left="6480" w:hanging="180"/>
      </w:pPr>
    </w:lvl>
  </w:abstractNum>
  <w:num w:numId="1" w16cid:durableId="1413313777">
    <w:abstractNumId w:val="0"/>
  </w:num>
  <w:num w:numId="2" w16cid:durableId="474568557">
    <w:abstractNumId w:val="5"/>
  </w:num>
  <w:num w:numId="3" w16cid:durableId="1938636900">
    <w:abstractNumId w:val="4"/>
  </w:num>
  <w:num w:numId="4" w16cid:durableId="741803045">
    <w:abstractNumId w:val="2"/>
  </w:num>
  <w:num w:numId="5" w16cid:durableId="462624142">
    <w:abstractNumId w:val="3"/>
  </w:num>
  <w:num w:numId="6" w16cid:durableId="1937858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C6826F"/>
    <w:rsid w:val="00012AFE"/>
    <w:rsid w:val="00022A6E"/>
    <w:rsid w:val="0004235D"/>
    <w:rsid w:val="000547A7"/>
    <w:rsid w:val="00054B00"/>
    <w:rsid w:val="000613DF"/>
    <w:rsid w:val="00077EDD"/>
    <w:rsid w:val="00083A72"/>
    <w:rsid w:val="000932EC"/>
    <w:rsid w:val="000939AF"/>
    <w:rsid w:val="000B40B0"/>
    <w:rsid w:val="000C6E91"/>
    <w:rsid w:val="000C7808"/>
    <w:rsid w:val="000D3D5F"/>
    <w:rsid w:val="000E253E"/>
    <w:rsid w:val="00103732"/>
    <w:rsid w:val="001164EC"/>
    <w:rsid w:val="00120702"/>
    <w:rsid w:val="00133855"/>
    <w:rsid w:val="001520D7"/>
    <w:rsid w:val="001600D4"/>
    <w:rsid w:val="001707CF"/>
    <w:rsid w:val="00171398"/>
    <w:rsid w:val="001905C5"/>
    <w:rsid w:val="001B3563"/>
    <w:rsid w:val="001D5409"/>
    <w:rsid w:val="001F0C5D"/>
    <w:rsid w:val="00217607"/>
    <w:rsid w:val="002200D8"/>
    <w:rsid w:val="00245559"/>
    <w:rsid w:val="002527C6"/>
    <w:rsid w:val="002528D4"/>
    <w:rsid w:val="00253222"/>
    <w:rsid w:val="002C0FED"/>
    <w:rsid w:val="002C2A6D"/>
    <w:rsid w:val="002DD4E9"/>
    <w:rsid w:val="003006FB"/>
    <w:rsid w:val="00301775"/>
    <w:rsid w:val="00312411"/>
    <w:rsid w:val="00325A87"/>
    <w:rsid w:val="00330011"/>
    <w:rsid w:val="00364933"/>
    <w:rsid w:val="003650D0"/>
    <w:rsid w:val="00383859"/>
    <w:rsid w:val="00383CB3"/>
    <w:rsid w:val="003A0298"/>
    <w:rsid w:val="003A0BB3"/>
    <w:rsid w:val="003C716F"/>
    <w:rsid w:val="003F58E8"/>
    <w:rsid w:val="00400F26"/>
    <w:rsid w:val="00404057"/>
    <w:rsid w:val="00413BF1"/>
    <w:rsid w:val="004173D7"/>
    <w:rsid w:val="00423281"/>
    <w:rsid w:val="00434633"/>
    <w:rsid w:val="0046262F"/>
    <w:rsid w:val="00476C40"/>
    <w:rsid w:val="00482E13"/>
    <w:rsid w:val="0048375F"/>
    <w:rsid w:val="00496D90"/>
    <w:rsid w:val="004A3C49"/>
    <w:rsid w:val="004B06EA"/>
    <w:rsid w:val="004B1084"/>
    <w:rsid w:val="004C03C9"/>
    <w:rsid w:val="004C6DB9"/>
    <w:rsid w:val="004D0BC5"/>
    <w:rsid w:val="004D5979"/>
    <w:rsid w:val="004D6479"/>
    <w:rsid w:val="004E0CC7"/>
    <w:rsid w:val="004F62FD"/>
    <w:rsid w:val="004F7B21"/>
    <w:rsid w:val="00522D73"/>
    <w:rsid w:val="00533089"/>
    <w:rsid w:val="00536C9D"/>
    <w:rsid w:val="005514A9"/>
    <w:rsid w:val="00552C37"/>
    <w:rsid w:val="0057378E"/>
    <w:rsid w:val="00575402"/>
    <w:rsid w:val="00586282"/>
    <w:rsid w:val="005A2940"/>
    <w:rsid w:val="005B5243"/>
    <w:rsid w:val="005C3F67"/>
    <w:rsid w:val="005E7F96"/>
    <w:rsid w:val="0060936E"/>
    <w:rsid w:val="00626CDE"/>
    <w:rsid w:val="00626E82"/>
    <w:rsid w:val="0063056C"/>
    <w:rsid w:val="006413EC"/>
    <w:rsid w:val="006602E0"/>
    <w:rsid w:val="00676275"/>
    <w:rsid w:val="006864E3"/>
    <w:rsid w:val="006B5A80"/>
    <w:rsid w:val="006E0ED5"/>
    <w:rsid w:val="006E13BC"/>
    <w:rsid w:val="006E61E5"/>
    <w:rsid w:val="00707CEF"/>
    <w:rsid w:val="0072762C"/>
    <w:rsid w:val="00736D49"/>
    <w:rsid w:val="007419B5"/>
    <w:rsid w:val="007435C6"/>
    <w:rsid w:val="0074489C"/>
    <w:rsid w:val="007574AC"/>
    <w:rsid w:val="007677AC"/>
    <w:rsid w:val="007771EF"/>
    <w:rsid w:val="0079295E"/>
    <w:rsid w:val="007934E0"/>
    <w:rsid w:val="007B79F2"/>
    <w:rsid w:val="007C3962"/>
    <w:rsid w:val="007D6F20"/>
    <w:rsid w:val="007F0A6C"/>
    <w:rsid w:val="007F3526"/>
    <w:rsid w:val="007F3F40"/>
    <w:rsid w:val="00833E5A"/>
    <w:rsid w:val="0083DFC8"/>
    <w:rsid w:val="00843EC5"/>
    <w:rsid w:val="008472B3"/>
    <w:rsid w:val="00873908"/>
    <w:rsid w:val="00886930"/>
    <w:rsid w:val="00896F3B"/>
    <w:rsid w:val="008A69BB"/>
    <w:rsid w:val="008B3A22"/>
    <w:rsid w:val="008D091D"/>
    <w:rsid w:val="008E3519"/>
    <w:rsid w:val="008F3CEB"/>
    <w:rsid w:val="008F4253"/>
    <w:rsid w:val="00963AB9"/>
    <w:rsid w:val="00975900"/>
    <w:rsid w:val="009778D8"/>
    <w:rsid w:val="0098137A"/>
    <w:rsid w:val="009A3736"/>
    <w:rsid w:val="009B299C"/>
    <w:rsid w:val="009C3262"/>
    <w:rsid w:val="009D125A"/>
    <w:rsid w:val="009D358B"/>
    <w:rsid w:val="009F2F6C"/>
    <w:rsid w:val="00A040C5"/>
    <w:rsid w:val="00A074A3"/>
    <w:rsid w:val="00A1696A"/>
    <w:rsid w:val="00A42D28"/>
    <w:rsid w:val="00A47421"/>
    <w:rsid w:val="00A802B3"/>
    <w:rsid w:val="00A82B1D"/>
    <w:rsid w:val="00AB7090"/>
    <w:rsid w:val="00AC4817"/>
    <w:rsid w:val="00AD27DD"/>
    <w:rsid w:val="00AE0F3F"/>
    <w:rsid w:val="00AE128B"/>
    <w:rsid w:val="00B02FC9"/>
    <w:rsid w:val="00B036F0"/>
    <w:rsid w:val="00B121AF"/>
    <w:rsid w:val="00B1554A"/>
    <w:rsid w:val="00B57457"/>
    <w:rsid w:val="00B62A4D"/>
    <w:rsid w:val="00B67D71"/>
    <w:rsid w:val="00B74CE0"/>
    <w:rsid w:val="00B87AA1"/>
    <w:rsid w:val="00B939B0"/>
    <w:rsid w:val="00B93BEA"/>
    <w:rsid w:val="00BB227C"/>
    <w:rsid w:val="00BB347F"/>
    <w:rsid w:val="00BC1164"/>
    <w:rsid w:val="00BC4AC1"/>
    <w:rsid w:val="00BD1D15"/>
    <w:rsid w:val="00BF46DF"/>
    <w:rsid w:val="00C1097A"/>
    <w:rsid w:val="00C21DE2"/>
    <w:rsid w:val="00C331FE"/>
    <w:rsid w:val="00C34077"/>
    <w:rsid w:val="00C57CE5"/>
    <w:rsid w:val="00C85FBA"/>
    <w:rsid w:val="00CA13E4"/>
    <w:rsid w:val="00CC36DF"/>
    <w:rsid w:val="00CC6399"/>
    <w:rsid w:val="00CF28FB"/>
    <w:rsid w:val="00D06440"/>
    <w:rsid w:val="00D112B0"/>
    <w:rsid w:val="00D14E7A"/>
    <w:rsid w:val="00D27096"/>
    <w:rsid w:val="00D369C2"/>
    <w:rsid w:val="00D37903"/>
    <w:rsid w:val="00D565F9"/>
    <w:rsid w:val="00D62674"/>
    <w:rsid w:val="00D73C49"/>
    <w:rsid w:val="00D7761A"/>
    <w:rsid w:val="00D94D32"/>
    <w:rsid w:val="00DB1108"/>
    <w:rsid w:val="00DC77EA"/>
    <w:rsid w:val="00DD0D02"/>
    <w:rsid w:val="00DD4887"/>
    <w:rsid w:val="00DE2503"/>
    <w:rsid w:val="00E00AF4"/>
    <w:rsid w:val="00E02B4A"/>
    <w:rsid w:val="00E03635"/>
    <w:rsid w:val="00E60B50"/>
    <w:rsid w:val="00E652F5"/>
    <w:rsid w:val="00E93FC9"/>
    <w:rsid w:val="00EA42A7"/>
    <w:rsid w:val="00EA4696"/>
    <w:rsid w:val="00EA5E87"/>
    <w:rsid w:val="00EB7050"/>
    <w:rsid w:val="00EC7470"/>
    <w:rsid w:val="00ED352D"/>
    <w:rsid w:val="00ED35F3"/>
    <w:rsid w:val="00F13C9F"/>
    <w:rsid w:val="00F16DA3"/>
    <w:rsid w:val="00F51E1A"/>
    <w:rsid w:val="00F526B8"/>
    <w:rsid w:val="00F865C3"/>
    <w:rsid w:val="00F9097E"/>
    <w:rsid w:val="00F92F55"/>
    <w:rsid w:val="00FA54C2"/>
    <w:rsid w:val="00FC6E46"/>
    <w:rsid w:val="00FE4A85"/>
    <w:rsid w:val="00FE5A98"/>
    <w:rsid w:val="00FF2F76"/>
    <w:rsid w:val="01086F7F"/>
    <w:rsid w:val="01427248"/>
    <w:rsid w:val="015E31B8"/>
    <w:rsid w:val="017BFE82"/>
    <w:rsid w:val="01834744"/>
    <w:rsid w:val="018BC7B0"/>
    <w:rsid w:val="019943E1"/>
    <w:rsid w:val="01AE7AC7"/>
    <w:rsid w:val="01C9A54A"/>
    <w:rsid w:val="028BDB95"/>
    <w:rsid w:val="02AAE8CB"/>
    <w:rsid w:val="034A4B28"/>
    <w:rsid w:val="036575AB"/>
    <w:rsid w:val="03D85F62"/>
    <w:rsid w:val="04382AE1"/>
    <w:rsid w:val="043B363F"/>
    <w:rsid w:val="04406619"/>
    <w:rsid w:val="04488721"/>
    <w:rsid w:val="044D61C7"/>
    <w:rsid w:val="0459389E"/>
    <w:rsid w:val="04A7358D"/>
    <w:rsid w:val="0501460C"/>
    <w:rsid w:val="0555CB44"/>
    <w:rsid w:val="056499B1"/>
    <w:rsid w:val="05750B7D"/>
    <w:rsid w:val="0583FC0D"/>
    <w:rsid w:val="058E418B"/>
    <w:rsid w:val="05D6EB0A"/>
    <w:rsid w:val="060C4655"/>
    <w:rsid w:val="060FAABF"/>
    <w:rsid w:val="06C1A04E"/>
    <w:rsid w:val="06F016D3"/>
    <w:rsid w:val="07447B7A"/>
    <w:rsid w:val="0752059C"/>
    <w:rsid w:val="07EB2822"/>
    <w:rsid w:val="07FA130A"/>
    <w:rsid w:val="082ADBBA"/>
    <w:rsid w:val="083A31AA"/>
    <w:rsid w:val="08477C26"/>
    <w:rsid w:val="08950E8C"/>
    <w:rsid w:val="08B9DA1E"/>
    <w:rsid w:val="08BF77D2"/>
    <w:rsid w:val="08F070D1"/>
    <w:rsid w:val="08FA16F1"/>
    <w:rsid w:val="092358B2"/>
    <w:rsid w:val="094EC560"/>
    <w:rsid w:val="0966515F"/>
    <w:rsid w:val="09789E35"/>
    <w:rsid w:val="097AA6B0"/>
    <w:rsid w:val="099E0D5F"/>
    <w:rsid w:val="09B270E5"/>
    <w:rsid w:val="09BBBB52"/>
    <w:rsid w:val="09F63C1D"/>
    <w:rsid w:val="0A2532C1"/>
    <w:rsid w:val="0A35245C"/>
    <w:rsid w:val="0A487CA0"/>
    <w:rsid w:val="0A656E3B"/>
    <w:rsid w:val="0A8E0F63"/>
    <w:rsid w:val="0A8E2BF4"/>
    <w:rsid w:val="0AB486AE"/>
    <w:rsid w:val="0AB62164"/>
    <w:rsid w:val="0ABCA34B"/>
    <w:rsid w:val="0AE31BE2"/>
    <w:rsid w:val="0B2F9F6E"/>
    <w:rsid w:val="0BE96E6E"/>
    <w:rsid w:val="0BEE93FF"/>
    <w:rsid w:val="0C07BC5C"/>
    <w:rsid w:val="0C20AF04"/>
    <w:rsid w:val="0C31E9DB"/>
    <w:rsid w:val="0C7A32F2"/>
    <w:rsid w:val="0C9DC310"/>
    <w:rsid w:val="0CF4A57C"/>
    <w:rsid w:val="0CF91AF4"/>
    <w:rsid w:val="0D208C1E"/>
    <w:rsid w:val="0D347F2D"/>
    <w:rsid w:val="0D5EFA75"/>
    <w:rsid w:val="0D801D62"/>
    <w:rsid w:val="0D9D0EFD"/>
    <w:rsid w:val="0DA6B778"/>
    <w:rsid w:val="0DADF1C1"/>
    <w:rsid w:val="0DBF7242"/>
    <w:rsid w:val="0DDDB33B"/>
    <w:rsid w:val="0DEE1A23"/>
    <w:rsid w:val="0E487F53"/>
    <w:rsid w:val="0E5EA293"/>
    <w:rsid w:val="0E91EE32"/>
    <w:rsid w:val="0ED4EE01"/>
    <w:rsid w:val="0F05BCF4"/>
    <w:rsid w:val="0F230D97"/>
    <w:rsid w:val="0F2634C1"/>
    <w:rsid w:val="0F5ED092"/>
    <w:rsid w:val="0FF94A9D"/>
    <w:rsid w:val="104C64AC"/>
    <w:rsid w:val="105D61FB"/>
    <w:rsid w:val="10635971"/>
    <w:rsid w:val="106C1FEF"/>
    <w:rsid w:val="10B241EB"/>
    <w:rsid w:val="10CE84AE"/>
    <w:rsid w:val="10D4AFBF"/>
    <w:rsid w:val="111553FD"/>
    <w:rsid w:val="112B44F5"/>
    <w:rsid w:val="115C527B"/>
    <w:rsid w:val="116EFDA6"/>
    <w:rsid w:val="11C67D71"/>
    <w:rsid w:val="11EE5A2D"/>
    <w:rsid w:val="11F2596A"/>
    <w:rsid w:val="1209D239"/>
    <w:rsid w:val="1240A825"/>
    <w:rsid w:val="1251066C"/>
    <w:rsid w:val="126A550F"/>
    <w:rsid w:val="12B6D21F"/>
    <w:rsid w:val="12BF0BFC"/>
    <w:rsid w:val="132188F6"/>
    <w:rsid w:val="1344EFA5"/>
    <w:rsid w:val="134D066C"/>
    <w:rsid w:val="135B6D71"/>
    <w:rsid w:val="13685C78"/>
    <w:rsid w:val="13692C41"/>
    <w:rsid w:val="137B9975"/>
    <w:rsid w:val="13872282"/>
    <w:rsid w:val="139F36AB"/>
    <w:rsid w:val="13CF5B1D"/>
    <w:rsid w:val="14062570"/>
    <w:rsid w:val="140C5081"/>
    <w:rsid w:val="144CF4BF"/>
    <w:rsid w:val="145E2191"/>
    <w:rsid w:val="1483BBCA"/>
    <w:rsid w:val="1486DBB3"/>
    <w:rsid w:val="14E5092E"/>
    <w:rsid w:val="14F3D514"/>
    <w:rsid w:val="151DB97E"/>
    <w:rsid w:val="1582AB01"/>
    <w:rsid w:val="15A04AAC"/>
    <w:rsid w:val="15C504D4"/>
    <w:rsid w:val="15E8C520"/>
    <w:rsid w:val="15F25493"/>
    <w:rsid w:val="16042A79"/>
    <w:rsid w:val="162D8FA9"/>
    <w:rsid w:val="16861853"/>
    <w:rsid w:val="16892302"/>
    <w:rsid w:val="16A1EB2B"/>
    <w:rsid w:val="16D5B457"/>
    <w:rsid w:val="16D649E9"/>
    <w:rsid w:val="16D6B847"/>
    <w:rsid w:val="16FC17BA"/>
    <w:rsid w:val="16FD446C"/>
    <w:rsid w:val="170F7303"/>
    <w:rsid w:val="173961ED"/>
    <w:rsid w:val="173DC632"/>
    <w:rsid w:val="17849581"/>
    <w:rsid w:val="1786A596"/>
    <w:rsid w:val="179CF752"/>
    <w:rsid w:val="17A6FD2A"/>
    <w:rsid w:val="17C88A9B"/>
    <w:rsid w:val="18139BF1"/>
    <w:rsid w:val="181DFE64"/>
    <w:rsid w:val="182D13D5"/>
    <w:rsid w:val="184C3631"/>
    <w:rsid w:val="18605FC9"/>
    <w:rsid w:val="18BA4BC3"/>
    <w:rsid w:val="18D99693"/>
    <w:rsid w:val="18DB0782"/>
    <w:rsid w:val="18E8BD0C"/>
    <w:rsid w:val="18F0375F"/>
    <w:rsid w:val="1900FF1F"/>
    <w:rsid w:val="1918DA32"/>
    <w:rsid w:val="193FAD02"/>
    <w:rsid w:val="1972D032"/>
    <w:rsid w:val="19D4DB75"/>
    <w:rsid w:val="19D9CCA2"/>
    <w:rsid w:val="19DBA172"/>
    <w:rsid w:val="19E91E48"/>
    <w:rsid w:val="1A001C77"/>
    <w:rsid w:val="1A60D6F9"/>
    <w:rsid w:val="1A7A9D08"/>
    <w:rsid w:val="1AA3E32A"/>
    <w:rsid w:val="1ACD6315"/>
    <w:rsid w:val="1ADB7D63"/>
    <w:rsid w:val="1B544AB2"/>
    <w:rsid w:val="1B6E441A"/>
    <w:rsid w:val="1BEE5D86"/>
    <w:rsid w:val="1BFA1A29"/>
    <w:rsid w:val="1C0F8C30"/>
    <w:rsid w:val="1C172F52"/>
    <w:rsid w:val="1C1AE7EA"/>
    <w:rsid w:val="1C2EE548"/>
    <w:rsid w:val="1C4508D7"/>
    <w:rsid w:val="1C452D42"/>
    <w:rsid w:val="1C774DC4"/>
    <w:rsid w:val="1C9F53E5"/>
    <w:rsid w:val="1CC601E7"/>
    <w:rsid w:val="1CCA5448"/>
    <w:rsid w:val="1CDE8134"/>
    <w:rsid w:val="1CF3BF71"/>
    <w:rsid w:val="1D116D64"/>
    <w:rsid w:val="1D36B52B"/>
    <w:rsid w:val="1D6FAAA3"/>
    <w:rsid w:val="1D997F0F"/>
    <w:rsid w:val="1DAF57A5"/>
    <w:rsid w:val="1DCAB5A9"/>
    <w:rsid w:val="1E131E25"/>
    <w:rsid w:val="1E4A6109"/>
    <w:rsid w:val="1E538E72"/>
    <w:rsid w:val="1E554D8F"/>
    <w:rsid w:val="1E688D1F"/>
    <w:rsid w:val="1EF6A772"/>
    <w:rsid w:val="1F25FE48"/>
    <w:rsid w:val="1F2D5BB4"/>
    <w:rsid w:val="1F38C648"/>
    <w:rsid w:val="1F472CF2"/>
    <w:rsid w:val="1F4B057F"/>
    <w:rsid w:val="2004774D"/>
    <w:rsid w:val="20460E3E"/>
    <w:rsid w:val="204C45FA"/>
    <w:rsid w:val="2051950D"/>
    <w:rsid w:val="20C1CEA9"/>
    <w:rsid w:val="20E4A878"/>
    <w:rsid w:val="20F817F4"/>
    <w:rsid w:val="213CA499"/>
    <w:rsid w:val="2145EE23"/>
    <w:rsid w:val="21AE6D03"/>
    <w:rsid w:val="21B2C382"/>
    <w:rsid w:val="21BCB97F"/>
    <w:rsid w:val="21D5AB94"/>
    <w:rsid w:val="21DFED5A"/>
    <w:rsid w:val="21E4DE87"/>
    <w:rsid w:val="21ED656E"/>
    <w:rsid w:val="2240D01E"/>
    <w:rsid w:val="226C2DE0"/>
    <w:rsid w:val="228078D9"/>
    <w:rsid w:val="2285D95E"/>
    <w:rsid w:val="22E732C0"/>
    <w:rsid w:val="234E93E3"/>
    <w:rsid w:val="2362955E"/>
    <w:rsid w:val="2380AEE8"/>
    <w:rsid w:val="238935CF"/>
    <w:rsid w:val="23D59DD8"/>
    <w:rsid w:val="23FCA2A2"/>
    <w:rsid w:val="246C57D5"/>
    <w:rsid w:val="24983156"/>
    <w:rsid w:val="24D52A76"/>
    <w:rsid w:val="25069971"/>
    <w:rsid w:val="253E6706"/>
    <w:rsid w:val="254E0EBF"/>
    <w:rsid w:val="25C82542"/>
    <w:rsid w:val="260C1887"/>
    <w:rsid w:val="2614F86F"/>
    <w:rsid w:val="262A769A"/>
    <w:rsid w:val="26681CE9"/>
    <w:rsid w:val="2694BF62"/>
    <w:rsid w:val="26C4F428"/>
    <w:rsid w:val="26CE2D70"/>
    <w:rsid w:val="277197EF"/>
    <w:rsid w:val="27750A55"/>
    <w:rsid w:val="2790BB9A"/>
    <w:rsid w:val="27E5F6F0"/>
    <w:rsid w:val="27F4E8C4"/>
    <w:rsid w:val="27FA782A"/>
    <w:rsid w:val="2803FC45"/>
    <w:rsid w:val="2817BE08"/>
    <w:rsid w:val="283E21E7"/>
    <w:rsid w:val="284379A1"/>
    <w:rsid w:val="284F393D"/>
    <w:rsid w:val="285F5A47"/>
    <w:rsid w:val="28641C69"/>
    <w:rsid w:val="28EFBA5D"/>
    <w:rsid w:val="28FB5898"/>
    <w:rsid w:val="2917BFCF"/>
    <w:rsid w:val="294CB3F7"/>
    <w:rsid w:val="2970C9DD"/>
    <w:rsid w:val="2978533D"/>
    <w:rsid w:val="2983991D"/>
    <w:rsid w:val="29BAA763"/>
    <w:rsid w:val="29C310F8"/>
    <w:rsid w:val="2A0FFB2B"/>
    <w:rsid w:val="2A2C6A59"/>
    <w:rsid w:val="2A53C971"/>
    <w:rsid w:val="2A599BBB"/>
    <w:rsid w:val="2ADB9959"/>
    <w:rsid w:val="2AE20F13"/>
    <w:rsid w:val="2B17C88A"/>
    <w:rsid w:val="2B2E3BDD"/>
    <w:rsid w:val="2B45F9A5"/>
    <w:rsid w:val="2B65299C"/>
    <w:rsid w:val="2B963BB9"/>
    <w:rsid w:val="2BAA5EDF"/>
    <w:rsid w:val="2BACF4A3"/>
    <w:rsid w:val="2BBC50F2"/>
    <w:rsid w:val="2BE12F72"/>
    <w:rsid w:val="2C1EB274"/>
    <w:rsid w:val="2C5DD9F5"/>
    <w:rsid w:val="2C6783AE"/>
    <w:rsid w:val="2C7A9293"/>
    <w:rsid w:val="2C955F14"/>
    <w:rsid w:val="2CCCCA41"/>
    <w:rsid w:val="2D0CDB48"/>
    <w:rsid w:val="2D2B5811"/>
    <w:rsid w:val="2D520450"/>
    <w:rsid w:val="2D88DEF7"/>
    <w:rsid w:val="2DE8C6F9"/>
    <w:rsid w:val="2DF5504D"/>
    <w:rsid w:val="2E0EE068"/>
    <w:rsid w:val="2E56397C"/>
    <w:rsid w:val="2E5B7F28"/>
    <w:rsid w:val="2E65DC9F"/>
    <w:rsid w:val="2E677FE6"/>
    <w:rsid w:val="2E812FBC"/>
    <w:rsid w:val="2EC6826F"/>
    <w:rsid w:val="2EF34D72"/>
    <w:rsid w:val="2F0AFC6D"/>
    <w:rsid w:val="2F693956"/>
    <w:rsid w:val="2FAAC92D"/>
    <w:rsid w:val="301A4BA7"/>
    <w:rsid w:val="3028F9FB"/>
    <w:rsid w:val="302C959E"/>
    <w:rsid w:val="3074E01F"/>
    <w:rsid w:val="30B80C7B"/>
    <w:rsid w:val="30DEFD48"/>
    <w:rsid w:val="30F8CA05"/>
    <w:rsid w:val="30FACC42"/>
    <w:rsid w:val="31BC7D0C"/>
    <w:rsid w:val="32CBACD4"/>
    <w:rsid w:val="32EB2CDE"/>
    <w:rsid w:val="33051A3A"/>
    <w:rsid w:val="332838BD"/>
    <w:rsid w:val="33713739"/>
    <w:rsid w:val="3388350D"/>
    <w:rsid w:val="33A1F0DA"/>
    <w:rsid w:val="34498103"/>
    <w:rsid w:val="3456370C"/>
    <w:rsid w:val="34711C56"/>
    <w:rsid w:val="348AA477"/>
    <w:rsid w:val="351BBEEA"/>
    <w:rsid w:val="351C770F"/>
    <w:rsid w:val="35381F1D"/>
    <w:rsid w:val="35ADC07B"/>
    <w:rsid w:val="35BB797A"/>
    <w:rsid w:val="35CE3D65"/>
    <w:rsid w:val="36081D0C"/>
    <w:rsid w:val="3615C490"/>
    <w:rsid w:val="362D4ADF"/>
    <w:rsid w:val="364E9549"/>
    <w:rsid w:val="3653C25E"/>
    <w:rsid w:val="3676B518"/>
    <w:rsid w:val="36A8D7FB"/>
    <w:rsid w:val="36B84770"/>
    <w:rsid w:val="36CE7374"/>
    <w:rsid w:val="3736B069"/>
    <w:rsid w:val="3760DE8E"/>
    <w:rsid w:val="379DFBBD"/>
    <w:rsid w:val="37E07612"/>
    <w:rsid w:val="3822EB6F"/>
    <w:rsid w:val="38566F1A"/>
    <w:rsid w:val="38CA3CAF"/>
    <w:rsid w:val="38E0AE20"/>
    <w:rsid w:val="3905DE27"/>
    <w:rsid w:val="39195298"/>
    <w:rsid w:val="392B79A0"/>
    <w:rsid w:val="3965D12B"/>
    <w:rsid w:val="39B07CCC"/>
    <w:rsid w:val="39ECE606"/>
    <w:rsid w:val="39F5310D"/>
    <w:rsid w:val="3A45C664"/>
    <w:rsid w:val="3A96ABAF"/>
    <w:rsid w:val="3A96C34F"/>
    <w:rsid w:val="3A9F9A2A"/>
    <w:rsid w:val="3AA1AE88"/>
    <w:rsid w:val="3AE3E6A0"/>
    <w:rsid w:val="3AF9AAA9"/>
    <w:rsid w:val="3B36FA6D"/>
    <w:rsid w:val="3B4ED11E"/>
    <w:rsid w:val="3B77B718"/>
    <w:rsid w:val="3BA6C51C"/>
    <w:rsid w:val="3C456C6F"/>
    <w:rsid w:val="3C4ACCF4"/>
    <w:rsid w:val="3C6C8C26"/>
    <w:rsid w:val="3C7D19C8"/>
    <w:rsid w:val="3C84475E"/>
    <w:rsid w:val="3CA24B43"/>
    <w:rsid w:val="3CE851A9"/>
    <w:rsid w:val="3CF2963E"/>
    <w:rsid w:val="3CFD45FD"/>
    <w:rsid w:val="3D120BEF"/>
    <w:rsid w:val="3D160521"/>
    <w:rsid w:val="3D1831A8"/>
    <w:rsid w:val="3D1D7A04"/>
    <w:rsid w:val="3DADD4D2"/>
    <w:rsid w:val="3DE9BA8B"/>
    <w:rsid w:val="3E1DF96B"/>
    <w:rsid w:val="3E58A9BE"/>
    <w:rsid w:val="3EAF57DA"/>
    <w:rsid w:val="3EBD057E"/>
    <w:rsid w:val="3ED1228F"/>
    <w:rsid w:val="3ED197D3"/>
    <w:rsid w:val="3F166DBD"/>
    <w:rsid w:val="3F5306FD"/>
    <w:rsid w:val="3F62465D"/>
    <w:rsid w:val="3F6D3866"/>
    <w:rsid w:val="3F91AD25"/>
    <w:rsid w:val="4001D668"/>
    <w:rsid w:val="400316E9"/>
    <w:rsid w:val="4020E3B3"/>
    <w:rsid w:val="404B283B"/>
    <w:rsid w:val="404DA5E3"/>
    <w:rsid w:val="405F29B6"/>
    <w:rsid w:val="40635BBE"/>
    <w:rsid w:val="406BAB36"/>
    <w:rsid w:val="40C97572"/>
    <w:rsid w:val="41155BB3"/>
    <w:rsid w:val="412D7D86"/>
    <w:rsid w:val="41307FE8"/>
    <w:rsid w:val="41368B85"/>
    <w:rsid w:val="41733B1B"/>
    <w:rsid w:val="4192B945"/>
    <w:rsid w:val="41AB0B1A"/>
    <w:rsid w:val="41BB8EB1"/>
    <w:rsid w:val="41F18B7A"/>
    <w:rsid w:val="42029EA1"/>
    <w:rsid w:val="4221D07B"/>
    <w:rsid w:val="42AAAC0F"/>
    <w:rsid w:val="42B94C86"/>
    <w:rsid w:val="42BBA682"/>
    <w:rsid w:val="42DA0E22"/>
    <w:rsid w:val="4300BE75"/>
    <w:rsid w:val="435EC654"/>
    <w:rsid w:val="4382C8FD"/>
    <w:rsid w:val="438F4889"/>
    <w:rsid w:val="4395FF7F"/>
    <w:rsid w:val="43A9EE0C"/>
    <w:rsid w:val="43ACF67C"/>
    <w:rsid w:val="441042DF"/>
    <w:rsid w:val="442FE9FA"/>
    <w:rsid w:val="44507E54"/>
    <w:rsid w:val="446400CA"/>
    <w:rsid w:val="44C4B456"/>
    <w:rsid w:val="44F58023"/>
    <w:rsid w:val="45211706"/>
    <w:rsid w:val="45C29721"/>
    <w:rsid w:val="45EC408E"/>
    <w:rsid w:val="4675B2A9"/>
    <w:rsid w:val="46EC7E34"/>
    <w:rsid w:val="46F9C623"/>
    <w:rsid w:val="473CAAF2"/>
    <w:rsid w:val="475C189F"/>
    <w:rsid w:val="47803190"/>
    <w:rsid w:val="47A5CD09"/>
    <w:rsid w:val="47E72C90"/>
    <w:rsid w:val="4858B7C8"/>
    <w:rsid w:val="4881ADA7"/>
    <w:rsid w:val="48FD7D45"/>
    <w:rsid w:val="4911A95A"/>
    <w:rsid w:val="495DFE8E"/>
    <w:rsid w:val="4A144A7A"/>
    <w:rsid w:val="4A3871E6"/>
    <w:rsid w:val="4A5531BF"/>
    <w:rsid w:val="4A6617F3"/>
    <w:rsid w:val="4AA449DD"/>
    <w:rsid w:val="4AD33449"/>
    <w:rsid w:val="4AE834F1"/>
    <w:rsid w:val="4B4840C2"/>
    <w:rsid w:val="4B703503"/>
    <w:rsid w:val="4B789D81"/>
    <w:rsid w:val="4B903F2A"/>
    <w:rsid w:val="4BA40B03"/>
    <w:rsid w:val="4BB25526"/>
    <w:rsid w:val="4BC555F1"/>
    <w:rsid w:val="4BC5EF8A"/>
    <w:rsid w:val="4BFCE205"/>
    <w:rsid w:val="4C0A5C61"/>
    <w:rsid w:val="4C53A2B3"/>
    <w:rsid w:val="4C687578"/>
    <w:rsid w:val="4C6F04AA"/>
    <w:rsid w:val="4CABCB54"/>
    <w:rsid w:val="4CDE2BFC"/>
    <w:rsid w:val="4D081FA6"/>
    <w:rsid w:val="4D0F025A"/>
    <w:rsid w:val="4D387ABE"/>
    <w:rsid w:val="4D68B7F7"/>
    <w:rsid w:val="4E16F076"/>
    <w:rsid w:val="4E6E2586"/>
    <w:rsid w:val="4E7B8B8E"/>
    <w:rsid w:val="4EF3C77B"/>
    <w:rsid w:val="4F1F1A36"/>
    <w:rsid w:val="4F4EB66E"/>
    <w:rsid w:val="4FBA35E1"/>
    <w:rsid w:val="4FC1657B"/>
    <w:rsid w:val="4FD69EEB"/>
    <w:rsid w:val="5009F5E7"/>
    <w:rsid w:val="5027F2CB"/>
    <w:rsid w:val="50308D45"/>
    <w:rsid w:val="50379601"/>
    <w:rsid w:val="508B7984"/>
    <w:rsid w:val="512F015C"/>
    <w:rsid w:val="5152649B"/>
    <w:rsid w:val="515E7CCF"/>
    <w:rsid w:val="52069CF0"/>
    <w:rsid w:val="52099BF2"/>
    <w:rsid w:val="521CC66E"/>
    <w:rsid w:val="522300BD"/>
    <w:rsid w:val="522DE657"/>
    <w:rsid w:val="5240AEB0"/>
    <w:rsid w:val="52667AC6"/>
    <w:rsid w:val="52A302AE"/>
    <w:rsid w:val="52BDD0B5"/>
    <w:rsid w:val="52BE8E9F"/>
    <w:rsid w:val="52EDCB9E"/>
    <w:rsid w:val="531258E8"/>
    <w:rsid w:val="5398BA45"/>
    <w:rsid w:val="53AACCD8"/>
    <w:rsid w:val="53B98E1F"/>
    <w:rsid w:val="5445F680"/>
    <w:rsid w:val="545060B3"/>
    <w:rsid w:val="55914B4F"/>
    <w:rsid w:val="55B26B48"/>
    <w:rsid w:val="55F57177"/>
    <w:rsid w:val="55F62F61"/>
    <w:rsid w:val="5622BE1E"/>
    <w:rsid w:val="5639853D"/>
    <w:rsid w:val="564EEFE2"/>
    <w:rsid w:val="56D30B31"/>
    <w:rsid w:val="56DDF0C1"/>
    <w:rsid w:val="56F671E0"/>
    <w:rsid w:val="56FABB08"/>
    <w:rsid w:val="5720C38C"/>
    <w:rsid w:val="572D1BB0"/>
    <w:rsid w:val="579A5191"/>
    <w:rsid w:val="5819DC53"/>
    <w:rsid w:val="5868C3C9"/>
    <w:rsid w:val="586965AE"/>
    <w:rsid w:val="588D9DB5"/>
    <w:rsid w:val="588E0379"/>
    <w:rsid w:val="58AFC3B4"/>
    <w:rsid w:val="5903FC81"/>
    <w:rsid w:val="590A75C3"/>
    <w:rsid w:val="590BEB72"/>
    <w:rsid w:val="59238925"/>
    <w:rsid w:val="592DD023"/>
    <w:rsid w:val="5969D7ED"/>
    <w:rsid w:val="597125FF"/>
    <w:rsid w:val="59B5ACB4"/>
    <w:rsid w:val="59BE2867"/>
    <w:rsid w:val="5A28F8A7"/>
    <w:rsid w:val="5A4B9415"/>
    <w:rsid w:val="5A5CA708"/>
    <w:rsid w:val="5A624F93"/>
    <w:rsid w:val="5A73F500"/>
    <w:rsid w:val="5AC2E301"/>
    <w:rsid w:val="5ACACC73"/>
    <w:rsid w:val="5AD5E3A2"/>
    <w:rsid w:val="5ADC4B21"/>
    <w:rsid w:val="5AE2C8E1"/>
    <w:rsid w:val="5B3381F8"/>
    <w:rsid w:val="5B59F8C8"/>
    <w:rsid w:val="5B95417D"/>
    <w:rsid w:val="5BF434AF"/>
    <w:rsid w:val="5C537CCE"/>
    <w:rsid w:val="5C7D4558"/>
    <w:rsid w:val="5CBFFCE6"/>
    <w:rsid w:val="5D06BCCB"/>
    <w:rsid w:val="5D0D636D"/>
    <w:rsid w:val="5D60EE8D"/>
    <w:rsid w:val="5DAB5C13"/>
    <w:rsid w:val="5DF6FA48"/>
    <w:rsid w:val="5E13EBE3"/>
    <w:rsid w:val="5E8C36D6"/>
    <w:rsid w:val="5E973BFF"/>
    <w:rsid w:val="5EE60A9C"/>
    <w:rsid w:val="5EF2C680"/>
    <w:rsid w:val="5EF50439"/>
    <w:rsid w:val="5EFBA170"/>
    <w:rsid w:val="5F12BE9C"/>
    <w:rsid w:val="5F3157BC"/>
    <w:rsid w:val="5F41A3CF"/>
    <w:rsid w:val="5F710C27"/>
    <w:rsid w:val="5FB5B8B7"/>
    <w:rsid w:val="5FCB2E04"/>
    <w:rsid w:val="5FCC6A25"/>
    <w:rsid w:val="5FD640BF"/>
    <w:rsid w:val="6051B64D"/>
    <w:rsid w:val="6052B495"/>
    <w:rsid w:val="608912DE"/>
    <w:rsid w:val="609771D1"/>
    <w:rsid w:val="60A10CD7"/>
    <w:rsid w:val="60C0C0F9"/>
    <w:rsid w:val="60E4DEBE"/>
    <w:rsid w:val="610D781D"/>
    <w:rsid w:val="61111311"/>
    <w:rsid w:val="6169A339"/>
    <w:rsid w:val="616D8077"/>
    <w:rsid w:val="617C37E4"/>
    <w:rsid w:val="618C30E3"/>
    <w:rsid w:val="61C3D798"/>
    <w:rsid w:val="6217D236"/>
    <w:rsid w:val="62CA6B6B"/>
    <w:rsid w:val="62DB0F82"/>
    <w:rsid w:val="62E0F587"/>
    <w:rsid w:val="6305C5E1"/>
    <w:rsid w:val="630980CB"/>
    <w:rsid w:val="6366D9ED"/>
    <w:rsid w:val="63B97BBF"/>
    <w:rsid w:val="63C748AE"/>
    <w:rsid w:val="6440FE83"/>
    <w:rsid w:val="6446BC26"/>
    <w:rsid w:val="64549C4E"/>
    <w:rsid w:val="6476DFE3"/>
    <w:rsid w:val="64B7E7FB"/>
    <w:rsid w:val="64C56A83"/>
    <w:rsid w:val="65178EF9"/>
    <w:rsid w:val="65295DA2"/>
    <w:rsid w:val="6552042F"/>
    <w:rsid w:val="6557607E"/>
    <w:rsid w:val="65807F88"/>
    <w:rsid w:val="65E28C87"/>
    <w:rsid w:val="66154768"/>
    <w:rsid w:val="6621F5B0"/>
    <w:rsid w:val="663EA0AE"/>
    <w:rsid w:val="66981183"/>
    <w:rsid w:val="669981D4"/>
    <w:rsid w:val="66E902D5"/>
    <w:rsid w:val="66FF764A"/>
    <w:rsid w:val="6716DA20"/>
    <w:rsid w:val="672A171D"/>
    <w:rsid w:val="67628BB6"/>
    <w:rsid w:val="6777A975"/>
    <w:rsid w:val="67BACE29"/>
    <w:rsid w:val="67DF933F"/>
    <w:rsid w:val="687A062C"/>
    <w:rsid w:val="687D904F"/>
    <w:rsid w:val="688713BA"/>
    <w:rsid w:val="694BE173"/>
    <w:rsid w:val="694EC854"/>
    <w:rsid w:val="69A86F9A"/>
    <w:rsid w:val="69FA5512"/>
    <w:rsid w:val="6A22E41B"/>
    <w:rsid w:val="6AD34954"/>
    <w:rsid w:val="6B262BB3"/>
    <w:rsid w:val="6B443FFB"/>
    <w:rsid w:val="6B6F8E65"/>
    <w:rsid w:val="6BC6A202"/>
    <w:rsid w:val="6BCC6785"/>
    <w:rsid w:val="6C0A0FF2"/>
    <w:rsid w:val="6C866916"/>
    <w:rsid w:val="6CC1FC14"/>
    <w:rsid w:val="6CE414AF"/>
    <w:rsid w:val="6D55715B"/>
    <w:rsid w:val="6D5FBF72"/>
    <w:rsid w:val="6D627263"/>
    <w:rsid w:val="6D6603A4"/>
    <w:rsid w:val="6D688F42"/>
    <w:rsid w:val="6D87088E"/>
    <w:rsid w:val="6DF48A2D"/>
    <w:rsid w:val="6E00B908"/>
    <w:rsid w:val="6E33B808"/>
    <w:rsid w:val="6E7BE0BD"/>
    <w:rsid w:val="6E89AD6E"/>
    <w:rsid w:val="6E8BA028"/>
    <w:rsid w:val="6EBD926B"/>
    <w:rsid w:val="6F1F297E"/>
    <w:rsid w:val="6F293453"/>
    <w:rsid w:val="6F303B7A"/>
    <w:rsid w:val="6F49E6C1"/>
    <w:rsid w:val="6F91E345"/>
    <w:rsid w:val="6F9CDB2E"/>
    <w:rsid w:val="6FB0DBF9"/>
    <w:rsid w:val="700AAD1E"/>
    <w:rsid w:val="7017B11E"/>
    <w:rsid w:val="7042B662"/>
    <w:rsid w:val="70ABA1D3"/>
    <w:rsid w:val="70C322E0"/>
    <w:rsid w:val="70C871F3"/>
    <w:rsid w:val="70FCC21A"/>
    <w:rsid w:val="71512A77"/>
    <w:rsid w:val="719070EC"/>
    <w:rsid w:val="71B2A184"/>
    <w:rsid w:val="71B3817F"/>
    <w:rsid w:val="72322A78"/>
    <w:rsid w:val="725A2DE4"/>
    <w:rsid w:val="725D1119"/>
    <w:rsid w:val="7261CC56"/>
    <w:rsid w:val="727252A0"/>
    <w:rsid w:val="72928027"/>
    <w:rsid w:val="72C2219D"/>
    <w:rsid w:val="730F01F8"/>
    <w:rsid w:val="73255FFD"/>
    <w:rsid w:val="73970353"/>
    <w:rsid w:val="74215BC1"/>
    <w:rsid w:val="74310AD6"/>
    <w:rsid w:val="7438487A"/>
    <w:rsid w:val="74AC4E7D"/>
    <w:rsid w:val="74E60ACC"/>
    <w:rsid w:val="74EB2241"/>
    <w:rsid w:val="758FCAB7"/>
    <w:rsid w:val="75B5967A"/>
    <w:rsid w:val="75E9A7D0"/>
    <w:rsid w:val="7665CCD1"/>
    <w:rsid w:val="76CE9066"/>
    <w:rsid w:val="76CECFA5"/>
    <w:rsid w:val="76DB2CDA"/>
    <w:rsid w:val="76DFD174"/>
    <w:rsid w:val="7705E926"/>
    <w:rsid w:val="77506066"/>
    <w:rsid w:val="7762CFBB"/>
    <w:rsid w:val="77B1B631"/>
    <w:rsid w:val="77C8B284"/>
    <w:rsid w:val="77EE2CB4"/>
    <w:rsid w:val="7891CB37"/>
    <w:rsid w:val="78A5250A"/>
    <w:rsid w:val="78A537D4"/>
    <w:rsid w:val="78A9584B"/>
    <w:rsid w:val="78F9168B"/>
    <w:rsid w:val="79BE9364"/>
    <w:rsid w:val="79D6EE8C"/>
    <w:rsid w:val="79EF3B0C"/>
    <w:rsid w:val="79F0A6A2"/>
    <w:rsid w:val="79FA7603"/>
    <w:rsid w:val="7A497FC8"/>
    <w:rsid w:val="7A4D595D"/>
    <w:rsid w:val="7A55909D"/>
    <w:rsid w:val="7A6BFFAB"/>
    <w:rsid w:val="7A738293"/>
    <w:rsid w:val="7A842441"/>
    <w:rsid w:val="7ABFE982"/>
    <w:rsid w:val="7ACF6D85"/>
    <w:rsid w:val="7B005346"/>
    <w:rsid w:val="7B1B9001"/>
    <w:rsid w:val="7B268F17"/>
    <w:rsid w:val="7B3F3942"/>
    <w:rsid w:val="7B4F8E1C"/>
    <w:rsid w:val="7B805C5B"/>
    <w:rsid w:val="7BF83FBF"/>
    <w:rsid w:val="7C21B98F"/>
    <w:rsid w:val="7C3AFD37"/>
    <w:rsid w:val="7C3B58A6"/>
    <w:rsid w:val="7C9C23A7"/>
    <w:rsid w:val="7CB839E6"/>
    <w:rsid w:val="7CD3CC7D"/>
    <w:rsid w:val="7CF63426"/>
    <w:rsid w:val="7D165304"/>
    <w:rsid w:val="7D1A6828"/>
    <w:rsid w:val="7D27908A"/>
    <w:rsid w:val="7D3216C5"/>
    <w:rsid w:val="7D7EFDAC"/>
    <w:rsid w:val="7DADD0F0"/>
    <w:rsid w:val="7E33795F"/>
    <w:rsid w:val="7E393E67"/>
    <w:rsid w:val="7E4BA681"/>
    <w:rsid w:val="7E540A47"/>
    <w:rsid w:val="7E90F3E8"/>
    <w:rsid w:val="7E920487"/>
    <w:rsid w:val="7EA7FC1A"/>
    <w:rsid w:val="7EE64171"/>
    <w:rsid w:val="7F5B64AD"/>
    <w:rsid w:val="7F94D7F2"/>
    <w:rsid w:val="7FC97C72"/>
    <w:rsid w:val="7FC9A2D7"/>
    <w:rsid w:val="7FD3C469"/>
    <w:rsid w:val="7FDD4A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F4C9"/>
  <w15:docId w15:val="{2DC7DFD0-AA47-4AA8-BE57-1826D76A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B5A80"/>
    <w:rPr>
      <w:sz w:val="16"/>
      <w:szCs w:val="16"/>
    </w:rPr>
  </w:style>
  <w:style w:type="paragraph" w:styleId="CommentText">
    <w:name w:val="annotation text"/>
    <w:basedOn w:val="Normal"/>
    <w:link w:val="CommentTextChar"/>
    <w:uiPriority w:val="99"/>
    <w:unhideWhenUsed/>
    <w:rsid w:val="006B5A80"/>
    <w:pPr>
      <w:spacing w:line="240" w:lineRule="auto"/>
    </w:pPr>
    <w:rPr>
      <w:sz w:val="20"/>
      <w:szCs w:val="20"/>
    </w:rPr>
  </w:style>
  <w:style w:type="character" w:customStyle="1" w:styleId="CommentTextChar">
    <w:name w:val="Comment Text Char"/>
    <w:basedOn w:val="DefaultParagraphFont"/>
    <w:link w:val="CommentText"/>
    <w:uiPriority w:val="99"/>
    <w:rsid w:val="006B5A80"/>
    <w:rPr>
      <w:sz w:val="20"/>
      <w:szCs w:val="20"/>
    </w:rPr>
  </w:style>
  <w:style w:type="paragraph" w:styleId="CommentSubject">
    <w:name w:val="annotation subject"/>
    <w:basedOn w:val="CommentText"/>
    <w:next w:val="CommentText"/>
    <w:link w:val="CommentSubjectChar"/>
    <w:uiPriority w:val="99"/>
    <w:semiHidden/>
    <w:unhideWhenUsed/>
    <w:rsid w:val="006B5A80"/>
    <w:rPr>
      <w:b/>
      <w:bCs/>
    </w:rPr>
  </w:style>
  <w:style w:type="character" w:customStyle="1" w:styleId="CommentSubjectChar">
    <w:name w:val="Comment Subject Char"/>
    <w:basedOn w:val="CommentTextChar"/>
    <w:link w:val="CommentSubject"/>
    <w:uiPriority w:val="99"/>
    <w:semiHidden/>
    <w:rsid w:val="006B5A80"/>
    <w:rPr>
      <w:b/>
      <w:bCs/>
      <w:sz w:val="20"/>
      <w:szCs w:val="20"/>
    </w:rPr>
  </w:style>
  <w:style w:type="character" w:styleId="Hyperlink">
    <w:name w:val="Hyperlink"/>
    <w:basedOn w:val="DefaultParagraphFont"/>
    <w:uiPriority w:val="99"/>
    <w:unhideWhenUsed/>
    <w:rsid w:val="007D6F20"/>
    <w:rPr>
      <w:color w:val="0000FF" w:themeColor="hyperlink"/>
      <w:u w:val="single"/>
    </w:rPr>
  </w:style>
  <w:style w:type="character" w:styleId="UnresolvedMention">
    <w:name w:val="Unresolved Mention"/>
    <w:basedOn w:val="DefaultParagraphFont"/>
    <w:uiPriority w:val="99"/>
    <w:semiHidden/>
    <w:unhideWhenUsed/>
    <w:rsid w:val="007D6F20"/>
    <w:rPr>
      <w:color w:val="605E5C"/>
      <w:shd w:val="clear" w:color="auto" w:fill="E1DFDD"/>
    </w:rPr>
  </w:style>
  <w:style w:type="paragraph" w:styleId="Revision">
    <w:name w:val="Revision"/>
    <w:hidden/>
    <w:uiPriority w:val="99"/>
    <w:semiHidden/>
    <w:rsid w:val="007B79F2"/>
    <w:pPr>
      <w:spacing w:line="240" w:lineRule="auto"/>
    </w:p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line="240" w:lineRule="auto"/>
    </w:pPr>
    <w:rPr>
      <w:sz w:val="20"/>
      <w:szCs w:val="20"/>
    </w:rPr>
  </w:style>
  <w:style w:type="character" w:customStyle="1" w:styleId="authors">
    <w:name w:val="authors"/>
    <w:basedOn w:val="DefaultParagraphFont"/>
    <w:rsid w:val="007677AC"/>
  </w:style>
  <w:style w:type="character" w:customStyle="1" w:styleId="apple-converted-space">
    <w:name w:val="apple-converted-space"/>
    <w:basedOn w:val="DefaultParagraphFont"/>
    <w:rsid w:val="007677AC"/>
  </w:style>
  <w:style w:type="character" w:customStyle="1" w:styleId="Date1">
    <w:name w:val="Date1"/>
    <w:basedOn w:val="DefaultParagraphFont"/>
    <w:rsid w:val="007677AC"/>
  </w:style>
  <w:style w:type="character" w:customStyle="1" w:styleId="arttitle">
    <w:name w:val="art_title"/>
    <w:basedOn w:val="DefaultParagraphFont"/>
    <w:rsid w:val="007677AC"/>
  </w:style>
  <w:style w:type="character" w:customStyle="1" w:styleId="serialtitle">
    <w:name w:val="serial_title"/>
    <w:basedOn w:val="DefaultParagraphFont"/>
    <w:rsid w:val="007677AC"/>
  </w:style>
  <w:style w:type="character" w:customStyle="1" w:styleId="volumeissue">
    <w:name w:val="volume_issue"/>
    <w:basedOn w:val="DefaultParagraphFont"/>
    <w:rsid w:val="007677AC"/>
  </w:style>
  <w:style w:type="character" w:customStyle="1" w:styleId="pagerange">
    <w:name w:val="page_range"/>
    <w:basedOn w:val="DefaultParagraphFont"/>
    <w:rsid w:val="007677AC"/>
  </w:style>
  <w:style w:type="character" w:customStyle="1" w:styleId="doilink">
    <w:name w:val="doi_link"/>
    <w:basedOn w:val="DefaultParagraphFont"/>
    <w:rsid w:val="007677AC"/>
  </w:style>
  <w:style w:type="paragraph" w:styleId="NormalWeb">
    <w:name w:val="Normal (Web)"/>
    <w:basedOn w:val="Normal"/>
    <w:uiPriority w:val="99"/>
    <w:semiHidden/>
    <w:unhideWhenUsed/>
    <w:rsid w:val="00ED352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83CB3"/>
    <w:rPr>
      <w:color w:val="800080" w:themeColor="followedHyperlink"/>
      <w:u w:val="single"/>
    </w:rPr>
  </w:style>
  <w:style w:type="paragraph" w:styleId="TOC3">
    <w:name w:val="toc 3"/>
    <w:basedOn w:val="Normal"/>
    <w:next w:val="Normal"/>
    <w:autoRedefine/>
    <w:uiPriority w:val="39"/>
    <w:unhideWhenUsed/>
    <w:rsid w:val="00D27096"/>
    <w:pPr>
      <w:spacing w:after="100"/>
      <w:ind w:left="440"/>
    </w:pPr>
  </w:style>
  <w:style w:type="paragraph" w:styleId="TOC4">
    <w:name w:val="toc 4"/>
    <w:basedOn w:val="Normal"/>
    <w:next w:val="Normal"/>
    <w:autoRedefine/>
    <w:uiPriority w:val="39"/>
    <w:unhideWhenUsed/>
    <w:rsid w:val="00D27096"/>
    <w:pPr>
      <w:spacing w:after="100"/>
      <w:ind w:left="660"/>
    </w:pPr>
  </w:style>
  <w:style w:type="paragraph" w:styleId="EndnoteText">
    <w:name w:val="endnote text"/>
    <w:basedOn w:val="Normal"/>
    <w:link w:val="EndnoteTextChar"/>
    <w:uiPriority w:val="99"/>
    <w:unhideWhenUsed/>
    <w:rsid w:val="00245559"/>
    <w:pPr>
      <w:spacing w:line="240" w:lineRule="auto"/>
    </w:pPr>
    <w:rPr>
      <w:sz w:val="20"/>
      <w:szCs w:val="20"/>
    </w:rPr>
  </w:style>
  <w:style w:type="character" w:customStyle="1" w:styleId="EndnoteTextChar">
    <w:name w:val="Endnote Text Char"/>
    <w:basedOn w:val="DefaultParagraphFont"/>
    <w:link w:val="EndnoteText"/>
    <w:uiPriority w:val="99"/>
    <w:rsid w:val="00245559"/>
    <w:rPr>
      <w:sz w:val="20"/>
      <w:szCs w:val="20"/>
    </w:rPr>
  </w:style>
  <w:style w:type="character" w:customStyle="1" w:styleId="normaltextrun">
    <w:name w:val="normaltextrun"/>
    <w:basedOn w:val="DefaultParagraphFont"/>
    <w:rsid w:val="00DC77EA"/>
  </w:style>
  <w:style w:type="character" w:customStyle="1" w:styleId="eop">
    <w:name w:val="eop"/>
    <w:basedOn w:val="DefaultParagraphFont"/>
    <w:rsid w:val="00DC77EA"/>
  </w:style>
  <w:style w:type="paragraph" w:styleId="TOC1">
    <w:name w:val="toc 1"/>
    <w:basedOn w:val="Normal"/>
    <w:next w:val="Normal"/>
    <w:autoRedefine/>
    <w:uiPriority w:val="39"/>
    <w:unhideWhenUsed/>
    <w:rsid w:val="00536C9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46274">
      <w:bodyDiv w:val="1"/>
      <w:marLeft w:val="0"/>
      <w:marRight w:val="0"/>
      <w:marTop w:val="0"/>
      <w:marBottom w:val="0"/>
      <w:divBdr>
        <w:top w:val="none" w:sz="0" w:space="0" w:color="auto"/>
        <w:left w:val="none" w:sz="0" w:space="0" w:color="auto"/>
        <w:bottom w:val="none" w:sz="0" w:space="0" w:color="auto"/>
        <w:right w:val="none" w:sz="0" w:space="0" w:color="auto"/>
      </w:divBdr>
      <w:divsChild>
        <w:div w:id="550770128">
          <w:marLeft w:val="0"/>
          <w:marRight w:val="0"/>
          <w:marTop w:val="0"/>
          <w:marBottom w:val="120"/>
          <w:divBdr>
            <w:top w:val="none" w:sz="0" w:space="0" w:color="auto"/>
            <w:left w:val="none" w:sz="0" w:space="0" w:color="auto"/>
            <w:bottom w:val="none" w:sz="0" w:space="0" w:color="auto"/>
            <w:right w:val="none" w:sz="0" w:space="0" w:color="auto"/>
          </w:divBdr>
          <w:divsChild>
            <w:div w:id="1462766513">
              <w:marLeft w:val="0"/>
              <w:marRight w:val="0"/>
              <w:marTop w:val="0"/>
              <w:marBottom w:val="0"/>
              <w:divBdr>
                <w:top w:val="none" w:sz="0" w:space="0" w:color="auto"/>
                <w:left w:val="none" w:sz="0" w:space="0" w:color="auto"/>
                <w:bottom w:val="none" w:sz="0" w:space="0" w:color="auto"/>
                <w:right w:val="none" w:sz="0" w:space="0" w:color="auto"/>
              </w:divBdr>
              <w:divsChild>
                <w:div w:id="1101491880">
                  <w:marLeft w:val="0"/>
                  <w:marRight w:val="0"/>
                  <w:marTop w:val="0"/>
                  <w:marBottom w:val="0"/>
                  <w:divBdr>
                    <w:top w:val="none" w:sz="0" w:space="0" w:color="auto"/>
                    <w:left w:val="none" w:sz="0" w:space="0" w:color="auto"/>
                    <w:bottom w:val="none" w:sz="0" w:space="0" w:color="auto"/>
                    <w:right w:val="none" w:sz="0" w:space="0" w:color="auto"/>
                  </w:divBdr>
                  <w:divsChild>
                    <w:div w:id="716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41388">
      <w:bodyDiv w:val="1"/>
      <w:marLeft w:val="0"/>
      <w:marRight w:val="0"/>
      <w:marTop w:val="0"/>
      <w:marBottom w:val="0"/>
      <w:divBdr>
        <w:top w:val="none" w:sz="0" w:space="0" w:color="auto"/>
        <w:left w:val="none" w:sz="0" w:space="0" w:color="auto"/>
        <w:bottom w:val="none" w:sz="0" w:space="0" w:color="auto"/>
        <w:right w:val="none" w:sz="0" w:space="0" w:color="auto"/>
      </w:divBdr>
      <w:divsChild>
        <w:div w:id="1235435607">
          <w:marLeft w:val="0"/>
          <w:marRight w:val="0"/>
          <w:marTop w:val="0"/>
          <w:marBottom w:val="0"/>
          <w:divBdr>
            <w:top w:val="none" w:sz="0" w:space="0" w:color="auto"/>
            <w:left w:val="none" w:sz="0" w:space="0" w:color="auto"/>
            <w:bottom w:val="none" w:sz="0" w:space="0" w:color="auto"/>
            <w:right w:val="none" w:sz="0" w:space="0" w:color="auto"/>
          </w:divBdr>
        </w:div>
      </w:divsChild>
    </w:div>
    <w:div w:id="2006784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ckinsey.com/industries/engineering-construction-and-building-materials/our-insights/call-for-action-seizing-the-decarbonization-opportunity-in-construc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calis.org.uk/research/local-resilience-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x.doi.org/10.2139/ssrn.40216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7/23996544231173210" TargetMode="External"/><Relationship Id="rId5" Type="http://schemas.openxmlformats.org/officeDocument/2006/relationships/numbering" Target="numbering.xml"/><Relationship Id="rId15" Type="http://schemas.openxmlformats.org/officeDocument/2006/relationships/hyperlink" Target="https://ssrn.com/abstract=402167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andy4wm/status/1616079092880637952?ref_src=twsrc%5Etfw%7Ctwcamp%5Etweetembed%7Ctwterm%5E1616079092880637952%7Ctwgr%5Ea927a4273800a210a5e8b38e1cbb4da9f217f1aa%7Ctwcon%5Es1_&amp;ref_url=https%3A%2F%2Fwww.huffingtonpost.co.uk%2Fentry%2Ftory-mayor-accuses-government-of-creating-begging-bowl-culture_uk_63c96d79e4b07c0c7dfaa95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77/23996544231173210" TargetMode="External"/><Relationship Id="rId7" Type="http://schemas.openxmlformats.org/officeDocument/2006/relationships/hyperlink" Target="http://dx.doi.org/10.2139/ssrn.4021672" TargetMode="External"/><Relationship Id="rId2" Type="http://schemas.openxmlformats.org/officeDocument/2006/relationships/hyperlink" Target="https://twitter.com/andy4wm/status/1616079092880637952?ref_src=twsrc%5Etfw%7Ctwcamp%5Etweetembed%7Ctwterm%5E1616079092880637952%7Ctwgr%5Ea927a4273800a210a5e8b38e1cbb4da9f217f1aa%7Ctwcon%5Es1_&amp;ref_url=https%3A%2F%2Fwww.huffingtonpost.co.uk%2Fentry%2Ftory-mayor-accuses-government-of-creating-begging-bowl-culture_uk_63c96d79e4b07c0c7dfaa958" TargetMode="External"/><Relationship Id="rId1" Type="http://schemas.openxmlformats.org/officeDocument/2006/relationships/hyperlink" Target="https://www.judiciary.uk/wp-content/uploads/2022/07/FoE-v-BEIS-judgment-180722.pdf" TargetMode="External"/><Relationship Id="rId6" Type="http://schemas.openxmlformats.org/officeDocument/2006/relationships/hyperlink" Target="https://ssrn.com/abstract=4021672" TargetMode="External"/><Relationship Id="rId5" Type="http://schemas.openxmlformats.org/officeDocument/2006/relationships/hyperlink" Target="https://www.localis.org.uk/research/local-resilience-act/" TargetMode="External"/><Relationship Id="rId4" Type="http://schemas.openxmlformats.org/officeDocument/2006/relationships/hyperlink" Target="https://www.biee.org/resources/regulatory-sandboxes-in-the-energy-sector-are-they-key-to-the-transition-to-a-net-zero-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6d95a0-2d60-4572-bb71-cc71e0788e12">
      <Terms xmlns="http://schemas.microsoft.com/office/infopath/2007/PartnerControls"/>
    </lcf76f155ced4ddcb4097134ff3c332f>
    <TaxCatchAll xmlns="575415ac-d7b8-4e3e-b128-75681c392104" xsi:nil="true"/>
    <SharedWithUsers xmlns="575415ac-d7b8-4e3e-b128-75681c392104">
      <UserInfo>
        <DisplayName>Henry Richards</DisplayName>
        <AccountId>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092937250B77408AB94081EE71A9E9" ma:contentTypeVersion="17" ma:contentTypeDescription="Create a new document." ma:contentTypeScope="" ma:versionID="b543be6339cff43e0c47b1f2cd1e92c9">
  <xsd:schema xmlns:xsd="http://www.w3.org/2001/XMLSchema" xmlns:xs="http://www.w3.org/2001/XMLSchema" xmlns:p="http://schemas.microsoft.com/office/2006/metadata/properties" xmlns:ns2="116d95a0-2d60-4572-bb71-cc71e0788e12" xmlns:ns3="575415ac-d7b8-4e3e-b128-75681c392104" targetNamespace="http://schemas.microsoft.com/office/2006/metadata/properties" ma:root="true" ma:fieldsID="33101c203c9acbd0ec67a6c091d6160f" ns2:_="" ns3:_="">
    <xsd:import namespace="116d95a0-2d60-4572-bb71-cc71e0788e12"/>
    <xsd:import namespace="575415ac-d7b8-4e3e-b128-75681c3921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95a0-2d60-4572-bb71-cc71e0788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b5b39e-099d-40c3-b251-37436ed69e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415ac-d7b8-4e3e-b128-75681c3921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3a6194-1ab5-47c6-98b7-5515ced24bb5}" ma:internalName="TaxCatchAll" ma:showField="CatchAllData" ma:web="575415ac-d7b8-4e3e-b128-75681c3921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91929-16C0-4670-B53A-6339BAE87333}">
  <ds:schemaRefs>
    <ds:schemaRef ds:uri="http://schemas.microsoft.com/office/2006/metadata/properties"/>
    <ds:schemaRef ds:uri="http://schemas.microsoft.com/office/infopath/2007/PartnerControls"/>
    <ds:schemaRef ds:uri="116d95a0-2d60-4572-bb71-cc71e0788e12"/>
    <ds:schemaRef ds:uri="575415ac-d7b8-4e3e-b128-75681c392104"/>
  </ds:schemaRefs>
</ds:datastoreItem>
</file>

<file path=customXml/itemProps2.xml><?xml version="1.0" encoding="utf-8"?>
<ds:datastoreItem xmlns:ds="http://schemas.openxmlformats.org/officeDocument/2006/customXml" ds:itemID="{25C85380-9DD7-4F4D-8CFF-17D95CC8B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d95a0-2d60-4572-bb71-cc71e0788e12"/>
    <ds:schemaRef ds:uri="575415ac-d7b8-4e3e-b128-75681c392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9BDF0-DA37-9442-AD3D-3C46727BBCBE}">
  <ds:schemaRefs>
    <ds:schemaRef ds:uri="http://schemas.openxmlformats.org/officeDocument/2006/bibliography"/>
  </ds:schemaRefs>
</ds:datastoreItem>
</file>

<file path=customXml/itemProps4.xml><?xml version="1.0" encoding="utf-8"?>
<ds:datastoreItem xmlns:ds="http://schemas.openxmlformats.org/officeDocument/2006/customXml" ds:itemID="{3A4EB483-6147-4058-8F0C-D9C22D01A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12344</Words>
  <Characters>70365</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O'Riordan</dc:creator>
  <cp:lastModifiedBy>Philip Catney</cp:lastModifiedBy>
  <cp:revision>2</cp:revision>
  <dcterms:created xsi:type="dcterms:W3CDTF">2023-08-14T07:25:00Z</dcterms:created>
  <dcterms:modified xsi:type="dcterms:W3CDTF">2023-08-14T07:25:00Z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0x0101005E092937250B77408AB94081EE71A9E9</vt:lpwstr>
  </property>
  <property fmtid="{D5CDD505-2E9C-101B-9397-08002B2CF9AE}" pid="3" name="MediaServiceImageTags">
    <vt:lpwstr/>
  </property>
</Properties>
</file>