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15458449" w:displacedByCustomXml="next"/>
    <w:sdt>
      <w:sdtPr>
        <w:rPr>
          <w:rFonts w:asciiTheme="minorHAnsi" w:eastAsia="Calibri" w:hAnsiTheme="minorHAnsi"/>
          <w:b w:val="0"/>
          <w:spacing w:val="-10"/>
          <w:kern w:val="28"/>
          <w:szCs w:val="56"/>
        </w:rPr>
        <w:id w:val="1446887677"/>
        <w:docPartObj>
          <w:docPartGallery w:val="Cover Pages"/>
          <w:docPartUnique/>
        </w:docPartObj>
      </w:sdtPr>
      <w:sdtEndPr>
        <w:rPr>
          <w:rFonts w:ascii="Times New Roman" w:hAnsi="Times New Roman"/>
          <w:spacing w:val="0"/>
          <w:kern w:val="0"/>
          <w:szCs w:val="32"/>
        </w:rPr>
      </w:sdtEndPr>
      <w:sdtContent>
        <w:bookmarkEnd w:id="0" w:displacedByCustomXml="next"/>
        <w:sdt>
          <w:sdtPr>
            <w:rPr>
              <w:rFonts w:asciiTheme="minorHAnsi" w:eastAsia="Calibri" w:hAnsiTheme="minorHAnsi"/>
              <w:b w:val="0"/>
            </w:rPr>
            <w:id w:val="-1338225866"/>
            <w:docPartObj>
              <w:docPartGallery w:val="Cover Pages"/>
              <w:docPartUnique/>
            </w:docPartObj>
          </w:sdtPr>
          <w:sdtEndPr>
            <w:rPr>
              <w:rFonts w:ascii="Times New Roman" w:hAnsi="Times New Roman"/>
              <w:b/>
            </w:rPr>
          </w:sdtEndPr>
          <w:sdtContent>
            <w:p w14:paraId="68B29733" w14:textId="77777777" w:rsidR="0090769F" w:rsidRPr="000C290F" w:rsidRDefault="0090769F" w:rsidP="0090769F">
              <w:pPr>
                <w:pStyle w:val="Heading1"/>
                <w:rPr>
                  <w:rFonts w:asciiTheme="minorHAnsi" w:eastAsia="Calibri" w:hAnsiTheme="minorHAnsi" w:cstheme="minorBidi"/>
                  <w:sz w:val="24"/>
                  <w:szCs w:val="22"/>
                </w:rPr>
              </w:pPr>
              <w:r>
                <w:rPr>
                  <w:rFonts w:eastAsia="Calibri"/>
                </w:rPr>
                <w:t>Abstract</w:t>
              </w:r>
            </w:p>
            <w:p w14:paraId="6FC96F5C" w14:textId="004BB635" w:rsidR="00020022" w:rsidRDefault="00020022" w:rsidP="00B53404">
              <w:pPr>
                <w:spacing w:line="480" w:lineRule="auto"/>
              </w:pPr>
              <w:r w:rsidRPr="00344611">
                <w:rPr>
                  <w:b/>
                  <w:bCs/>
                </w:rPr>
                <w:t>Objective</w:t>
              </w:r>
              <w:r>
                <w:t>: Incremental healthcare costs attributed to back pain, and characterisation by patient and clinical factors have rarely been documented. This study aimed t</w:t>
              </w:r>
              <w:r w:rsidRPr="00020022">
                <w:t>o assess annual healthcare resource utilisation and costs associated with back pain in primary care.</w:t>
              </w:r>
            </w:p>
            <w:p w14:paraId="1DC20985" w14:textId="30703DE5" w:rsidR="00020022" w:rsidRDefault="00020022" w:rsidP="00B53404">
              <w:pPr>
                <w:spacing w:line="480" w:lineRule="auto"/>
              </w:pPr>
              <w:r w:rsidRPr="00344611">
                <w:rPr>
                  <w:b/>
                  <w:bCs/>
                </w:rPr>
                <w:t>Methods</w:t>
              </w:r>
              <w:r>
                <w:t xml:space="preserve">: Using </w:t>
              </w:r>
              <w:r w:rsidRPr="00ED53A0">
                <w:rPr>
                  <w:rFonts w:eastAsia="Calibri" w:cs="Times New Roman"/>
                  <w:szCs w:val="24"/>
                </w:rPr>
                <w:t>the IQVIA Medical Research Data (IMRD),</w:t>
              </w:r>
              <w:r>
                <w:rPr>
                  <w:rFonts w:eastAsia="Calibri" w:cs="Times New Roman"/>
                  <w:szCs w:val="24"/>
                </w:rPr>
                <w:t xml:space="preserve"> patients with back pain were identified (study period: </w:t>
              </w:r>
              <w:r w:rsidRPr="0034125E">
                <w:rPr>
                  <w:rFonts w:eastAsia="Calibri" w:cs="Times New Roman"/>
                  <w:szCs w:val="24"/>
                </w:rPr>
                <w:t xml:space="preserve">01 January 2006 </w:t>
              </w:r>
              <w:r>
                <w:rPr>
                  <w:rFonts w:eastAsia="Calibri" w:cs="Times New Roman"/>
                  <w:szCs w:val="24"/>
                </w:rPr>
                <w:t>to</w:t>
              </w:r>
              <w:r w:rsidRPr="0034125E">
                <w:rPr>
                  <w:rFonts w:eastAsia="Calibri" w:cs="Times New Roman"/>
                  <w:szCs w:val="24"/>
                </w:rPr>
                <w:t xml:space="preserve"> 31 December 2015) </w:t>
              </w:r>
              <w:r>
                <w:rPr>
                  <w:rFonts w:eastAsia="Calibri" w:cs="Times New Roman"/>
                  <w:szCs w:val="24"/>
                </w:rPr>
                <w:t xml:space="preserve">using diagnostic records and analgesics prescriptions (n=133,341), and propensity score matched 1:1 to patients without back pain. </w:t>
              </w:r>
              <w:r w:rsidRPr="00355C2A">
                <w:rPr>
                  <w:rFonts w:eastAsia="Calibri" w:cs="Times New Roman"/>
                  <w:szCs w:val="24"/>
                </w:rPr>
                <w:t xml:space="preserve">The annual incremental costs </w:t>
              </w:r>
              <w:r>
                <w:rPr>
                  <w:rFonts w:eastAsia="Calibri" w:cs="Times New Roman"/>
                  <w:szCs w:val="24"/>
                </w:rPr>
                <w:t xml:space="preserve">of back pain </w:t>
              </w:r>
              <w:r w:rsidRPr="00355C2A">
                <w:rPr>
                  <w:rFonts w:eastAsia="Calibri" w:cs="Times New Roman"/>
                  <w:szCs w:val="24"/>
                </w:rPr>
                <w:t xml:space="preserve">associated with </w:t>
              </w:r>
              <w:r>
                <w:rPr>
                  <w:rFonts w:eastAsia="Calibri" w:cs="Times New Roman"/>
                  <w:szCs w:val="24"/>
                </w:rPr>
                <w:t>consultations and prescriptions</w:t>
              </w:r>
              <w:r w:rsidRPr="00355C2A">
                <w:rPr>
                  <w:rFonts w:eastAsia="Calibri" w:cs="Times New Roman"/>
                  <w:szCs w:val="24"/>
                </w:rPr>
                <w:t xml:space="preserve"> </w:t>
              </w:r>
              <w:r w:rsidR="00CF5FD0">
                <w:rPr>
                  <w:rFonts w:eastAsia="Calibri" w:cs="Times New Roman"/>
                  <w:szCs w:val="24"/>
                </w:rPr>
                <w:t xml:space="preserve">were </w:t>
              </w:r>
              <w:r>
                <w:rPr>
                  <w:rFonts w:eastAsia="Calibri" w:cs="Times New Roman"/>
                  <w:szCs w:val="24"/>
                </w:rPr>
                <w:t>estima</w:t>
              </w:r>
              <w:r w:rsidRPr="00355C2A">
                <w:rPr>
                  <w:rFonts w:eastAsia="Calibri" w:cs="Times New Roman"/>
                  <w:szCs w:val="24"/>
                </w:rPr>
                <w:t xml:space="preserve">ted </w:t>
              </w:r>
              <w:r w:rsidR="00CF5FD0">
                <w:rPr>
                  <w:rFonts w:eastAsia="Calibri" w:cs="Times New Roman"/>
                  <w:szCs w:val="24"/>
                </w:rPr>
                <w:t>and</w:t>
              </w:r>
              <w:r>
                <w:rPr>
                  <w:rFonts w:eastAsia="Calibri" w:cs="Times New Roman"/>
                  <w:szCs w:val="24"/>
                </w:rPr>
                <w:t xml:space="preserve"> extrapolated to a national level.</w:t>
              </w:r>
              <w:r w:rsidR="00CF5FD0">
                <w:rPr>
                  <w:rFonts w:eastAsia="Calibri" w:cs="Times New Roman"/>
                  <w:szCs w:val="24"/>
                </w:rPr>
                <w:t xml:space="preserve"> S</w:t>
              </w:r>
              <w:r w:rsidRPr="00355C2A">
                <w:rPr>
                  <w:rFonts w:eastAsia="Calibri" w:cs="Times New Roman"/>
                  <w:szCs w:val="24"/>
                </w:rPr>
                <w:t>ensitivity analysi</w:t>
              </w:r>
              <w:r w:rsidR="00CF5FD0">
                <w:rPr>
                  <w:rFonts w:eastAsia="Calibri" w:cs="Times New Roman"/>
                  <w:szCs w:val="24"/>
                </w:rPr>
                <w:t>s was conducted by</w:t>
              </w:r>
              <w:r w:rsidRPr="00355C2A">
                <w:rPr>
                  <w:rFonts w:eastAsia="Calibri" w:cs="Times New Roman"/>
                  <w:szCs w:val="24"/>
                </w:rPr>
                <w:t xml:space="preserve"> restrict</w:t>
              </w:r>
              <w:r w:rsidR="00CF5FD0">
                <w:rPr>
                  <w:rFonts w:eastAsia="Calibri" w:cs="Times New Roman"/>
                  <w:szCs w:val="24"/>
                </w:rPr>
                <w:t>ing</w:t>
              </w:r>
              <w:r w:rsidRPr="00355C2A">
                <w:rPr>
                  <w:rFonts w:eastAsia="Calibri" w:cs="Times New Roman"/>
                  <w:szCs w:val="24"/>
                </w:rPr>
                <w:t xml:space="preserve"> the study population to the most recent diagnosis of back pain.</w:t>
              </w:r>
              <w:r w:rsidRPr="00C14426">
                <w:t xml:space="preserve"> </w:t>
              </w:r>
              <w:r>
                <w:t xml:space="preserve">Variations </w:t>
              </w:r>
              <w:r>
                <w:rPr>
                  <w:rFonts w:eastAsia="Calibri" w:cs="Times New Roman"/>
                  <w:szCs w:val="24"/>
                </w:rPr>
                <w:t>in cost were assessed</w:t>
              </w:r>
              <w:r w:rsidRPr="00C14426">
                <w:rPr>
                  <w:rFonts w:eastAsia="Calibri" w:cs="Times New Roman"/>
                  <w:szCs w:val="24"/>
                </w:rPr>
                <w:t xml:space="preserve"> stratified by gender, age-groups, deprivation</w:t>
              </w:r>
              <w:r>
                <w:rPr>
                  <w:rFonts w:eastAsia="Calibri" w:cs="Times New Roman"/>
                  <w:szCs w:val="24"/>
                </w:rPr>
                <w:t>,</w:t>
              </w:r>
              <w:r w:rsidRPr="00C14426">
                <w:rPr>
                  <w:rFonts w:eastAsia="Calibri" w:cs="Times New Roman"/>
                  <w:szCs w:val="24"/>
                </w:rPr>
                <w:t xml:space="preserve"> and </w:t>
              </w:r>
              <w:r>
                <w:rPr>
                  <w:rFonts w:eastAsia="Calibri" w:cs="Times New Roman"/>
                  <w:szCs w:val="24"/>
                </w:rPr>
                <w:t xml:space="preserve">comorbidity </w:t>
              </w:r>
              <w:r w:rsidRPr="00C14426">
                <w:rPr>
                  <w:rFonts w:eastAsia="Calibri" w:cs="Times New Roman"/>
                  <w:szCs w:val="24"/>
                </w:rPr>
                <w:t>categories.</w:t>
              </w:r>
            </w:p>
            <w:p w14:paraId="37F3F8C7" w14:textId="77777777" w:rsidR="00020022" w:rsidRDefault="00020022" w:rsidP="00B53404">
              <w:pPr>
                <w:spacing w:line="480" w:lineRule="auto"/>
              </w:pPr>
              <w:r w:rsidRPr="00344611">
                <w:rPr>
                  <w:b/>
                  <w:bCs/>
                </w:rPr>
                <w:t>Results</w:t>
              </w:r>
              <w:r>
                <w:t xml:space="preserve">: </w:t>
              </w:r>
              <w:r w:rsidRPr="008244E0">
                <w:t xml:space="preserve">The mean age was 57 years, and 62% were females in both </w:t>
              </w:r>
              <w:r>
                <w:t xml:space="preserve">the case and control </w:t>
              </w:r>
              <w:r w:rsidRPr="008244E0">
                <w:t>groups.</w:t>
              </w:r>
              <w:r>
                <w:t xml:space="preserve"> </w:t>
              </w:r>
              <w:r w:rsidRPr="008244E0">
                <w:t xml:space="preserve">The total incremental </w:t>
              </w:r>
              <w:r>
                <w:t xml:space="preserve">healthcare </w:t>
              </w:r>
              <w:r w:rsidRPr="008244E0">
                <w:t xml:space="preserve">costs </w:t>
              </w:r>
              <w:r>
                <w:t>associated with</w:t>
              </w:r>
              <w:r w:rsidRPr="008244E0">
                <w:t xml:space="preserve"> back </w:t>
              </w:r>
              <w:r>
                <w:t>was</w:t>
              </w:r>
              <w:r w:rsidRPr="008244E0">
                <w:t xml:space="preserve"> £32.5 million</w:t>
              </w:r>
              <w:r>
                <w:t xml:space="preserve"> (£35.9 million in 2020)</w:t>
              </w:r>
              <w:r w:rsidRPr="008244E0">
                <w:t>, with per-patient cost of £244</w:t>
              </w:r>
              <w:r>
                <w:t xml:space="preserve"> (£265 in 2020)</w:t>
              </w:r>
              <w:r w:rsidRPr="008244E0">
                <w:t xml:space="preserve"> per year.</w:t>
              </w:r>
              <w:r>
                <w:t xml:space="preserve"> On a national level, this translated to </w:t>
              </w:r>
              <w:r w:rsidRPr="00C31729">
                <w:t>an estimated £3.2 billion in 2015 (£3.5 billion in 2020).</w:t>
              </w:r>
              <w:r>
                <w:t xml:space="preserve"> 80% of the costs were attributed to consultations; and f</w:t>
              </w:r>
              <w:r w:rsidRPr="00C31729">
                <w:t xml:space="preserve">emale gender, </w:t>
              </w:r>
              <w:r>
                <w:t>older</w:t>
              </w:r>
              <w:r w:rsidRPr="00C31729">
                <w:t xml:space="preserve"> age, higher </w:t>
              </w:r>
              <w:r>
                <w:t>deprivation</w:t>
              </w:r>
              <w:r w:rsidRPr="00C31729">
                <w:t xml:space="preserve">, and higher comorbidity were all associated with increased </w:t>
              </w:r>
              <w:r>
                <w:t xml:space="preserve">mean </w:t>
              </w:r>
              <w:r w:rsidRPr="00C31729">
                <w:t xml:space="preserve">healthcare costs </w:t>
              </w:r>
              <w:r>
                <w:t>of</w:t>
              </w:r>
              <w:r w:rsidRPr="00C31729">
                <w:t xml:space="preserve"> patients with back pain.</w:t>
              </w:r>
            </w:p>
            <w:p w14:paraId="0BF4CB1C" w14:textId="77777777" w:rsidR="00827715" w:rsidRDefault="00020022" w:rsidP="00827715">
              <w:pPr>
                <w:spacing w:line="480" w:lineRule="auto"/>
              </w:pPr>
              <w:r w:rsidRPr="00344611">
                <w:rPr>
                  <w:b/>
                  <w:bCs/>
                </w:rPr>
                <w:t>Conclusion</w:t>
              </w:r>
              <w:r>
                <w:t xml:space="preserve">: Our findings confirm the substantial healthcare costs attributed to back pain, even with primacy care costs only. The data also revealed significant </w:t>
              </w:r>
              <w:r w:rsidRPr="005D0C71">
                <w:t>cost variations across socio-demographic and clinical factors</w:t>
              </w:r>
              <w:r>
                <w:t>.</w:t>
              </w:r>
            </w:p>
            <w:p w14:paraId="20349541" w14:textId="77777777" w:rsidR="001E76D6" w:rsidRDefault="001E76D6" w:rsidP="00827715">
              <w:pPr>
                <w:spacing w:line="480" w:lineRule="auto"/>
                <w:rPr>
                  <w:b/>
                  <w:bCs/>
                </w:rPr>
              </w:pPr>
            </w:p>
            <w:p w14:paraId="5BC82CC4" w14:textId="77C6AA6D" w:rsidR="0066466A" w:rsidRDefault="00433B2A" w:rsidP="00827715">
              <w:pPr>
                <w:rPr>
                  <w:b/>
                  <w:bCs/>
                </w:rPr>
              </w:pPr>
              <w:r>
                <w:rPr>
                  <w:b/>
                  <w:bCs/>
                </w:rPr>
                <w:lastRenderedPageBreak/>
                <w:t>K</w:t>
              </w:r>
              <w:r w:rsidR="0066466A">
                <w:rPr>
                  <w:b/>
                  <w:bCs/>
                </w:rPr>
                <w:t>ey words</w:t>
              </w:r>
            </w:p>
            <w:p w14:paraId="07F0CE38" w14:textId="3F1E4EF4" w:rsidR="0087186A" w:rsidRDefault="00425995" w:rsidP="00827715">
              <w:r>
                <w:t>b</w:t>
              </w:r>
              <w:r w:rsidR="00433B2A" w:rsidRPr="00433B2A">
                <w:t xml:space="preserve">ack pain, </w:t>
              </w:r>
              <w:r>
                <w:t>c</w:t>
              </w:r>
              <w:r w:rsidR="00B84E19">
                <w:t xml:space="preserve">ost-of-illness, primary care, </w:t>
              </w:r>
              <w:r>
                <w:t>healthcare cost</w:t>
              </w:r>
            </w:p>
            <w:p w14:paraId="5CBBCD3D" w14:textId="77777777" w:rsidR="00D7026E" w:rsidRDefault="00D7026E" w:rsidP="00827715"/>
            <w:p w14:paraId="53A039F7" w14:textId="15278849" w:rsidR="00D7026E" w:rsidRDefault="00D7026E" w:rsidP="00827715">
              <w:pPr>
                <w:sectPr w:rsidR="00D7026E" w:rsidSect="00971955">
                  <w:footerReference w:type="default" r:id="rId8"/>
                  <w:pgSz w:w="11906" w:h="16838"/>
                  <w:pgMar w:top="1559" w:right="1440" w:bottom="1440" w:left="1440" w:header="709" w:footer="709" w:gutter="0"/>
                  <w:lnNumType w:countBy="1" w:restart="continuous"/>
                  <w:pgNumType w:start="1"/>
                  <w:cols w:space="708"/>
                  <w:docGrid w:linePitch="360"/>
                </w:sectPr>
              </w:pPr>
            </w:p>
            <w:p w14:paraId="2D11E214" w14:textId="01BD577E" w:rsidR="00020022" w:rsidRPr="00B2006A" w:rsidRDefault="001E76D6" w:rsidP="00B2006A">
              <w:pPr>
                <w:pStyle w:val="Heading1"/>
                <w:rPr>
                  <w:rFonts w:asciiTheme="minorHAnsi" w:eastAsia="Calibri" w:hAnsiTheme="minorHAnsi" w:cstheme="minorBidi"/>
                  <w:sz w:val="24"/>
                  <w:szCs w:val="22"/>
                </w:rPr>
              </w:pPr>
              <w:r w:rsidRPr="00BE6342">
                <w:lastRenderedPageBreak/>
                <w:t>Introduction</w:t>
              </w:r>
            </w:p>
          </w:sdtContent>
        </w:sdt>
      </w:sdtContent>
    </w:sdt>
    <w:p w14:paraId="2AD9EFB1" w14:textId="6EC7403E" w:rsidR="00501F30" w:rsidRPr="00ED53A0" w:rsidRDefault="00995A99" w:rsidP="00A970B0">
      <w:pPr>
        <w:spacing w:before="120" w:after="240" w:line="480" w:lineRule="auto"/>
        <w:rPr>
          <w:rFonts w:eastAsia="Calibri" w:cs="Times New Roman"/>
          <w:szCs w:val="24"/>
        </w:rPr>
      </w:pPr>
      <w:r w:rsidRPr="00ED53A0">
        <w:rPr>
          <w:rFonts w:eastAsia="Calibri" w:cs="Times New Roman"/>
          <w:szCs w:val="24"/>
        </w:rPr>
        <w:t xml:space="preserve">Back pain is a major public health problem and is the leading cause of years lived with disability in </w:t>
      </w:r>
      <w:r w:rsidR="00190D9C">
        <w:rPr>
          <w:rFonts w:eastAsia="Calibri" w:cs="Times New Roman"/>
          <w:szCs w:val="24"/>
        </w:rPr>
        <w:t>industrialised</w:t>
      </w:r>
      <w:r w:rsidRPr="00ED53A0">
        <w:rPr>
          <w:rFonts w:eastAsia="Calibri" w:cs="Times New Roman"/>
          <w:szCs w:val="24"/>
        </w:rPr>
        <w:t xml:space="preserve"> countries </w:t>
      </w:r>
      <w:r w:rsidRPr="00ED53A0">
        <w:rPr>
          <w:rFonts w:eastAsia="Calibri" w:cs="Times New Roman"/>
          <w:szCs w:val="24"/>
        </w:rPr>
        <w:fldChar w:fldCharType="begin">
          <w:fldData xml:space="preserve">PEVuZE5vdGU+PENpdGU+PEF1dGhvcj5NdXJyYXk8L0F1dGhvcj48WWVhcj5FVCBBTC4gKEdCRCAy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PEVuZE5vdGU+PENpdGU+PEF1dGhvcj5NdXJyYXk8L0F1dGhvcj48WWVhcj5FVCBBTC4gKEdCRCAy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Pr="00ED53A0">
        <w:rPr>
          <w:rFonts w:eastAsia="Calibri" w:cs="Times New Roman"/>
          <w:szCs w:val="24"/>
        </w:rPr>
      </w:r>
      <w:r w:rsidRPr="00ED53A0">
        <w:rPr>
          <w:rFonts w:eastAsia="Calibri" w:cs="Times New Roman"/>
          <w:szCs w:val="24"/>
        </w:rPr>
        <w:fldChar w:fldCharType="separate"/>
      </w:r>
      <w:r w:rsidR="00B44AFF">
        <w:rPr>
          <w:rFonts w:eastAsia="Calibri" w:cs="Times New Roman"/>
          <w:noProof/>
          <w:szCs w:val="24"/>
        </w:rPr>
        <w:t>(1, 2)</w:t>
      </w:r>
      <w:r w:rsidRPr="00ED53A0">
        <w:rPr>
          <w:rFonts w:eastAsia="Calibri" w:cs="Times New Roman"/>
          <w:szCs w:val="24"/>
        </w:rPr>
        <w:fldChar w:fldCharType="end"/>
      </w:r>
      <w:r w:rsidRPr="00ED53A0">
        <w:rPr>
          <w:rFonts w:eastAsia="Calibri" w:cs="Times New Roman"/>
          <w:szCs w:val="24"/>
        </w:rPr>
        <w:t>.</w:t>
      </w:r>
      <w:r w:rsidR="0088214F" w:rsidRPr="00ED53A0">
        <w:rPr>
          <w:rFonts w:eastAsia="Calibri" w:cs="Times New Roman"/>
          <w:szCs w:val="24"/>
        </w:rPr>
        <w:t xml:space="preserve"> </w:t>
      </w:r>
      <w:r w:rsidR="000E5FE1" w:rsidRPr="00ED53A0">
        <w:rPr>
          <w:rFonts w:eastAsia="Calibri" w:cs="Times New Roman"/>
          <w:szCs w:val="24"/>
        </w:rPr>
        <w:t xml:space="preserve">The annual prevalence of low back pain (LBP) </w:t>
      </w:r>
      <w:r w:rsidR="00190D9C">
        <w:rPr>
          <w:rFonts w:eastAsia="Calibri" w:cs="Times New Roman"/>
          <w:szCs w:val="24"/>
        </w:rPr>
        <w:t xml:space="preserve">in these countries </w:t>
      </w:r>
      <w:r w:rsidR="000E5FE1" w:rsidRPr="00ED53A0">
        <w:rPr>
          <w:rFonts w:eastAsia="Calibri" w:cs="Times New Roman"/>
          <w:szCs w:val="24"/>
        </w:rPr>
        <w:t xml:space="preserve">is estimated at 15-45% </w:t>
      </w:r>
      <w:r w:rsidR="000E5FE1" w:rsidRPr="00ED53A0">
        <w:rPr>
          <w:rFonts w:eastAsia="Calibri" w:cs="Times New Roman"/>
          <w:szCs w:val="24"/>
        </w:rPr>
        <w:fldChar w:fldCharType="begin">
          <w:fldData xml:space="preserve">PEVuZE5vdGU+PENpdGU+PEF1dGhvcj5EdXRoZXk8L0F1dGhvcj48WWVhcj4yMDEzPC9ZZWFyPjxS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PEVuZE5vdGU+PENpdGU+PEF1dGhvcj5EdXRoZXk8L0F1dGhvcj48WWVhcj4yMDEzPC9ZZWFyPjxS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0E5FE1" w:rsidRPr="00ED53A0">
        <w:rPr>
          <w:rFonts w:eastAsia="Calibri" w:cs="Times New Roman"/>
          <w:szCs w:val="24"/>
        </w:rPr>
      </w:r>
      <w:r w:rsidR="000E5FE1" w:rsidRPr="00ED53A0">
        <w:rPr>
          <w:rFonts w:eastAsia="Calibri" w:cs="Times New Roman"/>
          <w:szCs w:val="24"/>
        </w:rPr>
        <w:fldChar w:fldCharType="separate"/>
      </w:r>
      <w:r w:rsidR="00B44AFF">
        <w:rPr>
          <w:rFonts w:eastAsia="Calibri" w:cs="Times New Roman"/>
          <w:noProof/>
          <w:szCs w:val="24"/>
        </w:rPr>
        <w:t>(3, 4)</w:t>
      </w:r>
      <w:r w:rsidR="000E5FE1" w:rsidRPr="00ED53A0">
        <w:rPr>
          <w:rFonts w:eastAsia="Calibri" w:cs="Times New Roman"/>
          <w:szCs w:val="24"/>
        </w:rPr>
        <w:fldChar w:fldCharType="end"/>
      </w:r>
      <w:r w:rsidR="00190D9C">
        <w:rPr>
          <w:rFonts w:eastAsia="Calibri" w:cs="Times New Roman"/>
          <w:szCs w:val="24"/>
        </w:rPr>
        <w:t>. In the UK, it is estimated that</w:t>
      </w:r>
      <w:r w:rsidR="000E5FE1" w:rsidRPr="00ED53A0">
        <w:rPr>
          <w:rFonts w:eastAsia="Calibri" w:cs="Times New Roman"/>
          <w:szCs w:val="24"/>
        </w:rPr>
        <w:t xml:space="preserve"> </w:t>
      </w:r>
      <w:r w:rsidR="00190D9C">
        <w:rPr>
          <w:rFonts w:eastAsia="Calibri" w:cs="Times New Roman"/>
          <w:szCs w:val="24"/>
        </w:rPr>
        <w:t>up to</w:t>
      </w:r>
      <w:r w:rsidR="004275EC" w:rsidRPr="00ED53A0">
        <w:rPr>
          <w:rFonts w:eastAsia="Calibri" w:cs="Times New Roman"/>
          <w:szCs w:val="24"/>
        </w:rPr>
        <w:t xml:space="preserve"> 80% of the population will experience back pain at some point during their life</w:t>
      </w:r>
      <w:r w:rsidR="00190D9C">
        <w:rPr>
          <w:rFonts w:eastAsia="Calibri" w:cs="Times New Roman"/>
          <w:szCs w:val="24"/>
        </w:rPr>
        <w:t xml:space="preserve"> time</w:t>
      </w:r>
      <w:r w:rsidR="0023387D">
        <w:rPr>
          <w:rFonts w:eastAsia="Calibri" w:cs="Times New Roman"/>
          <w:szCs w:val="24"/>
        </w:rPr>
        <w:t xml:space="preserve"> </w:t>
      </w:r>
      <w:r w:rsidR="0023387D">
        <w:rPr>
          <w:rFonts w:eastAsia="Calibri" w:cs="Times New Roman"/>
          <w:szCs w:val="24"/>
        </w:rPr>
        <w:fldChar w:fldCharType="begin"/>
      </w:r>
      <w:r w:rsidR="00B44AFF">
        <w:rPr>
          <w:rFonts w:eastAsia="Calibri" w:cs="Times New Roman"/>
          <w:szCs w:val="24"/>
        </w:rPr>
        <w:instrText xml:space="preserve"> ADDIN EN.CITE &lt;EndNote&gt;&lt;Cite&gt;&lt;Author&gt;Johnson&lt;/Author&gt;&lt;Year&gt;2012&lt;/Year&gt;&lt;RecNum&gt;233&lt;/RecNum&gt;&lt;DisplayText&gt;(5)&lt;/DisplayText&gt;&lt;record&gt;&lt;rec-number&gt;233&lt;/rec-number&gt;&lt;foreign-keys&gt;&lt;key app="EN" db-id="wvr0axtt1w9rr8efern5p95ofraatp209r09" timestamp="1553101797"&gt;233&lt;/key&gt;&lt;/foreign-keys&gt;&lt;ref-type name="Web Page"&gt;12&lt;/ref-type&gt;&lt;contributors&gt;&lt;authors&gt;&lt;author&gt;Johnson, J.&lt;/author&gt;&lt;/authors&gt;&lt;/contributors&gt;&lt;titles&gt;&lt;title&gt;The Prevalence of Back Pain&lt;/title&gt;&lt;/titles&gt;&lt;volume&gt;2019&lt;/volume&gt;&lt;number&gt;20 March 2019&lt;/number&gt;&lt;dates&gt;&lt;year&gt;2012&lt;/year&gt;&lt;/dates&gt;&lt;publisher&gt;Back Pain Expert&lt;/publisher&gt;&lt;urls&gt;&lt;related-urls&gt;&lt;url&gt;http://www.backpainexpert.co.uk/theprevalenceofbackpain.html&lt;/url&gt;&lt;/related-urls&gt;&lt;/urls&gt;&lt;/record&gt;&lt;/Cite&gt;&lt;/EndNote&gt;</w:instrText>
      </w:r>
      <w:r w:rsidR="0023387D">
        <w:rPr>
          <w:rFonts w:eastAsia="Calibri" w:cs="Times New Roman"/>
          <w:szCs w:val="24"/>
        </w:rPr>
        <w:fldChar w:fldCharType="separate"/>
      </w:r>
      <w:r w:rsidR="00B44AFF">
        <w:rPr>
          <w:rFonts w:eastAsia="Calibri" w:cs="Times New Roman"/>
          <w:noProof/>
          <w:szCs w:val="24"/>
        </w:rPr>
        <w:t>(5)</w:t>
      </w:r>
      <w:r w:rsidR="0023387D">
        <w:rPr>
          <w:rFonts w:eastAsia="Calibri" w:cs="Times New Roman"/>
          <w:szCs w:val="24"/>
        </w:rPr>
        <w:fldChar w:fldCharType="end"/>
      </w:r>
      <w:r w:rsidR="004275EC" w:rsidRPr="00ED53A0">
        <w:rPr>
          <w:rFonts w:eastAsia="Calibri" w:cs="Times New Roman"/>
          <w:szCs w:val="24"/>
        </w:rPr>
        <w:t>. Although back pain has low impact in terms of mortality, it imposes great costs on patients</w:t>
      </w:r>
      <w:r w:rsidR="000C1DC8">
        <w:rPr>
          <w:rFonts w:eastAsia="Calibri" w:cs="Times New Roman"/>
          <w:szCs w:val="24"/>
        </w:rPr>
        <w:t xml:space="preserve"> and their families</w:t>
      </w:r>
      <w:r w:rsidR="004275EC" w:rsidRPr="00ED53A0">
        <w:rPr>
          <w:rFonts w:eastAsia="Calibri" w:cs="Times New Roman"/>
          <w:szCs w:val="24"/>
        </w:rPr>
        <w:t xml:space="preserve">, employers, health care providers and society as a whole </w:t>
      </w:r>
      <w:r w:rsidR="004275EC" w:rsidRPr="00ED53A0">
        <w:rPr>
          <w:rFonts w:eastAsia="Calibri" w:cs="Times New Roman"/>
          <w:szCs w:val="24"/>
        </w:rPr>
        <w:fldChar w:fldCharType="begin">
          <w:fldData xml:space="preserve">PEVuZE5vdGU+PENpdGU+PEF1dGhvcj5EYWdlbmFpczwvQXV0aG9yPjxZZWFyPjIwMDg8L1llYXI+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PEVuZE5vdGU+PENpdGU+PEF1dGhvcj5EYWdlbmFpczwvQXV0aG9yPjxZZWFyPjIwMDg8L1llYXI+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4275EC" w:rsidRPr="00ED53A0">
        <w:rPr>
          <w:rFonts w:eastAsia="Calibri" w:cs="Times New Roman"/>
          <w:szCs w:val="24"/>
        </w:rPr>
      </w:r>
      <w:r w:rsidR="004275EC" w:rsidRPr="00ED53A0">
        <w:rPr>
          <w:rFonts w:eastAsia="Calibri" w:cs="Times New Roman"/>
          <w:szCs w:val="24"/>
        </w:rPr>
        <w:fldChar w:fldCharType="separate"/>
      </w:r>
      <w:r w:rsidR="00B44AFF">
        <w:rPr>
          <w:rFonts w:eastAsia="Calibri" w:cs="Times New Roman"/>
          <w:noProof/>
          <w:szCs w:val="24"/>
        </w:rPr>
        <w:t>(6, 7)</w:t>
      </w:r>
      <w:r w:rsidR="004275EC" w:rsidRPr="00ED53A0">
        <w:rPr>
          <w:rFonts w:eastAsia="Calibri" w:cs="Times New Roman"/>
          <w:szCs w:val="24"/>
        </w:rPr>
        <w:fldChar w:fldCharType="end"/>
      </w:r>
      <w:r w:rsidR="004275EC" w:rsidRPr="00ED53A0">
        <w:rPr>
          <w:rFonts w:eastAsia="Calibri" w:cs="Times New Roman"/>
          <w:szCs w:val="24"/>
        </w:rPr>
        <w:t>.</w:t>
      </w:r>
      <w:r w:rsidR="00771E68">
        <w:rPr>
          <w:rFonts w:eastAsia="Calibri" w:cs="Times New Roman"/>
          <w:szCs w:val="24"/>
        </w:rPr>
        <w:t xml:space="preserve"> </w:t>
      </w:r>
      <w:r w:rsidR="000C1DC8">
        <w:rPr>
          <w:rFonts w:eastAsia="Calibri" w:cs="Times New Roman"/>
          <w:szCs w:val="24"/>
        </w:rPr>
        <w:t xml:space="preserve">Therefore, </w:t>
      </w:r>
      <w:r w:rsidR="00621E98">
        <w:rPr>
          <w:rFonts w:eastAsia="Calibri" w:cs="Times New Roman"/>
          <w:szCs w:val="24"/>
        </w:rPr>
        <w:t xml:space="preserve">estimating and </w:t>
      </w:r>
      <w:r w:rsidR="000C1DC8">
        <w:rPr>
          <w:rFonts w:eastAsia="Calibri" w:cs="Times New Roman"/>
          <w:szCs w:val="24"/>
        </w:rPr>
        <w:t>u</w:t>
      </w:r>
      <w:r w:rsidR="00771E68" w:rsidRPr="00771E68">
        <w:rPr>
          <w:rFonts w:eastAsia="Calibri" w:cs="Times New Roman"/>
          <w:szCs w:val="24"/>
        </w:rPr>
        <w:t>nderstanding the costs imposed by ‘back pain’ are important</w:t>
      </w:r>
      <w:r w:rsidR="000C1DC8">
        <w:rPr>
          <w:rFonts w:eastAsia="Calibri" w:cs="Times New Roman"/>
          <w:szCs w:val="24"/>
        </w:rPr>
        <w:t>.</w:t>
      </w:r>
      <w:r w:rsidR="00771E68" w:rsidRPr="00771E68">
        <w:rPr>
          <w:rFonts w:eastAsia="Calibri" w:cs="Times New Roman"/>
          <w:szCs w:val="24"/>
        </w:rPr>
        <w:t xml:space="preserve"> </w:t>
      </w:r>
      <w:r w:rsidR="000C1DC8">
        <w:rPr>
          <w:rFonts w:eastAsia="Calibri" w:cs="Times New Roman"/>
          <w:szCs w:val="24"/>
        </w:rPr>
        <w:t>U</w:t>
      </w:r>
      <w:r w:rsidR="00771E68" w:rsidRPr="00771E68">
        <w:rPr>
          <w:rFonts w:eastAsia="Calibri" w:cs="Times New Roman"/>
          <w:szCs w:val="24"/>
        </w:rPr>
        <w:t>nless the true cost burden is properly valued and recognition of who bares the cost is understood, the importance and value of interventions to reduce the burden of back pain may be inappropriately dismissed</w:t>
      </w:r>
      <w:r w:rsidR="000C1DC8">
        <w:rPr>
          <w:rFonts w:eastAsia="Calibri" w:cs="Times New Roman"/>
          <w:szCs w:val="24"/>
        </w:rPr>
        <w:t>.</w:t>
      </w:r>
    </w:p>
    <w:p w14:paraId="05CD1A7E" w14:textId="3C6E329A" w:rsidR="00A85DA6" w:rsidRDefault="00510B59" w:rsidP="00A970B0">
      <w:pPr>
        <w:spacing w:before="120" w:after="240" w:line="480" w:lineRule="auto"/>
        <w:rPr>
          <w:rFonts w:eastAsia="Calibri" w:cs="Times New Roman"/>
          <w:szCs w:val="24"/>
        </w:rPr>
      </w:pPr>
      <w:r w:rsidRPr="00ED53A0">
        <w:rPr>
          <w:rFonts w:eastAsia="Calibri" w:cs="Times New Roman"/>
          <w:szCs w:val="24"/>
        </w:rPr>
        <w:t>The costs associated with back pain in the UK w</w:t>
      </w:r>
      <w:r w:rsidR="00AC3D9D">
        <w:rPr>
          <w:rFonts w:eastAsia="Calibri" w:cs="Times New Roman"/>
          <w:szCs w:val="24"/>
        </w:rPr>
        <w:t>ere</w:t>
      </w:r>
      <w:r w:rsidRPr="00ED53A0">
        <w:rPr>
          <w:rFonts w:eastAsia="Calibri" w:cs="Times New Roman"/>
          <w:szCs w:val="24"/>
        </w:rPr>
        <w:t xml:space="preserve"> last estimated </w:t>
      </w:r>
      <w:r w:rsidR="00AC3D9D">
        <w:rPr>
          <w:rFonts w:eastAsia="Calibri" w:cs="Times New Roman"/>
          <w:szCs w:val="24"/>
        </w:rPr>
        <w:t>over 20 years ago using</w:t>
      </w:r>
      <w:r w:rsidRPr="00ED53A0">
        <w:rPr>
          <w:rFonts w:eastAsia="Calibri" w:cs="Times New Roman"/>
          <w:szCs w:val="24"/>
        </w:rPr>
        <w:t xml:space="preserve"> a cost of illness (COI) </w:t>
      </w:r>
      <w:r w:rsidR="00AC3D9D">
        <w:rPr>
          <w:rFonts w:eastAsia="Calibri" w:cs="Times New Roman"/>
          <w:szCs w:val="24"/>
        </w:rPr>
        <w:t>methodology</w:t>
      </w:r>
      <w:r w:rsidRPr="00ED53A0">
        <w:rPr>
          <w:rFonts w:eastAsia="Calibri" w:cs="Times New Roman"/>
          <w:szCs w:val="24"/>
        </w:rPr>
        <w:t xml:space="preserve"> carried out from a societal perspective</w:t>
      </w:r>
      <w:r w:rsidR="00A970B0" w:rsidRPr="00ED53A0">
        <w:rPr>
          <w:rFonts w:eastAsia="Calibri" w:cs="Times New Roman"/>
          <w:szCs w:val="24"/>
        </w:rPr>
        <w:t xml:space="preserve"> </w:t>
      </w:r>
      <w:r w:rsidR="00A970B0" w:rsidRPr="00ED53A0">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A970B0" w:rsidRPr="00ED53A0">
        <w:rPr>
          <w:rFonts w:eastAsia="Calibri" w:cs="Times New Roman"/>
          <w:szCs w:val="24"/>
        </w:rPr>
      </w:r>
      <w:r w:rsidR="00A970B0" w:rsidRPr="00ED53A0">
        <w:rPr>
          <w:rFonts w:eastAsia="Calibri" w:cs="Times New Roman"/>
          <w:szCs w:val="24"/>
        </w:rPr>
        <w:fldChar w:fldCharType="separate"/>
      </w:r>
      <w:r w:rsidR="00B44AFF">
        <w:rPr>
          <w:rFonts w:eastAsia="Calibri" w:cs="Times New Roman"/>
          <w:noProof/>
          <w:szCs w:val="24"/>
        </w:rPr>
        <w:t>(8)</w:t>
      </w:r>
      <w:r w:rsidR="00A970B0" w:rsidRPr="00ED53A0">
        <w:rPr>
          <w:rFonts w:eastAsia="Calibri" w:cs="Times New Roman"/>
          <w:szCs w:val="24"/>
        </w:rPr>
        <w:fldChar w:fldCharType="end"/>
      </w:r>
      <w:r w:rsidR="00A970B0" w:rsidRPr="00ED53A0">
        <w:rPr>
          <w:rFonts w:eastAsia="Calibri" w:cs="Times New Roman"/>
          <w:szCs w:val="24"/>
        </w:rPr>
        <w:t>.</w:t>
      </w:r>
      <w:r w:rsidR="00AC3D9D">
        <w:rPr>
          <w:rFonts w:eastAsia="Calibri" w:cs="Times New Roman"/>
          <w:szCs w:val="24"/>
        </w:rPr>
        <w:t xml:space="preserve"> The study reported that </w:t>
      </w:r>
      <w:r w:rsidR="00AC3D9D" w:rsidRPr="00AC3D9D">
        <w:rPr>
          <w:rFonts w:eastAsia="Calibri" w:cs="Times New Roman"/>
          <w:szCs w:val="24"/>
        </w:rPr>
        <w:t>the direct health</w:t>
      </w:r>
      <w:r w:rsidR="00AC3D9D">
        <w:rPr>
          <w:rFonts w:eastAsia="Calibri" w:cs="Times New Roman"/>
          <w:szCs w:val="24"/>
        </w:rPr>
        <w:t xml:space="preserve"> </w:t>
      </w:r>
      <w:r w:rsidR="00AC3D9D" w:rsidRPr="00AC3D9D">
        <w:rPr>
          <w:rFonts w:eastAsia="Calibri" w:cs="Times New Roman"/>
          <w:szCs w:val="24"/>
        </w:rPr>
        <w:t xml:space="preserve">care cost of back pain in 1998 </w:t>
      </w:r>
      <w:r w:rsidR="00AC3D9D">
        <w:rPr>
          <w:rFonts w:eastAsia="Calibri" w:cs="Times New Roman"/>
          <w:szCs w:val="24"/>
        </w:rPr>
        <w:t>was</w:t>
      </w:r>
      <w:r w:rsidR="00AC3D9D" w:rsidRPr="00AC3D9D">
        <w:rPr>
          <w:rFonts w:eastAsia="Calibri" w:cs="Times New Roman"/>
          <w:szCs w:val="24"/>
        </w:rPr>
        <w:t xml:space="preserve"> £1</w:t>
      </w:r>
      <w:r w:rsidR="00B962A6">
        <w:rPr>
          <w:rFonts w:eastAsia="Calibri" w:cs="Times New Roman"/>
          <w:szCs w:val="24"/>
        </w:rPr>
        <w:t>.6 b</w:t>
      </w:r>
      <w:r w:rsidR="00AC3D9D" w:rsidRPr="00AC3D9D">
        <w:rPr>
          <w:rFonts w:eastAsia="Calibri" w:cs="Times New Roman"/>
          <w:szCs w:val="24"/>
        </w:rPr>
        <w:t>illion</w:t>
      </w:r>
      <w:r w:rsidR="00AC3D9D">
        <w:rPr>
          <w:rFonts w:eastAsia="Calibri" w:cs="Times New Roman"/>
          <w:szCs w:val="24"/>
        </w:rPr>
        <w:t xml:space="preserve"> </w:t>
      </w:r>
      <w:r w:rsidR="00AC3D9D">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AC3D9D">
        <w:rPr>
          <w:rFonts w:eastAsia="Calibri" w:cs="Times New Roman"/>
          <w:szCs w:val="24"/>
        </w:rPr>
      </w:r>
      <w:r w:rsidR="00AC3D9D">
        <w:rPr>
          <w:rFonts w:eastAsia="Calibri" w:cs="Times New Roman"/>
          <w:szCs w:val="24"/>
        </w:rPr>
        <w:fldChar w:fldCharType="separate"/>
      </w:r>
      <w:r w:rsidR="00B44AFF">
        <w:rPr>
          <w:rFonts w:eastAsia="Calibri" w:cs="Times New Roman"/>
          <w:noProof/>
          <w:szCs w:val="24"/>
        </w:rPr>
        <w:t>(8)</w:t>
      </w:r>
      <w:r w:rsidR="00AC3D9D">
        <w:rPr>
          <w:rFonts w:eastAsia="Calibri" w:cs="Times New Roman"/>
          <w:szCs w:val="24"/>
        </w:rPr>
        <w:fldChar w:fldCharType="end"/>
      </w:r>
      <w:r w:rsidR="00AC3D9D" w:rsidRPr="00AC3D9D">
        <w:rPr>
          <w:rFonts w:eastAsia="Calibri" w:cs="Times New Roman"/>
          <w:szCs w:val="24"/>
        </w:rPr>
        <w:t>.</w:t>
      </w:r>
      <w:r w:rsidR="00AC3D9D">
        <w:rPr>
          <w:rFonts w:eastAsia="Calibri" w:cs="Times New Roman"/>
          <w:szCs w:val="24"/>
        </w:rPr>
        <w:t xml:space="preserve"> </w:t>
      </w:r>
      <w:bookmarkStart w:id="1" w:name="_Hlk510715194"/>
      <w:r w:rsidR="00A970B0" w:rsidRPr="00ED53A0">
        <w:rPr>
          <w:rFonts w:eastAsia="Calibri" w:cs="Times New Roman"/>
          <w:szCs w:val="24"/>
        </w:rPr>
        <w:t>The authors</w:t>
      </w:r>
      <w:r w:rsidR="00A85DA6">
        <w:rPr>
          <w:rFonts w:eastAsia="Calibri" w:cs="Times New Roman"/>
          <w:szCs w:val="24"/>
        </w:rPr>
        <w:t>,</w:t>
      </w:r>
      <w:r w:rsidR="00A970B0" w:rsidRPr="00ED53A0">
        <w:rPr>
          <w:rFonts w:eastAsia="Calibri" w:cs="Times New Roman"/>
          <w:szCs w:val="24"/>
        </w:rPr>
        <w:t xml:space="preserve"> </w:t>
      </w:r>
      <w:proofErr w:type="spellStart"/>
      <w:r w:rsidR="00A85DA6" w:rsidRPr="00A85DA6">
        <w:rPr>
          <w:rFonts w:eastAsia="Calibri" w:cs="Times New Roman"/>
          <w:szCs w:val="24"/>
        </w:rPr>
        <w:t>Manniadakis</w:t>
      </w:r>
      <w:proofErr w:type="spellEnd"/>
      <w:r w:rsidR="00A85DA6" w:rsidRPr="00A85DA6">
        <w:rPr>
          <w:rFonts w:eastAsia="Calibri" w:cs="Times New Roman"/>
          <w:szCs w:val="24"/>
        </w:rPr>
        <w:t xml:space="preserve"> and Gray (2000)</w:t>
      </w:r>
      <w:r w:rsidR="00A85DA6">
        <w:rPr>
          <w:rFonts w:eastAsia="Calibri" w:cs="Times New Roman"/>
          <w:szCs w:val="24"/>
        </w:rPr>
        <w:t>,</w:t>
      </w:r>
      <w:r w:rsidR="00A85DA6" w:rsidRPr="00A85DA6">
        <w:rPr>
          <w:rFonts w:eastAsia="Calibri" w:cs="Times New Roman"/>
          <w:szCs w:val="24"/>
        </w:rPr>
        <w:t xml:space="preserve"> </w:t>
      </w:r>
      <w:r w:rsidR="00A970B0" w:rsidRPr="00ED53A0">
        <w:rPr>
          <w:rFonts w:eastAsia="Calibri" w:cs="Times New Roman"/>
          <w:szCs w:val="24"/>
        </w:rPr>
        <w:t xml:space="preserve">argued at the time that the economic burden of back pain was expected to rise in the future due to a combination of changing methods of healthcare provision, and </w:t>
      </w:r>
      <w:r w:rsidR="00A85DA6">
        <w:rPr>
          <w:rFonts w:eastAsia="Calibri" w:cs="Times New Roman"/>
          <w:szCs w:val="24"/>
        </w:rPr>
        <w:t>an anticipated change in</w:t>
      </w:r>
      <w:r w:rsidR="00A970B0" w:rsidRPr="00ED53A0">
        <w:rPr>
          <w:rFonts w:eastAsia="Calibri" w:cs="Times New Roman"/>
          <w:szCs w:val="24"/>
        </w:rPr>
        <w:t xml:space="preserve"> health seeking behaviour </w:t>
      </w:r>
      <w:r w:rsidR="00A970B0" w:rsidRPr="00ED53A0">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A970B0" w:rsidRPr="00ED53A0">
        <w:rPr>
          <w:rFonts w:eastAsia="Calibri" w:cs="Times New Roman"/>
          <w:szCs w:val="24"/>
        </w:rPr>
      </w:r>
      <w:r w:rsidR="00A970B0" w:rsidRPr="00ED53A0">
        <w:rPr>
          <w:rFonts w:eastAsia="Calibri" w:cs="Times New Roman"/>
          <w:szCs w:val="24"/>
        </w:rPr>
        <w:fldChar w:fldCharType="separate"/>
      </w:r>
      <w:r w:rsidR="00B44AFF">
        <w:rPr>
          <w:rFonts w:eastAsia="Calibri" w:cs="Times New Roman"/>
          <w:noProof/>
          <w:szCs w:val="24"/>
        </w:rPr>
        <w:t>(8)</w:t>
      </w:r>
      <w:r w:rsidR="00A970B0" w:rsidRPr="00ED53A0">
        <w:rPr>
          <w:rFonts w:eastAsia="Calibri" w:cs="Times New Roman"/>
          <w:szCs w:val="24"/>
        </w:rPr>
        <w:fldChar w:fldCharType="end"/>
      </w:r>
      <w:r w:rsidR="00A970B0" w:rsidRPr="00ED53A0">
        <w:rPr>
          <w:rFonts w:eastAsia="Calibri" w:cs="Times New Roman"/>
          <w:szCs w:val="24"/>
        </w:rPr>
        <w:t>.</w:t>
      </w:r>
      <w:r w:rsidR="00C5664C">
        <w:rPr>
          <w:rFonts w:eastAsia="Calibri" w:cs="Times New Roman"/>
          <w:szCs w:val="24"/>
        </w:rPr>
        <w:t xml:space="preserve"> </w:t>
      </w:r>
      <w:r w:rsidR="00C5664C" w:rsidRPr="00C5664C">
        <w:rPr>
          <w:rFonts w:eastAsia="Calibri" w:cs="Times New Roman"/>
          <w:szCs w:val="24"/>
        </w:rPr>
        <w:t xml:space="preserve">At the time </w:t>
      </w:r>
      <w:proofErr w:type="spellStart"/>
      <w:r w:rsidR="00C5664C" w:rsidRPr="00C5664C">
        <w:rPr>
          <w:rFonts w:eastAsia="Calibri" w:cs="Times New Roman"/>
          <w:szCs w:val="24"/>
        </w:rPr>
        <w:t>Manniadakis</w:t>
      </w:r>
      <w:proofErr w:type="spellEnd"/>
      <w:r w:rsidR="00C5664C" w:rsidRPr="00C5664C">
        <w:rPr>
          <w:rFonts w:eastAsia="Calibri" w:cs="Times New Roman"/>
          <w:szCs w:val="24"/>
        </w:rPr>
        <w:t xml:space="preserve"> and Gray carried out their valuation of the </w:t>
      </w:r>
      <w:r w:rsidR="00C5664C">
        <w:rPr>
          <w:rFonts w:eastAsia="Calibri" w:cs="Times New Roman"/>
          <w:szCs w:val="24"/>
        </w:rPr>
        <w:t>economic</w:t>
      </w:r>
      <w:r w:rsidR="00C5664C" w:rsidRPr="00C5664C">
        <w:rPr>
          <w:rFonts w:eastAsia="Calibri" w:cs="Times New Roman"/>
          <w:szCs w:val="24"/>
        </w:rPr>
        <w:t xml:space="preserve"> burden </w:t>
      </w:r>
      <w:r w:rsidR="00C5664C">
        <w:rPr>
          <w:rFonts w:eastAsia="Calibri" w:cs="Times New Roman"/>
          <w:szCs w:val="24"/>
        </w:rPr>
        <w:t>of</w:t>
      </w:r>
      <w:r w:rsidR="00C5664C" w:rsidRPr="00C5664C">
        <w:rPr>
          <w:rFonts w:eastAsia="Calibri" w:cs="Times New Roman"/>
          <w:szCs w:val="24"/>
        </w:rPr>
        <w:t xml:space="preserve"> back pain, the best available sources of data to estimate direct cost items such as</w:t>
      </w:r>
      <w:r w:rsidR="00C5664C">
        <w:rPr>
          <w:rFonts w:eastAsia="Calibri" w:cs="Times New Roman"/>
          <w:szCs w:val="24"/>
        </w:rPr>
        <w:t xml:space="preserve"> consultation</w:t>
      </w:r>
      <w:r w:rsidR="00DD18CB">
        <w:rPr>
          <w:rFonts w:eastAsia="Calibri" w:cs="Times New Roman"/>
          <w:szCs w:val="24"/>
        </w:rPr>
        <w:t>s</w:t>
      </w:r>
      <w:r w:rsidR="00C5664C">
        <w:rPr>
          <w:rFonts w:eastAsia="Calibri" w:cs="Times New Roman"/>
          <w:szCs w:val="24"/>
        </w:rPr>
        <w:t xml:space="preserve"> and</w:t>
      </w:r>
      <w:r w:rsidR="00C5664C" w:rsidRPr="00C5664C">
        <w:rPr>
          <w:rFonts w:eastAsia="Calibri" w:cs="Times New Roman"/>
          <w:szCs w:val="24"/>
        </w:rPr>
        <w:t xml:space="preserve"> prescriptions</w:t>
      </w:r>
      <w:r w:rsidR="00BD6E6D" w:rsidRPr="00BD6E6D">
        <w:rPr>
          <w:rFonts w:eastAsia="Calibri" w:cs="Times New Roman"/>
          <w:szCs w:val="24"/>
        </w:rPr>
        <w:t xml:space="preserve"> </w:t>
      </w:r>
      <w:r w:rsidR="00BD6E6D">
        <w:rPr>
          <w:rFonts w:eastAsia="Calibri" w:cs="Times New Roman"/>
          <w:szCs w:val="24"/>
        </w:rPr>
        <w:t>were</w:t>
      </w:r>
      <w:r w:rsidR="00BD6E6D" w:rsidRPr="00C5664C">
        <w:rPr>
          <w:rFonts w:eastAsia="Calibri" w:cs="Times New Roman"/>
          <w:szCs w:val="24"/>
        </w:rPr>
        <w:t xml:space="preserve"> population surveys</w:t>
      </w:r>
      <w:r w:rsidR="00DD18CB">
        <w:rPr>
          <w:rFonts w:eastAsia="Calibri" w:cs="Times New Roman"/>
          <w:szCs w:val="24"/>
        </w:rPr>
        <w:t xml:space="preserve">. </w:t>
      </w:r>
      <w:r w:rsidR="00BD6E6D">
        <w:rPr>
          <w:rFonts w:eastAsia="Calibri" w:cs="Times New Roman"/>
          <w:szCs w:val="24"/>
        </w:rPr>
        <w:t>T</w:t>
      </w:r>
      <w:r w:rsidR="00C5664C" w:rsidRPr="00C5664C">
        <w:rPr>
          <w:rFonts w:eastAsia="Calibri" w:cs="Times New Roman"/>
          <w:szCs w:val="24"/>
        </w:rPr>
        <w:t>he authors expressed some doubt in the</w:t>
      </w:r>
      <w:r w:rsidR="00013603">
        <w:rPr>
          <w:rFonts w:eastAsia="Calibri" w:cs="Times New Roman"/>
          <w:szCs w:val="24"/>
        </w:rPr>
        <w:t xml:space="preserve">ir </w:t>
      </w:r>
      <w:r w:rsidR="00C5664C" w:rsidRPr="00C5664C">
        <w:rPr>
          <w:rFonts w:eastAsia="Calibri" w:cs="Times New Roman"/>
          <w:szCs w:val="24"/>
        </w:rPr>
        <w:t xml:space="preserve">data </w:t>
      </w:r>
      <w:r w:rsidR="000E75AD">
        <w:rPr>
          <w:rFonts w:eastAsia="Calibri" w:cs="Times New Roman"/>
          <w:szCs w:val="24"/>
        </w:rPr>
        <w:t xml:space="preserve">from </w:t>
      </w:r>
      <w:r w:rsidR="00BD6E6D">
        <w:rPr>
          <w:rFonts w:eastAsia="Calibri" w:cs="Times New Roman"/>
          <w:szCs w:val="24"/>
        </w:rPr>
        <w:t xml:space="preserve">these </w:t>
      </w:r>
      <w:r w:rsidR="000E75AD">
        <w:rPr>
          <w:rFonts w:eastAsia="Calibri" w:cs="Times New Roman"/>
          <w:szCs w:val="24"/>
        </w:rPr>
        <w:t xml:space="preserve">surveys </w:t>
      </w:r>
      <w:r w:rsidR="00C5664C" w:rsidRPr="00C5664C">
        <w:rPr>
          <w:rFonts w:eastAsia="Calibri" w:cs="Times New Roman"/>
          <w:szCs w:val="24"/>
        </w:rPr>
        <w:t>suggesting that other data (less widely available</w:t>
      </w:r>
      <w:r w:rsidR="00C5664C">
        <w:rPr>
          <w:rFonts w:eastAsia="Calibri" w:cs="Times New Roman"/>
          <w:szCs w:val="24"/>
        </w:rPr>
        <w:t xml:space="preserve"> at the time</w:t>
      </w:r>
      <w:r w:rsidR="00C5664C" w:rsidRPr="00C5664C">
        <w:rPr>
          <w:rFonts w:eastAsia="Calibri" w:cs="Times New Roman"/>
          <w:szCs w:val="24"/>
        </w:rPr>
        <w:t xml:space="preserve">) indicated lower rates of </w:t>
      </w:r>
      <w:r w:rsidR="00DD18CB">
        <w:rPr>
          <w:rFonts w:eastAsia="Calibri" w:cs="Times New Roman"/>
          <w:szCs w:val="24"/>
        </w:rPr>
        <w:t>consultations and prescriptions</w:t>
      </w:r>
      <w:r w:rsidR="00C5664C" w:rsidRPr="00C5664C">
        <w:rPr>
          <w:rFonts w:eastAsia="Calibri" w:cs="Times New Roman"/>
          <w:szCs w:val="24"/>
        </w:rPr>
        <w:t xml:space="preserve"> than </w:t>
      </w:r>
      <w:r w:rsidR="00013603">
        <w:rPr>
          <w:rFonts w:eastAsia="Calibri" w:cs="Times New Roman"/>
          <w:szCs w:val="24"/>
        </w:rPr>
        <w:t>the population surveys</w:t>
      </w:r>
      <w:r w:rsidR="00C5664C" w:rsidRPr="00C5664C">
        <w:rPr>
          <w:rFonts w:eastAsia="Calibri" w:cs="Times New Roman"/>
          <w:szCs w:val="24"/>
        </w:rPr>
        <w:t xml:space="preserve"> </w:t>
      </w:r>
      <w:r w:rsidR="004A3E62">
        <w:rPr>
          <w:rFonts w:eastAsia="Calibri" w:cs="Times New Roman"/>
          <w:szCs w:val="24"/>
        </w:rPr>
        <w:t xml:space="preserve">had </w:t>
      </w:r>
      <w:r w:rsidR="000E75AD">
        <w:rPr>
          <w:rFonts w:eastAsia="Calibri" w:cs="Times New Roman"/>
          <w:szCs w:val="24"/>
        </w:rPr>
        <w:t xml:space="preserve">actually </w:t>
      </w:r>
      <w:r w:rsidR="00C5664C" w:rsidRPr="00C5664C">
        <w:rPr>
          <w:rFonts w:eastAsia="Calibri" w:cs="Times New Roman"/>
          <w:szCs w:val="24"/>
        </w:rPr>
        <w:t xml:space="preserve">suggested.  </w:t>
      </w:r>
    </w:p>
    <w:bookmarkEnd w:id="1"/>
    <w:p w14:paraId="287E084D" w14:textId="29026039" w:rsidR="005445AF" w:rsidRDefault="00D541B8" w:rsidP="00A970B0">
      <w:pPr>
        <w:spacing w:before="120" w:after="240" w:line="480" w:lineRule="auto"/>
        <w:rPr>
          <w:rFonts w:eastAsia="Calibri" w:cs="Times New Roman"/>
          <w:szCs w:val="24"/>
        </w:rPr>
      </w:pPr>
      <w:r w:rsidRPr="00ED53A0">
        <w:rPr>
          <w:rFonts w:eastAsia="Calibri" w:cs="Times New Roman"/>
          <w:szCs w:val="24"/>
        </w:rPr>
        <w:t>In the intervening years, national primary care databases</w:t>
      </w:r>
      <w:r w:rsidR="00176783" w:rsidRPr="00ED53A0">
        <w:rPr>
          <w:rFonts w:eastAsia="Calibri" w:cs="Times New Roman"/>
          <w:szCs w:val="24"/>
        </w:rPr>
        <w:t xml:space="preserve"> or electronic health records (EHRs)</w:t>
      </w:r>
      <w:r w:rsidRPr="00ED53A0">
        <w:rPr>
          <w:rFonts w:eastAsia="Calibri" w:cs="Times New Roman"/>
          <w:szCs w:val="24"/>
        </w:rPr>
        <w:t xml:space="preserve"> have emerged such as </w:t>
      </w:r>
      <w:bookmarkStart w:id="2" w:name="_Hlk91863369"/>
      <w:r w:rsidR="00176783" w:rsidRPr="00ED53A0">
        <w:rPr>
          <w:rFonts w:eastAsia="Calibri" w:cs="Times New Roman"/>
          <w:szCs w:val="24"/>
        </w:rPr>
        <w:t xml:space="preserve">the </w:t>
      </w:r>
      <w:r w:rsidRPr="00ED53A0">
        <w:rPr>
          <w:rFonts w:eastAsia="Calibri" w:cs="Times New Roman"/>
          <w:szCs w:val="24"/>
        </w:rPr>
        <w:t xml:space="preserve">IQVIA </w:t>
      </w:r>
      <w:r w:rsidR="00176783" w:rsidRPr="00ED53A0">
        <w:rPr>
          <w:rFonts w:eastAsia="Calibri" w:cs="Times New Roman"/>
          <w:szCs w:val="24"/>
        </w:rPr>
        <w:t>M</w:t>
      </w:r>
      <w:r w:rsidRPr="00ED53A0">
        <w:rPr>
          <w:rFonts w:eastAsia="Calibri" w:cs="Times New Roman"/>
          <w:szCs w:val="24"/>
        </w:rPr>
        <w:t>edical Research Data (IMRD)</w:t>
      </w:r>
      <w:r w:rsidR="00176783" w:rsidRPr="00ED53A0">
        <w:rPr>
          <w:rFonts w:eastAsia="Calibri" w:cs="Times New Roman"/>
          <w:szCs w:val="24"/>
        </w:rPr>
        <w:t>,</w:t>
      </w:r>
      <w:r w:rsidRPr="00ED53A0">
        <w:rPr>
          <w:rFonts w:eastAsia="Calibri" w:cs="Times New Roman"/>
          <w:szCs w:val="24"/>
        </w:rPr>
        <w:t xml:space="preserve"> </w:t>
      </w:r>
      <w:bookmarkEnd w:id="2"/>
      <w:r w:rsidRPr="00ED53A0">
        <w:rPr>
          <w:rFonts w:eastAsia="Calibri" w:cs="Times New Roman"/>
          <w:szCs w:val="24"/>
        </w:rPr>
        <w:t xml:space="preserve">formerly </w:t>
      </w:r>
      <w:r w:rsidR="00176783" w:rsidRPr="00ED53A0">
        <w:rPr>
          <w:rFonts w:eastAsia="Calibri" w:cs="Times New Roman"/>
          <w:szCs w:val="24"/>
        </w:rPr>
        <w:t xml:space="preserve">known as </w:t>
      </w:r>
      <w:r w:rsidRPr="00ED53A0">
        <w:rPr>
          <w:rFonts w:eastAsia="Calibri" w:cs="Times New Roman"/>
          <w:szCs w:val="24"/>
        </w:rPr>
        <w:t xml:space="preserve">The </w:t>
      </w:r>
      <w:r w:rsidRPr="00ED53A0">
        <w:rPr>
          <w:rFonts w:eastAsia="Calibri" w:cs="Times New Roman"/>
          <w:szCs w:val="24"/>
        </w:rPr>
        <w:lastRenderedPageBreak/>
        <w:t>Health Improvement Network (THIN), and the Clinical Practice Research Datalink (CPRD). These routine</w:t>
      </w:r>
      <w:r w:rsidR="00176783" w:rsidRPr="00ED53A0">
        <w:rPr>
          <w:rFonts w:eastAsia="Calibri" w:cs="Times New Roman"/>
          <w:szCs w:val="24"/>
        </w:rPr>
        <w:t xml:space="preserve"> administrative</w:t>
      </w:r>
      <w:r w:rsidRPr="00ED53A0">
        <w:rPr>
          <w:rFonts w:eastAsia="Calibri" w:cs="Times New Roman"/>
          <w:szCs w:val="24"/>
        </w:rPr>
        <w:t xml:space="preserve"> databases comprise</w:t>
      </w:r>
      <w:r w:rsidR="005E78EB" w:rsidRPr="00ED53A0">
        <w:rPr>
          <w:rFonts w:eastAsia="Calibri" w:cs="Times New Roman"/>
          <w:szCs w:val="24"/>
        </w:rPr>
        <w:t xml:space="preserve"> anonymised,</w:t>
      </w:r>
      <w:r w:rsidRPr="00ED53A0">
        <w:rPr>
          <w:rFonts w:eastAsia="Calibri" w:cs="Times New Roman"/>
          <w:szCs w:val="24"/>
        </w:rPr>
        <w:t xml:space="preserve"> detailed longitudinal data on primary care consultations</w:t>
      </w:r>
      <w:r w:rsidR="005445AF">
        <w:rPr>
          <w:rFonts w:eastAsia="Calibri" w:cs="Times New Roman"/>
          <w:szCs w:val="24"/>
        </w:rPr>
        <w:t xml:space="preserve"> and</w:t>
      </w:r>
      <w:r w:rsidR="005E78EB" w:rsidRPr="00ED53A0">
        <w:rPr>
          <w:rFonts w:eastAsia="Calibri" w:cs="Times New Roman"/>
          <w:szCs w:val="24"/>
        </w:rPr>
        <w:t xml:space="preserve"> </w:t>
      </w:r>
      <w:r w:rsidRPr="00ED53A0">
        <w:rPr>
          <w:rFonts w:eastAsia="Calibri" w:cs="Times New Roman"/>
          <w:szCs w:val="24"/>
        </w:rPr>
        <w:t xml:space="preserve">prescriptions. </w:t>
      </w:r>
      <w:r w:rsidR="00201CF9">
        <w:rPr>
          <w:rFonts w:eastAsia="Calibri" w:cs="Times New Roman"/>
          <w:szCs w:val="24"/>
        </w:rPr>
        <w:t>The availability of these data sources provide</w:t>
      </w:r>
      <w:r w:rsidR="001A7C18">
        <w:rPr>
          <w:rFonts w:eastAsia="Calibri" w:cs="Times New Roman"/>
          <w:szCs w:val="24"/>
        </w:rPr>
        <w:t>s</w:t>
      </w:r>
      <w:r w:rsidR="00201CF9">
        <w:rPr>
          <w:rFonts w:eastAsia="Calibri" w:cs="Times New Roman"/>
          <w:szCs w:val="24"/>
        </w:rPr>
        <w:t xml:space="preserve"> an opportunity to present revised estimates of the healthcare resource utilisation and costs associated with back pain in the UK. </w:t>
      </w:r>
      <w:r w:rsidR="00D666D6" w:rsidRPr="00D666D6">
        <w:rPr>
          <w:rFonts w:eastAsia="Calibri" w:cs="Times New Roman"/>
          <w:szCs w:val="24"/>
        </w:rPr>
        <w:t xml:space="preserve">A very large number of GP practices and patients contribute data to </w:t>
      </w:r>
      <w:r w:rsidR="00D666D6">
        <w:rPr>
          <w:rFonts w:eastAsia="Calibri" w:cs="Times New Roman"/>
          <w:szCs w:val="24"/>
        </w:rPr>
        <w:t>these databases</w:t>
      </w:r>
      <w:r w:rsidR="00D666D6" w:rsidRPr="00D666D6">
        <w:rPr>
          <w:rFonts w:eastAsia="Calibri" w:cs="Times New Roman"/>
          <w:szCs w:val="24"/>
        </w:rPr>
        <w:t xml:space="preserve"> allowing more precise estimation of</w:t>
      </w:r>
      <w:r w:rsidR="00D666D6">
        <w:rPr>
          <w:rFonts w:eastAsia="Calibri" w:cs="Times New Roman"/>
          <w:szCs w:val="24"/>
        </w:rPr>
        <w:t xml:space="preserve"> the cost involved. </w:t>
      </w:r>
      <w:r w:rsidR="00D666D6" w:rsidRPr="00D666D6">
        <w:rPr>
          <w:rFonts w:eastAsia="Calibri" w:cs="Times New Roman"/>
          <w:szCs w:val="24"/>
        </w:rPr>
        <w:t xml:space="preserve">The patient-level data comprised within </w:t>
      </w:r>
      <w:r w:rsidR="00D666D6">
        <w:rPr>
          <w:rFonts w:eastAsia="Calibri" w:cs="Times New Roman"/>
          <w:szCs w:val="24"/>
        </w:rPr>
        <w:t>these databases</w:t>
      </w:r>
      <w:r w:rsidR="00D666D6" w:rsidRPr="00D666D6">
        <w:rPr>
          <w:rFonts w:eastAsia="Calibri" w:cs="Times New Roman"/>
          <w:szCs w:val="24"/>
        </w:rPr>
        <w:t xml:space="preserve"> are</w:t>
      </w:r>
      <w:r w:rsidR="00D666D6">
        <w:rPr>
          <w:rFonts w:eastAsia="Calibri" w:cs="Times New Roman"/>
          <w:szCs w:val="24"/>
        </w:rPr>
        <w:t xml:space="preserve"> </w:t>
      </w:r>
      <w:r w:rsidR="00D666D6" w:rsidRPr="00D666D6">
        <w:rPr>
          <w:rFonts w:eastAsia="Calibri" w:cs="Times New Roman"/>
          <w:szCs w:val="24"/>
        </w:rPr>
        <w:t>derived from a representative subset of the UK population, hence the findings are</w:t>
      </w:r>
      <w:r w:rsidR="00C50FF2">
        <w:rPr>
          <w:rFonts w:eastAsia="Calibri" w:cs="Times New Roman"/>
          <w:szCs w:val="24"/>
        </w:rPr>
        <w:t xml:space="preserve"> likely to be</w:t>
      </w:r>
      <w:r w:rsidR="00D666D6" w:rsidRPr="00D666D6">
        <w:rPr>
          <w:rFonts w:eastAsia="Calibri" w:cs="Times New Roman"/>
          <w:szCs w:val="24"/>
        </w:rPr>
        <w:t xml:space="preserve"> generalisable to the wider population</w:t>
      </w:r>
      <w:r w:rsidR="00D666D6">
        <w:rPr>
          <w:rFonts w:eastAsia="Calibri" w:cs="Times New Roman"/>
          <w:szCs w:val="24"/>
        </w:rPr>
        <w:t xml:space="preserve"> </w:t>
      </w:r>
      <w:r w:rsidR="00D666D6">
        <w:rPr>
          <w:rFonts w:eastAsia="Calibri" w:cs="Times New Roman"/>
          <w:szCs w:val="24"/>
        </w:rPr>
        <w:fldChar w:fldCharType="begin">
          <w:fldData xml:space="preserve">PEVuZE5vdGU+PENpdGU+PEF1dGhvcj5EZW5idXJnPC9BdXRob3I+PFllYXI+MjAxMTwvWWVhcj48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PEVuZE5vdGU+PENpdGU+PEF1dGhvcj5EZW5idXJnPC9BdXRob3I+PFllYXI+MjAxMTwvWWVhcj48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D666D6">
        <w:rPr>
          <w:rFonts w:eastAsia="Calibri" w:cs="Times New Roman"/>
          <w:szCs w:val="24"/>
        </w:rPr>
      </w:r>
      <w:r w:rsidR="00D666D6">
        <w:rPr>
          <w:rFonts w:eastAsia="Calibri" w:cs="Times New Roman"/>
          <w:szCs w:val="24"/>
        </w:rPr>
        <w:fldChar w:fldCharType="separate"/>
      </w:r>
      <w:r w:rsidR="00B44AFF">
        <w:rPr>
          <w:rFonts w:eastAsia="Calibri" w:cs="Times New Roman"/>
          <w:noProof/>
          <w:szCs w:val="24"/>
        </w:rPr>
        <w:t>(9, 10)</w:t>
      </w:r>
      <w:r w:rsidR="00D666D6">
        <w:rPr>
          <w:rFonts w:eastAsia="Calibri" w:cs="Times New Roman"/>
          <w:szCs w:val="24"/>
        </w:rPr>
        <w:fldChar w:fldCharType="end"/>
      </w:r>
      <w:r w:rsidR="00D666D6">
        <w:rPr>
          <w:rFonts w:eastAsia="Calibri" w:cs="Times New Roman"/>
          <w:szCs w:val="24"/>
        </w:rPr>
        <w:t xml:space="preserve">. </w:t>
      </w:r>
      <w:r w:rsidR="007E1142" w:rsidRPr="007E1142">
        <w:rPr>
          <w:rFonts w:eastAsia="Calibri" w:cs="Times New Roman"/>
          <w:szCs w:val="24"/>
        </w:rPr>
        <w:t xml:space="preserve">The large size and representation </w:t>
      </w:r>
      <w:r w:rsidR="007E1142">
        <w:rPr>
          <w:rFonts w:eastAsia="Calibri" w:cs="Times New Roman"/>
          <w:szCs w:val="24"/>
        </w:rPr>
        <w:t xml:space="preserve">also </w:t>
      </w:r>
      <w:r w:rsidR="007E1142" w:rsidRPr="007E1142">
        <w:rPr>
          <w:rFonts w:eastAsia="Calibri" w:cs="Times New Roman"/>
          <w:szCs w:val="24"/>
        </w:rPr>
        <w:t xml:space="preserve">enable analyses </w:t>
      </w:r>
      <w:r w:rsidR="007E1142">
        <w:rPr>
          <w:rFonts w:eastAsia="Calibri" w:cs="Times New Roman"/>
          <w:szCs w:val="24"/>
        </w:rPr>
        <w:t xml:space="preserve">of the costs </w:t>
      </w:r>
      <w:r w:rsidR="007E1142" w:rsidRPr="007E1142">
        <w:rPr>
          <w:rFonts w:eastAsia="Calibri" w:cs="Times New Roman"/>
          <w:szCs w:val="24"/>
        </w:rPr>
        <w:t>by sub-groups of the population such as by demographics and clinical characteristics.</w:t>
      </w:r>
      <w:r w:rsidR="007E1142">
        <w:rPr>
          <w:rFonts w:eastAsia="Calibri" w:cs="Times New Roman"/>
          <w:szCs w:val="24"/>
        </w:rPr>
        <w:t xml:space="preserve"> </w:t>
      </w:r>
    </w:p>
    <w:p w14:paraId="0611321D" w14:textId="4A1CCC17" w:rsidR="00E16503" w:rsidRDefault="002436F8" w:rsidP="00F8758F">
      <w:pPr>
        <w:spacing w:before="120" w:after="240" w:line="480" w:lineRule="auto"/>
        <w:rPr>
          <w:rFonts w:eastAsia="Calibri" w:cs="Times New Roman"/>
          <w:szCs w:val="24"/>
        </w:rPr>
      </w:pPr>
      <w:bookmarkStart w:id="3" w:name="_Hlk510715093"/>
      <w:r w:rsidRPr="00ED53A0">
        <w:rPr>
          <w:rFonts w:eastAsia="Calibri" w:cs="Times New Roman"/>
          <w:szCs w:val="24"/>
        </w:rPr>
        <w:t>Th</w:t>
      </w:r>
      <w:r w:rsidR="007E1142">
        <w:rPr>
          <w:rFonts w:eastAsia="Calibri" w:cs="Times New Roman"/>
          <w:szCs w:val="24"/>
        </w:rPr>
        <w:t>is</w:t>
      </w:r>
      <w:r w:rsidRPr="00ED53A0">
        <w:rPr>
          <w:rFonts w:eastAsia="Calibri" w:cs="Times New Roman"/>
          <w:szCs w:val="24"/>
        </w:rPr>
        <w:t xml:space="preserve"> study</w:t>
      </w:r>
      <w:r w:rsidR="00A970B0" w:rsidRPr="00ED53A0">
        <w:rPr>
          <w:rFonts w:eastAsia="Calibri" w:cs="Times New Roman"/>
          <w:szCs w:val="24"/>
        </w:rPr>
        <w:t xml:space="preserve"> </w:t>
      </w:r>
      <w:r w:rsidRPr="00ED53A0">
        <w:rPr>
          <w:rFonts w:eastAsia="Calibri" w:cs="Times New Roman"/>
          <w:szCs w:val="24"/>
        </w:rPr>
        <w:t xml:space="preserve">aims </w:t>
      </w:r>
      <w:r w:rsidR="00A970B0" w:rsidRPr="00ED53A0">
        <w:rPr>
          <w:rFonts w:eastAsia="Calibri" w:cs="Times New Roman"/>
          <w:szCs w:val="24"/>
        </w:rPr>
        <w:t xml:space="preserve">to </w:t>
      </w:r>
      <w:r w:rsidR="007E1142">
        <w:rPr>
          <w:rFonts w:eastAsia="Calibri" w:cs="Times New Roman"/>
          <w:szCs w:val="24"/>
        </w:rPr>
        <w:t xml:space="preserve">utilise the IMRD database to provide an </w:t>
      </w:r>
      <w:r w:rsidR="00454275">
        <w:rPr>
          <w:rFonts w:eastAsia="Calibri" w:cs="Times New Roman"/>
          <w:szCs w:val="24"/>
        </w:rPr>
        <w:t>up-to-date</w:t>
      </w:r>
      <w:r w:rsidR="007E1142">
        <w:rPr>
          <w:rFonts w:eastAsia="Calibri" w:cs="Times New Roman"/>
          <w:szCs w:val="24"/>
        </w:rPr>
        <w:t xml:space="preserve"> estimate of the</w:t>
      </w:r>
      <w:r w:rsidR="00A970B0" w:rsidRPr="00ED53A0">
        <w:rPr>
          <w:rFonts w:eastAsia="Calibri" w:cs="Times New Roman"/>
          <w:szCs w:val="24"/>
        </w:rPr>
        <w:t xml:space="preserve"> </w:t>
      </w:r>
      <w:r w:rsidR="005D68B2">
        <w:rPr>
          <w:rFonts w:eastAsia="Calibri" w:cs="Times New Roman"/>
          <w:szCs w:val="24"/>
        </w:rPr>
        <w:t xml:space="preserve">annual </w:t>
      </w:r>
      <w:r w:rsidR="00A970B0" w:rsidRPr="00ED53A0">
        <w:rPr>
          <w:rFonts w:eastAsia="Calibri" w:cs="Times New Roman"/>
          <w:szCs w:val="24"/>
        </w:rPr>
        <w:t xml:space="preserve">healthcare resource utilisation and associated direct medical costs </w:t>
      </w:r>
      <w:r w:rsidR="007E1142">
        <w:rPr>
          <w:rFonts w:eastAsia="Calibri" w:cs="Times New Roman"/>
          <w:szCs w:val="24"/>
        </w:rPr>
        <w:t>for</w:t>
      </w:r>
      <w:r w:rsidR="00A970B0" w:rsidRPr="00ED53A0">
        <w:rPr>
          <w:rFonts w:eastAsia="Calibri" w:cs="Times New Roman"/>
          <w:szCs w:val="24"/>
        </w:rPr>
        <w:t xml:space="preserve"> patients with </w:t>
      </w:r>
      <w:r w:rsidR="00EB27D8">
        <w:rPr>
          <w:rFonts w:eastAsia="Calibri" w:cs="Times New Roman"/>
          <w:szCs w:val="24"/>
        </w:rPr>
        <w:t xml:space="preserve">a </w:t>
      </w:r>
      <w:r w:rsidR="007E1142">
        <w:rPr>
          <w:rFonts w:eastAsia="Calibri" w:cs="Times New Roman"/>
          <w:szCs w:val="24"/>
        </w:rPr>
        <w:t xml:space="preserve">diagnosis of </w:t>
      </w:r>
      <w:r w:rsidR="00A970B0" w:rsidRPr="00ED53A0">
        <w:rPr>
          <w:rFonts w:eastAsia="Calibri" w:cs="Times New Roman"/>
          <w:szCs w:val="24"/>
        </w:rPr>
        <w:t xml:space="preserve">back pain </w:t>
      </w:r>
      <w:r w:rsidR="007E1142">
        <w:rPr>
          <w:rFonts w:eastAsia="Calibri" w:cs="Times New Roman"/>
          <w:szCs w:val="24"/>
        </w:rPr>
        <w:t xml:space="preserve">in their medical records </w:t>
      </w:r>
      <w:r w:rsidR="00454275" w:rsidRPr="00454275">
        <w:rPr>
          <w:rFonts w:eastAsia="Calibri" w:cs="Times New Roman"/>
          <w:szCs w:val="24"/>
        </w:rPr>
        <w:t>compared to patients without a recorded diagnosis of back pain</w:t>
      </w:r>
      <w:r w:rsidR="00A970B0" w:rsidRPr="00ED53A0">
        <w:rPr>
          <w:rFonts w:eastAsia="Calibri" w:cs="Times New Roman"/>
          <w:szCs w:val="24"/>
        </w:rPr>
        <w:t xml:space="preserve">. </w:t>
      </w:r>
      <w:r w:rsidR="007E1142">
        <w:rPr>
          <w:rFonts w:eastAsia="Calibri" w:cs="Times New Roman"/>
          <w:szCs w:val="24"/>
        </w:rPr>
        <w:t>We</w:t>
      </w:r>
      <w:r w:rsidR="007E1142" w:rsidRPr="007E1142">
        <w:rPr>
          <w:rFonts w:eastAsia="Calibri" w:cs="Times New Roman"/>
          <w:szCs w:val="24"/>
        </w:rPr>
        <w:t xml:space="preserve"> hypothesise that the consumption of resources and medical costs incurred by back pain patients have increased since the last estimate originating from 1998</w:t>
      </w:r>
      <w:r w:rsidR="00A970B0" w:rsidRPr="00ED53A0">
        <w:rPr>
          <w:rFonts w:eastAsia="Calibri" w:cs="Times New Roman"/>
          <w:szCs w:val="24"/>
        </w:rPr>
        <w:t>.</w:t>
      </w:r>
      <w:r w:rsidR="007E1142">
        <w:rPr>
          <w:rFonts w:eastAsia="Calibri" w:cs="Times New Roman"/>
          <w:szCs w:val="24"/>
        </w:rPr>
        <w:t xml:space="preserve"> </w:t>
      </w:r>
      <w:r w:rsidR="009A4ED4">
        <w:rPr>
          <w:rFonts w:eastAsia="Calibri" w:cs="Times New Roman"/>
          <w:szCs w:val="24"/>
        </w:rPr>
        <w:t xml:space="preserve">We adopt a </w:t>
      </w:r>
      <w:r w:rsidR="009A7AA1">
        <w:rPr>
          <w:rFonts w:eastAsia="Calibri" w:cs="Times New Roman"/>
          <w:szCs w:val="24"/>
        </w:rPr>
        <w:t>primary care</w:t>
      </w:r>
      <w:r w:rsidR="009A4ED4">
        <w:rPr>
          <w:rFonts w:eastAsia="Calibri" w:cs="Times New Roman"/>
          <w:szCs w:val="24"/>
        </w:rPr>
        <w:t xml:space="preserve"> perspective and interrogate consultations and prescriptions data for patients presenting in UK primary care. </w:t>
      </w:r>
      <w:r w:rsidR="00F8758F">
        <w:rPr>
          <w:rFonts w:eastAsia="Calibri" w:cs="Times New Roman"/>
          <w:szCs w:val="24"/>
        </w:rPr>
        <w:t xml:space="preserve">The study also </w:t>
      </w:r>
      <w:r w:rsidR="009A4ED4">
        <w:rPr>
          <w:rFonts w:eastAsia="Calibri" w:cs="Times New Roman"/>
          <w:szCs w:val="24"/>
        </w:rPr>
        <w:t xml:space="preserve">explores variation in costs for </w:t>
      </w:r>
      <w:r w:rsidR="00A970B0" w:rsidRPr="00ED53A0">
        <w:rPr>
          <w:rFonts w:eastAsia="Calibri" w:cs="Times New Roman"/>
          <w:szCs w:val="24"/>
        </w:rPr>
        <w:t>sub-group</w:t>
      </w:r>
      <w:r w:rsidR="009A4ED4">
        <w:rPr>
          <w:rFonts w:eastAsia="Calibri" w:cs="Times New Roman"/>
          <w:szCs w:val="24"/>
        </w:rPr>
        <w:t>s</w:t>
      </w:r>
      <w:r w:rsidR="00A970B0" w:rsidRPr="00ED53A0">
        <w:rPr>
          <w:rFonts w:eastAsia="Calibri" w:cs="Times New Roman"/>
          <w:szCs w:val="24"/>
        </w:rPr>
        <w:t xml:space="preserve"> of back pain patients </w:t>
      </w:r>
      <w:r w:rsidR="009A4ED4">
        <w:rPr>
          <w:rFonts w:eastAsia="Calibri" w:cs="Times New Roman"/>
          <w:szCs w:val="24"/>
        </w:rPr>
        <w:t>based on</w:t>
      </w:r>
      <w:r w:rsidR="00A970B0" w:rsidRPr="00ED53A0">
        <w:rPr>
          <w:rFonts w:eastAsia="Calibri" w:cs="Times New Roman"/>
          <w:szCs w:val="24"/>
        </w:rPr>
        <w:t xml:space="preserve"> </w:t>
      </w:r>
      <w:r w:rsidR="00F8758F">
        <w:rPr>
          <w:rFonts w:eastAsia="Calibri" w:cs="Times New Roman"/>
          <w:szCs w:val="24"/>
        </w:rPr>
        <w:t xml:space="preserve">socio-economic and clinical </w:t>
      </w:r>
      <w:r w:rsidR="009A4ED4">
        <w:rPr>
          <w:rFonts w:eastAsia="Calibri" w:cs="Times New Roman"/>
          <w:szCs w:val="24"/>
        </w:rPr>
        <w:t>indictors.</w:t>
      </w:r>
    </w:p>
    <w:p w14:paraId="5CBC4897" w14:textId="77777777" w:rsidR="00A970B0" w:rsidRPr="00ED53A0" w:rsidRDefault="00A970B0" w:rsidP="00F7099B">
      <w:pPr>
        <w:pStyle w:val="Heading1"/>
        <w:rPr>
          <w:rFonts w:eastAsia="Calibri"/>
          <w:b w:val="0"/>
        </w:rPr>
      </w:pPr>
      <w:bookmarkStart w:id="4" w:name="_Toc15458452"/>
      <w:bookmarkEnd w:id="3"/>
      <w:r w:rsidRPr="00ED53A0">
        <w:rPr>
          <w:rFonts w:eastAsia="Calibri"/>
        </w:rPr>
        <w:t>Methods</w:t>
      </w:r>
      <w:bookmarkEnd w:id="4"/>
    </w:p>
    <w:p w14:paraId="3E39C2B0" w14:textId="77777777" w:rsidR="00A970B0" w:rsidRPr="00ED53A0" w:rsidRDefault="007D1FF2" w:rsidP="00F7099B">
      <w:pPr>
        <w:pStyle w:val="Heading2"/>
        <w:rPr>
          <w:rFonts w:eastAsia="Calibri"/>
          <w:b w:val="0"/>
        </w:rPr>
      </w:pPr>
      <w:r>
        <w:rPr>
          <w:rFonts w:eastAsia="Calibri"/>
        </w:rPr>
        <w:t>Data source and study design</w:t>
      </w:r>
    </w:p>
    <w:p w14:paraId="48EEC11D" w14:textId="2AE2107B" w:rsidR="003D6F80" w:rsidRDefault="00A970B0" w:rsidP="00A970B0">
      <w:pPr>
        <w:spacing w:before="120" w:after="240" w:line="480" w:lineRule="auto"/>
        <w:rPr>
          <w:rFonts w:eastAsia="Calibri" w:cs="Times New Roman"/>
          <w:szCs w:val="24"/>
        </w:rPr>
      </w:pPr>
      <w:r w:rsidRPr="00ED53A0">
        <w:rPr>
          <w:rFonts w:eastAsia="Calibri" w:cs="Times New Roman"/>
          <w:szCs w:val="24"/>
        </w:rPr>
        <w:t xml:space="preserve">Data for the study were obtained from </w:t>
      </w:r>
      <w:r w:rsidR="00444BB0">
        <w:rPr>
          <w:rFonts w:eastAsia="Calibri" w:cs="Times New Roman"/>
          <w:szCs w:val="24"/>
        </w:rPr>
        <w:t>IMRD</w:t>
      </w:r>
      <w:r w:rsidRPr="00ED53A0">
        <w:rPr>
          <w:rFonts w:eastAsia="Calibri" w:cs="Times New Roman"/>
          <w:szCs w:val="24"/>
        </w:rPr>
        <w:t xml:space="preserve"> primary care database</w:t>
      </w:r>
      <w:r w:rsidR="002349B5" w:rsidRPr="002349B5">
        <w:rPr>
          <w:rFonts w:eastAsia="Calibri" w:cs="Times New Roman"/>
          <w:szCs w:val="24"/>
        </w:rPr>
        <w:t xml:space="preserve"> which contains pseudo-anonymised medical records of more than 15 million patients derived from </w:t>
      </w:r>
      <w:r w:rsidR="002349B5">
        <w:rPr>
          <w:rFonts w:eastAsia="Calibri" w:cs="Times New Roman"/>
          <w:szCs w:val="24"/>
        </w:rPr>
        <w:t>760</w:t>
      </w:r>
      <w:r w:rsidR="002349B5" w:rsidRPr="002349B5">
        <w:rPr>
          <w:rFonts w:eastAsia="Calibri" w:cs="Times New Roman"/>
          <w:szCs w:val="24"/>
        </w:rPr>
        <w:t xml:space="preserve"> general practices in the United Kingdom (UK). IMRD has been demonstrated to be representative of the UK population in terms of demographic structure and common morbidity prevalence</w:t>
      </w:r>
      <w:r w:rsidR="002349B5">
        <w:rPr>
          <w:rFonts w:eastAsia="Calibri" w:cs="Times New Roman"/>
          <w:szCs w:val="24"/>
        </w:rPr>
        <w:t xml:space="preserve"> </w:t>
      </w:r>
      <w:r w:rsidR="002349B5">
        <w:rPr>
          <w:rFonts w:eastAsia="Calibri" w:cs="Times New Roman"/>
          <w:szCs w:val="24"/>
        </w:rPr>
        <w:lastRenderedPageBreak/>
        <w:fldChar w:fldCharType="begin"/>
      </w:r>
      <w:r w:rsidR="00B44AFF">
        <w:rPr>
          <w:rFonts w:eastAsia="Calibri" w:cs="Times New Roman"/>
          <w:szCs w:val="24"/>
        </w:rPr>
        <w:instrText xml:space="preserve"> ADDIN EN.CITE &lt;EndNote&gt;&lt;Cite&gt;&lt;Author&gt;Blak&lt;/Author&gt;&lt;Year&gt;2011&lt;/Year&gt;&lt;RecNum&gt;137&lt;/RecNum&gt;&lt;DisplayText&gt;(11)&lt;/DisplayText&gt;&lt;record&gt;&lt;rec-number&gt;137&lt;/rec-number&gt;&lt;foreign-keys&gt;&lt;key app="EN" db-id="wvr0axtt1w9rr8efern5p95ofraatp209r09" timestamp="1516730378"&gt;137&lt;/key&gt;&lt;/foreign-keys&gt;&lt;ref-type name="Journal Article"&gt;17&lt;/ref-type&gt;&lt;contributors&gt;&lt;authors&gt;&lt;author&gt;Blak, B. T.&lt;/author&gt;&lt;author&gt;Thompson, M.&lt;/author&gt;&lt;author&gt;Dattani, H.&lt;/author&gt;&lt;author&gt;Bourke, A.&lt;/author&gt;&lt;/authors&gt;&lt;/contributors&gt;&lt;auth-address&gt;Cegedim Strategic Data Medical Research Ltd, London, UK.&lt;/auth-address&gt;&lt;titles&gt;&lt;title&gt;Generalisability of The Health Improvement Network (THIN) database: demographics, chronic disease prevalence and mortality rates&lt;/title&gt;&lt;secondary-title&gt;Inform Prim Care&lt;/secondary-title&gt;&lt;/titles&gt;&lt;periodical&gt;&lt;full-title&gt;Inform Prim Care&lt;/full-title&gt;&lt;/periodical&gt;&lt;pages&gt;251-5&lt;/pages&gt;&lt;volume&gt;19&lt;/volume&gt;&lt;number&gt;4&lt;/number&gt;&lt;keywords&gt;&lt;keyword&gt;Adolescent&lt;/keyword&gt;&lt;keyword&gt;Adult&lt;/keyword&gt;&lt;keyword&gt;Age Distribution&lt;/keyword&gt;&lt;keyword&gt;Aged&lt;/keyword&gt;&lt;keyword&gt;Aged, 80 and over&lt;/keyword&gt;&lt;keyword&gt;Child&lt;/keyword&gt;&lt;keyword&gt;Child, Preschool&lt;/keyword&gt;&lt;keyword&gt;Chronic Disease/*epidemiology/mortality&lt;/keyword&gt;&lt;keyword&gt;*Databases, Factual&lt;/keyword&gt;&lt;keyword&gt;Demography&lt;/keyword&gt;&lt;keyword&gt;Female&lt;/keyword&gt;&lt;keyword&gt;Humans&lt;/keyword&gt;&lt;keyword&gt;Infant&lt;/keyword&gt;&lt;keyword&gt;Infant, Newborn&lt;/keyword&gt;&lt;keyword&gt;Male&lt;/keyword&gt;&lt;keyword&gt;Middle Aged&lt;/keyword&gt;&lt;keyword&gt;Outcome Assessment (Health Care)&lt;/keyword&gt;&lt;keyword&gt;Quality Improvement/*statistics &amp;amp; numerical data&lt;/keyword&gt;&lt;keyword&gt;Sex Distribution&lt;/keyword&gt;&lt;keyword&gt;Socioeconomic Factors&lt;/keyword&gt;&lt;keyword&gt;Young Adult&lt;/keyword&gt;&lt;/keywords&gt;&lt;dates&gt;&lt;year&gt;2011&lt;/year&gt;&lt;/dates&gt;&lt;isbn&gt;1476-0320 (Print)&amp;#xD;1475-9985 (Linking)&lt;/isbn&gt;&lt;accession-num&gt;22828580&lt;/accession-num&gt;&lt;urls&gt;&lt;related-urls&gt;&lt;url&gt;https://www.ncbi.nlm.nih.gov/pubmed/22828580&lt;/url&gt;&lt;/related-urls&gt;&lt;/urls&gt;&lt;/record&gt;&lt;/Cite&gt;&lt;/EndNote&gt;</w:instrText>
      </w:r>
      <w:r w:rsidR="002349B5">
        <w:rPr>
          <w:rFonts w:eastAsia="Calibri" w:cs="Times New Roman"/>
          <w:szCs w:val="24"/>
        </w:rPr>
        <w:fldChar w:fldCharType="separate"/>
      </w:r>
      <w:r w:rsidR="00B44AFF">
        <w:rPr>
          <w:rFonts w:eastAsia="Calibri" w:cs="Times New Roman"/>
          <w:noProof/>
          <w:szCs w:val="24"/>
        </w:rPr>
        <w:t>(11)</w:t>
      </w:r>
      <w:r w:rsidR="002349B5">
        <w:rPr>
          <w:rFonts w:eastAsia="Calibri" w:cs="Times New Roman"/>
          <w:szCs w:val="24"/>
        </w:rPr>
        <w:fldChar w:fldCharType="end"/>
      </w:r>
      <w:r w:rsidR="002349B5">
        <w:rPr>
          <w:rFonts w:eastAsia="Calibri" w:cs="Times New Roman"/>
          <w:szCs w:val="24"/>
        </w:rPr>
        <w:t xml:space="preserve">. </w:t>
      </w:r>
      <w:r w:rsidR="002341F9">
        <w:rPr>
          <w:rFonts w:eastAsia="Calibri" w:cs="Times New Roman"/>
          <w:szCs w:val="24"/>
        </w:rPr>
        <w:t>I</w:t>
      </w:r>
      <w:r w:rsidR="002349B5" w:rsidRPr="002349B5">
        <w:rPr>
          <w:rFonts w:eastAsia="Calibri" w:cs="Times New Roman"/>
          <w:szCs w:val="24"/>
        </w:rPr>
        <w:t>nformation relating to symptoms,</w:t>
      </w:r>
      <w:r w:rsidR="002349B5">
        <w:rPr>
          <w:rFonts w:eastAsia="Calibri" w:cs="Times New Roman"/>
          <w:szCs w:val="24"/>
        </w:rPr>
        <w:t xml:space="preserve"> </w:t>
      </w:r>
      <w:r w:rsidR="002349B5" w:rsidRPr="002349B5">
        <w:rPr>
          <w:rFonts w:eastAsia="Calibri" w:cs="Times New Roman"/>
          <w:szCs w:val="24"/>
        </w:rPr>
        <w:t>investigations and diagnoses are recorded within IMRD as Read codes, a clinical hierarchy coding system</w:t>
      </w:r>
      <w:r w:rsidR="002349B5">
        <w:rPr>
          <w:rFonts w:eastAsia="Calibri" w:cs="Times New Roman"/>
          <w:szCs w:val="24"/>
        </w:rPr>
        <w:t xml:space="preserve"> </w:t>
      </w:r>
      <w:r w:rsidR="002349B5">
        <w:rPr>
          <w:rFonts w:eastAsia="Calibri" w:cs="Times New Roman"/>
          <w:szCs w:val="24"/>
        </w:rPr>
        <w:fldChar w:fldCharType="begin"/>
      </w:r>
      <w:r w:rsidR="00B44AFF">
        <w:rPr>
          <w:rFonts w:eastAsia="Calibri" w:cs="Times New Roman"/>
          <w:szCs w:val="24"/>
        </w:rPr>
        <w:instrText xml:space="preserve"> ADDIN EN.CITE &lt;EndNote&gt;&lt;Cite&gt;&lt;Author&gt;Booth&lt;/Author&gt;&lt;Year&gt;1994&lt;/Year&gt;&lt;RecNum&gt;371&lt;/RecNum&gt;&lt;DisplayText&gt;(12)&lt;/DisplayText&gt;&lt;record&gt;&lt;rec-number&gt;371&lt;/rec-number&gt;&lt;foreign-keys&gt;&lt;key app="EN" db-id="wvr0axtt1w9rr8efern5p95ofraatp209r09" timestamp="1611327950"&gt;371&lt;/key&gt;&lt;/foreign-keys&gt;&lt;ref-type name="Journal Article"&gt;17&lt;/ref-type&gt;&lt;contributors&gt;&lt;authors&gt;&lt;author&gt;Booth, N.&lt;/author&gt;&lt;/authors&gt;&lt;/contributors&gt;&lt;auth-address&gt;Centre for Coding and Classification, Loughborough, England.&lt;/auth-address&gt;&lt;titles&gt;&lt;title&gt;What are the Read Codes?&lt;/title&gt;&lt;secondary-title&gt;Health Libr Rev&lt;/secondary-title&gt;&lt;/titles&gt;&lt;periodical&gt;&lt;full-title&gt;Health Libr Rev&lt;/full-title&gt;&lt;/periodical&gt;&lt;pages&gt;177-82&lt;/pages&gt;&lt;volume&gt;11&lt;/volume&gt;&lt;number&gt;3&lt;/number&gt;&lt;edition&gt;1994/08/06&lt;/edition&gt;&lt;keywords&gt;&lt;keyword&gt;Abstracting and Indexing/*classification&lt;/keyword&gt;&lt;keyword&gt;Copyright&lt;/keyword&gt;&lt;keyword&gt;Disease/classification&lt;/keyword&gt;&lt;keyword&gt;Family Practice/*organization &amp;amp; administration&lt;/keyword&gt;&lt;keyword&gt;Humans&lt;/keyword&gt;&lt;keyword&gt;Medical Records Systems, Computerized/*classification&lt;/keyword&gt;&lt;keyword&gt;Reference Books&lt;/keyword&gt;&lt;keyword&gt;Software/standards&lt;/keyword&gt;&lt;keyword&gt;State Medicine/organization &amp;amp; administration/trends&lt;/keyword&gt;&lt;keyword&gt;United Kingdom&lt;/keyword&gt;&lt;/keywords&gt;&lt;dates&gt;&lt;year&gt;1994&lt;/year&gt;&lt;pub-dates&gt;&lt;date&gt;Sep&lt;/date&gt;&lt;/pub-dates&gt;&lt;/dates&gt;&lt;isbn&gt;0265-6647 (Print)&amp;#xD;0265-6647 (Linking)&lt;/isbn&gt;&lt;accession-num&gt;10139676&lt;/accession-num&gt;&lt;urls&gt;&lt;related-urls&gt;&lt;url&gt;https://www.ncbi.nlm.nih.gov/pubmed/10139676&lt;/url&gt;&lt;/related-urls&gt;&lt;/urls&gt;&lt;electronic-resource-num&gt;10.1046/j.1365-2532.1994.1130177.x&lt;/electronic-resource-num&gt;&lt;/record&gt;&lt;/Cite&gt;&lt;/EndNote&gt;</w:instrText>
      </w:r>
      <w:r w:rsidR="002349B5">
        <w:rPr>
          <w:rFonts w:eastAsia="Calibri" w:cs="Times New Roman"/>
          <w:szCs w:val="24"/>
        </w:rPr>
        <w:fldChar w:fldCharType="separate"/>
      </w:r>
      <w:r w:rsidR="00B44AFF">
        <w:rPr>
          <w:rFonts w:eastAsia="Calibri" w:cs="Times New Roman"/>
          <w:noProof/>
          <w:szCs w:val="24"/>
        </w:rPr>
        <w:t>(12)</w:t>
      </w:r>
      <w:r w:rsidR="002349B5">
        <w:rPr>
          <w:rFonts w:eastAsia="Calibri" w:cs="Times New Roman"/>
          <w:szCs w:val="24"/>
        </w:rPr>
        <w:fldChar w:fldCharType="end"/>
      </w:r>
      <w:r w:rsidR="002349B5">
        <w:rPr>
          <w:rFonts w:eastAsia="Calibri" w:cs="Times New Roman"/>
          <w:szCs w:val="24"/>
        </w:rPr>
        <w:t xml:space="preserve">. </w:t>
      </w:r>
      <w:r w:rsidR="00EC6D8E" w:rsidRPr="00EC6D8E">
        <w:rPr>
          <w:rFonts w:eastAsia="Calibri" w:cs="Times New Roman"/>
          <w:szCs w:val="24"/>
        </w:rPr>
        <w:t xml:space="preserve">To reduce under-recording of events and improve data quality, general practices were included </w:t>
      </w:r>
      <w:r w:rsidR="005815F3">
        <w:rPr>
          <w:rFonts w:eastAsia="Calibri" w:cs="Times New Roman"/>
          <w:szCs w:val="24"/>
        </w:rPr>
        <w:t xml:space="preserve">in our analysis </w:t>
      </w:r>
      <w:r w:rsidR="00EC6D8E" w:rsidRPr="00EC6D8E">
        <w:rPr>
          <w:rFonts w:eastAsia="Calibri" w:cs="Times New Roman"/>
          <w:szCs w:val="24"/>
        </w:rPr>
        <w:t>12 months after their instalment of electronic medical records</w:t>
      </w:r>
      <w:r w:rsidR="003778CF">
        <w:rPr>
          <w:rFonts w:eastAsia="Calibri" w:cs="Times New Roman"/>
          <w:szCs w:val="24"/>
        </w:rPr>
        <w:t xml:space="preserve"> system</w:t>
      </w:r>
      <w:r w:rsidR="007B4C4A">
        <w:rPr>
          <w:rFonts w:eastAsia="Calibri" w:cs="Times New Roman"/>
          <w:szCs w:val="24"/>
        </w:rPr>
        <w:t xml:space="preserve"> in the practice</w:t>
      </w:r>
      <w:r w:rsidR="00EC6D8E" w:rsidRPr="00EC6D8E">
        <w:rPr>
          <w:rFonts w:eastAsia="Calibri" w:cs="Times New Roman"/>
          <w:szCs w:val="24"/>
        </w:rPr>
        <w:t xml:space="preserve"> </w:t>
      </w:r>
      <w:r w:rsidR="00EC6D8E">
        <w:rPr>
          <w:rFonts w:eastAsia="Calibri" w:cs="Times New Roman"/>
          <w:szCs w:val="24"/>
        </w:rPr>
        <w:fldChar w:fldCharType="begin"/>
      </w:r>
      <w:r w:rsidR="00B44AFF">
        <w:rPr>
          <w:rFonts w:eastAsia="Calibri" w:cs="Times New Roman"/>
          <w:szCs w:val="24"/>
        </w:rPr>
        <w:instrText xml:space="preserve"> ADDIN EN.CITE &lt;EndNote&gt;&lt;Cite&gt;&lt;Author&gt;Horsfall&lt;/Author&gt;&lt;Year&gt;2013&lt;/Year&gt;&lt;RecNum&gt;143&lt;/RecNum&gt;&lt;DisplayText&gt;(13)&lt;/DisplayText&gt;&lt;record&gt;&lt;rec-number&gt;143&lt;/rec-number&gt;&lt;foreign-keys&gt;&lt;key app="EN" db-id="wvr0axtt1w9rr8efern5p95ofraatp209r09" timestamp="1519654962"&gt;143&lt;/key&gt;&lt;/foreign-keys&gt;&lt;ref-type name="Journal Article"&gt;17&lt;/ref-type&gt;&lt;contributors&gt;&lt;authors&gt;&lt;author&gt;Horsfall, L.&lt;/author&gt;&lt;author&gt;Walters, K.&lt;/author&gt;&lt;author&gt;Petersen, I.&lt;/author&gt;&lt;/authors&gt;&lt;/contributors&gt;&lt;auth-address&gt;Research Department of Primary Care and Population Health, University College London, United Kingdom. laura.horsfall@ucl.ac.uk&lt;/auth-address&gt;&lt;titles&gt;&lt;title&gt;Identifying periods of acceptable computer usage in primary care research databases&lt;/title&gt;&lt;secondary-title&gt;Pharmacoepidemiol Drug Saf&lt;/secondary-title&gt;&lt;/titles&gt;&lt;periodical&gt;&lt;full-title&gt;Pharmacoepidemiol Drug Saf&lt;/full-title&gt;&lt;/periodical&gt;&lt;pages&gt;64-9&lt;/pages&gt;&lt;volume&gt;22&lt;/volume&gt;&lt;number&gt;1&lt;/number&gt;&lt;edition&gt;2012/11/06&lt;/edition&gt;&lt;keywords&gt;&lt;keyword&gt;Databases, Factual/*statistics &amp;amp; numerical data&lt;/keyword&gt;&lt;keyword&gt;Electronic Health Records/*statistics &amp;amp; numerical data&lt;/keyword&gt;&lt;keyword&gt;Humans&lt;/keyword&gt;&lt;keyword&gt;Incidence&lt;/keyword&gt;&lt;keyword&gt;Medical Records Systems, Computerized/statistics &amp;amp; numerical data&lt;/keyword&gt;&lt;keyword&gt;Outcome Assessment (Health Care)&lt;/keyword&gt;&lt;keyword&gt;Pharmacoepidemiology/methods&lt;/keyword&gt;&lt;keyword&gt;Practice Patterns, Physicians&amp;apos;/*trends&lt;/keyword&gt;&lt;keyword&gt;Primary Health Care/methods/*statistics &amp;amp; numerical data&lt;/keyword&gt;&lt;keyword&gt;Time Factors&lt;/keyword&gt;&lt;keyword&gt;United Kingdom&lt;/keyword&gt;&lt;/keywords&gt;&lt;dates&gt;&lt;year&gt;2013&lt;/year&gt;&lt;pub-dates&gt;&lt;date&gt;Jan&lt;/date&gt;&lt;/pub-dates&gt;&lt;/dates&gt;&lt;isbn&gt;1099-1557 (Electronic)&amp;#xD;1053-8569 (Linking)&lt;/isbn&gt;&lt;accession-num&gt;23124958&lt;/accession-num&gt;&lt;urls&gt;&lt;related-urls&gt;&lt;url&gt;https://www.ncbi.nlm.nih.gov/pubmed/23124958&lt;/url&gt;&lt;/related-urls&gt;&lt;/urls&gt;&lt;electronic-resource-num&gt;10.1002/pds.3368&lt;/electronic-resource-num&gt;&lt;/record&gt;&lt;/Cite&gt;&lt;/EndNote&gt;</w:instrText>
      </w:r>
      <w:r w:rsidR="00EC6D8E">
        <w:rPr>
          <w:rFonts w:eastAsia="Calibri" w:cs="Times New Roman"/>
          <w:szCs w:val="24"/>
        </w:rPr>
        <w:fldChar w:fldCharType="separate"/>
      </w:r>
      <w:r w:rsidR="00B44AFF">
        <w:rPr>
          <w:rFonts w:eastAsia="Calibri" w:cs="Times New Roman"/>
          <w:noProof/>
          <w:szCs w:val="24"/>
        </w:rPr>
        <w:t>(13)</w:t>
      </w:r>
      <w:r w:rsidR="00EC6D8E">
        <w:rPr>
          <w:rFonts w:eastAsia="Calibri" w:cs="Times New Roman"/>
          <w:szCs w:val="24"/>
        </w:rPr>
        <w:fldChar w:fldCharType="end"/>
      </w:r>
      <w:r w:rsidR="00EC6D8E" w:rsidRPr="00EC6D8E">
        <w:rPr>
          <w:rFonts w:eastAsia="Calibri" w:cs="Times New Roman"/>
          <w:szCs w:val="24"/>
        </w:rPr>
        <w:t>.</w:t>
      </w:r>
      <w:r w:rsidR="00594907">
        <w:rPr>
          <w:rFonts w:eastAsia="Calibri" w:cs="Times New Roman"/>
          <w:szCs w:val="24"/>
        </w:rPr>
        <w:t xml:space="preserve"> </w:t>
      </w:r>
      <w:r w:rsidRPr="00ED53A0">
        <w:rPr>
          <w:rFonts w:eastAsia="Calibri" w:cs="Times New Roman"/>
          <w:szCs w:val="24"/>
        </w:rPr>
        <w:t xml:space="preserve">A retrospective, matched case-control </w:t>
      </w:r>
      <w:r w:rsidR="00594907">
        <w:rPr>
          <w:rFonts w:eastAsia="Calibri" w:cs="Times New Roman"/>
          <w:szCs w:val="24"/>
        </w:rPr>
        <w:t>design was used</w:t>
      </w:r>
      <w:r w:rsidRPr="00ED53A0">
        <w:rPr>
          <w:rFonts w:eastAsia="Calibri" w:cs="Times New Roman"/>
          <w:szCs w:val="24"/>
        </w:rPr>
        <w:t xml:space="preserve"> to isolate resource use and costs associated with back pain</w:t>
      </w:r>
      <w:r w:rsidR="00444BB0">
        <w:rPr>
          <w:rFonts w:eastAsia="Calibri" w:cs="Times New Roman"/>
          <w:szCs w:val="24"/>
        </w:rPr>
        <w:t xml:space="preserve"> in 2015</w:t>
      </w:r>
      <w:r w:rsidR="001C322B">
        <w:rPr>
          <w:rFonts w:eastAsia="Calibri" w:cs="Times New Roman"/>
          <w:szCs w:val="24"/>
        </w:rPr>
        <w:t xml:space="preserve"> as that was the year with the most complete recent data available at the time of extraction</w:t>
      </w:r>
      <w:r w:rsidRPr="00ED53A0">
        <w:rPr>
          <w:rFonts w:eastAsia="Calibri" w:cs="Times New Roman"/>
          <w:szCs w:val="24"/>
        </w:rPr>
        <w:t xml:space="preserve">. </w:t>
      </w:r>
      <w:r w:rsidR="003D6F80" w:rsidRPr="003D6F80">
        <w:rPr>
          <w:rFonts w:eastAsia="Calibri" w:cs="Times New Roman"/>
          <w:szCs w:val="24"/>
        </w:rPr>
        <w:t xml:space="preserve">The healthcare costs </w:t>
      </w:r>
      <w:r w:rsidR="001C322B">
        <w:rPr>
          <w:rFonts w:eastAsia="Calibri" w:cs="Times New Roman"/>
          <w:szCs w:val="24"/>
        </w:rPr>
        <w:t xml:space="preserve">of </w:t>
      </w:r>
      <w:r w:rsidR="003D6F80" w:rsidRPr="003D6F80">
        <w:rPr>
          <w:rFonts w:eastAsia="Calibri" w:cs="Times New Roman"/>
          <w:szCs w:val="24"/>
        </w:rPr>
        <w:t>consultations and prescription drugs</w:t>
      </w:r>
      <w:r w:rsidR="001C322B">
        <w:rPr>
          <w:rFonts w:eastAsia="Calibri" w:cs="Times New Roman"/>
          <w:szCs w:val="24"/>
        </w:rPr>
        <w:t xml:space="preserve"> for </w:t>
      </w:r>
      <w:r w:rsidR="003D6F80">
        <w:rPr>
          <w:rFonts w:eastAsia="Calibri" w:cs="Times New Roman"/>
          <w:szCs w:val="24"/>
        </w:rPr>
        <w:t>patients with back pain</w:t>
      </w:r>
      <w:r w:rsidR="003D6F80" w:rsidRPr="003D6F80">
        <w:rPr>
          <w:rFonts w:eastAsia="Calibri" w:cs="Times New Roman"/>
          <w:szCs w:val="24"/>
        </w:rPr>
        <w:t xml:space="preserve"> </w:t>
      </w:r>
      <w:r w:rsidR="003D6F80">
        <w:rPr>
          <w:rFonts w:eastAsia="Calibri" w:cs="Times New Roman"/>
          <w:szCs w:val="24"/>
        </w:rPr>
        <w:t>(</w:t>
      </w:r>
      <w:r w:rsidR="003D6F80" w:rsidRPr="003D6F80">
        <w:rPr>
          <w:rFonts w:eastAsia="Calibri" w:cs="Times New Roman"/>
          <w:szCs w:val="24"/>
        </w:rPr>
        <w:t>cases</w:t>
      </w:r>
      <w:r w:rsidR="003D6F80">
        <w:rPr>
          <w:rFonts w:eastAsia="Calibri" w:cs="Times New Roman"/>
          <w:szCs w:val="24"/>
        </w:rPr>
        <w:t>)</w:t>
      </w:r>
      <w:r w:rsidR="003D6F80" w:rsidRPr="003D6F80">
        <w:rPr>
          <w:rFonts w:eastAsia="Calibri" w:cs="Times New Roman"/>
          <w:szCs w:val="24"/>
        </w:rPr>
        <w:t xml:space="preserve"> and </w:t>
      </w:r>
      <w:r w:rsidR="003D6F80">
        <w:rPr>
          <w:rFonts w:eastAsia="Calibri" w:cs="Times New Roman"/>
          <w:szCs w:val="24"/>
        </w:rPr>
        <w:t>those without back pain (</w:t>
      </w:r>
      <w:r w:rsidR="003D6F80" w:rsidRPr="003D6F80">
        <w:rPr>
          <w:rFonts w:eastAsia="Calibri" w:cs="Times New Roman"/>
          <w:szCs w:val="24"/>
        </w:rPr>
        <w:t>controls</w:t>
      </w:r>
      <w:r w:rsidR="003D6F80">
        <w:rPr>
          <w:rFonts w:eastAsia="Calibri" w:cs="Times New Roman"/>
          <w:szCs w:val="24"/>
        </w:rPr>
        <w:t>)</w:t>
      </w:r>
      <w:r w:rsidR="003D6F80" w:rsidRPr="003D6F80">
        <w:rPr>
          <w:rFonts w:eastAsia="Calibri" w:cs="Times New Roman"/>
          <w:szCs w:val="24"/>
        </w:rPr>
        <w:t xml:space="preserve"> were compared to obtain the incremental costs associated with back pain</w:t>
      </w:r>
      <w:r w:rsidR="003D6F80">
        <w:rPr>
          <w:rFonts w:eastAsia="Calibri" w:cs="Times New Roman"/>
          <w:szCs w:val="24"/>
        </w:rPr>
        <w:t>.</w:t>
      </w:r>
      <w:r w:rsidR="00D0102E">
        <w:rPr>
          <w:rFonts w:eastAsia="Calibri" w:cs="Times New Roman"/>
          <w:szCs w:val="24"/>
        </w:rPr>
        <w:t xml:space="preserve"> </w:t>
      </w:r>
    </w:p>
    <w:p w14:paraId="0A7353F3" w14:textId="77777777" w:rsidR="00A970B0" w:rsidRPr="00ED53A0" w:rsidRDefault="007D1FF2" w:rsidP="00F7099B">
      <w:pPr>
        <w:pStyle w:val="Heading2"/>
        <w:rPr>
          <w:rFonts w:eastAsia="Calibri"/>
          <w:b w:val="0"/>
        </w:rPr>
      </w:pPr>
      <w:r>
        <w:rPr>
          <w:rFonts w:eastAsia="Calibri"/>
        </w:rPr>
        <w:t>S</w:t>
      </w:r>
      <w:r w:rsidR="00AE409E">
        <w:rPr>
          <w:rFonts w:eastAsia="Calibri"/>
        </w:rPr>
        <w:t>tudy s</w:t>
      </w:r>
      <w:r>
        <w:rPr>
          <w:rFonts w:eastAsia="Calibri"/>
        </w:rPr>
        <w:t>ample selection</w:t>
      </w:r>
    </w:p>
    <w:p w14:paraId="05683FA9" w14:textId="06512041" w:rsidR="00CC105C" w:rsidRPr="00ED53A0" w:rsidRDefault="004F65A4" w:rsidP="00A970B0">
      <w:pPr>
        <w:spacing w:before="120" w:after="240" w:line="480" w:lineRule="auto"/>
        <w:rPr>
          <w:rFonts w:eastAsia="Calibri" w:cs="Times New Roman"/>
          <w:szCs w:val="24"/>
        </w:rPr>
      </w:pPr>
      <w:r w:rsidRPr="00ED53A0">
        <w:rPr>
          <w:rFonts w:eastAsia="Calibri" w:cs="Times New Roman"/>
          <w:szCs w:val="24"/>
        </w:rPr>
        <w:t xml:space="preserve">Patients </w:t>
      </w:r>
      <w:r w:rsidR="00BC1136">
        <w:rPr>
          <w:rFonts w:eastAsia="Calibri" w:cs="Times New Roman"/>
          <w:szCs w:val="24"/>
        </w:rPr>
        <w:t xml:space="preserve">aged 18 years or older </w:t>
      </w:r>
      <w:r w:rsidRPr="00ED53A0">
        <w:rPr>
          <w:rFonts w:eastAsia="Calibri" w:cs="Times New Roman"/>
          <w:szCs w:val="24"/>
        </w:rPr>
        <w:t>who had the</w:t>
      </w:r>
      <w:r w:rsidR="003D6F80">
        <w:rPr>
          <w:rFonts w:eastAsia="Calibri" w:cs="Times New Roman"/>
          <w:szCs w:val="24"/>
        </w:rPr>
        <w:t>ir</w:t>
      </w:r>
      <w:r w:rsidRPr="00ED53A0">
        <w:rPr>
          <w:rFonts w:eastAsia="Calibri" w:cs="Times New Roman"/>
          <w:szCs w:val="24"/>
        </w:rPr>
        <w:t xml:space="preserve"> first diagnosis of back pain </w:t>
      </w:r>
      <w:r w:rsidR="007B52E1" w:rsidRPr="007B52E1">
        <w:rPr>
          <w:rFonts w:eastAsia="Calibri" w:cs="Times New Roman"/>
          <w:szCs w:val="24"/>
        </w:rPr>
        <w:t>(</w:t>
      </w:r>
      <w:r w:rsidR="00D163C5" w:rsidRPr="00D163C5">
        <w:rPr>
          <w:rFonts w:eastAsia="Calibri" w:cs="Times New Roman"/>
          <w:szCs w:val="24"/>
        </w:rPr>
        <w:t xml:space="preserve">Supplementary </w:t>
      </w:r>
      <w:r w:rsidR="00E14029" w:rsidRPr="00E14029">
        <w:rPr>
          <w:rFonts w:eastAsia="Calibri" w:cs="Times New Roman"/>
          <w:szCs w:val="24"/>
        </w:rPr>
        <w:t>file 1</w:t>
      </w:r>
      <w:r w:rsidR="007B52E1" w:rsidRPr="007B52E1">
        <w:rPr>
          <w:rFonts w:eastAsia="Calibri" w:cs="Times New Roman"/>
          <w:szCs w:val="24"/>
        </w:rPr>
        <w:t xml:space="preserve">) </w:t>
      </w:r>
      <w:r w:rsidRPr="00ED53A0">
        <w:rPr>
          <w:rFonts w:eastAsia="Calibri" w:cs="Times New Roman"/>
          <w:szCs w:val="24"/>
        </w:rPr>
        <w:t xml:space="preserve">in the 10-year observation period </w:t>
      </w:r>
      <w:r>
        <w:rPr>
          <w:rFonts w:eastAsia="Calibri" w:cs="Times New Roman"/>
          <w:szCs w:val="24"/>
        </w:rPr>
        <w:t>(</w:t>
      </w:r>
      <w:r w:rsidRPr="00444BB0">
        <w:rPr>
          <w:rFonts w:eastAsia="Calibri" w:cs="Times New Roman"/>
          <w:szCs w:val="24"/>
        </w:rPr>
        <w:t>01 January 2006 until 31 December 2015</w:t>
      </w:r>
      <w:r>
        <w:rPr>
          <w:rFonts w:eastAsia="Calibri" w:cs="Times New Roman"/>
          <w:szCs w:val="24"/>
        </w:rPr>
        <w:t xml:space="preserve">) </w:t>
      </w:r>
      <w:r w:rsidRPr="00ED53A0">
        <w:rPr>
          <w:rFonts w:eastAsia="Calibri" w:cs="Times New Roman"/>
          <w:szCs w:val="24"/>
        </w:rPr>
        <w:t xml:space="preserve">were </w:t>
      </w:r>
      <w:r w:rsidR="00BC1136">
        <w:rPr>
          <w:rFonts w:eastAsia="Calibri" w:cs="Times New Roman"/>
          <w:szCs w:val="24"/>
        </w:rPr>
        <w:t>included</w:t>
      </w:r>
      <w:r w:rsidR="00A73458">
        <w:rPr>
          <w:rFonts w:eastAsia="Calibri" w:cs="Times New Roman"/>
          <w:szCs w:val="24"/>
        </w:rPr>
        <w:t xml:space="preserve"> in the cohort</w:t>
      </w:r>
      <w:r w:rsidR="00BC1136">
        <w:rPr>
          <w:rFonts w:eastAsia="Calibri" w:cs="Times New Roman"/>
          <w:szCs w:val="24"/>
        </w:rPr>
        <w:t>. If patients had multiple diagnoses of back pain in their records, we used the first date</w:t>
      </w:r>
      <w:r w:rsidR="003974B8">
        <w:rPr>
          <w:rFonts w:eastAsia="Calibri" w:cs="Times New Roman"/>
          <w:szCs w:val="24"/>
        </w:rPr>
        <w:t>;</w:t>
      </w:r>
      <w:r w:rsidR="00BC1136">
        <w:rPr>
          <w:rFonts w:eastAsia="Calibri" w:cs="Times New Roman"/>
          <w:szCs w:val="24"/>
        </w:rPr>
        <w:t xml:space="preserve"> and this is referred to as the index date.</w:t>
      </w:r>
      <w:r w:rsidR="00D434AA">
        <w:rPr>
          <w:rFonts w:eastAsia="Calibri" w:cs="Times New Roman"/>
          <w:szCs w:val="24"/>
        </w:rPr>
        <w:t xml:space="preserve"> </w:t>
      </w:r>
      <w:r w:rsidR="00850D53">
        <w:rPr>
          <w:rFonts w:eastAsia="Calibri" w:cs="Times New Roman"/>
          <w:szCs w:val="24"/>
        </w:rPr>
        <w:t xml:space="preserve">The same index date was assigned to the matched controls. </w:t>
      </w:r>
      <w:r w:rsidR="001D4D79">
        <w:rPr>
          <w:rFonts w:eastAsia="Calibri" w:cs="Times New Roman"/>
          <w:szCs w:val="24"/>
        </w:rPr>
        <w:t>Patients</w:t>
      </w:r>
      <w:r w:rsidR="00D434AA">
        <w:rPr>
          <w:rFonts w:eastAsia="Calibri" w:cs="Times New Roman"/>
          <w:szCs w:val="24"/>
        </w:rPr>
        <w:t xml:space="preserve"> were followed up from this date until they died, left the database, or their most recent data upload. </w:t>
      </w:r>
      <w:r w:rsidR="00A970B0" w:rsidRPr="00ED53A0">
        <w:rPr>
          <w:rFonts w:eastAsia="Calibri" w:cs="Times New Roman"/>
          <w:szCs w:val="24"/>
        </w:rPr>
        <w:t xml:space="preserve">Cases were </w:t>
      </w:r>
      <w:r w:rsidR="00AE409E">
        <w:rPr>
          <w:rFonts w:eastAsia="Calibri" w:cs="Times New Roman"/>
          <w:szCs w:val="24"/>
        </w:rPr>
        <w:t xml:space="preserve">also </w:t>
      </w:r>
      <w:r w:rsidR="00A970B0" w:rsidRPr="00ED53A0">
        <w:rPr>
          <w:rFonts w:eastAsia="Calibri" w:cs="Times New Roman"/>
          <w:szCs w:val="24"/>
        </w:rPr>
        <w:t>required to have at least one prescription drug for pain (</w:t>
      </w:r>
      <w:r w:rsidR="007B0D91" w:rsidRPr="007B0D91">
        <w:rPr>
          <w:rFonts w:eastAsia="Calibri" w:cs="Times New Roman"/>
          <w:szCs w:val="24"/>
        </w:rPr>
        <w:t xml:space="preserve">Supplementary </w:t>
      </w:r>
      <w:r w:rsidR="000F04B6" w:rsidRPr="000F04B6">
        <w:rPr>
          <w:rFonts w:eastAsia="Calibri" w:cs="Times New Roman"/>
          <w:szCs w:val="24"/>
        </w:rPr>
        <w:t>file 2</w:t>
      </w:r>
      <w:r w:rsidR="00A970B0" w:rsidRPr="00ED53A0">
        <w:rPr>
          <w:rFonts w:eastAsia="Calibri" w:cs="Times New Roman"/>
          <w:szCs w:val="24"/>
        </w:rPr>
        <w:t xml:space="preserve">) </w:t>
      </w:r>
      <w:r w:rsidR="00412701" w:rsidRPr="00412701">
        <w:rPr>
          <w:rFonts w:eastAsia="Calibri" w:cs="Times New Roman"/>
          <w:color w:val="FF0000"/>
          <w:szCs w:val="24"/>
        </w:rPr>
        <w:t>in the same index year as the back pain diagnosis</w:t>
      </w:r>
      <w:r w:rsidR="00412701" w:rsidRPr="00412701">
        <w:rPr>
          <w:rFonts w:eastAsia="Calibri" w:cs="Times New Roman"/>
          <w:szCs w:val="24"/>
        </w:rPr>
        <w:t xml:space="preserve"> </w:t>
      </w:r>
      <w:r w:rsidR="00903A6E">
        <w:rPr>
          <w:rFonts w:eastAsia="Calibri" w:cs="Times New Roman"/>
          <w:szCs w:val="24"/>
        </w:rPr>
        <w:t>to ascertain their back-pain status.</w:t>
      </w:r>
      <w:r w:rsidR="00A23FDD">
        <w:rPr>
          <w:rFonts w:eastAsia="Calibri" w:cs="Times New Roman"/>
          <w:szCs w:val="24"/>
        </w:rPr>
        <w:t xml:space="preserve"> </w:t>
      </w:r>
      <w:r w:rsidR="00903A6E">
        <w:rPr>
          <w:rFonts w:eastAsia="Calibri" w:cs="Times New Roman"/>
          <w:szCs w:val="24"/>
        </w:rPr>
        <w:t>For each</w:t>
      </w:r>
      <w:r w:rsidR="00106649">
        <w:rPr>
          <w:rFonts w:eastAsia="Calibri" w:cs="Times New Roman"/>
          <w:szCs w:val="24"/>
        </w:rPr>
        <w:t xml:space="preserve">, a propensity-score matched control </w:t>
      </w:r>
      <w:r w:rsidR="00322476">
        <w:rPr>
          <w:rFonts w:eastAsia="Calibri" w:cs="Times New Roman"/>
          <w:szCs w:val="24"/>
        </w:rPr>
        <w:t>w</w:t>
      </w:r>
      <w:r w:rsidR="00106649">
        <w:rPr>
          <w:rFonts w:eastAsia="Calibri" w:cs="Times New Roman"/>
          <w:szCs w:val="24"/>
        </w:rPr>
        <w:t xml:space="preserve">as selected based on age, sex, general practice, Townsend deprivation quintiles, body mass index (BMI) categories, smoking status, and Charlson comorbidity index (CCI). </w:t>
      </w:r>
      <w:r w:rsidR="00F21D13" w:rsidRPr="00F21D13">
        <w:rPr>
          <w:rFonts w:eastAsia="Calibri" w:cs="Times New Roman"/>
          <w:szCs w:val="24"/>
        </w:rPr>
        <w:t>The matching method adjusted for any differences in average outcomes for differences in patients’ characteristics (confounding variables)</w:t>
      </w:r>
      <w:r w:rsidR="00A970B0" w:rsidRPr="00ED53A0">
        <w:rPr>
          <w:rFonts w:eastAsia="Calibri" w:cs="Times New Roman"/>
          <w:szCs w:val="24"/>
        </w:rPr>
        <w:t xml:space="preserve"> </w:t>
      </w:r>
      <w:r w:rsidR="00A970B0" w:rsidRPr="00ED53A0">
        <w:rPr>
          <w:rFonts w:eastAsia="Calibri" w:cs="Times New Roman"/>
          <w:szCs w:val="24"/>
        </w:rPr>
        <w:fldChar w:fldCharType="begin">
          <w:fldData xml:space="preserve">PEVuZE5vdGU+PENpdGU+PEF1dGhvcj5CZWNrZXI8L0F1dGhvcj48WWVhcj4yMDAyPC9ZZWFyPjxS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PEVuZE5vdGU+PENpdGU+PEF1dGhvcj5CZWNrZXI8L0F1dGhvcj48WWVhcj4yMDAyPC9ZZWFyPjxS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A970B0" w:rsidRPr="00ED53A0">
        <w:rPr>
          <w:rFonts w:eastAsia="Calibri" w:cs="Times New Roman"/>
          <w:szCs w:val="24"/>
        </w:rPr>
      </w:r>
      <w:r w:rsidR="00A970B0" w:rsidRPr="00ED53A0">
        <w:rPr>
          <w:rFonts w:eastAsia="Calibri" w:cs="Times New Roman"/>
          <w:szCs w:val="24"/>
        </w:rPr>
        <w:fldChar w:fldCharType="separate"/>
      </w:r>
      <w:r w:rsidR="00B44AFF">
        <w:rPr>
          <w:rFonts w:eastAsia="Calibri" w:cs="Times New Roman"/>
          <w:noProof/>
          <w:szCs w:val="24"/>
        </w:rPr>
        <w:t>(14, 15)</w:t>
      </w:r>
      <w:r w:rsidR="00A970B0" w:rsidRPr="00ED53A0">
        <w:rPr>
          <w:rFonts w:eastAsia="Calibri" w:cs="Times New Roman"/>
          <w:szCs w:val="24"/>
        </w:rPr>
        <w:fldChar w:fldCharType="end"/>
      </w:r>
      <w:r w:rsidR="00A970B0" w:rsidRPr="00ED53A0">
        <w:rPr>
          <w:rFonts w:eastAsia="Calibri" w:cs="Times New Roman"/>
          <w:szCs w:val="24"/>
        </w:rPr>
        <w:t xml:space="preserve">. The balancing hypothesis was that observations with the same propensity score must have the same distribution of observable (and unobservable) characteristics independently of </w:t>
      </w:r>
      <w:r w:rsidR="00B64589">
        <w:rPr>
          <w:rFonts w:eastAsia="Calibri" w:cs="Times New Roman"/>
          <w:szCs w:val="24"/>
        </w:rPr>
        <w:t>back pain</w:t>
      </w:r>
      <w:r w:rsidR="00A970B0" w:rsidRPr="00ED53A0">
        <w:rPr>
          <w:rFonts w:eastAsia="Calibri" w:cs="Times New Roman"/>
          <w:szCs w:val="24"/>
        </w:rPr>
        <w:t xml:space="preserve"> status </w:t>
      </w:r>
      <w:r w:rsidR="00A970B0" w:rsidRPr="00ED53A0">
        <w:rPr>
          <w:rFonts w:eastAsia="Calibri" w:cs="Times New Roman"/>
          <w:szCs w:val="24"/>
        </w:rPr>
        <w:fldChar w:fldCharType="begin"/>
      </w:r>
      <w:r w:rsidR="00B44AFF">
        <w:rPr>
          <w:rFonts w:eastAsia="Calibri" w:cs="Times New Roman"/>
          <w:szCs w:val="24"/>
        </w:rPr>
        <w:instrText xml:space="preserve"> ADDIN EN.CITE &lt;EndNote&gt;&lt;Cite&gt;&lt;Author&gt;Becker&lt;/Author&gt;&lt;Year&gt;2002&lt;/Year&gt;&lt;RecNum&gt;146&lt;/RecNum&gt;&lt;DisplayText&gt;(14)&lt;/DisplayText&gt;&lt;record&gt;&lt;rec-number&gt;146&lt;/rec-number&gt;&lt;foreign-keys&gt;&lt;key app="EN" db-id="wvr0axtt1w9rr8efern5p95ofraatp209r09" timestamp="1519862592"&gt;146&lt;/key&gt;&lt;/foreign-keys&gt;&lt;ref-type name="Journal Article"&gt;17&lt;/ref-type&gt;&lt;contributors&gt;&lt;authors&gt;&lt;author&gt;Becker, S.&lt;/author&gt;&lt;author&gt;Ichino, A.&lt;/author&gt;&lt;/authors&gt;&lt;/contributors&gt;&lt;titles&gt;&lt;title&gt;Estimation of average treatment effects based on propensity scores&lt;/title&gt;&lt;secondary-title&gt;The Stata Journal&lt;/secondary-title&gt;&lt;/titles&gt;&lt;periodical&gt;&lt;full-title&gt;The Stata Journal&lt;/full-title&gt;&lt;/periodical&gt;&lt;pages&gt;358-377&lt;/pages&gt;&lt;volume&gt;4&lt;/volume&gt;&lt;number&gt;2&lt;/number&gt;&lt;dates&gt;&lt;year&gt;2002&lt;/year&gt;&lt;/dates&gt;&lt;urls&gt;&lt;/urls&gt;&lt;/record&gt;&lt;/Cite&gt;&lt;/EndNote&gt;</w:instrText>
      </w:r>
      <w:r w:rsidR="00A970B0" w:rsidRPr="00ED53A0">
        <w:rPr>
          <w:rFonts w:eastAsia="Calibri" w:cs="Times New Roman"/>
          <w:szCs w:val="24"/>
        </w:rPr>
        <w:fldChar w:fldCharType="separate"/>
      </w:r>
      <w:r w:rsidR="00B44AFF">
        <w:rPr>
          <w:rFonts w:eastAsia="Calibri" w:cs="Times New Roman"/>
          <w:noProof/>
          <w:szCs w:val="24"/>
        </w:rPr>
        <w:t>(14)</w:t>
      </w:r>
      <w:r w:rsidR="00A970B0" w:rsidRPr="00ED53A0">
        <w:rPr>
          <w:rFonts w:eastAsia="Calibri" w:cs="Times New Roman"/>
          <w:szCs w:val="24"/>
        </w:rPr>
        <w:fldChar w:fldCharType="end"/>
      </w:r>
      <w:r w:rsidR="003D6F80" w:rsidRPr="003D6F80">
        <w:rPr>
          <w:rFonts w:eastAsia="Calibri" w:cs="Times New Roman"/>
          <w:szCs w:val="24"/>
        </w:rPr>
        <w:t>.</w:t>
      </w:r>
      <w:r w:rsidR="00B64589">
        <w:rPr>
          <w:rFonts w:eastAsia="Calibri" w:cs="Times New Roman"/>
          <w:szCs w:val="24"/>
        </w:rPr>
        <w:t xml:space="preserve"> </w:t>
      </w:r>
      <w:r w:rsidR="00A970B0" w:rsidRPr="00ED53A0">
        <w:rPr>
          <w:rFonts w:eastAsia="Calibri" w:cs="Times New Roman"/>
          <w:szCs w:val="24"/>
        </w:rPr>
        <w:t xml:space="preserve">Quality of </w:t>
      </w:r>
      <w:r w:rsidR="00A970B0" w:rsidRPr="00ED53A0">
        <w:rPr>
          <w:rFonts w:eastAsia="Calibri" w:cs="Times New Roman"/>
          <w:szCs w:val="24"/>
        </w:rPr>
        <w:lastRenderedPageBreak/>
        <w:t>matching for both cohorts were checked with density plots using their propensity scores before and after matching</w:t>
      </w:r>
      <w:r w:rsidR="0040436E">
        <w:rPr>
          <w:rFonts w:eastAsia="Calibri" w:cs="Times New Roman"/>
          <w:szCs w:val="24"/>
        </w:rPr>
        <w:t xml:space="preserve">. </w:t>
      </w:r>
    </w:p>
    <w:p w14:paraId="0B5EFA95" w14:textId="77777777" w:rsidR="00A970B0" w:rsidRPr="00ED53A0" w:rsidRDefault="007D1FF2" w:rsidP="00F7099B">
      <w:pPr>
        <w:pStyle w:val="Heading2"/>
        <w:rPr>
          <w:rFonts w:eastAsia="Calibri"/>
          <w:b w:val="0"/>
        </w:rPr>
      </w:pPr>
      <w:r>
        <w:rPr>
          <w:rFonts w:eastAsia="Calibri"/>
        </w:rPr>
        <w:t>Outcome measures</w:t>
      </w:r>
    </w:p>
    <w:p w14:paraId="55BFE4D8" w14:textId="13D940BA" w:rsidR="00C01446" w:rsidRPr="00C01446" w:rsidRDefault="0072531C" w:rsidP="00A970B0">
      <w:pPr>
        <w:spacing w:before="120" w:after="240" w:line="480" w:lineRule="auto"/>
        <w:rPr>
          <w:rFonts w:eastAsia="Calibri" w:cs="Times New Roman"/>
          <w:bCs/>
          <w:szCs w:val="24"/>
        </w:rPr>
      </w:pPr>
      <w:r>
        <w:rPr>
          <w:rFonts w:eastAsia="Calibri" w:cs="Times New Roman"/>
          <w:bCs/>
          <w:szCs w:val="24"/>
        </w:rPr>
        <w:t>This study focussed on primary care healthcare resource utilisation</w:t>
      </w:r>
      <w:r w:rsidR="00657227">
        <w:rPr>
          <w:rFonts w:eastAsia="Calibri" w:cs="Times New Roman"/>
          <w:bCs/>
          <w:szCs w:val="24"/>
        </w:rPr>
        <w:t>s</w:t>
      </w:r>
      <w:r>
        <w:rPr>
          <w:rFonts w:eastAsia="Calibri" w:cs="Times New Roman"/>
          <w:bCs/>
          <w:szCs w:val="24"/>
        </w:rPr>
        <w:t xml:space="preserve">, </w:t>
      </w:r>
      <w:r w:rsidR="008266D7" w:rsidRPr="008266D7">
        <w:rPr>
          <w:rFonts w:eastAsia="Calibri" w:cs="Times New Roman"/>
          <w:bCs/>
          <w:szCs w:val="24"/>
        </w:rPr>
        <w:t xml:space="preserve">in particular primary care consultations </w:t>
      </w:r>
      <w:r>
        <w:rPr>
          <w:rFonts w:eastAsia="Calibri" w:cs="Times New Roman"/>
          <w:bCs/>
          <w:szCs w:val="24"/>
        </w:rPr>
        <w:t xml:space="preserve">and prescribed drugs, which can </w:t>
      </w:r>
      <w:r w:rsidR="00657227">
        <w:rPr>
          <w:rFonts w:eastAsia="Calibri" w:cs="Times New Roman"/>
          <w:bCs/>
          <w:szCs w:val="24"/>
        </w:rPr>
        <w:t xml:space="preserve">be </w:t>
      </w:r>
      <w:r>
        <w:rPr>
          <w:rFonts w:eastAsia="Calibri" w:cs="Times New Roman"/>
          <w:bCs/>
          <w:szCs w:val="24"/>
        </w:rPr>
        <w:t xml:space="preserve">accurately estimated from primary care databases. </w:t>
      </w:r>
      <w:r w:rsidRPr="00604ED6">
        <w:rPr>
          <w:rFonts w:eastAsia="Calibri" w:cs="Times New Roman"/>
          <w:bCs/>
          <w:szCs w:val="24"/>
        </w:rPr>
        <w:t>Therefore,</w:t>
      </w:r>
      <w:r w:rsidR="00FC6227" w:rsidRPr="00604ED6">
        <w:rPr>
          <w:rFonts w:eastAsia="Calibri" w:cs="Times New Roman"/>
          <w:bCs/>
          <w:szCs w:val="24"/>
        </w:rPr>
        <w:t xml:space="preserve"> </w:t>
      </w:r>
      <w:r w:rsidR="00FE2F57" w:rsidRPr="00604ED6">
        <w:rPr>
          <w:rFonts w:eastAsia="Calibri" w:cs="Times New Roman"/>
          <w:bCs/>
          <w:szCs w:val="24"/>
        </w:rPr>
        <w:t>physiotherapy</w:t>
      </w:r>
      <w:r w:rsidR="00A17B1E" w:rsidRPr="00604ED6">
        <w:rPr>
          <w:rFonts w:eastAsia="Calibri" w:cs="Times New Roman"/>
          <w:bCs/>
          <w:szCs w:val="24"/>
        </w:rPr>
        <w:t xml:space="preserve"> </w:t>
      </w:r>
      <w:r w:rsidR="00DC6239" w:rsidRPr="00604ED6">
        <w:rPr>
          <w:rFonts w:eastAsia="Calibri" w:cs="Times New Roman"/>
          <w:bCs/>
          <w:szCs w:val="24"/>
        </w:rPr>
        <w:t xml:space="preserve">and </w:t>
      </w:r>
      <w:r w:rsidR="00FC6227" w:rsidRPr="00604ED6">
        <w:rPr>
          <w:rFonts w:eastAsia="Calibri" w:cs="Times New Roman"/>
          <w:bCs/>
          <w:szCs w:val="24"/>
        </w:rPr>
        <w:t xml:space="preserve">secondary care </w:t>
      </w:r>
      <w:r w:rsidR="00123C6F" w:rsidRPr="00604ED6">
        <w:rPr>
          <w:rFonts w:eastAsia="Calibri" w:cs="Times New Roman"/>
          <w:bCs/>
          <w:szCs w:val="24"/>
        </w:rPr>
        <w:t xml:space="preserve">healthcare resource </w:t>
      </w:r>
      <w:r w:rsidR="00421A34" w:rsidRPr="00604ED6">
        <w:rPr>
          <w:rFonts w:eastAsia="Calibri" w:cs="Times New Roman"/>
          <w:bCs/>
          <w:szCs w:val="24"/>
        </w:rPr>
        <w:t>use</w:t>
      </w:r>
      <w:r w:rsidR="00C57BBD" w:rsidRPr="00604ED6">
        <w:rPr>
          <w:rFonts w:eastAsia="Calibri" w:cs="Times New Roman"/>
          <w:bCs/>
          <w:szCs w:val="24"/>
        </w:rPr>
        <w:t xml:space="preserve"> including </w:t>
      </w:r>
      <w:r w:rsidR="006209B9" w:rsidRPr="00604ED6">
        <w:rPr>
          <w:rFonts w:eastAsia="Calibri" w:cs="Times New Roman"/>
          <w:bCs/>
          <w:szCs w:val="24"/>
        </w:rPr>
        <w:t>emergency visits (</w:t>
      </w:r>
      <w:r w:rsidR="00417176" w:rsidRPr="00604ED6">
        <w:rPr>
          <w:rFonts w:eastAsia="Calibri" w:cs="Times New Roman"/>
          <w:bCs/>
          <w:szCs w:val="24"/>
        </w:rPr>
        <w:t>A&amp;E</w:t>
      </w:r>
      <w:r w:rsidR="006209B9" w:rsidRPr="00604ED6">
        <w:rPr>
          <w:rFonts w:eastAsia="Calibri" w:cs="Times New Roman"/>
          <w:bCs/>
          <w:szCs w:val="24"/>
        </w:rPr>
        <w:t>)</w:t>
      </w:r>
      <w:r w:rsidR="0068492F" w:rsidRPr="00604ED6">
        <w:rPr>
          <w:rFonts w:eastAsia="Calibri" w:cs="Times New Roman"/>
          <w:bCs/>
          <w:szCs w:val="24"/>
        </w:rPr>
        <w:t xml:space="preserve"> which were only available as fre</w:t>
      </w:r>
      <w:r w:rsidR="00E77D37" w:rsidRPr="00604ED6">
        <w:rPr>
          <w:rFonts w:eastAsia="Calibri" w:cs="Times New Roman"/>
          <w:bCs/>
          <w:szCs w:val="24"/>
        </w:rPr>
        <w:t>e</w:t>
      </w:r>
      <w:r w:rsidR="0068492F" w:rsidRPr="00604ED6">
        <w:rPr>
          <w:rFonts w:eastAsia="Calibri" w:cs="Times New Roman"/>
          <w:bCs/>
          <w:szCs w:val="24"/>
        </w:rPr>
        <w:t xml:space="preserve"> text entries and referrals codes</w:t>
      </w:r>
      <w:r w:rsidR="00FC6227" w:rsidRPr="00604ED6">
        <w:rPr>
          <w:rFonts w:eastAsia="Calibri" w:cs="Times New Roman"/>
          <w:bCs/>
          <w:szCs w:val="24"/>
        </w:rPr>
        <w:t xml:space="preserve"> were not included</w:t>
      </w:r>
      <w:r w:rsidR="00FC6227">
        <w:rPr>
          <w:rFonts w:eastAsia="Calibri" w:cs="Times New Roman"/>
          <w:bCs/>
          <w:szCs w:val="24"/>
        </w:rPr>
        <w:t xml:space="preserve">. </w:t>
      </w:r>
      <w:r w:rsidR="00C01446">
        <w:rPr>
          <w:rFonts w:eastAsia="Calibri" w:cs="Times New Roman"/>
          <w:bCs/>
          <w:szCs w:val="24"/>
        </w:rPr>
        <w:t>Annual h</w:t>
      </w:r>
      <w:r w:rsidR="00C01446" w:rsidRPr="00C01446">
        <w:rPr>
          <w:rFonts w:eastAsia="Calibri" w:cs="Times New Roman"/>
          <w:bCs/>
          <w:szCs w:val="24"/>
        </w:rPr>
        <w:t>e</w:t>
      </w:r>
      <w:r w:rsidR="00C01446">
        <w:rPr>
          <w:rFonts w:eastAsia="Calibri" w:cs="Times New Roman"/>
          <w:bCs/>
          <w:szCs w:val="24"/>
        </w:rPr>
        <w:t>al</w:t>
      </w:r>
      <w:r w:rsidR="00C01446" w:rsidRPr="00C01446">
        <w:rPr>
          <w:rFonts w:eastAsia="Calibri" w:cs="Times New Roman"/>
          <w:bCs/>
          <w:szCs w:val="24"/>
        </w:rPr>
        <w:t xml:space="preserve">thcare </w:t>
      </w:r>
      <w:r w:rsidR="00C01446">
        <w:rPr>
          <w:rFonts w:eastAsia="Calibri" w:cs="Times New Roman"/>
          <w:bCs/>
          <w:szCs w:val="24"/>
        </w:rPr>
        <w:t>resource utilisation</w:t>
      </w:r>
      <w:r w:rsidR="005B4EBE">
        <w:rPr>
          <w:rFonts w:eastAsia="Calibri" w:cs="Times New Roman"/>
          <w:bCs/>
          <w:szCs w:val="24"/>
        </w:rPr>
        <w:t>s</w:t>
      </w:r>
      <w:r w:rsidR="00C01446">
        <w:rPr>
          <w:rFonts w:eastAsia="Calibri" w:cs="Times New Roman"/>
          <w:bCs/>
          <w:szCs w:val="24"/>
        </w:rPr>
        <w:t xml:space="preserve"> </w:t>
      </w:r>
      <w:r w:rsidR="00B90F22">
        <w:rPr>
          <w:rFonts w:eastAsia="Calibri" w:cs="Times New Roman"/>
          <w:bCs/>
          <w:szCs w:val="24"/>
        </w:rPr>
        <w:t>for</w:t>
      </w:r>
      <w:r w:rsidR="00E15FBD">
        <w:rPr>
          <w:rFonts w:eastAsia="Calibri" w:cs="Times New Roman"/>
          <w:bCs/>
          <w:szCs w:val="24"/>
        </w:rPr>
        <w:t xml:space="preserve"> 2015 </w:t>
      </w:r>
      <w:r w:rsidR="00C01446">
        <w:rPr>
          <w:rFonts w:eastAsia="Calibri" w:cs="Times New Roman"/>
          <w:bCs/>
          <w:szCs w:val="24"/>
        </w:rPr>
        <w:t xml:space="preserve">were examined for both the case and control groups, and the UK unit costs </w:t>
      </w:r>
      <w:r w:rsidR="00E15FBD">
        <w:rPr>
          <w:rFonts w:eastAsia="Calibri" w:cs="Times New Roman"/>
          <w:bCs/>
          <w:szCs w:val="24"/>
        </w:rPr>
        <w:t>for the same year</w:t>
      </w:r>
      <w:r w:rsidR="00C01446">
        <w:rPr>
          <w:rFonts w:eastAsia="Calibri" w:cs="Times New Roman"/>
          <w:bCs/>
          <w:szCs w:val="24"/>
        </w:rPr>
        <w:t xml:space="preserve"> were applied to the </w:t>
      </w:r>
      <w:r w:rsidR="00FC6227">
        <w:rPr>
          <w:rFonts w:eastAsia="Calibri" w:cs="Times New Roman"/>
          <w:bCs/>
          <w:szCs w:val="24"/>
        </w:rPr>
        <w:t>resources used</w:t>
      </w:r>
      <w:r w:rsidR="00C01446">
        <w:rPr>
          <w:rFonts w:eastAsia="Calibri" w:cs="Times New Roman"/>
          <w:bCs/>
          <w:szCs w:val="24"/>
        </w:rPr>
        <w:t>.</w:t>
      </w:r>
      <w:r w:rsidR="00FC6227">
        <w:rPr>
          <w:rFonts w:eastAsia="Calibri" w:cs="Times New Roman"/>
          <w:bCs/>
          <w:szCs w:val="24"/>
        </w:rPr>
        <w:t xml:space="preserve"> </w:t>
      </w:r>
      <w:r w:rsidR="00AC3B7A">
        <w:rPr>
          <w:rFonts w:eastAsia="Calibri" w:cs="Times New Roman"/>
          <w:bCs/>
          <w:szCs w:val="24"/>
        </w:rPr>
        <w:t>Where appropriate, national</w:t>
      </w:r>
      <w:r w:rsidR="00AC3B7A" w:rsidRPr="00AC3B7A">
        <w:rPr>
          <w:rFonts w:eastAsia="Calibri" w:cs="Times New Roman"/>
          <w:bCs/>
          <w:szCs w:val="24"/>
        </w:rPr>
        <w:t xml:space="preserve"> cost</w:t>
      </w:r>
      <w:r w:rsidR="00AC3B7A">
        <w:rPr>
          <w:rFonts w:eastAsia="Calibri" w:cs="Times New Roman"/>
          <w:bCs/>
          <w:szCs w:val="24"/>
        </w:rPr>
        <w:t xml:space="preserve"> estimates</w:t>
      </w:r>
      <w:r w:rsidR="00AC3B7A" w:rsidRPr="00AC3B7A">
        <w:rPr>
          <w:rFonts w:eastAsia="Calibri" w:cs="Times New Roman"/>
          <w:bCs/>
          <w:szCs w:val="24"/>
        </w:rPr>
        <w:t xml:space="preserve"> were converted to 20</w:t>
      </w:r>
      <w:r w:rsidR="00AC3B7A">
        <w:rPr>
          <w:rFonts w:eastAsia="Calibri" w:cs="Times New Roman"/>
          <w:bCs/>
          <w:szCs w:val="24"/>
        </w:rPr>
        <w:t>20</w:t>
      </w:r>
      <w:r w:rsidR="00AC3B7A" w:rsidRPr="00AC3B7A">
        <w:rPr>
          <w:rFonts w:eastAsia="Calibri" w:cs="Times New Roman"/>
          <w:bCs/>
          <w:szCs w:val="24"/>
        </w:rPr>
        <w:t xml:space="preserve"> </w:t>
      </w:r>
      <w:r w:rsidR="00AC3B7A">
        <w:rPr>
          <w:rFonts w:eastAsia="Calibri" w:cs="Times New Roman"/>
          <w:bCs/>
          <w:szCs w:val="24"/>
        </w:rPr>
        <w:t>GBP</w:t>
      </w:r>
      <w:r w:rsidR="00AC3B7A" w:rsidRPr="00AC3B7A">
        <w:rPr>
          <w:rFonts w:eastAsia="Calibri" w:cs="Times New Roman"/>
          <w:bCs/>
          <w:szCs w:val="24"/>
        </w:rPr>
        <w:t xml:space="preserve"> using country-specific gross domestic product inflator index</w:t>
      </w:r>
      <w:r w:rsidR="004F10A7">
        <w:rPr>
          <w:rFonts w:eastAsia="Calibri" w:cs="Times New Roman"/>
          <w:bCs/>
          <w:szCs w:val="24"/>
        </w:rPr>
        <w:t xml:space="preserve"> </w:t>
      </w:r>
      <w:r w:rsidR="00001140">
        <w:rPr>
          <w:rFonts w:eastAsia="Calibri" w:cs="Times New Roman"/>
          <w:bCs/>
          <w:szCs w:val="24"/>
        </w:rPr>
        <w:fldChar w:fldCharType="begin"/>
      </w:r>
      <w:r w:rsidR="00B44AFF">
        <w:rPr>
          <w:rFonts w:eastAsia="Calibri" w:cs="Times New Roman"/>
          <w:bCs/>
          <w:szCs w:val="24"/>
        </w:rPr>
        <w:instrText xml:space="preserve"> ADDIN EN.CITE &lt;EndNote&gt;&lt;Cite&gt;&lt;Author&gt;Shemilt&lt;/Author&gt;&lt;Year&gt;2010&lt;/Year&gt;&lt;RecNum&gt;375&lt;/RecNum&gt;&lt;DisplayText&gt;(16)&lt;/DisplayText&gt;&lt;record&gt;&lt;rec-number&gt;375&lt;/rec-number&gt;&lt;foreign-keys&gt;&lt;key app="EN" db-id="wvr0axtt1w9rr8efern5p95ofraatp209r09" timestamp="1640872868"&gt;375&lt;/key&gt;&lt;/foreign-keys&gt;&lt;ref-type name="Journal Article"&gt;17&lt;/ref-type&gt;&lt;contributors&gt;&lt;authors&gt;&lt;author&gt;Shemilt, I.&lt;/author&gt;&lt;author&gt;Thomas,  J.&lt;/author&gt;&lt;author&gt;Morciano, M.&lt;/author&gt;&lt;/authors&gt;&lt;/contributors&gt;&lt;titles&gt;&lt;title&gt;A web-based tool for adjusting costs to a specific target currency and price year&lt;/title&gt;&lt;secondary-title&gt;Evidence &amp;amp; Policy&lt;/secondary-title&gt;&lt;/titles&gt;&lt;periodical&gt;&lt;full-title&gt;Evidence &amp;amp; Policy&lt;/full-title&gt;&lt;/periodical&gt;&lt;pages&gt;51-9&lt;/pages&gt;&lt;volume&gt;6&lt;/volume&gt;&lt;dates&gt;&lt;year&gt;2010&lt;/year&gt;&lt;/dates&gt;&lt;urls&gt;&lt;/urls&gt;&lt;/record&gt;&lt;/Cite&gt;&lt;/EndNote&gt;</w:instrText>
      </w:r>
      <w:r w:rsidR="00001140">
        <w:rPr>
          <w:rFonts w:eastAsia="Calibri" w:cs="Times New Roman"/>
          <w:bCs/>
          <w:szCs w:val="24"/>
        </w:rPr>
        <w:fldChar w:fldCharType="separate"/>
      </w:r>
      <w:r w:rsidR="00B44AFF">
        <w:rPr>
          <w:rFonts w:eastAsia="Calibri" w:cs="Times New Roman"/>
          <w:bCs/>
          <w:noProof/>
          <w:szCs w:val="24"/>
        </w:rPr>
        <w:t>(16)</w:t>
      </w:r>
      <w:r w:rsidR="00001140">
        <w:rPr>
          <w:rFonts w:eastAsia="Calibri" w:cs="Times New Roman"/>
          <w:bCs/>
          <w:szCs w:val="24"/>
        </w:rPr>
        <w:fldChar w:fldCharType="end"/>
      </w:r>
      <w:r w:rsidR="004B188F">
        <w:rPr>
          <w:rFonts w:eastAsia="Calibri" w:cs="Times New Roman"/>
          <w:bCs/>
          <w:szCs w:val="24"/>
        </w:rPr>
        <w:t>.</w:t>
      </w:r>
    </w:p>
    <w:p w14:paraId="351637B4" w14:textId="619EA5EE" w:rsidR="005223A6" w:rsidRDefault="00A970B0" w:rsidP="00EF5CD4">
      <w:pPr>
        <w:spacing w:before="120" w:after="240" w:line="480" w:lineRule="auto"/>
        <w:rPr>
          <w:rFonts w:eastAsia="Calibri" w:cs="Times New Roman"/>
          <w:szCs w:val="24"/>
        </w:rPr>
      </w:pPr>
      <w:r w:rsidRPr="00ED53A0">
        <w:rPr>
          <w:rFonts w:eastAsia="Calibri" w:cs="Times New Roman"/>
          <w:b/>
          <w:szCs w:val="24"/>
        </w:rPr>
        <w:t>Consultations:</w:t>
      </w:r>
      <w:r w:rsidRPr="00ED53A0">
        <w:rPr>
          <w:rFonts w:eastAsia="Calibri" w:cs="Times New Roman"/>
          <w:szCs w:val="24"/>
        </w:rPr>
        <w:t xml:space="preserve"> Three major </w:t>
      </w:r>
      <w:r w:rsidR="008D779B">
        <w:rPr>
          <w:rFonts w:eastAsia="Calibri" w:cs="Times New Roman"/>
          <w:szCs w:val="24"/>
        </w:rPr>
        <w:t xml:space="preserve">types of </w:t>
      </w:r>
      <w:r w:rsidRPr="00ED53A0">
        <w:rPr>
          <w:rFonts w:eastAsia="Calibri" w:cs="Times New Roman"/>
          <w:szCs w:val="24"/>
        </w:rPr>
        <w:t>consultation</w:t>
      </w:r>
      <w:r w:rsidR="00C20265">
        <w:rPr>
          <w:rFonts w:eastAsia="Calibri" w:cs="Times New Roman"/>
          <w:szCs w:val="24"/>
        </w:rPr>
        <w:t>s</w:t>
      </w:r>
      <w:r w:rsidR="00D80432">
        <w:rPr>
          <w:rFonts w:eastAsia="Calibri" w:cs="Times New Roman"/>
          <w:szCs w:val="24"/>
        </w:rPr>
        <w:t xml:space="preserve"> </w:t>
      </w:r>
      <w:r w:rsidR="00D80432" w:rsidRPr="00D80432">
        <w:rPr>
          <w:rFonts w:eastAsia="Calibri" w:cs="Times New Roman"/>
          <w:szCs w:val="24"/>
        </w:rPr>
        <w:t>(</w:t>
      </w:r>
      <w:r w:rsidR="007B0D91" w:rsidRPr="007B0D91">
        <w:rPr>
          <w:rFonts w:eastAsia="Calibri" w:cs="Times New Roman"/>
          <w:szCs w:val="24"/>
        </w:rPr>
        <w:t xml:space="preserve">Supplementary </w:t>
      </w:r>
      <w:r w:rsidR="00E96BD8" w:rsidRPr="00E96BD8">
        <w:rPr>
          <w:rFonts w:eastAsia="Calibri" w:cs="Times New Roman"/>
          <w:szCs w:val="24"/>
        </w:rPr>
        <w:t>file 3</w:t>
      </w:r>
      <w:r w:rsidR="00D80432" w:rsidRPr="00D80432">
        <w:rPr>
          <w:rFonts w:eastAsia="Calibri" w:cs="Times New Roman"/>
          <w:szCs w:val="24"/>
        </w:rPr>
        <w:t>)</w:t>
      </w:r>
      <w:r w:rsidR="00D814AC">
        <w:rPr>
          <w:rFonts w:eastAsia="Calibri" w:cs="Times New Roman"/>
          <w:szCs w:val="24"/>
        </w:rPr>
        <w:t xml:space="preserve"> were </w:t>
      </w:r>
      <w:r w:rsidR="008266D7">
        <w:rPr>
          <w:rFonts w:eastAsia="Calibri" w:cs="Times New Roman"/>
          <w:szCs w:val="24"/>
        </w:rPr>
        <w:t>included:</w:t>
      </w:r>
      <w:r w:rsidR="00C20265">
        <w:rPr>
          <w:rFonts w:eastAsia="Calibri" w:cs="Times New Roman"/>
          <w:szCs w:val="24"/>
        </w:rPr>
        <w:t xml:space="preserve"> </w:t>
      </w:r>
      <w:r w:rsidRPr="00ED53A0">
        <w:rPr>
          <w:rFonts w:eastAsia="Calibri" w:cs="Times New Roman"/>
          <w:szCs w:val="24"/>
        </w:rPr>
        <w:t>surgery consultations, home visits, and telephone consultations</w:t>
      </w:r>
      <w:r w:rsidR="008D779B">
        <w:rPr>
          <w:rFonts w:eastAsia="Calibri" w:cs="Times New Roman"/>
          <w:szCs w:val="24"/>
        </w:rPr>
        <w:t xml:space="preserve"> </w:t>
      </w:r>
      <w:r w:rsidR="008D779B">
        <w:rPr>
          <w:rFonts w:eastAsia="Calibri" w:cs="Times New Roman"/>
          <w:szCs w:val="24"/>
        </w:rPr>
        <w:fldChar w:fldCharType="begin">
          <w:fldData xml:space="preserve">PEVuZE5vdGU+PENpdGU+PEF1dGhvcj5DaGVuPC9BdXRob3I+PFllYXI+MjAxNDwvWWVhcj48UmVj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=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PEVuZE5vdGU+PENpdGU+PEF1dGhvcj5DaGVuPC9BdXRob3I+PFllYXI+MjAxNDwvWWVhcj48UmVj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=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8D779B">
        <w:rPr>
          <w:rFonts w:eastAsia="Calibri" w:cs="Times New Roman"/>
          <w:szCs w:val="24"/>
        </w:rPr>
      </w:r>
      <w:r w:rsidR="008D779B">
        <w:rPr>
          <w:rFonts w:eastAsia="Calibri" w:cs="Times New Roman"/>
          <w:szCs w:val="24"/>
        </w:rPr>
        <w:fldChar w:fldCharType="separate"/>
      </w:r>
      <w:r w:rsidR="00B44AFF">
        <w:rPr>
          <w:rFonts w:eastAsia="Calibri" w:cs="Times New Roman"/>
          <w:noProof/>
          <w:szCs w:val="24"/>
        </w:rPr>
        <w:t>(17, 18)</w:t>
      </w:r>
      <w:r w:rsidR="008D779B">
        <w:rPr>
          <w:rFonts w:eastAsia="Calibri" w:cs="Times New Roman"/>
          <w:szCs w:val="24"/>
        </w:rPr>
        <w:fldChar w:fldCharType="end"/>
      </w:r>
      <w:r w:rsidR="00D814AC">
        <w:rPr>
          <w:rFonts w:eastAsia="Calibri" w:cs="Times New Roman"/>
          <w:szCs w:val="24"/>
        </w:rPr>
        <w:t>.</w:t>
      </w:r>
      <w:r w:rsidR="008D779B">
        <w:rPr>
          <w:rFonts w:eastAsia="Calibri" w:cs="Times New Roman"/>
          <w:szCs w:val="24"/>
        </w:rPr>
        <w:t xml:space="preserve"> </w:t>
      </w:r>
      <w:r w:rsidR="00D814AC">
        <w:rPr>
          <w:rFonts w:eastAsia="Calibri" w:cs="Times New Roman"/>
          <w:szCs w:val="24"/>
        </w:rPr>
        <w:t>We focussed on</w:t>
      </w:r>
      <w:r w:rsidRPr="00ED53A0">
        <w:rPr>
          <w:rFonts w:eastAsia="Calibri" w:cs="Times New Roman"/>
          <w:szCs w:val="24"/>
        </w:rPr>
        <w:t xml:space="preserve"> two </w:t>
      </w:r>
      <w:r w:rsidR="00C01446">
        <w:rPr>
          <w:rFonts w:eastAsia="Calibri" w:cs="Times New Roman"/>
          <w:szCs w:val="24"/>
        </w:rPr>
        <w:t>healthcare professional</w:t>
      </w:r>
      <w:r w:rsidRPr="00ED53A0">
        <w:rPr>
          <w:rFonts w:eastAsia="Calibri" w:cs="Times New Roman"/>
          <w:szCs w:val="24"/>
        </w:rPr>
        <w:t xml:space="preserve"> </w:t>
      </w:r>
      <w:r w:rsidR="00C20265">
        <w:rPr>
          <w:rFonts w:eastAsia="Calibri" w:cs="Times New Roman"/>
          <w:szCs w:val="24"/>
        </w:rPr>
        <w:t>type</w:t>
      </w:r>
      <w:r w:rsidRPr="00ED53A0">
        <w:rPr>
          <w:rFonts w:eastAsia="Calibri" w:cs="Times New Roman"/>
          <w:szCs w:val="24"/>
        </w:rPr>
        <w:t>s (GP</w:t>
      </w:r>
      <w:r w:rsidR="00C01446">
        <w:rPr>
          <w:rFonts w:eastAsia="Calibri" w:cs="Times New Roman"/>
          <w:szCs w:val="24"/>
        </w:rPr>
        <w:t>s</w:t>
      </w:r>
      <w:r w:rsidRPr="00ED53A0">
        <w:rPr>
          <w:rFonts w:eastAsia="Calibri" w:cs="Times New Roman"/>
          <w:szCs w:val="24"/>
        </w:rPr>
        <w:t xml:space="preserve"> and nurse</w:t>
      </w:r>
      <w:r w:rsidR="00C01446">
        <w:rPr>
          <w:rFonts w:eastAsia="Calibri" w:cs="Times New Roman"/>
          <w:szCs w:val="24"/>
        </w:rPr>
        <w:t>s</w:t>
      </w:r>
      <w:r w:rsidRPr="00ED53A0">
        <w:rPr>
          <w:rFonts w:eastAsia="Calibri" w:cs="Times New Roman"/>
          <w:szCs w:val="24"/>
        </w:rPr>
        <w:t xml:space="preserve">) </w:t>
      </w:r>
      <w:r w:rsidR="00D814AC">
        <w:rPr>
          <w:rFonts w:eastAsia="Calibri" w:cs="Times New Roman"/>
          <w:szCs w:val="24"/>
        </w:rPr>
        <w:t>in order</w:t>
      </w:r>
      <w:r w:rsidR="00C01446">
        <w:rPr>
          <w:rFonts w:eastAsia="Calibri" w:cs="Times New Roman"/>
          <w:szCs w:val="24"/>
        </w:rPr>
        <w:t xml:space="preserve"> to estimate the costs associated with consultations. </w:t>
      </w:r>
      <w:r w:rsidRPr="00ED53A0">
        <w:rPr>
          <w:rFonts w:eastAsia="Calibri" w:cs="Times New Roman"/>
          <w:szCs w:val="24"/>
        </w:rPr>
        <w:t xml:space="preserve">Each consultation was then attached to a </w:t>
      </w:r>
      <w:r w:rsidR="00C20265">
        <w:rPr>
          <w:rFonts w:eastAsia="Calibri" w:cs="Times New Roman"/>
          <w:szCs w:val="24"/>
        </w:rPr>
        <w:t>healthcare professional</w:t>
      </w:r>
      <w:r w:rsidRPr="00ED53A0">
        <w:rPr>
          <w:rFonts w:eastAsia="Calibri" w:cs="Times New Roman"/>
          <w:szCs w:val="24"/>
        </w:rPr>
        <w:t xml:space="preserve"> for assessing resource use and costs associated with it.</w:t>
      </w:r>
      <w:r w:rsidR="00EF5CD4">
        <w:rPr>
          <w:rFonts w:eastAsia="Calibri" w:cs="Times New Roman"/>
          <w:szCs w:val="24"/>
        </w:rPr>
        <w:t xml:space="preserve"> The u</w:t>
      </w:r>
      <w:r w:rsidR="00EF5CD4" w:rsidRPr="00EF5CD4">
        <w:rPr>
          <w:rFonts w:eastAsia="Calibri" w:cs="Times New Roman"/>
          <w:szCs w:val="24"/>
        </w:rPr>
        <w:t>nit cost per visit for each type of consultation</w:t>
      </w:r>
      <w:r w:rsidR="00EF5CD4">
        <w:rPr>
          <w:rFonts w:eastAsia="Calibri" w:cs="Times New Roman"/>
          <w:szCs w:val="24"/>
        </w:rPr>
        <w:t xml:space="preserve"> (Table </w:t>
      </w:r>
      <w:r w:rsidR="00AC7401">
        <w:rPr>
          <w:rFonts w:eastAsia="Calibri" w:cs="Times New Roman"/>
          <w:szCs w:val="24"/>
        </w:rPr>
        <w:t>1</w:t>
      </w:r>
      <w:r w:rsidR="00EF5CD4">
        <w:rPr>
          <w:rFonts w:eastAsia="Calibri" w:cs="Times New Roman"/>
          <w:szCs w:val="24"/>
        </w:rPr>
        <w:t>) was take</w:t>
      </w:r>
      <w:r w:rsidR="004219D3">
        <w:rPr>
          <w:rFonts w:eastAsia="Calibri" w:cs="Times New Roman"/>
          <w:szCs w:val="24"/>
        </w:rPr>
        <w:t>n</w:t>
      </w:r>
      <w:r w:rsidR="00EF5CD4">
        <w:rPr>
          <w:rFonts w:eastAsia="Calibri" w:cs="Times New Roman"/>
          <w:szCs w:val="24"/>
        </w:rPr>
        <w:t xml:space="preserve"> from the </w:t>
      </w:r>
      <w:r w:rsidR="00EF5CD4" w:rsidRPr="00EF5CD4">
        <w:rPr>
          <w:rFonts w:eastAsia="Calibri" w:cs="Times New Roman"/>
          <w:szCs w:val="24"/>
        </w:rPr>
        <w:t>Unit Costs of Health &amp; Social Care 2015, Personal Social Services</w:t>
      </w:r>
      <w:r w:rsidR="00EF5CD4">
        <w:rPr>
          <w:rFonts w:eastAsia="Calibri" w:cs="Times New Roman"/>
          <w:szCs w:val="24"/>
        </w:rPr>
        <w:t xml:space="preserve"> </w:t>
      </w:r>
      <w:r w:rsidR="00EF5CD4" w:rsidRPr="00EF5CD4">
        <w:rPr>
          <w:rFonts w:eastAsia="Calibri" w:cs="Times New Roman"/>
          <w:szCs w:val="24"/>
        </w:rPr>
        <w:t>Research Unit (PSSRU)</w:t>
      </w:r>
      <w:r w:rsidR="00EF5CD4">
        <w:rPr>
          <w:rFonts w:eastAsia="Calibri" w:cs="Times New Roman"/>
          <w:szCs w:val="24"/>
        </w:rPr>
        <w:t>.</w:t>
      </w:r>
    </w:p>
    <w:p w14:paraId="34A12838" w14:textId="6C07FEB9" w:rsidR="008D5FAC" w:rsidRDefault="008D5FAC" w:rsidP="00EF5CD4">
      <w:pPr>
        <w:spacing w:before="120" w:after="240" w:line="480" w:lineRule="auto"/>
        <w:rPr>
          <w:rFonts w:eastAsia="Calibri" w:cs="Times New Roman"/>
          <w:szCs w:val="24"/>
        </w:rPr>
      </w:pPr>
    </w:p>
    <w:p w14:paraId="09C3FA2B" w14:textId="05FE5F78" w:rsidR="008D5FAC" w:rsidRDefault="008D5FAC" w:rsidP="00EF5CD4">
      <w:pPr>
        <w:spacing w:before="120" w:after="240" w:line="480" w:lineRule="auto"/>
        <w:rPr>
          <w:rFonts w:eastAsia="Calibri" w:cs="Times New Roman"/>
          <w:szCs w:val="24"/>
        </w:rPr>
      </w:pPr>
    </w:p>
    <w:p w14:paraId="0AA12DF4" w14:textId="31F04DE7" w:rsidR="008D5FAC" w:rsidRDefault="008D5FAC" w:rsidP="00EF5CD4">
      <w:pPr>
        <w:spacing w:before="120" w:after="240" w:line="480" w:lineRule="auto"/>
        <w:rPr>
          <w:rFonts w:eastAsia="Calibri" w:cs="Times New Roman"/>
          <w:szCs w:val="24"/>
        </w:rPr>
      </w:pPr>
    </w:p>
    <w:p w14:paraId="19427094" w14:textId="77777777" w:rsidR="008D5FAC" w:rsidRDefault="008D5FAC" w:rsidP="00EF5CD4">
      <w:pPr>
        <w:spacing w:before="120" w:after="240" w:line="480" w:lineRule="auto"/>
        <w:rPr>
          <w:rFonts w:eastAsia="Calibri" w:cs="Times New Roman"/>
          <w:szCs w:val="24"/>
        </w:rPr>
      </w:pPr>
    </w:p>
    <w:p w14:paraId="45EEBFFA" w14:textId="7555F839" w:rsidR="00C470F9" w:rsidRDefault="00616AE0" w:rsidP="00C470F9">
      <w:pPr>
        <w:spacing w:before="120" w:after="240" w:line="480" w:lineRule="auto"/>
        <w:rPr>
          <w:rFonts w:eastAsia="Calibri" w:cs="Times New Roman"/>
          <w:b/>
          <w:bCs/>
          <w:szCs w:val="24"/>
        </w:rPr>
      </w:pPr>
      <w:r w:rsidRPr="000A56EB">
        <w:rPr>
          <w:rFonts w:eastAsia="Calibri" w:cs="Times New Roman"/>
          <w:b/>
          <w:bCs/>
          <w:szCs w:val="24"/>
        </w:rPr>
        <w:lastRenderedPageBreak/>
        <w:t>Table 1: Unit costs per episode for consultations in primary care</w:t>
      </w:r>
    </w:p>
    <w:tbl>
      <w:tblPr>
        <w:tblpPr w:leftFromText="180" w:rightFromText="180" w:vertAnchor="text" w:horzAnchor="page" w:tblpX="2083" w:tblpY="170"/>
        <w:tblW w:w="5387" w:type="dxa"/>
        <w:tblLook w:val="04A0" w:firstRow="1" w:lastRow="0" w:firstColumn="1" w:lastColumn="0" w:noHBand="0" w:noVBand="1"/>
      </w:tblPr>
      <w:tblGrid>
        <w:gridCol w:w="2494"/>
        <w:gridCol w:w="2893"/>
      </w:tblGrid>
      <w:tr w:rsidR="00C470F9" w:rsidRPr="008D5FAC" w14:paraId="035B1BE8" w14:textId="77777777" w:rsidTr="001E1FA4">
        <w:trPr>
          <w:trHeight w:val="563"/>
        </w:trPr>
        <w:tc>
          <w:tcPr>
            <w:tcW w:w="2494" w:type="dxa"/>
            <w:tcBorders>
              <w:top w:val="single" w:sz="4" w:space="0" w:color="auto"/>
              <w:left w:val="nil"/>
              <w:bottom w:val="double" w:sz="6" w:space="0" w:color="auto"/>
              <w:right w:val="nil"/>
            </w:tcBorders>
            <w:noWrap/>
            <w:vAlign w:val="bottom"/>
            <w:hideMark/>
          </w:tcPr>
          <w:p w14:paraId="7347B228" w14:textId="77777777" w:rsidR="00C470F9" w:rsidRPr="008D5FAC" w:rsidRDefault="00C470F9" w:rsidP="001E1FA4">
            <w:pPr>
              <w:spacing w:after="0" w:line="240" w:lineRule="auto"/>
              <w:rPr>
                <w:rFonts w:ascii="Calibri" w:eastAsia="Times New Roman" w:hAnsi="Calibri" w:cs="Times New Roman"/>
                <w:b/>
                <w:bCs/>
                <w:color w:val="000000"/>
                <w:lang w:eastAsia="en-GB"/>
              </w:rPr>
            </w:pPr>
            <w:r w:rsidRPr="008D5FAC">
              <w:rPr>
                <w:rFonts w:ascii="Calibri" w:eastAsia="Times New Roman" w:hAnsi="Calibri" w:cs="Times New Roman"/>
                <w:b/>
                <w:bCs/>
                <w:color w:val="000000"/>
                <w:lang w:eastAsia="en-GB"/>
              </w:rPr>
              <w:t>Consultations</w:t>
            </w:r>
          </w:p>
        </w:tc>
        <w:tc>
          <w:tcPr>
            <w:tcW w:w="2893" w:type="dxa"/>
            <w:tcBorders>
              <w:top w:val="single" w:sz="4" w:space="0" w:color="auto"/>
              <w:left w:val="nil"/>
              <w:bottom w:val="double" w:sz="6" w:space="0" w:color="auto"/>
              <w:right w:val="nil"/>
            </w:tcBorders>
            <w:vAlign w:val="bottom"/>
            <w:hideMark/>
          </w:tcPr>
          <w:p w14:paraId="208AAEA8" w14:textId="77777777" w:rsidR="00C470F9" w:rsidRPr="008D5FAC" w:rsidRDefault="00C470F9" w:rsidP="001E1FA4">
            <w:pPr>
              <w:spacing w:after="0" w:line="240" w:lineRule="auto"/>
              <w:rPr>
                <w:rFonts w:ascii="Calibri" w:eastAsia="Times New Roman" w:hAnsi="Calibri" w:cs="Times New Roman"/>
                <w:b/>
                <w:bCs/>
                <w:color w:val="000000"/>
                <w:lang w:eastAsia="en-GB"/>
              </w:rPr>
            </w:pPr>
            <w:r w:rsidRPr="008D5FAC">
              <w:rPr>
                <w:rFonts w:ascii="Calibri" w:eastAsia="Times New Roman" w:hAnsi="Calibri" w:cs="Times New Roman"/>
                <w:b/>
                <w:bCs/>
                <w:color w:val="000000"/>
                <w:lang w:eastAsia="en-GB"/>
              </w:rPr>
              <w:t>Unit cost (2015 values)</w:t>
            </w:r>
          </w:p>
        </w:tc>
      </w:tr>
      <w:tr w:rsidR="00C470F9" w:rsidRPr="008D5FAC" w14:paraId="2326CABE" w14:textId="77777777" w:rsidTr="001E1FA4">
        <w:trPr>
          <w:trHeight w:val="653"/>
        </w:trPr>
        <w:tc>
          <w:tcPr>
            <w:tcW w:w="2494" w:type="dxa"/>
            <w:tcBorders>
              <w:top w:val="nil"/>
              <w:left w:val="nil"/>
              <w:bottom w:val="single" w:sz="4" w:space="0" w:color="auto"/>
              <w:right w:val="nil"/>
            </w:tcBorders>
            <w:noWrap/>
            <w:vAlign w:val="bottom"/>
            <w:hideMark/>
          </w:tcPr>
          <w:p w14:paraId="594A4196" w14:textId="77777777" w:rsidR="00C470F9" w:rsidRPr="008D5FAC" w:rsidRDefault="00C470F9" w:rsidP="001E1FA4">
            <w:pPr>
              <w:spacing w:after="0" w:line="240" w:lineRule="auto"/>
              <w:rPr>
                <w:rFonts w:ascii="Calibri" w:eastAsia="Times New Roman" w:hAnsi="Calibri" w:cs="Times New Roman"/>
                <w:color w:val="000000"/>
                <w:lang w:eastAsia="en-GB"/>
              </w:rPr>
            </w:pPr>
            <w:r w:rsidRPr="008D5FAC">
              <w:rPr>
                <w:rFonts w:ascii="Calibri" w:eastAsia="Times New Roman" w:hAnsi="Calibri" w:cs="Times New Roman"/>
                <w:color w:val="000000"/>
                <w:lang w:eastAsia="en-GB"/>
              </w:rPr>
              <w:t>GP consultation in surgery</w:t>
            </w:r>
          </w:p>
        </w:tc>
        <w:tc>
          <w:tcPr>
            <w:tcW w:w="2893" w:type="dxa"/>
            <w:tcBorders>
              <w:top w:val="nil"/>
              <w:left w:val="nil"/>
              <w:bottom w:val="single" w:sz="4" w:space="0" w:color="auto"/>
              <w:right w:val="nil"/>
            </w:tcBorders>
            <w:vAlign w:val="bottom"/>
            <w:hideMark/>
          </w:tcPr>
          <w:p w14:paraId="10C2FB13" w14:textId="77777777" w:rsidR="00C470F9" w:rsidRPr="008D5FAC" w:rsidRDefault="00C470F9" w:rsidP="001E1FA4">
            <w:pPr>
              <w:spacing w:after="0" w:line="240" w:lineRule="auto"/>
              <w:rPr>
                <w:rFonts w:ascii="Calibri" w:eastAsia="Times New Roman" w:hAnsi="Calibri" w:cs="Times New Roman"/>
                <w:color w:val="000000"/>
                <w:lang w:eastAsia="en-GB"/>
              </w:rPr>
            </w:pPr>
            <w:r w:rsidRPr="008D5FAC">
              <w:rPr>
                <w:rFonts w:ascii="Calibri" w:eastAsia="Times New Roman" w:hAnsi="Calibri" w:cs="Times New Roman"/>
                <w:color w:val="000000"/>
                <w:lang w:eastAsia="en-GB"/>
              </w:rPr>
              <w:t>£40 (lasting 11.7 minutes)</w:t>
            </w:r>
          </w:p>
        </w:tc>
      </w:tr>
      <w:tr w:rsidR="00C470F9" w:rsidRPr="008D5FAC" w14:paraId="6961E60F" w14:textId="77777777" w:rsidTr="001E1FA4">
        <w:trPr>
          <w:trHeight w:val="727"/>
        </w:trPr>
        <w:tc>
          <w:tcPr>
            <w:tcW w:w="2494" w:type="dxa"/>
            <w:tcBorders>
              <w:top w:val="nil"/>
              <w:left w:val="nil"/>
              <w:bottom w:val="single" w:sz="4" w:space="0" w:color="auto"/>
              <w:right w:val="nil"/>
            </w:tcBorders>
            <w:noWrap/>
            <w:vAlign w:val="bottom"/>
            <w:hideMark/>
          </w:tcPr>
          <w:p w14:paraId="223C8F67" w14:textId="77777777" w:rsidR="00C470F9" w:rsidRPr="008D5FAC" w:rsidRDefault="00C470F9" w:rsidP="001E1FA4">
            <w:pPr>
              <w:spacing w:after="0" w:line="240" w:lineRule="auto"/>
              <w:rPr>
                <w:rFonts w:ascii="Calibri" w:eastAsia="Times New Roman" w:hAnsi="Calibri" w:cs="Times New Roman"/>
                <w:color w:val="000000"/>
                <w:lang w:eastAsia="en-GB"/>
              </w:rPr>
            </w:pPr>
            <w:r w:rsidRPr="008D5FAC">
              <w:rPr>
                <w:rFonts w:ascii="Calibri" w:eastAsia="Times New Roman" w:hAnsi="Calibri" w:cs="Times New Roman"/>
                <w:color w:val="000000"/>
                <w:lang w:eastAsia="en-GB"/>
              </w:rPr>
              <w:t>GP home visit</w:t>
            </w:r>
          </w:p>
        </w:tc>
        <w:tc>
          <w:tcPr>
            <w:tcW w:w="2893" w:type="dxa"/>
            <w:tcBorders>
              <w:top w:val="nil"/>
              <w:left w:val="nil"/>
              <w:bottom w:val="single" w:sz="4" w:space="0" w:color="auto"/>
              <w:right w:val="nil"/>
            </w:tcBorders>
            <w:vAlign w:val="bottom"/>
            <w:hideMark/>
          </w:tcPr>
          <w:p w14:paraId="085614A0" w14:textId="77777777" w:rsidR="00C470F9" w:rsidRPr="008D5FAC" w:rsidRDefault="00C470F9" w:rsidP="001E1FA4">
            <w:pPr>
              <w:spacing w:after="0" w:line="240" w:lineRule="auto"/>
              <w:rPr>
                <w:rFonts w:ascii="Calibri" w:eastAsia="Times New Roman" w:hAnsi="Calibri" w:cs="Times New Roman"/>
                <w:color w:val="000000"/>
                <w:lang w:eastAsia="en-GB"/>
              </w:rPr>
            </w:pPr>
            <w:r w:rsidRPr="008D5FAC">
              <w:rPr>
                <w:rFonts w:ascii="Calibri" w:eastAsia="Times New Roman" w:hAnsi="Calibri" w:cs="Times New Roman"/>
                <w:color w:val="000000"/>
                <w:lang w:eastAsia="en-GB"/>
              </w:rPr>
              <w:t>£81.9 (lasting 23.4 minutes including travel)</w:t>
            </w:r>
          </w:p>
        </w:tc>
      </w:tr>
      <w:tr w:rsidR="00C470F9" w:rsidRPr="008D5FAC" w14:paraId="47DD0475" w14:textId="77777777" w:rsidTr="001E1FA4">
        <w:trPr>
          <w:trHeight w:val="630"/>
        </w:trPr>
        <w:tc>
          <w:tcPr>
            <w:tcW w:w="2494" w:type="dxa"/>
            <w:tcBorders>
              <w:top w:val="nil"/>
              <w:left w:val="nil"/>
              <w:bottom w:val="single" w:sz="4" w:space="0" w:color="auto"/>
              <w:right w:val="nil"/>
            </w:tcBorders>
            <w:noWrap/>
            <w:vAlign w:val="bottom"/>
            <w:hideMark/>
          </w:tcPr>
          <w:p w14:paraId="6BC3C688" w14:textId="77777777" w:rsidR="00C470F9" w:rsidRPr="008D5FAC" w:rsidRDefault="00C470F9" w:rsidP="001E1FA4">
            <w:pPr>
              <w:spacing w:after="0" w:line="240" w:lineRule="auto"/>
              <w:rPr>
                <w:rFonts w:ascii="Calibri" w:eastAsia="Times New Roman" w:hAnsi="Calibri" w:cs="Times New Roman"/>
                <w:color w:val="000000"/>
                <w:lang w:eastAsia="en-GB"/>
              </w:rPr>
            </w:pPr>
            <w:r w:rsidRPr="008D5FAC">
              <w:rPr>
                <w:rFonts w:ascii="Calibri" w:eastAsia="Times New Roman" w:hAnsi="Calibri" w:cs="Times New Roman"/>
                <w:color w:val="000000"/>
                <w:lang w:eastAsia="en-GB"/>
              </w:rPr>
              <w:t>GP telephone consultation</w:t>
            </w:r>
          </w:p>
        </w:tc>
        <w:tc>
          <w:tcPr>
            <w:tcW w:w="2893" w:type="dxa"/>
            <w:tcBorders>
              <w:top w:val="nil"/>
              <w:left w:val="nil"/>
              <w:bottom w:val="single" w:sz="4" w:space="0" w:color="auto"/>
              <w:right w:val="nil"/>
            </w:tcBorders>
            <w:vAlign w:val="bottom"/>
            <w:hideMark/>
          </w:tcPr>
          <w:p w14:paraId="50A43DA0" w14:textId="77777777" w:rsidR="00C470F9" w:rsidRPr="008D5FAC" w:rsidRDefault="00C470F9" w:rsidP="001E1FA4">
            <w:pPr>
              <w:spacing w:after="0" w:line="240" w:lineRule="auto"/>
              <w:rPr>
                <w:rFonts w:ascii="Calibri" w:eastAsia="Times New Roman" w:hAnsi="Calibri" w:cs="Times New Roman"/>
                <w:color w:val="000000"/>
                <w:lang w:eastAsia="en-GB"/>
              </w:rPr>
            </w:pPr>
            <w:r w:rsidRPr="008D5FAC">
              <w:rPr>
                <w:rFonts w:ascii="Calibri" w:eastAsia="Times New Roman" w:hAnsi="Calibri" w:cs="Times New Roman"/>
                <w:color w:val="000000"/>
                <w:lang w:eastAsia="en-GB"/>
              </w:rPr>
              <w:t>£25 (lasting 7.1 minutes)</w:t>
            </w:r>
          </w:p>
        </w:tc>
      </w:tr>
      <w:tr w:rsidR="00C470F9" w:rsidRPr="008D5FAC" w14:paraId="408378B4" w14:textId="77777777" w:rsidTr="001E1FA4">
        <w:trPr>
          <w:trHeight w:val="697"/>
        </w:trPr>
        <w:tc>
          <w:tcPr>
            <w:tcW w:w="2494" w:type="dxa"/>
            <w:tcBorders>
              <w:top w:val="nil"/>
              <w:left w:val="nil"/>
              <w:bottom w:val="single" w:sz="4" w:space="0" w:color="auto"/>
              <w:right w:val="nil"/>
            </w:tcBorders>
            <w:noWrap/>
            <w:vAlign w:val="bottom"/>
            <w:hideMark/>
          </w:tcPr>
          <w:p w14:paraId="0500D479" w14:textId="77777777" w:rsidR="00C470F9" w:rsidRPr="008D5FAC" w:rsidRDefault="00C470F9" w:rsidP="001E1FA4">
            <w:pPr>
              <w:spacing w:after="0" w:line="240" w:lineRule="auto"/>
              <w:rPr>
                <w:rFonts w:ascii="Calibri" w:eastAsia="Times New Roman" w:hAnsi="Calibri" w:cs="Times New Roman"/>
                <w:color w:val="000000"/>
                <w:lang w:eastAsia="en-GB"/>
              </w:rPr>
            </w:pPr>
            <w:r w:rsidRPr="008D5FAC">
              <w:rPr>
                <w:rFonts w:ascii="Calibri" w:eastAsia="Times New Roman" w:hAnsi="Calibri" w:cs="Times New Roman"/>
                <w:color w:val="000000"/>
                <w:lang w:eastAsia="en-GB"/>
              </w:rPr>
              <w:t xml:space="preserve">Nurse consultation </w:t>
            </w:r>
          </w:p>
        </w:tc>
        <w:tc>
          <w:tcPr>
            <w:tcW w:w="2893" w:type="dxa"/>
            <w:tcBorders>
              <w:top w:val="nil"/>
              <w:left w:val="nil"/>
              <w:bottom w:val="single" w:sz="4" w:space="0" w:color="auto"/>
              <w:right w:val="nil"/>
            </w:tcBorders>
            <w:vAlign w:val="bottom"/>
            <w:hideMark/>
          </w:tcPr>
          <w:p w14:paraId="0BE3E2E1" w14:textId="77777777" w:rsidR="00C470F9" w:rsidRPr="008D5FAC" w:rsidRDefault="00C470F9" w:rsidP="001E1FA4">
            <w:pPr>
              <w:spacing w:after="0" w:line="240" w:lineRule="auto"/>
              <w:rPr>
                <w:rFonts w:ascii="Calibri" w:eastAsia="Times New Roman" w:hAnsi="Calibri" w:cs="Times New Roman"/>
                <w:color w:val="000000"/>
                <w:lang w:eastAsia="en-GB"/>
              </w:rPr>
            </w:pPr>
            <w:r w:rsidRPr="008D5FAC">
              <w:rPr>
                <w:rFonts w:ascii="Calibri" w:eastAsia="Times New Roman" w:hAnsi="Calibri" w:cs="Times New Roman"/>
                <w:color w:val="000000"/>
                <w:lang w:eastAsia="en-GB"/>
              </w:rPr>
              <w:t>£14.5 (lasting 15.5 mins)</w:t>
            </w:r>
          </w:p>
        </w:tc>
      </w:tr>
    </w:tbl>
    <w:p w14:paraId="143B88CE" w14:textId="65353994" w:rsidR="00C470F9" w:rsidRDefault="00C470F9" w:rsidP="00C470F9">
      <w:pPr>
        <w:suppressLineNumbers/>
        <w:spacing w:before="120" w:after="240" w:line="480" w:lineRule="auto"/>
        <w:rPr>
          <w:rFonts w:eastAsia="Calibri" w:cs="Times New Roman"/>
          <w:b/>
          <w:bCs/>
          <w:szCs w:val="24"/>
        </w:rPr>
      </w:pPr>
    </w:p>
    <w:p w14:paraId="31A1E819" w14:textId="449C2CBE" w:rsidR="005223A6" w:rsidRDefault="005223A6" w:rsidP="00C470F9">
      <w:pPr>
        <w:suppressLineNumbers/>
        <w:spacing w:before="120" w:after="240" w:line="480" w:lineRule="auto"/>
        <w:ind w:firstLine="720"/>
        <w:rPr>
          <w:rFonts w:eastAsia="Calibri" w:cs="Times New Roman"/>
          <w:b/>
          <w:bCs/>
          <w:szCs w:val="24"/>
        </w:rPr>
      </w:pPr>
    </w:p>
    <w:p w14:paraId="366D5BE7" w14:textId="03DDB8CE" w:rsidR="00C470F9" w:rsidRDefault="00C470F9" w:rsidP="00C470F9">
      <w:pPr>
        <w:suppressLineNumbers/>
        <w:spacing w:before="120" w:after="240" w:line="480" w:lineRule="auto"/>
        <w:ind w:firstLine="720"/>
        <w:rPr>
          <w:rFonts w:eastAsia="Calibri" w:cs="Times New Roman"/>
          <w:b/>
          <w:bCs/>
          <w:szCs w:val="24"/>
        </w:rPr>
      </w:pPr>
    </w:p>
    <w:p w14:paraId="6C075AA6" w14:textId="0C712604" w:rsidR="00C470F9" w:rsidRDefault="00C470F9" w:rsidP="00C470F9">
      <w:pPr>
        <w:suppressLineNumbers/>
        <w:spacing w:before="120" w:after="240" w:line="480" w:lineRule="auto"/>
        <w:ind w:firstLine="720"/>
        <w:rPr>
          <w:rFonts w:eastAsia="Calibri" w:cs="Times New Roman"/>
          <w:b/>
          <w:bCs/>
          <w:szCs w:val="24"/>
        </w:rPr>
      </w:pPr>
    </w:p>
    <w:p w14:paraId="06B5B61B" w14:textId="12F90A10" w:rsidR="00C470F9" w:rsidRDefault="00C470F9" w:rsidP="00C470F9">
      <w:pPr>
        <w:suppressLineNumbers/>
        <w:spacing w:before="120" w:after="240" w:line="480" w:lineRule="auto"/>
        <w:rPr>
          <w:rFonts w:eastAsia="Calibri" w:cs="Times New Roman"/>
          <w:b/>
          <w:bCs/>
          <w:szCs w:val="24"/>
        </w:rPr>
      </w:pPr>
    </w:p>
    <w:p w14:paraId="7703CD7E" w14:textId="77777777" w:rsidR="00C470F9" w:rsidRPr="005223A6" w:rsidRDefault="00C470F9" w:rsidP="00C470F9">
      <w:pPr>
        <w:suppressLineNumbers/>
        <w:spacing w:before="120" w:after="240" w:line="480" w:lineRule="auto"/>
        <w:rPr>
          <w:rFonts w:eastAsia="Calibri" w:cs="Times New Roman"/>
          <w:b/>
          <w:bCs/>
          <w:szCs w:val="24"/>
        </w:rPr>
      </w:pPr>
    </w:p>
    <w:p w14:paraId="4D049E80" w14:textId="2F6617AB" w:rsidR="004B4CCD" w:rsidRDefault="00C01446" w:rsidP="00A970B0">
      <w:pPr>
        <w:spacing w:before="120" w:after="240" w:line="480" w:lineRule="auto"/>
        <w:rPr>
          <w:rFonts w:eastAsia="Calibri" w:cs="Times New Roman"/>
          <w:szCs w:val="24"/>
        </w:rPr>
      </w:pPr>
      <w:r w:rsidRPr="00ED53A0">
        <w:rPr>
          <w:rFonts w:eastAsia="Calibri" w:cs="Times New Roman"/>
          <w:b/>
          <w:szCs w:val="24"/>
        </w:rPr>
        <w:t xml:space="preserve">Prescription drugs: </w:t>
      </w:r>
      <w:r w:rsidR="00907805">
        <w:rPr>
          <w:rFonts w:eastAsia="Calibri" w:cs="Times New Roman"/>
          <w:bCs/>
          <w:szCs w:val="24"/>
        </w:rPr>
        <w:t>Pain</w:t>
      </w:r>
      <w:r w:rsidR="00CE262E">
        <w:rPr>
          <w:rFonts w:eastAsia="Calibri" w:cs="Times New Roman"/>
          <w:szCs w:val="24"/>
        </w:rPr>
        <w:t xml:space="preserve"> relief </w:t>
      </w:r>
      <w:r w:rsidR="00CE262E" w:rsidRPr="00CE262E">
        <w:rPr>
          <w:rFonts w:eastAsia="Calibri" w:cs="Times New Roman"/>
          <w:szCs w:val="24"/>
        </w:rPr>
        <w:t>drug</w:t>
      </w:r>
      <w:r w:rsidR="006F1EC9">
        <w:rPr>
          <w:rFonts w:eastAsia="Calibri" w:cs="Times New Roman"/>
          <w:szCs w:val="24"/>
        </w:rPr>
        <w:t>s and additional drugs</w:t>
      </w:r>
      <w:r w:rsidR="00CE262E" w:rsidRPr="00CE262E">
        <w:rPr>
          <w:rFonts w:eastAsia="Calibri" w:cs="Times New Roman"/>
          <w:szCs w:val="24"/>
        </w:rPr>
        <w:t xml:space="preserve"> that are likely to be related to back pain</w:t>
      </w:r>
      <w:r w:rsidR="00CE262E">
        <w:rPr>
          <w:rFonts w:eastAsia="Calibri" w:cs="Times New Roman"/>
          <w:szCs w:val="24"/>
        </w:rPr>
        <w:t xml:space="preserve"> </w:t>
      </w:r>
      <w:r w:rsidR="00907805">
        <w:rPr>
          <w:rFonts w:eastAsia="Calibri" w:cs="Times New Roman"/>
          <w:szCs w:val="24"/>
        </w:rPr>
        <w:t>(</w:t>
      </w:r>
      <w:r w:rsidR="007B0D91" w:rsidRPr="007B0D91">
        <w:rPr>
          <w:rFonts w:eastAsia="Calibri" w:cs="Times New Roman"/>
          <w:szCs w:val="24"/>
        </w:rPr>
        <w:t xml:space="preserve">Supplementary </w:t>
      </w:r>
      <w:r w:rsidR="00471A83" w:rsidRPr="00471A83">
        <w:rPr>
          <w:rFonts w:eastAsia="Calibri" w:cs="Times New Roman"/>
          <w:szCs w:val="24"/>
        </w:rPr>
        <w:t>file 4</w:t>
      </w:r>
      <w:r w:rsidR="00907805">
        <w:rPr>
          <w:rFonts w:eastAsia="Calibri" w:cs="Times New Roman"/>
          <w:szCs w:val="24"/>
        </w:rPr>
        <w:t>)</w:t>
      </w:r>
      <w:r w:rsidR="00907805" w:rsidRPr="00907805">
        <w:rPr>
          <w:rFonts w:eastAsia="Calibri" w:cs="Times New Roman"/>
          <w:szCs w:val="24"/>
        </w:rPr>
        <w:t xml:space="preserve"> </w:t>
      </w:r>
      <w:r w:rsidR="00907805">
        <w:rPr>
          <w:rFonts w:eastAsia="Calibri" w:cs="Times New Roman"/>
          <w:szCs w:val="24"/>
        </w:rPr>
        <w:t>were included in order</w:t>
      </w:r>
      <w:r w:rsidR="00CE262E">
        <w:rPr>
          <w:rFonts w:eastAsia="Calibri" w:cs="Times New Roman"/>
          <w:szCs w:val="24"/>
        </w:rPr>
        <w:t xml:space="preserve"> </w:t>
      </w:r>
      <w:r w:rsidR="00CE262E" w:rsidRPr="00CE262E">
        <w:rPr>
          <w:rFonts w:eastAsia="Calibri" w:cs="Times New Roman"/>
          <w:szCs w:val="24"/>
        </w:rPr>
        <w:t>to assess healthcare resource use and costs of prescription drugs</w:t>
      </w:r>
      <w:r w:rsidR="00CE262E">
        <w:rPr>
          <w:rFonts w:eastAsia="Calibri" w:cs="Times New Roman"/>
          <w:szCs w:val="24"/>
        </w:rPr>
        <w:t xml:space="preserve">. </w:t>
      </w:r>
      <w:r w:rsidR="00D30ACA" w:rsidRPr="00604ED6">
        <w:rPr>
          <w:rFonts w:eastAsia="Calibri" w:cs="Times New Roman"/>
          <w:szCs w:val="24"/>
        </w:rPr>
        <w:t xml:space="preserve">This was guided by </w:t>
      </w:r>
      <w:r w:rsidR="00933B8C" w:rsidRPr="00604ED6">
        <w:rPr>
          <w:rFonts w:eastAsia="Calibri" w:cs="Times New Roman"/>
          <w:szCs w:val="24"/>
        </w:rPr>
        <w:t>the National Institute for Health and Care Excellence (</w:t>
      </w:r>
      <w:r w:rsidR="00D30ACA" w:rsidRPr="00604ED6">
        <w:rPr>
          <w:rFonts w:eastAsia="Calibri" w:cs="Times New Roman"/>
          <w:szCs w:val="24"/>
        </w:rPr>
        <w:t>NICE</w:t>
      </w:r>
      <w:r w:rsidR="00933B8C" w:rsidRPr="00604ED6">
        <w:rPr>
          <w:rFonts w:eastAsia="Calibri" w:cs="Times New Roman"/>
          <w:szCs w:val="24"/>
        </w:rPr>
        <w:t>)</w:t>
      </w:r>
      <w:r w:rsidR="00D30ACA" w:rsidRPr="00604ED6">
        <w:rPr>
          <w:rFonts w:eastAsia="Calibri" w:cs="Times New Roman"/>
          <w:szCs w:val="24"/>
        </w:rPr>
        <w:t xml:space="preserve"> 2016 guideline </w:t>
      </w:r>
      <w:r w:rsidR="00C55F37" w:rsidRPr="00604ED6">
        <w:rPr>
          <w:rFonts w:eastAsia="Calibri" w:cs="Times New Roman"/>
          <w:szCs w:val="24"/>
        </w:rPr>
        <w:t>for</w:t>
      </w:r>
      <w:r w:rsidR="00D30ACA" w:rsidRPr="00604ED6">
        <w:rPr>
          <w:rFonts w:eastAsia="Calibri" w:cs="Times New Roman"/>
          <w:szCs w:val="24"/>
        </w:rPr>
        <w:t xml:space="preserve"> LBP</w:t>
      </w:r>
      <w:r w:rsidR="00B44AFF" w:rsidRPr="00604ED6">
        <w:rPr>
          <w:rFonts w:eastAsia="Calibri" w:cs="Times New Roman"/>
          <w:szCs w:val="24"/>
        </w:rPr>
        <w:t xml:space="preserve"> </w:t>
      </w:r>
      <w:r w:rsidR="00B44AFF" w:rsidRPr="00604ED6">
        <w:rPr>
          <w:rFonts w:eastAsia="Calibri" w:cs="Times New Roman"/>
          <w:szCs w:val="24"/>
        </w:rPr>
        <w:fldChar w:fldCharType="begin"/>
      </w:r>
      <w:r w:rsidR="00804DE9" w:rsidRPr="00604ED6">
        <w:rPr>
          <w:rFonts w:eastAsia="Calibri" w:cs="Times New Roman"/>
          <w:szCs w:val="24"/>
        </w:rPr>
        <w:instrText xml:space="preserve"> ADDIN EN.CITE &lt;EndNote&gt;&lt;Cite&gt;&lt;Year&gt;2016&lt;/Year&gt;&lt;RecNum&gt;377&lt;/RecNum&gt;&lt;DisplayText&gt;(19)&lt;/DisplayText&gt;&lt;record&gt;&lt;rec-number&gt;377&lt;/rec-number&gt;&lt;foreign-keys&gt;&lt;key app="EN" db-id="wvr0axtt1w9rr8efern5p95ofraatp209r09" timestamp="1679629679"&gt;377&lt;/key&gt;&lt;/foreign-keys&gt;&lt;ref-type name="Web Page"&gt;12&lt;/ref-type&gt;&lt;contributors&gt;&lt;/contributors&gt;&lt;titles&gt;&lt;title&gt;National Institute for Health and Care Excellence (NICE), Low back pain and sciatica in over 16s: assessment and management, NICE guideline [NG59]. &lt;/title&gt;&lt;/titles&gt;&lt;number&gt;September 2017&lt;/number&gt;&lt;dates&gt;&lt;year&gt;2016&lt;/year&gt;&lt;/dates&gt;&lt;urls&gt;&lt;related-urls&gt;&lt;url&gt;https://www.nice.org.uk/guidance/ng59/chapter/Recommendations&lt;/url&gt;&lt;/related-urls&gt;&lt;/urls&gt;&lt;/record&gt;&lt;/Cite&gt;&lt;/EndNote&gt;</w:instrText>
      </w:r>
      <w:r w:rsidR="00B44AFF" w:rsidRPr="00604ED6">
        <w:rPr>
          <w:rFonts w:eastAsia="Calibri" w:cs="Times New Roman"/>
          <w:szCs w:val="24"/>
        </w:rPr>
        <w:fldChar w:fldCharType="separate"/>
      </w:r>
      <w:r w:rsidR="00B44AFF" w:rsidRPr="00604ED6">
        <w:rPr>
          <w:rFonts w:eastAsia="Calibri" w:cs="Times New Roman"/>
          <w:noProof/>
          <w:szCs w:val="24"/>
        </w:rPr>
        <w:t>(19)</w:t>
      </w:r>
      <w:r w:rsidR="00B44AFF" w:rsidRPr="00604ED6">
        <w:rPr>
          <w:rFonts w:eastAsia="Calibri" w:cs="Times New Roman"/>
          <w:szCs w:val="24"/>
        </w:rPr>
        <w:fldChar w:fldCharType="end"/>
      </w:r>
      <w:r w:rsidR="00B44AFF" w:rsidRPr="00604ED6">
        <w:rPr>
          <w:rFonts w:eastAsia="Calibri" w:cs="Times New Roman"/>
          <w:szCs w:val="24"/>
        </w:rPr>
        <w:t>,</w:t>
      </w:r>
      <w:r w:rsidR="00D30ACA" w:rsidRPr="00604ED6">
        <w:rPr>
          <w:rFonts w:eastAsia="Calibri" w:cs="Times New Roman"/>
          <w:szCs w:val="24"/>
        </w:rPr>
        <w:t xml:space="preserve"> existing literature, and consensus with clinician. </w:t>
      </w:r>
      <w:r w:rsidR="006F1EC9" w:rsidRPr="006F1EC9">
        <w:rPr>
          <w:rFonts w:eastAsia="Calibri" w:cs="Times New Roman"/>
          <w:szCs w:val="24"/>
        </w:rPr>
        <w:t xml:space="preserve">The </w:t>
      </w:r>
      <w:r w:rsidR="006F1EC9">
        <w:rPr>
          <w:rFonts w:eastAsia="Calibri" w:cs="Times New Roman"/>
          <w:szCs w:val="24"/>
        </w:rPr>
        <w:t>pain relief medications included</w:t>
      </w:r>
      <w:r w:rsidR="006F1EC9" w:rsidRPr="006F1EC9">
        <w:rPr>
          <w:rFonts w:eastAsia="Calibri" w:cs="Times New Roman"/>
          <w:szCs w:val="24"/>
        </w:rPr>
        <w:t xml:space="preserve"> opioids/opioid-like agents, non-opioids</w:t>
      </w:r>
      <w:r w:rsidR="006F1EC9">
        <w:rPr>
          <w:rFonts w:eastAsia="Calibri" w:cs="Times New Roman"/>
          <w:szCs w:val="24"/>
        </w:rPr>
        <w:t xml:space="preserve">, </w:t>
      </w:r>
      <w:r w:rsidR="006F1EC9" w:rsidRPr="006F1EC9">
        <w:rPr>
          <w:rFonts w:eastAsia="Calibri" w:cs="Times New Roman"/>
          <w:szCs w:val="24"/>
        </w:rPr>
        <w:t xml:space="preserve">nonsteroidal anti-inflammatory drugs or NSAIDs, </w:t>
      </w:r>
      <w:r w:rsidR="00850FFA">
        <w:rPr>
          <w:rFonts w:eastAsia="Calibri" w:cs="Times New Roman"/>
          <w:szCs w:val="24"/>
        </w:rPr>
        <w:t>r</w:t>
      </w:r>
      <w:r w:rsidR="00850FFA" w:rsidRPr="00850FFA">
        <w:rPr>
          <w:rFonts w:eastAsia="Calibri" w:cs="Times New Roman"/>
          <w:szCs w:val="24"/>
        </w:rPr>
        <w:t>ubefacients, topical NSAIDs, capsaicin</w:t>
      </w:r>
      <w:r w:rsidR="00850FFA">
        <w:rPr>
          <w:rFonts w:eastAsia="Calibri" w:cs="Times New Roman"/>
          <w:szCs w:val="24"/>
        </w:rPr>
        <w:t>,</w:t>
      </w:r>
      <w:r w:rsidR="00850FFA" w:rsidRPr="00850FFA">
        <w:rPr>
          <w:rFonts w:eastAsia="Calibri" w:cs="Times New Roman"/>
          <w:szCs w:val="24"/>
        </w:rPr>
        <w:t xml:space="preserve"> and poultices</w:t>
      </w:r>
      <w:r w:rsidR="006F1EC9" w:rsidRPr="006F1EC9">
        <w:rPr>
          <w:rFonts w:eastAsia="Calibri" w:cs="Times New Roman"/>
          <w:szCs w:val="24"/>
        </w:rPr>
        <w:t>.</w:t>
      </w:r>
      <w:r w:rsidR="006F1EC9">
        <w:rPr>
          <w:rFonts w:eastAsia="Calibri" w:cs="Times New Roman"/>
          <w:szCs w:val="24"/>
        </w:rPr>
        <w:t xml:space="preserve"> In addition, drugs that are usually prescribed along with pain relief medications to counteract the effects </w:t>
      </w:r>
      <w:r w:rsidR="00E51AA1">
        <w:rPr>
          <w:rFonts w:eastAsia="Calibri" w:cs="Times New Roman"/>
          <w:szCs w:val="24"/>
        </w:rPr>
        <w:t>of pain killers (</w:t>
      </w:r>
      <w:proofErr w:type="gramStart"/>
      <w:r w:rsidR="005B4EBE">
        <w:rPr>
          <w:rFonts w:eastAsia="Calibri" w:cs="Times New Roman"/>
          <w:szCs w:val="24"/>
        </w:rPr>
        <w:t>e.g.</w:t>
      </w:r>
      <w:proofErr w:type="gramEnd"/>
      <w:r w:rsidR="00E51AA1">
        <w:rPr>
          <w:rFonts w:eastAsia="Calibri" w:cs="Times New Roman"/>
          <w:szCs w:val="24"/>
        </w:rPr>
        <w:t xml:space="preserve"> laxatives) or to ameliorate anxiety </w:t>
      </w:r>
      <w:r w:rsidR="00E51AA1" w:rsidRPr="00E51AA1">
        <w:rPr>
          <w:rFonts w:eastAsia="Calibri" w:cs="Times New Roman"/>
          <w:szCs w:val="24"/>
        </w:rPr>
        <w:t>and depression associated with back pain (</w:t>
      </w:r>
      <w:r w:rsidR="00D45D77" w:rsidRPr="00E51AA1">
        <w:rPr>
          <w:rFonts w:eastAsia="Calibri" w:cs="Times New Roman"/>
          <w:szCs w:val="24"/>
        </w:rPr>
        <w:t>e.g.</w:t>
      </w:r>
      <w:r w:rsidR="00E51AA1" w:rsidRPr="00E51AA1">
        <w:rPr>
          <w:rFonts w:eastAsia="Calibri" w:cs="Times New Roman"/>
          <w:szCs w:val="24"/>
        </w:rPr>
        <w:t xml:space="preserve"> hypnotics and anxiolytics)</w:t>
      </w:r>
      <w:r w:rsidR="00E51AA1">
        <w:rPr>
          <w:rFonts w:eastAsia="Calibri" w:cs="Times New Roman"/>
          <w:szCs w:val="24"/>
        </w:rPr>
        <w:t xml:space="preserve"> were </w:t>
      </w:r>
      <w:r w:rsidR="00D94A46">
        <w:rPr>
          <w:rFonts w:eastAsia="Calibri" w:cs="Times New Roman"/>
          <w:szCs w:val="24"/>
        </w:rPr>
        <w:t>considered</w:t>
      </w:r>
      <w:r w:rsidR="00E51AA1">
        <w:rPr>
          <w:rFonts w:eastAsia="Calibri" w:cs="Times New Roman"/>
          <w:szCs w:val="24"/>
        </w:rPr>
        <w:t xml:space="preserve"> in the analysis</w:t>
      </w:r>
      <w:r w:rsidR="00850FFA">
        <w:rPr>
          <w:rFonts w:eastAsia="Calibri" w:cs="Times New Roman"/>
          <w:szCs w:val="24"/>
        </w:rPr>
        <w:t xml:space="preserve"> as their usage is associated with back pain. </w:t>
      </w:r>
      <w:r w:rsidR="00D94A46">
        <w:rPr>
          <w:rFonts w:eastAsia="Calibri" w:cs="Times New Roman"/>
          <w:szCs w:val="24"/>
        </w:rPr>
        <w:t>T</w:t>
      </w:r>
      <w:r w:rsidR="00850FFA">
        <w:rPr>
          <w:rFonts w:eastAsia="Calibri" w:cs="Times New Roman"/>
          <w:szCs w:val="24"/>
        </w:rPr>
        <w:t>hese</w:t>
      </w:r>
      <w:r w:rsidR="00D94A46">
        <w:rPr>
          <w:rFonts w:eastAsia="Calibri" w:cs="Times New Roman"/>
          <w:szCs w:val="24"/>
        </w:rPr>
        <w:t xml:space="preserve"> included </w:t>
      </w:r>
      <w:r w:rsidR="00D94A46" w:rsidRPr="00D94A46">
        <w:rPr>
          <w:rFonts w:eastAsia="Calibri" w:cs="Times New Roman"/>
          <w:szCs w:val="24"/>
        </w:rPr>
        <w:t>proton pump inhibitors</w:t>
      </w:r>
      <w:r w:rsidR="00D94A46">
        <w:rPr>
          <w:rFonts w:eastAsia="Calibri" w:cs="Times New Roman"/>
          <w:szCs w:val="24"/>
        </w:rPr>
        <w:t xml:space="preserve">, </w:t>
      </w:r>
      <w:r w:rsidR="00D94A46" w:rsidRPr="00D94A46">
        <w:rPr>
          <w:rFonts w:eastAsia="Calibri" w:cs="Times New Roman"/>
          <w:szCs w:val="24"/>
        </w:rPr>
        <w:t>bulk-forming laxatives, stimulant laxatives, faecal softeners, osmotic laxatives</w:t>
      </w:r>
      <w:r w:rsidR="00D94A46">
        <w:rPr>
          <w:rFonts w:eastAsia="Calibri" w:cs="Times New Roman"/>
          <w:szCs w:val="24"/>
        </w:rPr>
        <w:t xml:space="preserve">, </w:t>
      </w:r>
      <w:r w:rsidR="00D94A46" w:rsidRPr="00D94A46">
        <w:rPr>
          <w:rFonts w:eastAsia="Calibri" w:cs="Times New Roman"/>
          <w:szCs w:val="24"/>
        </w:rPr>
        <w:t>corticosteroids</w:t>
      </w:r>
      <w:r w:rsidR="00D94A46">
        <w:rPr>
          <w:rFonts w:eastAsia="Calibri" w:cs="Times New Roman"/>
          <w:szCs w:val="24"/>
        </w:rPr>
        <w:t xml:space="preserve">, </w:t>
      </w:r>
      <w:r w:rsidR="00D94A46" w:rsidRPr="00D94A46">
        <w:rPr>
          <w:rFonts w:eastAsia="Calibri" w:cs="Times New Roman"/>
          <w:szCs w:val="24"/>
        </w:rPr>
        <w:t>hypnotics</w:t>
      </w:r>
      <w:r w:rsidR="00D94A46">
        <w:rPr>
          <w:rFonts w:eastAsia="Calibri" w:cs="Times New Roman"/>
          <w:szCs w:val="24"/>
        </w:rPr>
        <w:t xml:space="preserve">, </w:t>
      </w:r>
      <w:r w:rsidR="00D94A46" w:rsidRPr="00D94A46">
        <w:rPr>
          <w:rFonts w:eastAsia="Calibri" w:cs="Times New Roman"/>
          <w:szCs w:val="24"/>
        </w:rPr>
        <w:t>and anxiolytics.</w:t>
      </w:r>
      <w:r w:rsidR="004D7261">
        <w:rPr>
          <w:rFonts w:eastAsia="Calibri" w:cs="Times New Roman"/>
          <w:szCs w:val="24"/>
        </w:rPr>
        <w:t xml:space="preserve"> </w:t>
      </w:r>
      <w:r w:rsidR="00A970B0" w:rsidRPr="00ED53A0">
        <w:rPr>
          <w:rFonts w:eastAsia="Calibri" w:cs="Times New Roman"/>
          <w:szCs w:val="24"/>
        </w:rPr>
        <w:t xml:space="preserve">The costs of prescription drugs were obtained primarily from NHS Electronic Drug Tariff </w:t>
      </w:r>
      <w:r w:rsidR="00A970B0" w:rsidRPr="00ED53A0">
        <w:rPr>
          <w:rFonts w:eastAsia="Calibri" w:cs="Times New Roman"/>
          <w:szCs w:val="24"/>
        </w:rPr>
        <w:fldChar w:fldCharType="begin"/>
      </w:r>
      <w:r w:rsidR="001A4FEC">
        <w:rPr>
          <w:rFonts w:eastAsia="Calibri" w:cs="Times New Roman"/>
          <w:szCs w:val="24"/>
        </w:rPr>
        <w:instrText xml:space="preserve"> ADDIN EN.CITE &lt;EndNote&gt;&lt;Cite&gt;&lt;Year&gt;2011-15&lt;/Year&gt;&lt;RecNum&gt;161&lt;/RecNum&gt;&lt;DisplayText&gt;(20)&lt;/DisplayText&gt;&lt;record&gt;&lt;rec-number&gt;161&lt;/rec-number&gt;&lt;foreign-keys&gt;&lt;key app="EN" db-id="wvr0axtt1w9rr8efern5p95ofraatp209r09" timestamp="1537019987"&gt;161&lt;/key&gt;&lt;/foreign-keys&gt;&lt;ref-type name="Web Page"&gt;12&lt;/ref-type&gt;&lt;contributors&gt;&lt;secondary-authors&gt;&lt;author&gt;NHS Business Services Authority&lt;/author&gt;&lt;/secondary-authors&gt;&lt;/contributors&gt;&lt;titles&gt;&lt;title&gt;National Health Service (NHS), Electronic Drug Tariff&lt;/title&gt;&lt;/titles&gt;&lt;number&gt;20 March 2018&lt;/number&gt;&lt;dates&gt;&lt;year&gt;2011-15&lt;/year&gt;&lt;/dates&gt;&lt;urls&gt;&lt;related-urls&gt;&lt;url&gt;https://www.nhsbsa.nhs.uk/pharmacies-gp-practices-and-appliance-contractors/drug-tariff&lt;/url&gt;&lt;/related-urls&gt;&lt;/urls&gt;&lt;/record&gt;&lt;/Cite&gt;&lt;/EndNote&gt;</w:instrText>
      </w:r>
      <w:r w:rsidR="00A970B0" w:rsidRPr="00ED53A0">
        <w:rPr>
          <w:rFonts w:eastAsia="Calibri" w:cs="Times New Roman"/>
          <w:szCs w:val="24"/>
        </w:rPr>
        <w:fldChar w:fldCharType="separate"/>
      </w:r>
      <w:r w:rsidR="00B44AFF">
        <w:rPr>
          <w:rFonts w:eastAsia="Calibri" w:cs="Times New Roman"/>
          <w:noProof/>
          <w:szCs w:val="24"/>
        </w:rPr>
        <w:t>(20)</w:t>
      </w:r>
      <w:r w:rsidR="00A970B0" w:rsidRPr="00ED53A0">
        <w:rPr>
          <w:rFonts w:eastAsia="Calibri" w:cs="Times New Roman"/>
          <w:szCs w:val="24"/>
        </w:rPr>
        <w:fldChar w:fldCharType="end"/>
      </w:r>
      <w:r w:rsidR="00A970B0" w:rsidRPr="00ED53A0">
        <w:rPr>
          <w:rFonts w:eastAsia="Calibri" w:cs="Times New Roman"/>
          <w:szCs w:val="24"/>
        </w:rPr>
        <w:t xml:space="preserve">. </w:t>
      </w:r>
      <w:r w:rsidR="008215CC">
        <w:rPr>
          <w:rFonts w:eastAsia="Calibri" w:cs="Times New Roman"/>
          <w:szCs w:val="24"/>
        </w:rPr>
        <w:t>The British National Formulary (</w:t>
      </w:r>
      <w:r w:rsidR="00A970B0" w:rsidRPr="00ED53A0">
        <w:rPr>
          <w:rFonts w:eastAsia="Calibri" w:cs="Times New Roman"/>
          <w:szCs w:val="24"/>
        </w:rPr>
        <w:t>BNF</w:t>
      </w:r>
      <w:r w:rsidR="008215CC">
        <w:rPr>
          <w:rFonts w:eastAsia="Calibri" w:cs="Times New Roman"/>
          <w:szCs w:val="24"/>
        </w:rPr>
        <w:t>)</w:t>
      </w:r>
      <w:r w:rsidR="00A970B0" w:rsidRPr="00ED53A0">
        <w:rPr>
          <w:rFonts w:eastAsia="Calibri" w:cs="Times New Roman"/>
          <w:szCs w:val="24"/>
        </w:rPr>
        <w:t xml:space="preserve"> and Prescription Cost Analysis </w:t>
      </w:r>
      <w:r w:rsidR="00A970B0" w:rsidRPr="00ED53A0">
        <w:rPr>
          <w:rFonts w:eastAsia="Calibri" w:cs="Times New Roman"/>
          <w:szCs w:val="24"/>
        </w:rPr>
        <w:fldChar w:fldCharType="begin"/>
      </w:r>
      <w:r w:rsidR="00804DE9">
        <w:rPr>
          <w:rFonts w:eastAsia="Calibri" w:cs="Times New Roman"/>
          <w:szCs w:val="24"/>
        </w:rPr>
        <w:instrText xml:space="preserve"> ADDIN EN.CITE &lt;EndNote&gt;&lt;Cite&gt;&lt;Year&gt;2011-15&lt;/Year&gt;&lt;RecNum&gt;162&lt;/RecNum&gt;&lt;DisplayText&gt;(21)&lt;/DisplayText&gt;&lt;record&gt;&lt;rec-number&gt;162&lt;/rec-number&gt;&lt;foreign-keys&gt;&lt;key app="EN" db-id="wvr0axtt1w9rr8efern5p95ofraatp209r09" timestamp="1537099467"&gt;162&lt;/key&gt;&lt;/foreign-keys&gt;&lt;ref-type name="Web Page"&gt;12&lt;/ref-type&gt;&lt;contributors&gt;&lt;secondary-authors&gt;&lt;author&gt;NHS Business Services Authority&lt;/author&gt;&lt;/secondary-authors&gt;&lt;/contributors&gt;&lt;titles&gt;&lt;title&gt;National Health Sevice (NHS), Prescription cost analysis (PCA)&lt;/title&gt;&lt;/titles&gt;&lt;number&gt;March 2018&lt;/number&gt;&lt;dates&gt;&lt;year&gt;2011-15&lt;/year&gt;&lt;/dates&gt;&lt;urls&gt;&lt;related-urls&gt;&lt;url&gt;https://www.nhsbsa.nhs.uk/prescription-data/dispensing-data/prescription-cost-analysis-pca-data&lt;/url&gt;&lt;/related-urls&gt;&lt;/urls&gt;&lt;/record&gt;&lt;/Cite&gt;&lt;/EndNote&gt;</w:instrText>
      </w:r>
      <w:r w:rsidR="00A970B0" w:rsidRPr="00ED53A0">
        <w:rPr>
          <w:rFonts w:eastAsia="Calibri" w:cs="Times New Roman"/>
          <w:szCs w:val="24"/>
        </w:rPr>
        <w:fldChar w:fldCharType="separate"/>
      </w:r>
      <w:r w:rsidR="00B44AFF">
        <w:rPr>
          <w:rFonts w:eastAsia="Calibri" w:cs="Times New Roman"/>
          <w:noProof/>
          <w:szCs w:val="24"/>
        </w:rPr>
        <w:t>(21)</w:t>
      </w:r>
      <w:r w:rsidR="00A970B0" w:rsidRPr="00ED53A0">
        <w:rPr>
          <w:rFonts w:eastAsia="Calibri" w:cs="Times New Roman"/>
          <w:szCs w:val="24"/>
        </w:rPr>
        <w:fldChar w:fldCharType="end"/>
      </w:r>
      <w:r w:rsidR="00A970B0" w:rsidRPr="00ED53A0">
        <w:rPr>
          <w:rFonts w:eastAsia="Calibri" w:cs="Times New Roman"/>
          <w:szCs w:val="24"/>
        </w:rPr>
        <w:t xml:space="preserve"> were additionally used when drug prices could not be found from the Drug Tariff. Each prescribed drug in the patient’s record was matched to the unit costs using </w:t>
      </w:r>
      <w:r w:rsidR="00A970B0" w:rsidRPr="00ED53A0">
        <w:rPr>
          <w:rFonts w:eastAsia="Calibri" w:cs="Times New Roman"/>
          <w:szCs w:val="24"/>
        </w:rPr>
        <w:lastRenderedPageBreak/>
        <w:t xml:space="preserve">drug name and formulation. The estimated total costs of drugs for each patient reflected the quantities specified in the prescriptions. </w:t>
      </w:r>
    </w:p>
    <w:p w14:paraId="454181BF" w14:textId="77777777" w:rsidR="00A970B0" w:rsidRPr="00ED53A0" w:rsidRDefault="003A733A" w:rsidP="00F7099B">
      <w:pPr>
        <w:pStyle w:val="Heading2"/>
        <w:rPr>
          <w:rFonts w:eastAsia="Calibri"/>
          <w:b w:val="0"/>
        </w:rPr>
      </w:pPr>
      <w:r>
        <w:rPr>
          <w:rFonts w:eastAsia="Calibri"/>
        </w:rPr>
        <w:t>Statistical analysis</w:t>
      </w:r>
    </w:p>
    <w:p w14:paraId="7D1B4FC7" w14:textId="6B7D5FCF" w:rsidR="003236D2" w:rsidRDefault="00FF087F" w:rsidP="00A970B0">
      <w:pPr>
        <w:spacing w:before="120" w:after="240" w:line="480" w:lineRule="auto"/>
        <w:rPr>
          <w:rFonts w:eastAsia="Calibri" w:cs="Times New Roman"/>
          <w:szCs w:val="24"/>
        </w:rPr>
      </w:pPr>
      <w:r>
        <w:rPr>
          <w:rFonts w:eastAsia="Calibri" w:cs="Times New Roman"/>
          <w:szCs w:val="24"/>
        </w:rPr>
        <w:t>Patient demographics and d</w:t>
      </w:r>
      <w:r w:rsidR="00A970B0" w:rsidRPr="00ED53A0">
        <w:rPr>
          <w:rFonts w:eastAsia="Calibri" w:cs="Times New Roman"/>
          <w:szCs w:val="24"/>
        </w:rPr>
        <w:t xml:space="preserve">escriptive statistics </w:t>
      </w:r>
      <w:r>
        <w:rPr>
          <w:rFonts w:eastAsia="Calibri" w:cs="Times New Roman"/>
          <w:szCs w:val="24"/>
        </w:rPr>
        <w:t>at baseline</w:t>
      </w:r>
      <w:r w:rsidR="00950E33">
        <w:rPr>
          <w:rFonts w:eastAsia="Calibri" w:cs="Times New Roman"/>
          <w:szCs w:val="24"/>
        </w:rPr>
        <w:t>, which was the time period up to index date,</w:t>
      </w:r>
      <w:r>
        <w:rPr>
          <w:rFonts w:eastAsia="Calibri" w:cs="Times New Roman"/>
          <w:szCs w:val="24"/>
        </w:rPr>
        <w:t xml:space="preserve"> </w:t>
      </w:r>
      <w:r w:rsidR="00A970B0" w:rsidRPr="00ED53A0">
        <w:rPr>
          <w:rFonts w:eastAsia="Calibri" w:cs="Times New Roman"/>
          <w:szCs w:val="24"/>
        </w:rPr>
        <w:t xml:space="preserve">were </w:t>
      </w:r>
      <w:r>
        <w:rPr>
          <w:rFonts w:eastAsia="Calibri" w:cs="Times New Roman"/>
          <w:szCs w:val="24"/>
        </w:rPr>
        <w:t>presented</w:t>
      </w:r>
      <w:r w:rsidR="00A970B0" w:rsidRPr="00ED53A0">
        <w:rPr>
          <w:rFonts w:eastAsia="Calibri" w:cs="Times New Roman"/>
          <w:szCs w:val="24"/>
        </w:rPr>
        <w:t xml:space="preserve"> for </w:t>
      </w:r>
      <w:r>
        <w:rPr>
          <w:rFonts w:eastAsia="Calibri" w:cs="Times New Roman"/>
          <w:szCs w:val="24"/>
        </w:rPr>
        <w:t>the case and control groups.</w:t>
      </w:r>
      <w:r w:rsidR="00A970B0" w:rsidRPr="00ED53A0">
        <w:rPr>
          <w:rFonts w:eastAsia="Calibri" w:cs="Times New Roman"/>
          <w:szCs w:val="24"/>
        </w:rPr>
        <w:t xml:space="preserve"> </w:t>
      </w:r>
      <w:r w:rsidR="003236D2" w:rsidRPr="003236D2">
        <w:rPr>
          <w:rFonts w:eastAsia="Calibri" w:cs="Times New Roman"/>
          <w:szCs w:val="24"/>
        </w:rPr>
        <w:t xml:space="preserve">The annual cost of the individual healthcare resource for each patient was estimated as a product of the quantities of resource </w:t>
      </w:r>
      <w:r w:rsidR="00AC5C6B">
        <w:rPr>
          <w:rFonts w:eastAsia="Calibri" w:cs="Times New Roman"/>
          <w:szCs w:val="24"/>
        </w:rPr>
        <w:t>used in 2015</w:t>
      </w:r>
      <w:r w:rsidR="003236D2" w:rsidRPr="003236D2">
        <w:rPr>
          <w:rFonts w:eastAsia="Calibri" w:cs="Times New Roman"/>
          <w:szCs w:val="24"/>
        </w:rPr>
        <w:t xml:space="preserve"> and the attached unit costs. The total cost of all healthcare resource utilisation for each patient was then aggregated to make up the total healthcare cost for the sample. The annual incremental costs associated with the treatment of back pain </w:t>
      </w:r>
      <w:r w:rsidR="00C053D0">
        <w:rPr>
          <w:rFonts w:eastAsia="Calibri" w:cs="Times New Roman"/>
          <w:szCs w:val="24"/>
        </w:rPr>
        <w:t xml:space="preserve">in 2015 </w:t>
      </w:r>
      <w:r w:rsidR="003236D2" w:rsidRPr="003236D2">
        <w:rPr>
          <w:rFonts w:eastAsia="Calibri" w:cs="Times New Roman"/>
          <w:szCs w:val="24"/>
        </w:rPr>
        <w:t>were calculated as the difference between the total cost for the cases and the controls. The mean incremental cost for a back-pain patient was then extrapolated to the UK population using national prevalence estimates.</w:t>
      </w:r>
      <w:r w:rsidR="008A4E45">
        <w:rPr>
          <w:rFonts w:eastAsia="Calibri" w:cs="Times New Roman"/>
          <w:szCs w:val="24"/>
        </w:rPr>
        <w:t xml:space="preserve"> </w:t>
      </w:r>
      <w:r w:rsidR="008A4E45" w:rsidRPr="008A4E45">
        <w:rPr>
          <w:rFonts w:eastAsia="Calibri" w:cs="Times New Roman"/>
          <w:szCs w:val="24"/>
        </w:rPr>
        <w:t xml:space="preserve">In a sensitivity analysis, we </w:t>
      </w:r>
      <w:r w:rsidR="008A4E45">
        <w:rPr>
          <w:rFonts w:eastAsia="Calibri" w:cs="Times New Roman"/>
          <w:szCs w:val="24"/>
        </w:rPr>
        <w:t xml:space="preserve">restricted the study population to the most recent diagnosis </w:t>
      </w:r>
      <w:r w:rsidR="004B4CCD">
        <w:rPr>
          <w:rFonts w:eastAsia="Calibri" w:cs="Times New Roman"/>
          <w:szCs w:val="24"/>
        </w:rPr>
        <w:t xml:space="preserve">(the previous two years) </w:t>
      </w:r>
      <w:r w:rsidR="008A4E45">
        <w:rPr>
          <w:rFonts w:eastAsia="Calibri" w:cs="Times New Roman"/>
          <w:szCs w:val="24"/>
        </w:rPr>
        <w:t>of back pain and their matched controls.</w:t>
      </w:r>
    </w:p>
    <w:p w14:paraId="32668FCC" w14:textId="700C312B" w:rsidR="00F345E5" w:rsidRPr="008A5A1F" w:rsidRDefault="00A970B0" w:rsidP="008A5A1F">
      <w:pPr>
        <w:spacing w:before="120" w:after="240" w:line="480" w:lineRule="auto"/>
        <w:rPr>
          <w:rFonts w:eastAsia="Calibri" w:cs="Times New Roman"/>
        </w:rPr>
      </w:pPr>
      <w:r w:rsidRPr="00ED53A0">
        <w:rPr>
          <w:rFonts w:eastAsia="Calibri" w:cs="Times New Roman"/>
          <w:szCs w:val="24"/>
        </w:rPr>
        <w:t xml:space="preserve">Mean healthcare costs were estimated in sub-groups of back pain patients stratified by gender, age-groups, deprivation quintiles and CCI categories. Variations in mean costs within the groups were tested using t-test and </w:t>
      </w:r>
      <w:r w:rsidR="00B450BE">
        <w:rPr>
          <w:rFonts w:eastAsia="Calibri" w:cs="Times New Roman"/>
          <w:szCs w:val="24"/>
        </w:rPr>
        <w:t>analysis of variance (</w:t>
      </w:r>
      <w:r w:rsidRPr="00ED53A0">
        <w:rPr>
          <w:rFonts w:eastAsia="Calibri" w:cs="Times New Roman"/>
          <w:szCs w:val="24"/>
        </w:rPr>
        <w:t>ANOVA</w:t>
      </w:r>
      <w:r w:rsidR="00B450BE">
        <w:rPr>
          <w:rFonts w:eastAsia="Calibri" w:cs="Times New Roman"/>
          <w:szCs w:val="24"/>
        </w:rPr>
        <w:t>)</w:t>
      </w:r>
      <w:r w:rsidRPr="00ED53A0">
        <w:rPr>
          <w:rFonts w:eastAsia="Calibri" w:cs="Times New Roman"/>
          <w:szCs w:val="24"/>
        </w:rPr>
        <w:t xml:space="preserve"> on bootstrapped samples of the same size as the original data obtained through repeated sampling. Bootstrap simulation </w:t>
      </w:r>
      <w:r w:rsidR="00034ECB">
        <w:rPr>
          <w:rFonts w:eastAsia="Calibri" w:cs="Times New Roman"/>
          <w:szCs w:val="24"/>
        </w:rPr>
        <w:t>has been shown to be</w:t>
      </w:r>
      <w:r w:rsidRPr="00ED53A0">
        <w:rPr>
          <w:rFonts w:eastAsia="Calibri" w:cs="Times New Roman"/>
          <w:szCs w:val="24"/>
        </w:rPr>
        <w:t xml:space="preserve"> effective for comparison of the arithmetic means without making distributional assumptions </w:t>
      </w:r>
      <w:r w:rsidRPr="00ED53A0">
        <w:rPr>
          <w:rFonts w:eastAsia="Calibri" w:cs="Times New Roman"/>
          <w:szCs w:val="24"/>
        </w:rPr>
        <w:fldChar w:fldCharType="begin">
          <w:fldData xml:space="preserve">PEVuZE5vdGU+PENpdGU+PEF1dGhvcj5CYXJiZXI8L0F1dGhvcj48WWVhcj4yMDAwPC9ZZWFyPjxS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PEVuZE5vdGU+PENpdGU+PEF1dGhvcj5CYXJiZXI8L0F1dGhvcj48WWVhcj4yMDAwPC9ZZWFyPjxS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Pr="00ED53A0">
        <w:rPr>
          <w:rFonts w:eastAsia="Calibri" w:cs="Times New Roman"/>
          <w:szCs w:val="24"/>
        </w:rPr>
      </w:r>
      <w:r w:rsidRPr="00ED53A0">
        <w:rPr>
          <w:rFonts w:eastAsia="Calibri" w:cs="Times New Roman"/>
          <w:szCs w:val="24"/>
        </w:rPr>
        <w:fldChar w:fldCharType="separate"/>
      </w:r>
      <w:r w:rsidR="00B44AFF">
        <w:rPr>
          <w:rFonts w:eastAsia="Calibri" w:cs="Times New Roman"/>
          <w:noProof/>
          <w:szCs w:val="24"/>
        </w:rPr>
        <w:t>(22-24)</w:t>
      </w:r>
      <w:r w:rsidRPr="00ED53A0">
        <w:rPr>
          <w:rFonts w:eastAsia="Calibri" w:cs="Times New Roman"/>
          <w:szCs w:val="24"/>
        </w:rPr>
        <w:fldChar w:fldCharType="end"/>
      </w:r>
      <w:r w:rsidRPr="00ED53A0">
        <w:rPr>
          <w:rFonts w:eastAsia="Calibri" w:cs="Times New Roman"/>
          <w:szCs w:val="24"/>
        </w:rPr>
        <w:t>.</w:t>
      </w:r>
      <w:r w:rsidR="00B450BE">
        <w:rPr>
          <w:rFonts w:eastAsia="Calibri" w:cs="Times New Roman"/>
          <w:szCs w:val="24"/>
        </w:rPr>
        <w:t xml:space="preserve"> </w:t>
      </w:r>
      <w:r w:rsidR="00034ECB" w:rsidRPr="00034ECB">
        <w:rPr>
          <w:rFonts w:eastAsia="Calibri" w:cs="Times New Roman"/>
        </w:rPr>
        <w:t>Data extraction w</w:t>
      </w:r>
      <w:r w:rsidR="00E04B5B">
        <w:rPr>
          <w:rFonts w:eastAsia="Calibri" w:cs="Times New Roman"/>
        </w:rPr>
        <w:t>as</w:t>
      </w:r>
      <w:r w:rsidR="00034ECB" w:rsidRPr="00034ECB">
        <w:rPr>
          <w:rFonts w:eastAsia="Calibri" w:cs="Times New Roman"/>
        </w:rPr>
        <w:t xml:space="preserve"> carried out using</w:t>
      </w:r>
      <w:r w:rsidR="00034ECB">
        <w:rPr>
          <w:rFonts w:eastAsia="Calibri" w:cs="Times New Roman"/>
        </w:rPr>
        <w:t xml:space="preserve"> </w:t>
      </w:r>
      <w:r w:rsidR="00E04B5B" w:rsidRPr="00E04B5B">
        <w:rPr>
          <w:rFonts w:eastAsia="Calibri" w:cs="Times New Roman"/>
        </w:rPr>
        <w:t xml:space="preserve">the </w:t>
      </w:r>
      <w:r w:rsidR="00E04B5B">
        <w:rPr>
          <w:rFonts w:eastAsia="Calibri" w:cs="Times New Roman"/>
        </w:rPr>
        <w:t>D</w:t>
      </w:r>
      <w:r w:rsidR="00E04B5B" w:rsidRPr="00E04B5B">
        <w:rPr>
          <w:rFonts w:eastAsia="Calibri" w:cs="Times New Roman"/>
        </w:rPr>
        <w:t xml:space="preserve">ata </w:t>
      </w:r>
      <w:r w:rsidR="00E04B5B">
        <w:rPr>
          <w:rFonts w:eastAsia="Calibri" w:cs="Times New Roman"/>
        </w:rPr>
        <w:t>Ex</w:t>
      </w:r>
      <w:r w:rsidR="00E04B5B" w:rsidRPr="00E04B5B">
        <w:rPr>
          <w:rFonts w:eastAsia="Calibri" w:cs="Times New Roman"/>
        </w:rPr>
        <w:t>traction for</w:t>
      </w:r>
      <w:r w:rsidR="00E04B5B">
        <w:rPr>
          <w:rFonts w:eastAsia="Calibri" w:cs="Times New Roman"/>
        </w:rPr>
        <w:t xml:space="preserve"> E</w:t>
      </w:r>
      <w:r w:rsidR="00E04B5B" w:rsidRPr="00E04B5B">
        <w:rPr>
          <w:rFonts w:eastAsia="Calibri" w:cs="Times New Roman"/>
        </w:rPr>
        <w:t xml:space="preserve">pidemiology </w:t>
      </w:r>
      <w:r w:rsidR="00E04B5B">
        <w:rPr>
          <w:rFonts w:eastAsia="Calibri" w:cs="Times New Roman"/>
        </w:rPr>
        <w:t>R</w:t>
      </w:r>
      <w:r w:rsidR="00E04B5B" w:rsidRPr="00E04B5B">
        <w:rPr>
          <w:rFonts w:eastAsia="Calibri" w:cs="Times New Roman"/>
        </w:rPr>
        <w:t>esearch (</w:t>
      </w:r>
      <w:proofErr w:type="spellStart"/>
      <w:r w:rsidR="00E04B5B" w:rsidRPr="00E04B5B">
        <w:rPr>
          <w:rFonts w:eastAsia="Calibri" w:cs="Times New Roman"/>
        </w:rPr>
        <w:t>DExtER</w:t>
      </w:r>
      <w:proofErr w:type="spellEnd"/>
      <w:r w:rsidR="00E04B5B" w:rsidRPr="00E04B5B">
        <w:rPr>
          <w:rFonts w:eastAsia="Calibri" w:cs="Times New Roman"/>
        </w:rPr>
        <w:t>)</w:t>
      </w:r>
      <w:r w:rsidR="00E04B5B">
        <w:rPr>
          <w:rFonts w:eastAsia="Calibri" w:cs="Times New Roman"/>
        </w:rPr>
        <w:t xml:space="preserve"> tool </w:t>
      </w:r>
      <w:r w:rsidR="00E04B5B">
        <w:rPr>
          <w:rFonts w:eastAsia="Calibri" w:cs="Times New Roman"/>
        </w:rPr>
        <w:fldChar w:fldCharType="begin">
          <w:fldData xml:space="preserve">PEVuZE5vdGU+PENpdGU+PEF1dGhvcj5Hb2toYWxlPC9BdXRob3I+PFllYXI+MjAyMDwvWWVhcj48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</w:fldData>
        </w:fldChar>
      </w:r>
      <w:r w:rsidR="00B44AFF">
        <w:rPr>
          <w:rFonts w:eastAsia="Calibri" w:cs="Times New Roman"/>
        </w:rPr>
        <w:instrText xml:space="preserve"> ADDIN EN.CITE </w:instrText>
      </w:r>
      <w:r w:rsidR="00B44AFF">
        <w:rPr>
          <w:rFonts w:eastAsia="Calibri" w:cs="Times New Roman"/>
        </w:rPr>
        <w:fldChar w:fldCharType="begin">
          <w:fldData xml:space="preserve">PEVuZE5vdGU+PENpdGU+PEF1dGhvcj5Hb2toYWxlPC9BdXRob3I+PFllYXI+MjAyMDwvWWVhcj48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</w:fldData>
        </w:fldChar>
      </w:r>
      <w:r w:rsidR="00B44AFF">
        <w:rPr>
          <w:rFonts w:eastAsia="Calibri" w:cs="Times New Roman"/>
        </w:rPr>
        <w:instrText xml:space="preserve"> ADDIN EN.CITE.DATA </w:instrText>
      </w:r>
      <w:r w:rsidR="00B44AFF">
        <w:rPr>
          <w:rFonts w:eastAsia="Calibri" w:cs="Times New Roman"/>
        </w:rPr>
      </w:r>
      <w:r w:rsidR="00B44AFF">
        <w:rPr>
          <w:rFonts w:eastAsia="Calibri" w:cs="Times New Roman"/>
        </w:rPr>
        <w:fldChar w:fldCharType="end"/>
      </w:r>
      <w:r w:rsidR="00E04B5B">
        <w:rPr>
          <w:rFonts w:eastAsia="Calibri" w:cs="Times New Roman"/>
        </w:rPr>
      </w:r>
      <w:r w:rsidR="00E04B5B">
        <w:rPr>
          <w:rFonts w:eastAsia="Calibri" w:cs="Times New Roman"/>
        </w:rPr>
        <w:fldChar w:fldCharType="separate"/>
      </w:r>
      <w:r w:rsidR="00B44AFF">
        <w:rPr>
          <w:rFonts w:eastAsia="Calibri" w:cs="Times New Roman"/>
          <w:noProof/>
        </w:rPr>
        <w:t>(25)</w:t>
      </w:r>
      <w:r w:rsidR="00E04B5B">
        <w:rPr>
          <w:rFonts w:eastAsia="Calibri" w:cs="Times New Roman"/>
        </w:rPr>
        <w:fldChar w:fldCharType="end"/>
      </w:r>
      <w:r w:rsidR="00E04B5B">
        <w:rPr>
          <w:rFonts w:eastAsia="Calibri" w:cs="Times New Roman"/>
        </w:rPr>
        <w:t>,</w:t>
      </w:r>
      <w:r w:rsidR="00034ECB">
        <w:rPr>
          <w:rFonts w:eastAsia="Calibri" w:cs="Times New Roman"/>
        </w:rPr>
        <w:t xml:space="preserve"> </w:t>
      </w:r>
      <w:r w:rsidR="00034ECB" w:rsidRPr="00034ECB">
        <w:rPr>
          <w:rFonts w:eastAsia="Calibri" w:cs="Times New Roman"/>
        </w:rPr>
        <w:t xml:space="preserve">and data </w:t>
      </w:r>
      <w:r w:rsidR="00E04B5B">
        <w:rPr>
          <w:rFonts w:eastAsia="Calibri" w:cs="Times New Roman"/>
        </w:rPr>
        <w:t xml:space="preserve">management and </w:t>
      </w:r>
      <w:r w:rsidR="00034ECB" w:rsidRPr="00034ECB">
        <w:rPr>
          <w:rFonts w:eastAsia="Calibri" w:cs="Times New Roman"/>
        </w:rPr>
        <w:t>analyses</w:t>
      </w:r>
      <w:r w:rsidR="00034ECB">
        <w:rPr>
          <w:rFonts w:eastAsia="Calibri" w:cs="Times New Roman"/>
        </w:rPr>
        <w:t xml:space="preserve"> </w:t>
      </w:r>
      <w:r w:rsidR="00034ECB" w:rsidRPr="00034ECB">
        <w:rPr>
          <w:rFonts w:eastAsia="Calibri" w:cs="Times New Roman"/>
        </w:rPr>
        <w:t>were conducted using S</w:t>
      </w:r>
      <w:r w:rsidR="00E04B5B">
        <w:rPr>
          <w:rFonts w:eastAsia="Calibri" w:cs="Times New Roman"/>
        </w:rPr>
        <w:t>tata</w:t>
      </w:r>
      <w:r w:rsidR="00034ECB" w:rsidRPr="00034ECB">
        <w:rPr>
          <w:rFonts w:eastAsia="Calibri" w:cs="Times New Roman"/>
        </w:rPr>
        <w:t xml:space="preserve"> 1</w:t>
      </w:r>
      <w:r w:rsidR="00E04B5B">
        <w:rPr>
          <w:rFonts w:eastAsia="Calibri" w:cs="Times New Roman"/>
        </w:rPr>
        <w:t xml:space="preserve">6.1 SE </w:t>
      </w:r>
      <w:r w:rsidR="00034ECB" w:rsidRPr="00034ECB">
        <w:rPr>
          <w:rFonts w:eastAsia="Calibri" w:cs="Times New Roman"/>
        </w:rPr>
        <w:t>(</w:t>
      </w:r>
      <w:proofErr w:type="spellStart"/>
      <w:r w:rsidR="00034ECB" w:rsidRPr="00034ECB">
        <w:rPr>
          <w:rFonts w:eastAsia="Calibri" w:cs="Times New Roman"/>
        </w:rPr>
        <w:t>StataCorp</w:t>
      </w:r>
      <w:proofErr w:type="spellEnd"/>
      <w:r w:rsidR="00034ECB" w:rsidRPr="00034ECB">
        <w:rPr>
          <w:rFonts w:eastAsia="Calibri" w:cs="Times New Roman"/>
        </w:rPr>
        <w:t>, College Station,</w:t>
      </w:r>
      <w:r w:rsidR="002F62B2">
        <w:rPr>
          <w:rFonts w:eastAsia="Calibri" w:cs="Times New Roman"/>
        </w:rPr>
        <w:t xml:space="preserve"> </w:t>
      </w:r>
      <w:r w:rsidR="00034ECB" w:rsidRPr="00034ECB">
        <w:rPr>
          <w:rFonts w:eastAsia="Calibri" w:cs="Times New Roman"/>
        </w:rPr>
        <w:t>TX).</w:t>
      </w:r>
    </w:p>
    <w:p w14:paraId="2A927FD1" w14:textId="77777777" w:rsidR="00A970B0" w:rsidRPr="00ED53A0" w:rsidRDefault="00A970B0" w:rsidP="00F7099B">
      <w:pPr>
        <w:pStyle w:val="Heading1"/>
        <w:rPr>
          <w:rFonts w:eastAsia="Calibri"/>
          <w:b w:val="0"/>
        </w:rPr>
      </w:pPr>
      <w:bookmarkStart w:id="5" w:name="_Toc15458459"/>
      <w:r w:rsidRPr="00ED53A0">
        <w:rPr>
          <w:rFonts w:eastAsia="Calibri"/>
        </w:rPr>
        <w:lastRenderedPageBreak/>
        <w:t>Results</w:t>
      </w:r>
      <w:bookmarkEnd w:id="5"/>
    </w:p>
    <w:p w14:paraId="513E494B" w14:textId="77777777" w:rsidR="00DF5885" w:rsidRPr="00ED53A0" w:rsidRDefault="00A119CA" w:rsidP="00F7099B">
      <w:pPr>
        <w:pStyle w:val="Heading2"/>
        <w:rPr>
          <w:rFonts w:eastAsia="Calibri"/>
          <w:b w:val="0"/>
        </w:rPr>
      </w:pPr>
      <w:r>
        <w:rPr>
          <w:rFonts w:eastAsia="Calibri"/>
        </w:rPr>
        <w:t>Patient characteristics</w:t>
      </w:r>
    </w:p>
    <w:p w14:paraId="5D8EB050" w14:textId="22DC086A" w:rsidR="00C14490" w:rsidRDefault="00A970B0" w:rsidP="00BB42FA">
      <w:pPr>
        <w:spacing w:before="240" w:after="200" w:line="480" w:lineRule="auto"/>
        <w:rPr>
          <w:rFonts w:eastAsia="Calibri" w:cs="Times New Roman"/>
          <w:szCs w:val="24"/>
        </w:rPr>
      </w:pPr>
      <w:r w:rsidRPr="005B11AA">
        <w:t>The eligible</w:t>
      </w:r>
      <w:r w:rsidR="00F604D8" w:rsidRPr="005B11AA">
        <w:t xml:space="preserve"> </w:t>
      </w:r>
      <w:r w:rsidRPr="005B11AA">
        <w:t>population included 914,461 cases and 1,862,230 controls</w:t>
      </w:r>
      <w:r w:rsidR="005B11AA" w:rsidRPr="005B11AA">
        <w:t xml:space="preserve"> </w:t>
      </w:r>
      <w:r w:rsidR="001B70DA" w:rsidRPr="005B11AA">
        <w:t>(Figure 1)</w:t>
      </w:r>
      <w:r w:rsidR="007B7404" w:rsidRPr="005B11AA">
        <w:t xml:space="preserve">. Of these, </w:t>
      </w:r>
      <w:r w:rsidR="0040436E">
        <w:t xml:space="preserve">a total </w:t>
      </w:r>
      <w:r w:rsidR="007B7404" w:rsidRPr="005B11AA">
        <w:t xml:space="preserve">of 133,341 cases </w:t>
      </w:r>
      <w:r w:rsidR="0040436E">
        <w:t xml:space="preserve">met the </w:t>
      </w:r>
      <w:r w:rsidR="003A3E6A">
        <w:t>sample selection</w:t>
      </w:r>
      <w:r w:rsidR="0040436E">
        <w:t xml:space="preserve"> and were 1:1</w:t>
      </w:r>
      <w:r w:rsidR="007B7404" w:rsidRPr="005B11AA">
        <w:t xml:space="preserve"> matched </w:t>
      </w:r>
      <w:r w:rsidR="0040436E">
        <w:t xml:space="preserve">with controls </w:t>
      </w:r>
      <w:r w:rsidR="007B7404" w:rsidRPr="005B11AA">
        <w:t xml:space="preserve">using propensity score matching. </w:t>
      </w:r>
      <w:r w:rsidR="00761095">
        <w:rPr>
          <w:rFonts w:eastAsia="Calibri" w:cs="Times New Roman"/>
          <w:szCs w:val="24"/>
        </w:rPr>
        <w:t xml:space="preserve">Density </w:t>
      </w:r>
      <w:proofErr w:type="gramStart"/>
      <w:r w:rsidR="00157FA6" w:rsidRPr="00ED53A0">
        <w:rPr>
          <w:rFonts w:eastAsia="Calibri" w:cs="Times New Roman"/>
          <w:szCs w:val="24"/>
        </w:rPr>
        <w:t>estimate</w:t>
      </w:r>
      <w:proofErr w:type="gramEnd"/>
      <w:r w:rsidR="0040436E" w:rsidRPr="00ED53A0">
        <w:rPr>
          <w:rFonts w:eastAsia="Calibri" w:cs="Times New Roman"/>
          <w:szCs w:val="24"/>
        </w:rPr>
        <w:t xml:space="preserve"> graphs plott</w:t>
      </w:r>
      <w:r w:rsidR="00761095">
        <w:rPr>
          <w:rFonts w:eastAsia="Calibri" w:cs="Times New Roman"/>
          <w:szCs w:val="24"/>
        </w:rPr>
        <w:t>ed using</w:t>
      </w:r>
      <w:r w:rsidR="0040436E" w:rsidRPr="00ED53A0">
        <w:rPr>
          <w:rFonts w:eastAsia="Calibri" w:cs="Times New Roman"/>
          <w:szCs w:val="24"/>
        </w:rPr>
        <w:t xml:space="preserve"> their propensity scores before and after matching (</w:t>
      </w:r>
      <w:r w:rsidR="00506ED1" w:rsidRPr="00506ED1">
        <w:rPr>
          <w:rFonts w:eastAsia="Calibri" w:cs="Times New Roman"/>
          <w:szCs w:val="24"/>
        </w:rPr>
        <w:t xml:space="preserve">Supplementary </w:t>
      </w:r>
      <w:r w:rsidR="00A76173" w:rsidRPr="00A76173">
        <w:rPr>
          <w:rFonts w:eastAsia="Calibri" w:cs="Times New Roman"/>
          <w:szCs w:val="24"/>
        </w:rPr>
        <w:t>file 5</w:t>
      </w:r>
      <w:r w:rsidR="0040436E" w:rsidRPr="00ED53A0">
        <w:rPr>
          <w:rFonts w:eastAsia="Calibri" w:cs="Times New Roman"/>
          <w:szCs w:val="24"/>
        </w:rPr>
        <w:t>)</w:t>
      </w:r>
      <w:r w:rsidR="00761095">
        <w:rPr>
          <w:rFonts w:eastAsia="Calibri" w:cs="Times New Roman"/>
          <w:szCs w:val="24"/>
        </w:rPr>
        <w:t xml:space="preserve"> showed good quality of matching</w:t>
      </w:r>
      <w:r w:rsidR="00204EBB">
        <w:rPr>
          <w:rFonts w:eastAsia="Calibri" w:cs="Times New Roman"/>
          <w:szCs w:val="24"/>
        </w:rPr>
        <w:t xml:space="preserve"> between the groups</w:t>
      </w:r>
      <w:r w:rsidR="0040436E" w:rsidRPr="00ED53A0">
        <w:rPr>
          <w:rFonts w:eastAsia="Calibri" w:cs="Times New Roman"/>
          <w:szCs w:val="24"/>
        </w:rPr>
        <w:t>.</w:t>
      </w:r>
      <w:r w:rsidR="00BB42FA">
        <w:rPr>
          <w:rFonts w:eastAsia="Calibri" w:cs="Times New Roman"/>
          <w:szCs w:val="24"/>
        </w:rPr>
        <w:t xml:space="preserve"> </w:t>
      </w:r>
      <w:r w:rsidR="00F06C9F" w:rsidRPr="00F06C9F">
        <w:rPr>
          <w:rFonts w:eastAsia="Calibri" w:cs="Times New Roman"/>
          <w:szCs w:val="24"/>
        </w:rPr>
        <w:t>Further checks were conducted to assess balance between matched samples using percentage bias between the case and control groups for each of the seven characteristics. Inspection of the standardised differences (</w:t>
      </w:r>
      <w:r w:rsidR="00506ED1" w:rsidRPr="00506ED1">
        <w:rPr>
          <w:rFonts w:eastAsia="Calibri" w:cs="Times New Roman"/>
          <w:szCs w:val="24"/>
        </w:rPr>
        <w:t xml:space="preserve">Supplementary </w:t>
      </w:r>
      <w:r w:rsidR="00096C6D" w:rsidRPr="00096C6D">
        <w:rPr>
          <w:rFonts w:eastAsia="Calibri" w:cs="Times New Roman"/>
          <w:szCs w:val="24"/>
        </w:rPr>
        <w:t>file 6</w:t>
      </w:r>
      <w:r w:rsidR="00F06C9F" w:rsidRPr="00F06C9F">
        <w:rPr>
          <w:rFonts w:eastAsia="Calibri" w:cs="Times New Roman"/>
          <w:szCs w:val="24"/>
        </w:rPr>
        <w:t>) showed that the</w:t>
      </w:r>
      <w:r w:rsidR="00F06C9F">
        <w:rPr>
          <w:rFonts w:eastAsia="Calibri" w:cs="Times New Roman"/>
          <w:szCs w:val="24"/>
        </w:rPr>
        <w:t xml:space="preserve"> </w:t>
      </w:r>
      <w:r w:rsidR="00F06C9F" w:rsidRPr="00F06C9F">
        <w:rPr>
          <w:rFonts w:eastAsia="Calibri" w:cs="Times New Roman"/>
          <w:szCs w:val="24"/>
        </w:rPr>
        <w:t>percentage bias remained well below 5% for all seven characteristics after matching.</w:t>
      </w:r>
    </w:p>
    <w:p w14:paraId="601E2FC4" w14:textId="67452C67" w:rsidR="00D3699F" w:rsidRDefault="00D3699F" w:rsidP="00FB7E47">
      <w:pPr>
        <w:spacing w:line="480" w:lineRule="auto"/>
        <w:rPr>
          <w:rFonts w:eastAsia="Calibri" w:cs="Times New Roman"/>
          <w:b/>
          <w:bCs/>
          <w:szCs w:val="24"/>
        </w:rPr>
      </w:pPr>
    </w:p>
    <w:p w14:paraId="460EE6BF" w14:textId="7D848639" w:rsidR="00A970B0" w:rsidRDefault="001B70DA" w:rsidP="00FB7E47">
      <w:pPr>
        <w:spacing w:line="480" w:lineRule="auto"/>
        <w:rPr>
          <w:rFonts w:eastAsia="Calibri" w:cs="Times New Roman"/>
          <w:b/>
          <w:bCs/>
          <w:szCs w:val="24"/>
        </w:rPr>
      </w:pPr>
      <w:r w:rsidRPr="001B70DA">
        <w:rPr>
          <w:rFonts w:eastAsia="Calibri" w:cs="Times New Roman"/>
          <w:b/>
          <w:bCs/>
          <w:szCs w:val="24"/>
        </w:rPr>
        <w:t xml:space="preserve">Figure 1: </w:t>
      </w:r>
      <w:bookmarkStart w:id="6" w:name="_Hlk93166185"/>
      <w:r w:rsidRPr="001B70DA">
        <w:rPr>
          <w:rFonts w:eastAsia="Calibri" w:cs="Times New Roman"/>
          <w:b/>
          <w:bCs/>
          <w:szCs w:val="24"/>
        </w:rPr>
        <w:t>Flowchart of patient inclusion</w:t>
      </w:r>
      <w:bookmarkEnd w:id="6"/>
    </w:p>
    <w:p w14:paraId="1A779FFE" w14:textId="77777777" w:rsidR="00163596" w:rsidRDefault="00163596" w:rsidP="00A970B0">
      <w:pPr>
        <w:spacing w:before="120" w:after="240" w:line="480" w:lineRule="auto"/>
        <w:rPr>
          <w:rFonts w:eastAsia="Calibri" w:cs="Times New Roman"/>
          <w:szCs w:val="24"/>
        </w:rPr>
      </w:pPr>
    </w:p>
    <w:p w14:paraId="737E42C1" w14:textId="4079A846" w:rsidR="00A57A00" w:rsidRDefault="0097206A" w:rsidP="00A970B0">
      <w:pPr>
        <w:spacing w:before="120" w:after="240" w:line="480" w:lineRule="auto"/>
        <w:rPr>
          <w:rFonts w:eastAsia="Calibri" w:cs="Times New Roman"/>
          <w:szCs w:val="24"/>
        </w:rPr>
      </w:pPr>
      <w:r w:rsidRPr="00ED53A0">
        <w:rPr>
          <w:rFonts w:eastAsia="Calibri" w:cs="Times New Roman"/>
          <w:szCs w:val="24"/>
        </w:rPr>
        <w:t xml:space="preserve">The baseline characteristics of the case and control groups is shown in Table </w:t>
      </w:r>
      <w:r w:rsidR="000A56EB">
        <w:rPr>
          <w:rFonts w:eastAsia="Calibri" w:cs="Times New Roman"/>
          <w:szCs w:val="24"/>
        </w:rPr>
        <w:t>2</w:t>
      </w:r>
      <w:r w:rsidRPr="00ED53A0">
        <w:rPr>
          <w:rFonts w:eastAsia="Calibri" w:cs="Times New Roman"/>
          <w:szCs w:val="24"/>
        </w:rPr>
        <w:t>.</w:t>
      </w:r>
      <w:r>
        <w:rPr>
          <w:rFonts w:eastAsia="Calibri" w:cs="Times New Roman"/>
          <w:szCs w:val="24"/>
        </w:rPr>
        <w:t xml:space="preserve"> </w:t>
      </w:r>
      <w:r w:rsidRPr="00ED53A0">
        <w:rPr>
          <w:rFonts w:eastAsia="Calibri" w:cs="Times New Roman"/>
          <w:szCs w:val="24"/>
        </w:rPr>
        <w:t xml:space="preserve">The mean age was </w:t>
      </w:r>
      <w:r>
        <w:rPr>
          <w:rFonts w:eastAsia="Calibri" w:cs="Times New Roman"/>
          <w:szCs w:val="24"/>
        </w:rPr>
        <w:t xml:space="preserve">about </w:t>
      </w:r>
      <w:r w:rsidRPr="00ED53A0">
        <w:rPr>
          <w:rFonts w:eastAsia="Calibri" w:cs="Times New Roman"/>
          <w:szCs w:val="24"/>
        </w:rPr>
        <w:t>5</w:t>
      </w:r>
      <w:r>
        <w:rPr>
          <w:rFonts w:eastAsia="Calibri" w:cs="Times New Roman"/>
          <w:szCs w:val="24"/>
        </w:rPr>
        <w:t>7</w:t>
      </w:r>
      <w:r w:rsidRPr="00ED53A0">
        <w:rPr>
          <w:rFonts w:eastAsia="Calibri" w:cs="Times New Roman"/>
          <w:szCs w:val="24"/>
        </w:rPr>
        <w:t xml:space="preserve"> years</w:t>
      </w:r>
      <w:r w:rsidR="009C3473">
        <w:rPr>
          <w:rFonts w:eastAsia="Calibri" w:cs="Times New Roman"/>
          <w:szCs w:val="24"/>
        </w:rPr>
        <w:t xml:space="preserve"> and </w:t>
      </w:r>
      <w:r>
        <w:rPr>
          <w:rFonts w:eastAsia="Calibri" w:cs="Times New Roman"/>
          <w:szCs w:val="24"/>
        </w:rPr>
        <w:t>62% were females in both groups</w:t>
      </w:r>
      <w:r w:rsidR="006310C7">
        <w:rPr>
          <w:rFonts w:eastAsia="Calibri" w:cs="Times New Roman"/>
          <w:szCs w:val="24"/>
        </w:rPr>
        <w:t>,</w:t>
      </w:r>
      <w:r w:rsidRPr="00ED53A0">
        <w:rPr>
          <w:rFonts w:eastAsia="Calibri" w:cs="Times New Roman"/>
          <w:szCs w:val="24"/>
        </w:rPr>
        <w:t xml:space="preserve"> </w:t>
      </w:r>
      <w:r>
        <w:rPr>
          <w:rFonts w:eastAsia="Calibri" w:cs="Times New Roman"/>
          <w:szCs w:val="24"/>
        </w:rPr>
        <w:t xml:space="preserve">and nearly </w:t>
      </w:r>
      <w:r w:rsidRPr="00ED53A0">
        <w:rPr>
          <w:rFonts w:eastAsia="Calibri" w:cs="Times New Roman"/>
          <w:szCs w:val="24"/>
        </w:rPr>
        <w:t xml:space="preserve">half of the population </w:t>
      </w:r>
      <w:r>
        <w:rPr>
          <w:rFonts w:eastAsia="Calibri" w:cs="Times New Roman"/>
          <w:szCs w:val="24"/>
        </w:rPr>
        <w:t xml:space="preserve">in both groups </w:t>
      </w:r>
      <w:r w:rsidRPr="00ED53A0">
        <w:rPr>
          <w:rFonts w:eastAsia="Calibri" w:cs="Times New Roman"/>
          <w:szCs w:val="24"/>
        </w:rPr>
        <w:t>also presented with at least one co-morbidity.</w:t>
      </w:r>
    </w:p>
    <w:p w14:paraId="3F0F3250" w14:textId="77777777" w:rsidR="000B224A" w:rsidRDefault="000B224A" w:rsidP="00A970B0">
      <w:pPr>
        <w:spacing w:before="120" w:after="240" w:line="480" w:lineRule="auto"/>
        <w:rPr>
          <w:rFonts w:eastAsia="Calibri" w:cs="Times New Roman"/>
          <w:szCs w:val="24"/>
        </w:rPr>
      </w:pPr>
    </w:p>
    <w:p w14:paraId="0877E270" w14:textId="77777777" w:rsidR="000B224A" w:rsidRDefault="000B224A" w:rsidP="00A970B0">
      <w:pPr>
        <w:spacing w:before="120" w:after="240" w:line="480" w:lineRule="auto"/>
        <w:rPr>
          <w:rFonts w:eastAsia="Calibri" w:cs="Times New Roman"/>
          <w:szCs w:val="24"/>
        </w:rPr>
      </w:pPr>
    </w:p>
    <w:p w14:paraId="791CF46C" w14:textId="77777777" w:rsidR="000B224A" w:rsidRDefault="000B224A" w:rsidP="00A970B0">
      <w:pPr>
        <w:spacing w:before="120" w:after="240" w:line="480" w:lineRule="auto"/>
        <w:rPr>
          <w:rFonts w:eastAsia="Calibri" w:cs="Times New Roman"/>
          <w:szCs w:val="24"/>
        </w:rPr>
      </w:pPr>
    </w:p>
    <w:p w14:paraId="33B276FD" w14:textId="77777777" w:rsidR="000B224A" w:rsidRDefault="000B224A" w:rsidP="00A970B0">
      <w:pPr>
        <w:spacing w:before="120" w:after="240" w:line="480" w:lineRule="auto"/>
        <w:rPr>
          <w:rFonts w:eastAsia="Calibri" w:cs="Times New Roman"/>
          <w:szCs w:val="24"/>
        </w:rPr>
      </w:pPr>
    </w:p>
    <w:p w14:paraId="5518824F" w14:textId="77777777" w:rsidR="000B224A" w:rsidRPr="001C28C9" w:rsidRDefault="000B224A" w:rsidP="00A970B0">
      <w:pPr>
        <w:spacing w:before="120" w:after="240" w:line="480" w:lineRule="auto"/>
        <w:rPr>
          <w:rFonts w:eastAsia="Calibri" w:cs="Times New Roman"/>
          <w:szCs w:val="24"/>
        </w:rPr>
      </w:pPr>
    </w:p>
    <w:p w14:paraId="2CDA5E6E" w14:textId="12233925" w:rsidR="00A970B0" w:rsidRPr="002613AA" w:rsidRDefault="00BB42FA" w:rsidP="00A970B0">
      <w:pPr>
        <w:spacing w:before="120" w:after="240" w:line="480" w:lineRule="auto"/>
        <w:rPr>
          <w:rFonts w:eastAsia="Calibri" w:cs="Times New Roman"/>
          <w:b/>
          <w:bCs/>
          <w:szCs w:val="24"/>
        </w:rPr>
      </w:pPr>
      <w:r w:rsidRPr="00BB42FA">
        <w:rPr>
          <w:rFonts w:ascii="Calibri" w:eastAsia="Calibri" w:hAnsi="Calibri" w:cs="Times New Roman"/>
          <w:b/>
          <w:bCs/>
          <w:noProof/>
          <w:szCs w:val="24"/>
          <w:lang w:eastAsia="en-GB"/>
        </w:rPr>
        <w:lastRenderedPageBreak/>
        <w:t xml:space="preserve">Table </w:t>
      </w:r>
      <w:r w:rsidR="000A56EB">
        <w:rPr>
          <w:rFonts w:ascii="Calibri" w:eastAsia="Calibri" w:hAnsi="Calibri" w:cs="Times New Roman"/>
          <w:b/>
          <w:bCs/>
          <w:noProof/>
          <w:szCs w:val="24"/>
          <w:lang w:eastAsia="en-GB"/>
        </w:rPr>
        <w:t>2</w:t>
      </w:r>
      <w:r w:rsidRPr="00BB42FA">
        <w:rPr>
          <w:rFonts w:ascii="Calibri" w:eastAsia="Calibri" w:hAnsi="Calibri" w:cs="Times New Roman"/>
          <w:b/>
          <w:bCs/>
          <w:noProof/>
          <w:szCs w:val="24"/>
          <w:lang w:eastAsia="en-GB"/>
        </w:rPr>
        <w:t>: Baseline characteristics of the study population</w:t>
      </w:r>
      <w:r w:rsidR="00A970B0" w:rsidRPr="00BB42FA">
        <w:rPr>
          <w:rFonts w:eastAsia="Calibri" w:cs="Times New Roman"/>
          <w:b/>
          <w:bCs/>
          <w:szCs w:val="24"/>
        </w:rPr>
        <w:tab/>
      </w:r>
      <w:r w:rsidR="00A970B0" w:rsidRPr="00BB42FA">
        <w:rPr>
          <w:rFonts w:eastAsia="Calibri" w:cs="Times New Roman"/>
          <w:b/>
          <w:bCs/>
          <w:szCs w:val="24"/>
        </w:rPr>
        <w:tab/>
      </w:r>
    </w:p>
    <w:tbl>
      <w:tblPr>
        <w:tblW w:w="6237" w:type="dxa"/>
        <w:tblLook w:val="04A0" w:firstRow="1" w:lastRow="0" w:firstColumn="1" w:lastColumn="0" w:noHBand="0" w:noVBand="1"/>
      </w:tblPr>
      <w:tblGrid>
        <w:gridCol w:w="2268"/>
        <w:gridCol w:w="1843"/>
        <w:gridCol w:w="2126"/>
      </w:tblGrid>
      <w:tr w:rsidR="00225511" w:rsidRPr="00225511" w14:paraId="11367D49" w14:textId="77777777" w:rsidTr="008E1CD8">
        <w:trPr>
          <w:trHeight w:val="555"/>
        </w:trPr>
        <w:tc>
          <w:tcPr>
            <w:tcW w:w="2268" w:type="dxa"/>
            <w:tcBorders>
              <w:top w:val="single" w:sz="8" w:space="0" w:color="auto"/>
              <w:left w:val="nil"/>
              <w:bottom w:val="double" w:sz="6" w:space="0" w:color="auto"/>
              <w:right w:val="nil"/>
            </w:tcBorders>
            <w:shd w:val="clear" w:color="auto" w:fill="auto"/>
            <w:noWrap/>
            <w:vAlign w:val="bottom"/>
            <w:hideMark/>
          </w:tcPr>
          <w:p w14:paraId="074D13B2" w14:textId="77777777" w:rsidR="00225511" w:rsidRPr="00225511" w:rsidRDefault="00225511" w:rsidP="00225511">
            <w:pPr>
              <w:spacing w:after="0" w:line="240" w:lineRule="auto"/>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Variables</w:t>
            </w:r>
          </w:p>
        </w:tc>
        <w:tc>
          <w:tcPr>
            <w:tcW w:w="1843" w:type="dxa"/>
            <w:tcBorders>
              <w:top w:val="single" w:sz="8" w:space="0" w:color="auto"/>
              <w:left w:val="nil"/>
              <w:bottom w:val="double" w:sz="6" w:space="0" w:color="auto"/>
              <w:right w:val="nil"/>
            </w:tcBorders>
            <w:shd w:val="clear" w:color="auto" w:fill="auto"/>
            <w:vAlign w:val="bottom"/>
            <w:hideMark/>
          </w:tcPr>
          <w:p w14:paraId="32F94D36"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Case (n=133,341)         n (%)</w:t>
            </w:r>
          </w:p>
        </w:tc>
        <w:tc>
          <w:tcPr>
            <w:tcW w:w="2126" w:type="dxa"/>
            <w:tcBorders>
              <w:top w:val="single" w:sz="8" w:space="0" w:color="auto"/>
              <w:left w:val="nil"/>
              <w:bottom w:val="double" w:sz="6" w:space="0" w:color="auto"/>
              <w:right w:val="nil"/>
            </w:tcBorders>
            <w:shd w:val="clear" w:color="auto" w:fill="auto"/>
            <w:vAlign w:val="bottom"/>
            <w:hideMark/>
          </w:tcPr>
          <w:p w14:paraId="2113D747"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Control (n=133,341) n (%)</w:t>
            </w:r>
          </w:p>
        </w:tc>
      </w:tr>
      <w:tr w:rsidR="00225511" w:rsidRPr="00225511" w14:paraId="473D0759" w14:textId="77777777" w:rsidTr="008E1CD8">
        <w:trPr>
          <w:trHeight w:val="315"/>
        </w:trPr>
        <w:tc>
          <w:tcPr>
            <w:tcW w:w="2268" w:type="dxa"/>
            <w:tcBorders>
              <w:top w:val="nil"/>
              <w:left w:val="nil"/>
              <w:bottom w:val="nil"/>
              <w:right w:val="nil"/>
            </w:tcBorders>
            <w:shd w:val="clear" w:color="auto" w:fill="auto"/>
            <w:noWrap/>
            <w:vAlign w:val="bottom"/>
            <w:hideMark/>
          </w:tcPr>
          <w:p w14:paraId="72711FB9" w14:textId="77777777" w:rsidR="00225511" w:rsidRPr="00225511" w:rsidRDefault="00225511" w:rsidP="00225511">
            <w:pPr>
              <w:spacing w:after="0" w:line="240" w:lineRule="auto"/>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 xml:space="preserve">Gender </w:t>
            </w:r>
          </w:p>
        </w:tc>
        <w:tc>
          <w:tcPr>
            <w:tcW w:w="1843" w:type="dxa"/>
            <w:tcBorders>
              <w:top w:val="nil"/>
              <w:left w:val="nil"/>
              <w:bottom w:val="nil"/>
              <w:right w:val="nil"/>
            </w:tcBorders>
            <w:shd w:val="clear" w:color="auto" w:fill="auto"/>
            <w:noWrap/>
            <w:vAlign w:val="bottom"/>
            <w:hideMark/>
          </w:tcPr>
          <w:p w14:paraId="78DB03F9" w14:textId="77777777" w:rsidR="00225511" w:rsidRPr="00225511" w:rsidRDefault="00225511" w:rsidP="00225511">
            <w:pPr>
              <w:spacing w:after="0" w:line="240" w:lineRule="auto"/>
              <w:rPr>
                <w:rFonts w:ascii="Calibri" w:eastAsia="Times New Roman" w:hAnsi="Calibri" w:cs="Calibri"/>
                <w:color w:val="000000"/>
                <w:sz w:val="22"/>
                <w:lang w:eastAsia="en-GB"/>
              </w:rPr>
            </w:pPr>
          </w:p>
        </w:tc>
        <w:tc>
          <w:tcPr>
            <w:tcW w:w="2126" w:type="dxa"/>
            <w:tcBorders>
              <w:top w:val="nil"/>
              <w:left w:val="nil"/>
              <w:bottom w:val="nil"/>
              <w:right w:val="nil"/>
            </w:tcBorders>
            <w:shd w:val="clear" w:color="auto" w:fill="auto"/>
            <w:noWrap/>
            <w:vAlign w:val="bottom"/>
            <w:hideMark/>
          </w:tcPr>
          <w:p w14:paraId="05346CC2" w14:textId="77777777" w:rsidR="00225511" w:rsidRPr="00225511" w:rsidRDefault="00225511" w:rsidP="00225511">
            <w:pPr>
              <w:spacing w:after="0" w:line="240" w:lineRule="auto"/>
              <w:jc w:val="right"/>
              <w:rPr>
                <w:rFonts w:eastAsia="Times New Roman" w:cs="Times New Roman"/>
                <w:sz w:val="20"/>
                <w:szCs w:val="20"/>
                <w:lang w:eastAsia="en-GB"/>
              </w:rPr>
            </w:pPr>
          </w:p>
        </w:tc>
      </w:tr>
      <w:tr w:rsidR="00225511" w:rsidRPr="00225511" w14:paraId="4AA8A578" w14:textId="77777777" w:rsidTr="008E1CD8">
        <w:trPr>
          <w:trHeight w:val="300"/>
        </w:trPr>
        <w:tc>
          <w:tcPr>
            <w:tcW w:w="2268" w:type="dxa"/>
            <w:tcBorders>
              <w:top w:val="nil"/>
              <w:left w:val="nil"/>
              <w:bottom w:val="nil"/>
              <w:right w:val="nil"/>
            </w:tcBorders>
            <w:shd w:val="clear" w:color="auto" w:fill="auto"/>
            <w:noWrap/>
            <w:vAlign w:val="bottom"/>
            <w:hideMark/>
          </w:tcPr>
          <w:p w14:paraId="0B4FB601"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Male</w:t>
            </w:r>
          </w:p>
        </w:tc>
        <w:tc>
          <w:tcPr>
            <w:tcW w:w="1843" w:type="dxa"/>
            <w:tcBorders>
              <w:top w:val="nil"/>
              <w:left w:val="nil"/>
              <w:bottom w:val="nil"/>
              <w:right w:val="nil"/>
            </w:tcBorders>
            <w:shd w:val="clear" w:color="auto" w:fill="auto"/>
            <w:noWrap/>
            <w:vAlign w:val="bottom"/>
            <w:hideMark/>
          </w:tcPr>
          <w:p w14:paraId="0C060195"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50,798 (38.1)</w:t>
            </w:r>
          </w:p>
        </w:tc>
        <w:tc>
          <w:tcPr>
            <w:tcW w:w="2126" w:type="dxa"/>
            <w:tcBorders>
              <w:top w:val="nil"/>
              <w:left w:val="nil"/>
              <w:bottom w:val="nil"/>
              <w:right w:val="nil"/>
            </w:tcBorders>
            <w:shd w:val="clear" w:color="auto" w:fill="auto"/>
            <w:noWrap/>
            <w:vAlign w:val="bottom"/>
            <w:hideMark/>
          </w:tcPr>
          <w:p w14:paraId="5D7773F7"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50,162 (37.6)</w:t>
            </w:r>
          </w:p>
        </w:tc>
      </w:tr>
      <w:tr w:rsidR="00225511" w:rsidRPr="00225511" w14:paraId="49038052" w14:textId="77777777" w:rsidTr="008E1CD8">
        <w:trPr>
          <w:trHeight w:val="300"/>
        </w:trPr>
        <w:tc>
          <w:tcPr>
            <w:tcW w:w="2268" w:type="dxa"/>
            <w:tcBorders>
              <w:top w:val="nil"/>
              <w:left w:val="nil"/>
              <w:bottom w:val="nil"/>
              <w:right w:val="nil"/>
            </w:tcBorders>
            <w:shd w:val="clear" w:color="auto" w:fill="auto"/>
            <w:noWrap/>
            <w:vAlign w:val="bottom"/>
            <w:hideMark/>
          </w:tcPr>
          <w:p w14:paraId="42E0C529"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Female</w:t>
            </w:r>
          </w:p>
        </w:tc>
        <w:tc>
          <w:tcPr>
            <w:tcW w:w="1843" w:type="dxa"/>
            <w:tcBorders>
              <w:top w:val="nil"/>
              <w:left w:val="nil"/>
              <w:bottom w:val="nil"/>
              <w:right w:val="nil"/>
            </w:tcBorders>
            <w:shd w:val="clear" w:color="auto" w:fill="auto"/>
            <w:noWrap/>
            <w:vAlign w:val="bottom"/>
            <w:hideMark/>
          </w:tcPr>
          <w:p w14:paraId="43F88432"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82,543 (61.9)</w:t>
            </w:r>
          </w:p>
        </w:tc>
        <w:tc>
          <w:tcPr>
            <w:tcW w:w="2126" w:type="dxa"/>
            <w:tcBorders>
              <w:top w:val="nil"/>
              <w:left w:val="nil"/>
              <w:bottom w:val="nil"/>
              <w:right w:val="nil"/>
            </w:tcBorders>
            <w:shd w:val="clear" w:color="auto" w:fill="auto"/>
            <w:noWrap/>
            <w:vAlign w:val="bottom"/>
            <w:hideMark/>
          </w:tcPr>
          <w:p w14:paraId="2FF444E3"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83,179 (62.4)</w:t>
            </w:r>
          </w:p>
        </w:tc>
      </w:tr>
      <w:tr w:rsidR="00225511" w:rsidRPr="00225511" w14:paraId="361239D2" w14:textId="77777777" w:rsidTr="008E1CD8">
        <w:trPr>
          <w:trHeight w:val="300"/>
        </w:trPr>
        <w:tc>
          <w:tcPr>
            <w:tcW w:w="2268" w:type="dxa"/>
            <w:tcBorders>
              <w:top w:val="nil"/>
              <w:left w:val="nil"/>
              <w:bottom w:val="nil"/>
              <w:right w:val="nil"/>
            </w:tcBorders>
            <w:shd w:val="clear" w:color="auto" w:fill="auto"/>
            <w:noWrap/>
            <w:vAlign w:val="bottom"/>
            <w:hideMark/>
          </w:tcPr>
          <w:p w14:paraId="265EAB0C" w14:textId="35F65E48" w:rsidR="00225511" w:rsidRPr="00225511" w:rsidRDefault="00225511" w:rsidP="00225511">
            <w:pPr>
              <w:spacing w:after="0" w:line="240" w:lineRule="auto"/>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Age (mean,</w:t>
            </w:r>
            <w:r w:rsidR="008D02DF">
              <w:rPr>
                <w:rFonts w:ascii="Calibri" w:eastAsia="Times New Roman" w:hAnsi="Calibri" w:cs="Calibri"/>
                <w:color w:val="000000"/>
                <w:sz w:val="22"/>
                <w:lang w:eastAsia="en-GB"/>
              </w:rPr>
              <w:t xml:space="preserve"> </w:t>
            </w:r>
            <w:proofErr w:type="spellStart"/>
            <w:r w:rsidRPr="00225511">
              <w:rPr>
                <w:rFonts w:ascii="Calibri" w:eastAsia="Times New Roman" w:hAnsi="Calibri" w:cs="Calibri"/>
                <w:color w:val="000000"/>
                <w:sz w:val="22"/>
                <w:lang w:eastAsia="en-GB"/>
              </w:rPr>
              <w:t>sd</w:t>
            </w:r>
            <w:proofErr w:type="spellEnd"/>
            <w:r w:rsidRPr="00225511">
              <w:rPr>
                <w:rFonts w:ascii="Calibri" w:eastAsia="Times New Roman" w:hAnsi="Calibri" w:cs="Calibri"/>
                <w:color w:val="000000"/>
                <w:sz w:val="22"/>
                <w:lang w:eastAsia="en-GB"/>
              </w:rPr>
              <w:t>)</w:t>
            </w:r>
          </w:p>
        </w:tc>
        <w:tc>
          <w:tcPr>
            <w:tcW w:w="1843" w:type="dxa"/>
            <w:tcBorders>
              <w:top w:val="nil"/>
              <w:left w:val="nil"/>
              <w:bottom w:val="nil"/>
              <w:right w:val="nil"/>
            </w:tcBorders>
            <w:shd w:val="clear" w:color="auto" w:fill="auto"/>
            <w:noWrap/>
            <w:vAlign w:val="bottom"/>
            <w:hideMark/>
          </w:tcPr>
          <w:p w14:paraId="18D4BC5C"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56.5 (16.9)</w:t>
            </w:r>
          </w:p>
        </w:tc>
        <w:tc>
          <w:tcPr>
            <w:tcW w:w="2126" w:type="dxa"/>
            <w:tcBorders>
              <w:top w:val="nil"/>
              <w:left w:val="nil"/>
              <w:bottom w:val="nil"/>
              <w:right w:val="nil"/>
            </w:tcBorders>
            <w:shd w:val="clear" w:color="auto" w:fill="auto"/>
            <w:noWrap/>
            <w:vAlign w:val="bottom"/>
            <w:hideMark/>
          </w:tcPr>
          <w:p w14:paraId="344AD676"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56.7 (16.8)</w:t>
            </w:r>
          </w:p>
        </w:tc>
      </w:tr>
      <w:tr w:rsidR="00225511" w:rsidRPr="00225511" w14:paraId="54C507F2" w14:textId="77777777" w:rsidTr="008E1CD8">
        <w:trPr>
          <w:trHeight w:val="300"/>
        </w:trPr>
        <w:tc>
          <w:tcPr>
            <w:tcW w:w="2268" w:type="dxa"/>
            <w:tcBorders>
              <w:top w:val="nil"/>
              <w:left w:val="nil"/>
              <w:bottom w:val="nil"/>
              <w:right w:val="nil"/>
            </w:tcBorders>
            <w:shd w:val="clear" w:color="auto" w:fill="auto"/>
            <w:noWrap/>
            <w:vAlign w:val="bottom"/>
            <w:hideMark/>
          </w:tcPr>
          <w:p w14:paraId="7440F5AB" w14:textId="77777777" w:rsidR="00225511" w:rsidRPr="00225511" w:rsidRDefault="00225511" w:rsidP="00225511">
            <w:pPr>
              <w:spacing w:after="0" w:line="240" w:lineRule="auto"/>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 xml:space="preserve">Age group </w:t>
            </w:r>
          </w:p>
        </w:tc>
        <w:tc>
          <w:tcPr>
            <w:tcW w:w="1843" w:type="dxa"/>
            <w:tcBorders>
              <w:top w:val="nil"/>
              <w:left w:val="nil"/>
              <w:bottom w:val="nil"/>
              <w:right w:val="nil"/>
            </w:tcBorders>
            <w:shd w:val="clear" w:color="auto" w:fill="auto"/>
            <w:noWrap/>
            <w:vAlign w:val="bottom"/>
            <w:hideMark/>
          </w:tcPr>
          <w:p w14:paraId="7B1D8CCA" w14:textId="77777777" w:rsidR="00225511" w:rsidRPr="00225511" w:rsidRDefault="00225511" w:rsidP="00225511">
            <w:pPr>
              <w:spacing w:after="0" w:line="240" w:lineRule="auto"/>
              <w:rPr>
                <w:rFonts w:ascii="Calibri" w:eastAsia="Times New Roman" w:hAnsi="Calibri" w:cs="Calibri"/>
                <w:color w:val="000000"/>
                <w:sz w:val="22"/>
                <w:lang w:eastAsia="en-GB"/>
              </w:rPr>
            </w:pPr>
          </w:p>
        </w:tc>
        <w:tc>
          <w:tcPr>
            <w:tcW w:w="2126" w:type="dxa"/>
            <w:tcBorders>
              <w:top w:val="nil"/>
              <w:left w:val="nil"/>
              <w:bottom w:val="nil"/>
              <w:right w:val="nil"/>
            </w:tcBorders>
            <w:shd w:val="clear" w:color="auto" w:fill="auto"/>
            <w:noWrap/>
            <w:vAlign w:val="bottom"/>
            <w:hideMark/>
          </w:tcPr>
          <w:p w14:paraId="37AF2256" w14:textId="77777777" w:rsidR="00225511" w:rsidRPr="00225511" w:rsidRDefault="00225511" w:rsidP="00225511">
            <w:pPr>
              <w:spacing w:after="0" w:line="240" w:lineRule="auto"/>
              <w:jc w:val="right"/>
              <w:rPr>
                <w:rFonts w:eastAsia="Times New Roman" w:cs="Times New Roman"/>
                <w:sz w:val="20"/>
                <w:szCs w:val="20"/>
                <w:lang w:eastAsia="en-GB"/>
              </w:rPr>
            </w:pPr>
          </w:p>
        </w:tc>
      </w:tr>
      <w:tr w:rsidR="00225511" w:rsidRPr="00225511" w14:paraId="4BBBA94E" w14:textId="77777777" w:rsidTr="008E1CD8">
        <w:trPr>
          <w:trHeight w:val="300"/>
        </w:trPr>
        <w:tc>
          <w:tcPr>
            <w:tcW w:w="2268" w:type="dxa"/>
            <w:tcBorders>
              <w:top w:val="nil"/>
              <w:left w:val="nil"/>
              <w:bottom w:val="nil"/>
              <w:right w:val="nil"/>
            </w:tcBorders>
            <w:shd w:val="clear" w:color="auto" w:fill="auto"/>
            <w:noWrap/>
            <w:vAlign w:val="bottom"/>
            <w:hideMark/>
          </w:tcPr>
          <w:p w14:paraId="25CEAC6D"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18 - 24</w:t>
            </w:r>
          </w:p>
        </w:tc>
        <w:tc>
          <w:tcPr>
            <w:tcW w:w="1843" w:type="dxa"/>
            <w:tcBorders>
              <w:top w:val="nil"/>
              <w:left w:val="nil"/>
              <w:bottom w:val="nil"/>
              <w:right w:val="nil"/>
            </w:tcBorders>
            <w:shd w:val="clear" w:color="auto" w:fill="auto"/>
            <w:noWrap/>
            <w:vAlign w:val="bottom"/>
            <w:hideMark/>
          </w:tcPr>
          <w:p w14:paraId="04B99F74"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3,167 (2.4)</w:t>
            </w:r>
          </w:p>
        </w:tc>
        <w:tc>
          <w:tcPr>
            <w:tcW w:w="2126" w:type="dxa"/>
            <w:tcBorders>
              <w:top w:val="nil"/>
              <w:left w:val="nil"/>
              <w:bottom w:val="nil"/>
              <w:right w:val="nil"/>
            </w:tcBorders>
            <w:shd w:val="clear" w:color="auto" w:fill="auto"/>
            <w:noWrap/>
            <w:vAlign w:val="bottom"/>
            <w:hideMark/>
          </w:tcPr>
          <w:p w14:paraId="6026CE0D"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3,210(2.4)</w:t>
            </w:r>
          </w:p>
        </w:tc>
      </w:tr>
      <w:tr w:rsidR="00225511" w:rsidRPr="00225511" w14:paraId="617A8D57" w14:textId="77777777" w:rsidTr="008E1CD8">
        <w:trPr>
          <w:trHeight w:val="300"/>
        </w:trPr>
        <w:tc>
          <w:tcPr>
            <w:tcW w:w="2268" w:type="dxa"/>
            <w:tcBorders>
              <w:top w:val="nil"/>
              <w:left w:val="nil"/>
              <w:bottom w:val="nil"/>
              <w:right w:val="nil"/>
            </w:tcBorders>
            <w:shd w:val="clear" w:color="auto" w:fill="auto"/>
            <w:noWrap/>
            <w:vAlign w:val="bottom"/>
            <w:hideMark/>
          </w:tcPr>
          <w:p w14:paraId="795AF458"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25 - 34</w:t>
            </w:r>
          </w:p>
        </w:tc>
        <w:tc>
          <w:tcPr>
            <w:tcW w:w="1843" w:type="dxa"/>
            <w:tcBorders>
              <w:top w:val="nil"/>
              <w:left w:val="nil"/>
              <w:bottom w:val="nil"/>
              <w:right w:val="nil"/>
            </w:tcBorders>
            <w:shd w:val="clear" w:color="auto" w:fill="auto"/>
            <w:noWrap/>
            <w:vAlign w:val="bottom"/>
            <w:hideMark/>
          </w:tcPr>
          <w:p w14:paraId="315CBA19"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11,633 (8.7)</w:t>
            </w:r>
          </w:p>
        </w:tc>
        <w:tc>
          <w:tcPr>
            <w:tcW w:w="2126" w:type="dxa"/>
            <w:tcBorders>
              <w:top w:val="nil"/>
              <w:left w:val="nil"/>
              <w:bottom w:val="nil"/>
              <w:right w:val="nil"/>
            </w:tcBorders>
            <w:shd w:val="clear" w:color="auto" w:fill="auto"/>
            <w:noWrap/>
            <w:vAlign w:val="bottom"/>
            <w:hideMark/>
          </w:tcPr>
          <w:p w14:paraId="4D5C1ABC"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11,590 (8.7)</w:t>
            </w:r>
          </w:p>
        </w:tc>
      </w:tr>
      <w:tr w:rsidR="00225511" w:rsidRPr="00225511" w14:paraId="2D548DB4" w14:textId="77777777" w:rsidTr="008E1CD8">
        <w:trPr>
          <w:trHeight w:val="300"/>
        </w:trPr>
        <w:tc>
          <w:tcPr>
            <w:tcW w:w="2268" w:type="dxa"/>
            <w:tcBorders>
              <w:top w:val="nil"/>
              <w:left w:val="nil"/>
              <w:bottom w:val="nil"/>
              <w:right w:val="nil"/>
            </w:tcBorders>
            <w:shd w:val="clear" w:color="auto" w:fill="auto"/>
            <w:noWrap/>
            <w:vAlign w:val="bottom"/>
            <w:hideMark/>
          </w:tcPr>
          <w:p w14:paraId="358D23CA"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35 - 44</w:t>
            </w:r>
          </w:p>
        </w:tc>
        <w:tc>
          <w:tcPr>
            <w:tcW w:w="1843" w:type="dxa"/>
            <w:tcBorders>
              <w:top w:val="nil"/>
              <w:left w:val="nil"/>
              <w:bottom w:val="nil"/>
              <w:right w:val="nil"/>
            </w:tcBorders>
            <w:shd w:val="clear" w:color="auto" w:fill="auto"/>
            <w:noWrap/>
            <w:vAlign w:val="bottom"/>
            <w:hideMark/>
          </w:tcPr>
          <w:p w14:paraId="02A2C66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19,831 (14.9)</w:t>
            </w:r>
          </w:p>
        </w:tc>
        <w:tc>
          <w:tcPr>
            <w:tcW w:w="2126" w:type="dxa"/>
            <w:tcBorders>
              <w:top w:val="nil"/>
              <w:left w:val="nil"/>
              <w:bottom w:val="nil"/>
              <w:right w:val="nil"/>
            </w:tcBorders>
            <w:shd w:val="clear" w:color="auto" w:fill="auto"/>
            <w:noWrap/>
            <w:vAlign w:val="bottom"/>
            <w:hideMark/>
          </w:tcPr>
          <w:p w14:paraId="39A295A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19,151 (14.4)</w:t>
            </w:r>
          </w:p>
        </w:tc>
      </w:tr>
      <w:tr w:rsidR="00225511" w:rsidRPr="00225511" w14:paraId="75CF1178" w14:textId="77777777" w:rsidTr="008E1CD8">
        <w:trPr>
          <w:trHeight w:val="300"/>
        </w:trPr>
        <w:tc>
          <w:tcPr>
            <w:tcW w:w="2268" w:type="dxa"/>
            <w:tcBorders>
              <w:top w:val="nil"/>
              <w:left w:val="nil"/>
              <w:bottom w:val="nil"/>
              <w:right w:val="nil"/>
            </w:tcBorders>
            <w:shd w:val="clear" w:color="auto" w:fill="auto"/>
            <w:noWrap/>
            <w:vAlign w:val="bottom"/>
            <w:hideMark/>
          </w:tcPr>
          <w:p w14:paraId="1FCCEEE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45 - 54</w:t>
            </w:r>
          </w:p>
        </w:tc>
        <w:tc>
          <w:tcPr>
            <w:tcW w:w="1843" w:type="dxa"/>
            <w:tcBorders>
              <w:top w:val="nil"/>
              <w:left w:val="nil"/>
              <w:bottom w:val="nil"/>
              <w:right w:val="nil"/>
            </w:tcBorders>
            <w:shd w:val="clear" w:color="auto" w:fill="auto"/>
            <w:noWrap/>
            <w:vAlign w:val="bottom"/>
            <w:hideMark/>
          </w:tcPr>
          <w:p w14:paraId="13F717AD"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27,431 (20.6)</w:t>
            </w:r>
          </w:p>
        </w:tc>
        <w:tc>
          <w:tcPr>
            <w:tcW w:w="2126" w:type="dxa"/>
            <w:tcBorders>
              <w:top w:val="nil"/>
              <w:left w:val="nil"/>
              <w:bottom w:val="nil"/>
              <w:right w:val="nil"/>
            </w:tcBorders>
            <w:shd w:val="clear" w:color="auto" w:fill="auto"/>
            <w:noWrap/>
            <w:vAlign w:val="bottom"/>
            <w:hideMark/>
          </w:tcPr>
          <w:p w14:paraId="0953FAF4"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26,991 (20.2)</w:t>
            </w:r>
          </w:p>
        </w:tc>
      </w:tr>
      <w:tr w:rsidR="00225511" w:rsidRPr="00225511" w14:paraId="28174650" w14:textId="77777777" w:rsidTr="008E1CD8">
        <w:trPr>
          <w:trHeight w:val="300"/>
        </w:trPr>
        <w:tc>
          <w:tcPr>
            <w:tcW w:w="2268" w:type="dxa"/>
            <w:tcBorders>
              <w:top w:val="nil"/>
              <w:left w:val="nil"/>
              <w:bottom w:val="nil"/>
              <w:right w:val="nil"/>
            </w:tcBorders>
            <w:shd w:val="clear" w:color="auto" w:fill="auto"/>
            <w:noWrap/>
            <w:vAlign w:val="bottom"/>
            <w:hideMark/>
          </w:tcPr>
          <w:p w14:paraId="23DE1697"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55 - 64</w:t>
            </w:r>
          </w:p>
        </w:tc>
        <w:tc>
          <w:tcPr>
            <w:tcW w:w="1843" w:type="dxa"/>
            <w:tcBorders>
              <w:top w:val="nil"/>
              <w:left w:val="nil"/>
              <w:bottom w:val="nil"/>
              <w:right w:val="nil"/>
            </w:tcBorders>
            <w:shd w:val="clear" w:color="auto" w:fill="auto"/>
            <w:noWrap/>
            <w:vAlign w:val="bottom"/>
            <w:hideMark/>
          </w:tcPr>
          <w:p w14:paraId="1A156B36"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24,958 (18.7)</w:t>
            </w:r>
          </w:p>
        </w:tc>
        <w:tc>
          <w:tcPr>
            <w:tcW w:w="2126" w:type="dxa"/>
            <w:tcBorders>
              <w:top w:val="nil"/>
              <w:left w:val="nil"/>
              <w:bottom w:val="nil"/>
              <w:right w:val="nil"/>
            </w:tcBorders>
            <w:shd w:val="clear" w:color="auto" w:fill="auto"/>
            <w:noWrap/>
            <w:vAlign w:val="bottom"/>
            <w:hideMark/>
          </w:tcPr>
          <w:p w14:paraId="42BEAD9D"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25,022 (18.8)</w:t>
            </w:r>
          </w:p>
        </w:tc>
      </w:tr>
      <w:tr w:rsidR="00225511" w:rsidRPr="00225511" w14:paraId="2BDF55D4" w14:textId="77777777" w:rsidTr="008E1CD8">
        <w:trPr>
          <w:trHeight w:val="300"/>
        </w:trPr>
        <w:tc>
          <w:tcPr>
            <w:tcW w:w="2268" w:type="dxa"/>
            <w:tcBorders>
              <w:top w:val="nil"/>
              <w:left w:val="nil"/>
              <w:bottom w:val="nil"/>
              <w:right w:val="nil"/>
            </w:tcBorders>
            <w:shd w:val="clear" w:color="auto" w:fill="auto"/>
            <w:noWrap/>
            <w:vAlign w:val="bottom"/>
            <w:hideMark/>
          </w:tcPr>
          <w:p w14:paraId="1FF14295"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65 - 74</w:t>
            </w:r>
          </w:p>
        </w:tc>
        <w:tc>
          <w:tcPr>
            <w:tcW w:w="1843" w:type="dxa"/>
            <w:tcBorders>
              <w:top w:val="nil"/>
              <w:left w:val="nil"/>
              <w:bottom w:val="nil"/>
              <w:right w:val="nil"/>
            </w:tcBorders>
            <w:shd w:val="clear" w:color="auto" w:fill="auto"/>
            <w:noWrap/>
            <w:vAlign w:val="bottom"/>
            <w:hideMark/>
          </w:tcPr>
          <w:p w14:paraId="0594079A"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23,823 (17.9)</w:t>
            </w:r>
          </w:p>
        </w:tc>
        <w:tc>
          <w:tcPr>
            <w:tcW w:w="2126" w:type="dxa"/>
            <w:tcBorders>
              <w:top w:val="nil"/>
              <w:left w:val="nil"/>
              <w:bottom w:val="nil"/>
              <w:right w:val="nil"/>
            </w:tcBorders>
            <w:shd w:val="clear" w:color="auto" w:fill="auto"/>
            <w:noWrap/>
            <w:vAlign w:val="bottom"/>
            <w:hideMark/>
          </w:tcPr>
          <w:p w14:paraId="1AF45EA3"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25,280 (18.9)</w:t>
            </w:r>
          </w:p>
        </w:tc>
      </w:tr>
      <w:tr w:rsidR="00225511" w:rsidRPr="00225511" w14:paraId="48982CBD" w14:textId="77777777" w:rsidTr="008E1CD8">
        <w:trPr>
          <w:trHeight w:val="300"/>
        </w:trPr>
        <w:tc>
          <w:tcPr>
            <w:tcW w:w="2268" w:type="dxa"/>
            <w:tcBorders>
              <w:top w:val="nil"/>
              <w:left w:val="nil"/>
              <w:bottom w:val="nil"/>
              <w:right w:val="nil"/>
            </w:tcBorders>
            <w:shd w:val="clear" w:color="auto" w:fill="auto"/>
            <w:noWrap/>
            <w:vAlign w:val="bottom"/>
            <w:hideMark/>
          </w:tcPr>
          <w:p w14:paraId="31EC6BDA"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75 &amp; overs</w:t>
            </w:r>
          </w:p>
        </w:tc>
        <w:tc>
          <w:tcPr>
            <w:tcW w:w="1843" w:type="dxa"/>
            <w:tcBorders>
              <w:top w:val="nil"/>
              <w:left w:val="nil"/>
              <w:bottom w:val="nil"/>
              <w:right w:val="nil"/>
            </w:tcBorders>
            <w:shd w:val="clear" w:color="auto" w:fill="auto"/>
            <w:noWrap/>
            <w:vAlign w:val="bottom"/>
            <w:hideMark/>
          </w:tcPr>
          <w:p w14:paraId="55F248C2"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22,498 (16.9)</w:t>
            </w:r>
          </w:p>
        </w:tc>
        <w:tc>
          <w:tcPr>
            <w:tcW w:w="2126" w:type="dxa"/>
            <w:tcBorders>
              <w:top w:val="nil"/>
              <w:left w:val="nil"/>
              <w:bottom w:val="nil"/>
              <w:right w:val="nil"/>
            </w:tcBorders>
            <w:shd w:val="clear" w:color="auto" w:fill="auto"/>
            <w:noWrap/>
            <w:vAlign w:val="bottom"/>
            <w:hideMark/>
          </w:tcPr>
          <w:p w14:paraId="4ADE2E04"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22,097 (16.6)</w:t>
            </w:r>
          </w:p>
        </w:tc>
      </w:tr>
      <w:tr w:rsidR="00225511" w:rsidRPr="00225511" w14:paraId="24F1E4E7" w14:textId="77777777" w:rsidTr="008E1CD8">
        <w:trPr>
          <w:trHeight w:val="300"/>
        </w:trPr>
        <w:tc>
          <w:tcPr>
            <w:tcW w:w="2268" w:type="dxa"/>
            <w:tcBorders>
              <w:top w:val="nil"/>
              <w:left w:val="nil"/>
              <w:bottom w:val="nil"/>
              <w:right w:val="nil"/>
            </w:tcBorders>
            <w:shd w:val="clear" w:color="auto" w:fill="auto"/>
            <w:noWrap/>
            <w:vAlign w:val="bottom"/>
            <w:hideMark/>
          </w:tcPr>
          <w:p w14:paraId="10F92DF9" w14:textId="77777777" w:rsidR="00225511" w:rsidRPr="00225511" w:rsidRDefault="00225511" w:rsidP="00225511">
            <w:pPr>
              <w:spacing w:after="0" w:line="240" w:lineRule="auto"/>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Townsend quintiles</w:t>
            </w:r>
          </w:p>
        </w:tc>
        <w:tc>
          <w:tcPr>
            <w:tcW w:w="1843" w:type="dxa"/>
            <w:tcBorders>
              <w:top w:val="nil"/>
              <w:left w:val="nil"/>
              <w:bottom w:val="nil"/>
              <w:right w:val="nil"/>
            </w:tcBorders>
            <w:shd w:val="clear" w:color="auto" w:fill="auto"/>
            <w:noWrap/>
            <w:vAlign w:val="bottom"/>
            <w:hideMark/>
          </w:tcPr>
          <w:p w14:paraId="42655EBB" w14:textId="77777777" w:rsidR="00225511" w:rsidRPr="00225511" w:rsidRDefault="00225511" w:rsidP="00225511">
            <w:pPr>
              <w:spacing w:after="0" w:line="240" w:lineRule="auto"/>
              <w:rPr>
                <w:rFonts w:ascii="Calibri" w:eastAsia="Times New Roman" w:hAnsi="Calibri" w:cs="Calibri"/>
                <w:color w:val="000000"/>
                <w:sz w:val="22"/>
                <w:lang w:eastAsia="en-GB"/>
              </w:rPr>
            </w:pPr>
          </w:p>
        </w:tc>
        <w:tc>
          <w:tcPr>
            <w:tcW w:w="2126" w:type="dxa"/>
            <w:tcBorders>
              <w:top w:val="nil"/>
              <w:left w:val="nil"/>
              <w:bottom w:val="nil"/>
              <w:right w:val="nil"/>
            </w:tcBorders>
            <w:shd w:val="clear" w:color="auto" w:fill="auto"/>
            <w:noWrap/>
            <w:vAlign w:val="bottom"/>
            <w:hideMark/>
          </w:tcPr>
          <w:p w14:paraId="45F00B64" w14:textId="77777777" w:rsidR="00225511" w:rsidRPr="00225511" w:rsidRDefault="00225511" w:rsidP="00225511">
            <w:pPr>
              <w:spacing w:after="0" w:line="240" w:lineRule="auto"/>
              <w:jc w:val="right"/>
              <w:rPr>
                <w:rFonts w:eastAsia="Times New Roman" w:cs="Times New Roman"/>
                <w:sz w:val="20"/>
                <w:szCs w:val="20"/>
                <w:lang w:eastAsia="en-GB"/>
              </w:rPr>
            </w:pPr>
          </w:p>
        </w:tc>
      </w:tr>
      <w:tr w:rsidR="00225511" w:rsidRPr="00225511" w14:paraId="495B2F2A" w14:textId="77777777" w:rsidTr="008E1CD8">
        <w:trPr>
          <w:trHeight w:val="300"/>
        </w:trPr>
        <w:tc>
          <w:tcPr>
            <w:tcW w:w="2268" w:type="dxa"/>
            <w:tcBorders>
              <w:top w:val="nil"/>
              <w:left w:val="nil"/>
              <w:bottom w:val="nil"/>
              <w:right w:val="nil"/>
            </w:tcBorders>
            <w:shd w:val="clear" w:color="auto" w:fill="auto"/>
            <w:noWrap/>
            <w:vAlign w:val="bottom"/>
            <w:hideMark/>
          </w:tcPr>
          <w:p w14:paraId="6EE74922"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Least deprived 1</w:t>
            </w:r>
          </w:p>
        </w:tc>
        <w:tc>
          <w:tcPr>
            <w:tcW w:w="1843" w:type="dxa"/>
            <w:tcBorders>
              <w:top w:val="nil"/>
              <w:left w:val="nil"/>
              <w:bottom w:val="nil"/>
              <w:right w:val="nil"/>
            </w:tcBorders>
            <w:shd w:val="clear" w:color="auto" w:fill="auto"/>
            <w:noWrap/>
            <w:vAlign w:val="bottom"/>
            <w:hideMark/>
          </w:tcPr>
          <w:p w14:paraId="39ED87AD"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22,233 (16.7)</w:t>
            </w:r>
          </w:p>
        </w:tc>
        <w:tc>
          <w:tcPr>
            <w:tcW w:w="2126" w:type="dxa"/>
            <w:tcBorders>
              <w:top w:val="nil"/>
              <w:left w:val="nil"/>
              <w:bottom w:val="nil"/>
              <w:right w:val="nil"/>
            </w:tcBorders>
            <w:shd w:val="clear" w:color="auto" w:fill="auto"/>
            <w:noWrap/>
            <w:vAlign w:val="bottom"/>
            <w:hideMark/>
          </w:tcPr>
          <w:p w14:paraId="687AC818"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26,046 (19.5)</w:t>
            </w:r>
          </w:p>
        </w:tc>
      </w:tr>
      <w:tr w:rsidR="00225511" w:rsidRPr="00225511" w14:paraId="4B8BE0EB" w14:textId="77777777" w:rsidTr="008E1CD8">
        <w:trPr>
          <w:trHeight w:val="300"/>
        </w:trPr>
        <w:tc>
          <w:tcPr>
            <w:tcW w:w="2268" w:type="dxa"/>
            <w:tcBorders>
              <w:top w:val="nil"/>
              <w:left w:val="nil"/>
              <w:bottom w:val="nil"/>
              <w:right w:val="nil"/>
            </w:tcBorders>
            <w:shd w:val="clear" w:color="auto" w:fill="auto"/>
            <w:noWrap/>
            <w:vAlign w:val="bottom"/>
            <w:hideMark/>
          </w:tcPr>
          <w:p w14:paraId="4A2D2E0E"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w:t>
            </w:r>
          </w:p>
        </w:tc>
        <w:tc>
          <w:tcPr>
            <w:tcW w:w="1843" w:type="dxa"/>
            <w:tcBorders>
              <w:top w:val="nil"/>
              <w:left w:val="nil"/>
              <w:bottom w:val="nil"/>
              <w:right w:val="nil"/>
            </w:tcBorders>
            <w:shd w:val="clear" w:color="auto" w:fill="auto"/>
            <w:noWrap/>
            <w:vAlign w:val="bottom"/>
            <w:hideMark/>
          </w:tcPr>
          <w:p w14:paraId="424CBA15"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23,244 (17.4)</w:t>
            </w:r>
          </w:p>
        </w:tc>
        <w:tc>
          <w:tcPr>
            <w:tcW w:w="2126" w:type="dxa"/>
            <w:tcBorders>
              <w:top w:val="nil"/>
              <w:left w:val="nil"/>
              <w:bottom w:val="nil"/>
              <w:right w:val="nil"/>
            </w:tcBorders>
            <w:shd w:val="clear" w:color="auto" w:fill="auto"/>
            <w:noWrap/>
            <w:vAlign w:val="bottom"/>
            <w:hideMark/>
          </w:tcPr>
          <w:p w14:paraId="148BA028"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26,341 (19.7)</w:t>
            </w:r>
          </w:p>
        </w:tc>
      </w:tr>
      <w:tr w:rsidR="00225511" w:rsidRPr="00225511" w14:paraId="2740FAC3" w14:textId="77777777" w:rsidTr="008E1CD8">
        <w:trPr>
          <w:trHeight w:val="300"/>
        </w:trPr>
        <w:tc>
          <w:tcPr>
            <w:tcW w:w="2268" w:type="dxa"/>
            <w:tcBorders>
              <w:top w:val="nil"/>
              <w:left w:val="nil"/>
              <w:bottom w:val="nil"/>
              <w:right w:val="nil"/>
            </w:tcBorders>
            <w:shd w:val="clear" w:color="auto" w:fill="auto"/>
            <w:noWrap/>
            <w:vAlign w:val="bottom"/>
            <w:hideMark/>
          </w:tcPr>
          <w:p w14:paraId="50406EA9"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3</w:t>
            </w:r>
          </w:p>
        </w:tc>
        <w:tc>
          <w:tcPr>
            <w:tcW w:w="1843" w:type="dxa"/>
            <w:tcBorders>
              <w:top w:val="nil"/>
              <w:left w:val="nil"/>
              <w:bottom w:val="nil"/>
              <w:right w:val="nil"/>
            </w:tcBorders>
            <w:shd w:val="clear" w:color="auto" w:fill="auto"/>
            <w:noWrap/>
            <w:vAlign w:val="bottom"/>
            <w:hideMark/>
          </w:tcPr>
          <w:p w14:paraId="52E23AA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25,543 (19.2)</w:t>
            </w:r>
          </w:p>
        </w:tc>
        <w:tc>
          <w:tcPr>
            <w:tcW w:w="2126" w:type="dxa"/>
            <w:tcBorders>
              <w:top w:val="nil"/>
              <w:left w:val="nil"/>
              <w:bottom w:val="nil"/>
              <w:right w:val="nil"/>
            </w:tcBorders>
            <w:shd w:val="clear" w:color="auto" w:fill="auto"/>
            <w:noWrap/>
            <w:vAlign w:val="bottom"/>
            <w:hideMark/>
          </w:tcPr>
          <w:p w14:paraId="4BF23DFD" w14:textId="347764A2"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25,275 (19</w:t>
            </w:r>
            <w:r w:rsidR="007162F4">
              <w:rPr>
                <w:rFonts w:ascii="Calibri" w:eastAsia="Times New Roman" w:hAnsi="Calibri" w:cs="Calibri"/>
                <w:color w:val="000000"/>
                <w:sz w:val="22"/>
                <w:lang w:eastAsia="en-GB"/>
              </w:rPr>
              <w:t>.0</w:t>
            </w:r>
            <w:r w:rsidRPr="00225511">
              <w:rPr>
                <w:rFonts w:ascii="Calibri" w:eastAsia="Times New Roman" w:hAnsi="Calibri" w:cs="Calibri"/>
                <w:color w:val="000000"/>
                <w:sz w:val="22"/>
                <w:lang w:eastAsia="en-GB"/>
              </w:rPr>
              <w:t>)</w:t>
            </w:r>
          </w:p>
        </w:tc>
      </w:tr>
      <w:tr w:rsidR="00225511" w:rsidRPr="00225511" w14:paraId="1B144072" w14:textId="77777777" w:rsidTr="008E1CD8">
        <w:trPr>
          <w:trHeight w:val="300"/>
        </w:trPr>
        <w:tc>
          <w:tcPr>
            <w:tcW w:w="2268" w:type="dxa"/>
            <w:tcBorders>
              <w:top w:val="nil"/>
              <w:left w:val="nil"/>
              <w:bottom w:val="nil"/>
              <w:right w:val="nil"/>
            </w:tcBorders>
            <w:shd w:val="clear" w:color="auto" w:fill="auto"/>
            <w:noWrap/>
            <w:vAlign w:val="bottom"/>
            <w:hideMark/>
          </w:tcPr>
          <w:p w14:paraId="02E0DB3E"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4</w:t>
            </w:r>
          </w:p>
        </w:tc>
        <w:tc>
          <w:tcPr>
            <w:tcW w:w="1843" w:type="dxa"/>
            <w:tcBorders>
              <w:top w:val="nil"/>
              <w:left w:val="nil"/>
              <w:bottom w:val="nil"/>
              <w:right w:val="nil"/>
            </w:tcBorders>
            <w:shd w:val="clear" w:color="auto" w:fill="auto"/>
            <w:noWrap/>
            <w:vAlign w:val="bottom"/>
            <w:hideMark/>
          </w:tcPr>
          <w:p w14:paraId="0747892E"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24,503 (18.4)</w:t>
            </w:r>
          </w:p>
        </w:tc>
        <w:tc>
          <w:tcPr>
            <w:tcW w:w="2126" w:type="dxa"/>
            <w:tcBorders>
              <w:top w:val="nil"/>
              <w:left w:val="nil"/>
              <w:bottom w:val="nil"/>
              <w:right w:val="nil"/>
            </w:tcBorders>
            <w:shd w:val="clear" w:color="auto" w:fill="auto"/>
            <w:noWrap/>
            <w:vAlign w:val="bottom"/>
            <w:hideMark/>
          </w:tcPr>
          <w:p w14:paraId="5E667145"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21,528 (16.2)</w:t>
            </w:r>
          </w:p>
        </w:tc>
      </w:tr>
      <w:tr w:rsidR="00225511" w:rsidRPr="00225511" w14:paraId="6111F286" w14:textId="77777777" w:rsidTr="008E1CD8">
        <w:trPr>
          <w:trHeight w:val="300"/>
        </w:trPr>
        <w:tc>
          <w:tcPr>
            <w:tcW w:w="2268" w:type="dxa"/>
            <w:tcBorders>
              <w:top w:val="nil"/>
              <w:left w:val="nil"/>
              <w:bottom w:val="nil"/>
              <w:right w:val="nil"/>
            </w:tcBorders>
            <w:shd w:val="clear" w:color="auto" w:fill="auto"/>
            <w:noWrap/>
            <w:vAlign w:val="bottom"/>
            <w:hideMark/>
          </w:tcPr>
          <w:p w14:paraId="72F91E8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Most deprived 5</w:t>
            </w:r>
          </w:p>
        </w:tc>
        <w:tc>
          <w:tcPr>
            <w:tcW w:w="1843" w:type="dxa"/>
            <w:tcBorders>
              <w:top w:val="nil"/>
              <w:left w:val="nil"/>
              <w:bottom w:val="nil"/>
              <w:right w:val="nil"/>
            </w:tcBorders>
            <w:shd w:val="clear" w:color="auto" w:fill="auto"/>
            <w:noWrap/>
            <w:vAlign w:val="bottom"/>
            <w:hideMark/>
          </w:tcPr>
          <w:p w14:paraId="5A159F20"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20,180 (15.1)</w:t>
            </w:r>
          </w:p>
        </w:tc>
        <w:tc>
          <w:tcPr>
            <w:tcW w:w="2126" w:type="dxa"/>
            <w:tcBorders>
              <w:top w:val="nil"/>
              <w:left w:val="nil"/>
              <w:bottom w:val="nil"/>
              <w:right w:val="nil"/>
            </w:tcBorders>
            <w:shd w:val="clear" w:color="auto" w:fill="auto"/>
            <w:noWrap/>
            <w:vAlign w:val="bottom"/>
            <w:hideMark/>
          </w:tcPr>
          <w:p w14:paraId="0A86665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15,607 (11.7)</w:t>
            </w:r>
          </w:p>
        </w:tc>
      </w:tr>
      <w:tr w:rsidR="00225511" w:rsidRPr="00225511" w14:paraId="1D34BDCB" w14:textId="77777777" w:rsidTr="008E1CD8">
        <w:trPr>
          <w:trHeight w:val="300"/>
        </w:trPr>
        <w:tc>
          <w:tcPr>
            <w:tcW w:w="2268" w:type="dxa"/>
            <w:tcBorders>
              <w:top w:val="nil"/>
              <w:left w:val="nil"/>
              <w:bottom w:val="nil"/>
              <w:right w:val="nil"/>
            </w:tcBorders>
            <w:shd w:val="clear" w:color="auto" w:fill="auto"/>
            <w:noWrap/>
            <w:vAlign w:val="bottom"/>
            <w:hideMark/>
          </w:tcPr>
          <w:p w14:paraId="0891D85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Missing</w:t>
            </w:r>
          </w:p>
        </w:tc>
        <w:tc>
          <w:tcPr>
            <w:tcW w:w="1843" w:type="dxa"/>
            <w:tcBorders>
              <w:top w:val="nil"/>
              <w:left w:val="nil"/>
              <w:bottom w:val="nil"/>
              <w:right w:val="nil"/>
            </w:tcBorders>
            <w:shd w:val="clear" w:color="auto" w:fill="auto"/>
            <w:noWrap/>
            <w:vAlign w:val="bottom"/>
            <w:hideMark/>
          </w:tcPr>
          <w:p w14:paraId="5E26783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17,638 (13.2)</w:t>
            </w:r>
          </w:p>
        </w:tc>
        <w:tc>
          <w:tcPr>
            <w:tcW w:w="2126" w:type="dxa"/>
            <w:tcBorders>
              <w:top w:val="nil"/>
              <w:left w:val="nil"/>
              <w:bottom w:val="nil"/>
              <w:right w:val="nil"/>
            </w:tcBorders>
            <w:shd w:val="clear" w:color="auto" w:fill="auto"/>
            <w:noWrap/>
            <w:vAlign w:val="bottom"/>
            <w:hideMark/>
          </w:tcPr>
          <w:p w14:paraId="04DFEA86"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18,544 (13.9)</w:t>
            </w:r>
          </w:p>
        </w:tc>
      </w:tr>
      <w:tr w:rsidR="00225511" w:rsidRPr="00225511" w14:paraId="0918A179" w14:textId="77777777" w:rsidTr="008E1CD8">
        <w:trPr>
          <w:trHeight w:val="300"/>
        </w:trPr>
        <w:tc>
          <w:tcPr>
            <w:tcW w:w="2268" w:type="dxa"/>
            <w:tcBorders>
              <w:top w:val="nil"/>
              <w:left w:val="nil"/>
              <w:bottom w:val="nil"/>
              <w:right w:val="nil"/>
            </w:tcBorders>
            <w:shd w:val="clear" w:color="auto" w:fill="auto"/>
            <w:noWrap/>
            <w:vAlign w:val="bottom"/>
            <w:hideMark/>
          </w:tcPr>
          <w:p w14:paraId="0B61E78C" w14:textId="77777777" w:rsidR="00225511" w:rsidRPr="00225511" w:rsidRDefault="00225511" w:rsidP="00225511">
            <w:pPr>
              <w:spacing w:after="0" w:line="240" w:lineRule="auto"/>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BMI category</w:t>
            </w:r>
          </w:p>
        </w:tc>
        <w:tc>
          <w:tcPr>
            <w:tcW w:w="1843" w:type="dxa"/>
            <w:tcBorders>
              <w:top w:val="nil"/>
              <w:left w:val="nil"/>
              <w:bottom w:val="nil"/>
              <w:right w:val="nil"/>
            </w:tcBorders>
            <w:shd w:val="clear" w:color="auto" w:fill="auto"/>
            <w:noWrap/>
            <w:vAlign w:val="bottom"/>
            <w:hideMark/>
          </w:tcPr>
          <w:p w14:paraId="45FC8E52" w14:textId="77777777" w:rsidR="00225511" w:rsidRPr="00225511" w:rsidRDefault="00225511" w:rsidP="00225511">
            <w:pPr>
              <w:spacing w:after="0" w:line="240" w:lineRule="auto"/>
              <w:rPr>
                <w:rFonts w:ascii="Calibri" w:eastAsia="Times New Roman" w:hAnsi="Calibri" w:cs="Calibri"/>
                <w:color w:val="000000"/>
                <w:sz w:val="22"/>
                <w:lang w:eastAsia="en-GB"/>
              </w:rPr>
            </w:pPr>
          </w:p>
        </w:tc>
        <w:tc>
          <w:tcPr>
            <w:tcW w:w="2126" w:type="dxa"/>
            <w:tcBorders>
              <w:top w:val="nil"/>
              <w:left w:val="nil"/>
              <w:bottom w:val="nil"/>
              <w:right w:val="nil"/>
            </w:tcBorders>
            <w:shd w:val="clear" w:color="auto" w:fill="auto"/>
            <w:noWrap/>
            <w:vAlign w:val="bottom"/>
            <w:hideMark/>
          </w:tcPr>
          <w:p w14:paraId="04ECBCEE" w14:textId="77777777" w:rsidR="00225511" w:rsidRPr="00225511" w:rsidRDefault="00225511" w:rsidP="00225511">
            <w:pPr>
              <w:spacing w:after="0" w:line="240" w:lineRule="auto"/>
              <w:jc w:val="right"/>
              <w:rPr>
                <w:rFonts w:eastAsia="Times New Roman" w:cs="Times New Roman"/>
                <w:sz w:val="20"/>
                <w:szCs w:val="20"/>
                <w:lang w:eastAsia="en-GB"/>
              </w:rPr>
            </w:pPr>
          </w:p>
        </w:tc>
      </w:tr>
      <w:tr w:rsidR="00225511" w:rsidRPr="00225511" w14:paraId="42D78B04" w14:textId="77777777" w:rsidTr="008E1CD8">
        <w:trPr>
          <w:trHeight w:val="300"/>
        </w:trPr>
        <w:tc>
          <w:tcPr>
            <w:tcW w:w="2268" w:type="dxa"/>
            <w:tcBorders>
              <w:top w:val="nil"/>
              <w:left w:val="nil"/>
              <w:bottom w:val="nil"/>
              <w:right w:val="nil"/>
            </w:tcBorders>
            <w:shd w:val="clear" w:color="auto" w:fill="auto"/>
            <w:noWrap/>
            <w:vAlign w:val="bottom"/>
            <w:hideMark/>
          </w:tcPr>
          <w:p w14:paraId="10F75C7A"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&lt; 25</w:t>
            </w:r>
          </w:p>
        </w:tc>
        <w:tc>
          <w:tcPr>
            <w:tcW w:w="1843" w:type="dxa"/>
            <w:tcBorders>
              <w:top w:val="nil"/>
              <w:left w:val="nil"/>
              <w:bottom w:val="nil"/>
              <w:right w:val="nil"/>
            </w:tcBorders>
            <w:shd w:val="clear" w:color="auto" w:fill="auto"/>
            <w:noWrap/>
            <w:vAlign w:val="bottom"/>
            <w:hideMark/>
          </w:tcPr>
          <w:p w14:paraId="7CA36CAA"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38949 (29.2)</w:t>
            </w:r>
          </w:p>
        </w:tc>
        <w:tc>
          <w:tcPr>
            <w:tcW w:w="2126" w:type="dxa"/>
            <w:tcBorders>
              <w:top w:val="nil"/>
              <w:left w:val="nil"/>
              <w:bottom w:val="nil"/>
              <w:right w:val="nil"/>
            </w:tcBorders>
            <w:shd w:val="clear" w:color="auto" w:fill="auto"/>
            <w:noWrap/>
            <w:vAlign w:val="bottom"/>
            <w:hideMark/>
          </w:tcPr>
          <w:p w14:paraId="248CA661"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42298 (31.7)</w:t>
            </w:r>
          </w:p>
        </w:tc>
      </w:tr>
      <w:tr w:rsidR="00225511" w:rsidRPr="00225511" w14:paraId="5FFF8C93" w14:textId="77777777" w:rsidTr="008E1CD8">
        <w:trPr>
          <w:trHeight w:val="300"/>
        </w:trPr>
        <w:tc>
          <w:tcPr>
            <w:tcW w:w="2268" w:type="dxa"/>
            <w:tcBorders>
              <w:top w:val="nil"/>
              <w:left w:val="nil"/>
              <w:bottom w:val="nil"/>
              <w:right w:val="nil"/>
            </w:tcBorders>
            <w:shd w:val="clear" w:color="auto" w:fill="auto"/>
            <w:noWrap/>
            <w:vAlign w:val="bottom"/>
            <w:hideMark/>
          </w:tcPr>
          <w:p w14:paraId="61FCDFA2"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25 - 30</w:t>
            </w:r>
          </w:p>
        </w:tc>
        <w:tc>
          <w:tcPr>
            <w:tcW w:w="1843" w:type="dxa"/>
            <w:tcBorders>
              <w:top w:val="nil"/>
              <w:left w:val="nil"/>
              <w:bottom w:val="nil"/>
              <w:right w:val="nil"/>
            </w:tcBorders>
            <w:shd w:val="clear" w:color="auto" w:fill="auto"/>
            <w:noWrap/>
            <w:vAlign w:val="bottom"/>
            <w:hideMark/>
          </w:tcPr>
          <w:p w14:paraId="3D1C391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44901 (33.7)</w:t>
            </w:r>
          </w:p>
        </w:tc>
        <w:tc>
          <w:tcPr>
            <w:tcW w:w="2126" w:type="dxa"/>
            <w:tcBorders>
              <w:top w:val="nil"/>
              <w:left w:val="nil"/>
              <w:bottom w:val="nil"/>
              <w:right w:val="nil"/>
            </w:tcBorders>
            <w:shd w:val="clear" w:color="auto" w:fill="auto"/>
            <w:noWrap/>
            <w:vAlign w:val="bottom"/>
            <w:hideMark/>
          </w:tcPr>
          <w:p w14:paraId="7EC829F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44187 (33.1)</w:t>
            </w:r>
          </w:p>
        </w:tc>
      </w:tr>
      <w:tr w:rsidR="00225511" w:rsidRPr="00225511" w14:paraId="1C0250E9" w14:textId="77777777" w:rsidTr="008E1CD8">
        <w:trPr>
          <w:trHeight w:val="300"/>
        </w:trPr>
        <w:tc>
          <w:tcPr>
            <w:tcW w:w="2268" w:type="dxa"/>
            <w:tcBorders>
              <w:top w:val="nil"/>
              <w:left w:val="nil"/>
              <w:bottom w:val="nil"/>
              <w:right w:val="nil"/>
            </w:tcBorders>
            <w:shd w:val="clear" w:color="auto" w:fill="auto"/>
            <w:noWrap/>
            <w:vAlign w:val="bottom"/>
            <w:hideMark/>
          </w:tcPr>
          <w:p w14:paraId="69C0D01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&gt; 30</w:t>
            </w:r>
          </w:p>
        </w:tc>
        <w:tc>
          <w:tcPr>
            <w:tcW w:w="1843" w:type="dxa"/>
            <w:tcBorders>
              <w:top w:val="nil"/>
              <w:left w:val="nil"/>
              <w:bottom w:val="nil"/>
              <w:right w:val="nil"/>
            </w:tcBorders>
            <w:shd w:val="clear" w:color="auto" w:fill="auto"/>
            <w:noWrap/>
            <w:vAlign w:val="bottom"/>
            <w:hideMark/>
          </w:tcPr>
          <w:p w14:paraId="24FD249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40655 (30.5)</w:t>
            </w:r>
          </w:p>
        </w:tc>
        <w:tc>
          <w:tcPr>
            <w:tcW w:w="2126" w:type="dxa"/>
            <w:tcBorders>
              <w:top w:val="nil"/>
              <w:left w:val="nil"/>
              <w:bottom w:val="nil"/>
              <w:right w:val="nil"/>
            </w:tcBorders>
            <w:shd w:val="clear" w:color="auto" w:fill="auto"/>
            <w:noWrap/>
            <w:vAlign w:val="bottom"/>
            <w:hideMark/>
          </w:tcPr>
          <w:p w14:paraId="1E722501"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37895 (28.4)</w:t>
            </w:r>
          </w:p>
        </w:tc>
      </w:tr>
      <w:tr w:rsidR="00225511" w:rsidRPr="00225511" w14:paraId="71940E30" w14:textId="77777777" w:rsidTr="008E1CD8">
        <w:trPr>
          <w:trHeight w:val="300"/>
        </w:trPr>
        <w:tc>
          <w:tcPr>
            <w:tcW w:w="2268" w:type="dxa"/>
            <w:tcBorders>
              <w:top w:val="nil"/>
              <w:left w:val="nil"/>
              <w:bottom w:val="nil"/>
              <w:right w:val="nil"/>
            </w:tcBorders>
            <w:shd w:val="clear" w:color="auto" w:fill="auto"/>
            <w:noWrap/>
            <w:vAlign w:val="bottom"/>
            <w:hideMark/>
          </w:tcPr>
          <w:p w14:paraId="1FE6C14E"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Missing or implausible</w:t>
            </w:r>
          </w:p>
        </w:tc>
        <w:tc>
          <w:tcPr>
            <w:tcW w:w="1843" w:type="dxa"/>
            <w:tcBorders>
              <w:top w:val="nil"/>
              <w:left w:val="nil"/>
              <w:bottom w:val="nil"/>
              <w:right w:val="nil"/>
            </w:tcBorders>
            <w:shd w:val="clear" w:color="auto" w:fill="auto"/>
            <w:noWrap/>
            <w:vAlign w:val="bottom"/>
            <w:hideMark/>
          </w:tcPr>
          <w:p w14:paraId="72928BD3"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8836 (6.6)</w:t>
            </w:r>
          </w:p>
        </w:tc>
        <w:tc>
          <w:tcPr>
            <w:tcW w:w="2126" w:type="dxa"/>
            <w:tcBorders>
              <w:top w:val="nil"/>
              <w:left w:val="nil"/>
              <w:bottom w:val="nil"/>
              <w:right w:val="nil"/>
            </w:tcBorders>
            <w:shd w:val="clear" w:color="auto" w:fill="auto"/>
            <w:noWrap/>
            <w:vAlign w:val="bottom"/>
            <w:hideMark/>
          </w:tcPr>
          <w:p w14:paraId="7B0B0A38"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8961 (6.7)</w:t>
            </w:r>
          </w:p>
        </w:tc>
      </w:tr>
      <w:tr w:rsidR="00225511" w:rsidRPr="00225511" w14:paraId="35F884BA" w14:textId="77777777" w:rsidTr="008E1CD8">
        <w:trPr>
          <w:trHeight w:val="300"/>
        </w:trPr>
        <w:tc>
          <w:tcPr>
            <w:tcW w:w="2268" w:type="dxa"/>
            <w:tcBorders>
              <w:top w:val="nil"/>
              <w:left w:val="nil"/>
              <w:bottom w:val="nil"/>
              <w:right w:val="nil"/>
            </w:tcBorders>
            <w:shd w:val="clear" w:color="auto" w:fill="auto"/>
            <w:noWrap/>
            <w:vAlign w:val="bottom"/>
            <w:hideMark/>
          </w:tcPr>
          <w:p w14:paraId="57F12D6A" w14:textId="77777777" w:rsidR="00225511" w:rsidRPr="00225511" w:rsidRDefault="00225511" w:rsidP="00225511">
            <w:pPr>
              <w:spacing w:after="0" w:line="240" w:lineRule="auto"/>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CCI category</w:t>
            </w:r>
          </w:p>
        </w:tc>
        <w:tc>
          <w:tcPr>
            <w:tcW w:w="1843" w:type="dxa"/>
            <w:tcBorders>
              <w:top w:val="nil"/>
              <w:left w:val="nil"/>
              <w:bottom w:val="nil"/>
              <w:right w:val="nil"/>
            </w:tcBorders>
            <w:shd w:val="clear" w:color="auto" w:fill="auto"/>
            <w:noWrap/>
            <w:vAlign w:val="bottom"/>
            <w:hideMark/>
          </w:tcPr>
          <w:p w14:paraId="5A681D96" w14:textId="77777777" w:rsidR="00225511" w:rsidRPr="00225511" w:rsidRDefault="00225511" w:rsidP="00225511">
            <w:pPr>
              <w:spacing w:after="0" w:line="240" w:lineRule="auto"/>
              <w:rPr>
                <w:rFonts w:ascii="Calibri" w:eastAsia="Times New Roman" w:hAnsi="Calibri" w:cs="Calibri"/>
                <w:color w:val="000000"/>
                <w:sz w:val="22"/>
                <w:lang w:eastAsia="en-GB"/>
              </w:rPr>
            </w:pPr>
          </w:p>
        </w:tc>
        <w:tc>
          <w:tcPr>
            <w:tcW w:w="2126" w:type="dxa"/>
            <w:tcBorders>
              <w:top w:val="nil"/>
              <w:left w:val="nil"/>
              <w:bottom w:val="nil"/>
              <w:right w:val="nil"/>
            </w:tcBorders>
            <w:shd w:val="clear" w:color="auto" w:fill="auto"/>
            <w:noWrap/>
            <w:vAlign w:val="bottom"/>
            <w:hideMark/>
          </w:tcPr>
          <w:p w14:paraId="6743FAC7" w14:textId="77777777" w:rsidR="00225511" w:rsidRPr="00225511" w:rsidRDefault="00225511" w:rsidP="00225511">
            <w:pPr>
              <w:spacing w:after="0" w:line="240" w:lineRule="auto"/>
              <w:jc w:val="right"/>
              <w:rPr>
                <w:rFonts w:eastAsia="Times New Roman" w:cs="Times New Roman"/>
                <w:sz w:val="20"/>
                <w:szCs w:val="20"/>
                <w:lang w:eastAsia="en-GB"/>
              </w:rPr>
            </w:pPr>
          </w:p>
        </w:tc>
      </w:tr>
      <w:tr w:rsidR="00225511" w:rsidRPr="00225511" w14:paraId="777CFEED" w14:textId="77777777" w:rsidTr="008E1CD8">
        <w:trPr>
          <w:trHeight w:val="300"/>
        </w:trPr>
        <w:tc>
          <w:tcPr>
            <w:tcW w:w="2268" w:type="dxa"/>
            <w:tcBorders>
              <w:top w:val="nil"/>
              <w:left w:val="nil"/>
              <w:bottom w:val="nil"/>
              <w:right w:val="nil"/>
            </w:tcBorders>
            <w:shd w:val="clear" w:color="auto" w:fill="auto"/>
            <w:noWrap/>
            <w:vAlign w:val="bottom"/>
            <w:hideMark/>
          </w:tcPr>
          <w:p w14:paraId="1A08A4A5"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0</w:t>
            </w:r>
          </w:p>
        </w:tc>
        <w:tc>
          <w:tcPr>
            <w:tcW w:w="1843" w:type="dxa"/>
            <w:tcBorders>
              <w:top w:val="nil"/>
              <w:left w:val="nil"/>
              <w:bottom w:val="nil"/>
              <w:right w:val="nil"/>
            </w:tcBorders>
            <w:shd w:val="clear" w:color="auto" w:fill="auto"/>
            <w:noWrap/>
            <w:vAlign w:val="bottom"/>
            <w:hideMark/>
          </w:tcPr>
          <w:p w14:paraId="58A115F2"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71,853 (53.9)</w:t>
            </w:r>
          </w:p>
        </w:tc>
        <w:tc>
          <w:tcPr>
            <w:tcW w:w="2126" w:type="dxa"/>
            <w:tcBorders>
              <w:top w:val="nil"/>
              <w:left w:val="nil"/>
              <w:bottom w:val="nil"/>
              <w:right w:val="nil"/>
            </w:tcBorders>
            <w:shd w:val="clear" w:color="auto" w:fill="auto"/>
            <w:noWrap/>
            <w:vAlign w:val="bottom"/>
            <w:hideMark/>
          </w:tcPr>
          <w:p w14:paraId="36D3D41C"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75,961 (56.9)</w:t>
            </w:r>
          </w:p>
        </w:tc>
      </w:tr>
      <w:tr w:rsidR="00225511" w:rsidRPr="00225511" w14:paraId="3E0C99CC" w14:textId="77777777" w:rsidTr="008E1CD8">
        <w:trPr>
          <w:trHeight w:val="300"/>
        </w:trPr>
        <w:tc>
          <w:tcPr>
            <w:tcW w:w="2268" w:type="dxa"/>
            <w:tcBorders>
              <w:top w:val="nil"/>
              <w:left w:val="nil"/>
              <w:bottom w:val="nil"/>
              <w:right w:val="nil"/>
            </w:tcBorders>
            <w:shd w:val="clear" w:color="auto" w:fill="auto"/>
            <w:noWrap/>
            <w:vAlign w:val="bottom"/>
            <w:hideMark/>
          </w:tcPr>
          <w:p w14:paraId="114CB240"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w:t>
            </w:r>
          </w:p>
        </w:tc>
        <w:tc>
          <w:tcPr>
            <w:tcW w:w="1843" w:type="dxa"/>
            <w:tcBorders>
              <w:top w:val="nil"/>
              <w:left w:val="nil"/>
              <w:bottom w:val="nil"/>
              <w:right w:val="nil"/>
            </w:tcBorders>
            <w:shd w:val="clear" w:color="auto" w:fill="auto"/>
            <w:noWrap/>
            <w:vAlign w:val="bottom"/>
            <w:hideMark/>
          </w:tcPr>
          <w:p w14:paraId="465F074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33,076 (24.8)</w:t>
            </w:r>
          </w:p>
        </w:tc>
        <w:tc>
          <w:tcPr>
            <w:tcW w:w="2126" w:type="dxa"/>
            <w:tcBorders>
              <w:top w:val="nil"/>
              <w:left w:val="nil"/>
              <w:bottom w:val="nil"/>
              <w:right w:val="nil"/>
            </w:tcBorders>
            <w:shd w:val="clear" w:color="auto" w:fill="auto"/>
            <w:noWrap/>
            <w:vAlign w:val="bottom"/>
            <w:hideMark/>
          </w:tcPr>
          <w:p w14:paraId="46A8352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28,479 (21.4)</w:t>
            </w:r>
          </w:p>
        </w:tc>
      </w:tr>
      <w:tr w:rsidR="00225511" w:rsidRPr="00225511" w14:paraId="4AAC34B7" w14:textId="77777777" w:rsidTr="008E1CD8">
        <w:trPr>
          <w:trHeight w:val="300"/>
        </w:trPr>
        <w:tc>
          <w:tcPr>
            <w:tcW w:w="2268" w:type="dxa"/>
            <w:tcBorders>
              <w:top w:val="nil"/>
              <w:left w:val="nil"/>
              <w:bottom w:val="nil"/>
              <w:right w:val="nil"/>
            </w:tcBorders>
            <w:shd w:val="clear" w:color="auto" w:fill="auto"/>
            <w:noWrap/>
            <w:vAlign w:val="bottom"/>
            <w:hideMark/>
          </w:tcPr>
          <w:p w14:paraId="04750586"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w:t>
            </w:r>
          </w:p>
        </w:tc>
        <w:tc>
          <w:tcPr>
            <w:tcW w:w="1843" w:type="dxa"/>
            <w:tcBorders>
              <w:top w:val="nil"/>
              <w:left w:val="nil"/>
              <w:bottom w:val="nil"/>
              <w:right w:val="nil"/>
            </w:tcBorders>
            <w:shd w:val="clear" w:color="auto" w:fill="auto"/>
            <w:noWrap/>
            <w:vAlign w:val="bottom"/>
            <w:hideMark/>
          </w:tcPr>
          <w:p w14:paraId="18619410"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16,163 (12.1)</w:t>
            </w:r>
          </w:p>
        </w:tc>
        <w:tc>
          <w:tcPr>
            <w:tcW w:w="2126" w:type="dxa"/>
            <w:tcBorders>
              <w:top w:val="nil"/>
              <w:left w:val="nil"/>
              <w:bottom w:val="nil"/>
              <w:right w:val="nil"/>
            </w:tcBorders>
            <w:shd w:val="clear" w:color="auto" w:fill="auto"/>
            <w:noWrap/>
            <w:vAlign w:val="bottom"/>
            <w:hideMark/>
          </w:tcPr>
          <w:p w14:paraId="7279EDFF"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16,648 (12.5)</w:t>
            </w:r>
          </w:p>
        </w:tc>
      </w:tr>
      <w:tr w:rsidR="00225511" w:rsidRPr="00225511" w14:paraId="1D5CC2DB" w14:textId="77777777" w:rsidTr="008E1CD8">
        <w:trPr>
          <w:trHeight w:val="300"/>
        </w:trPr>
        <w:tc>
          <w:tcPr>
            <w:tcW w:w="2268" w:type="dxa"/>
            <w:tcBorders>
              <w:top w:val="nil"/>
              <w:left w:val="nil"/>
              <w:bottom w:val="nil"/>
              <w:right w:val="nil"/>
            </w:tcBorders>
            <w:shd w:val="clear" w:color="auto" w:fill="auto"/>
            <w:noWrap/>
            <w:vAlign w:val="bottom"/>
            <w:hideMark/>
          </w:tcPr>
          <w:p w14:paraId="4B6F2BA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3</w:t>
            </w:r>
          </w:p>
        </w:tc>
        <w:tc>
          <w:tcPr>
            <w:tcW w:w="1843" w:type="dxa"/>
            <w:tcBorders>
              <w:top w:val="nil"/>
              <w:left w:val="nil"/>
              <w:bottom w:val="nil"/>
              <w:right w:val="nil"/>
            </w:tcBorders>
            <w:shd w:val="clear" w:color="auto" w:fill="auto"/>
            <w:noWrap/>
            <w:vAlign w:val="bottom"/>
            <w:hideMark/>
          </w:tcPr>
          <w:p w14:paraId="02EB1B23"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7,253 (5.4)</w:t>
            </w:r>
          </w:p>
        </w:tc>
        <w:tc>
          <w:tcPr>
            <w:tcW w:w="2126" w:type="dxa"/>
            <w:tcBorders>
              <w:top w:val="nil"/>
              <w:left w:val="nil"/>
              <w:bottom w:val="nil"/>
              <w:right w:val="nil"/>
            </w:tcBorders>
            <w:shd w:val="clear" w:color="auto" w:fill="auto"/>
            <w:noWrap/>
            <w:vAlign w:val="bottom"/>
            <w:hideMark/>
          </w:tcPr>
          <w:p w14:paraId="107CC34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7,156 (5.4)</w:t>
            </w:r>
          </w:p>
        </w:tc>
      </w:tr>
      <w:tr w:rsidR="00225511" w:rsidRPr="00225511" w14:paraId="5EBC4AFF" w14:textId="77777777" w:rsidTr="008E1CD8">
        <w:trPr>
          <w:trHeight w:val="300"/>
        </w:trPr>
        <w:tc>
          <w:tcPr>
            <w:tcW w:w="2268" w:type="dxa"/>
            <w:tcBorders>
              <w:top w:val="nil"/>
              <w:left w:val="nil"/>
              <w:bottom w:val="nil"/>
              <w:right w:val="nil"/>
            </w:tcBorders>
            <w:shd w:val="clear" w:color="auto" w:fill="auto"/>
            <w:noWrap/>
            <w:vAlign w:val="bottom"/>
            <w:hideMark/>
          </w:tcPr>
          <w:p w14:paraId="0AAC154B"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4</w:t>
            </w:r>
          </w:p>
        </w:tc>
        <w:tc>
          <w:tcPr>
            <w:tcW w:w="1843" w:type="dxa"/>
            <w:tcBorders>
              <w:top w:val="nil"/>
              <w:left w:val="nil"/>
              <w:bottom w:val="nil"/>
              <w:right w:val="nil"/>
            </w:tcBorders>
            <w:shd w:val="clear" w:color="auto" w:fill="auto"/>
            <w:noWrap/>
            <w:vAlign w:val="bottom"/>
            <w:hideMark/>
          </w:tcPr>
          <w:p w14:paraId="06B98789"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2,905 (2.2)</w:t>
            </w:r>
          </w:p>
        </w:tc>
        <w:tc>
          <w:tcPr>
            <w:tcW w:w="2126" w:type="dxa"/>
            <w:tcBorders>
              <w:top w:val="nil"/>
              <w:left w:val="nil"/>
              <w:bottom w:val="nil"/>
              <w:right w:val="nil"/>
            </w:tcBorders>
            <w:shd w:val="clear" w:color="auto" w:fill="auto"/>
            <w:noWrap/>
            <w:vAlign w:val="bottom"/>
            <w:hideMark/>
          </w:tcPr>
          <w:p w14:paraId="16914978"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2,969 (2.2)</w:t>
            </w:r>
          </w:p>
        </w:tc>
      </w:tr>
      <w:tr w:rsidR="00225511" w:rsidRPr="00225511" w14:paraId="58725E2D" w14:textId="77777777" w:rsidTr="008E1CD8">
        <w:trPr>
          <w:trHeight w:val="300"/>
        </w:trPr>
        <w:tc>
          <w:tcPr>
            <w:tcW w:w="2268" w:type="dxa"/>
            <w:tcBorders>
              <w:top w:val="nil"/>
              <w:left w:val="nil"/>
              <w:bottom w:val="single" w:sz="4" w:space="0" w:color="auto"/>
              <w:right w:val="nil"/>
            </w:tcBorders>
            <w:shd w:val="clear" w:color="auto" w:fill="auto"/>
            <w:noWrap/>
            <w:vAlign w:val="bottom"/>
            <w:hideMark/>
          </w:tcPr>
          <w:p w14:paraId="789600A2"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5 and above</w:t>
            </w:r>
          </w:p>
        </w:tc>
        <w:tc>
          <w:tcPr>
            <w:tcW w:w="1843" w:type="dxa"/>
            <w:tcBorders>
              <w:top w:val="nil"/>
              <w:left w:val="nil"/>
              <w:bottom w:val="single" w:sz="4" w:space="0" w:color="auto"/>
              <w:right w:val="nil"/>
            </w:tcBorders>
            <w:shd w:val="clear" w:color="auto" w:fill="auto"/>
            <w:noWrap/>
            <w:vAlign w:val="bottom"/>
            <w:hideMark/>
          </w:tcPr>
          <w:p w14:paraId="2DA34B8D"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2,091 (1.6)</w:t>
            </w:r>
          </w:p>
        </w:tc>
        <w:tc>
          <w:tcPr>
            <w:tcW w:w="2126" w:type="dxa"/>
            <w:tcBorders>
              <w:top w:val="nil"/>
              <w:left w:val="nil"/>
              <w:bottom w:val="single" w:sz="4" w:space="0" w:color="auto"/>
              <w:right w:val="nil"/>
            </w:tcBorders>
            <w:shd w:val="clear" w:color="auto" w:fill="auto"/>
            <w:noWrap/>
            <w:vAlign w:val="bottom"/>
            <w:hideMark/>
          </w:tcPr>
          <w:p w14:paraId="6C962E12" w14:textId="77777777" w:rsidR="00225511" w:rsidRPr="00225511" w:rsidRDefault="00225511" w:rsidP="00225511">
            <w:pPr>
              <w:spacing w:after="0" w:line="240" w:lineRule="auto"/>
              <w:jc w:val="right"/>
              <w:rPr>
                <w:rFonts w:ascii="Calibri" w:eastAsia="Times New Roman" w:hAnsi="Calibri" w:cs="Calibri"/>
                <w:color w:val="000000"/>
                <w:sz w:val="22"/>
                <w:lang w:eastAsia="en-GB"/>
              </w:rPr>
            </w:pPr>
            <w:r w:rsidRPr="00225511">
              <w:rPr>
                <w:rFonts w:ascii="Calibri" w:eastAsia="Times New Roman" w:hAnsi="Calibri" w:cs="Calibri"/>
                <w:color w:val="000000"/>
                <w:sz w:val="22"/>
                <w:lang w:eastAsia="en-GB"/>
              </w:rPr>
              <w:t>2,128 (1.6)</w:t>
            </w:r>
          </w:p>
        </w:tc>
      </w:tr>
    </w:tbl>
    <w:p w14:paraId="5FE3E0F0" w14:textId="7443F471" w:rsidR="00210B91" w:rsidRDefault="00210B91" w:rsidP="00C435B9">
      <w:pPr>
        <w:suppressLineNumbers/>
      </w:pPr>
    </w:p>
    <w:p w14:paraId="6E05840A" w14:textId="6BF8C0E2" w:rsidR="00210B91" w:rsidRDefault="00210B91" w:rsidP="00C435B9">
      <w:pPr>
        <w:suppressLineNumbers/>
      </w:pPr>
    </w:p>
    <w:p w14:paraId="5D6B5A40" w14:textId="77777777" w:rsidR="0097206A" w:rsidRDefault="0097206A" w:rsidP="0097206A">
      <w:pPr>
        <w:pStyle w:val="Heading2"/>
        <w:rPr>
          <w:rFonts w:eastAsia="Calibri"/>
        </w:rPr>
      </w:pPr>
      <w:r>
        <w:rPr>
          <w:rFonts w:eastAsia="Calibri"/>
        </w:rPr>
        <w:t>Healthcare resource utilisation and costs</w:t>
      </w:r>
    </w:p>
    <w:p w14:paraId="7A7235D1" w14:textId="36499DE5" w:rsidR="0097206A" w:rsidRDefault="0097206A" w:rsidP="00A970B0">
      <w:pPr>
        <w:spacing w:before="120" w:after="240" w:line="480" w:lineRule="auto"/>
        <w:rPr>
          <w:rFonts w:eastAsia="Calibri" w:cs="Times New Roman"/>
          <w:szCs w:val="24"/>
        </w:rPr>
      </w:pPr>
      <w:r w:rsidRPr="00ED53A0">
        <w:rPr>
          <w:rFonts w:eastAsia="Calibri" w:cs="Times New Roman"/>
          <w:szCs w:val="24"/>
        </w:rPr>
        <w:t>The</w:t>
      </w:r>
      <w:r w:rsidRPr="00CD4BAB">
        <w:t xml:space="preserve"> </w:t>
      </w:r>
      <w:r>
        <w:rPr>
          <w:rFonts w:eastAsia="Calibri" w:cs="Times New Roman"/>
          <w:szCs w:val="24"/>
        </w:rPr>
        <w:t>a</w:t>
      </w:r>
      <w:r w:rsidRPr="00CD4BAB">
        <w:rPr>
          <w:rFonts w:eastAsia="Calibri" w:cs="Times New Roman"/>
          <w:szCs w:val="24"/>
        </w:rPr>
        <w:t xml:space="preserve">nnual all-cause healthcare resource use </w:t>
      </w:r>
      <w:r w:rsidRPr="00ED53A0">
        <w:rPr>
          <w:rFonts w:eastAsia="Calibri" w:cs="Times New Roman"/>
          <w:szCs w:val="24"/>
        </w:rPr>
        <w:t>in the backpain group were nearly double that of the control group in both the main analysis and sensitivity analysis</w:t>
      </w:r>
      <w:r w:rsidR="001D308D">
        <w:rPr>
          <w:rFonts w:eastAsia="Calibri" w:cs="Times New Roman"/>
          <w:szCs w:val="24"/>
        </w:rPr>
        <w:t xml:space="preserve"> </w:t>
      </w:r>
      <w:r w:rsidR="000D3670" w:rsidRPr="000D3670">
        <w:rPr>
          <w:rFonts w:eastAsia="Calibri" w:cs="Times New Roman"/>
          <w:szCs w:val="24"/>
        </w:rPr>
        <w:t xml:space="preserve">(Table </w:t>
      </w:r>
      <w:r w:rsidR="000A56EB">
        <w:rPr>
          <w:rFonts w:eastAsia="Calibri" w:cs="Times New Roman"/>
          <w:szCs w:val="24"/>
        </w:rPr>
        <w:t>3</w:t>
      </w:r>
      <w:r w:rsidR="000D3670" w:rsidRPr="000D3670">
        <w:rPr>
          <w:rFonts w:eastAsia="Calibri" w:cs="Times New Roman"/>
          <w:szCs w:val="24"/>
        </w:rPr>
        <w:t>)</w:t>
      </w:r>
      <w:r w:rsidR="000D3670">
        <w:rPr>
          <w:rFonts w:eastAsia="Calibri" w:cs="Times New Roman"/>
          <w:szCs w:val="24"/>
        </w:rPr>
        <w:t>.</w:t>
      </w:r>
      <w:r w:rsidR="000D3670" w:rsidRPr="000D3670">
        <w:rPr>
          <w:rFonts w:eastAsia="Calibri" w:cs="Times New Roman"/>
          <w:szCs w:val="24"/>
        </w:rPr>
        <w:t xml:space="preserve"> </w:t>
      </w:r>
      <w:r w:rsidRPr="00ED53A0">
        <w:rPr>
          <w:rFonts w:eastAsia="Calibri" w:cs="Times New Roman"/>
          <w:szCs w:val="24"/>
        </w:rPr>
        <w:t>The annual incremental costs of consultations associated with back pain were £25.3 million</w:t>
      </w:r>
      <w:r w:rsidR="00382336">
        <w:rPr>
          <w:rFonts w:eastAsia="Calibri" w:cs="Times New Roman"/>
          <w:szCs w:val="24"/>
        </w:rPr>
        <w:t xml:space="preserve"> (£27.9 </w:t>
      </w:r>
      <w:r w:rsidR="00382336">
        <w:rPr>
          <w:rFonts w:eastAsia="Calibri" w:cs="Times New Roman"/>
          <w:szCs w:val="24"/>
        </w:rPr>
        <w:lastRenderedPageBreak/>
        <w:t>million in 2020</w:t>
      </w:r>
      <w:r w:rsidR="007B2BE3">
        <w:rPr>
          <w:rFonts w:eastAsia="Calibri" w:cs="Times New Roman"/>
          <w:szCs w:val="24"/>
        </w:rPr>
        <w:t xml:space="preserve"> costs</w:t>
      </w:r>
      <w:r w:rsidR="00382336">
        <w:rPr>
          <w:rFonts w:eastAsia="Calibri" w:cs="Times New Roman"/>
          <w:szCs w:val="24"/>
        </w:rPr>
        <w:t>)</w:t>
      </w:r>
      <w:r w:rsidRPr="00ED53A0">
        <w:rPr>
          <w:rFonts w:eastAsia="Calibri" w:cs="Times New Roman"/>
          <w:szCs w:val="24"/>
        </w:rPr>
        <w:t>, with the cost per patient amounting to £189.7</w:t>
      </w:r>
      <w:r w:rsidR="007B2BE3">
        <w:rPr>
          <w:rFonts w:eastAsia="Calibri" w:cs="Times New Roman"/>
          <w:szCs w:val="24"/>
        </w:rPr>
        <w:t xml:space="preserve"> (£209.5 in 2020)</w:t>
      </w:r>
      <w:r w:rsidRPr="00ED53A0">
        <w:rPr>
          <w:rFonts w:eastAsia="Calibri" w:cs="Times New Roman"/>
          <w:szCs w:val="24"/>
        </w:rPr>
        <w:t xml:space="preserve">. In the sensitivity analysis, the incremental cost per patient was </w:t>
      </w:r>
      <w:r w:rsidR="00262957" w:rsidRPr="00604ED6">
        <w:rPr>
          <w:rFonts w:eastAsia="Calibri" w:cs="Times New Roman"/>
          <w:szCs w:val="24"/>
        </w:rPr>
        <w:t>18%</w:t>
      </w:r>
      <w:r w:rsidRPr="00604ED6">
        <w:rPr>
          <w:rFonts w:eastAsia="Calibri" w:cs="Times New Roman"/>
          <w:szCs w:val="24"/>
        </w:rPr>
        <w:t xml:space="preserve"> </w:t>
      </w:r>
      <w:r w:rsidRPr="00ED53A0">
        <w:rPr>
          <w:rFonts w:eastAsia="Calibri" w:cs="Times New Roman"/>
          <w:szCs w:val="24"/>
        </w:rPr>
        <w:t>higher at £223.</w:t>
      </w:r>
      <w:r w:rsidR="00E43514">
        <w:rPr>
          <w:rFonts w:eastAsia="Calibri" w:cs="Times New Roman"/>
          <w:szCs w:val="24"/>
        </w:rPr>
        <w:t>5</w:t>
      </w:r>
      <w:r w:rsidRPr="00ED53A0">
        <w:rPr>
          <w:rFonts w:eastAsia="Calibri" w:cs="Times New Roman"/>
          <w:szCs w:val="24"/>
        </w:rPr>
        <w:t xml:space="preserve"> compared to the main analysis. Counts of prescriptions and/or rates of prescriptions </w:t>
      </w:r>
      <w:r w:rsidR="003115B6">
        <w:rPr>
          <w:rFonts w:eastAsia="Calibri" w:cs="Times New Roman"/>
          <w:szCs w:val="24"/>
        </w:rPr>
        <w:t xml:space="preserve">were three times higher </w:t>
      </w:r>
      <w:r w:rsidRPr="00ED53A0">
        <w:rPr>
          <w:rFonts w:eastAsia="Calibri" w:cs="Times New Roman"/>
          <w:szCs w:val="24"/>
        </w:rPr>
        <w:t xml:space="preserve">in the back-pain group compared to the control group. The annual incremental costs of prescriptions </w:t>
      </w:r>
      <w:r w:rsidR="00E23EE0">
        <w:rPr>
          <w:rFonts w:eastAsia="Calibri" w:cs="Times New Roman"/>
          <w:szCs w:val="24"/>
        </w:rPr>
        <w:t>per patient was</w:t>
      </w:r>
      <w:r w:rsidR="001C28C9" w:rsidRPr="00ED53A0">
        <w:rPr>
          <w:rFonts w:eastAsia="Calibri" w:cs="Times New Roman"/>
          <w:szCs w:val="24"/>
        </w:rPr>
        <w:t xml:space="preserve"> £54.4</w:t>
      </w:r>
      <w:r w:rsidR="007B2BE3">
        <w:rPr>
          <w:rFonts w:eastAsia="Calibri" w:cs="Times New Roman"/>
          <w:szCs w:val="24"/>
        </w:rPr>
        <w:t xml:space="preserve"> (£60.1 in 2020)</w:t>
      </w:r>
      <w:r w:rsidR="001C28C9" w:rsidRPr="00ED53A0">
        <w:rPr>
          <w:rFonts w:eastAsia="Calibri" w:cs="Times New Roman"/>
          <w:szCs w:val="24"/>
        </w:rPr>
        <w:t xml:space="preserve"> </w:t>
      </w:r>
      <w:r w:rsidR="00E23EE0">
        <w:rPr>
          <w:rFonts w:eastAsia="Calibri" w:cs="Times New Roman"/>
          <w:szCs w:val="24"/>
        </w:rPr>
        <w:t xml:space="preserve">in the main analysis </w:t>
      </w:r>
      <w:r w:rsidR="006629D5" w:rsidRPr="00604ED6">
        <w:rPr>
          <w:rFonts w:eastAsia="Calibri" w:cs="Times New Roman"/>
          <w:szCs w:val="24"/>
        </w:rPr>
        <w:t>while this dropped to</w:t>
      </w:r>
      <w:r w:rsidR="001C28C9" w:rsidRPr="00604ED6">
        <w:rPr>
          <w:rFonts w:eastAsia="Calibri" w:cs="Times New Roman"/>
          <w:szCs w:val="24"/>
        </w:rPr>
        <w:t xml:space="preserve"> £</w:t>
      </w:r>
      <w:r w:rsidR="009F3260" w:rsidRPr="00604ED6">
        <w:rPr>
          <w:rFonts w:eastAsia="Calibri" w:cs="Times New Roman"/>
          <w:szCs w:val="24"/>
        </w:rPr>
        <w:t>4</w:t>
      </w:r>
      <w:r w:rsidR="001C28C9" w:rsidRPr="00604ED6">
        <w:rPr>
          <w:rFonts w:eastAsia="Calibri" w:cs="Times New Roman"/>
          <w:szCs w:val="24"/>
        </w:rPr>
        <w:t>7</w:t>
      </w:r>
      <w:r w:rsidR="009613DE" w:rsidRPr="00604ED6">
        <w:rPr>
          <w:rFonts w:eastAsia="Calibri" w:cs="Times New Roman"/>
          <w:szCs w:val="24"/>
        </w:rPr>
        <w:t>.0</w:t>
      </w:r>
      <w:r w:rsidR="00E23EE0" w:rsidRPr="00604ED6">
        <w:rPr>
          <w:rFonts w:eastAsia="Calibri" w:cs="Times New Roman"/>
          <w:szCs w:val="24"/>
        </w:rPr>
        <w:t xml:space="preserve"> per patient</w:t>
      </w:r>
      <w:r w:rsidR="00A07F30" w:rsidRPr="00604ED6">
        <w:rPr>
          <w:rFonts w:eastAsia="Calibri" w:cs="Times New Roman"/>
          <w:szCs w:val="24"/>
        </w:rPr>
        <w:t xml:space="preserve"> in the sensitivity analysis.</w:t>
      </w:r>
    </w:p>
    <w:p w14:paraId="25AB4A47" w14:textId="05C146BA" w:rsidR="002613AA" w:rsidRPr="004551E0" w:rsidRDefault="001B0192" w:rsidP="00DF688A">
      <w:pPr>
        <w:rPr>
          <w:b/>
          <w:bCs/>
        </w:rPr>
      </w:pPr>
      <w:r w:rsidRPr="00DF688A">
        <w:rPr>
          <w:b/>
          <w:bCs/>
        </w:rPr>
        <w:t xml:space="preserve">Table </w:t>
      </w:r>
      <w:r w:rsidR="00B44881" w:rsidRPr="00DF688A">
        <w:rPr>
          <w:b/>
          <w:bCs/>
        </w:rPr>
        <w:t>3</w:t>
      </w:r>
      <w:r w:rsidRPr="00DF688A">
        <w:rPr>
          <w:b/>
          <w:bCs/>
        </w:rPr>
        <w:t>: Estimates of annual healthcare resource use and costs associated with back pain</w:t>
      </w:r>
    </w:p>
    <w:tbl>
      <w:tblPr>
        <w:tblpPr w:leftFromText="180" w:rightFromText="180" w:vertAnchor="text" w:horzAnchor="margin" w:tblpXSpec="center" w:tblpY="124"/>
        <w:tblW w:w="8683" w:type="dxa"/>
        <w:tblLook w:val="04A0" w:firstRow="1" w:lastRow="0" w:firstColumn="1" w:lastColumn="0" w:noHBand="0" w:noVBand="1"/>
      </w:tblPr>
      <w:tblGrid>
        <w:gridCol w:w="2304"/>
        <w:gridCol w:w="1600"/>
        <w:gridCol w:w="1700"/>
        <w:gridCol w:w="1540"/>
        <w:gridCol w:w="1539"/>
      </w:tblGrid>
      <w:tr w:rsidR="00DF688A" w:rsidRPr="00DF688A" w14:paraId="5CB3D7CB" w14:textId="77777777" w:rsidTr="006E235D">
        <w:trPr>
          <w:trHeight w:val="319"/>
        </w:trPr>
        <w:tc>
          <w:tcPr>
            <w:tcW w:w="2304" w:type="dxa"/>
            <w:tcBorders>
              <w:top w:val="single" w:sz="8" w:space="0" w:color="auto"/>
              <w:left w:val="nil"/>
              <w:bottom w:val="nil"/>
              <w:right w:val="nil"/>
            </w:tcBorders>
            <w:shd w:val="clear" w:color="auto" w:fill="auto"/>
            <w:noWrap/>
            <w:vAlign w:val="bottom"/>
            <w:hideMark/>
          </w:tcPr>
          <w:p w14:paraId="5758DBE5" w14:textId="77777777" w:rsidR="00DF688A" w:rsidRPr="00DF688A" w:rsidRDefault="00DF688A" w:rsidP="00DF688A">
            <w:pPr>
              <w:spacing w:after="0" w:line="240" w:lineRule="auto"/>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 </w:t>
            </w:r>
          </w:p>
        </w:tc>
        <w:tc>
          <w:tcPr>
            <w:tcW w:w="3300" w:type="dxa"/>
            <w:gridSpan w:val="2"/>
            <w:tcBorders>
              <w:top w:val="single" w:sz="8" w:space="0" w:color="auto"/>
              <w:left w:val="nil"/>
              <w:bottom w:val="single" w:sz="4" w:space="0" w:color="auto"/>
              <w:right w:val="nil"/>
            </w:tcBorders>
            <w:shd w:val="clear" w:color="auto" w:fill="auto"/>
            <w:noWrap/>
            <w:vAlign w:val="bottom"/>
            <w:hideMark/>
          </w:tcPr>
          <w:p w14:paraId="06F8B41D" w14:textId="77777777" w:rsidR="00DF688A" w:rsidRPr="00DF688A" w:rsidRDefault="00DF688A" w:rsidP="00DF688A">
            <w:pPr>
              <w:spacing w:after="0" w:line="240" w:lineRule="auto"/>
              <w:jc w:val="center"/>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Main analysis</w:t>
            </w:r>
          </w:p>
        </w:tc>
        <w:tc>
          <w:tcPr>
            <w:tcW w:w="3079" w:type="dxa"/>
            <w:gridSpan w:val="2"/>
            <w:tcBorders>
              <w:top w:val="single" w:sz="8" w:space="0" w:color="auto"/>
              <w:left w:val="nil"/>
              <w:bottom w:val="single" w:sz="4" w:space="0" w:color="auto"/>
              <w:right w:val="nil"/>
            </w:tcBorders>
            <w:shd w:val="clear" w:color="auto" w:fill="auto"/>
            <w:noWrap/>
            <w:vAlign w:val="bottom"/>
            <w:hideMark/>
          </w:tcPr>
          <w:p w14:paraId="0E2280CC" w14:textId="77777777" w:rsidR="00DF688A" w:rsidRPr="00DF688A" w:rsidRDefault="00DF688A" w:rsidP="00DF688A">
            <w:pPr>
              <w:spacing w:after="0" w:line="240" w:lineRule="auto"/>
              <w:jc w:val="center"/>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Sensitivity analysis*</w:t>
            </w:r>
          </w:p>
        </w:tc>
      </w:tr>
      <w:tr w:rsidR="00DF688A" w:rsidRPr="00DF688A" w14:paraId="4D8B9980" w14:textId="77777777" w:rsidTr="006E235D">
        <w:trPr>
          <w:trHeight w:val="540"/>
        </w:trPr>
        <w:tc>
          <w:tcPr>
            <w:tcW w:w="2304" w:type="dxa"/>
            <w:tcBorders>
              <w:top w:val="nil"/>
              <w:left w:val="nil"/>
              <w:bottom w:val="double" w:sz="6" w:space="0" w:color="auto"/>
              <w:right w:val="nil"/>
            </w:tcBorders>
            <w:shd w:val="clear" w:color="auto" w:fill="auto"/>
            <w:noWrap/>
            <w:vAlign w:val="bottom"/>
            <w:hideMark/>
          </w:tcPr>
          <w:p w14:paraId="7A6A5DBC" w14:textId="77777777" w:rsidR="00DF688A" w:rsidRPr="00DF688A" w:rsidRDefault="00DF688A" w:rsidP="00DF688A">
            <w:pPr>
              <w:spacing w:after="0" w:line="240" w:lineRule="auto"/>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Cost component</w:t>
            </w:r>
          </w:p>
        </w:tc>
        <w:tc>
          <w:tcPr>
            <w:tcW w:w="1600" w:type="dxa"/>
            <w:tcBorders>
              <w:top w:val="nil"/>
              <w:left w:val="nil"/>
              <w:bottom w:val="double" w:sz="6" w:space="0" w:color="auto"/>
              <w:right w:val="nil"/>
            </w:tcBorders>
            <w:shd w:val="clear" w:color="auto" w:fill="auto"/>
            <w:vAlign w:val="bottom"/>
            <w:hideMark/>
          </w:tcPr>
          <w:p w14:paraId="5D9AF114" w14:textId="77777777" w:rsidR="00DF688A" w:rsidRPr="00DF688A" w:rsidRDefault="00DF688A" w:rsidP="00DF688A">
            <w:pPr>
              <w:spacing w:after="0" w:line="240" w:lineRule="auto"/>
              <w:jc w:val="center"/>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 xml:space="preserve">Back pain </w:t>
            </w:r>
            <w:r w:rsidRPr="00DF688A">
              <w:rPr>
                <w:rFonts w:ascii="Calibri" w:eastAsia="Times New Roman" w:hAnsi="Calibri" w:cs="Calibri"/>
                <w:color w:val="000000"/>
                <w:sz w:val="22"/>
                <w:lang w:eastAsia="en-GB"/>
              </w:rPr>
              <w:t>(n=133,341)</w:t>
            </w:r>
          </w:p>
        </w:tc>
        <w:tc>
          <w:tcPr>
            <w:tcW w:w="1700" w:type="dxa"/>
            <w:tcBorders>
              <w:top w:val="nil"/>
              <w:left w:val="nil"/>
              <w:bottom w:val="double" w:sz="6" w:space="0" w:color="auto"/>
              <w:right w:val="nil"/>
            </w:tcBorders>
            <w:shd w:val="clear" w:color="auto" w:fill="auto"/>
            <w:vAlign w:val="bottom"/>
            <w:hideMark/>
          </w:tcPr>
          <w:p w14:paraId="1C1F68CE" w14:textId="77777777" w:rsidR="00DF688A" w:rsidRPr="00DF688A" w:rsidRDefault="00DF688A" w:rsidP="00DF688A">
            <w:pPr>
              <w:spacing w:after="0" w:line="240" w:lineRule="auto"/>
              <w:jc w:val="center"/>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 xml:space="preserve">No back pain </w:t>
            </w:r>
            <w:r w:rsidRPr="00DF688A">
              <w:rPr>
                <w:rFonts w:ascii="Calibri" w:eastAsia="Times New Roman" w:hAnsi="Calibri" w:cs="Calibri"/>
                <w:color w:val="000000"/>
                <w:sz w:val="22"/>
                <w:lang w:eastAsia="en-GB"/>
              </w:rPr>
              <w:t>(n=133,341)</w:t>
            </w:r>
          </w:p>
        </w:tc>
        <w:tc>
          <w:tcPr>
            <w:tcW w:w="1540" w:type="dxa"/>
            <w:tcBorders>
              <w:top w:val="nil"/>
              <w:left w:val="nil"/>
              <w:bottom w:val="double" w:sz="6" w:space="0" w:color="auto"/>
              <w:right w:val="nil"/>
            </w:tcBorders>
            <w:shd w:val="clear" w:color="auto" w:fill="auto"/>
            <w:vAlign w:val="bottom"/>
            <w:hideMark/>
          </w:tcPr>
          <w:p w14:paraId="7C0466D2" w14:textId="77777777" w:rsidR="00DF688A" w:rsidRPr="00DF688A" w:rsidRDefault="00DF688A" w:rsidP="00DF688A">
            <w:pPr>
              <w:spacing w:after="0" w:line="240" w:lineRule="auto"/>
              <w:jc w:val="center"/>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 xml:space="preserve">Back pain </w:t>
            </w:r>
            <w:r w:rsidRPr="00DF688A">
              <w:rPr>
                <w:rFonts w:ascii="Calibri" w:eastAsia="Times New Roman" w:hAnsi="Calibri" w:cs="Calibri"/>
                <w:color w:val="000000"/>
                <w:sz w:val="22"/>
                <w:lang w:eastAsia="en-GB"/>
              </w:rPr>
              <w:t>(n=24,607)</w:t>
            </w:r>
          </w:p>
        </w:tc>
        <w:tc>
          <w:tcPr>
            <w:tcW w:w="1539" w:type="dxa"/>
            <w:tcBorders>
              <w:top w:val="nil"/>
              <w:left w:val="nil"/>
              <w:bottom w:val="double" w:sz="6" w:space="0" w:color="auto"/>
              <w:right w:val="nil"/>
            </w:tcBorders>
            <w:shd w:val="clear" w:color="auto" w:fill="auto"/>
            <w:vAlign w:val="bottom"/>
            <w:hideMark/>
          </w:tcPr>
          <w:p w14:paraId="4FE98B23" w14:textId="77777777" w:rsidR="00DF688A" w:rsidRPr="00DF688A" w:rsidRDefault="00DF688A" w:rsidP="00DF688A">
            <w:pPr>
              <w:spacing w:after="0" w:line="240" w:lineRule="auto"/>
              <w:jc w:val="center"/>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 xml:space="preserve">No back pain </w:t>
            </w:r>
            <w:r w:rsidRPr="00DF688A">
              <w:rPr>
                <w:rFonts w:ascii="Calibri" w:eastAsia="Times New Roman" w:hAnsi="Calibri" w:cs="Calibri"/>
                <w:color w:val="000000"/>
                <w:sz w:val="22"/>
                <w:lang w:eastAsia="en-GB"/>
              </w:rPr>
              <w:t>(n=24,607)</w:t>
            </w:r>
          </w:p>
        </w:tc>
      </w:tr>
      <w:tr w:rsidR="00DF688A" w:rsidRPr="00DF688A" w14:paraId="11C60956" w14:textId="77777777" w:rsidTr="006E235D">
        <w:trPr>
          <w:trHeight w:val="319"/>
        </w:trPr>
        <w:tc>
          <w:tcPr>
            <w:tcW w:w="2304" w:type="dxa"/>
            <w:tcBorders>
              <w:top w:val="nil"/>
              <w:left w:val="nil"/>
              <w:bottom w:val="nil"/>
              <w:right w:val="nil"/>
            </w:tcBorders>
            <w:shd w:val="clear" w:color="auto" w:fill="auto"/>
            <w:noWrap/>
            <w:vAlign w:val="bottom"/>
            <w:hideMark/>
          </w:tcPr>
          <w:p w14:paraId="7F8CB0E4" w14:textId="77777777" w:rsidR="00DF688A" w:rsidRPr="00DF688A" w:rsidRDefault="00DF688A" w:rsidP="00DF688A">
            <w:pPr>
              <w:spacing w:after="0" w:line="240" w:lineRule="auto"/>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Consultations</w:t>
            </w:r>
          </w:p>
        </w:tc>
        <w:tc>
          <w:tcPr>
            <w:tcW w:w="1600" w:type="dxa"/>
            <w:tcBorders>
              <w:top w:val="nil"/>
              <w:left w:val="nil"/>
              <w:bottom w:val="nil"/>
              <w:right w:val="nil"/>
            </w:tcBorders>
            <w:shd w:val="clear" w:color="auto" w:fill="auto"/>
            <w:noWrap/>
            <w:vAlign w:val="bottom"/>
            <w:hideMark/>
          </w:tcPr>
          <w:p w14:paraId="536B2286" w14:textId="77777777" w:rsidR="00DF688A" w:rsidRPr="00DF688A" w:rsidRDefault="00DF688A" w:rsidP="00DF688A">
            <w:pPr>
              <w:spacing w:after="0" w:line="240" w:lineRule="auto"/>
              <w:rPr>
                <w:rFonts w:ascii="Calibri" w:eastAsia="Times New Roman" w:hAnsi="Calibri" w:cs="Calibri"/>
                <w:b/>
                <w:bCs/>
                <w:color w:val="000000"/>
                <w:sz w:val="22"/>
                <w:lang w:eastAsia="en-GB"/>
              </w:rPr>
            </w:pPr>
          </w:p>
        </w:tc>
        <w:tc>
          <w:tcPr>
            <w:tcW w:w="1700" w:type="dxa"/>
            <w:tcBorders>
              <w:top w:val="nil"/>
              <w:left w:val="nil"/>
              <w:bottom w:val="nil"/>
              <w:right w:val="nil"/>
            </w:tcBorders>
            <w:shd w:val="clear" w:color="auto" w:fill="auto"/>
            <w:noWrap/>
            <w:vAlign w:val="bottom"/>
            <w:hideMark/>
          </w:tcPr>
          <w:p w14:paraId="501846B8" w14:textId="77777777" w:rsidR="00DF688A" w:rsidRPr="00DF688A" w:rsidRDefault="00DF688A" w:rsidP="00DF688A">
            <w:pPr>
              <w:spacing w:after="0" w:line="240" w:lineRule="auto"/>
              <w:rPr>
                <w:rFonts w:eastAsia="Times New Roman" w:cs="Times New Roman"/>
                <w:sz w:val="20"/>
                <w:szCs w:val="20"/>
                <w:lang w:eastAsia="en-GB"/>
              </w:rPr>
            </w:pPr>
          </w:p>
        </w:tc>
        <w:tc>
          <w:tcPr>
            <w:tcW w:w="1540" w:type="dxa"/>
            <w:tcBorders>
              <w:top w:val="nil"/>
              <w:left w:val="nil"/>
              <w:bottom w:val="nil"/>
              <w:right w:val="nil"/>
            </w:tcBorders>
            <w:shd w:val="clear" w:color="auto" w:fill="auto"/>
            <w:noWrap/>
            <w:vAlign w:val="bottom"/>
            <w:hideMark/>
          </w:tcPr>
          <w:p w14:paraId="4E5DEB17" w14:textId="77777777" w:rsidR="00DF688A" w:rsidRPr="00DF688A" w:rsidRDefault="00DF688A" w:rsidP="00DF688A">
            <w:pPr>
              <w:spacing w:after="0" w:line="240" w:lineRule="auto"/>
              <w:rPr>
                <w:rFonts w:eastAsia="Times New Roman" w:cs="Times New Roman"/>
                <w:sz w:val="20"/>
                <w:szCs w:val="20"/>
                <w:lang w:eastAsia="en-GB"/>
              </w:rPr>
            </w:pPr>
          </w:p>
        </w:tc>
        <w:tc>
          <w:tcPr>
            <w:tcW w:w="1539" w:type="dxa"/>
            <w:tcBorders>
              <w:top w:val="nil"/>
              <w:left w:val="nil"/>
              <w:bottom w:val="nil"/>
              <w:right w:val="nil"/>
            </w:tcBorders>
            <w:shd w:val="clear" w:color="auto" w:fill="auto"/>
            <w:noWrap/>
            <w:vAlign w:val="bottom"/>
            <w:hideMark/>
          </w:tcPr>
          <w:p w14:paraId="0410C0ED" w14:textId="77777777" w:rsidR="00DF688A" w:rsidRPr="00DF688A" w:rsidRDefault="00DF688A" w:rsidP="00DF688A">
            <w:pPr>
              <w:spacing w:after="0" w:line="240" w:lineRule="auto"/>
              <w:rPr>
                <w:rFonts w:eastAsia="Times New Roman" w:cs="Times New Roman"/>
                <w:sz w:val="20"/>
                <w:szCs w:val="20"/>
                <w:lang w:eastAsia="en-GB"/>
              </w:rPr>
            </w:pPr>
          </w:p>
        </w:tc>
      </w:tr>
      <w:tr w:rsidR="00DF688A" w:rsidRPr="00DF688A" w14:paraId="7D7D2AAF" w14:textId="77777777" w:rsidTr="006E235D">
        <w:trPr>
          <w:trHeight w:val="277"/>
        </w:trPr>
        <w:tc>
          <w:tcPr>
            <w:tcW w:w="2304" w:type="dxa"/>
            <w:tcBorders>
              <w:top w:val="nil"/>
              <w:left w:val="nil"/>
              <w:bottom w:val="nil"/>
              <w:right w:val="nil"/>
            </w:tcBorders>
            <w:shd w:val="clear" w:color="auto" w:fill="auto"/>
            <w:noWrap/>
            <w:vAlign w:val="bottom"/>
            <w:hideMark/>
          </w:tcPr>
          <w:p w14:paraId="7560D56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Count</w:t>
            </w:r>
          </w:p>
        </w:tc>
        <w:tc>
          <w:tcPr>
            <w:tcW w:w="1600" w:type="dxa"/>
            <w:tcBorders>
              <w:top w:val="nil"/>
              <w:left w:val="nil"/>
              <w:bottom w:val="nil"/>
              <w:right w:val="nil"/>
            </w:tcBorders>
            <w:shd w:val="clear" w:color="auto" w:fill="auto"/>
            <w:noWrap/>
            <w:vAlign w:val="bottom"/>
            <w:hideMark/>
          </w:tcPr>
          <w:p w14:paraId="1EE87E62"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1,269,228 </w:t>
            </w:r>
          </w:p>
        </w:tc>
        <w:tc>
          <w:tcPr>
            <w:tcW w:w="1700" w:type="dxa"/>
            <w:tcBorders>
              <w:top w:val="nil"/>
              <w:left w:val="nil"/>
              <w:bottom w:val="nil"/>
              <w:right w:val="nil"/>
            </w:tcBorders>
            <w:shd w:val="clear" w:color="auto" w:fill="auto"/>
            <w:noWrap/>
            <w:vAlign w:val="bottom"/>
            <w:hideMark/>
          </w:tcPr>
          <w:p w14:paraId="584529AD"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705,234 </w:t>
            </w:r>
          </w:p>
        </w:tc>
        <w:tc>
          <w:tcPr>
            <w:tcW w:w="1540" w:type="dxa"/>
            <w:tcBorders>
              <w:top w:val="nil"/>
              <w:left w:val="nil"/>
              <w:bottom w:val="nil"/>
              <w:right w:val="nil"/>
            </w:tcBorders>
            <w:shd w:val="clear" w:color="auto" w:fill="auto"/>
            <w:noWrap/>
            <w:vAlign w:val="bottom"/>
            <w:hideMark/>
          </w:tcPr>
          <w:p w14:paraId="705CB4E6"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244,069 </w:t>
            </w:r>
          </w:p>
        </w:tc>
        <w:tc>
          <w:tcPr>
            <w:tcW w:w="1539" w:type="dxa"/>
            <w:tcBorders>
              <w:top w:val="nil"/>
              <w:left w:val="nil"/>
              <w:bottom w:val="nil"/>
              <w:right w:val="nil"/>
            </w:tcBorders>
            <w:shd w:val="clear" w:color="auto" w:fill="auto"/>
            <w:noWrap/>
            <w:vAlign w:val="bottom"/>
            <w:hideMark/>
          </w:tcPr>
          <w:p w14:paraId="2F94E0B4"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124,011 </w:t>
            </w:r>
          </w:p>
        </w:tc>
      </w:tr>
      <w:tr w:rsidR="00DF688A" w:rsidRPr="00DF688A" w14:paraId="79166765" w14:textId="77777777" w:rsidTr="006E235D">
        <w:trPr>
          <w:trHeight w:val="332"/>
        </w:trPr>
        <w:tc>
          <w:tcPr>
            <w:tcW w:w="2304" w:type="dxa"/>
            <w:tcBorders>
              <w:top w:val="nil"/>
              <w:left w:val="nil"/>
              <w:bottom w:val="nil"/>
              <w:right w:val="nil"/>
            </w:tcBorders>
            <w:shd w:val="clear" w:color="auto" w:fill="auto"/>
            <w:noWrap/>
            <w:vAlign w:val="bottom"/>
            <w:hideMark/>
          </w:tcPr>
          <w:p w14:paraId="45DB7ED9" w14:textId="43D18016" w:rsidR="00DF688A" w:rsidRPr="00DF688A" w:rsidRDefault="00064EFA" w:rsidP="00DF688A">
            <w:pPr>
              <w:spacing w:after="0" w:line="240" w:lineRule="auto"/>
              <w:jc w:val="right"/>
              <w:rPr>
                <w:rFonts w:ascii="Calibri" w:eastAsia="Times New Roman" w:hAnsi="Calibri" w:cs="Calibri"/>
                <w:color w:val="000000"/>
                <w:sz w:val="22"/>
                <w:lang w:eastAsia="en-GB"/>
              </w:rPr>
            </w:pPr>
            <w:r>
              <w:rPr>
                <w:rFonts w:ascii="Calibri" w:eastAsia="Times New Roman" w:hAnsi="Calibri" w:cs="Calibri"/>
                <w:color w:val="000000"/>
                <w:sz w:val="22"/>
                <w:lang w:eastAsia="en-GB"/>
              </w:rPr>
              <w:t>P</w:t>
            </w:r>
            <w:r w:rsidR="006E235D">
              <w:rPr>
                <w:rFonts w:ascii="Calibri" w:eastAsia="Times New Roman" w:hAnsi="Calibri" w:cs="Calibri"/>
                <w:color w:val="000000"/>
                <w:sz w:val="22"/>
                <w:lang w:eastAsia="en-GB"/>
              </w:rPr>
              <w:t>er patient</w:t>
            </w:r>
          </w:p>
        </w:tc>
        <w:tc>
          <w:tcPr>
            <w:tcW w:w="1600" w:type="dxa"/>
            <w:tcBorders>
              <w:top w:val="nil"/>
              <w:left w:val="nil"/>
              <w:bottom w:val="nil"/>
              <w:right w:val="nil"/>
            </w:tcBorders>
            <w:shd w:val="clear" w:color="auto" w:fill="auto"/>
            <w:noWrap/>
            <w:vAlign w:val="bottom"/>
            <w:hideMark/>
          </w:tcPr>
          <w:p w14:paraId="109E2DAA"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9.52 </w:t>
            </w:r>
          </w:p>
        </w:tc>
        <w:tc>
          <w:tcPr>
            <w:tcW w:w="1700" w:type="dxa"/>
            <w:tcBorders>
              <w:top w:val="nil"/>
              <w:left w:val="nil"/>
              <w:bottom w:val="nil"/>
              <w:right w:val="nil"/>
            </w:tcBorders>
            <w:shd w:val="clear" w:color="auto" w:fill="auto"/>
            <w:noWrap/>
            <w:vAlign w:val="bottom"/>
            <w:hideMark/>
          </w:tcPr>
          <w:p w14:paraId="1F4A9CA4"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5.29 </w:t>
            </w:r>
          </w:p>
        </w:tc>
        <w:tc>
          <w:tcPr>
            <w:tcW w:w="1540" w:type="dxa"/>
            <w:tcBorders>
              <w:top w:val="nil"/>
              <w:left w:val="nil"/>
              <w:bottom w:val="nil"/>
              <w:right w:val="nil"/>
            </w:tcBorders>
            <w:shd w:val="clear" w:color="auto" w:fill="auto"/>
            <w:noWrap/>
            <w:vAlign w:val="bottom"/>
            <w:hideMark/>
          </w:tcPr>
          <w:p w14:paraId="0C67F6CE"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9.92 </w:t>
            </w:r>
          </w:p>
        </w:tc>
        <w:tc>
          <w:tcPr>
            <w:tcW w:w="1539" w:type="dxa"/>
            <w:tcBorders>
              <w:top w:val="nil"/>
              <w:left w:val="nil"/>
              <w:bottom w:val="nil"/>
              <w:right w:val="nil"/>
            </w:tcBorders>
            <w:shd w:val="clear" w:color="auto" w:fill="auto"/>
            <w:noWrap/>
            <w:vAlign w:val="bottom"/>
            <w:hideMark/>
          </w:tcPr>
          <w:p w14:paraId="0B73EB4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5.04 </w:t>
            </w:r>
          </w:p>
        </w:tc>
      </w:tr>
      <w:tr w:rsidR="00DF688A" w:rsidRPr="00DF688A" w14:paraId="750F510F" w14:textId="77777777" w:rsidTr="006E235D">
        <w:trPr>
          <w:trHeight w:val="346"/>
        </w:trPr>
        <w:tc>
          <w:tcPr>
            <w:tcW w:w="2304" w:type="dxa"/>
            <w:tcBorders>
              <w:top w:val="nil"/>
              <w:left w:val="nil"/>
              <w:bottom w:val="nil"/>
              <w:right w:val="nil"/>
            </w:tcBorders>
            <w:shd w:val="clear" w:color="auto" w:fill="auto"/>
            <w:noWrap/>
            <w:vAlign w:val="bottom"/>
            <w:hideMark/>
          </w:tcPr>
          <w:p w14:paraId="6B899502"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Total costs</w:t>
            </w:r>
          </w:p>
        </w:tc>
        <w:tc>
          <w:tcPr>
            <w:tcW w:w="1600" w:type="dxa"/>
            <w:tcBorders>
              <w:top w:val="nil"/>
              <w:left w:val="nil"/>
              <w:bottom w:val="nil"/>
              <w:right w:val="nil"/>
            </w:tcBorders>
            <w:shd w:val="clear" w:color="auto" w:fill="auto"/>
            <w:noWrap/>
            <w:vAlign w:val="bottom"/>
            <w:hideMark/>
          </w:tcPr>
          <w:p w14:paraId="18266FBB"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£52,700,000</w:t>
            </w:r>
          </w:p>
        </w:tc>
        <w:tc>
          <w:tcPr>
            <w:tcW w:w="1700" w:type="dxa"/>
            <w:tcBorders>
              <w:top w:val="nil"/>
              <w:left w:val="nil"/>
              <w:bottom w:val="nil"/>
              <w:right w:val="nil"/>
            </w:tcBorders>
            <w:shd w:val="clear" w:color="auto" w:fill="auto"/>
            <w:noWrap/>
            <w:vAlign w:val="bottom"/>
            <w:hideMark/>
          </w:tcPr>
          <w:p w14:paraId="1599121B"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£27,400,000</w:t>
            </w:r>
          </w:p>
        </w:tc>
        <w:tc>
          <w:tcPr>
            <w:tcW w:w="1540" w:type="dxa"/>
            <w:tcBorders>
              <w:top w:val="nil"/>
              <w:left w:val="nil"/>
              <w:bottom w:val="nil"/>
              <w:right w:val="nil"/>
            </w:tcBorders>
            <w:shd w:val="clear" w:color="auto" w:fill="auto"/>
            <w:noWrap/>
            <w:vAlign w:val="bottom"/>
            <w:hideMark/>
          </w:tcPr>
          <w:p w14:paraId="2C585FFD"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£10,300,000</w:t>
            </w:r>
          </w:p>
        </w:tc>
        <w:tc>
          <w:tcPr>
            <w:tcW w:w="1539" w:type="dxa"/>
            <w:tcBorders>
              <w:top w:val="nil"/>
              <w:left w:val="nil"/>
              <w:bottom w:val="nil"/>
              <w:right w:val="nil"/>
            </w:tcBorders>
            <w:shd w:val="clear" w:color="auto" w:fill="auto"/>
            <w:noWrap/>
            <w:vAlign w:val="bottom"/>
            <w:hideMark/>
          </w:tcPr>
          <w:p w14:paraId="55674001"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£4,801,599</w:t>
            </w:r>
          </w:p>
        </w:tc>
      </w:tr>
      <w:tr w:rsidR="00DF688A" w:rsidRPr="00DF688A" w14:paraId="7D5C4771" w14:textId="77777777" w:rsidTr="006E235D">
        <w:trPr>
          <w:trHeight w:val="374"/>
        </w:trPr>
        <w:tc>
          <w:tcPr>
            <w:tcW w:w="2304" w:type="dxa"/>
            <w:tcBorders>
              <w:top w:val="nil"/>
              <w:left w:val="nil"/>
              <w:bottom w:val="nil"/>
              <w:right w:val="nil"/>
            </w:tcBorders>
            <w:shd w:val="clear" w:color="auto" w:fill="auto"/>
            <w:noWrap/>
            <w:vAlign w:val="bottom"/>
            <w:hideMark/>
          </w:tcPr>
          <w:p w14:paraId="67A59F76"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Per patient</w:t>
            </w:r>
          </w:p>
        </w:tc>
        <w:tc>
          <w:tcPr>
            <w:tcW w:w="1600" w:type="dxa"/>
            <w:tcBorders>
              <w:top w:val="nil"/>
              <w:left w:val="nil"/>
              <w:bottom w:val="nil"/>
              <w:right w:val="nil"/>
            </w:tcBorders>
            <w:shd w:val="clear" w:color="auto" w:fill="auto"/>
            <w:noWrap/>
            <w:vAlign w:val="bottom"/>
            <w:hideMark/>
          </w:tcPr>
          <w:p w14:paraId="57E36B2D"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£395.23</w:t>
            </w:r>
          </w:p>
        </w:tc>
        <w:tc>
          <w:tcPr>
            <w:tcW w:w="1700" w:type="dxa"/>
            <w:tcBorders>
              <w:top w:val="nil"/>
              <w:left w:val="nil"/>
              <w:bottom w:val="nil"/>
              <w:right w:val="nil"/>
            </w:tcBorders>
            <w:shd w:val="clear" w:color="auto" w:fill="auto"/>
            <w:noWrap/>
            <w:vAlign w:val="bottom"/>
            <w:hideMark/>
          </w:tcPr>
          <w:p w14:paraId="4A937A1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£205.49</w:t>
            </w:r>
          </w:p>
        </w:tc>
        <w:tc>
          <w:tcPr>
            <w:tcW w:w="1540" w:type="dxa"/>
            <w:tcBorders>
              <w:top w:val="nil"/>
              <w:left w:val="nil"/>
              <w:bottom w:val="nil"/>
              <w:right w:val="nil"/>
            </w:tcBorders>
            <w:shd w:val="clear" w:color="auto" w:fill="auto"/>
            <w:noWrap/>
            <w:vAlign w:val="bottom"/>
            <w:hideMark/>
          </w:tcPr>
          <w:p w14:paraId="16C05912"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£418.58</w:t>
            </w:r>
          </w:p>
        </w:tc>
        <w:tc>
          <w:tcPr>
            <w:tcW w:w="1539" w:type="dxa"/>
            <w:tcBorders>
              <w:top w:val="nil"/>
              <w:left w:val="nil"/>
              <w:bottom w:val="nil"/>
              <w:right w:val="nil"/>
            </w:tcBorders>
            <w:shd w:val="clear" w:color="auto" w:fill="auto"/>
            <w:noWrap/>
            <w:vAlign w:val="bottom"/>
            <w:hideMark/>
          </w:tcPr>
          <w:p w14:paraId="6C25B34B"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£195.13</w:t>
            </w:r>
          </w:p>
        </w:tc>
      </w:tr>
      <w:tr w:rsidR="00DF688A" w:rsidRPr="00DF688A" w14:paraId="7C041BB5" w14:textId="77777777" w:rsidTr="006E235D">
        <w:trPr>
          <w:trHeight w:val="332"/>
        </w:trPr>
        <w:tc>
          <w:tcPr>
            <w:tcW w:w="2304" w:type="dxa"/>
            <w:tcBorders>
              <w:top w:val="nil"/>
              <w:left w:val="nil"/>
              <w:bottom w:val="nil"/>
              <w:right w:val="nil"/>
            </w:tcBorders>
            <w:shd w:val="clear" w:color="auto" w:fill="auto"/>
            <w:noWrap/>
            <w:vAlign w:val="bottom"/>
            <w:hideMark/>
          </w:tcPr>
          <w:p w14:paraId="582DBC5A" w14:textId="77777777" w:rsidR="00DF688A" w:rsidRPr="00DF688A" w:rsidRDefault="00DF688A" w:rsidP="00DF688A">
            <w:pPr>
              <w:spacing w:after="0" w:line="240" w:lineRule="auto"/>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Prescriptions</w:t>
            </w:r>
          </w:p>
        </w:tc>
        <w:tc>
          <w:tcPr>
            <w:tcW w:w="1600" w:type="dxa"/>
            <w:tcBorders>
              <w:top w:val="nil"/>
              <w:left w:val="nil"/>
              <w:bottom w:val="nil"/>
              <w:right w:val="nil"/>
            </w:tcBorders>
            <w:shd w:val="clear" w:color="auto" w:fill="auto"/>
            <w:noWrap/>
            <w:vAlign w:val="bottom"/>
            <w:hideMark/>
          </w:tcPr>
          <w:p w14:paraId="6D9F9DBD" w14:textId="77777777" w:rsidR="00DF688A" w:rsidRPr="00DF688A" w:rsidRDefault="00DF688A" w:rsidP="00DF688A">
            <w:pPr>
              <w:spacing w:after="0" w:line="240" w:lineRule="auto"/>
              <w:rPr>
                <w:rFonts w:ascii="Calibri" w:eastAsia="Times New Roman" w:hAnsi="Calibri" w:cs="Calibri"/>
                <w:b/>
                <w:bCs/>
                <w:color w:val="000000"/>
                <w:sz w:val="22"/>
                <w:lang w:eastAsia="en-GB"/>
              </w:rPr>
            </w:pPr>
          </w:p>
        </w:tc>
        <w:tc>
          <w:tcPr>
            <w:tcW w:w="1700" w:type="dxa"/>
            <w:tcBorders>
              <w:top w:val="nil"/>
              <w:left w:val="nil"/>
              <w:bottom w:val="nil"/>
              <w:right w:val="nil"/>
            </w:tcBorders>
            <w:shd w:val="clear" w:color="auto" w:fill="auto"/>
            <w:noWrap/>
            <w:vAlign w:val="bottom"/>
            <w:hideMark/>
          </w:tcPr>
          <w:p w14:paraId="1F733BB8" w14:textId="77777777" w:rsidR="00DF688A" w:rsidRPr="00DF688A" w:rsidRDefault="00DF688A" w:rsidP="00DF688A">
            <w:pPr>
              <w:spacing w:after="0" w:line="240" w:lineRule="auto"/>
              <w:jc w:val="right"/>
              <w:rPr>
                <w:rFonts w:eastAsia="Times New Roman" w:cs="Times New Roman"/>
                <w:sz w:val="20"/>
                <w:szCs w:val="20"/>
                <w:lang w:eastAsia="en-GB"/>
              </w:rPr>
            </w:pPr>
          </w:p>
        </w:tc>
        <w:tc>
          <w:tcPr>
            <w:tcW w:w="1540" w:type="dxa"/>
            <w:tcBorders>
              <w:top w:val="nil"/>
              <w:left w:val="nil"/>
              <w:bottom w:val="nil"/>
              <w:right w:val="nil"/>
            </w:tcBorders>
            <w:shd w:val="clear" w:color="auto" w:fill="auto"/>
            <w:noWrap/>
            <w:vAlign w:val="bottom"/>
            <w:hideMark/>
          </w:tcPr>
          <w:p w14:paraId="22C6D697" w14:textId="77777777" w:rsidR="00DF688A" w:rsidRPr="00DF688A" w:rsidRDefault="00DF688A" w:rsidP="00DF688A">
            <w:pPr>
              <w:spacing w:after="0" w:line="240" w:lineRule="auto"/>
              <w:jc w:val="right"/>
              <w:rPr>
                <w:rFonts w:eastAsia="Times New Roman" w:cs="Times New Roman"/>
                <w:sz w:val="20"/>
                <w:szCs w:val="20"/>
                <w:lang w:eastAsia="en-GB"/>
              </w:rPr>
            </w:pPr>
          </w:p>
        </w:tc>
        <w:tc>
          <w:tcPr>
            <w:tcW w:w="1539" w:type="dxa"/>
            <w:tcBorders>
              <w:top w:val="nil"/>
              <w:left w:val="nil"/>
              <w:bottom w:val="nil"/>
              <w:right w:val="nil"/>
            </w:tcBorders>
            <w:shd w:val="clear" w:color="auto" w:fill="auto"/>
            <w:noWrap/>
            <w:vAlign w:val="bottom"/>
            <w:hideMark/>
          </w:tcPr>
          <w:p w14:paraId="4123230A" w14:textId="77777777" w:rsidR="00DF688A" w:rsidRPr="00DF688A" w:rsidRDefault="00DF688A" w:rsidP="00DF688A">
            <w:pPr>
              <w:spacing w:after="0" w:line="240" w:lineRule="auto"/>
              <w:jc w:val="right"/>
              <w:rPr>
                <w:rFonts w:eastAsia="Times New Roman" w:cs="Times New Roman"/>
                <w:sz w:val="20"/>
                <w:szCs w:val="20"/>
                <w:lang w:eastAsia="en-GB"/>
              </w:rPr>
            </w:pPr>
          </w:p>
        </w:tc>
      </w:tr>
      <w:tr w:rsidR="00DF688A" w:rsidRPr="00DF688A" w14:paraId="0B2D5F04" w14:textId="77777777" w:rsidTr="006E235D">
        <w:trPr>
          <w:trHeight w:val="332"/>
        </w:trPr>
        <w:tc>
          <w:tcPr>
            <w:tcW w:w="2304" w:type="dxa"/>
            <w:tcBorders>
              <w:top w:val="nil"/>
              <w:left w:val="nil"/>
              <w:bottom w:val="nil"/>
              <w:right w:val="nil"/>
            </w:tcBorders>
            <w:shd w:val="clear" w:color="auto" w:fill="auto"/>
            <w:noWrap/>
            <w:vAlign w:val="bottom"/>
            <w:hideMark/>
          </w:tcPr>
          <w:p w14:paraId="44A7F03B"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Count</w:t>
            </w:r>
          </w:p>
        </w:tc>
        <w:tc>
          <w:tcPr>
            <w:tcW w:w="1600" w:type="dxa"/>
            <w:tcBorders>
              <w:top w:val="nil"/>
              <w:left w:val="nil"/>
              <w:bottom w:val="nil"/>
              <w:right w:val="nil"/>
            </w:tcBorders>
            <w:shd w:val="clear" w:color="auto" w:fill="auto"/>
            <w:noWrap/>
            <w:vAlign w:val="bottom"/>
            <w:hideMark/>
          </w:tcPr>
          <w:p w14:paraId="79B7DC79"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1,601,863 </w:t>
            </w:r>
          </w:p>
        </w:tc>
        <w:tc>
          <w:tcPr>
            <w:tcW w:w="1700" w:type="dxa"/>
            <w:tcBorders>
              <w:top w:val="nil"/>
              <w:left w:val="nil"/>
              <w:bottom w:val="nil"/>
              <w:right w:val="nil"/>
            </w:tcBorders>
            <w:shd w:val="clear" w:color="auto" w:fill="auto"/>
            <w:noWrap/>
            <w:vAlign w:val="bottom"/>
            <w:hideMark/>
          </w:tcPr>
          <w:p w14:paraId="1D921461"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550,969 </w:t>
            </w:r>
          </w:p>
        </w:tc>
        <w:tc>
          <w:tcPr>
            <w:tcW w:w="1540" w:type="dxa"/>
            <w:tcBorders>
              <w:top w:val="nil"/>
              <w:left w:val="nil"/>
              <w:bottom w:val="nil"/>
              <w:right w:val="nil"/>
            </w:tcBorders>
            <w:shd w:val="clear" w:color="auto" w:fill="auto"/>
            <w:noWrap/>
            <w:vAlign w:val="bottom"/>
            <w:hideMark/>
          </w:tcPr>
          <w:p w14:paraId="0824A1F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282,742 </w:t>
            </w:r>
          </w:p>
        </w:tc>
        <w:tc>
          <w:tcPr>
            <w:tcW w:w="1539" w:type="dxa"/>
            <w:tcBorders>
              <w:top w:val="nil"/>
              <w:left w:val="nil"/>
              <w:bottom w:val="nil"/>
              <w:right w:val="nil"/>
            </w:tcBorders>
            <w:shd w:val="clear" w:color="auto" w:fill="auto"/>
            <w:noWrap/>
            <w:vAlign w:val="bottom"/>
            <w:hideMark/>
          </w:tcPr>
          <w:p w14:paraId="006704B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89,942 </w:t>
            </w:r>
          </w:p>
        </w:tc>
      </w:tr>
      <w:tr w:rsidR="00DF688A" w:rsidRPr="00DF688A" w14:paraId="29E87B9A" w14:textId="77777777" w:rsidTr="006E235D">
        <w:trPr>
          <w:trHeight w:val="319"/>
        </w:trPr>
        <w:tc>
          <w:tcPr>
            <w:tcW w:w="2304" w:type="dxa"/>
            <w:tcBorders>
              <w:top w:val="nil"/>
              <w:left w:val="nil"/>
              <w:bottom w:val="nil"/>
              <w:right w:val="nil"/>
            </w:tcBorders>
            <w:shd w:val="clear" w:color="auto" w:fill="auto"/>
            <w:noWrap/>
            <w:vAlign w:val="bottom"/>
            <w:hideMark/>
          </w:tcPr>
          <w:p w14:paraId="66A2D134" w14:textId="572B9772" w:rsidR="00DF688A" w:rsidRPr="00DF688A" w:rsidRDefault="00064EFA" w:rsidP="00DF688A">
            <w:pPr>
              <w:spacing w:after="0" w:line="240" w:lineRule="auto"/>
              <w:jc w:val="right"/>
              <w:rPr>
                <w:rFonts w:ascii="Calibri" w:eastAsia="Times New Roman" w:hAnsi="Calibri" w:cs="Calibri"/>
                <w:color w:val="000000"/>
                <w:sz w:val="22"/>
                <w:lang w:eastAsia="en-GB"/>
              </w:rPr>
            </w:pPr>
            <w:r>
              <w:rPr>
                <w:rFonts w:ascii="Calibri" w:eastAsia="Times New Roman" w:hAnsi="Calibri" w:cs="Calibri"/>
                <w:color w:val="000000"/>
                <w:sz w:val="22"/>
                <w:lang w:eastAsia="en-GB"/>
              </w:rPr>
              <w:t>P</w:t>
            </w:r>
            <w:r w:rsidR="002D28B0">
              <w:rPr>
                <w:rFonts w:ascii="Calibri" w:eastAsia="Times New Roman" w:hAnsi="Calibri" w:cs="Calibri"/>
                <w:color w:val="000000"/>
                <w:sz w:val="22"/>
                <w:lang w:eastAsia="en-GB"/>
              </w:rPr>
              <w:t>er patient</w:t>
            </w:r>
          </w:p>
        </w:tc>
        <w:tc>
          <w:tcPr>
            <w:tcW w:w="1600" w:type="dxa"/>
            <w:tcBorders>
              <w:top w:val="nil"/>
              <w:left w:val="nil"/>
              <w:bottom w:val="nil"/>
              <w:right w:val="nil"/>
            </w:tcBorders>
            <w:shd w:val="clear" w:color="auto" w:fill="auto"/>
            <w:noWrap/>
            <w:vAlign w:val="bottom"/>
            <w:hideMark/>
          </w:tcPr>
          <w:p w14:paraId="0F409B50"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12.01 </w:t>
            </w:r>
          </w:p>
        </w:tc>
        <w:tc>
          <w:tcPr>
            <w:tcW w:w="1700" w:type="dxa"/>
            <w:tcBorders>
              <w:top w:val="nil"/>
              <w:left w:val="nil"/>
              <w:bottom w:val="nil"/>
              <w:right w:val="nil"/>
            </w:tcBorders>
            <w:shd w:val="clear" w:color="auto" w:fill="auto"/>
            <w:noWrap/>
            <w:vAlign w:val="bottom"/>
            <w:hideMark/>
          </w:tcPr>
          <w:p w14:paraId="3C93180A"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4.13 </w:t>
            </w:r>
          </w:p>
        </w:tc>
        <w:tc>
          <w:tcPr>
            <w:tcW w:w="1540" w:type="dxa"/>
            <w:tcBorders>
              <w:top w:val="nil"/>
              <w:left w:val="nil"/>
              <w:bottom w:val="nil"/>
              <w:right w:val="nil"/>
            </w:tcBorders>
            <w:shd w:val="clear" w:color="auto" w:fill="auto"/>
            <w:noWrap/>
            <w:vAlign w:val="bottom"/>
            <w:hideMark/>
          </w:tcPr>
          <w:p w14:paraId="720E1883"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11.49 </w:t>
            </w:r>
          </w:p>
        </w:tc>
        <w:tc>
          <w:tcPr>
            <w:tcW w:w="1539" w:type="dxa"/>
            <w:tcBorders>
              <w:top w:val="nil"/>
              <w:left w:val="nil"/>
              <w:bottom w:val="nil"/>
              <w:right w:val="nil"/>
            </w:tcBorders>
            <w:shd w:val="clear" w:color="auto" w:fill="auto"/>
            <w:noWrap/>
            <w:vAlign w:val="bottom"/>
            <w:hideMark/>
          </w:tcPr>
          <w:p w14:paraId="21CF5479"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 xml:space="preserve">                 3.66 </w:t>
            </w:r>
          </w:p>
        </w:tc>
      </w:tr>
      <w:tr w:rsidR="00DF688A" w:rsidRPr="00DF688A" w14:paraId="33D21A77" w14:textId="77777777" w:rsidTr="006E235D">
        <w:trPr>
          <w:trHeight w:val="346"/>
        </w:trPr>
        <w:tc>
          <w:tcPr>
            <w:tcW w:w="2304" w:type="dxa"/>
            <w:tcBorders>
              <w:top w:val="nil"/>
              <w:left w:val="nil"/>
              <w:bottom w:val="nil"/>
              <w:right w:val="nil"/>
            </w:tcBorders>
            <w:shd w:val="clear" w:color="auto" w:fill="auto"/>
            <w:noWrap/>
            <w:vAlign w:val="bottom"/>
            <w:hideMark/>
          </w:tcPr>
          <w:p w14:paraId="56DA8E06"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Total costs</w:t>
            </w:r>
          </w:p>
        </w:tc>
        <w:tc>
          <w:tcPr>
            <w:tcW w:w="1600" w:type="dxa"/>
            <w:tcBorders>
              <w:top w:val="nil"/>
              <w:left w:val="nil"/>
              <w:bottom w:val="nil"/>
              <w:right w:val="nil"/>
            </w:tcBorders>
            <w:shd w:val="clear" w:color="auto" w:fill="auto"/>
            <w:noWrap/>
            <w:vAlign w:val="bottom"/>
            <w:hideMark/>
          </w:tcPr>
          <w:p w14:paraId="1987562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£10,300,000</w:t>
            </w:r>
          </w:p>
        </w:tc>
        <w:tc>
          <w:tcPr>
            <w:tcW w:w="1700" w:type="dxa"/>
            <w:tcBorders>
              <w:top w:val="nil"/>
              <w:left w:val="nil"/>
              <w:bottom w:val="nil"/>
              <w:right w:val="nil"/>
            </w:tcBorders>
            <w:shd w:val="clear" w:color="auto" w:fill="auto"/>
            <w:noWrap/>
            <w:vAlign w:val="bottom"/>
            <w:hideMark/>
          </w:tcPr>
          <w:p w14:paraId="78018F3A"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£3,051,975</w:t>
            </w:r>
          </w:p>
        </w:tc>
        <w:tc>
          <w:tcPr>
            <w:tcW w:w="1540" w:type="dxa"/>
            <w:tcBorders>
              <w:top w:val="nil"/>
              <w:left w:val="nil"/>
              <w:bottom w:val="nil"/>
              <w:right w:val="nil"/>
            </w:tcBorders>
            <w:shd w:val="clear" w:color="auto" w:fill="auto"/>
            <w:noWrap/>
            <w:vAlign w:val="bottom"/>
            <w:hideMark/>
          </w:tcPr>
          <w:p w14:paraId="6EE09B94"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£1,654,807</w:t>
            </w:r>
          </w:p>
        </w:tc>
        <w:tc>
          <w:tcPr>
            <w:tcW w:w="1539" w:type="dxa"/>
            <w:tcBorders>
              <w:top w:val="nil"/>
              <w:left w:val="nil"/>
              <w:bottom w:val="nil"/>
              <w:right w:val="nil"/>
            </w:tcBorders>
            <w:shd w:val="clear" w:color="auto" w:fill="auto"/>
            <w:noWrap/>
            <w:vAlign w:val="bottom"/>
            <w:hideMark/>
          </w:tcPr>
          <w:p w14:paraId="39BD722E"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£498,190</w:t>
            </w:r>
          </w:p>
        </w:tc>
      </w:tr>
      <w:tr w:rsidR="00DF688A" w:rsidRPr="00DF688A" w14:paraId="064F70FB" w14:textId="77777777" w:rsidTr="006E235D">
        <w:trPr>
          <w:trHeight w:val="346"/>
        </w:trPr>
        <w:tc>
          <w:tcPr>
            <w:tcW w:w="2304" w:type="dxa"/>
            <w:tcBorders>
              <w:top w:val="nil"/>
              <w:left w:val="nil"/>
              <w:bottom w:val="nil"/>
              <w:right w:val="nil"/>
            </w:tcBorders>
            <w:shd w:val="clear" w:color="auto" w:fill="auto"/>
            <w:noWrap/>
            <w:vAlign w:val="bottom"/>
            <w:hideMark/>
          </w:tcPr>
          <w:p w14:paraId="1E4E1336"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Per patient</w:t>
            </w:r>
          </w:p>
        </w:tc>
        <w:tc>
          <w:tcPr>
            <w:tcW w:w="1600" w:type="dxa"/>
            <w:tcBorders>
              <w:top w:val="nil"/>
              <w:left w:val="nil"/>
              <w:bottom w:val="nil"/>
              <w:right w:val="nil"/>
            </w:tcBorders>
            <w:shd w:val="clear" w:color="auto" w:fill="auto"/>
            <w:noWrap/>
            <w:vAlign w:val="bottom"/>
            <w:hideMark/>
          </w:tcPr>
          <w:p w14:paraId="3443B923"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£77.25</w:t>
            </w:r>
          </w:p>
        </w:tc>
        <w:tc>
          <w:tcPr>
            <w:tcW w:w="1700" w:type="dxa"/>
            <w:tcBorders>
              <w:top w:val="nil"/>
              <w:left w:val="nil"/>
              <w:bottom w:val="nil"/>
              <w:right w:val="nil"/>
            </w:tcBorders>
            <w:shd w:val="clear" w:color="auto" w:fill="auto"/>
            <w:noWrap/>
            <w:vAlign w:val="bottom"/>
            <w:hideMark/>
          </w:tcPr>
          <w:p w14:paraId="2522483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£22.89</w:t>
            </w:r>
          </w:p>
        </w:tc>
        <w:tc>
          <w:tcPr>
            <w:tcW w:w="1540" w:type="dxa"/>
            <w:tcBorders>
              <w:top w:val="nil"/>
              <w:left w:val="nil"/>
              <w:bottom w:val="nil"/>
              <w:right w:val="nil"/>
            </w:tcBorders>
            <w:shd w:val="clear" w:color="auto" w:fill="auto"/>
            <w:noWrap/>
            <w:vAlign w:val="bottom"/>
            <w:hideMark/>
          </w:tcPr>
          <w:p w14:paraId="2F39FB71"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£67.25</w:t>
            </w:r>
          </w:p>
        </w:tc>
        <w:tc>
          <w:tcPr>
            <w:tcW w:w="1539" w:type="dxa"/>
            <w:tcBorders>
              <w:top w:val="nil"/>
              <w:left w:val="nil"/>
              <w:bottom w:val="nil"/>
              <w:right w:val="nil"/>
            </w:tcBorders>
            <w:shd w:val="clear" w:color="auto" w:fill="auto"/>
            <w:noWrap/>
            <w:vAlign w:val="bottom"/>
            <w:hideMark/>
          </w:tcPr>
          <w:p w14:paraId="5E6FE921"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£20.25</w:t>
            </w:r>
          </w:p>
        </w:tc>
      </w:tr>
      <w:tr w:rsidR="00DF688A" w:rsidRPr="00DF688A" w14:paraId="5991AD21" w14:textId="77777777" w:rsidTr="006E235D">
        <w:trPr>
          <w:trHeight w:val="305"/>
        </w:trPr>
        <w:tc>
          <w:tcPr>
            <w:tcW w:w="2304" w:type="dxa"/>
            <w:tcBorders>
              <w:top w:val="nil"/>
              <w:left w:val="nil"/>
              <w:bottom w:val="nil"/>
              <w:right w:val="nil"/>
            </w:tcBorders>
            <w:shd w:val="clear" w:color="auto" w:fill="auto"/>
            <w:noWrap/>
            <w:vAlign w:val="bottom"/>
            <w:hideMark/>
          </w:tcPr>
          <w:p w14:paraId="30AE066E" w14:textId="77777777" w:rsidR="00DF688A" w:rsidRPr="00DF688A" w:rsidRDefault="00DF688A" w:rsidP="00DF688A">
            <w:pPr>
              <w:spacing w:after="0" w:line="240" w:lineRule="auto"/>
              <w:rPr>
                <w:rFonts w:ascii="Calibri" w:eastAsia="Times New Roman" w:hAnsi="Calibri" w:cs="Calibri"/>
                <w:b/>
                <w:bCs/>
                <w:color w:val="000000"/>
                <w:sz w:val="22"/>
                <w:lang w:eastAsia="en-GB"/>
              </w:rPr>
            </w:pPr>
            <w:r w:rsidRPr="00DF688A">
              <w:rPr>
                <w:rFonts w:ascii="Calibri" w:eastAsia="Times New Roman" w:hAnsi="Calibri" w:cs="Calibri"/>
                <w:b/>
                <w:bCs/>
                <w:color w:val="000000"/>
                <w:sz w:val="22"/>
                <w:lang w:eastAsia="en-GB"/>
              </w:rPr>
              <w:t>Sum</w:t>
            </w:r>
          </w:p>
        </w:tc>
        <w:tc>
          <w:tcPr>
            <w:tcW w:w="1600" w:type="dxa"/>
            <w:tcBorders>
              <w:top w:val="nil"/>
              <w:left w:val="nil"/>
              <w:bottom w:val="nil"/>
              <w:right w:val="nil"/>
            </w:tcBorders>
            <w:shd w:val="clear" w:color="auto" w:fill="auto"/>
            <w:noWrap/>
            <w:vAlign w:val="bottom"/>
            <w:hideMark/>
          </w:tcPr>
          <w:p w14:paraId="1F397B1C" w14:textId="77777777" w:rsidR="00DF688A" w:rsidRPr="00DF688A" w:rsidRDefault="00DF688A" w:rsidP="00DF688A">
            <w:pPr>
              <w:spacing w:after="0" w:line="240" w:lineRule="auto"/>
              <w:rPr>
                <w:rFonts w:ascii="Calibri" w:eastAsia="Times New Roman" w:hAnsi="Calibri" w:cs="Calibri"/>
                <w:b/>
                <w:bCs/>
                <w:color w:val="000000"/>
                <w:sz w:val="22"/>
                <w:lang w:eastAsia="en-GB"/>
              </w:rPr>
            </w:pPr>
          </w:p>
        </w:tc>
        <w:tc>
          <w:tcPr>
            <w:tcW w:w="1700" w:type="dxa"/>
            <w:tcBorders>
              <w:top w:val="nil"/>
              <w:left w:val="nil"/>
              <w:bottom w:val="nil"/>
              <w:right w:val="nil"/>
            </w:tcBorders>
            <w:shd w:val="clear" w:color="auto" w:fill="auto"/>
            <w:noWrap/>
            <w:vAlign w:val="bottom"/>
            <w:hideMark/>
          </w:tcPr>
          <w:p w14:paraId="7B34B025" w14:textId="77777777" w:rsidR="00DF688A" w:rsidRPr="00DF688A" w:rsidRDefault="00DF688A" w:rsidP="00DF688A">
            <w:pPr>
              <w:spacing w:after="0" w:line="240" w:lineRule="auto"/>
              <w:jc w:val="right"/>
              <w:rPr>
                <w:rFonts w:eastAsia="Times New Roman" w:cs="Times New Roman"/>
                <w:sz w:val="20"/>
                <w:szCs w:val="20"/>
                <w:lang w:eastAsia="en-GB"/>
              </w:rPr>
            </w:pPr>
          </w:p>
        </w:tc>
        <w:tc>
          <w:tcPr>
            <w:tcW w:w="1540" w:type="dxa"/>
            <w:tcBorders>
              <w:top w:val="nil"/>
              <w:left w:val="nil"/>
              <w:bottom w:val="nil"/>
              <w:right w:val="nil"/>
            </w:tcBorders>
            <w:shd w:val="clear" w:color="auto" w:fill="auto"/>
            <w:noWrap/>
            <w:vAlign w:val="bottom"/>
            <w:hideMark/>
          </w:tcPr>
          <w:p w14:paraId="2F566684" w14:textId="77777777" w:rsidR="00DF688A" w:rsidRPr="00DF688A" w:rsidRDefault="00DF688A" w:rsidP="00DF688A">
            <w:pPr>
              <w:spacing w:after="0" w:line="240" w:lineRule="auto"/>
              <w:jc w:val="right"/>
              <w:rPr>
                <w:rFonts w:eastAsia="Times New Roman" w:cs="Times New Roman"/>
                <w:sz w:val="20"/>
                <w:szCs w:val="20"/>
                <w:lang w:eastAsia="en-GB"/>
              </w:rPr>
            </w:pPr>
          </w:p>
        </w:tc>
        <w:tc>
          <w:tcPr>
            <w:tcW w:w="1539" w:type="dxa"/>
            <w:tcBorders>
              <w:top w:val="nil"/>
              <w:left w:val="nil"/>
              <w:bottom w:val="nil"/>
              <w:right w:val="nil"/>
            </w:tcBorders>
            <w:shd w:val="clear" w:color="auto" w:fill="auto"/>
            <w:noWrap/>
            <w:vAlign w:val="bottom"/>
            <w:hideMark/>
          </w:tcPr>
          <w:p w14:paraId="20A79F29" w14:textId="77777777" w:rsidR="00DF688A" w:rsidRPr="00DF688A" w:rsidRDefault="00DF688A" w:rsidP="00DF688A">
            <w:pPr>
              <w:spacing w:after="0" w:line="240" w:lineRule="auto"/>
              <w:jc w:val="right"/>
              <w:rPr>
                <w:rFonts w:eastAsia="Times New Roman" w:cs="Times New Roman"/>
                <w:sz w:val="20"/>
                <w:szCs w:val="20"/>
                <w:lang w:eastAsia="en-GB"/>
              </w:rPr>
            </w:pPr>
          </w:p>
        </w:tc>
      </w:tr>
      <w:tr w:rsidR="00DF688A" w:rsidRPr="00DF688A" w14:paraId="17D94935" w14:textId="77777777" w:rsidTr="006E235D">
        <w:trPr>
          <w:trHeight w:val="263"/>
        </w:trPr>
        <w:tc>
          <w:tcPr>
            <w:tcW w:w="2304" w:type="dxa"/>
            <w:tcBorders>
              <w:top w:val="nil"/>
              <w:left w:val="nil"/>
              <w:bottom w:val="nil"/>
              <w:right w:val="nil"/>
            </w:tcBorders>
            <w:shd w:val="clear" w:color="auto" w:fill="auto"/>
            <w:noWrap/>
            <w:vAlign w:val="bottom"/>
            <w:hideMark/>
          </w:tcPr>
          <w:p w14:paraId="44AB9E89"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Total costs</w:t>
            </w:r>
          </w:p>
        </w:tc>
        <w:tc>
          <w:tcPr>
            <w:tcW w:w="1600" w:type="dxa"/>
            <w:tcBorders>
              <w:top w:val="nil"/>
              <w:left w:val="nil"/>
              <w:bottom w:val="nil"/>
              <w:right w:val="nil"/>
            </w:tcBorders>
            <w:shd w:val="clear" w:color="auto" w:fill="auto"/>
            <w:noWrap/>
            <w:vAlign w:val="bottom"/>
            <w:hideMark/>
          </w:tcPr>
          <w:p w14:paraId="06EDB58E"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£63,000,000</w:t>
            </w:r>
          </w:p>
        </w:tc>
        <w:tc>
          <w:tcPr>
            <w:tcW w:w="1700" w:type="dxa"/>
            <w:tcBorders>
              <w:top w:val="nil"/>
              <w:left w:val="nil"/>
              <w:bottom w:val="nil"/>
              <w:right w:val="nil"/>
            </w:tcBorders>
            <w:shd w:val="clear" w:color="auto" w:fill="auto"/>
            <w:noWrap/>
            <w:vAlign w:val="bottom"/>
            <w:hideMark/>
          </w:tcPr>
          <w:p w14:paraId="685ABC82"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£30,451,975</w:t>
            </w:r>
          </w:p>
        </w:tc>
        <w:tc>
          <w:tcPr>
            <w:tcW w:w="1540" w:type="dxa"/>
            <w:tcBorders>
              <w:top w:val="nil"/>
              <w:left w:val="nil"/>
              <w:bottom w:val="nil"/>
              <w:right w:val="nil"/>
            </w:tcBorders>
            <w:shd w:val="clear" w:color="auto" w:fill="auto"/>
            <w:noWrap/>
            <w:vAlign w:val="bottom"/>
            <w:hideMark/>
          </w:tcPr>
          <w:p w14:paraId="7BFEC2B4"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£11,954,807</w:t>
            </w:r>
          </w:p>
        </w:tc>
        <w:tc>
          <w:tcPr>
            <w:tcW w:w="1539" w:type="dxa"/>
            <w:tcBorders>
              <w:top w:val="nil"/>
              <w:left w:val="nil"/>
              <w:bottom w:val="nil"/>
              <w:right w:val="nil"/>
            </w:tcBorders>
            <w:shd w:val="clear" w:color="auto" w:fill="auto"/>
            <w:noWrap/>
            <w:vAlign w:val="bottom"/>
            <w:hideMark/>
          </w:tcPr>
          <w:p w14:paraId="778080C7"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£5,299,789</w:t>
            </w:r>
          </w:p>
        </w:tc>
      </w:tr>
      <w:tr w:rsidR="00DF688A" w:rsidRPr="00DF688A" w14:paraId="4D677667" w14:textId="77777777" w:rsidTr="006E235D">
        <w:trPr>
          <w:trHeight w:val="332"/>
        </w:trPr>
        <w:tc>
          <w:tcPr>
            <w:tcW w:w="2304" w:type="dxa"/>
            <w:tcBorders>
              <w:top w:val="nil"/>
              <w:left w:val="nil"/>
              <w:bottom w:val="single" w:sz="4" w:space="0" w:color="auto"/>
              <w:right w:val="nil"/>
            </w:tcBorders>
            <w:shd w:val="clear" w:color="auto" w:fill="auto"/>
            <w:noWrap/>
            <w:vAlign w:val="bottom"/>
            <w:hideMark/>
          </w:tcPr>
          <w:p w14:paraId="05DA33E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Per patient</w:t>
            </w:r>
          </w:p>
        </w:tc>
        <w:tc>
          <w:tcPr>
            <w:tcW w:w="1600" w:type="dxa"/>
            <w:tcBorders>
              <w:top w:val="nil"/>
              <w:left w:val="nil"/>
              <w:bottom w:val="single" w:sz="4" w:space="0" w:color="auto"/>
              <w:right w:val="nil"/>
            </w:tcBorders>
            <w:shd w:val="clear" w:color="auto" w:fill="auto"/>
            <w:noWrap/>
            <w:vAlign w:val="bottom"/>
            <w:hideMark/>
          </w:tcPr>
          <w:p w14:paraId="1F06AB05"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£472.47</w:t>
            </w:r>
          </w:p>
        </w:tc>
        <w:tc>
          <w:tcPr>
            <w:tcW w:w="1700" w:type="dxa"/>
            <w:tcBorders>
              <w:top w:val="nil"/>
              <w:left w:val="nil"/>
              <w:bottom w:val="single" w:sz="4" w:space="0" w:color="auto"/>
              <w:right w:val="nil"/>
            </w:tcBorders>
            <w:shd w:val="clear" w:color="auto" w:fill="auto"/>
            <w:noWrap/>
            <w:vAlign w:val="bottom"/>
            <w:hideMark/>
          </w:tcPr>
          <w:p w14:paraId="5DDBA0D4"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£228.38</w:t>
            </w:r>
          </w:p>
        </w:tc>
        <w:tc>
          <w:tcPr>
            <w:tcW w:w="1540" w:type="dxa"/>
            <w:tcBorders>
              <w:top w:val="nil"/>
              <w:left w:val="nil"/>
              <w:bottom w:val="single" w:sz="4" w:space="0" w:color="auto"/>
              <w:right w:val="nil"/>
            </w:tcBorders>
            <w:shd w:val="clear" w:color="auto" w:fill="auto"/>
            <w:noWrap/>
            <w:vAlign w:val="bottom"/>
            <w:hideMark/>
          </w:tcPr>
          <w:p w14:paraId="4DB5BFD4"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£485.83</w:t>
            </w:r>
          </w:p>
        </w:tc>
        <w:tc>
          <w:tcPr>
            <w:tcW w:w="1539" w:type="dxa"/>
            <w:tcBorders>
              <w:top w:val="nil"/>
              <w:left w:val="nil"/>
              <w:bottom w:val="single" w:sz="4" w:space="0" w:color="auto"/>
              <w:right w:val="nil"/>
            </w:tcBorders>
            <w:shd w:val="clear" w:color="auto" w:fill="auto"/>
            <w:noWrap/>
            <w:vAlign w:val="bottom"/>
            <w:hideMark/>
          </w:tcPr>
          <w:p w14:paraId="508D078C" w14:textId="77777777" w:rsidR="00DF688A" w:rsidRPr="00DF688A" w:rsidRDefault="00DF688A" w:rsidP="00DF688A">
            <w:pPr>
              <w:spacing w:after="0" w:line="240" w:lineRule="auto"/>
              <w:jc w:val="right"/>
              <w:rPr>
                <w:rFonts w:ascii="Calibri" w:eastAsia="Times New Roman" w:hAnsi="Calibri" w:cs="Calibri"/>
                <w:color w:val="000000"/>
                <w:sz w:val="22"/>
                <w:lang w:eastAsia="en-GB"/>
              </w:rPr>
            </w:pPr>
            <w:r w:rsidRPr="00DF688A">
              <w:rPr>
                <w:rFonts w:ascii="Calibri" w:eastAsia="Times New Roman" w:hAnsi="Calibri" w:cs="Calibri"/>
                <w:color w:val="000000"/>
                <w:sz w:val="22"/>
                <w:lang w:eastAsia="en-GB"/>
              </w:rPr>
              <w:t>£215.38</w:t>
            </w:r>
          </w:p>
        </w:tc>
      </w:tr>
    </w:tbl>
    <w:p w14:paraId="2E26DDDA" w14:textId="77777777" w:rsidR="002613AA" w:rsidRPr="002613AA" w:rsidRDefault="002613AA" w:rsidP="00DF688A"/>
    <w:p w14:paraId="3A36F767" w14:textId="77777777" w:rsidR="002964B9" w:rsidRPr="002964B9" w:rsidRDefault="002964B9" w:rsidP="00DF688A"/>
    <w:p w14:paraId="130F2832" w14:textId="2A499964" w:rsidR="00A970B0" w:rsidRDefault="00BD01E7" w:rsidP="00A970B0">
      <w:pPr>
        <w:spacing w:before="120" w:after="240" w:line="480" w:lineRule="auto"/>
        <w:rPr>
          <w:rFonts w:eastAsia="Calibri" w:cs="Times New Roman"/>
          <w:szCs w:val="24"/>
        </w:rPr>
      </w:pPr>
      <w:r w:rsidRPr="00ED53A0">
        <w:rPr>
          <w:rFonts w:eastAsia="Calibri" w:cs="Times New Roman"/>
          <w:szCs w:val="24"/>
        </w:rPr>
        <w:t>The total incremental costs of back pain reported in this study amounted to £32.5 million</w:t>
      </w:r>
      <w:r w:rsidR="00A727CC">
        <w:rPr>
          <w:rFonts w:eastAsia="Calibri" w:cs="Times New Roman"/>
          <w:szCs w:val="24"/>
        </w:rPr>
        <w:t xml:space="preserve"> (£35.9 million in 2020)</w:t>
      </w:r>
      <w:r w:rsidRPr="00ED53A0">
        <w:rPr>
          <w:rFonts w:eastAsia="Calibri" w:cs="Times New Roman"/>
          <w:szCs w:val="24"/>
        </w:rPr>
        <w:t xml:space="preserve">, with the per-patient cost </w:t>
      </w:r>
      <w:r w:rsidR="00DC5C14">
        <w:rPr>
          <w:rFonts w:eastAsia="Calibri" w:cs="Times New Roman"/>
          <w:szCs w:val="24"/>
        </w:rPr>
        <w:t>of</w:t>
      </w:r>
      <w:r w:rsidRPr="00ED53A0">
        <w:rPr>
          <w:rFonts w:eastAsia="Calibri" w:cs="Times New Roman"/>
          <w:szCs w:val="24"/>
        </w:rPr>
        <w:t xml:space="preserve"> £244</w:t>
      </w:r>
      <w:r w:rsidR="00A727CC">
        <w:rPr>
          <w:rFonts w:eastAsia="Calibri" w:cs="Times New Roman"/>
          <w:szCs w:val="24"/>
        </w:rPr>
        <w:t xml:space="preserve"> (£265 in 2020)</w:t>
      </w:r>
      <w:r w:rsidRPr="00ED53A0">
        <w:rPr>
          <w:rFonts w:eastAsia="Calibri" w:cs="Times New Roman"/>
          <w:szCs w:val="24"/>
        </w:rPr>
        <w:t xml:space="preserve"> per year. </w:t>
      </w:r>
      <w:r w:rsidR="00DC5C14">
        <w:rPr>
          <w:rFonts w:eastAsia="Calibri" w:cs="Times New Roman"/>
          <w:szCs w:val="24"/>
        </w:rPr>
        <w:t xml:space="preserve">At </w:t>
      </w:r>
      <w:r w:rsidR="00DC5C14" w:rsidRPr="00ED53A0">
        <w:rPr>
          <w:rFonts w:eastAsia="Calibri" w:cs="Times New Roman"/>
          <w:szCs w:val="24"/>
        </w:rPr>
        <w:t>£270 per patient per year</w:t>
      </w:r>
      <w:r w:rsidR="00DC5C14">
        <w:rPr>
          <w:rFonts w:eastAsia="Calibri" w:cs="Times New Roman"/>
          <w:szCs w:val="24"/>
        </w:rPr>
        <w:t>,</w:t>
      </w:r>
      <w:r w:rsidR="00DC5C14" w:rsidRPr="00ED53A0">
        <w:rPr>
          <w:rFonts w:eastAsia="Calibri" w:cs="Times New Roman"/>
          <w:szCs w:val="24"/>
        </w:rPr>
        <w:t xml:space="preserve"> </w:t>
      </w:r>
      <w:r w:rsidR="00DC5C14">
        <w:rPr>
          <w:rFonts w:eastAsia="Calibri" w:cs="Times New Roman"/>
          <w:szCs w:val="24"/>
        </w:rPr>
        <w:t>t</w:t>
      </w:r>
      <w:r w:rsidRPr="00ED53A0">
        <w:rPr>
          <w:rFonts w:eastAsia="Calibri" w:cs="Times New Roman"/>
          <w:szCs w:val="24"/>
        </w:rPr>
        <w:t xml:space="preserve">he sensitivity analysis </w:t>
      </w:r>
      <w:r w:rsidR="00DC5C14">
        <w:rPr>
          <w:rFonts w:eastAsia="Calibri" w:cs="Times New Roman"/>
          <w:szCs w:val="24"/>
        </w:rPr>
        <w:t xml:space="preserve">was </w:t>
      </w:r>
      <w:r w:rsidRPr="00ED53A0">
        <w:rPr>
          <w:rFonts w:eastAsia="Calibri" w:cs="Times New Roman"/>
          <w:szCs w:val="24"/>
        </w:rPr>
        <w:t xml:space="preserve">also </w:t>
      </w:r>
      <w:r w:rsidR="00DC5C14">
        <w:rPr>
          <w:rFonts w:eastAsia="Calibri" w:cs="Times New Roman"/>
          <w:szCs w:val="24"/>
        </w:rPr>
        <w:t>consistent with the findings of the main study</w:t>
      </w:r>
      <w:r w:rsidRPr="00ED53A0">
        <w:rPr>
          <w:rFonts w:eastAsia="Calibri" w:cs="Times New Roman"/>
          <w:szCs w:val="24"/>
        </w:rPr>
        <w:t xml:space="preserve">. </w:t>
      </w:r>
      <w:r w:rsidR="00A832A4">
        <w:rPr>
          <w:rFonts w:eastAsia="Calibri" w:cs="Times New Roman"/>
          <w:szCs w:val="24"/>
        </w:rPr>
        <w:t xml:space="preserve">Using </w:t>
      </w:r>
      <w:r w:rsidR="005C0AAF">
        <w:rPr>
          <w:rFonts w:eastAsia="Calibri" w:cs="Times New Roman"/>
          <w:szCs w:val="24"/>
        </w:rPr>
        <w:t xml:space="preserve">an </w:t>
      </w:r>
      <w:r w:rsidR="00A832A4">
        <w:rPr>
          <w:rFonts w:eastAsia="Calibri" w:cs="Times New Roman"/>
          <w:szCs w:val="24"/>
        </w:rPr>
        <w:t xml:space="preserve">alternative regression </w:t>
      </w:r>
      <w:r w:rsidR="00A84B05">
        <w:rPr>
          <w:rFonts w:eastAsia="Calibri" w:cs="Times New Roman"/>
          <w:szCs w:val="24"/>
        </w:rPr>
        <w:t xml:space="preserve">analysis </w:t>
      </w:r>
      <w:r w:rsidR="00FD2080">
        <w:rPr>
          <w:rFonts w:eastAsia="Calibri" w:cs="Times New Roman"/>
          <w:szCs w:val="24"/>
        </w:rPr>
        <w:t>method</w:t>
      </w:r>
      <w:r w:rsidR="00A832A4">
        <w:rPr>
          <w:rFonts w:eastAsia="Calibri" w:cs="Times New Roman"/>
          <w:szCs w:val="24"/>
        </w:rPr>
        <w:t xml:space="preserve">, we obtained an incremental cost per patient of £234 </w:t>
      </w:r>
      <w:r w:rsidR="00F41CE4">
        <w:rPr>
          <w:rFonts w:eastAsia="Calibri" w:cs="Times New Roman"/>
          <w:szCs w:val="24"/>
        </w:rPr>
        <w:t>reported as a coefficient for the cases (</w:t>
      </w:r>
      <w:r w:rsidR="00125F8E" w:rsidRPr="00125F8E">
        <w:rPr>
          <w:rFonts w:eastAsia="Calibri" w:cs="Times New Roman"/>
          <w:szCs w:val="24"/>
        </w:rPr>
        <w:t xml:space="preserve">Supplementary </w:t>
      </w:r>
      <w:r w:rsidR="004A2C38" w:rsidRPr="004A2C38">
        <w:rPr>
          <w:rFonts w:eastAsia="Calibri" w:cs="Times New Roman"/>
          <w:szCs w:val="24"/>
        </w:rPr>
        <w:t>file 7</w:t>
      </w:r>
      <w:r w:rsidR="00F41CE4">
        <w:rPr>
          <w:rFonts w:eastAsia="Calibri" w:cs="Times New Roman"/>
          <w:szCs w:val="24"/>
        </w:rPr>
        <w:t>)</w:t>
      </w:r>
      <w:r w:rsidR="00A832A4">
        <w:rPr>
          <w:rFonts w:eastAsia="Calibri" w:cs="Times New Roman"/>
          <w:szCs w:val="24"/>
        </w:rPr>
        <w:t>. This confirmed the robustness of our matching analysis approach</w:t>
      </w:r>
      <w:r w:rsidR="00F41CE4">
        <w:rPr>
          <w:rFonts w:eastAsia="Calibri" w:cs="Times New Roman"/>
          <w:szCs w:val="24"/>
        </w:rPr>
        <w:t>.</w:t>
      </w:r>
      <w:r w:rsidR="00A832A4">
        <w:rPr>
          <w:rFonts w:eastAsia="Calibri" w:cs="Times New Roman"/>
          <w:szCs w:val="24"/>
        </w:rPr>
        <w:t xml:space="preserve"> </w:t>
      </w:r>
      <w:r w:rsidRPr="00ED53A0">
        <w:rPr>
          <w:rFonts w:eastAsia="Calibri" w:cs="Times New Roman"/>
          <w:szCs w:val="24"/>
        </w:rPr>
        <w:t xml:space="preserve">Around </w:t>
      </w:r>
      <w:r w:rsidR="00AF632F">
        <w:rPr>
          <w:rFonts w:eastAsia="Calibri" w:cs="Times New Roman"/>
          <w:szCs w:val="24"/>
        </w:rPr>
        <w:t>80</w:t>
      </w:r>
      <w:r w:rsidRPr="00ED53A0">
        <w:rPr>
          <w:rFonts w:eastAsia="Calibri" w:cs="Times New Roman"/>
          <w:szCs w:val="24"/>
        </w:rPr>
        <w:t xml:space="preserve">% of the total cost difference </w:t>
      </w:r>
      <w:r w:rsidRPr="00ED53A0">
        <w:rPr>
          <w:rFonts w:eastAsia="Calibri" w:cs="Times New Roman"/>
          <w:szCs w:val="24"/>
        </w:rPr>
        <w:lastRenderedPageBreak/>
        <w:t>between the case and control groups was attributed to consultations.</w:t>
      </w:r>
      <w:r w:rsidR="002E40F2">
        <w:rPr>
          <w:rFonts w:eastAsia="Calibri" w:cs="Times New Roman"/>
          <w:szCs w:val="24"/>
        </w:rPr>
        <w:t xml:space="preserve"> </w:t>
      </w:r>
      <w:r w:rsidR="00A970B0" w:rsidRPr="00ED53A0">
        <w:rPr>
          <w:rFonts w:eastAsia="Calibri" w:cs="Times New Roman"/>
          <w:szCs w:val="24"/>
        </w:rPr>
        <w:t>The result w</w:t>
      </w:r>
      <w:r w:rsidR="00722DD2">
        <w:rPr>
          <w:rFonts w:eastAsia="Calibri" w:cs="Times New Roman"/>
          <w:szCs w:val="24"/>
        </w:rPr>
        <w:t>as</w:t>
      </w:r>
      <w:r w:rsidR="00A970B0" w:rsidRPr="00ED53A0">
        <w:rPr>
          <w:rFonts w:eastAsia="Calibri" w:cs="Times New Roman"/>
          <w:szCs w:val="24"/>
        </w:rPr>
        <w:t xml:space="preserve"> extrapolated to a national level </w:t>
      </w:r>
      <w:r w:rsidR="0031684C">
        <w:rPr>
          <w:rFonts w:eastAsia="Calibri" w:cs="Times New Roman"/>
          <w:szCs w:val="24"/>
        </w:rPr>
        <w:t xml:space="preserve">using prevalence estimates </w:t>
      </w:r>
      <w:r w:rsidR="00C52D17">
        <w:rPr>
          <w:rFonts w:eastAsia="Calibri" w:cs="Times New Roman"/>
          <w:szCs w:val="24"/>
        </w:rPr>
        <w:t>calculated (</w:t>
      </w:r>
      <w:r w:rsidR="00125F8E" w:rsidRPr="00125F8E">
        <w:rPr>
          <w:rFonts w:eastAsia="Calibri" w:cs="Times New Roman"/>
          <w:szCs w:val="24"/>
        </w:rPr>
        <w:t xml:space="preserve">Supplementary </w:t>
      </w:r>
      <w:r w:rsidR="006474B1" w:rsidRPr="006474B1">
        <w:rPr>
          <w:rFonts w:eastAsia="Calibri" w:cs="Times New Roman"/>
          <w:szCs w:val="24"/>
        </w:rPr>
        <w:t>file 8</w:t>
      </w:r>
      <w:r w:rsidR="00C52D17">
        <w:rPr>
          <w:rFonts w:eastAsia="Calibri" w:cs="Times New Roman"/>
          <w:szCs w:val="24"/>
        </w:rPr>
        <w:t xml:space="preserve">) </w:t>
      </w:r>
      <w:r w:rsidR="00722DD2">
        <w:rPr>
          <w:rFonts w:eastAsia="Calibri" w:cs="Times New Roman"/>
          <w:szCs w:val="24"/>
        </w:rPr>
        <w:t xml:space="preserve">and the </w:t>
      </w:r>
      <w:r w:rsidR="00722DD2" w:rsidRPr="00722DD2">
        <w:rPr>
          <w:rFonts w:eastAsia="Calibri" w:cs="Times New Roman"/>
          <w:szCs w:val="24"/>
        </w:rPr>
        <w:t xml:space="preserve">mid-year UK </w:t>
      </w:r>
      <w:r w:rsidR="00C52D17">
        <w:rPr>
          <w:rFonts w:eastAsia="Calibri" w:cs="Times New Roman"/>
          <w:szCs w:val="24"/>
        </w:rPr>
        <w:t xml:space="preserve">adult </w:t>
      </w:r>
      <w:r w:rsidR="00722DD2" w:rsidRPr="00722DD2">
        <w:rPr>
          <w:rFonts w:eastAsia="Calibri" w:cs="Times New Roman"/>
          <w:szCs w:val="24"/>
        </w:rPr>
        <w:t xml:space="preserve">population </w:t>
      </w:r>
      <w:r w:rsidR="0031684C">
        <w:rPr>
          <w:rFonts w:eastAsia="Calibri" w:cs="Times New Roman"/>
          <w:szCs w:val="24"/>
        </w:rPr>
        <w:t>level</w:t>
      </w:r>
      <w:r w:rsidR="00722DD2" w:rsidRPr="00722DD2">
        <w:rPr>
          <w:rFonts w:eastAsia="Calibri" w:cs="Times New Roman"/>
          <w:szCs w:val="24"/>
        </w:rPr>
        <w:t xml:space="preserve"> </w:t>
      </w:r>
      <w:r w:rsidR="00722DD2">
        <w:rPr>
          <w:rFonts w:eastAsia="Calibri" w:cs="Times New Roman"/>
          <w:szCs w:val="24"/>
        </w:rPr>
        <w:fldChar w:fldCharType="begin"/>
      </w:r>
      <w:r w:rsidR="00804DE9">
        <w:rPr>
          <w:rFonts w:eastAsia="Calibri" w:cs="Times New Roman"/>
          <w:szCs w:val="24"/>
        </w:rPr>
        <w:instrText xml:space="preserve"> ADDIN EN.CITE &lt;EndNote&gt;&lt;Cite&gt;&lt;Year&gt;2016&lt;/Year&gt;&lt;RecNum&gt;288&lt;/RecNum&gt;&lt;DisplayText&gt;(26)&lt;/DisplayText&gt;&lt;record&gt;&lt;rec-number&gt;288&lt;/rec-number&gt;&lt;foreign-keys&gt;&lt;key app="EN" db-id="wvr0axtt1w9rr8efern5p95ofraatp209r09" timestamp="1558514033"&gt;288&lt;/key&gt;&lt;/foreign-keys&gt;&lt;ref-type name="Web Page"&gt;12&lt;/ref-type&gt;&lt;contributors&gt;&lt;/contributors&gt;&lt;titles&gt;&lt;title&gt;Office for National Statistics (ONS), Estimates of the population for the UK, England and Wales, Scotland and Northern Ireland&lt;/title&gt;&lt;/titles&gt;&lt;number&gt;May 2019&lt;/number&gt;&lt;dates&gt;&lt;year&gt;2016&lt;/year&gt;&lt;/dates&gt;&lt;urls&gt;&lt;related-urls&gt;&lt;url&gt;https://www.ons.gov.uk/peoplepopulationandcommunity/populationandmigration/populationestimates/datasets/populationestimatesforukenglandandwalesscotlandandnorthernireland&lt;/url&gt;&lt;/related-urls&gt;&lt;/urls&gt;&lt;/record&gt;&lt;/Cite&gt;&lt;/EndNote&gt;</w:instrText>
      </w:r>
      <w:r w:rsidR="00722DD2">
        <w:rPr>
          <w:rFonts w:eastAsia="Calibri" w:cs="Times New Roman"/>
          <w:szCs w:val="24"/>
        </w:rPr>
        <w:fldChar w:fldCharType="separate"/>
      </w:r>
      <w:r w:rsidR="00B44AFF">
        <w:rPr>
          <w:rFonts w:eastAsia="Calibri" w:cs="Times New Roman"/>
          <w:noProof/>
          <w:szCs w:val="24"/>
        </w:rPr>
        <w:t>(26)</w:t>
      </w:r>
      <w:r w:rsidR="00722DD2">
        <w:rPr>
          <w:rFonts w:eastAsia="Calibri" w:cs="Times New Roman"/>
          <w:szCs w:val="24"/>
        </w:rPr>
        <w:fldChar w:fldCharType="end"/>
      </w:r>
      <w:r w:rsidR="00A970B0" w:rsidRPr="00ED53A0">
        <w:rPr>
          <w:rFonts w:eastAsia="Calibri" w:cs="Times New Roman"/>
          <w:szCs w:val="24"/>
        </w:rPr>
        <w:t>. This generated an incremental cost associated with back pain costing the healthcare system an estimated £3.2 billion in 2015</w:t>
      </w:r>
      <w:r w:rsidR="00A727CC">
        <w:rPr>
          <w:rFonts w:eastAsia="Calibri" w:cs="Times New Roman"/>
          <w:szCs w:val="24"/>
        </w:rPr>
        <w:t xml:space="preserve"> (£3.5 billion in 2020).</w:t>
      </w:r>
    </w:p>
    <w:p w14:paraId="7271F01B" w14:textId="765500F4" w:rsidR="009E130D" w:rsidRPr="00345432" w:rsidRDefault="00443857" w:rsidP="00345432">
      <w:pPr>
        <w:spacing w:before="120" w:after="240" w:line="480" w:lineRule="auto"/>
        <w:rPr>
          <w:rFonts w:eastAsia="Calibri" w:cs="Times New Roman"/>
          <w:szCs w:val="24"/>
        </w:rPr>
      </w:pPr>
      <w:r w:rsidRPr="00443857">
        <w:rPr>
          <w:rFonts w:eastAsia="Calibri" w:cs="Times New Roman"/>
          <w:szCs w:val="24"/>
        </w:rPr>
        <w:t xml:space="preserve">Descriptive details of resource utilisation by consultation types and drug groups </w:t>
      </w:r>
      <w:r w:rsidR="0050589B">
        <w:rPr>
          <w:rFonts w:eastAsia="Calibri" w:cs="Times New Roman"/>
          <w:szCs w:val="24"/>
        </w:rPr>
        <w:t>are</w:t>
      </w:r>
      <w:r w:rsidRPr="00443857">
        <w:rPr>
          <w:rFonts w:eastAsia="Calibri" w:cs="Times New Roman"/>
          <w:szCs w:val="24"/>
        </w:rPr>
        <w:t xml:space="preserve"> shown in Figure </w:t>
      </w:r>
      <w:r>
        <w:rPr>
          <w:rFonts w:eastAsia="Calibri" w:cs="Times New Roman"/>
          <w:szCs w:val="24"/>
        </w:rPr>
        <w:t>2</w:t>
      </w:r>
      <w:r w:rsidRPr="00443857">
        <w:rPr>
          <w:rFonts w:eastAsia="Calibri" w:cs="Times New Roman"/>
          <w:szCs w:val="24"/>
        </w:rPr>
        <w:t xml:space="preserve"> and Figure </w:t>
      </w:r>
      <w:r>
        <w:rPr>
          <w:rFonts w:eastAsia="Calibri" w:cs="Times New Roman"/>
          <w:szCs w:val="24"/>
        </w:rPr>
        <w:t>3</w:t>
      </w:r>
      <w:r w:rsidRPr="00443857">
        <w:rPr>
          <w:rFonts w:eastAsia="Calibri" w:cs="Times New Roman"/>
          <w:szCs w:val="24"/>
        </w:rPr>
        <w:t xml:space="preserve"> respectively.</w:t>
      </w:r>
      <w:r>
        <w:rPr>
          <w:rFonts w:eastAsia="Calibri" w:cs="Times New Roman"/>
          <w:szCs w:val="24"/>
        </w:rPr>
        <w:t xml:space="preserve"> </w:t>
      </w:r>
      <w:r w:rsidRPr="00443857">
        <w:rPr>
          <w:rFonts w:eastAsia="Calibri" w:cs="Times New Roman"/>
          <w:szCs w:val="24"/>
        </w:rPr>
        <w:t xml:space="preserve">The largest difference in consultations between the cases and controls was in the GP surgery consultation category where cases </w:t>
      </w:r>
      <w:r>
        <w:rPr>
          <w:rFonts w:eastAsia="Calibri" w:cs="Times New Roman"/>
          <w:szCs w:val="24"/>
        </w:rPr>
        <w:t>utilised</w:t>
      </w:r>
      <w:r w:rsidRPr="00443857">
        <w:rPr>
          <w:rFonts w:eastAsia="Calibri" w:cs="Times New Roman"/>
          <w:szCs w:val="24"/>
        </w:rPr>
        <w:t xml:space="preserve"> twice the number of consultations compared to controls. Home visits by GPs had the least attribution to the total consultations with 1.5% and 1.9% of the share for the case and control groups respectively.</w:t>
      </w:r>
      <w:r>
        <w:rPr>
          <w:rFonts w:eastAsia="Calibri" w:cs="Times New Roman"/>
          <w:szCs w:val="24"/>
        </w:rPr>
        <w:t xml:space="preserve"> </w:t>
      </w:r>
      <w:r w:rsidR="004412DA">
        <w:rPr>
          <w:rFonts w:eastAsia="Calibri" w:cs="Times New Roman"/>
          <w:szCs w:val="24"/>
        </w:rPr>
        <w:t xml:space="preserve">For </w:t>
      </w:r>
      <w:r w:rsidR="004412DA" w:rsidRPr="004412DA">
        <w:rPr>
          <w:rFonts w:eastAsia="Calibri" w:cs="Times New Roman"/>
          <w:szCs w:val="24"/>
        </w:rPr>
        <w:t>prescription drugs, the largest attribution came from the category of ‘other drugs’ which included anxiolytics/hypnotics, laxatives, corticosteroids and proton pump inhibitors.</w:t>
      </w:r>
      <w:r w:rsidR="004412DA">
        <w:rPr>
          <w:rFonts w:eastAsia="Calibri" w:cs="Times New Roman"/>
          <w:szCs w:val="24"/>
        </w:rPr>
        <w:t xml:space="preserve"> </w:t>
      </w:r>
      <w:r w:rsidR="002D32CE" w:rsidRPr="002D32CE">
        <w:rPr>
          <w:rFonts w:eastAsia="Calibri" w:cs="Times New Roman"/>
          <w:szCs w:val="24"/>
        </w:rPr>
        <w:t>The attribution of the main drug groups to the incremental resource use associated with back pain was 29.5%, 27.2%, and 21.7% for the other drugs, strong analgesics, and the basic/weak analgesics groups respectively.</w:t>
      </w:r>
    </w:p>
    <w:p w14:paraId="72DB213E" w14:textId="41AA3F6A" w:rsidR="009E130D" w:rsidRDefault="009E130D" w:rsidP="009D1D88"/>
    <w:p w14:paraId="5B83B5A3" w14:textId="77777777" w:rsidR="0031677C" w:rsidRDefault="0031677C" w:rsidP="009D1D88"/>
    <w:p w14:paraId="6F4C0B6B" w14:textId="0DFE730D" w:rsidR="002E40F2" w:rsidRPr="009D1D88" w:rsidRDefault="002E40F2" w:rsidP="009D1D88">
      <w:pPr>
        <w:rPr>
          <w:b/>
          <w:bCs/>
        </w:rPr>
      </w:pPr>
      <w:r w:rsidRPr="009D1D88">
        <w:rPr>
          <w:b/>
          <w:bCs/>
        </w:rPr>
        <w:t xml:space="preserve">Figure 2: </w:t>
      </w:r>
      <w:bookmarkStart w:id="7" w:name="_Hlk93166207"/>
      <w:r w:rsidRPr="009D1D88">
        <w:rPr>
          <w:b/>
          <w:bCs/>
        </w:rPr>
        <w:t xml:space="preserve">Attribution of resource utilisation </w:t>
      </w:r>
      <w:r w:rsidR="00156382" w:rsidRPr="009D1D88">
        <w:rPr>
          <w:b/>
          <w:bCs/>
        </w:rPr>
        <w:t>by</w:t>
      </w:r>
      <w:r w:rsidRPr="009D1D88">
        <w:rPr>
          <w:b/>
          <w:bCs/>
        </w:rPr>
        <w:t xml:space="preserve"> consultation</w:t>
      </w:r>
      <w:r w:rsidR="00156382" w:rsidRPr="009D1D88">
        <w:rPr>
          <w:b/>
          <w:bCs/>
        </w:rPr>
        <w:t xml:space="preserve"> groups</w:t>
      </w:r>
      <w:r w:rsidRPr="009D1D88">
        <w:rPr>
          <w:b/>
          <w:bCs/>
        </w:rPr>
        <w:t xml:space="preserve"> in patients with and without back pain</w:t>
      </w:r>
      <w:bookmarkEnd w:id="7"/>
    </w:p>
    <w:p w14:paraId="7590639B" w14:textId="4363AD9A" w:rsidR="00F54CF1" w:rsidRDefault="00F54CF1" w:rsidP="009D1D88"/>
    <w:p w14:paraId="257413B0" w14:textId="2D854863" w:rsidR="00F54CF1" w:rsidRPr="006D72A0" w:rsidRDefault="00F54CF1" w:rsidP="009D1D88"/>
    <w:p w14:paraId="535EEBD3" w14:textId="55CEA15D" w:rsidR="002E40F2" w:rsidRPr="009D1D88" w:rsidRDefault="00156382" w:rsidP="009D1D88">
      <w:pPr>
        <w:rPr>
          <w:rFonts w:eastAsia="Calibri" w:cs="Times New Roman"/>
          <w:b/>
          <w:bCs/>
          <w:szCs w:val="24"/>
        </w:rPr>
      </w:pPr>
      <w:r w:rsidRPr="009D1D88">
        <w:rPr>
          <w:rFonts w:eastAsia="Calibri" w:cs="Times New Roman"/>
          <w:b/>
          <w:bCs/>
          <w:szCs w:val="24"/>
        </w:rPr>
        <w:t xml:space="preserve">Figure </w:t>
      </w:r>
      <w:r w:rsidR="00060BAB" w:rsidRPr="009D1D88">
        <w:rPr>
          <w:rFonts w:eastAsia="Calibri" w:cs="Times New Roman"/>
          <w:b/>
          <w:bCs/>
          <w:szCs w:val="24"/>
        </w:rPr>
        <w:t>3</w:t>
      </w:r>
      <w:r w:rsidRPr="009D1D88">
        <w:rPr>
          <w:rFonts w:eastAsia="Calibri" w:cs="Times New Roman"/>
          <w:b/>
          <w:bCs/>
          <w:szCs w:val="24"/>
        </w:rPr>
        <w:t xml:space="preserve">: </w:t>
      </w:r>
      <w:bookmarkStart w:id="8" w:name="_Hlk93166219"/>
      <w:r w:rsidR="004556F9" w:rsidRPr="009D1D88">
        <w:rPr>
          <w:rFonts w:eastAsia="Calibri" w:cs="Times New Roman"/>
          <w:b/>
          <w:bCs/>
          <w:szCs w:val="24"/>
        </w:rPr>
        <w:t>Attribution of resource utilisation</w:t>
      </w:r>
      <w:r w:rsidRPr="009D1D88">
        <w:rPr>
          <w:rFonts w:eastAsia="Calibri" w:cs="Times New Roman"/>
          <w:b/>
          <w:bCs/>
          <w:szCs w:val="24"/>
        </w:rPr>
        <w:t xml:space="preserve"> by drug groups</w:t>
      </w:r>
      <w:bookmarkEnd w:id="8"/>
    </w:p>
    <w:p w14:paraId="73115169" w14:textId="77777777" w:rsidR="00163596" w:rsidRDefault="00163596" w:rsidP="009D1D88">
      <w:pPr>
        <w:rPr>
          <w:rFonts w:eastAsia="Calibri" w:cs="Times New Roman"/>
          <w:szCs w:val="24"/>
        </w:rPr>
      </w:pPr>
    </w:p>
    <w:p w14:paraId="3B1F975A" w14:textId="77777777" w:rsidR="00712B2E" w:rsidRDefault="00712B2E" w:rsidP="009D1D88">
      <w:pPr>
        <w:rPr>
          <w:rFonts w:eastAsia="Calibri" w:cs="Times New Roman"/>
          <w:szCs w:val="24"/>
        </w:rPr>
      </w:pPr>
    </w:p>
    <w:p w14:paraId="7B89E37A" w14:textId="77777777" w:rsidR="00A970B0" w:rsidRPr="00ED53A0" w:rsidRDefault="0033079B" w:rsidP="00F7099B">
      <w:pPr>
        <w:pStyle w:val="Heading2"/>
        <w:rPr>
          <w:rFonts w:eastAsia="Calibri"/>
          <w:b w:val="0"/>
        </w:rPr>
      </w:pPr>
      <w:bookmarkStart w:id="9" w:name="_Toc15458462"/>
      <w:r>
        <w:rPr>
          <w:rFonts w:eastAsia="Calibri"/>
        </w:rPr>
        <w:lastRenderedPageBreak/>
        <w:t>V</w:t>
      </w:r>
      <w:r w:rsidR="00A970B0" w:rsidRPr="00ED53A0">
        <w:rPr>
          <w:rFonts w:eastAsia="Calibri"/>
        </w:rPr>
        <w:t>ariation of costs by subgroups of population</w:t>
      </w:r>
      <w:bookmarkEnd w:id="9"/>
    </w:p>
    <w:p w14:paraId="2B81FEC0" w14:textId="42F1DA8C" w:rsidR="00CB00E9" w:rsidRDefault="00A970B0" w:rsidP="00A970B0">
      <w:pPr>
        <w:spacing w:before="120" w:after="240" w:line="480" w:lineRule="auto"/>
        <w:rPr>
          <w:rFonts w:eastAsia="Calibri" w:cs="Times New Roman"/>
          <w:szCs w:val="24"/>
        </w:rPr>
      </w:pPr>
      <w:r w:rsidRPr="00ED53A0">
        <w:rPr>
          <w:rFonts w:eastAsia="Calibri" w:cs="Times New Roman"/>
          <w:szCs w:val="24"/>
        </w:rPr>
        <w:t xml:space="preserve">Variation of all-cause mean healthcare costs by sociodemographic factors in patients with back pain is shown in Table </w:t>
      </w:r>
      <w:r w:rsidR="000A56EB">
        <w:rPr>
          <w:rFonts w:eastAsia="Calibri" w:cs="Times New Roman"/>
          <w:szCs w:val="24"/>
        </w:rPr>
        <w:t>4</w:t>
      </w:r>
      <w:r w:rsidRPr="00ED53A0">
        <w:rPr>
          <w:rFonts w:eastAsia="Calibri" w:cs="Times New Roman"/>
          <w:szCs w:val="24"/>
        </w:rPr>
        <w:t xml:space="preserve">. </w:t>
      </w:r>
      <w:r w:rsidR="002D3486">
        <w:rPr>
          <w:rFonts w:eastAsia="Calibri" w:cs="Times New Roman"/>
          <w:szCs w:val="24"/>
        </w:rPr>
        <w:t>With the exception of</w:t>
      </w:r>
      <w:r w:rsidRPr="00ED53A0">
        <w:rPr>
          <w:rFonts w:eastAsia="Calibri" w:cs="Times New Roman"/>
          <w:szCs w:val="24"/>
        </w:rPr>
        <w:t xml:space="preserve"> nurse consultations, the mean healthcare </w:t>
      </w:r>
      <w:r w:rsidR="00BE0523" w:rsidRPr="00BE0523">
        <w:rPr>
          <w:rFonts w:eastAsia="Calibri" w:cs="Times New Roman"/>
          <w:szCs w:val="24"/>
        </w:rPr>
        <w:t xml:space="preserve">costs per patient was higher for females than males. </w:t>
      </w:r>
      <w:r w:rsidR="006002DF">
        <w:rPr>
          <w:rFonts w:eastAsia="Calibri" w:cs="Times New Roman"/>
          <w:szCs w:val="24"/>
        </w:rPr>
        <w:t>Similarly, costs</w:t>
      </w:r>
      <w:r w:rsidR="00BE0523" w:rsidRPr="00BE0523">
        <w:rPr>
          <w:rFonts w:eastAsia="Calibri" w:cs="Times New Roman"/>
          <w:szCs w:val="24"/>
        </w:rPr>
        <w:t xml:space="preserve"> generally increased by age groups</w:t>
      </w:r>
      <w:r w:rsidR="006002DF">
        <w:rPr>
          <w:rFonts w:eastAsia="Calibri" w:cs="Times New Roman"/>
          <w:szCs w:val="24"/>
        </w:rPr>
        <w:t xml:space="preserve"> and deprivation with older patients and </w:t>
      </w:r>
      <w:r w:rsidR="00517F62">
        <w:rPr>
          <w:rFonts w:eastAsia="Calibri" w:cs="Times New Roman"/>
          <w:szCs w:val="24"/>
        </w:rPr>
        <w:t>patients living in more deprived areas incurring higher costs</w:t>
      </w:r>
      <w:r w:rsidR="00BE0523" w:rsidRPr="00BE0523">
        <w:rPr>
          <w:rFonts w:eastAsia="Calibri" w:cs="Times New Roman"/>
          <w:szCs w:val="24"/>
        </w:rPr>
        <w:t xml:space="preserve">. The mean healthcare costs also showed clear patterns with costs increasing with comorbidities across all cost components with no exception. The cost variations by </w:t>
      </w:r>
      <w:r w:rsidR="00C86C30">
        <w:rPr>
          <w:rFonts w:eastAsia="Calibri" w:cs="Times New Roman"/>
          <w:szCs w:val="24"/>
        </w:rPr>
        <w:t xml:space="preserve">these </w:t>
      </w:r>
      <w:r w:rsidR="00BE0523" w:rsidRPr="00BE0523">
        <w:rPr>
          <w:rFonts w:eastAsia="Calibri" w:cs="Times New Roman"/>
          <w:szCs w:val="24"/>
        </w:rPr>
        <w:t xml:space="preserve">sociodemographic </w:t>
      </w:r>
      <w:r w:rsidR="00BE0523">
        <w:rPr>
          <w:rFonts w:eastAsia="Calibri" w:cs="Times New Roman"/>
          <w:szCs w:val="24"/>
        </w:rPr>
        <w:t xml:space="preserve">and clinical </w:t>
      </w:r>
      <w:r w:rsidR="00BE0523" w:rsidRPr="00BE0523">
        <w:rPr>
          <w:rFonts w:eastAsia="Calibri" w:cs="Times New Roman"/>
          <w:szCs w:val="24"/>
        </w:rPr>
        <w:t>factors were statistically significant.</w:t>
      </w:r>
      <w:r w:rsidR="00BE0523">
        <w:rPr>
          <w:rFonts w:eastAsia="Calibri" w:cs="Times New Roman"/>
          <w:szCs w:val="24"/>
        </w:rPr>
        <w:t xml:space="preserve"> </w:t>
      </w:r>
      <w:r w:rsidR="006002DF">
        <w:rPr>
          <w:rFonts w:eastAsia="Calibri" w:cs="Times New Roman"/>
          <w:szCs w:val="24"/>
        </w:rPr>
        <w:t xml:space="preserve">Similar patterns were observed among the control </w:t>
      </w:r>
      <w:r w:rsidR="00DB3458">
        <w:rPr>
          <w:rFonts w:eastAsia="Calibri" w:cs="Times New Roman"/>
          <w:szCs w:val="24"/>
        </w:rPr>
        <w:t>population,</w:t>
      </w:r>
      <w:r w:rsidR="006002DF">
        <w:rPr>
          <w:rFonts w:eastAsia="Calibri" w:cs="Times New Roman"/>
          <w:szCs w:val="24"/>
        </w:rPr>
        <w:t xml:space="preserve"> </w:t>
      </w:r>
      <w:r w:rsidR="00D92326">
        <w:rPr>
          <w:rFonts w:eastAsia="Calibri" w:cs="Times New Roman"/>
          <w:szCs w:val="24"/>
        </w:rPr>
        <w:t>but the cost</w:t>
      </w:r>
      <w:r w:rsidR="00DB3458">
        <w:rPr>
          <w:rFonts w:eastAsia="Calibri" w:cs="Times New Roman"/>
          <w:szCs w:val="24"/>
        </w:rPr>
        <w:t>s</w:t>
      </w:r>
      <w:r w:rsidR="00D92326">
        <w:rPr>
          <w:rFonts w:eastAsia="Calibri" w:cs="Times New Roman"/>
          <w:szCs w:val="24"/>
        </w:rPr>
        <w:t xml:space="preserve"> were lower compared to the cases (</w:t>
      </w:r>
      <w:r w:rsidR="00FB7CD6" w:rsidRPr="00FB7CD6">
        <w:rPr>
          <w:rFonts w:eastAsia="Calibri" w:cs="Times New Roman"/>
          <w:szCs w:val="24"/>
        </w:rPr>
        <w:t xml:space="preserve">Supplementary </w:t>
      </w:r>
      <w:r w:rsidR="00CF4B42" w:rsidRPr="00CF4B42">
        <w:rPr>
          <w:rFonts w:eastAsia="Calibri" w:cs="Times New Roman"/>
          <w:szCs w:val="24"/>
        </w:rPr>
        <w:t>file 9</w:t>
      </w:r>
      <w:r w:rsidR="00DB3458">
        <w:rPr>
          <w:rFonts w:eastAsia="Calibri" w:cs="Times New Roman"/>
          <w:szCs w:val="24"/>
        </w:rPr>
        <w:t>).</w:t>
      </w:r>
    </w:p>
    <w:p w14:paraId="4C0DE8DF" w14:textId="77777777" w:rsidR="00DD582B" w:rsidRDefault="00DD582B" w:rsidP="00A970B0">
      <w:pPr>
        <w:spacing w:before="120" w:after="240" w:line="480" w:lineRule="auto"/>
        <w:rPr>
          <w:rFonts w:eastAsia="Calibri" w:cs="Times New Roman"/>
          <w:szCs w:val="24"/>
        </w:rPr>
      </w:pPr>
    </w:p>
    <w:p w14:paraId="0B2436CD" w14:textId="77777777" w:rsidR="00122E8C" w:rsidRDefault="00122E8C" w:rsidP="00A970B0">
      <w:pPr>
        <w:spacing w:before="120" w:after="240" w:line="480" w:lineRule="auto"/>
        <w:rPr>
          <w:rFonts w:eastAsia="Calibri" w:cs="Times New Roman"/>
          <w:szCs w:val="24"/>
        </w:rPr>
      </w:pPr>
    </w:p>
    <w:p w14:paraId="6B15810A" w14:textId="77777777" w:rsidR="00122E8C" w:rsidRDefault="00122E8C" w:rsidP="00A970B0">
      <w:pPr>
        <w:spacing w:before="120" w:after="240" w:line="480" w:lineRule="auto"/>
        <w:rPr>
          <w:rFonts w:eastAsia="Calibri" w:cs="Times New Roman"/>
          <w:szCs w:val="24"/>
        </w:rPr>
      </w:pPr>
    </w:p>
    <w:p w14:paraId="3E64C0ED" w14:textId="77777777" w:rsidR="00122E8C" w:rsidRDefault="00122E8C" w:rsidP="00A970B0">
      <w:pPr>
        <w:spacing w:before="120" w:after="240" w:line="480" w:lineRule="auto"/>
        <w:rPr>
          <w:rFonts w:eastAsia="Calibri" w:cs="Times New Roman"/>
          <w:szCs w:val="24"/>
        </w:rPr>
      </w:pPr>
    </w:p>
    <w:p w14:paraId="1D224EB0" w14:textId="77777777" w:rsidR="00122E8C" w:rsidRDefault="00122E8C" w:rsidP="00A970B0">
      <w:pPr>
        <w:spacing w:before="120" w:after="240" w:line="480" w:lineRule="auto"/>
        <w:rPr>
          <w:rFonts w:eastAsia="Calibri" w:cs="Times New Roman"/>
          <w:szCs w:val="24"/>
        </w:rPr>
      </w:pPr>
    </w:p>
    <w:p w14:paraId="7E77B0C2" w14:textId="77777777" w:rsidR="00122E8C" w:rsidRDefault="00122E8C" w:rsidP="00A970B0">
      <w:pPr>
        <w:spacing w:before="120" w:after="240" w:line="480" w:lineRule="auto"/>
        <w:rPr>
          <w:rFonts w:eastAsia="Calibri" w:cs="Times New Roman"/>
          <w:szCs w:val="24"/>
        </w:rPr>
      </w:pPr>
    </w:p>
    <w:p w14:paraId="1735DD51" w14:textId="77777777" w:rsidR="00122E8C" w:rsidRDefault="00122E8C" w:rsidP="00A970B0">
      <w:pPr>
        <w:spacing w:before="120" w:after="240" w:line="480" w:lineRule="auto"/>
        <w:rPr>
          <w:rFonts w:eastAsia="Calibri" w:cs="Times New Roman"/>
          <w:szCs w:val="24"/>
        </w:rPr>
      </w:pPr>
    </w:p>
    <w:p w14:paraId="641A40E5" w14:textId="77777777" w:rsidR="00122E8C" w:rsidRDefault="00122E8C" w:rsidP="00A970B0">
      <w:pPr>
        <w:spacing w:before="120" w:after="240" w:line="480" w:lineRule="auto"/>
        <w:rPr>
          <w:rFonts w:eastAsia="Calibri" w:cs="Times New Roman"/>
          <w:szCs w:val="24"/>
        </w:rPr>
      </w:pPr>
    </w:p>
    <w:p w14:paraId="0DAA58AD" w14:textId="77777777" w:rsidR="00122E8C" w:rsidRDefault="00122E8C" w:rsidP="00A970B0">
      <w:pPr>
        <w:spacing w:before="120" w:after="240" w:line="480" w:lineRule="auto"/>
        <w:rPr>
          <w:rFonts w:eastAsia="Calibri" w:cs="Times New Roman"/>
          <w:szCs w:val="24"/>
        </w:rPr>
      </w:pPr>
    </w:p>
    <w:p w14:paraId="63F28FE7" w14:textId="77777777" w:rsidR="00122E8C" w:rsidRDefault="00122E8C" w:rsidP="00A970B0">
      <w:pPr>
        <w:spacing w:before="120" w:after="240" w:line="480" w:lineRule="auto"/>
        <w:rPr>
          <w:rFonts w:eastAsia="Calibri" w:cs="Times New Roman"/>
          <w:szCs w:val="24"/>
        </w:rPr>
      </w:pPr>
    </w:p>
    <w:p w14:paraId="71673D41" w14:textId="478BB38D" w:rsidR="00BF3D1E" w:rsidRPr="002D3486" w:rsidRDefault="002D3486" w:rsidP="00A970B0">
      <w:pPr>
        <w:spacing w:before="120" w:after="240" w:line="480" w:lineRule="auto"/>
        <w:rPr>
          <w:rFonts w:eastAsia="Calibri" w:cs="Times New Roman"/>
          <w:b/>
          <w:bCs/>
          <w:szCs w:val="24"/>
        </w:rPr>
      </w:pPr>
      <w:r w:rsidRPr="002D3486">
        <w:rPr>
          <w:rFonts w:eastAsia="Calibri" w:cs="Times New Roman"/>
          <w:b/>
          <w:bCs/>
          <w:szCs w:val="24"/>
        </w:rPr>
        <w:lastRenderedPageBreak/>
        <w:t xml:space="preserve">Table </w:t>
      </w:r>
      <w:r w:rsidR="000A56EB">
        <w:rPr>
          <w:rFonts w:eastAsia="Calibri" w:cs="Times New Roman"/>
          <w:b/>
          <w:bCs/>
          <w:szCs w:val="24"/>
        </w:rPr>
        <w:t>4</w:t>
      </w:r>
      <w:r w:rsidRPr="002D3486">
        <w:rPr>
          <w:rFonts w:eastAsia="Calibri" w:cs="Times New Roman"/>
          <w:b/>
          <w:bCs/>
          <w:szCs w:val="24"/>
        </w:rPr>
        <w:t>: Mean healthcare costs</w:t>
      </w:r>
      <w:r w:rsidR="00E3025D">
        <w:rPr>
          <w:rFonts w:eastAsia="Calibri" w:cs="Times New Roman"/>
          <w:b/>
          <w:bCs/>
          <w:szCs w:val="24"/>
        </w:rPr>
        <w:t xml:space="preserve"> (</w:t>
      </w:r>
      <w:r w:rsidR="00001140">
        <w:rPr>
          <w:rFonts w:eastAsia="Calibri" w:cs="Times New Roman"/>
          <w:b/>
          <w:bCs/>
          <w:szCs w:val="24"/>
        </w:rPr>
        <w:t xml:space="preserve">2015 </w:t>
      </w:r>
      <w:r w:rsidR="00E3025D">
        <w:rPr>
          <w:rFonts w:eastAsia="Calibri" w:cs="Times New Roman"/>
          <w:b/>
          <w:bCs/>
          <w:szCs w:val="24"/>
        </w:rPr>
        <w:t>£s)</w:t>
      </w:r>
      <w:r w:rsidRPr="002D3486">
        <w:rPr>
          <w:rFonts w:eastAsia="Calibri" w:cs="Times New Roman"/>
          <w:b/>
          <w:bCs/>
          <w:szCs w:val="24"/>
        </w:rPr>
        <w:t xml:space="preserve"> in sub-groups of back pain patients</w:t>
      </w:r>
    </w:p>
    <w:tbl>
      <w:tblPr>
        <w:tblW w:w="9455" w:type="dxa"/>
        <w:tblLook w:val="04A0" w:firstRow="1" w:lastRow="0" w:firstColumn="1" w:lastColumn="0" w:noHBand="0" w:noVBand="1"/>
      </w:tblPr>
      <w:tblGrid>
        <w:gridCol w:w="1843"/>
        <w:gridCol w:w="1353"/>
        <w:gridCol w:w="1242"/>
        <w:gridCol w:w="1353"/>
        <w:gridCol w:w="1274"/>
        <w:gridCol w:w="1383"/>
        <w:gridCol w:w="1007"/>
      </w:tblGrid>
      <w:tr w:rsidR="00180CE7" w:rsidRPr="00180CE7" w14:paraId="0549184C" w14:textId="77777777" w:rsidTr="00317D03">
        <w:trPr>
          <w:trHeight w:val="300"/>
        </w:trPr>
        <w:tc>
          <w:tcPr>
            <w:tcW w:w="1843" w:type="dxa"/>
            <w:tcBorders>
              <w:top w:val="single" w:sz="8" w:space="0" w:color="auto"/>
              <w:left w:val="nil"/>
              <w:bottom w:val="nil"/>
              <w:right w:val="nil"/>
            </w:tcBorders>
            <w:shd w:val="clear" w:color="auto" w:fill="auto"/>
            <w:noWrap/>
            <w:vAlign w:val="bottom"/>
            <w:hideMark/>
          </w:tcPr>
          <w:p w14:paraId="4BFFB3A7" w14:textId="77777777" w:rsidR="00180CE7" w:rsidRPr="00180CE7" w:rsidRDefault="00180CE7" w:rsidP="00180CE7">
            <w:pPr>
              <w:spacing w:after="0" w:line="240" w:lineRule="auto"/>
              <w:rPr>
                <w:rFonts w:ascii="Calibri" w:eastAsia="Times New Roman" w:hAnsi="Calibri" w:cs="Calibri"/>
                <w:color w:val="000000"/>
                <w:sz w:val="22"/>
                <w:lang w:eastAsia="en-GB"/>
              </w:rPr>
            </w:pPr>
            <w:bookmarkStart w:id="10" w:name="_Hlk75540036"/>
            <w:bookmarkStart w:id="11" w:name="_Toc15458464"/>
            <w:r w:rsidRPr="00180CE7">
              <w:rPr>
                <w:rFonts w:ascii="Calibri" w:eastAsia="Times New Roman" w:hAnsi="Calibri" w:cs="Calibri"/>
                <w:color w:val="000000"/>
                <w:sz w:val="22"/>
                <w:lang w:eastAsia="en-GB"/>
              </w:rPr>
              <w:t> </w:t>
            </w:r>
          </w:p>
        </w:tc>
        <w:tc>
          <w:tcPr>
            <w:tcW w:w="2595" w:type="dxa"/>
            <w:gridSpan w:val="2"/>
            <w:tcBorders>
              <w:top w:val="single" w:sz="8" w:space="0" w:color="auto"/>
              <w:left w:val="nil"/>
              <w:bottom w:val="single" w:sz="4" w:space="0" w:color="auto"/>
              <w:right w:val="nil"/>
            </w:tcBorders>
            <w:shd w:val="clear" w:color="auto" w:fill="auto"/>
            <w:noWrap/>
            <w:vAlign w:val="bottom"/>
            <w:hideMark/>
          </w:tcPr>
          <w:p w14:paraId="2B9BF0BA"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Consultations mean (SD)</w:t>
            </w:r>
          </w:p>
        </w:tc>
        <w:tc>
          <w:tcPr>
            <w:tcW w:w="2627" w:type="dxa"/>
            <w:gridSpan w:val="2"/>
            <w:tcBorders>
              <w:top w:val="single" w:sz="8" w:space="0" w:color="auto"/>
              <w:left w:val="nil"/>
              <w:bottom w:val="single" w:sz="4" w:space="0" w:color="auto"/>
              <w:right w:val="nil"/>
            </w:tcBorders>
            <w:shd w:val="clear" w:color="auto" w:fill="auto"/>
            <w:noWrap/>
            <w:vAlign w:val="bottom"/>
            <w:hideMark/>
          </w:tcPr>
          <w:p w14:paraId="186EC7FE"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Prescriptions mean (SD)</w:t>
            </w:r>
          </w:p>
        </w:tc>
        <w:tc>
          <w:tcPr>
            <w:tcW w:w="1383" w:type="dxa"/>
            <w:tcBorders>
              <w:top w:val="single" w:sz="8" w:space="0" w:color="auto"/>
              <w:left w:val="nil"/>
              <w:bottom w:val="nil"/>
              <w:right w:val="nil"/>
            </w:tcBorders>
            <w:shd w:val="clear" w:color="auto" w:fill="auto"/>
            <w:noWrap/>
            <w:vAlign w:val="bottom"/>
            <w:hideMark/>
          </w:tcPr>
          <w:p w14:paraId="6CFB2C7E"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Total cost</w:t>
            </w:r>
          </w:p>
        </w:tc>
        <w:tc>
          <w:tcPr>
            <w:tcW w:w="1007" w:type="dxa"/>
            <w:tcBorders>
              <w:top w:val="single" w:sz="8" w:space="0" w:color="auto"/>
              <w:left w:val="nil"/>
              <w:bottom w:val="nil"/>
              <w:right w:val="nil"/>
            </w:tcBorders>
            <w:shd w:val="clear" w:color="auto" w:fill="auto"/>
            <w:noWrap/>
            <w:vAlign w:val="bottom"/>
            <w:hideMark/>
          </w:tcPr>
          <w:p w14:paraId="7AE6DA14"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 </w:t>
            </w:r>
          </w:p>
        </w:tc>
      </w:tr>
      <w:tr w:rsidR="00180CE7" w:rsidRPr="00180CE7" w14:paraId="0EAA31C0" w14:textId="77777777" w:rsidTr="00317D03">
        <w:trPr>
          <w:trHeight w:val="315"/>
        </w:trPr>
        <w:tc>
          <w:tcPr>
            <w:tcW w:w="1843" w:type="dxa"/>
            <w:tcBorders>
              <w:top w:val="nil"/>
              <w:left w:val="nil"/>
              <w:bottom w:val="double" w:sz="6" w:space="0" w:color="auto"/>
              <w:right w:val="nil"/>
            </w:tcBorders>
            <w:shd w:val="clear" w:color="auto" w:fill="auto"/>
            <w:noWrap/>
            <w:vAlign w:val="bottom"/>
            <w:hideMark/>
          </w:tcPr>
          <w:p w14:paraId="6035C5CB" w14:textId="77777777" w:rsidR="00180CE7" w:rsidRPr="00180CE7" w:rsidRDefault="00180CE7" w:rsidP="00180CE7">
            <w:pPr>
              <w:spacing w:after="0" w:line="240" w:lineRule="auto"/>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Characteristics</w:t>
            </w:r>
          </w:p>
        </w:tc>
        <w:tc>
          <w:tcPr>
            <w:tcW w:w="1353" w:type="dxa"/>
            <w:tcBorders>
              <w:top w:val="nil"/>
              <w:left w:val="nil"/>
              <w:bottom w:val="double" w:sz="6" w:space="0" w:color="auto"/>
              <w:right w:val="nil"/>
            </w:tcBorders>
            <w:shd w:val="clear" w:color="auto" w:fill="auto"/>
            <w:noWrap/>
            <w:vAlign w:val="bottom"/>
            <w:hideMark/>
          </w:tcPr>
          <w:p w14:paraId="09F1E0B4"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GP</w:t>
            </w:r>
          </w:p>
        </w:tc>
        <w:tc>
          <w:tcPr>
            <w:tcW w:w="1242" w:type="dxa"/>
            <w:tcBorders>
              <w:top w:val="nil"/>
              <w:left w:val="nil"/>
              <w:bottom w:val="double" w:sz="6" w:space="0" w:color="auto"/>
              <w:right w:val="nil"/>
            </w:tcBorders>
            <w:shd w:val="clear" w:color="auto" w:fill="auto"/>
            <w:noWrap/>
            <w:vAlign w:val="bottom"/>
            <w:hideMark/>
          </w:tcPr>
          <w:p w14:paraId="1F4618B5"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Nurse</w:t>
            </w:r>
          </w:p>
        </w:tc>
        <w:tc>
          <w:tcPr>
            <w:tcW w:w="1353" w:type="dxa"/>
            <w:tcBorders>
              <w:top w:val="nil"/>
              <w:left w:val="nil"/>
              <w:bottom w:val="double" w:sz="6" w:space="0" w:color="auto"/>
              <w:right w:val="nil"/>
            </w:tcBorders>
            <w:shd w:val="clear" w:color="auto" w:fill="auto"/>
            <w:noWrap/>
            <w:vAlign w:val="bottom"/>
            <w:hideMark/>
          </w:tcPr>
          <w:p w14:paraId="5F2E9DE3"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Analgesics</w:t>
            </w:r>
          </w:p>
        </w:tc>
        <w:tc>
          <w:tcPr>
            <w:tcW w:w="1274" w:type="dxa"/>
            <w:tcBorders>
              <w:top w:val="nil"/>
              <w:left w:val="nil"/>
              <w:bottom w:val="double" w:sz="6" w:space="0" w:color="auto"/>
              <w:right w:val="nil"/>
            </w:tcBorders>
            <w:shd w:val="clear" w:color="auto" w:fill="auto"/>
            <w:noWrap/>
            <w:vAlign w:val="bottom"/>
            <w:hideMark/>
          </w:tcPr>
          <w:p w14:paraId="1A6BE7E8"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Other drugs</w:t>
            </w:r>
          </w:p>
        </w:tc>
        <w:tc>
          <w:tcPr>
            <w:tcW w:w="1383" w:type="dxa"/>
            <w:tcBorders>
              <w:top w:val="nil"/>
              <w:left w:val="nil"/>
              <w:bottom w:val="double" w:sz="6" w:space="0" w:color="auto"/>
              <w:right w:val="nil"/>
            </w:tcBorders>
            <w:shd w:val="clear" w:color="auto" w:fill="auto"/>
            <w:noWrap/>
            <w:vAlign w:val="bottom"/>
            <w:hideMark/>
          </w:tcPr>
          <w:p w14:paraId="38AC6BF9"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mean (SD)</w:t>
            </w:r>
          </w:p>
        </w:tc>
        <w:tc>
          <w:tcPr>
            <w:tcW w:w="1007" w:type="dxa"/>
            <w:tcBorders>
              <w:top w:val="nil"/>
              <w:left w:val="nil"/>
              <w:bottom w:val="double" w:sz="6" w:space="0" w:color="auto"/>
              <w:right w:val="nil"/>
            </w:tcBorders>
            <w:shd w:val="clear" w:color="auto" w:fill="auto"/>
            <w:noWrap/>
            <w:vAlign w:val="bottom"/>
            <w:hideMark/>
          </w:tcPr>
          <w:p w14:paraId="49B70E3E" w14:textId="77777777" w:rsidR="00180CE7" w:rsidRPr="00180CE7" w:rsidRDefault="00180CE7" w:rsidP="00180CE7">
            <w:pPr>
              <w:spacing w:after="0" w:line="240" w:lineRule="auto"/>
              <w:jc w:val="center"/>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p-value*</w:t>
            </w:r>
          </w:p>
        </w:tc>
      </w:tr>
      <w:tr w:rsidR="00180CE7" w:rsidRPr="00180CE7" w14:paraId="63F1B629" w14:textId="77777777" w:rsidTr="00317D03">
        <w:trPr>
          <w:trHeight w:val="315"/>
        </w:trPr>
        <w:tc>
          <w:tcPr>
            <w:tcW w:w="1843" w:type="dxa"/>
            <w:tcBorders>
              <w:top w:val="nil"/>
              <w:left w:val="nil"/>
              <w:bottom w:val="nil"/>
              <w:right w:val="nil"/>
            </w:tcBorders>
            <w:shd w:val="clear" w:color="auto" w:fill="auto"/>
            <w:noWrap/>
            <w:vAlign w:val="bottom"/>
            <w:hideMark/>
          </w:tcPr>
          <w:p w14:paraId="32434255" w14:textId="77777777" w:rsidR="00180CE7" w:rsidRPr="00180CE7" w:rsidRDefault="00180CE7" w:rsidP="00180CE7">
            <w:pPr>
              <w:spacing w:after="0" w:line="240" w:lineRule="auto"/>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Gender</w:t>
            </w:r>
          </w:p>
        </w:tc>
        <w:tc>
          <w:tcPr>
            <w:tcW w:w="1353" w:type="dxa"/>
            <w:tcBorders>
              <w:top w:val="nil"/>
              <w:left w:val="nil"/>
              <w:bottom w:val="nil"/>
              <w:right w:val="nil"/>
            </w:tcBorders>
            <w:shd w:val="clear" w:color="auto" w:fill="auto"/>
            <w:noWrap/>
            <w:vAlign w:val="bottom"/>
            <w:hideMark/>
          </w:tcPr>
          <w:p w14:paraId="59547777" w14:textId="77777777" w:rsidR="00180CE7" w:rsidRPr="00180CE7" w:rsidRDefault="00180CE7" w:rsidP="00180CE7">
            <w:pPr>
              <w:spacing w:after="0" w:line="240" w:lineRule="auto"/>
              <w:rPr>
                <w:rFonts w:ascii="Calibri" w:eastAsia="Times New Roman" w:hAnsi="Calibri" w:cs="Calibri"/>
                <w:color w:val="000000"/>
                <w:sz w:val="22"/>
                <w:lang w:eastAsia="en-GB"/>
              </w:rPr>
            </w:pPr>
          </w:p>
        </w:tc>
        <w:tc>
          <w:tcPr>
            <w:tcW w:w="1242" w:type="dxa"/>
            <w:tcBorders>
              <w:top w:val="nil"/>
              <w:left w:val="nil"/>
              <w:bottom w:val="nil"/>
              <w:right w:val="nil"/>
            </w:tcBorders>
            <w:shd w:val="clear" w:color="auto" w:fill="auto"/>
            <w:noWrap/>
            <w:vAlign w:val="bottom"/>
            <w:hideMark/>
          </w:tcPr>
          <w:p w14:paraId="1878001A"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353" w:type="dxa"/>
            <w:tcBorders>
              <w:top w:val="nil"/>
              <w:left w:val="nil"/>
              <w:bottom w:val="nil"/>
              <w:right w:val="nil"/>
            </w:tcBorders>
            <w:shd w:val="clear" w:color="auto" w:fill="auto"/>
            <w:noWrap/>
            <w:vAlign w:val="bottom"/>
            <w:hideMark/>
          </w:tcPr>
          <w:p w14:paraId="4EA8A030"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274" w:type="dxa"/>
            <w:tcBorders>
              <w:top w:val="nil"/>
              <w:left w:val="nil"/>
              <w:bottom w:val="nil"/>
              <w:right w:val="nil"/>
            </w:tcBorders>
            <w:shd w:val="clear" w:color="auto" w:fill="auto"/>
            <w:noWrap/>
            <w:vAlign w:val="bottom"/>
            <w:hideMark/>
          </w:tcPr>
          <w:p w14:paraId="36163ADD"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383" w:type="dxa"/>
            <w:tcBorders>
              <w:top w:val="nil"/>
              <w:left w:val="nil"/>
              <w:bottom w:val="nil"/>
              <w:right w:val="nil"/>
            </w:tcBorders>
            <w:shd w:val="clear" w:color="auto" w:fill="auto"/>
            <w:noWrap/>
            <w:vAlign w:val="bottom"/>
            <w:hideMark/>
          </w:tcPr>
          <w:p w14:paraId="0DDCF992"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007" w:type="dxa"/>
            <w:tcBorders>
              <w:top w:val="nil"/>
              <w:left w:val="nil"/>
              <w:bottom w:val="nil"/>
              <w:right w:val="nil"/>
            </w:tcBorders>
            <w:shd w:val="clear" w:color="auto" w:fill="auto"/>
            <w:noWrap/>
            <w:vAlign w:val="bottom"/>
            <w:hideMark/>
          </w:tcPr>
          <w:p w14:paraId="715EFBE0" w14:textId="77777777" w:rsidR="00180CE7" w:rsidRPr="00180CE7" w:rsidRDefault="00180CE7" w:rsidP="00180CE7">
            <w:pPr>
              <w:spacing w:after="0" w:line="240" w:lineRule="auto"/>
              <w:jc w:val="right"/>
              <w:rPr>
                <w:rFonts w:eastAsia="Times New Roman" w:cs="Times New Roman"/>
                <w:sz w:val="20"/>
                <w:szCs w:val="20"/>
                <w:lang w:eastAsia="en-GB"/>
              </w:rPr>
            </w:pPr>
          </w:p>
        </w:tc>
      </w:tr>
      <w:tr w:rsidR="00180CE7" w:rsidRPr="00180CE7" w14:paraId="6F35D31F" w14:textId="77777777" w:rsidTr="00317D03">
        <w:trPr>
          <w:trHeight w:val="300"/>
        </w:trPr>
        <w:tc>
          <w:tcPr>
            <w:tcW w:w="1843" w:type="dxa"/>
            <w:tcBorders>
              <w:top w:val="nil"/>
              <w:left w:val="nil"/>
              <w:bottom w:val="nil"/>
              <w:right w:val="nil"/>
            </w:tcBorders>
            <w:shd w:val="clear" w:color="auto" w:fill="auto"/>
            <w:noWrap/>
            <w:vAlign w:val="bottom"/>
            <w:hideMark/>
          </w:tcPr>
          <w:p w14:paraId="4AE6316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 xml:space="preserve">Male </w:t>
            </w:r>
          </w:p>
        </w:tc>
        <w:tc>
          <w:tcPr>
            <w:tcW w:w="1353" w:type="dxa"/>
            <w:tcBorders>
              <w:top w:val="nil"/>
              <w:left w:val="nil"/>
              <w:bottom w:val="nil"/>
              <w:right w:val="nil"/>
            </w:tcBorders>
            <w:shd w:val="clear" w:color="auto" w:fill="auto"/>
            <w:noWrap/>
            <w:vAlign w:val="bottom"/>
            <w:hideMark/>
          </w:tcPr>
          <w:p w14:paraId="7C02864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338.6(306.7)</w:t>
            </w:r>
          </w:p>
        </w:tc>
        <w:tc>
          <w:tcPr>
            <w:tcW w:w="1242" w:type="dxa"/>
            <w:tcBorders>
              <w:top w:val="nil"/>
              <w:left w:val="nil"/>
              <w:bottom w:val="nil"/>
              <w:right w:val="nil"/>
            </w:tcBorders>
            <w:shd w:val="clear" w:color="auto" w:fill="auto"/>
            <w:noWrap/>
            <w:vAlign w:val="bottom"/>
            <w:hideMark/>
          </w:tcPr>
          <w:p w14:paraId="07E6124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51.3(71.5)</w:t>
            </w:r>
          </w:p>
        </w:tc>
        <w:tc>
          <w:tcPr>
            <w:tcW w:w="1353" w:type="dxa"/>
            <w:tcBorders>
              <w:top w:val="nil"/>
              <w:left w:val="nil"/>
              <w:bottom w:val="nil"/>
              <w:right w:val="nil"/>
            </w:tcBorders>
            <w:shd w:val="clear" w:color="auto" w:fill="auto"/>
            <w:noWrap/>
            <w:vAlign w:val="bottom"/>
            <w:hideMark/>
          </w:tcPr>
          <w:p w14:paraId="20592350"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60.7(215)</w:t>
            </w:r>
          </w:p>
        </w:tc>
        <w:tc>
          <w:tcPr>
            <w:tcW w:w="1274" w:type="dxa"/>
            <w:tcBorders>
              <w:top w:val="nil"/>
              <w:left w:val="nil"/>
              <w:bottom w:val="nil"/>
              <w:right w:val="nil"/>
            </w:tcBorders>
            <w:shd w:val="clear" w:color="auto" w:fill="auto"/>
            <w:noWrap/>
            <w:vAlign w:val="bottom"/>
            <w:hideMark/>
          </w:tcPr>
          <w:p w14:paraId="16AC79E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24.3(60.6)</w:t>
            </w:r>
          </w:p>
        </w:tc>
        <w:tc>
          <w:tcPr>
            <w:tcW w:w="1383" w:type="dxa"/>
            <w:tcBorders>
              <w:top w:val="nil"/>
              <w:left w:val="nil"/>
              <w:bottom w:val="nil"/>
              <w:right w:val="nil"/>
            </w:tcBorders>
            <w:shd w:val="clear" w:color="auto" w:fill="auto"/>
            <w:noWrap/>
            <w:vAlign w:val="bottom"/>
            <w:hideMark/>
          </w:tcPr>
          <w:p w14:paraId="71CD2B1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421.5(424.4)</w:t>
            </w:r>
          </w:p>
        </w:tc>
        <w:tc>
          <w:tcPr>
            <w:tcW w:w="1007" w:type="dxa"/>
            <w:tcBorders>
              <w:top w:val="nil"/>
              <w:left w:val="nil"/>
              <w:bottom w:val="nil"/>
              <w:right w:val="nil"/>
            </w:tcBorders>
            <w:shd w:val="clear" w:color="auto" w:fill="auto"/>
            <w:noWrap/>
            <w:vAlign w:val="bottom"/>
            <w:hideMark/>
          </w:tcPr>
          <w:p w14:paraId="66FC1170"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 xml:space="preserve"> &lt; 0.001</w:t>
            </w:r>
          </w:p>
        </w:tc>
      </w:tr>
      <w:tr w:rsidR="00180CE7" w:rsidRPr="00180CE7" w14:paraId="14E609D7" w14:textId="77777777" w:rsidTr="00317D03">
        <w:trPr>
          <w:trHeight w:val="300"/>
        </w:trPr>
        <w:tc>
          <w:tcPr>
            <w:tcW w:w="1843" w:type="dxa"/>
            <w:tcBorders>
              <w:top w:val="nil"/>
              <w:left w:val="nil"/>
              <w:bottom w:val="nil"/>
              <w:right w:val="nil"/>
            </w:tcBorders>
            <w:shd w:val="clear" w:color="auto" w:fill="auto"/>
            <w:noWrap/>
            <w:vAlign w:val="bottom"/>
            <w:hideMark/>
          </w:tcPr>
          <w:p w14:paraId="7EF13981"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Female</w:t>
            </w:r>
          </w:p>
        </w:tc>
        <w:tc>
          <w:tcPr>
            <w:tcW w:w="1353" w:type="dxa"/>
            <w:tcBorders>
              <w:top w:val="nil"/>
              <w:left w:val="nil"/>
              <w:bottom w:val="nil"/>
              <w:right w:val="nil"/>
            </w:tcBorders>
            <w:shd w:val="clear" w:color="auto" w:fill="auto"/>
            <w:noWrap/>
            <w:vAlign w:val="bottom"/>
            <w:hideMark/>
          </w:tcPr>
          <w:p w14:paraId="073803C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408.1(348.8)</w:t>
            </w:r>
          </w:p>
        </w:tc>
        <w:tc>
          <w:tcPr>
            <w:tcW w:w="1242" w:type="dxa"/>
            <w:tcBorders>
              <w:top w:val="nil"/>
              <w:left w:val="nil"/>
              <w:bottom w:val="nil"/>
              <w:right w:val="nil"/>
            </w:tcBorders>
            <w:shd w:val="clear" w:color="auto" w:fill="auto"/>
            <w:noWrap/>
            <w:vAlign w:val="bottom"/>
            <w:hideMark/>
          </w:tcPr>
          <w:p w14:paraId="0AF58AC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50.1(64.4)</w:t>
            </w:r>
          </w:p>
        </w:tc>
        <w:tc>
          <w:tcPr>
            <w:tcW w:w="1353" w:type="dxa"/>
            <w:tcBorders>
              <w:top w:val="nil"/>
              <w:left w:val="nil"/>
              <w:bottom w:val="nil"/>
              <w:right w:val="nil"/>
            </w:tcBorders>
            <w:shd w:val="clear" w:color="auto" w:fill="auto"/>
            <w:noWrap/>
            <w:vAlign w:val="bottom"/>
            <w:hideMark/>
          </w:tcPr>
          <w:p w14:paraId="08DA224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64.9(213.4)</w:t>
            </w:r>
          </w:p>
        </w:tc>
        <w:tc>
          <w:tcPr>
            <w:tcW w:w="1274" w:type="dxa"/>
            <w:tcBorders>
              <w:top w:val="nil"/>
              <w:left w:val="nil"/>
              <w:bottom w:val="nil"/>
              <w:right w:val="nil"/>
            </w:tcBorders>
            <w:shd w:val="clear" w:color="auto" w:fill="auto"/>
            <w:noWrap/>
            <w:vAlign w:val="bottom"/>
            <w:hideMark/>
          </w:tcPr>
          <w:p w14:paraId="3361CECB"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26.4(81.3)</w:t>
            </w:r>
          </w:p>
        </w:tc>
        <w:tc>
          <w:tcPr>
            <w:tcW w:w="1383" w:type="dxa"/>
            <w:tcBorders>
              <w:top w:val="nil"/>
              <w:left w:val="nil"/>
              <w:bottom w:val="nil"/>
              <w:right w:val="nil"/>
            </w:tcBorders>
            <w:shd w:val="clear" w:color="auto" w:fill="auto"/>
            <w:noWrap/>
            <w:vAlign w:val="bottom"/>
            <w:hideMark/>
          </w:tcPr>
          <w:p w14:paraId="4A4702C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503.4(464.7)</w:t>
            </w:r>
          </w:p>
        </w:tc>
        <w:tc>
          <w:tcPr>
            <w:tcW w:w="1007" w:type="dxa"/>
            <w:tcBorders>
              <w:top w:val="nil"/>
              <w:left w:val="nil"/>
              <w:bottom w:val="nil"/>
              <w:right w:val="nil"/>
            </w:tcBorders>
            <w:shd w:val="clear" w:color="auto" w:fill="auto"/>
            <w:noWrap/>
            <w:vAlign w:val="bottom"/>
            <w:hideMark/>
          </w:tcPr>
          <w:p w14:paraId="2142A5F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2CEF5238" w14:textId="77777777" w:rsidTr="00317D03">
        <w:trPr>
          <w:trHeight w:val="300"/>
        </w:trPr>
        <w:tc>
          <w:tcPr>
            <w:tcW w:w="1843" w:type="dxa"/>
            <w:tcBorders>
              <w:top w:val="nil"/>
              <w:left w:val="nil"/>
              <w:bottom w:val="nil"/>
              <w:right w:val="nil"/>
            </w:tcBorders>
            <w:shd w:val="clear" w:color="auto" w:fill="auto"/>
            <w:noWrap/>
            <w:vAlign w:val="bottom"/>
            <w:hideMark/>
          </w:tcPr>
          <w:p w14:paraId="5814426A" w14:textId="77777777" w:rsidR="00180CE7" w:rsidRPr="00180CE7" w:rsidRDefault="00180CE7" w:rsidP="00180CE7">
            <w:pPr>
              <w:spacing w:after="0" w:line="240" w:lineRule="auto"/>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Age-group</w:t>
            </w:r>
          </w:p>
        </w:tc>
        <w:tc>
          <w:tcPr>
            <w:tcW w:w="1353" w:type="dxa"/>
            <w:tcBorders>
              <w:top w:val="nil"/>
              <w:left w:val="nil"/>
              <w:bottom w:val="nil"/>
              <w:right w:val="nil"/>
            </w:tcBorders>
            <w:shd w:val="clear" w:color="auto" w:fill="auto"/>
            <w:noWrap/>
            <w:vAlign w:val="bottom"/>
            <w:hideMark/>
          </w:tcPr>
          <w:p w14:paraId="1C44B706" w14:textId="77777777" w:rsidR="00180CE7" w:rsidRPr="00180CE7" w:rsidRDefault="00180CE7" w:rsidP="00180CE7">
            <w:pPr>
              <w:spacing w:after="0" w:line="240" w:lineRule="auto"/>
              <w:rPr>
                <w:rFonts w:ascii="Calibri" w:eastAsia="Times New Roman" w:hAnsi="Calibri" w:cs="Calibri"/>
                <w:color w:val="000000"/>
                <w:sz w:val="22"/>
                <w:lang w:eastAsia="en-GB"/>
              </w:rPr>
            </w:pPr>
          </w:p>
        </w:tc>
        <w:tc>
          <w:tcPr>
            <w:tcW w:w="1242" w:type="dxa"/>
            <w:tcBorders>
              <w:top w:val="nil"/>
              <w:left w:val="nil"/>
              <w:bottom w:val="nil"/>
              <w:right w:val="nil"/>
            </w:tcBorders>
            <w:shd w:val="clear" w:color="auto" w:fill="auto"/>
            <w:noWrap/>
            <w:vAlign w:val="bottom"/>
            <w:hideMark/>
          </w:tcPr>
          <w:p w14:paraId="132E24D8"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353" w:type="dxa"/>
            <w:tcBorders>
              <w:top w:val="nil"/>
              <w:left w:val="nil"/>
              <w:bottom w:val="nil"/>
              <w:right w:val="nil"/>
            </w:tcBorders>
            <w:shd w:val="clear" w:color="auto" w:fill="auto"/>
            <w:noWrap/>
            <w:vAlign w:val="bottom"/>
            <w:hideMark/>
          </w:tcPr>
          <w:p w14:paraId="6C4826C4"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274" w:type="dxa"/>
            <w:tcBorders>
              <w:top w:val="nil"/>
              <w:left w:val="nil"/>
              <w:bottom w:val="nil"/>
              <w:right w:val="nil"/>
            </w:tcBorders>
            <w:shd w:val="clear" w:color="auto" w:fill="auto"/>
            <w:noWrap/>
            <w:vAlign w:val="bottom"/>
            <w:hideMark/>
          </w:tcPr>
          <w:p w14:paraId="2704252A"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383" w:type="dxa"/>
            <w:tcBorders>
              <w:top w:val="nil"/>
              <w:left w:val="nil"/>
              <w:bottom w:val="nil"/>
              <w:right w:val="nil"/>
            </w:tcBorders>
            <w:shd w:val="clear" w:color="auto" w:fill="auto"/>
            <w:noWrap/>
            <w:vAlign w:val="bottom"/>
            <w:hideMark/>
          </w:tcPr>
          <w:p w14:paraId="65128EC0"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007" w:type="dxa"/>
            <w:tcBorders>
              <w:top w:val="nil"/>
              <w:left w:val="nil"/>
              <w:bottom w:val="nil"/>
              <w:right w:val="nil"/>
            </w:tcBorders>
            <w:shd w:val="clear" w:color="auto" w:fill="auto"/>
            <w:noWrap/>
            <w:vAlign w:val="bottom"/>
            <w:hideMark/>
          </w:tcPr>
          <w:p w14:paraId="13FB5B6E" w14:textId="77777777" w:rsidR="00180CE7" w:rsidRPr="00180CE7" w:rsidRDefault="00180CE7" w:rsidP="00180CE7">
            <w:pPr>
              <w:spacing w:after="0" w:line="240" w:lineRule="auto"/>
              <w:jc w:val="right"/>
              <w:rPr>
                <w:rFonts w:eastAsia="Times New Roman" w:cs="Times New Roman"/>
                <w:sz w:val="20"/>
                <w:szCs w:val="20"/>
                <w:lang w:eastAsia="en-GB"/>
              </w:rPr>
            </w:pPr>
          </w:p>
        </w:tc>
      </w:tr>
      <w:tr w:rsidR="00180CE7" w:rsidRPr="00180CE7" w14:paraId="2899304A" w14:textId="77777777" w:rsidTr="00317D03">
        <w:trPr>
          <w:trHeight w:val="300"/>
        </w:trPr>
        <w:tc>
          <w:tcPr>
            <w:tcW w:w="1843" w:type="dxa"/>
            <w:tcBorders>
              <w:top w:val="nil"/>
              <w:left w:val="nil"/>
              <w:bottom w:val="nil"/>
              <w:right w:val="nil"/>
            </w:tcBorders>
            <w:shd w:val="clear" w:color="auto" w:fill="auto"/>
            <w:noWrap/>
            <w:vAlign w:val="bottom"/>
            <w:hideMark/>
          </w:tcPr>
          <w:p w14:paraId="7431FE3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18 - 24</w:t>
            </w:r>
          </w:p>
        </w:tc>
        <w:tc>
          <w:tcPr>
            <w:tcW w:w="1353" w:type="dxa"/>
            <w:tcBorders>
              <w:top w:val="nil"/>
              <w:left w:val="nil"/>
              <w:bottom w:val="nil"/>
              <w:right w:val="nil"/>
            </w:tcBorders>
            <w:shd w:val="clear" w:color="auto" w:fill="auto"/>
            <w:noWrap/>
            <w:vAlign w:val="bottom"/>
            <w:hideMark/>
          </w:tcPr>
          <w:p w14:paraId="3CF275F2"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362.0(348.2)</w:t>
            </w:r>
          </w:p>
        </w:tc>
        <w:tc>
          <w:tcPr>
            <w:tcW w:w="1242" w:type="dxa"/>
            <w:tcBorders>
              <w:top w:val="nil"/>
              <w:left w:val="nil"/>
              <w:bottom w:val="nil"/>
              <w:right w:val="nil"/>
            </w:tcBorders>
            <w:shd w:val="clear" w:color="auto" w:fill="auto"/>
            <w:noWrap/>
            <w:vAlign w:val="bottom"/>
            <w:hideMark/>
          </w:tcPr>
          <w:p w14:paraId="3CA3A96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46.5(79.4)</w:t>
            </w:r>
          </w:p>
        </w:tc>
        <w:tc>
          <w:tcPr>
            <w:tcW w:w="1353" w:type="dxa"/>
            <w:tcBorders>
              <w:top w:val="nil"/>
              <w:left w:val="nil"/>
              <w:bottom w:val="nil"/>
              <w:right w:val="nil"/>
            </w:tcBorders>
            <w:shd w:val="clear" w:color="auto" w:fill="auto"/>
            <w:noWrap/>
            <w:vAlign w:val="bottom"/>
            <w:hideMark/>
          </w:tcPr>
          <w:p w14:paraId="6DA6516B"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20.1(53.3)</w:t>
            </w:r>
          </w:p>
        </w:tc>
        <w:tc>
          <w:tcPr>
            <w:tcW w:w="1274" w:type="dxa"/>
            <w:tcBorders>
              <w:top w:val="nil"/>
              <w:left w:val="nil"/>
              <w:bottom w:val="nil"/>
              <w:right w:val="nil"/>
            </w:tcBorders>
            <w:shd w:val="clear" w:color="auto" w:fill="auto"/>
            <w:noWrap/>
            <w:vAlign w:val="bottom"/>
            <w:hideMark/>
          </w:tcPr>
          <w:p w14:paraId="208E6BE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9.8(41.5)</w:t>
            </w:r>
          </w:p>
        </w:tc>
        <w:tc>
          <w:tcPr>
            <w:tcW w:w="1383" w:type="dxa"/>
            <w:tcBorders>
              <w:top w:val="nil"/>
              <w:left w:val="nil"/>
              <w:bottom w:val="nil"/>
              <w:right w:val="nil"/>
            </w:tcBorders>
            <w:shd w:val="clear" w:color="auto" w:fill="auto"/>
            <w:noWrap/>
            <w:vAlign w:val="bottom"/>
            <w:hideMark/>
          </w:tcPr>
          <w:p w14:paraId="12CD9A3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397.6(385.5)</w:t>
            </w:r>
          </w:p>
        </w:tc>
        <w:tc>
          <w:tcPr>
            <w:tcW w:w="1007" w:type="dxa"/>
            <w:tcBorders>
              <w:top w:val="nil"/>
              <w:left w:val="nil"/>
              <w:bottom w:val="nil"/>
              <w:right w:val="nil"/>
            </w:tcBorders>
            <w:shd w:val="clear" w:color="auto" w:fill="auto"/>
            <w:noWrap/>
            <w:vAlign w:val="bottom"/>
            <w:hideMark/>
          </w:tcPr>
          <w:p w14:paraId="74A2E78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&lt;0.001</w:t>
            </w:r>
          </w:p>
        </w:tc>
      </w:tr>
      <w:tr w:rsidR="00180CE7" w:rsidRPr="00180CE7" w14:paraId="2737EFE1" w14:textId="77777777" w:rsidTr="00317D03">
        <w:trPr>
          <w:trHeight w:val="300"/>
        </w:trPr>
        <w:tc>
          <w:tcPr>
            <w:tcW w:w="1843" w:type="dxa"/>
            <w:tcBorders>
              <w:top w:val="nil"/>
              <w:left w:val="nil"/>
              <w:bottom w:val="nil"/>
              <w:right w:val="nil"/>
            </w:tcBorders>
            <w:shd w:val="clear" w:color="auto" w:fill="auto"/>
            <w:noWrap/>
            <w:vAlign w:val="bottom"/>
            <w:hideMark/>
          </w:tcPr>
          <w:p w14:paraId="17DE3F4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25 - 34</w:t>
            </w:r>
          </w:p>
        </w:tc>
        <w:tc>
          <w:tcPr>
            <w:tcW w:w="1353" w:type="dxa"/>
            <w:tcBorders>
              <w:top w:val="nil"/>
              <w:left w:val="nil"/>
              <w:bottom w:val="nil"/>
              <w:right w:val="nil"/>
            </w:tcBorders>
            <w:shd w:val="clear" w:color="auto" w:fill="auto"/>
            <w:noWrap/>
            <w:vAlign w:val="bottom"/>
            <w:hideMark/>
          </w:tcPr>
          <w:p w14:paraId="442F648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366.3(325.1)</w:t>
            </w:r>
          </w:p>
        </w:tc>
        <w:tc>
          <w:tcPr>
            <w:tcW w:w="1242" w:type="dxa"/>
            <w:tcBorders>
              <w:top w:val="nil"/>
              <w:left w:val="nil"/>
              <w:bottom w:val="nil"/>
              <w:right w:val="nil"/>
            </w:tcBorders>
            <w:shd w:val="clear" w:color="auto" w:fill="auto"/>
            <w:noWrap/>
            <w:vAlign w:val="bottom"/>
            <w:hideMark/>
          </w:tcPr>
          <w:p w14:paraId="693197E4"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41.3(44.2)</w:t>
            </w:r>
          </w:p>
        </w:tc>
        <w:tc>
          <w:tcPr>
            <w:tcW w:w="1353" w:type="dxa"/>
            <w:tcBorders>
              <w:top w:val="nil"/>
              <w:left w:val="nil"/>
              <w:bottom w:val="nil"/>
              <w:right w:val="nil"/>
            </w:tcBorders>
            <w:shd w:val="clear" w:color="auto" w:fill="auto"/>
            <w:noWrap/>
            <w:vAlign w:val="bottom"/>
            <w:hideMark/>
          </w:tcPr>
          <w:p w14:paraId="2E9CECC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41.8(208.9)</w:t>
            </w:r>
          </w:p>
        </w:tc>
        <w:tc>
          <w:tcPr>
            <w:tcW w:w="1274" w:type="dxa"/>
            <w:tcBorders>
              <w:top w:val="nil"/>
              <w:left w:val="nil"/>
              <w:bottom w:val="nil"/>
              <w:right w:val="nil"/>
            </w:tcBorders>
            <w:shd w:val="clear" w:color="auto" w:fill="auto"/>
            <w:noWrap/>
            <w:vAlign w:val="bottom"/>
            <w:hideMark/>
          </w:tcPr>
          <w:p w14:paraId="55347E2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14.4(62.4)</w:t>
            </w:r>
          </w:p>
        </w:tc>
        <w:tc>
          <w:tcPr>
            <w:tcW w:w="1383" w:type="dxa"/>
            <w:tcBorders>
              <w:top w:val="nil"/>
              <w:left w:val="nil"/>
              <w:bottom w:val="nil"/>
              <w:right w:val="nil"/>
            </w:tcBorders>
            <w:shd w:val="clear" w:color="auto" w:fill="auto"/>
            <w:noWrap/>
            <w:vAlign w:val="bottom"/>
            <w:hideMark/>
          </w:tcPr>
          <w:p w14:paraId="59D8CC00"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421.3(438.1)</w:t>
            </w:r>
          </w:p>
        </w:tc>
        <w:tc>
          <w:tcPr>
            <w:tcW w:w="1007" w:type="dxa"/>
            <w:tcBorders>
              <w:top w:val="nil"/>
              <w:left w:val="nil"/>
              <w:bottom w:val="nil"/>
              <w:right w:val="nil"/>
            </w:tcBorders>
            <w:shd w:val="clear" w:color="auto" w:fill="auto"/>
            <w:noWrap/>
            <w:vAlign w:val="bottom"/>
            <w:hideMark/>
          </w:tcPr>
          <w:p w14:paraId="6D17056C"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1D7E8364" w14:textId="77777777" w:rsidTr="00317D03">
        <w:trPr>
          <w:trHeight w:val="300"/>
        </w:trPr>
        <w:tc>
          <w:tcPr>
            <w:tcW w:w="1843" w:type="dxa"/>
            <w:tcBorders>
              <w:top w:val="nil"/>
              <w:left w:val="nil"/>
              <w:bottom w:val="nil"/>
              <w:right w:val="nil"/>
            </w:tcBorders>
            <w:shd w:val="clear" w:color="auto" w:fill="auto"/>
            <w:noWrap/>
            <w:vAlign w:val="bottom"/>
            <w:hideMark/>
          </w:tcPr>
          <w:p w14:paraId="27FA571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35 - 44</w:t>
            </w:r>
          </w:p>
        </w:tc>
        <w:tc>
          <w:tcPr>
            <w:tcW w:w="1353" w:type="dxa"/>
            <w:tcBorders>
              <w:top w:val="nil"/>
              <w:left w:val="nil"/>
              <w:bottom w:val="nil"/>
              <w:right w:val="nil"/>
            </w:tcBorders>
            <w:shd w:val="clear" w:color="auto" w:fill="auto"/>
            <w:noWrap/>
            <w:vAlign w:val="bottom"/>
            <w:hideMark/>
          </w:tcPr>
          <w:p w14:paraId="49EBEAB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347.0(310.7)</w:t>
            </w:r>
          </w:p>
        </w:tc>
        <w:tc>
          <w:tcPr>
            <w:tcW w:w="1242" w:type="dxa"/>
            <w:tcBorders>
              <w:top w:val="nil"/>
              <w:left w:val="nil"/>
              <w:bottom w:val="nil"/>
              <w:right w:val="nil"/>
            </w:tcBorders>
            <w:shd w:val="clear" w:color="auto" w:fill="auto"/>
            <w:noWrap/>
            <w:vAlign w:val="bottom"/>
            <w:hideMark/>
          </w:tcPr>
          <w:p w14:paraId="7A9854C1"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40.9(48.1)</w:t>
            </w:r>
          </w:p>
        </w:tc>
        <w:tc>
          <w:tcPr>
            <w:tcW w:w="1353" w:type="dxa"/>
            <w:tcBorders>
              <w:top w:val="nil"/>
              <w:left w:val="nil"/>
              <w:bottom w:val="nil"/>
              <w:right w:val="nil"/>
            </w:tcBorders>
            <w:shd w:val="clear" w:color="auto" w:fill="auto"/>
            <w:noWrap/>
            <w:vAlign w:val="bottom"/>
            <w:hideMark/>
          </w:tcPr>
          <w:p w14:paraId="40F86DF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57.2(250.6)</w:t>
            </w:r>
          </w:p>
        </w:tc>
        <w:tc>
          <w:tcPr>
            <w:tcW w:w="1274" w:type="dxa"/>
            <w:tcBorders>
              <w:top w:val="nil"/>
              <w:left w:val="nil"/>
              <w:bottom w:val="nil"/>
              <w:right w:val="nil"/>
            </w:tcBorders>
            <w:shd w:val="clear" w:color="auto" w:fill="auto"/>
            <w:noWrap/>
            <w:vAlign w:val="bottom"/>
            <w:hideMark/>
          </w:tcPr>
          <w:p w14:paraId="15A0891C"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18.9(130.3)</w:t>
            </w:r>
          </w:p>
        </w:tc>
        <w:tc>
          <w:tcPr>
            <w:tcW w:w="1383" w:type="dxa"/>
            <w:tcBorders>
              <w:top w:val="nil"/>
              <w:left w:val="nil"/>
              <w:bottom w:val="nil"/>
              <w:right w:val="nil"/>
            </w:tcBorders>
            <w:shd w:val="clear" w:color="auto" w:fill="auto"/>
            <w:noWrap/>
            <w:vAlign w:val="bottom"/>
            <w:hideMark/>
          </w:tcPr>
          <w:p w14:paraId="4AB8B6DC"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418.2(469.6)</w:t>
            </w:r>
          </w:p>
        </w:tc>
        <w:tc>
          <w:tcPr>
            <w:tcW w:w="1007" w:type="dxa"/>
            <w:tcBorders>
              <w:top w:val="nil"/>
              <w:left w:val="nil"/>
              <w:bottom w:val="nil"/>
              <w:right w:val="nil"/>
            </w:tcBorders>
            <w:shd w:val="clear" w:color="auto" w:fill="auto"/>
            <w:noWrap/>
            <w:vAlign w:val="bottom"/>
            <w:hideMark/>
          </w:tcPr>
          <w:p w14:paraId="2B4BFEE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3E9E86ED" w14:textId="77777777" w:rsidTr="00317D03">
        <w:trPr>
          <w:trHeight w:val="300"/>
        </w:trPr>
        <w:tc>
          <w:tcPr>
            <w:tcW w:w="1843" w:type="dxa"/>
            <w:tcBorders>
              <w:top w:val="nil"/>
              <w:left w:val="nil"/>
              <w:bottom w:val="nil"/>
              <w:right w:val="nil"/>
            </w:tcBorders>
            <w:shd w:val="clear" w:color="auto" w:fill="auto"/>
            <w:noWrap/>
            <w:vAlign w:val="bottom"/>
            <w:hideMark/>
          </w:tcPr>
          <w:p w14:paraId="198351E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45 - 54</w:t>
            </w:r>
          </w:p>
        </w:tc>
        <w:tc>
          <w:tcPr>
            <w:tcW w:w="1353" w:type="dxa"/>
            <w:tcBorders>
              <w:top w:val="nil"/>
              <w:left w:val="nil"/>
              <w:bottom w:val="nil"/>
              <w:right w:val="nil"/>
            </w:tcBorders>
            <w:shd w:val="clear" w:color="auto" w:fill="auto"/>
            <w:noWrap/>
            <w:vAlign w:val="bottom"/>
            <w:hideMark/>
          </w:tcPr>
          <w:p w14:paraId="5DE98B5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349.1(303.9)</w:t>
            </w:r>
          </w:p>
        </w:tc>
        <w:tc>
          <w:tcPr>
            <w:tcW w:w="1242" w:type="dxa"/>
            <w:tcBorders>
              <w:top w:val="nil"/>
              <w:left w:val="nil"/>
              <w:bottom w:val="nil"/>
              <w:right w:val="nil"/>
            </w:tcBorders>
            <w:shd w:val="clear" w:color="auto" w:fill="auto"/>
            <w:noWrap/>
            <w:vAlign w:val="bottom"/>
            <w:hideMark/>
          </w:tcPr>
          <w:p w14:paraId="6394726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43.5(53.2)</w:t>
            </w:r>
          </w:p>
        </w:tc>
        <w:tc>
          <w:tcPr>
            <w:tcW w:w="1353" w:type="dxa"/>
            <w:tcBorders>
              <w:top w:val="nil"/>
              <w:left w:val="nil"/>
              <w:bottom w:val="nil"/>
              <w:right w:val="nil"/>
            </w:tcBorders>
            <w:shd w:val="clear" w:color="auto" w:fill="auto"/>
            <w:noWrap/>
            <w:vAlign w:val="bottom"/>
            <w:hideMark/>
          </w:tcPr>
          <w:p w14:paraId="50F6EBA2"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66.4(253.7)</w:t>
            </w:r>
          </w:p>
        </w:tc>
        <w:tc>
          <w:tcPr>
            <w:tcW w:w="1274" w:type="dxa"/>
            <w:tcBorders>
              <w:top w:val="nil"/>
              <w:left w:val="nil"/>
              <w:bottom w:val="nil"/>
              <w:right w:val="nil"/>
            </w:tcBorders>
            <w:shd w:val="clear" w:color="auto" w:fill="auto"/>
            <w:noWrap/>
            <w:vAlign w:val="bottom"/>
            <w:hideMark/>
          </w:tcPr>
          <w:p w14:paraId="2BBA817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21.1(55.6)</w:t>
            </w:r>
          </w:p>
        </w:tc>
        <w:tc>
          <w:tcPr>
            <w:tcW w:w="1383" w:type="dxa"/>
            <w:tcBorders>
              <w:top w:val="nil"/>
              <w:left w:val="nil"/>
              <w:bottom w:val="nil"/>
              <w:right w:val="nil"/>
            </w:tcBorders>
            <w:shd w:val="clear" w:color="auto" w:fill="auto"/>
            <w:noWrap/>
            <w:vAlign w:val="bottom"/>
            <w:hideMark/>
          </w:tcPr>
          <w:p w14:paraId="2D0677D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433.4(445.7)</w:t>
            </w:r>
          </w:p>
        </w:tc>
        <w:tc>
          <w:tcPr>
            <w:tcW w:w="1007" w:type="dxa"/>
            <w:tcBorders>
              <w:top w:val="nil"/>
              <w:left w:val="nil"/>
              <w:bottom w:val="nil"/>
              <w:right w:val="nil"/>
            </w:tcBorders>
            <w:shd w:val="clear" w:color="auto" w:fill="auto"/>
            <w:noWrap/>
            <w:vAlign w:val="bottom"/>
            <w:hideMark/>
          </w:tcPr>
          <w:p w14:paraId="6C31693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04C5FA8D" w14:textId="77777777" w:rsidTr="00317D03">
        <w:trPr>
          <w:trHeight w:val="300"/>
        </w:trPr>
        <w:tc>
          <w:tcPr>
            <w:tcW w:w="1843" w:type="dxa"/>
            <w:tcBorders>
              <w:top w:val="nil"/>
              <w:left w:val="nil"/>
              <w:bottom w:val="nil"/>
              <w:right w:val="nil"/>
            </w:tcBorders>
            <w:shd w:val="clear" w:color="auto" w:fill="auto"/>
            <w:noWrap/>
            <w:vAlign w:val="bottom"/>
            <w:hideMark/>
          </w:tcPr>
          <w:p w14:paraId="62AAF60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55 - 64</w:t>
            </w:r>
          </w:p>
        </w:tc>
        <w:tc>
          <w:tcPr>
            <w:tcW w:w="1353" w:type="dxa"/>
            <w:tcBorders>
              <w:top w:val="nil"/>
              <w:left w:val="nil"/>
              <w:bottom w:val="nil"/>
              <w:right w:val="nil"/>
            </w:tcBorders>
            <w:shd w:val="clear" w:color="auto" w:fill="auto"/>
            <w:noWrap/>
            <w:vAlign w:val="bottom"/>
            <w:hideMark/>
          </w:tcPr>
          <w:p w14:paraId="53AE6D9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358.2(308.5)</w:t>
            </w:r>
          </w:p>
        </w:tc>
        <w:tc>
          <w:tcPr>
            <w:tcW w:w="1242" w:type="dxa"/>
            <w:tcBorders>
              <w:top w:val="nil"/>
              <w:left w:val="nil"/>
              <w:bottom w:val="nil"/>
              <w:right w:val="nil"/>
            </w:tcBorders>
            <w:shd w:val="clear" w:color="auto" w:fill="auto"/>
            <w:noWrap/>
            <w:vAlign w:val="bottom"/>
            <w:hideMark/>
          </w:tcPr>
          <w:p w14:paraId="65B0543C"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48.0(62.6)</w:t>
            </w:r>
          </w:p>
        </w:tc>
        <w:tc>
          <w:tcPr>
            <w:tcW w:w="1353" w:type="dxa"/>
            <w:tcBorders>
              <w:top w:val="nil"/>
              <w:left w:val="nil"/>
              <w:bottom w:val="nil"/>
              <w:right w:val="nil"/>
            </w:tcBorders>
            <w:shd w:val="clear" w:color="auto" w:fill="auto"/>
            <w:noWrap/>
            <w:vAlign w:val="bottom"/>
            <w:hideMark/>
          </w:tcPr>
          <w:p w14:paraId="389C7C1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71.6(230.7)</w:t>
            </w:r>
          </w:p>
        </w:tc>
        <w:tc>
          <w:tcPr>
            <w:tcW w:w="1274" w:type="dxa"/>
            <w:tcBorders>
              <w:top w:val="nil"/>
              <w:left w:val="nil"/>
              <w:bottom w:val="nil"/>
              <w:right w:val="nil"/>
            </w:tcBorders>
            <w:shd w:val="clear" w:color="auto" w:fill="auto"/>
            <w:noWrap/>
            <w:vAlign w:val="bottom"/>
            <w:hideMark/>
          </w:tcPr>
          <w:p w14:paraId="6650F5E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25.1(61.3)</w:t>
            </w:r>
          </w:p>
        </w:tc>
        <w:tc>
          <w:tcPr>
            <w:tcW w:w="1383" w:type="dxa"/>
            <w:tcBorders>
              <w:top w:val="nil"/>
              <w:left w:val="nil"/>
              <w:bottom w:val="nil"/>
              <w:right w:val="nil"/>
            </w:tcBorders>
            <w:shd w:val="clear" w:color="auto" w:fill="auto"/>
            <w:noWrap/>
            <w:vAlign w:val="bottom"/>
            <w:hideMark/>
          </w:tcPr>
          <w:p w14:paraId="4AF5F18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454.5(435.1)</w:t>
            </w:r>
          </w:p>
        </w:tc>
        <w:tc>
          <w:tcPr>
            <w:tcW w:w="1007" w:type="dxa"/>
            <w:tcBorders>
              <w:top w:val="nil"/>
              <w:left w:val="nil"/>
              <w:bottom w:val="nil"/>
              <w:right w:val="nil"/>
            </w:tcBorders>
            <w:shd w:val="clear" w:color="auto" w:fill="auto"/>
            <w:noWrap/>
            <w:vAlign w:val="bottom"/>
            <w:hideMark/>
          </w:tcPr>
          <w:p w14:paraId="583F059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13213FB1" w14:textId="77777777" w:rsidTr="00317D03">
        <w:trPr>
          <w:trHeight w:val="300"/>
        </w:trPr>
        <w:tc>
          <w:tcPr>
            <w:tcW w:w="1843" w:type="dxa"/>
            <w:tcBorders>
              <w:top w:val="nil"/>
              <w:left w:val="nil"/>
              <w:bottom w:val="nil"/>
              <w:right w:val="nil"/>
            </w:tcBorders>
            <w:shd w:val="clear" w:color="auto" w:fill="auto"/>
            <w:noWrap/>
            <w:vAlign w:val="bottom"/>
            <w:hideMark/>
          </w:tcPr>
          <w:p w14:paraId="3A29A96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65 - 74</w:t>
            </w:r>
          </w:p>
        </w:tc>
        <w:tc>
          <w:tcPr>
            <w:tcW w:w="1353" w:type="dxa"/>
            <w:tcBorders>
              <w:top w:val="nil"/>
              <w:left w:val="nil"/>
              <w:bottom w:val="nil"/>
              <w:right w:val="nil"/>
            </w:tcBorders>
            <w:shd w:val="clear" w:color="auto" w:fill="auto"/>
            <w:noWrap/>
            <w:vAlign w:val="bottom"/>
            <w:hideMark/>
          </w:tcPr>
          <w:p w14:paraId="6B546E0B"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389.3(335.1)</w:t>
            </w:r>
          </w:p>
        </w:tc>
        <w:tc>
          <w:tcPr>
            <w:tcW w:w="1242" w:type="dxa"/>
            <w:tcBorders>
              <w:top w:val="nil"/>
              <w:left w:val="nil"/>
              <w:bottom w:val="nil"/>
              <w:right w:val="nil"/>
            </w:tcBorders>
            <w:shd w:val="clear" w:color="auto" w:fill="auto"/>
            <w:noWrap/>
            <w:vAlign w:val="bottom"/>
            <w:hideMark/>
          </w:tcPr>
          <w:p w14:paraId="210E7A7C"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54.6(72.4)</w:t>
            </w:r>
          </w:p>
        </w:tc>
        <w:tc>
          <w:tcPr>
            <w:tcW w:w="1353" w:type="dxa"/>
            <w:tcBorders>
              <w:top w:val="nil"/>
              <w:left w:val="nil"/>
              <w:bottom w:val="nil"/>
              <w:right w:val="nil"/>
            </w:tcBorders>
            <w:shd w:val="clear" w:color="auto" w:fill="auto"/>
            <w:noWrap/>
            <w:vAlign w:val="bottom"/>
            <w:hideMark/>
          </w:tcPr>
          <w:p w14:paraId="437D9C7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65.7(165.1)</w:t>
            </w:r>
          </w:p>
        </w:tc>
        <w:tc>
          <w:tcPr>
            <w:tcW w:w="1274" w:type="dxa"/>
            <w:tcBorders>
              <w:top w:val="nil"/>
              <w:left w:val="nil"/>
              <w:bottom w:val="nil"/>
              <w:right w:val="nil"/>
            </w:tcBorders>
            <w:shd w:val="clear" w:color="auto" w:fill="auto"/>
            <w:noWrap/>
            <w:vAlign w:val="bottom"/>
            <w:hideMark/>
          </w:tcPr>
          <w:p w14:paraId="44E894F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28.0(58.3)</w:t>
            </w:r>
          </w:p>
        </w:tc>
        <w:tc>
          <w:tcPr>
            <w:tcW w:w="1383" w:type="dxa"/>
            <w:tcBorders>
              <w:top w:val="nil"/>
              <w:left w:val="nil"/>
              <w:bottom w:val="nil"/>
              <w:right w:val="nil"/>
            </w:tcBorders>
            <w:shd w:val="clear" w:color="auto" w:fill="auto"/>
            <w:noWrap/>
            <w:vAlign w:val="bottom"/>
            <w:hideMark/>
          </w:tcPr>
          <w:p w14:paraId="29A88F3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491.4(421.5)</w:t>
            </w:r>
          </w:p>
        </w:tc>
        <w:tc>
          <w:tcPr>
            <w:tcW w:w="1007" w:type="dxa"/>
            <w:tcBorders>
              <w:top w:val="nil"/>
              <w:left w:val="nil"/>
              <w:bottom w:val="nil"/>
              <w:right w:val="nil"/>
            </w:tcBorders>
            <w:shd w:val="clear" w:color="auto" w:fill="auto"/>
            <w:noWrap/>
            <w:vAlign w:val="bottom"/>
            <w:hideMark/>
          </w:tcPr>
          <w:p w14:paraId="428C157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64ABE083" w14:textId="77777777" w:rsidTr="00317D03">
        <w:trPr>
          <w:trHeight w:val="300"/>
        </w:trPr>
        <w:tc>
          <w:tcPr>
            <w:tcW w:w="1843" w:type="dxa"/>
            <w:tcBorders>
              <w:top w:val="nil"/>
              <w:left w:val="nil"/>
              <w:bottom w:val="nil"/>
              <w:right w:val="nil"/>
            </w:tcBorders>
            <w:shd w:val="clear" w:color="auto" w:fill="auto"/>
            <w:noWrap/>
            <w:vAlign w:val="bottom"/>
            <w:hideMark/>
          </w:tcPr>
          <w:p w14:paraId="7D9536A0"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75 &amp; overs</w:t>
            </w:r>
          </w:p>
        </w:tc>
        <w:tc>
          <w:tcPr>
            <w:tcW w:w="1353" w:type="dxa"/>
            <w:tcBorders>
              <w:top w:val="nil"/>
              <w:left w:val="nil"/>
              <w:bottom w:val="nil"/>
              <w:right w:val="nil"/>
            </w:tcBorders>
            <w:shd w:val="clear" w:color="auto" w:fill="auto"/>
            <w:noWrap/>
            <w:vAlign w:val="bottom"/>
            <w:hideMark/>
          </w:tcPr>
          <w:p w14:paraId="605D835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481.1(398.2)</w:t>
            </w:r>
          </w:p>
        </w:tc>
        <w:tc>
          <w:tcPr>
            <w:tcW w:w="1242" w:type="dxa"/>
            <w:tcBorders>
              <w:top w:val="nil"/>
              <w:left w:val="nil"/>
              <w:bottom w:val="nil"/>
              <w:right w:val="nil"/>
            </w:tcBorders>
            <w:shd w:val="clear" w:color="auto" w:fill="auto"/>
            <w:noWrap/>
            <w:vAlign w:val="bottom"/>
            <w:hideMark/>
          </w:tcPr>
          <w:p w14:paraId="7E84C47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64.6(86.0)</w:t>
            </w:r>
          </w:p>
        </w:tc>
        <w:tc>
          <w:tcPr>
            <w:tcW w:w="1353" w:type="dxa"/>
            <w:tcBorders>
              <w:top w:val="nil"/>
              <w:left w:val="nil"/>
              <w:bottom w:val="nil"/>
              <w:right w:val="nil"/>
            </w:tcBorders>
            <w:shd w:val="clear" w:color="auto" w:fill="auto"/>
            <w:noWrap/>
            <w:vAlign w:val="bottom"/>
            <w:hideMark/>
          </w:tcPr>
          <w:p w14:paraId="46723950"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70.6(160.5)</w:t>
            </w:r>
          </w:p>
        </w:tc>
        <w:tc>
          <w:tcPr>
            <w:tcW w:w="1274" w:type="dxa"/>
            <w:tcBorders>
              <w:top w:val="nil"/>
              <w:left w:val="nil"/>
              <w:bottom w:val="nil"/>
              <w:right w:val="nil"/>
            </w:tcBorders>
            <w:shd w:val="clear" w:color="auto" w:fill="auto"/>
            <w:noWrap/>
            <w:vAlign w:val="bottom"/>
            <w:hideMark/>
          </w:tcPr>
          <w:p w14:paraId="270D8682"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37.8(71.1)</w:t>
            </w:r>
          </w:p>
        </w:tc>
        <w:tc>
          <w:tcPr>
            <w:tcW w:w="1383" w:type="dxa"/>
            <w:tcBorders>
              <w:top w:val="nil"/>
              <w:left w:val="nil"/>
              <w:bottom w:val="nil"/>
              <w:right w:val="nil"/>
            </w:tcBorders>
            <w:shd w:val="clear" w:color="auto" w:fill="auto"/>
            <w:noWrap/>
            <w:vAlign w:val="bottom"/>
            <w:hideMark/>
          </w:tcPr>
          <w:p w14:paraId="4CEDF7E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603.2(478.7)</w:t>
            </w:r>
          </w:p>
        </w:tc>
        <w:tc>
          <w:tcPr>
            <w:tcW w:w="1007" w:type="dxa"/>
            <w:tcBorders>
              <w:top w:val="nil"/>
              <w:left w:val="nil"/>
              <w:bottom w:val="nil"/>
              <w:right w:val="nil"/>
            </w:tcBorders>
            <w:shd w:val="clear" w:color="auto" w:fill="auto"/>
            <w:noWrap/>
            <w:vAlign w:val="bottom"/>
            <w:hideMark/>
          </w:tcPr>
          <w:p w14:paraId="604C281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68B4E923" w14:textId="77777777" w:rsidTr="00317D03">
        <w:trPr>
          <w:trHeight w:val="300"/>
        </w:trPr>
        <w:tc>
          <w:tcPr>
            <w:tcW w:w="3196" w:type="dxa"/>
            <w:gridSpan w:val="2"/>
            <w:tcBorders>
              <w:top w:val="nil"/>
              <w:left w:val="nil"/>
              <w:bottom w:val="nil"/>
              <w:right w:val="nil"/>
            </w:tcBorders>
            <w:shd w:val="clear" w:color="auto" w:fill="auto"/>
            <w:noWrap/>
            <w:vAlign w:val="bottom"/>
            <w:hideMark/>
          </w:tcPr>
          <w:p w14:paraId="30D0E4B9" w14:textId="77777777" w:rsidR="00180CE7" w:rsidRPr="00180CE7" w:rsidRDefault="00180CE7" w:rsidP="00180CE7">
            <w:pPr>
              <w:spacing w:after="0" w:line="240" w:lineRule="auto"/>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Townsend quintiles</w:t>
            </w:r>
          </w:p>
        </w:tc>
        <w:tc>
          <w:tcPr>
            <w:tcW w:w="1242" w:type="dxa"/>
            <w:tcBorders>
              <w:top w:val="nil"/>
              <w:left w:val="nil"/>
              <w:bottom w:val="nil"/>
              <w:right w:val="nil"/>
            </w:tcBorders>
            <w:shd w:val="clear" w:color="auto" w:fill="auto"/>
            <w:noWrap/>
            <w:vAlign w:val="bottom"/>
            <w:hideMark/>
          </w:tcPr>
          <w:p w14:paraId="58E34C98"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353" w:type="dxa"/>
            <w:tcBorders>
              <w:top w:val="nil"/>
              <w:left w:val="nil"/>
              <w:bottom w:val="nil"/>
              <w:right w:val="nil"/>
            </w:tcBorders>
            <w:shd w:val="clear" w:color="auto" w:fill="auto"/>
            <w:noWrap/>
            <w:vAlign w:val="bottom"/>
            <w:hideMark/>
          </w:tcPr>
          <w:p w14:paraId="22FE56AF"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274" w:type="dxa"/>
            <w:tcBorders>
              <w:top w:val="nil"/>
              <w:left w:val="nil"/>
              <w:bottom w:val="nil"/>
              <w:right w:val="nil"/>
            </w:tcBorders>
            <w:shd w:val="clear" w:color="auto" w:fill="auto"/>
            <w:noWrap/>
            <w:vAlign w:val="bottom"/>
            <w:hideMark/>
          </w:tcPr>
          <w:p w14:paraId="12504DE5"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383" w:type="dxa"/>
            <w:tcBorders>
              <w:top w:val="nil"/>
              <w:left w:val="nil"/>
              <w:bottom w:val="nil"/>
              <w:right w:val="nil"/>
            </w:tcBorders>
            <w:shd w:val="clear" w:color="auto" w:fill="auto"/>
            <w:noWrap/>
            <w:vAlign w:val="bottom"/>
            <w:hideMark/>
          </w:tcPr>
          <w:p w14:paraId="2DC90742"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007" w:type="dxa"/>
            <w:tcBorders>
              <w:top w:val="nil"/>
              <w:left w:val="nil"/>
              <w:bottom w:val="nil"/>
              <w:right w:val="nil"/>
            </w:tcBorders>
            <w:shd w:val="clear" w:color="auto" w:fill="auto"/>
            <w:noWrap/>
            <w:vAlign w:val="bottom"/>
            <w:hideMark/>
          </w:tcPr>
          <w:p w14:paraId="14284A3E" w14:textId="77777777" w:rsidR="00180CE7" w:rsidRPr="00180CE7" w:rsidRDefault="00180CE7" w:rsidP="00180CE7">
            <w:pPr>
              <w:spacing w:after="0" w:line="240" w:lineRule="auto"/>
              <w:jc w:val="right"/>
              <w:rPr>
                <w:rFonts w:eastAsia="Times New Roman" w:cs="Times New Roman"/>
                <w:sz w:val="20"/>
                <w:szCs w:val="20"/>
                <w:lang w:eastAsia="en-GB"/>
              </w:rPr>
            </w:pPr>
          </w:p>
        </w:tc>
      </w:tr>
      <w:tr w:rsidR="00180CE7" w:rsidRPr="00180CE7" w14:paraId="29776AAB" w14:textId="77777777" w:rsidTr="00317D03">
        <w:trPr>
          <w:trHeight w:val="300"/>
        </w:trPr>
        <w:tc>
          <w:tcPr>
            <w:tcW w:w="1843" w:type="dxa"/>
            <w:tcBorders>
              <w:top w:val="nil"/>
              <w:left w:val="nil"/>
              <w:bottom w:val="nil"/>
              <w:right w:val="nil"/>
            </w:tcBorders>
            <w:shd w:val="clear" w:color="auto" w:fill="auto"/>
            <w:noWrap/>
            <w:vAlign w:val="bottom"/>
            <w:hideMark/>
          </w:tcPr>
          <w:p w14:paraId="7F60E1E4"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Least deprived 1</w:t>
            </w:r>
          </w:p>
        </w:tc>
        <w:tc>
          <w:tcPr>
            <w:tcW w:w="1353" w:type="dxa"/>
            <w:tcBorders>
              <w:top w:val="nil"/>
              <w:left w:val="nil"/>
              <w:bottom w:val="nil"/>
              <w:right w:val="nil"/>
            </w:tcBorders>
            <w:shd w:val="clear" w:color="auto" w:fill="auto"/>
            <w:noWrap/>
            <w:vAlign w:val="bottom"/>
            <w:hideMark/>
          </w:tcPr>
          <w:p w14:paraId="42C6E38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367.3(318.2)</w:t>
            </w:r>
          </w:p>
        </w:tc>
        <w:tc>
          <w:tcPr>
            <w:tcW w:w="1242" w:type="dxa"/>
            <w:tcBorders>
              <w:top w:val="nil"/>
              <w:left w:val="nil"/>
              <w:bottom w:val="nil"/>
              <w:right w:val="nil"/>
            </w:tcBorders>
            <w:shd w:val="clear" w:color="auto" w:fill="auto"/>
            <w:noWrap/>
            <w:vAlign w:val="bottom"/>
            <w:hideMark/>
          </w:tcPr>
          <w:p w14:paraId="6313D46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48.9(66.4)</w:t>
            </w:r>
          </w:p>
        </w:tc>
        <w:tc>
          <w:tcPr>
            <w:tcW w:w="1353" w:type="dxa"/>
            <w:tcBorders>
              <w:top w:val="nil"/>
              <w:left w:val="nil"/>
              <w:bottom w:val="nil"/>
              <w:right w:val="nil"/>
            </w:tcBorders>
            <w:shd w:val="clear" w:color="auto" w:fill="auto"/>
            <w:noWrap/>
            <w:vAlign w:val="bottom"/>
            <w:hideMark/>
          </w:tcPr>
          <w:p w14:paraId="0AC8B19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54.4(206.2)</w:t>
            </w:r>
          </w:p>
        </w:tc>
        <w:tc>
          <w:tcPr>
            <w:tcW w:w="1274" w:type="dxa"/>
            <w:tcBorders>
              <w:top w:val="nil"/>
              <w:left w:val="nil"/>
              <w:bottom w:val="nil"/>
              <w:right w:val="nil"/>
            </w:tcBorders>
            <w:shd w:val="clear" w:color="auto" w:fill="auto"/>
            <w:noWrap/>
            <w:vAlign w:val="bottom"/>
            <w:hideMark/>
          </w:tcPr>
          <w:p w14:paraId="5051A17B"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22.5(47.8)</w:t>
            </w:r>
          </w:p>
        </w:tc>
        <w:tc>
          <w:tcPr>
            <w:tcW w:w="1383" w:type="dxa"/>
            <w:tcBorders>
              <w:top w:val="nil"/>
              <w:left w:val="nil"/>
              <w:bottom w:val="nil"/>
              <w:right w:val="nil"/>
            </w:tcBorders>
            <w:shd w:val="clear" w:color="auto" w:fill="auto"/>
            <w:noWrap/>
            <w:vAlign w:val="bottom"/>
            <w:hideMark/>
          </w:tcPr>
          <w:p w14:paraId="66ACCB4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448.0(425.0)</w:t>
            </w:r>
          </w:p>
        </w:tc>
        <w:tc>
          <w:tcPr>
            <w:tcW w:w="1007" w:type="dxa"/>
            <w:tcBorders>
              <w:top w:val="nil"/>
              <w:left w:val="nil"/>
              <w:bottom w:val="nil"/>
              <w:right w:val="nil"/>
            </w:tcBorders>
            <w:shd w:val="clear" w:color="auto" w:fill="auto"/>
            <w:noWrap/>
            <w:vAlign w:val="bottom"/>
            <w:hideMark/>
          </w:tcPr>
          <w:p w14:paraId="0DFFCD6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&lt;0.001</w:t>
            </w:r>
          </w:p>
        </w:tc>
      </w:tr>
      <w:tr w:rsidR="00180CE7" w:rsidRPr="00180CE7" w14:paraId="382DF192" w14:textId="77777777" w:rsidTr="00317D03">
        <w:trPr>
          <w:trHeight w:val="300"/>
        </w:trPr>
        <w:tc>
          <w:tcPr>
            <w:tcW w:w="1843" w:type="dxa"/>
            <w:tcBorders>
              <w:top w:val="nil"/>
              <w:left w:val="nil"/>
              <w:bottom w:val="nil"/>
              <w:right w:val="nil"/>
            </w:tcBorders>
            <w:shd w:val="clear" w:color="auto" w:fill="auto"/>
            <w:noWrap/>
            <w:vAlign w:val="bottom"/>
            <w:hideMark/>
          </w:tcPr>
          <w:p w14:paraId="6543E6D4"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w:t>
            </w:r>
          </w:p>
        </w:tc>
        <w:tc>
          <w:tcPr>
            <w:tcW w:w="1353" w:type="dxa"/>
            <w:tcBorders>
              <w:top w:val="nil"/>
              <w:left w:val="nil"/>
              <w:bottom w:val="nil"/>
              <w:right w:val="nil"/>
            </w:tcBorders>
            <w:shd w:val="clear" w:color="auto" w:fill="auto"/>
            <w:noWrap/>
            <w:vAlign w:val="bottom"/>
            <w:hideMark/>
          </w:tcPr>
          <w:p w14:paraId="78FB4281"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374.7(325.6)</w:t>
            </w:r>
          </w:p>
        </w:tc>
        <w:tc>
          <w:tcPr>
            <w:tcW w:w="1242" w:type="dxa"/>
            <w:tcBorders>
              <w:top w:val="nil"/>
              <w:left w:val="nil"/>
              <w:bottom w:val="nil"/>
              <w:right w:val="nil"/>
            </w:tcBorders>
            <w:shd w:val="clear" w:color="auto" w:fill="auto"/>
            <w:noWrap/>
            <w:vAlign w:val="bottom"/>
            <w:hideMark/>
          </w:tcPr>
          <w:p w14:paraId="5A3359DB"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51.2(69.7)</w:t>
            </w:r>
          </w:p>
        </w:tc>
        <w:tc>
          <w:tcPr>
            <w:tcW w:w="1353" w:type="dxa"/>
            <w:tcBorders>
              <w:top w:val="nil"/>
              <w:left w:val="nil"/>
              <w:bottom w:val="nil"/>
              <w:right w:val="nil"/>
            </w:tcBorders>
            <w:shd w:val="clear" w:color="auto" w:fill="auto"/>
            <w:noWrap/>
            <w:vAlign w:val="bottom"/>
            <w:hideMark/>
          </w:tcPr>
          <w:p w14:paraId="7F0AFE4C"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56.2(182.7)</w:t>
            </w:r>
          </w:p>
        </w:tc>
        <w:tc>
          <w:tcPr>
            <w:tcW w:w="1274" w:type="dxa"/>
            <w:tcBorders>
              <w:top w:val="nil"/>
              <w:left w:val="nil"/>
              <w:bottom w:val="nil"/>
              <w:right w:val="nil"/>
            </w:tcBorders>
            <w:shd w:val="clear" w:color="auto" w:fill="auto"/>
            <w:noWrap/>
            <w:vAlign w:val="bottom"/>
            <w:hideMark/>
          </w:tcPr>
          <w:p w14:paraId="63CA9E5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23.5(57.7)</w:t>
            </w:r>
          </w:p>
        </w:tc>
        <w:tc>
          <w:tcPr>
            <w:tcW w:w="1383" w:type="dxa"/>
            <w:tcBorders>
              <w:top w:val="nil"/>
              <w:left w:val="nil"/>
              <w:bottom w:val="nil"/>
              <w:right w:val="nil"/>
            </w:tcBorders>
            <w:shd w:val="clear" w:color="auto" w:fill="auto"/>
            <w:noWrap/>
            <w:vAlign w:val="bottom"/>
            <w:hideMark/>
          </w:tcPr>
          <w:p w14:paraId="6F29962B"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456.6(422.2)</w:t>
            </w:r>
          </w:p>
        </w:tc>
        <w:tc>
          <w:tcPr>
            <w:tcW w:w="1007" w:type="dxa"/>
            <w:tcBorders>
              <w:top w:val="nil"/>
              <w:left w:val="nil"/>
              <w:bottom w:val="nil"/>
              <w:right w:val="nil"/>
            </w:tcBorders>
            <w:shd w:val="clear" w:color="auto" w:fill="auto"/>
            <w:noWrap/>
            <w:vAlign w:val="bottom"/>
            <w:hideMark/>
          </w:tcPr>
          <w:p w14:paraId="2972E7A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19A451CD" w14:textId="77777777" w:rsidTr="00317D03">
        <w:trPr>
          <w:trHeight w:val="300"/>
        </w:trPr>
        <w:tc>
          <w:tcPr>
            <w:tcW w:w="1843" w:type="dxa"/>
            <w:tcBorders>
              <w:top w:val="nil"/>
              <w:left w:val="nil"/>
              <w:bottom w:val="nil"/>
              <w:right w:val="nil"/>
            </w:tcBorders>
            <w:shd w:val="clear" w:color="auto" w:fill="auto"/>
            <w:noWrap/>
            <w:vAlign w:val="bottom"/>
            <w:hideMark/>
          </w:tcPr>
          <w:p w14:paraId="55994A3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w:t>
            </w:r>
          </w:p>
        </w:tc>
        <w:tc>
          <w:tcPr>
            <w:tcW w:w="1353" w:type="dxa"/>
            <w:tcBorders>
              <w:top w:val="nil"/>
              <w:left w:val="nil"/>
              <w:bottom w:val="nil"/>
              <w:right w:val="nil"/>
            </w:tcBorders>
            <w:shd w:val="clear" w:color="auto" w:fill="auto"/>
            <w:noWrap/>
            <w:vAlign w:val="bottom"/>
            <w:hideMark/>
          </w:tcPr>
          <w:p w14:paraId="74C0706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379.6(337.5)</w:t>
            </w:r>
          </w:p>
        </w:tc>
        <w:tc>
          <w:tcPr>
            <w:tcW w:w="1242" w:type="dxa"/>
            <w:tcBorders>
              <w:top w:val="nil"/>
              <w:left w:val="nil"/>
              <w:bottom w:val="nil"/>
              <w:right w:val="nil"/>
            </w:tcBorders>
            <w:shd w:val="clear" w:color="auto" w:fill="auto"/>
            <w:noWrap/>
            <w:vAlign w:val="bottom"/>
            <w:hideMark/>
          </w:tcPr>
          <w:p w14:paraId="15A4EC2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52.9(72.0)</w:t>
            </w:r>
          </w:p>
        </w:tc>
        <w:tc>
          <w:tcPr>
            <w:tcW w:w="1353" w:type="dxa"/>
            <w:tcBorders>
              <w:top w:val="nil"/>
              <w:left w:val="nil"/>
              <w:bottom w:val="nil"/>
              <w:right w:val="nil"/>
            </w:tcBorders>
            <w:shd w:val="clear" w:color="auto" w:fill="auto"/>
            <w:noWrap/>
            <w:vAlign w:val="bottom"/>
            <w:hideMark/>
          </w:tcPr>
          <w:p w14:paraId="7304214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62.4(185.0)</w:t>
            </w:r>
          </w:p>
        </w:tc>
        <w:tc>
          <w:tcPr>
            <w:tcW w:w="1274" w:type="dxa"/>
            <w:tcBorders>
              <w:top w:val="nil"/>
              <w:left w:val="nil"/>
              <w:bottom w:val="nil"/>
              <w:right w:val="nil"/>
            </w:tcBorders>
            <w:shd w:val="clear" w:color="auto" w:fill="auto"/>
            <w:noWrap/>
            <w:vAlign w:val="bottom"/>
            <w:hideMark/>
          </w:tcPr>
          <w:p w14:paraId="007D98D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24.8(58.1)</w:t>
            </w:r>
          </w:p>
        </w:tc>
        <w:tc>
          <w:tcPr>
            <w:tcW w:w="1383" w:type="dxa"/>
            <w:tcBorders>
              <w:top w:val="nil"/>
              <w:left w:val="nil"/>
              <w:bottom w:val="nil"/>
              <w:right w:val="nil"/>
            </w:tcBorders>
            <w:shd w:val="clear" w:color="auto" w:fill="auto"/>
            <w:noWrap/>
            <w:vAlign w:val="bottom"/>
            <w:hideMark/>
          </w:tcPr>
          <w:p w14:paraId="6D5CD68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468.4(436.7)</w:t>
            </w:r>
          </w:p>
        </w:tc>
        <w:tc>
          <w:tcPr>
            <w:tcW w:w="1007" w:type="dxa"/>
            <w:tcBorders>
              <w:top w:val="nil"/>
              <w:left w:val="nil"/>
              <w:bottom w:val="nil"/>
              <w:right w:val="nil"/>
            </w:tcBorders>
            <w:shd w:val="clear" w:color="auto" w:fill="auto"/>
            <w:noWrap/>
            <w:vAlign w:val="bottom"/>
            <w:hideMark/>
          </w:tcPr>
          <w:p w14:paraId="1D9FE1C0"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5E52F86E" w14:textId="77777777" w:rsidTr="00317D03">
        <w:trPr>
          <w:trHeight w:val="300"/>
        </w:trPr>
        <w:tc>
          <w:tcPr>
            <w:tcW w:w="1843" w:type="dxa"/>
            <w:tcBorders>
              <w:top w:val="nil"/>
              <w:left w:val="nil"/>
              <w:bottom w:val="nil"/>
              <w:right w:val="nil"/>
            </w:tcBorders>
            <w:shd w:val="clear" w:color="auto" w:fill="auto"/>
            <w:noWrap/>
            <w:vAlign w:val="bottom"/>
            <w:hideMark/>
          </w:tcPr>
          <w:p w14:paraId="4FE2F12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w:t>
            </w:r>
          </w:p>
        </w:tc>
        <w:tc>
          <w:tcPr>
            <w:tcW w:w="1353" w:type="dxa"/>
            <w:tcBorders>
              <w:top w:val="nil"/>
              <w:left w:val="nil"/>
              <w:bottom w:val="nil"/>
              <w:right w:val="nil"/>
            </w:tcBorders>
            <w:shd w:val="clear" w:color="auto" w:fill="auto"/>
            <w:noWrap/>
            <w:vAlign w:val="bottom"/>
            <w:hideMark/>
          </w:tcPr>
          <w:p w14:paraId="504A2A2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391.7(344.5)</w:t>
            </w:r>
          </w:p>
        </w:tc>
        <w:tc>
          <w:tcPr>
            <w:tcW w:w="1242" w:type="dxa"/>
            <w:tcBorders>
              <w:top w:val="nil"/>
              <w:left w:val="nil"/>
              <w:bottom w:val="nil"/>
              <w:right w:val="nil"/>
            </w:tcBorders>
            <w:shd w:val="clear" w:color="auto" w:fill="auto"/>
            <w:noWrap/>
            <w:vAlign w:val="bottom"/>
            <w:hideMark/>
          </w:tcPr>
          <w:p w14:paraId="4840E55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52.5(69.7)</w:t>
            </w:r>
          </w:p>
        </w:tc>
        <w:tc>
          <w:tcPr>
            <w:tcW w:w="1353" w:type="dxa"/>
            <w:tcBorders>
              <w:top w:val="nil"/>
              <w:left w:val="nil"/>
              <w:bottom w:val="nil"/>
              <w:right w:val="nil"/>
            </w:tcBorders>
            <w:shd w:val="clear" w:color="auto" w:fill="auto"/>
            <w:noWrap/>
            <w:vAlign w:val="bottom"/>
            <w:hideMark/>
          </w:tcPr>
          <w:p w14:paraId="7CAB81D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71.7(285.1)</w:t>
            </w:r>
          </w:p>
        </w:tc>
        <w:tc>
          <w:tcPr>
            <w:tcW w:w="1274" w:type="dxa"/>
            <w:tcBorders>
              <w:top w:val="nil"/>
              <w:left w:val="nil"/>
              <w:bottom w:val="nil"/>
              <w:right w:val="nil"/>
            </w:tcBorders>
            <w:shd w:val="clear" w:color="auto" w:fill="auto"/>
            <w:noWrap/>
            <w:vAlign w:val="bottom"/>
            <w:hideMark/>
          </w:tcPr>
          <w:p w14:paraId="5AA0EE4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26.8(61.6)</w:t>
            </w:r>
          </w:p>
        </w:tc>
        <w:tc>
          <w:tcPr>
            <w:tcW w:w="1383" w:type="dxa"/>
            <w:tcBorders>
              <w:top w:val="nil"/>
              <w:left w:val="nil"/>
              <w:bottom w:val="nil"/>
              <w:right w:val="nil"/>
            </w:tcBorders>
            <w:shd w:val="clear" w:color="auto" w:fill="auto"/>
            <w:noWrap/>
            <w:vAlign w:val="bottom"/>
            <w:hideMark/>
          </w:tcPr>
          <w:p w14:paraId="6AE1ACE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492.9(499.0)</w:t>
            </w:r>
          </w:p>
        </w:tc>
        <w:tc>
          <w:tcPr>
            <w:tcW w:w="1007" w:type="dxa"/>
            <w:tcBorders>
              <w:top w:val="nil"/>
              <w:left w:val="nil"/>
              <w:bottom w:val="nil"/>
              <w:right w:val="nil"/>
            </w:tcBorders>
            <w:shd w:val="clear" w:color="auto" w:fill="auto"/>
            <w:noWrap/>
            <w:vAlign w:val="bottom"/>
            <w:hideMark/>
          </w:tcPr>
          <w:p w14:paraId="6EB2D99B"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12344102" w14:textId="77777777" w:rsidTr="00317D03">
        <w:trPr>
          <w:trHeight w:val="300"/>
        </w:trPr>
        <w:tc>
          <w:tcPr>
            <w:tcW w:w="1843" w:type="dxa"/>
            <w:tcBorders>
              <w:top w:val="nil"/>
              <w:left w:val="nil"/>
              <w:bottom w:val="nil"/>
              <w:right w:val="nil"/>
            </w:tcBorders>
            <w:shd w:val="clear" w:color="auto" w:fill="auto"/>
            <w:noWrap/>
            <w:vAlign w:val="bottom"/>
            <w:hideMark/>
          </w:tcPr>
          <w:p w14:paraId="30118E2C"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Most deprived 5</w:t>
            </w:r>
          </w:p>
        </w:tc>
        <w:tc>
          <w:tcPr>
            <w:tcW w:w="1353" w:type="dxa"/>
            <w:tcBorders>
              <w:top w:val="nil"/>
              <w:left w:val="nil"/>
              <w:bottom w:val="nil"/>
              <w:right w:val="nil"/>
            </w:tcBorders>
            <w:shd w:val="clear" w:color="auto" w:fill="auto"/>
            <w:noWrap/>
            <w:vAlign w:val="bottom"/>
            <w:hideMark/>
          </w:tcPr>
          <w:p w14:paraId="2C87EB4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404.4(351.5)</w:t>
            </w:r>
          </w:p>
        </w:tc>
        <w:tc>
          <w:tcPr>
            <w:tcW w:w="1242" w:type="dxa"/>
            <w:tcBorders>
              <w:top w:val="nil"/>
              <w:left w:val="nil"/>
              <w:bottom w:val="nil"/>
              <w:right w:val="nil"/>
            </w:tcBorders>
            <w:shd w:val="clear" w:color="auto" w:fill="auto"/>
            <w:noWrap/>
            <w:vAlign w:val="bottom"/>
            <w:hideMark/>
          </w:tcPr>
          <w:p w14:paraId="7559CC9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50.6(63.6)</w:t>
            </w:r>
          </w:p>
        </w:tc>
        <w:tc>
          <w:tcPr>
            <w:tcW w:w="1353" w:type="dxa"/>
            <w:tcBorders>
              <w:top w:val="nil"/>
              <w:left w:val="nil"/>
              <w:bottom w:val="nil"/>
              <w:right w:val="nil"/>
            </w:tcBorders>
            <w:shd w:val="clear" w:color="auto" w:fill="auto"/>
            <w:noWrap/>
            <w:vAlign w:val="bottom"/>
            <w:hideMark/>
          </w:tcPr>
          <w:p w14:paraId="110AE034"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73.6(208.9)</w:t>
            </w:r>
          </w:p>
        </w:tc>
        <w:tc>
          <w:tcPr>
            <w:tcW w:w="1274" w:type="dxa"/>
            <w:tcBorders>
              <w:top w:val="nil"/>
              <w:left w:val="nil"/>
              <w:bottom w:val="nil"/>
              <w:right w:val="nil"/>
            </w:tcBorders>
            <w:shd w:val="clear" w:color="auto" w:fill="auto"/>
            <w:noWrap/>
            <w:vAlign w:val="bottom"/>
            <w:hideMark/>
          </w:tcPr>
          <w:p w14:paraId="6947DD7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31.5(133.7)</w:t>
            </w:r>
          </w:p>
        </w:tc>
        <w:tc>
          <w:tcPr>
            <w:tcW w:w="1383" w:type="dxa"/>
            <w:tcBorders>
              <w:top w:val="nil"/>
              <w:left w:val="nil"/>
              <w:bottom w:val="nil"/>
              <w:right w:val="nil"/>
            </w:tcBorders>
            <w:shd w:val="clear" w:color="auto" w:fill="auto"/>
            <w:noWrap/>
            <w:vAlign w:val="bottom"/>
            <w:hideMark/>
          </w:tcPr>
          <w:p w14:paraId="05080F60"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510.9(484.5)</w:t>
            </w:r>
          </w:p>
        </w:tc>
        <w:tc>
          <w:tcPr>
            <w:tcW w:w="1007" w:type="dxa"/>
            <w:tcBorders>
              <w:top w:val="nil"/>
              <w:left w:val="nil"/>
              <w:bottom w:val="nil"/>
              <w:right w:val="nil"/>
            </w:tcBorders>
            <w:shd w:val="clear" w:color="auto" w:fill="auto"/>
            <w:noWrap/>
            <w:vAlign w:val="bottom"/>
            <w:hideMark/>
          </w:tcPr>
          <w:p w14:paraId="214293F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14AFC361" w14:textId="77777777" w:rsidTr="00317D03">
        <w:trPr>
          <w:trHeight w:val="300"/>
        </w:trPr>
        <w:tc>
          <w:tcPr>
            <w:tcW w:w="1843" w:type="dxa"/>
            <w:tcBorders>
              <w:top w:val="nil"/>
              <w:left w:val="nil"/>
              <w:bottom w:val="nil"/>
              <w:right w:val="nil"/>
            </w:tcBorders>
            <w:shd w:val="clear" w:color="auto" w:fill="auto"/>
            <w:noWrap/>
            <w:vAlign w:val="bottom"/>
            <w:hideMark/>
          </w:tcPr>
          <w:p w14:paraId="79AE9302"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Missing</w:t>
            </w:r>
          </w:p>
        </w:tc>
        <w:tc>
          <w:tcPr>
            <w:tcW w:w="1353" w:type="dxa"/>
            <w:tcBorders>
              <w:top w:val="nil"/>
              <w:left w:val="nil"/>
              <w:bottom w:val="nil"/>
              <w:right w:val="nil"/>
            </w:tcBorders>
            <w:shd w:val="clear" w:color="auto" w:fill="auto"/>
            <w:noWrap/>
            <w:vAlign w:val="bottom"/>
            <w:hideMark/>
          </w:tcPr>
          <w:p w14:paraId="394AB72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373.2(331.4)</w:t>
            </w:r>
          </w:p>
        </w:tc>
        <w:tc>
          <w:tcPr>
            <w:tcW w:w="1242" w:type="dxa"/>
            <w:tcBorders>
              <w:top w:val="nil"/>
              <w:left w:val="nil"/>
              <w:bottom w:val="nil"/>
              <w:right w:val="nil"/>
            </w:tcBorders>
            <w:shd w:val="clear" w:color="auto" w:fill="auto"/>
            <w:noWrap/>
            <w:vAlign w:val="bottom"/>
            <w:hideMark/>
          </w:tcPr>
          <w:p w14:paraId="02611DB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44.7(52.5)</w:t>
            </w:r>
          </w:p>
        </w:tc>
        <w:tc>
          <w:tcPr>
            <w:tcW w:w="1353" w:type="dxa"/>
            <w:tcBorders>
              <w:top w:val="nil"/>
              <w:left w:val="nil"/>
              <w:bottom w:val="nil"/>
              <w:right w:val="nil"/>
            </w:tcBorders>
            <w:shd w:val="clear" w:color="auto" w:fill="auto"/>
            <w:noWrap/>
            <w:vAlign w:val="bottom"/>
            <w:hideMark/>
          </w:tcPr>
          <w:p w14:paraId="62BE11C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61.9(189.2)</w:t>
            </w:r>
          </w:p>
        </w:tc>
        <w:tc>
          <w:tcPr>
            <w:tcW w:w="1274" w:type="dxa"/>
            <w:tcBorders>
              <w:top w:val="nil"/>
              <w:left w:val="nil"/>
              <w:bottom w:val="nil"/>
              <w:right w:val="nil"/>
            </w:tcBorders>
            <w:shd w:val="clear" w:color="auto" w:fill="auto"/>
            <w:noWrap/>
            <w:vAlign w:val="bottom"/>
            <w:hideMark/>
          </w:tcPr>
          <w:p w14:paraId="30BCFBC1"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25.3(60.9)</w:t>
            </w:r>
          </w:p>
        </w:tc>
        <w:tc>
          <w:tcPr>
            <w:tcW w:w="1383" w:type="dxa"/>
            <w:tcBorders>
              <w:top w:val="nil"/>
              <w:left w:val="nil"/>
              <w:bottom w:val="nil"/>
              <w:right w:val="nil"/>
            </w:tcBorders>
            <w:shd w:val="clear" w:color="auto" w:fill="auto"/>
            <w:noWrap/>
            <w:vAlign w:val="bottom"/>
            <w:hideMark/>
          </w:tcPr>
          <w:p w14:paraId="5D12DA4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455.7(429.5)</w:t>
            </w:r>
          </w:p>
        </w:tc>
        <w:tc>
          <w:tcPr>
            <w:tcW w:w="1007" w:type="dxa"/>
            <w:tcBorders>
              <w:top w:val="nil"/>
              <w:left w:val="nil"/>
              <w:bottom w:val="nil"/>
              <w:right w:val="nil"/>
            </w:tcBorders>
            <w:shd w:val="clear" w:color="auto" w:fill="auto"/>
            <w:noWrap/>
            <w:vAlign w:val="bottom"/>
            <w:hideMark/>
          </w:tcPr>
          <w:p w14:paraId="374CB45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6EA75E77" w14:textId="77777777" w:rsidTr="00317D03">
        <w:trPr>
          <w:trHeight w:val="300"/>
        </w:trPr>
        <w:tc>
          <w:tcPr>
            <w:tcW w:w="1843" w:type="dxa"/>
            <w:tcBorders>
              <w:top w:val="nil"/>
              <w:left w:val="nil"/>
              <w:bottom w:val="nil"/>
              <w:right w:val="nil"/>
            </w:tcBorders>
            <w:shd w:val="clear" w:color="auto" w:fill="auto"/>
            <w:noWrap/>
            <w:vAlign w:val="bottom"/>
            <w:hideMark/>
          </w:tcPr>
          <w:p w14:paraId="35E71C2F" w14:textId="77777777" w:rsidR="00180CE7" w:rsidRPr="00180CE7" w:rsidRDefault="00180CE7" w:rsidP="00180CE7">
            <w:pPr>
              <w:spacing w:after="0" w:line="240" w:lineRule="auto"/>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CCI category</w:t>
            </w:r>
          </w:p>
        </w:tc>
        <w:tc>
          <w:tcPr>
            <w:tcW w:w="1353" w:type="dxa"/>
            <w:tcBorders>
              <w:top w:val="nil"/>
              <w:left w:val="nil"/>
              <w:bottom w:val="nil"/>
              <w:right w:val="nil"/>
            </w:tcBorders>
            <w:shd w:val="clear" w:color="auto" w:fill="auto"/>
            <w:noWrap/>
            <w:vAlign w:val="bottom"/>
            <w:hideMark/>
          </w:tcPr>
          <w:p w14:paraId="7E30F689" w14:textId="77777777" w:rsidR="00180CE7" w:rsidRPr="00180CE7" w:rsidRDefault="00180CE7" w:rsidP="00180CE7">
            <w:pPr>
              <w:spacing w:after="0" w:line="240" w:lineRule="auto"/>
              <w:rPr>
                <w:rFonts w:ascii="Calibri" w:eastAsia="Times New Roman" w:hAnsi="Calibri" w:cs="Calibri"/>
                <w:color w:val="000000"/>
                <w:sz w:val="22"/>
                <w:lang w:eastAsia="en-GB"/>
              </w:rPr>
            </w:pPr>
          </w:p>
        </w:tc>
        <w:tc>
          <w:tcPr>
            <w:tcW w:w="1242" w:type="dxa"/>
            <w:tcBorders>
              <w:top w:val="nil"/>
              <w:left w:val="nil"/>
              <w:bottom w:val="nil"/>
              <w:right w:val="nil"/>
            </w:tcBorders>
            <w:shd w:val="clear" w:color="auto" w:fill="auto"/>
            <w:noWrap/>
            <w:vAlign w:val="bottom"/>
            <w:hideMark/>
          </w:tcPr>
          <w:p w14:paraId="376EE034"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353" w:type="dxa"/>
            <w:tcBorders>
              <w:top w:val="nil"/>
              <w:left w:val="nil"/>
              <w:bottom w:val="nil"/>
              <w:right w:val="nil"/>
            </w:tcBorders>
            <w:shd w:val="clear" w:color="auto" w:fill="auto"/>
            <w:noWrap/>
            <w:vAlign w:val="bottom"/>
            <w:hideMark/>
          </w:tcPr>
          <w:p w14:paraId="339BFD3D"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274" w:type="dxa"/>
            <w:tcBorders>
              <w:top w:val="nil"/>
              <w:left w:val="nil"/>
              <w:bottom w:val="nil"/>
              <w:right w:val="nil"/>
            </w:tcBorders>
            <w:shd w:val="clear" w:color="auto" w:fill="auto"/>
            <w:noWrap/>
            <w:vAlign w:val="bottom"/>
            <w:hideMark/>
          </w:tcPr>
          <w:p w14:paraId="024ED88B"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383" w:type="dxa"/>
            <w:tcBorders>
              <w:top w:val="nil"/>
              <w:left w:val="nil"/>
              <w:bottom w:val="nil"/>
              <w:right w:val="nil"/>
            </w:tcBorders>
            <w:shd w:val="clear" w:color="auto" w:fill="auto"/>
            <w:noWrap/>
            <w:vAlign w:val="bottom"/>
            <w:hideMark/>
          </w:tcPr>
          <w:p w14:paraId="25D5F5A2" w14:textId="77777777" w:rsidR="00180CE7" w:rsidRPr="00180CE7" w:rsidRDefault="00180CE7" w:rsidP="00180CE7">
            <w:pPr>
              <w:spacing w:after="0" w:line="240" w:lineRule="auto"/>
              <w:jc w:val="right"/>
              <w:rPr>
                <w:rFonts w:eastAsia="Times New Roman" w:cs="Times New Roman"/>
                <w:sz w:val="20"/>
                <w:szCs w:val="20"/>
                <w:lang w:eastAsia="en-GB"/>
              </w:rPr>
            </w:pPr>
          </w:p>
        </w:tc>
        <w:tc>
          <w:tcPr>
            <w:tcW w:w="1007" w:type="dxa"/>
            <w:tcBorders>
              <w:top w:val="nil"/>
              <w:left w:val="nil"/>
              <w:bottom w:val="nil"/>
              <w:right w:val="nil"/>
            </w:tcBorders>
            <w:shd w:val="clear" w:color="auto" w:fill="auto"/>
            <w:noWrap/>
            <w:vAlign w:val="bottom"/>
            <w:hideMark/>
          </w:tcPr>
          <w:p w14:paraId="1C3D16FB" w14:textId="77777777" w:rsidR="00180CE7" w:rsidRPr="00180CE7" w:rsidRDefault="00180CE7" w:rsidP="00180CE7">
            <w:pPr>
              <w:spacing w:after="0" w:line="240" w:lineRule="auto"/>
              <w:jc w:val="right"/>
              <w:rPr>
                <w:rFonts w:eastAsia="Times New Roman" w:cs="Times New Roman"/>
                <w:sz w:val="20"/>
                <w:szCs w:val="20"/>
                <w:lang w:eastAsia="en-GB"/>
              </w:rPr>
            </w:pPr>
          </w:p>
        </w:tc>
      </w:tr>
      <w:tr w:rsidR="00180CE7" w:rsidRPr="00180CE7" w14:paraId="0F08FC36" w14:textId="77777777" w:rsidTr="00317D03">
        <w:trPr>
          <w:trHeight w:val="300"/>
        </w:trPr>
        <w:tc>
          <w:tcPr>
            <w:tcW w:w="1843" w:type="dxa"/>
            <w:tcBorders>
              <w:top w:val="nil"/>
              <w:left w:val="nil"/>
              <w:bottom w:val="nil"/>
              <w:right w:val="nil"/>
            </w:tcBorders>
            <w:shd w:val="clear" w:color="auto" w:fill="auto"/>
            <w:noWrap/>
            <w:vAlign w:val="bottom"/>
            <w:hideMark/>
          </w:tcPr>
          <w:p w14:paraId="25DFFFC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0</w:t>
            </w:r>
          </w:p>
        </w:tc>
        <w:tc>
          <w:tcPr>
            <w:tcW w:w="1353" w:type="dxa"/>
            <w:tcBorders>
              <w:top w:val="nil"/>
              <w:left w:val="nil"/>
              <w:bottom w:val="nil"/>
              <w:right w:val="nil"/>
            </w:tcBorders>
            <w:shd w:val="clear" w:color="auto" w:fill="auto"/>
            <w:noWrap/>
            <w:vAlign w:val="bottom"/>
            <w:hideMark/>
          </w:tcPr>
          <w:p w14:paraId="1D645B9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329.3(287.3)</w:t>
            </w:r>
          </w:p>
        </w:tc>
        <w:tc>
          <w:tcPr>
            <w:tcW w:w="1242" w:type="dxa"/>
            <w:tcBorders>
              <w:top w:val="nil"/>
              <w:left w:val="nil"/>
              <w:bottom w:val="nil"/>
              <w:right w:val="nil"/>
            </w:tcBorders>
            <w:shd w:val="clear" w:color="auto" w:fill="auto"/>
            <w:noWrap/>
            <w:vAlign w:val="bottom"/>
            <w:hideMark/>
          </w:tcPr>
          <w:p w14:paraId="2E19C78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40.2(51.3)</w:t>
            </w:r>
          </w:p>
        </w:tc>
        <w:tc>
          <w:tcPr>
            <w:tcW w:w="1353" w:type="dxa"/>
            <w:tcBorders>
              <w:top w:val="nil"/>
              <w:left w:val="nil"/>
              <w:bottom w:val="nil"/>
              <w:right w:val="nil"/>
            </w:tcBorders>
            <w:shd w:val="clear" w:color="auto" w:fill="auto"/>
            <w:noWrap/>
            <w:vAlign w:val="bottom"/>
            <w:hideMark/>
          </w:tcPr>
          <w:p w14:paraId="2E09726C"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50.6(183.6)</w:t>
            </w:r>
          </w:p>
        </w:tc>
        <w:tc>
          <w:tcPr>
            <w:tcW w:w="1274" w:type="dxa"/>
            <w:tcBorders>
              <w:top w:val="nil"/>
              <w:left w:val="nil"/>
              <w:bottom w:val="nil"/>
              <w:right w:val="nil"/>
            </w:tcBorders>
            <w:shd w:val="clear" w:color="auto" w:fill="auto"/>
            <w:noWrap/>
            <w:vAlign w:val="bottom"/>
            <w:hideMark/>
          </w:tcPr>
          <w:p w14:paraId="3B7758E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19.1(47.3)</w:t>
            </w:r>
          </w:p>
        </w:tc>
        <w:tc>
          <w:tcPr>
            <w:tcW w:w="1383" w:type="dxa"/>
            <w:tcBorders>
              <w:top w:val="nil"/>
              <w:left w:val="nil"/>
              <w:bottom w:val="nil"/>
              <w:right w:val="nil"/>
            </w:tcBorders>
            <w:shd w:val="clear" w:color="auto" w:fill="auto"/>
            <w:noWrap/>
            <w:vAlign w:val="bottom"/>
            <w:hideMark/>
          </w:tcPr>
          <w:p w14:paraId="6C9B3EB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392.4(378.7)</w:t>
            </w:r>
          </w:p>
        </w:tc>
        <w:tc>
          <w:tcPr>
            <w:tcW w:w="1007" w:type="dxa"/>
            <w:tcBorders>
              <w:top w:val="nil"/>
              <w:left w:val="nil"/>
              <w:bottom w:val="nil"/>
              <w:right w:val="nil"/>
            </w:tcBorders>
            <w:shd w:val="clear" w:color="auto" w:fill="auto"/>
            <w:noWrap/>
            <w:vAlign w:val="bottom"/>
            <w:hideMark/>
          </w:tcPr>
          <w:p w14:paraId="1AC191F4"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&lt;0.001</w:t>
            </w:r>
          </w:p>
        </w:tc>
      </w:tr>
      <w:tr w:rsidR="00180CE7" w:rsidRPr="00180CE7" w14:paraId="793E925E" w14:textId="77777777" w:rsidTr="00317D03">
        <w:trPr>
          <w:trHeight w:val="300"/>
        </w:trPr>
        <w:tc>
          <w:tcPr>
            <w:tcW w:w="1843" w:type="dxa"/>
            <w:tcBorders>
              <w:top w:val="nil"/>
              <w:left w:val="nil"/>
              <w:bottom w:val="nil"/>
              <w:right w:val="nil"/>
            </w:tcBorders>
            <w:shd w:val="clear" w:color="auto" w:fill="auto"/>
            <w:noWrap/>
            <w:vAlign w:val="bottom"/>
            <w:hideMark/>
          </w:tcPr>
          <w:p w14:paraId="66C04A6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1</w:t>
            </w:r>
          </w:p>
        </w:tc>
        <w:tc>
          <w:tcPr>
            <w:tcW w:w="1353" w:type="dxa"/>
            <w:tcBorders>
              <w:top w:val="nil"/>
              <w:left w:val="nil"/>
              <w:bottom w:val="nil"/>
              <w:right w:val="nil"/>
            </w:tcBorders>
            <w:shd w:val="clear" w:color="auto" w:fill="auto"/>
            <w:noWrap/>
            <w:vAlign w:val="bottom"/>
            <w:hideMark/>
          </w:tcPr>
          <w:p w14:paraId="79F43B3E"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409.2(350.4)</w:t>
            </w:r>
          </w:p>
        </w:tc>
        <w:tc>
          <w:tcPr>
            <w:tcW w:w="1242" w:type="dxa"/>
            <w:tcBorders>
              <w:top w:val="nil"/>
              <w:left w:val="nil"/>
              <w:bottom w:val="nil"/>
              <w:right w:val="nil"/>
            </w:tcBorders>
            <w:shd w:val="clear" w:color="auto" w:fill="auto"/>
            <w:noWrap/>
            <w:vAlign w:val="bottom"/>
            <w:hideMark/>
          </w:tcPr>
          <w:p w14:paraId="2991BF32"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52.3(65.0)</w:t>
            </w:r>
          </w:p>
        </w:tc>
        <w:tc>
          <w:tcPr>
            <w:tcW w:w="1353" w:type="dxa"/>
            <w:tcBorders>
              <w:top w:val="nil"/>
              <w:left w:val="nil"/>
              <w:bottom w:val="nil"/>
              <w:right w:val="nil"/>
            </w:tcBorders>
            <w:shd w:val="clear" w:color="auto" w:fill="auto"/>
            <w:noWrap/>
            <w:vAlign w:val="bottom"/>
            <w:hideMark/>
          </w:tcPr>
          <w:p w14:paraId="5760BCC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70.5(222.3)</w:t>
            </w:r>
          </w:p>
        </w:tc>
        <w:tc>
          <w:tcPr>
            <w:tcW w:w="1274" w:type="dxa"/>
            <w:tcBorders>
              <w:top w:val="nil"/>
              <w:left w:val="nil"/>
              <w:bottom w:val="nil"/>
              <w:right w:val="nil"/>
            </w:tcBorders>
            <w:shd w:val="clear" w:color="auto" w:fill="auto"/>
            <w:noWrap/>
            <w:vAlign w:val="bottom"/>
            <w:hideMark/>
          </w:tcPr>
          <w:p w14:paraId="3537E3E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27.6(68.1)</w:t>
            </w:r>
          </w:p>
        </w:tc>
        <w:tc>
          <w:tcPr>
            <w:tcW w:w="1383" w:type="dxa"/>
            <w:tcBorders>
              <w:top w:val="nil"/>
              <w:left w:val="nil"/>
              <w:bottom w:val="nil"/>
              <w:right w:val="nil"/>
            </w:tcBorders>
            <w:shd w:val="clear" w:color="auto" w:fill="auto"/>
            <w:noWrap/>
            <w:vAlign w:val="bottom"/>
            <w:hideMark/>
          </w:tcPr>
          <w:p w14:paraId="3C300B0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514.9(465.8)</w:t>
            </w:r>
          </w:p>
        </w:tc>
        <w:tc>
          <w:tcPr>
            <w:tcW w:w="1007" w:type="dxa"/>
            <w:tcBorders>
              <w:top w:val="nil"/>
              <w:left w:val="nil"/>
              <w:bottom w:val="nil"/>
              <w:right w:val="nil"/>
            </w:tcBorders>
            <w:shd w:val="clear" w:color="auto" w:fill="auto"/>
            <w:noWrap/>
            <w:vAlign w:val="bottom"/>
            <w:hideMark/>
          </w:tcPr>
          <w:p w14:paraId="1A242F7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3F423AED" w14:textId="77777777" w:rsidTr="00317D03">
        <w:trPr>
          <w:trHeight w:val="300"/>
        </w:trPr>
        <w:tc>
          <w:tcPr>
            <w:tcW w:w="1843" w:type="dxa"/>
            <w:tcBorders>
              <w:top w:val="nil"/>
              <w:left w:val="nil"/>
              <w:bottom w:val="nil"/>
              <w:right w:val="nil"/>
            </w:tcBorders>
            <w:shd w:val="clear" w:color="auto" w:fill="auto"/>
            <w:noWrap/>
            <w:vAlign w:val="bottom"/>
            <w:hideMark/>
          </w:tcPr>
          <w:p w14:paraId="708216A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2</w:t>
            </w:r>
          </w:p>
        </w:tc>
        <w:tc>
          <w:tcPr>
            <w:tcW w:w="1353" w:type="dxa"/>
            <w:tcBorders>
              <w:top w:val="nil"/>
              <w:left w:val="nil"/>
              <w:bottom w:val="nil"/>
              <w:right w:val="nil"/>
            </w:tcBorders>
            <w:shd w:val="clear" w:color="auto" w:fill="auto"/>
            <w:noWrap/>
            <w:vAlign w:val="bottom"/>
            <w:hideMark/>
          </w:tcPr>
          <w:p w14:paraId="49AD1F3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442.4(366.6)</w:t>
            </w:r>
          </w:p>
        </w:tc>
        <w:tc>
          <w:tcPr>
            <w:tcW w:w="1242" w:type="dxa"/>
            <w:tcBorders>
              <w:top w:val="nil"/>
              <w:left w:val="nil"/>
              <w:bottom w:val="nil"/>
              <w:right w:val="nil"/>
            </w:tcBorders>
            <w:shd w:val="clear" w:color="auto" w:fill="auto"/>
            <w:noWrap/>
            <w:vAlign w:val="bottom"/>
            <w:hideMark/>
          </w:tcPr>
          <w:p w14:paraId="1192C97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61.0(80.0)</w:t>
            </w:r>
          </w:p>
        </w:tc>
        <w:tc>
          <w:tcPr>
            <w:tcW w:w="1353" w:type="dxa"/>
            <w:tcBorders>
              <w:top w:val="nil"/>
              <w:left w:val="nil"/>
              <w:bottom w:val="nil"/>
              <w:right w:val="nil"/>
            </w:tcBorders>
            <w:shd w:val="clear" w:color="auto" w:fill="auto"/>
            <w:noWrap/>
            <w:vAlign w:val="bottom"/>
            <w:hideMark/>
          </w:tcPr>
          <w:p w14:paraId="474776D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81.1(264.4)</w:t>
            </w:r>
          </w:p>
        </w:tc>
        <w:tc>
          <w:tcPr>
            <w:tcW w:w="1274" w:type="dxa"/>
            <w:tcBorders>
              <w:top w:val="nil"/>
              <w:left w:val="nil"/>
              <w:bottom w:val="nil"/>
              <w:right w:val="nil"/>
            </w:tcBorders>
            <w:shd w:val="clear" w:color="auto" w:fill="auto"/>
            <w:noWrap/>
            <w:vAlign w:val="bottom"/>
            <w:hideMark/>
          </w:tcPr>
          <w:p w14:paraId="1BA771D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32.1(69.4)</w:t>
            </w:r>
          </w:p>
        </w:tc>
        <w:tc>
          <w:tcPr>
            <w:tcW w:w="1383" w:type="dxa"/>
            <w:tcBorders>
              <w:top w:val="nil"/>
              <w:left w:val="nil"/>
              <w:bottom w:val="nil"/>
              <w:right w:val="nil"/>
            </w:tcBorders>
            <w:shd w:val="clear" w:color="auto" w:fill="auto"/>
            <w:noWrap/>
            <w:vAlign w:val="bottom"/>
            <w:hideMark/>
          </w:tcPr>
          <w:p w14:paraId="01C8485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569.7(504.3)</w:t>
            </w:r>
          </w:p>
        </w:tc>
        <w:tc>
          <w:tcPr>
            <w:tcW w:w="1007" w:type="dxa"/>
            <w:tcBorders>
              <w:top w:val="nil"/>
              <w:left w:val="nil"/>
              <w:bottom w:val="nil"/>
              <w:right w:val="nil"/>
            </w:tcBorders>
            <w:shd w:val="clear" w:color="auto" w:fill="auto"/>
            <w:noWrap/>
            <w:vAlign w:val="bottom"/>
            <w:hideMark/>
          </w:tcPr>
          <w:p w14:paraId="7B8BDA4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0FF28729" w14:textId="77777777" w:rsidTr="00317D03">
        <w:trPr>
          <w:trHeight w:val="300"/>
        </w:trPr>
        <w:tc>
          <w:tcPr>
            <w:tcW w:w="1843" w:type="dxa"/>
            <w:tcBorders>
              <w:top w:val="nil"/>
              <w:left w:val="nil"/>
              <w:bottom w:val="nil"/>
              <w:right w:val="nil"/>
            </w:tcBorders>
            <w:shd w:val="clear" w:color="auto" w:fill="auto"/>
            <w:noWrap/>
            <w:vAlign w:val="bottom"/>
            <w:hideMark/>
          </w:tcPr>
          <w:p w14:paraId="6ADB722F"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w:t>
            </w:r>
          </w:p>
        </w:tc>
        <w:tc>
          <w:tcPr>
            <w:tcW w:w="1353" w:type="dxa"/>
            <w:tcBorders>
              <w:top w:val="nil"/>
              <w:left w:val="nil"/>
              <w:bottom w:val="nil"/>
              <w:right w:val="nil"/>
            </w:tcBorders>
            <w:shd w:val="clear" w:color="auto" w:fill="auto"/>
            <w:noWrap/>
            <w:vAlign w:val="bottom"/>
            <w:hideMark/>
          </w:tcPr>
          <w:p w14:paraId="7FB857F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494.3(396.2)</w:t>
            </w:r>
          </w:p>
        </w:tc>
        <w:tc>
          <w:tcPr>
            <w:tcW w:w="1242" w:type="dxa"/>
            <w:tcBorders>
              <w:top w:val="nil"/>
              <w:left w:val="nil"/>
              <w:bottom w:val="nil"/>
              <w:right w:val="nil"/>
            </w:tcBorders>
            <w:shd w:val="clear" w:color="auto" w:fill="auto"/>
            <w:noWrap/>
            <w:vAlign w:val="bottom"/>
            <w:hideMark/>
          </w:tcPr>
          <w:p w14:paraId="5E140908"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67.2(83.5)</w:t>
            </w:r>
          </w:p>
        </w:tc>
        <w:tc>
          <w:tcPr>
            <w:tcW w:w="1353" w:type="dxa"/>
            <w:tcBorders>
              <w:top w:val="nil"/>
              <w:left w:val="nil"/>
              <w:bottom w:val="nil"/>
              <w:right w:val="nil"/>
            </w:tcBorders>
            <w:shd w:val="clear" w:color="auto" w:fill="auto"/>
            <w:noWrap/>
            <w:vAlign w:val="bottom"/>
            <w:hideMark/>
          </w:tcPr>
          <w:p w14:paraId="41AB5172"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88.8(234.7)</w:t>
            </w:r>
          </w:p>
        </w:tc>
        <w:tc>
          <w:tcPr>
            <w:tcW w:w="1274" w:type="dxa"/>
            <w:tcBorders>
              <w:top w:val="nil"/>
              <w:left w:val="nil"/>
              <w:bottom w:val="nil"/>
              <w:right w:val="nil"/>
            </w:tcBorders>
            <w:shd w:val="clear" w:color="auto" w:fill="auto"/>
            <w:noWrap/>
            <w:vAlign w:val="bottom"/>
            <w:hideMark/>
          </w:tcPr>
          <w:p w14:paraId="64605E9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38.0(75.0)</w:t>
            </w:r>
          </w:p>
        </w:tc>
        <w:tc>
          <w:tcPr>
            <w:tcW w:w="1383" w:type="dxa"/>
            <w:tcBorders>
              <w:top w:val="nil"/>
              <w:left w:val="nil"/>
              <w:bottom w:val="nil"/>
              <w:right w:val="nil"/>
            </w:tcBorders>
            <w:shd w:val="clear" w:color="auto" w:fill="auto"/>
            <w:noWrap/>
            <w:vAlign w:val="bottom"/>
            <w:hideMark/>
          </w:tcPr>
          <w:p w14:paraId="60191746"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645.1(518.8)</w:t>
            </w:r>
          </w:p>
        </w:tc>
        <w:tc>
          <w:tcPr>
            <w:tcW w:w="1007" w:type="dxa"/>
            <w:tcBorders>
              <w:top w:val="nil"/>
              <w:left w:val="nil"/>
              <w:bottom w:val="nil"/>
              <w:right w:val="nil"/>
            </w:tcBorders>
            <w:shd w:val="clear" w:color="auto" w:fill="auto"/>
            <w:noWrap/>
            <w:vAlign w:val="bottom"/>
            <w:hideMark/>
          </w:tcPr>
          <w:p w14:paraId="3D9ECB85"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4910585D" w14:textId="77777777" w:rsidTr="00317D03">
        <w:trPr>
          <w:trHeight w:val="300"/>
        </w:trPr>
        <w:tc>
          <w:tcPr>
            <w:tcW w:w="1843" w:type="dxa"/>
            <w:tcBorders>
              <w:top w:val="nil"/>
              <w:left w:val="nil"/>
              <w:bottom w:val="nil"/>
              <w:right w:val="nil"/>
            </w:tcBorders>
            <w:shd w:val="clear" w:color="auto" w:fill="auto"/>
            <w:noWrap/>
            <w:vAlign w:val="bottom"/>
            <w:hideMark/>
          </w:tcPr>
          <w:p w14:paraId="6637DB3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w:t>
            </w:r>
          </w:p>
        </w:tc>
        <w:tc>
          <w:tcPr>
            <w:tcW w:w="1353" w:type="dxa"/>
            <w:tcBorders>
              <w:top w:val="nil"/>
              <w:left w:val="nil"/>
              <w:bottom w:val="nil"/>
              <w:right w:val="nil"/>
            </w:tcBorders>
            <w:shd w:val="clear" w:color="auto" w:fill="auto"/>
            <w:noWrap/>
            <w:vAlign w:val="bottom"/>
            <w:hideMark/>
          </w:tcPr>
          <w:p w14:paraId="07E1334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562.6(442.3)</w:t>
            </w:r>
          </w:p>
        </w:tc>
        <w:tc>
          <w:tcPr>
            <w:tcW w:w="1242" w:type="dxa"/>
            <w:tcBorders>
              <w:top w:val="nil"/>
              <w:left w:val="nil"/>
              <w:bottom w:val="nil"/>
              <w:right w:val="nil"/>
            </w:tcBorders>
            <w:shd w:val="clear" w:color="auto" w:fill="auto"/>
            <w:noWrap/>
            <w:vAlign w:val="bottom"/>
            <w:hideMark/>
          </w:tcPr>
          <w:p w14:paraId="65791F61"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79.1(100.3)</w:t>
            </w:r>
          </w:p>
        </w:tc>
        <w:tc>
          <w:tcPr>
            <w:tcW w:w="1353" w:type="dxa"/>
            <w:tcBorders>
              <w:top w:val="nil"/>
              <w:left w:val="nil"/>
              <w:bottom w:val="nil"/>
              <w:right w:val="nil"/>
            </w:tcBorders>
            <w:shd w:val="clear" w:color="auto" w:fill="auto"/>
            <w:noWrap/>
            <w:vAlign w:val="bottom"/>
            <w:hideMark/>
          </w:tcPr>
          <w:p w14:paraId="72B5BE5A"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101.1(301.3)</w:t>
            </w:r>
          </w:p>
        </w:tc>
        <w:tc>
          <w:tcPr>
            <w:tcW w:w="1274" w:type="dxa"/>
            <w:tcBorders>
              <w:top w:val="nil"/>
              <w:left w:val="nil"/>
              <w:bottom w:val="nil"/>
              <w:right w:val="nil"/>
            </w:tcBorders>
            <w:shd w:val="clear" w:color="auto" w:fill="auto"/>
            <w:noWrap/>
            <w:vAlign w:val="bottom"/>
            <w:hideMark/>
          </w:tcPr>
          <w:p w14:paraId="41547509"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48.9(269.2)</w:t>
            </w:r>
          </w:p>
        </w:tc>
        <w:tc>
          <w:tcPr>
            <w:tcW w:w="1383" w:type="dxa"/>
            <w:tcBorders>
              <w:top w:val="nil"/>
              <w:left w:val="nil"/>
              <w:bottom w:val="nil"/>
              <w:right w:val="nil"/>
            </w:tcBorders>
            <w:shd w:val="clear" w:color="auto" w:fill="auto"/>
            <w:noWrap/>
            <w:vAlign w:val="bottom"/>
            <w:hideMark/>
          </w:tcPr>
          <w:p w14:paraId="601ABB4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744.4(704.2)</w:t>
            </w:r>
          </w:p>
        </w:tc>
        <w:tc>
          <w:tcPr>
            <w:tcW w:w="1007" w:type="dxa"/>
            <w:tcBorders>
              <w:top w:val="nil"/>
              <w:left w:val="nil"/>
              <w:bottom w:val="nil"/>
              <w:right w:val="nil"/>
            </w:tcBorders>
            <w:shd w:val="clear" w:color="auto" w:fill="auto"/>
            <w:noWrap/>
            <w:vAlign w:val="bottom"/>
            <w:hideMark/>
          </w:tcPr>
          <w:p w14:paraId="7C905B6D"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p>
        </w:tc>
      </w:tr>
      <w:tr w:rsidR="00180CE7" w:rsidRPr="00180CE7" w14:paraId="0802FA16" w14:textId="77777777" w:rsidTr="00317D03">
        <w:trPr>
          <w:trHeight w:val="300"/>
        </w:trPr>
        <w:tc>
          <w:tcPr>
            <w:tcW w:w="1843" w:type="dxa"/>
            <w:tcBorders>
              <w:top w:val="nil"/>
              <w:left w:val="nil"/>
              <w:bottom w:val="single" w:sz="4" w:space="0" w:color="auto"/>
              <w:right w:val="nil"/>
            </w:tcBorders>
            <w:shd w:val="clear" w:color="auto" w:fill="auto"/>
            <w:noWrap/>
            <w:vAlign w:val="bottom"/>
            <w:hideMark/>
          </w:tcPr>
          <w:p w14:paraId="131AB3B1"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5 and above</w:t>
            </w:r>
          </w:p>
        </w:tc>
        <w:tc>
          <w:tcPr>
            <w:tcW w:w="1353" w:type="dxa"/>
            <w:tcBorders>
              <w:top w:val="nil"/>
              <w:left w:val="nil"/>
              <w:bottom w:val="single" w:sz="4" w:space="0" w:color="auto"/>
              <w:right w:val="nil"/>
            </w:tcBorders>
            <w:shd w:val="clear" w:color="auto" w:fill="auto"/>
            <w:noWrap/>
            <w:vAlign w:val="bottom"/>
            <w:hideMark/>
          </w:tcPr>
          <w:p w14:paraId="026C40DB"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611.8(485.4)</w:t>
            </w:r>
          </w:p>
        </w:tc>
        <w:tc>
          <w:tcPr>
            <w:tcW w:w="1242" w:type="dxa"/>
            <w:tcBorders>
              <w:top w:val="nil"/>
              <w:left w:val="nil"/>
              <w:bottom w:val="single" w:sz="4" w:space="0" w:color="auto"/>
              <w:right w:val="nil"/>
            </w:tcBorders>
            <w:shd w:val="clear" w:color="auto" w:fill="auto"/>
            <w:noWrap/>
            <w:vAlign w:val="bottom"/>
            <w:hideMark/>
          </w:tcPr>
          <w:p w14:paraId="0E00C3D7"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84.0(113.0)</w:t>
            </w:r>
          </w:p>
        </w:tc>
        <w:tc>
          <w:tcPr>
            <w:tcW w:w="1353" w:type="dxa"/>
            <w:tcBorders>
              <w:top w:val="nil"/>
              <w:left w:val="nil"/>
              <w:bottom w:val="single" w:sz="4" w:space="0" w:color="auto"/>
              <w:right w:val="nil"/>
            </w:tcBorders>
            <w:shd w:val="clear" w:color="auto" w:fill="auto"/>
            <w:noWrap/>
            <w:vAlign w:val="bottom"/>
            <w:hideMark/>
          </w:tcPr>
          <w:p w14:paraId="4E65BE03"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109.2(329.0)</w:t>
            </w:r>
          </w:p>
        </w:tc>
        <w:tc>
          <w:tcPr>
            <w:tcW w:w="1274" w:type="dxa"/>
            <w:tcBorders>
              <w:top w:val="nil"/>
              <w:left w:val="nil"/>
              <w:bottom w:val="single" w:sz="4" w:space="0" w:color="auto"/>
              <w:right w:val="nil"/>
            </w:tcBorders>
            <w:shd w:val="clear" w:color="auto" w:fill="auto"/>
            <w:noWrap/>
            <w:vAlign w:val="bottom"/>
            <w:hideMark/>
          </w:tcPr>
          <w:p w14:paraId="30375EB2"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42.5(79.2)</w:t>
            </w:r>
          </w:p>
        </w:tc>
        <w:tc>
          <w:tcPr>
            <w:tcW w:w="1383" w:type="dxa"/>
            <w:tcBorders>
              <w:top w:val="nil"/>
              <w:left w:val="nil"/>
              <w:bottom w:val="single" w:sz="4" w:space="0" w:color="auto"/>
              <w:right w:val="nil"/>
            </w:tcBorders>
            <w:shd w:val="clear" w:color="auto" w:fill="auto"/>
            <w:noWrap/>
            <w:vAlign w:val="bottom"/>
            <w:hideMark/>
          </w:tcPr>
          <w:p w14:paraId="573891D4"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806.4(643.6)</w:t>
            </w:r>
          </w:p>
        </w:tc>
        <w:tc>
          <w:tcPr>
            <w:tcW w:w="1007" w:type="dxa"/>
            <w:tcBorders>
              <w:top w:val="nil"/>
              <w:left w:val="nil"/>
              <w:bottom w:val="single" w:sz="4" w:space="0" w:color="auto"/>
              <w:right w:val="nil"/>
            </w:tcBorders>
            <w:shd w:val="clear" w:color="auto" w:fill="auto"/>
            <w:noWrap/>
            <w:vAlign w:val="bottom"/>
            <w:hideMark/>
          </w:tcPr>
          <w:p w14:paraId="303F5094" w14:textId="77777777" w:rsidR="00180CE7" w:rsidRPr="00180CE7" w:rsidRDefault="00180CE7" w:rsidP="00180CE7">
            <w:pPr>
              <w:spacing w:after="0" w:line="240" w:lineRule="auto"/>
              <w:jc w:val="right"/>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 </w:t>
            </w:r>
          </w:p>
        </w:tc>
      </w:tr>
      <w:tr w:rsidR="00180CE7" w:rsidRPr="00180CE7" w14:paraId="5431D9CE" w14:textId="77777777" w:rsidTr="00317D03">
        <w:trPr>
          <w:trHeight w:val="300"/>
        </w:trPr>
        <w:tc>
          <w:tcPr>
            <w:tcW w:w="4438" w:type="dxa"/>
            <w:gridSpan w:val="3"/>
            <w:tcBorders>
              <w:top w:val="nil"/>
              <w:left w:val="nil"/>
              <w:bottom w:val="nil"/>
              <w:right w:val="nil"/>
            </w:tcBorders>
            <w:shd w:val="clear" w:color="auto" w:fill="auto"/>
            <w:noWrap/>
            <w:vAlign w:val="bottom"/>
            <w:hideMark/>
          </w:tcPr>
          <w:p w14:paraId="7540D9EF" w14:textId="77777777" w:rsidR="00180CE7" w:rsidRPr="00180CE7" w:rsidRDefault="00180CE7" w:rsidP="00180CE7">
            <w:pPr>
              <w:spacing w:after="0" w:line="240" w:lineRule="auto"/>
              <w:rPr>
                <w:rFonts w:ascii="Calibri" w:eastAsia="Times New Roman" w:hAnsi="Calibri" w:cs="Calibri"/>
                <w:color w:val="000000"/>
                <w:sz w:val="22"/>
                <w:lang w:eastAsia="en-GB"/>
              </w:rPr>
            </w:pPr>
            <w:r w:rsidRPr="00180CE7">
              <w:rPr>
                <w:rFonts w:ascii="Calibri" w:eastAsia="Times New Roman" w:hAnsi="Calibri" w:cs="Calibri"/>
                <w:color w:val="000000"/>
                <w:sz w:val="22"/>
                <w:lang w:eastAsia="en-GB"/>
              </w:rPr>
              <w:t xml:space="preserve">* Bootstrap t-test and </w:t>
            </w:r>
            <w:proofErr w:type="spellStart"/>
            <w:r w:rsidRPr="00180CE7">
              <w:rPr>
                <w:rFonts w:ascii="Calibri" w:eastAsia="Times New Roman" w:hAnsi="Calibri" w:cs="Calibri"/>
                <w:color w:val="000000"/>
                <w:sz w:val="22"/>
                <w:lang w:eastAsia="en-GB"/>
              </w:rPr>
              <w:t>anova</w:t>
            </w:r>
            <w:proofErr w:type="spellEnd"/>
            <w:r w:rsidRPr="00180CE7">
              <w:rPr>
                <w:rFonts w:ascii="Calibri" w:eastAsia="Times New Roman" w:hAnsi="Calibri" w:cs="Calibri"/>
                <w:color w:val="000000"/>
                <w:sz w:val="22"/>
                <w:lang w:eastAsia="en-GB"/>
              </w:rPr>
              <w:t xml:space="preserve"> on total cost</w:t>
            </w:r>
          </w:p>
        </w:tc>
        <w:tc>
          <w:tcPr>
            <w:tcW w:w="1353" w:type="dxa"/>
            <w:tcBorders>
              <w:top w:val="nil"/>
              <w:left w:val="nil"/>
              <w:bottom w:val="nil"/>
              <w:right w:val="nil"/>
            </w:tcBorders>
            <w:shd w:val="clear" w:color="auto" w:fill="auto"/>
            <w:noWrap/>
            <w:vAlign w:val="bottom"/>
            <w:hideMark/>
          </w:tcPr>
          <w:p w14:paraId="53F58BA7" w14:textId="77777777" w:rsidR="00180CE7" w:rsidRPr="00180CE7" w:rsidRDefault="00180CE7" w:rsidP="00180CE7">
            <w:pPr>
              <w:spacing w:after="0" w:line="240" w:lineRule="auto"/>
              <w:rPr>
                <w:rFonts w:ascii="Calibri" w:eastAsia="Times New Roman" w:hAnsi="Calibri" w:cs="Calibri"/>
                <w:color w:val="000000"/>
                <w:sz w:val="22"/>
                <w:lang w:eastAsia="en-GB"/>
              </w:rPr>
            </w:pPr>
          </w:p>
        </w:tc>
        <w:tc>
          <w:tcPr>
            <w:tcW w:w="1274" w:type="dxa"/>
            <w:tcBorders>
              <w:top w:val="nil"/>
              <w:left w:val="nil"/>
              <w:bottom w:val="nil"/>
              <w:right w:val="nil"/>
            </w:tcBorders>
            <w:shd w:val="clear" w:color="auto" w:fill="auto"/>
            <w:noWrap/>
            <w:vAlign w:val="bottom"/>
            <w:hideMark/>
          </w:tcPr>
          <w:p w14:paraId="0DFB59D1" w14:textId="77777777" w:rsidR="00180CE7" w:rsidRPr="00180CE7" w:rsidRDefault="00180CE7" w:rsidP="00180CE7">
            <w:pPr>
              <w:spacing w:after="0" w:line="240" w:lineRule="auto"/>
              <w:rPr>
                <w:rFonts w:eastAsia="Times New Roman" w:cs="Times New Roman"/>
                <w:sz w:val="20"/>
                <w:szCs w:val="20"/>
                <w:lang w:eastAsia="en-GB"/>
              </w:rPr>
            </w:pPr>
          </w:p>
        </w:tc>
        <w:tc>
          <w:tcPr>
            <w:tcW w:w="1383" w:type="dxa"/>
            <w:tcBorders>
              <w:top w:val="nil"/>
              <w:left w:val="nil"/>
              <w:bottom w:val="nil"/>
              <w:right w:val="nil"/>
            </w:tcBorders>
            <w:shd w:val="clear" w:color="auto" w:fill="auto"/>
            <w:noWrap/>
            <w:vAlign w:val="bottom"/>
            <w:hideMark/>
          </w:tcPr>
          <w:p w14:paraId="7EB159B9" w14:textId="77777777" w:rsidR="00180CE7" w:rsidRPr="00180CE7" w:rsidRDefault="00180CE7" w:rsidP="00180CE7">
            <w:pPr>
              <w:spacing w:after="0" w:line="240" w:lineRule="auto"/>
              <w:rPr>
                <w:rFonts w:eastAsia="Times New Roman" w:cs="Times New Roman"/>
                <w:sz w:val="20"/>
                <w:szCs w:val="20"/>
                <w:lang w:eastAsia="en-GB"/>
              </w:rPr>
            </w:pPr>
          </w:p>
        </w:tc>
        <w:tc>
          <w:tcPr>
            <w:tcW w:w="1007" w:type="dxa"/>
            <w:tcBorders>
              <w:top w:val="nil"/>
              <w:left w:val="nil"/>
              <w:bottom w:val="nil"/>
              <w:right w:val="nil"/>
            </w:tcBorders>
            <w:shd w:val="clear" w:color="auto" w:fill="auto"/>
            <w:noWrap/>
            <w:vAlign w:val="bottom"/>
            <w:hideMark/>
          </w:tcPr>
          <w:p w14:paraId="74CC1440" w14:textId="77777777" w:rsidR="00180CE7" w:rsidRPr="00180CE7" w:rsidRDefault="00180CE7" w:rsidP="00180CE7">
            <w:pPr>
              <w:spacing w:after="0" w:line="240" w:lineRule="auto"/>
              <w:rPr>
                <w:rFonts w:eastAsia="Times New Roman" w:cs="Times New Roman"/>
                <w:sz w:val="20"/>
                <w:szCs w:val="20"/>
                <w:lang w:eastAsia="en-GB"/>
              </w:rPr>
            </w:pPr>
          </w:p>
        </w:tc>
      </w:tr>
      <w:bookmarkEnd w:id="10"/>
    </w:tbl>
    <w:p w14:paraId="0B99B249" w14:textId="77777777" w:rsidR="00BE0523" w:rsidRDefault="00BE0523" w:rsidP="00BE0523"/>
    <w:p w14:paraId="2259424F" w14:textId="77777777" w:rsidR="00A970B0" w:rsidRPr="00ED53A0" w:rsidRDefault="00A970B0" w:rsidP="00F7099B">
      <w:pPr>
        <w:pStyle w:val="Heading1"/>
        <w:rPr>
          <w:rFonts w:eastAsia="Calibri"/>
          <w:b w:val="0"/>
        </w:rPr>
      </w:pPr>
      <w:r w:rsidRPr="00ED53A0">
        <w:rPr>
          <w:rFonts w:eastAsia="Calibri"/>
        </w:rPr>
        <w:t>Discussion</w:t>
      </w:r>
      <w:bookmarkEnd w:id="11"/>
    </w:p>
    <w:p w14:paraId="5551957B" w14:textId="77777777" w:rsidR="00DB0D56" w:rsidRDefault="00DB0D56" w:rsidP="00DB0D56">
      <w:pPr>
        <w:pStyle w:val="Heading2"/>
        <w:rPr>
          <w:rFonts w:eastAsia="Calibri"/>
        </w:rPr>
      </w:pPr>
      <w:r>
        <w:rPr>
          <w:rFonts w:eastAsia="Calibri"/>
        </w:rPr>
        <w:t>Statement of principal findings</w:t>
      </w:r>
    </w:p>
    <w:p w14:paraId="5C413E43" w14:textId="4E236371" w:rsidR="00EF1DBF" w:rsidRPr="000F4E06" w:rsidRDefault="00A01789" w:rsidP="00A970B0">
      <w:pPr>
        <w:spacing w:before="120" w:after="240" w:line="480" w:lineRule="auto"/>
        <w:rPr>
          <w:rFonts w:eastAsia="Calibri" w:cs="Times New Roman"/>
          <w:szCs w:val="24"/>
        </w:rPr>
      </w:pPr>
      <w:r>
        <w:rPr>
          <w:rFonts w:eastAsia="Calibri" w:cs="Times New Roman"/>
          <w:szCs w:val="24"/>
        </w:rPr>
        <w:t xml:space="preserve">The objective of this study was to estimate the annual healthcare resource utilisation and costs associated with back pain in UK primary care setting. We found that </w:t>
      </w:r>
      <w:r w:rsidR="002B7D03">
        <w:rPr>
          <w:rFonts w:eastAsia="Calibri" w:cs="Times New Roman"/>
          <w:szCs w:val="24"/>
        </w:rPr>
        <w:t>the a</w:t>
      </w:r>
      <w:r w:rsidR="00CA50AA">
        <w:rPr>
          <w:rFonts w:eastAsia="Calibri" w:cs="Times New Roman"/>
          <w:szCs w:val="24"/>
        </w:rPr>
        <w:t xml:space="preserve">nnual healthcare costs of patients with back pain were estimated to be double those of </w:t>
      </w:r>
      <w:r w:rsidR="002B7D03">
        <w:rPr>
          <w:rFonts w:eastAsia="Calibri" w:cs="Times New Roman"/>
          <w:szCs w:val="24"/>
        </w:rPr>
        <w:t xml:space="preserve">the </w:t>
      </w:r>
      <w:r w:rsidR="00CA50AA">
        <w:rPr>
          <w:rFonts w:eastAsia="Calibri" w:cs="Times New Roman"/>
          <w:szCs w:val="24"/>
        </w:rPr>
        <w:t>matched controls</w:t>
      </w:r>
      <w:r w:rsidR="00D26EFF">
        <w:rPr>
          <w:rFonts w:eastAsia="Calibri" w:cs="Times New Roman"/>
          <w:szCs w:val="24"/>
        </w:rPr>
        <w:t xml:space="preserve"> (63 million vs 30.5 million)</w:t>
      </w:r>
      <w:r w:rsidR="00CA50AA">
        <w:rPr>
          <w:rFonts w:eastAsia="Calibri" w:cs="Times New Roman"/>
          <w:szCs w:val="24"/>
        </w:rPr>
        <w:t xml:space="preserve">. </w:t>
      </w:r>
      <w:r w:rsidR="00347F07">
        <w:rPr>
          <w:rFonts w:eastAsia="Calibri" w:cs="Times New Roman"/>
          <w:szCs w:val="24"/>
        </w:rPr>
        <w:t xml:space="preserve">Our estimates would be equivalent to £3.2 billion at a </w:t>
      </w:r>
      <w:r w:rsidR="00347F07">
        <w:rPr>
          <w:rFonts w:eastAsia="Calibri" w:cs="Times New Roman"/>
          <w:szCs w:val="24"/>
        </w:rPr>
        <w:lastRenderedPageBreak/>
        <w:t>national level, hence revealing</w:t>
      </w:r>
      <w:r w:rsidR="00347F07" w:rsidRPr="00347F07">
        <w:rPr>
          <w:rFonts w:eastAsia="Calibri" w:cs="Times New Roman"/>
          <w:szCs w:val="24"/>
        </w:rPr>
        <w:t xml:space="preserve"> a significant economic </w:t>
      </w:r>
      <w:r w:rsidR="00B24B20">
        <w:rPr>
          <w:rFonts w:eastAsia="Calibri" w:cs="Times New Roman"/>
          <w:szCs w:val="24"/>
        </w:rPr>
        <w:t>impact</w:t>
      </w:r>
      <w:r w:rsidR="00347F07" w:rsidRPr="00347F07">
        <w:rPr>
          <w:rFonts w:eastAsia="Calibri" w:cs="Times New Roman"/>
          <w:szCs w:val="24"/>
        </w:rPr>
        <w:t xml:space="preserve"> of back pain to the National Health Service (NHS).</w:t>
      </w:r>
      <w:r w:rsidR="00B24B20">
        <w:rPr>
          <w:rFonts w:eastAsia="Calibri" w:cs="Times New Roman"/>
          <w:szCs w:val="24"/>
        </w:rPr>
        <w:t xml:space="preserve"> The full economic burden is likely to be greater if secondary care costs such as inpatient and outpatient costs, and indirect costs of productivity loss</w:t>
      </w:r>
      <w:r w:rsidR="00DF6F55">
        <w:rPr>
          <w:rFonts w:eastAsia="Calibri" w:cs="Times New Roman"/>
          <w:szCs w:val="24"/>
        </w:rPr>
        <w:t xml:space="preserve"> through absence and reduce</w:t>
      </w:r>
      <w:r w:rsidR="00FA7035">
        <w:rPr>
          <w:rFonts w:eastAsia="Calibri" w:cs="Times New Roman"/>
          <w:szCs w:val="24"/>
        </w:rPr>
        <w:t>d</w:t>
      </w:r>
      <w:r w:rsidR="00DF6F55">
        <w:rPr>
          <w:rFonts w:eastAsia="Calibri" w:cs="Times New Roman"/>
          <w:szCs w:val="24"/>
        </w:rPr>
        <w:t xml:space="preserve"> work </w:t>
      </w:r>
      <w:r w:rsidR="00FA7035">
        <w:rPr>
          <w:rFonts w:eastAsia="Calibri" w:cs="Times New Roman"/>
          <w:szCs w:val="24"/>
        </w:rPr>
        <w:t>performance</w:t>
      </w:r>
      <w:r w:rsidR="00B24B20">
        <w:rPr>
          <w:rFonts w:eastAsia="Calibri" w:cs="Times New Roman"/>
          <w:szCs w:val="24"/>
        </w:rPr>
        <w:t xml:space="preserve"> are </w:t>
      </w:r>
      <w:proofErr w:type="gramStart"/>
      <w:r w:rsidR="00B24B20">
        <w:rPr>
          <w:rFonts w:eastAsia="Calibri" w:cs="Times New Roman"/>
          <w:szCs w:val="24"/>
        </w:rPr>
        <w:t>taken into account</w:t>
      </w:r>
      <w:proofErr w:type="gramEnd"/>
      <w:r w:rsidR="00B24B20">
        <w:rPr>
          <w:rFonts w:eastAsia="Calibri" w:cs="Times New Roman"/>
          <w:szCs w:val="24"/>
        </w:rPr>
        <w:t>.</w:t>
      </w:r>
      <w:r w:rsidR="00EE7DB2">
        <w:rPr>
          <w:rFonts w:eastAsia="Calibri" w:cs="Times New Roman"/>
          <w:szCs w:val="24"/>
        </w:rPr>
        <w:t xml:space="preserve"> </w:t>
      </w:r>
      <w:bookmarkStart w:id="12" w:name="_Hlk111368315"/>
      <w:r w:rsidR="004202D8" w:rsidRPr="000F4E06">
        <w:rPr>
          <w:rFonts w:eastAsia="Calibri" w:cs="Times New Roman"/>
          <w:szCs w:val="24"/>
        </w:rPr>
        <w:t xml:space="preserve">Our prescription cost estimates </w:t>
      </w:r>
      <w:r w:rsidR="0000732A" w:rsidRPr="000F4E06">
        <w:rPr>
          <w:rFonts w:eastAsia="Calibri" w:cs="Times New Roman"/>
          <w:szCs w:val="24"/>
        </w:rPr>
        <w:t>may also represent</w:t>
      </w:r>
      <w:r w:rsidR="004202D8" w:rsidRPr="000F4E06">
        <w:rPr>
          <w:rFonts w:eastAsia="Calibri" w:cs="Times New Roman"/>
          <w:szCs w:val="24"/>
        </w:rPr>
        <w:t xml:space="preserve"> a conservative estimate </w:t>
      </w:r>
      <w:r w:rsidR="0046571E" w:rsidRPr="000F4E06">
        <w:rPr>
          <w:rFonts w:eastAsia="Calibri" w:cs="Times New Roman"/>
          <w:szCs w:val="24"/>
        </w:rPr>
        <w:t>given that some ant</w:t>
      </w:r>
      <w:r w:rsidR="00783C5C" w:rsidRPr="000F4E06">
        <w:rPr>
          <w:rFonts w:eastAsia="Calibri" w:cs="Times New Roman"/>
          <w:szCs w:val="24"/>
        </w:rPr>
        <w:t>i</w:t>
      </w:r>
      <w:r w:rsidR="0046571E" w:rsidRPr="000F4E06">
        <w:rPr>
          <w:rFonts w:eastAsia="Calibri" w:cs="Times New Roman"/>
          <w:szCs w:val="24"/>
        </w:rPr>
        <w:t xml:space="preserve">depressant </w:t>
      </w:r>
      <w:r w:rsidR="008C6818" w:rsidRPr="000F4E06">
        <w:rPr>
          <w:rFonts w:eastAsia="Calibri" w:cs="Times New Roman"/>
          <w:szCs w:val="24"/>
        </w:rPr>
        <w:t>medication types</w:t>
      </w:r>
      <w:r w:rsidR="007443CF" w:rsidRPr="000F4E06">
        <w:rPr>
          <w:rFonts w:eastAsia="Calibri" w:cs="Times New Roman"/>
          <w:szCs w:val="24"/>
        </w:rPr>
        <w:t xml:space="preserve"> such as</w:t>
      </w:r>
      <w:r w:rsidR="004202D8" w:rsidRPr="000F4E06">
        <w:rPr>
          <w:rFonts w:eastAsia="Calibri" w:cs="Times New Roman"/>
          <w:szCs w:val="24"/>
        </w:rPr>
        <w:t xml:space="preserve"> </w:t>
      </w:r>
      <w:r w:rsidR="00994115" w:rsidRPr="000F4E06">
        <w:rPr>
          <w:rFonts w:eastAsia="Calibri" w:cs="Times New Roman"/>
          <w:szCs w:val="24"/>
        </w:rPr>
        <w:t>selective serotonin reuptake inhibitors</w:t>
      </w:r>
      <w:r w:rsidR="007443CF" w:rsidRPr="000F4E06">
        <w:rPr>
          <w:rFonts w:eastAsia="Calibri" w:cs="Times New Roman"/>
          <w:szCs w:val="24"/>
        </w:rPr>
        <w:t xml:space="preserve"> (SSRIs) and</w:t>
      </w:r>
      <w:r w:rsidR="00994115" w:rsidRPr="000F4E06">
        <w:rPr>
          <w:rFonts w:eastAsia="Calibri" w:cs="Times New Roman"/>
          <w:szCs w:val="24"/>
        </w:rPr>
        <w:t xml:space="preserve"> serotonin–norepinephrine reuptake inhibitors</w:t>
      </w:r>
      <w:r w:rsidR="007443CF" w:rsidRPr="000F4E06">
        <w:rPr>
          <w:rFonts w:eastAsia="Calibri" w:cs="Times New Roman"/>
          <w:szCs w:val="24"/>
        </w:rPr>
        <w:t xml:space="preserve"> (SNRIs) were excluded based </w:t>
      </w:r>
      <w:r w:rsidR="00154082" w:rsidRPr="000F4E06">
        <w:rPr>
          <w:rFonts w:eastAsia="Calibri" w:cs="Times New Roman"/>
          <w:szCs w:val="24"/>
        </w:rPr>
        <w:t xml:space="preserve">on the prevailing guideline </w:t>
      </w:r>
      <w:r w:rsidR="00B732CD" w:rsidRPr="000F4E06">
        <w:rPr>
          <w:rFonts w:eastAsia="Calibri" w:cs="Times New Roman"/>
          <w:szCs w:val="24"/>
        </w:rPr>
        <w:t>for LBP</w:t>
      </w:r>
      <w:r w:rsidR="009B04CF" w:rsidRPr="000F4E06">
        <w:rPr>
          <w:rFonts w:eastAsia="Calibri" w:cs="Times New Roman"/>
          <w:szCs w:val="24"/>
        </w:rPr>
        <w:t xml:space="preserve"> </w:t>
      </w:r>
      <w:r w:rsidR="00CB2FD2" w:rsidRPr="000F4E06">
        <w:rPr>
          <w:rFonts w:eastAsia="Calibri" w:cs="Times New Roman"/>
          <w:szCs w:val="24"/>
        </w:rPr>
        <w:fldChar w:fldCharType="begin"/>
      </w:r>
      <w:r w:rsidR="00CB2FD2" w:rsidRPr="000F4E06">
        <w:rPr>
          <w:rFonts w:eastAsia="Calibri" w:cs="Times New Roman"/>
          <w:szCs w:val="24"/>
        </w:rPr>
        <w:instrText xml:space="preserve"> ADDIN EN.CITE &lt;EndNote&gt;&lt;Cite&gt;&lt;Year&gt;2016&lt;/Year&gt;&lt;RecNum&gt;377&lt;/RecNum&gt;&lt;DisplayText&gt;(19)&lt;/DisplayText&gt;&lt;record&gt;&lt;rec-number&gt;377&lt;/rec-number&gt;&lt;foreign-keys&gt;&lt;key app="EN" db-id="wvr0axtt1w9rr8efern5p95ofraatp209r09" timestamp="1679629679"&gt;377&lt;/key&gt;&lt;/foreign-keys&gt;&lt;ref-type name="Web Page"&gt;12&lt;/ref-type&gt;&lt;contributors&gt;&lt;/contributors&gt;&lt;titles&gt;&lt;title&gt;National Institute for Health and Care Excellence (NICE), Low back pain and sciatica in over 16s: assessment and management, NICE guideline [NG59]. &lt;/title&gt;&lt;/titles&gt;&lt;number&gt;September 2017&lt;/number&gt;&lt;dates&gt;&lt;year&gt;2016&lt;/year&gt;&lt;/dates&gt;&lt;urls&gt;&lt;related-urls&gt;&lt;url&gt;https://www.nice.org.uk/guidance/ng59/chapter/Recommendations&lt;/url&gt;&lt;/related-urls&gt;&lt;/urls&gt;&lt;/record&gt;&lt;/Cite&gt;&lt;/EndNote&gt;</w:instrText>
      </w:r>
      <w:r w:rsidR="00CB2FD2" w:rsidRPr="000F4E06">
        <w:rPr>
          <w:rFonts w:eastAsia="Calibri" w:cs="Times New Roman"/>
          <w:szCs w:val="24"/>
        </w:rPr>
        <w:fldChar w:fldCharType="separate"/>
      </w:r>
      <w:r w:rsidR="00CB2FD2" w:rsidRPr="000F4E06">
        <w:rPr>
          <w:rFonts w:eastAsia="Calibri" w:cs="Times New Roman"/>
          <w:noProof/>
          <w:szCs w:val="24"/>
        </w:rPr>
        <w:t>(19)</w:t>
      </w:r>
      <w:r w:rsidR="00CB2FD2" w:rsidRPr="000F4E06">
        <w:rPr>
          <w:rFonts w:eastAsia="Calibri" w:cs="Times New Roman"/>
          <w:szCs w:val="24"/>
        </w:rPr>
        <w:fldChar w:fldCharType="end"/>
      </w:r>
      <w:r w:rsidR="00CB4338" w:rsidRPr="000F4E06">
        <w:rPr>
          <w:rFonts w:eastAsia="Calibri" w:cs="Times New Roman"/>
          <w:szCs w:val="24"/>
        </w:rPr>
        <w:t>;</w:t>
      </w:r>
      <w:r w:rsidR="00D96934" w:rsidRPr="000F4E06">
        <w:rPr>
          <w:rFonts w:eastAsia="Calibri" w:cs="Times New Roman"/>
          <w:szCs w:val="24"/>
        </w:rPr>
        <w:t xml:space="preserve"> nevertheless,</w:t>
      </w:r>
      <w:r w:rsidR="00CB4338" w:rsidRPr="000F4E06">
        <w:rPr>
          <w:rFonts w:eastAsia="Calibri" w:cs="Times New Roman"/>
          <w:szCs w:val="24"/>
        </w:rPr>
        <w:t xml:space="preserve"> t</w:t>
      </w:r>
      <w:r w:rsidR="00686B1B" w:rsidRPr="000F4E06">
        <w:rPr>
          <w:rFonts w:eastAsia="Calibri" w:cs="Times New Roman"/>
          <w:szCs w:val="24"/>
        </w:rPr>
        <w:t xml:space="preserve">hese drugs </w:t>
      </w:r>
      <w:r w:rsidR="008A1EBE" w:rsidRPr="000F4E06">
        <w:rPr>
          <w:rFonts w:eastAsia="Calibri" w:cs="Times New Roman"/>
          <w:szCs w:val="24"/>
        </w:rPr>
        <w:t>may</w:t>
      </w:r>
      <w:r w:rsidR="00630AAE" w:rsidRPr="000F4E06">
        <w:rPr>
          <w:rFonts w:eastAsia="Calibri" w:cs="Times New Roman"/>
          <w:szCs w:val="24"/>
        </w:rPr>
        <w:t xml:space="preserve"> </w:t>
      </w:r>
      <w:r w:rsidR="00A361D9" w:rsidRPr="000F4E06">
        <w:rPr>
          <w:rFonts w:eastAsia="Calibri" w:cs="Times New Roman"/>
          <w:szCs w:val="24"/>
        </w:rPr>
        <w:t xml:space="preserve">still </w:t>
      </w:r>
      <w:r w:rsidR="00630AAE" w:rsidRPr="000F4E06">
        <w:rPr>
          <w:rFonts w:eastAsia="Calibri" w:cs="Times New Roman"/>
          <w:szCs w:val="24"/>
        </w:rPr>
        <w:t xml:space="preserve">be relevant for </w:t>
      </w:r>
      <w:r w:rsidR="00B732CD" w:rsidRPr="000F4E06">
        <w:rPr>
          <w:rFonts w:eastAsia="Calibri" w:cs="Times New Roman"/>
          <w:szCs w:val="24"/>
        </w:rPr>
        <w:t xml:space="preserve">some </w:t>
      </w:r>
      <w:r w:rsidR="00630AAE" w:rsidRPr="000F4E06">
        <w:rPr>
          <w:rFonts w:eastAsia="Calibri" w:cs="Times New Roman"/>
          <w:szCs w:val="24"/>
        </w:rPr>
        <w:t>chronic patients.</w:t>
      </w:r>
      <w:r w:rsidR="00CA6EA5">
        <w:rPr>
          <w:rFonts w:eastAsia="Calibri" w:cs="Times New Roman"/>
          <w:szCs w:val="24"/>
        </w:rPr>
        <w:t xml:space="preserve"> </w:t>
      </w:r>
      <w:r w:rsidR="00FF18AC" w:rsidRPr="00F2137A">
        <w:rPr>
          <w:rFonts w:eastAsia="Calibri" w:cs="Times New Roman"/>
          <w:szCs w:val="24"/>
        </w:rPr>
        <w:t xml:space="preserve">It is also possible that </w:t>
      </w:r>
      <w:r w:rsidR="003C2FAB" w:rsidRPr="00F2137A">
        <w:rPr>
          <w:rFonts w:eastAsia="Calibri" w:cs="Times New Roman"/>
          <w:szCs w:val="24"/>
        </w:rPr>
        <w:t xml:space="preserve">some </w:t>
      </w:r>
      <w:r w:rsidR="00FF18AC" w:rsidRPr="00F2137A">
        <w:rPr>
          <w:rFonts w:eastAsia="Calibri" w:cs="Times New Roman"/>
          <w:szCs w:val="24"/>
        </w:rPr>
        <w:t xml:space="preserve">patients with back pain </w:t>
      </w:r>
      <w:r w:rsidR="0049163E" w:rsidRPr="00F2137A">
        <w:rPr>
          <w:rFonts w:eastAsia="Calibri" w:cs="Times New Roman"/>
          <w:szCs w:val="24"/>
        </w:rPr>
        <w:t>we</w:t>
      </w:r>
      <w:r w:rsidR="00307E1D" w:rsidRPr="00F2137A">
        <w:rPr>
          <w:rFonts w:eastAsia="Calibri" w:cs="Times New Roman"/>
          <w:szCs w:val="24"/>
        </w:rPr>
        <w:t>re</w:t>
      </w:r>
      <w:r w:rsidR="00FF18AC" w:rsidRPr="00F2137A">
        <w:rPr>
          <w:rFonts w:eastAsia="Calibri" w:cs="Times New Roman"/>
          <w:szCs w:val="24"/>
        </w:rPr>
        <w:t xml:space="preserve"> prescribed other medications more often than controls</w:t>
      </w:r>
      <w:r w:rsidR="0049163E" w:rsidRPr="00F2137A">
        <w:rPr>
          <w:rFonts w:eastAsia="Calibri" w:cs="Times New Roman"/>
          <w:szCs w:val="24"/>
        </w:rPr>
        <w:t xml:space="preserve"> </w:t>
      </w:r>
      <w:r w:rsidR="00BA09B0" w:rsidRPr="00F2137A">
        <w:rPr>
          <w:rFonts w:eastAsia="Calibri" w:cs="Times New Roman"/>
          <w:szCs w:val="24"/>
        </w:rPr>
        <w:t xml:space="preserve">due to back pain related non-painful conditions </w:t>
      </w:r>
      <w:r w:rsidR="00655FAC" w:rsidRPr="00F2137A">
        <w:rPr>
          <w:rFonts w:eastAsia="Calibri" w:cs="Times New Roman"/>
          <w:szCs w:val="24"/>
        </w:rPr>
        <w:t xml:space="preserve">which may have </w:t>
      </w:r>
      <w:r w:rsidR="00B35448" w:rsidRPr="00F2137A">
        <w:rPr>
          <w:rFonts w:eastAsia="Calibri" w:cs="Times New Roman"/>
          <w:szCs w:val="24"/>
        </w:rPr>
        <w:t>le</w:t>
      </w:r>
      <w:r w:rsidR="00655FAC" w:rsidRPr="00F2137A">
        <w:rPr>
          <w:rFonts w:eastAsia="Calibri" w:cs="Times New Roman"/>
          <w:szCs w:val="24"/>
        </w:rPr>
        <w:t>d</w:t>
      </w:r>
      <w:r w:rsidR="00B35448" w:rsidRPr="00F2137A">
        <w:rPr>
          <w:rFonts w:eastAsia="Calibri" w:cs="Times New Roman"/>
          <w:szCs w:val="24"/>
        </w:rPr>
        <w:t xml:space="preserve"> to</w:t>
      </w:r>
      <w:r w:rsidR="00ED70A2" w:rsidRPr="00F2137A">
        <w:rPr>
          <w:rFonts w:eastAsia="Calibri" w:cs="Times New Roman"/>
          <w:szCs w:val="24"/>
        </w:rPr>
        <w:t xml:space="preserve"> further underestimation of costs. However, this </w:t>
      </w:r>
      <w:r w:rsidR="00C045B9" w:rsidRPr="00F2137A">
        <w:rPr>
          <w:rFonts w:eastAsia="Calibri" w:cs="Times New Roman"/>
          <w:szCs w:val="24"/>
        </w:rPr>
        <w:t>effect is likely to be small as the two groups have been matched by existing comorbidities.</w:t>
      </w:r>
    </w:p>
    <w:p w14:paraId="35E08625" w14:textId="006C490C" w:rsidR="00A970B0" w:rsidRDefault="00505ECD" w:rsidP="00A970B0">
      <w:pPr>
        <w:spacing w:before="120" w:after="240" w:line="480" w:lineRule="auto"/>
        <w:rPr>
          <w:rFonts w:eastAsia="Calibri" w:cs="Times New Roman"/>
          <w:szCs w:val="24"/>
        </w:rPr>
      </w:pPr>
      <w:r w:rsidRPr="000F4E06">
        <w:rPr>
          <w:rFonts w:eastAsia="Calibri" w:cs="Times New Roman"/>
          <w:szCs w:val="24"/>
        </w:rPr>
        <w:t xml:space="preserve">The sensitivity analysis supported our main findings although there were some discrepancies. We observed a drop in mean prescription cost for the cases in the sensitivity analysis compared to the main analysis. </w:t>
      </w:r>
      <w:r w:rsidR="00A970B0" w:rsidRPr="00ED53A0">
        <w:rPr>
          <w:rFonts w:eastAsia="Calibri" w:cs="Times New Roman"/>
          <w:szCs w:val="24"/>
        </w:rPr>
        <w:t xml:space="preserve">The </w:t>
      </w:r>
      <w:r w:rsidR="00EE7DB2">
        <w:rPr>
          <w:rFonts w:eastAsia="Calibri" w:cs="Times New Roman"/>
          <w:szCs w:val="24"/>
        </w:rPr>
        <w:t>study</w:t>
      </w:r>
      <w:r w:rsidR="00A970B0" w:rsidRPr="00ED53A0">
        <w:rPr>
          <w:rFonts w:eastAsia="Calibri" w:cs="Times New Roman"/>
          <w:szCs w:val="24"/>
        </w:rPr>
        <w:t xml:space="preserve"> also provided evidence that the reported </w:t>
      </w:r>
      <w:r w:rsidR="00504D78" w:rsidRPr="00504D78">
        <w:rPr>
          <w:rFonts w:eastAsia="Calibri" w:cs="Times New Roman"/>
          <w:szCs w:val="24"/>
        </w:rPr>
        <w:t xml:space="preserve">primary care utilisation and </w:t>
      </w:r>
      <w:r w:rsidR="00A970B0" w:rsidRPr="00ED53A0">
        <w:rPr>
          <w:rFonts w:eastAsia="Calibri" w:cs="Times New Roman"/>
          <w:szCs w:val="24"/>
        </w:rPr>
        <w:t xml:space="preserve">costs </w:t>
      </w:r>
      <w:r w:rsidR="00504D78">
        <w:rPr>
          <w:rFonts w:eastAsia="Calibri" w:cs="Times New Roman"/>
          <w:szCs w:val="24"/>
        </w:rPr>
        <w:t>in patients with</w:t>
      </w:r>
      <w:r w:rsidR="00A970B0" w:rsidRPr="00ED53A0">
        <w:rPr>
          <w:rFonts w:eastAsia="Calibri" w:cs="Times New Roman"/>
          <w:szCs w:val="24"/>
        </w:rPr>
        <w:t xml:space="preserve"> back pain varied greatly </w:t>
      </w:r>
      <w:r w:rsidR="00EE7DB2">
        <w:rPr>
          <w:rFonts w:eastAsia="Calibri" w:cs="Times New Roman"/>
          <w:szCs w:val="24"/>
        </w:rPr>
        <w:t>by patient and clinical characteristics</w:t>
      </w:r>
      <w:r w:rsidR="00A970B0" w:rsidRPr="00ED53A0">
        <w:rPr>
          <w:rFonts w:eastAsia="Calibri" w:cs="Times New Roman"/>
          <w:szCs w:val="24"/>
        </w:rPr>
        <w:t xml:space="preserve">. </w:t>
      </w:r>
      <w:bookmarkEnd w:id="12"/>
      <w:r w:rsidR="00EE7DB2">
        <w:rPr>
          <w:rFonts w:eastAsia="Calibri" w:cs="Times New Roman"/>
          <w:szCs w:val="24"/>
        </w:rPr>
        <w:t xml:space="preserve">Female </w:t>
      </w:r>
      <w:r w:rsidR="00A970B0" w:rsidRPr="00ED53A0">
        <w:rPr>
          <w:rFonts w:eastAsia="Calibri" w:cs="Times New Roman"/>
          <w:szCs w:val="24"/>
        </w:rPr>
        <w:t>gender, increasing age, higher Townsend index</w:t>
      </w:r>
      <w:r w:rsidR="00EF616C">
        <w:rPr>
          <w:rFonts w:eastAsia="Calibri" w:cs="Times New Roman"/>
          <w:szCs w:val="24"/>
        </w:rPr>
        <w:t>,</w:t>
      </w:r>
      <w:r w:rsidR="00A970B0" w:rsidRPr="00ED53A0">
        <w:rPr>
          <w:rFonts w:eastAsia="Calibri" w:cs="Times New Roman"/>
          <w:szCs w:val="24"/>
        </w:rPr>
        <w:t xml:space="preserve"> and higher </w:t>
      </w:r>
      <w:r w:rsidR="00EF616C">
        <w:rPr>
          <w:rFonts w:eastAsia="Calibri" w:cs="Times New Roman"/>
          <w:szCs w:val="24"/>
        </w:rPr>
        <w:t>comorbidity index</w:t>
      </w:r>
      <w:r w:rsidR="00A970B0" w:rsidRPr="00ED53A0">
        <w:rPr>
          <w:rFonts w:eastAsia="Calibri" w:cs="Times New Roman"/>
          <w:szCs w:val="24"/>
        </w:rPr>
        <w:t xml:space="preserve"> </w:t>
      </w:r>
      <w:r w:rsidR="00EE7DB2">
        <w:rPr>
          <w:rFonts w:eastAsia="Calibri" w:cs="Times New Roman"/>
          <w:szCs w:val="24"/>
        </w:rPr>
        <w:t>were all found to be</w:t>
      </w:r>
      <w:r w:rsidR="00A970B0" w:rsidRPr="00ED53A0">
        <w:rPr>
          <w:rFonts w:eastAsia="Calibri" w:cs="Times New Roman"/>
          <w:szCs w:val="24"/>
        </w:rPr>
        <w:t xml:space="preserve"> associated with increas</w:t>
      </w:r>
      <w:r w:rsidR="00EE7DB2">
        <w:rPr>
          <w:rFonts w:eastAsia="Calibri" w:cs="Times New Roman"/>
          <w:szCs w:val="24"/>
        </w:rPr>
        <w:t>ed healthcare costs in patients with back pain.</w:t>
      </w:r>
      <w:r w:rsidR="00A970B0" w:rsidRPr="00ED53A0">
        <w:rPr>
          <w:rFonts w:eastAsia="Calibri" w:cs="Times New Roman"/>
          <w:szCs w:val="24"/>
        </w:rPr>
        <w:t xml:space="preserve"> </w:t>
      </w:r>
    </w:p>
    <w:p w14:paraId="018719F4" w14:textId="77777777" w:rsidR="00A970B0" w:rsidRPr="00ED53A0" w:rsidRDefault="00A970B0" w:rsidP="00F7099B">
      <w:pPr>
        <w:pStyle w:val="Heading2"/>
        <w:rPr>
          <w:rFonts w:eastAsia="Calibri"/>
          <w:b w:val="0"/>
        </w:rPr>
      </w:pPr>
      <w:bookmarkStart w:id="13" w:name="_Toc15458466"/>
      <w:r w:rsidRPr="00ED53A0">
        <w:rPr>
          <w:rFonts w:eastAsia="Calibri"/>
        </w:rPr>
        <w:t>Strengths and limitations of the study</w:t>
      </w:r>
      <w:bookmarkEnd w:id="13"/>
    </w:p>
    <w:p w14:paraId="7677CABB" w14:textId="6D043774" w:rsidR="00D27C10" w:rsidRDefault="00A01789" w:rsidP="00A970B0">
      <w:pPr>
        <w:spacing w:before="120" w:after="240" w:line="480" w:lineRule="auto"/>
        <w:rPr>
          <w:rFonts w:eastAsia="Calibri" w:cs="Times New Roman"/>
          <w:szCs w:val="24"/>
        </w:rPr>
      </w:pPr>
      <w:r w:rsidRPr="00A01789">
        <w:rPr>
          <w:rFonts w:eastAsia="Calibri" w:cs="Times New Roman"/>
          <w:szCs w:val="24"/>
        </w:rPr>
        <w:t xml:space="preserve">This is the first comprehensive study of </w:t>
      </w:r>
      <w:r w:rsidR="00FA7035">
        <w:rPr>
          <w:rFonts w:eastAsia="Calibri" w:cs="Times New Roman"/>
          <w:szCs w:val="24"/>
        </w:rPr>
        <w:t>the direct medical</w:t>
      </w:r>
      <w:r w:rsidRPr="00A01789">
        <w:rPr>
          <w:rFonts w:eastAsia="Calibri" w:cs="Times New Roman"/>
          <w:szCs w:val="24"/>
        </w:rPr>
        <w:t xml:space="preserve"> costs in those with back pain in UK primary care. </w:t>
      </w:r>
      <w:r w:rsidR="00C05D9E">
        <w:rPr>
          <w:rFonts w:eastAsia="Calibri" w:cs="Times New Roman"/>
          <w:szCs w:val="24"/>
        </w:rPr>
        <w:t>Our</w:t>
      </w:r>
      <w:r w:rsidR="00A970B0" w:rsidRPr="00ED53A0">
        <w:rPr>
          <w:rFonts w:eastAsia="Calibri" w:cs="Times New Roman"/>
          <w:szCs w:val="24"/>
        </w:rPr>
        <w:t xml:space="preserve"> study provided the first estimates of</w:t>
      </w:r>
      <w:r w:rsidR="00C05D9E">
        <w:rPr>
          <w:rFonts w:eastAsia="Calibri" w:cs="Times New Roman"/>
          <w:szCs w:val="24"/>
        </w:rPr>
        <w:t xml:space="preserve"> healthcare resource utilisation</w:t>
      </w:r>
      <w:r w:rsidR="00A970B0" w:rsidRPr="00ED53A0">
        <w:rPr>
          <w:rFonts w:eastAsia="Calibri" w:cs="Times New Roman"/>
          <w:szCs w:val="24"/>
        </w:rPr>
        <w:t xml:space="preserve"> and costs associated with a broad range of back pain diagnoses using one of the largest primary care databases in the UK. </w:t>
      </w:r>
      <w:r w:rsidR="005E1963">
        <w:rPr>
          <w:rFonts w:eastAsia="Calibri" w:cs="Times New Roman"/>
          <w:szCs w:val="24"/>
        </w:rPr>
        <w:t>Given the large sample used</w:t>
      </w:r>
      <w:r w:rsidR="00A970B0" w:rsidRPr="00ED53A0">
        <w:rPr>
          <w:rFonts w:eastAsia="Calibri" w:cs="Times New Roman"/>
          <w:szCs w:val="24"/>
        </w:rPr>
        <w:t xml:space="preserve"> </w:t>
      </w:r>
      <w:r w:rsidR="005E1963">
        <w:rPr>
          <w:rFonts w:eastAsia="Calibri" w:cs="Times New Roman"/>
          <w:szCs w:val="24"/>
        </w:rPr>
        <w:t xml:space="preserve">and generalisability of IMRD, our </w:t>
      </w:r>
      <w:r w:rsidR="005E1963">
        <w:rPr>
          <w:rFonts w:eastAsia="Calibri" w:cs="Times New Roman"/>
          <w:szCs w:val="24"/>
        </w:rPr>
        <w:lastRenderedPageBreak/>
        <w:t>findings can be considered credible</w:t>
      </w:r>
      <w:r w:rsidR="00A970B0" w:rsidRPr="00ED53A0">
        <w:rPr>
          <w:rFonts w:eastAsia="Calibri" w:cs="Times New Roman"/>
          <w:szCs w:val="24"/>
        </w:rPr>
        <w:t xml:space="preserve">. </w:t>
      </w:r>
      <w:r w:rsidR="00D27C10">
        <w:rPr>
          <w:rFonts w:eastAsia="Calibri" w:cs="Times New Roman"/>
          <w:szCs w:val="24"/>
        </w:rPr>
        <w:t xml:space="preserve">Although we </w:t>
      </w:r>
      <w:r w:rsidR="008E7525">
        <w:rPr>
          <w:rFonts w:eastAsia="Calibri" w:cs="Times New Roman"/>
          <w:szCs w:val="24"/>
        </w:rPr>
        <w:t>used data from 2015 available at the time of the analysis, we don’t expect</w:t>
      </w:r>
      <w:r w:rsidR="00FB7A18">
        <w:rPr>
          <w:rFonts w:eastAsia="Calibri" w:cs="Times New Roman"/>
          <w:szCs w:val="24"/>
        </w:rPr>
        <w:t xml:space="preserve"> the</w:t>
      </w:r>
      <w:r w:rsidR="008E7525">
        <w:rPr>
          <w:rFonts w:eastAsia="Calibri" w:cs="Times New Roman"/>
          <w:szCs w:val="24"/>
        </w:rPr>
        <w:t xml:space="preserve"> resource utilisation to have changed drastically, and we inflated the national cost estimates to 2020 using appropriate conversion index to reflect change in unit costs. Certainly, in the last </w:t>
      </w:r>
      <w:r w:rsidR="00E54AFD">
        <w:rPr>
          <w:rFonts w:eastAsia="Calibri" w:cs="Times New Roman"/>
          <w:szCs w:val="24"/>
        </w:rPr>
        <w:t>three</w:t>
      </w:r>
      <w:r w:rsidR="008E7525">
        <w:rPr>
          <w:rFonts w:eastAsia="Calibri" w:cs="Times New Roman"/>
          <w:szCs w:val="24"/>
        </w:rPr>
        <w:t xml:space="preserve"> years of COVID-19 pandemic, one would expect the estimates to have remained stable or declined </w:t>
      </w:r>
      <w:r w:rsidR="0031755F">
        <w:rPr>
          <w:rFonts w:eastAsia="Calibri" w:cs="Times New Roman"/>
          <w:szCs w:val="24"/>
        </w:rPr>
        <w:t>as less consultations were made in response to overwhelmed health services due to the pandemic.</w:t>
      </w:r>
    </w:p>
    <w:p w14:paraId="36FB5752" w14:textId="2B765A6D" w:rsidR="00A970B0" w:rsidRDefault="00967ADC" w:rsidP="00A970B0">
      <w:pPr>
        <w:spacing w:before="120" w:after="240" w:line="480" w:lineRule="auto"/>
        <w:rPr>
          <w:rFonts w:eastAsia="Calibri" w:cs="Times New Roman"/>
          <w:szCs w:val="24"/>
        </w:rPr>
      </w:pPr>
      <w:r>
        <w:rPr>
          <w:rFonts w:eastAsia="Calibri" w:cs="Times New Roman"/>
          <w:szCs w:val="24"/>
        </w:rPr>
        <w:t>T</w:t>
      </w:r>
      <w:r w:rsidR="00A970B0" w:rsidRPr="00ED53A0">
        <w:rPr>
          <w:rFonts w:eastAsia="Calibri" w:cs="Times New Roman"/>
          <w:szCs w:val="24"/>
        </w:rPr>
        <w:t xml:space="preserve">he case-control design of </w:t>
      </w:r>
      <w:r>
        <w:rPr>
          <w:rFonts w:eastAsia="Calibri" w:cs="Times New Roman"/>
          <w:szCs w:val="24"/>
        </w:rPr>
        <w:t>our</w:t>
      </w:r>
      <w:r w:rsidR="00A970B0" w:rsidRPr="00ED53A0">
        <w:rPr>
          <w:rFonts w:eastAsia="Calibri" w:cs="Times New Roman"/>
          <w:szCs w:val="24"/>
        </w:rPr>
        <w:t xml:space="preserve"> study enabled </w:t>
      </w:r>
      <w:r>
        <w:rPr>
          <w:rFonts w:eastAsia="Calibri" w:cs="Times New Roman"/>
          <w:szCs w:val="24"/>
        </w:rPr>
        <w:t xml:space="preserve">us to demonstrate the </w:t>
      </w:r>
      <w:r w:rsidR="00A970B0" w:rsidRPr="00ED53A0">
        <w:rPr>
          <w:rFonts w:eastAsia="Calibri" w:cs="Times New Roman"/>
          <w:szCs w:val="24"/>
        </w:rPr>
        <w:t>incremental cost</w:t>
      </w:r>
      <w:r>
        <w:rPr>
          <w:rFonts w:eastAsia="Calibri" w:cs="Times New Roman"/>
          <w:szCs w:val="24"/>
        </w:rPr>
        <w:t xml:space="preserve">s incurred by back pain </w:t>
      </w:r>
      <w:r w:rsidR="00A970B0" w:rsidRPr="00ED53A0">
        <w:rPr>
          <w:rFonts w:eastAsia="Calibri" w:cs="Times New Roman"/>
          <w:szCs w:val="24"/>
        </w:rPr>
        <w:t xml:space="preserve">rather than presenting all-cause costs of patients with back pain. </w:t>
      </w:r>
      <w:r w:rsidR="00E16725">
        <w:rPr>
          <w:rFonts w:eastAsia="Calibri" w:cs="Times New Roman"/>
          <w:szCs w:val="24"/>
        </w:rPr>
        <w:t>We have thus identified areas of increased healthcare resource utilisation compared with other primary care patients. Another</w:t>
      </w:r>
      <w:r w:rsidR="00A970B0" w:rsidRPr="00ED53A0">
        <w:rPr>
          <w:rFonts w:eastAsia="Calibri" w:cs="Times New Roman"/>
          <w:szCs w:val="24"/>
        </w:rPr>
        <w:t xml:space="preserve"> strength of the study </w:t>
      </w:r>
      <w:r w:rsidR="00E16725">
        <w:rPr>
          <w:rFonts w:eastAsia="Calibri" w:cs="Times New Roman"/>
          <w:szCs w:val="24"/>
        </w:rPr>
        <w:t xml:space="preserve">was </w:t>
      </w:r>
      <w:r w:rsidR="00A970B0" w:rsidRPr="00ED53A0">
        <w:rPr>
          <w:rFonts w:eastAsia="Calibri" w:cs="Times New Roman"/>
          <w:szCs w:val="24"/>
        </w:rPr>
        <w:t xml:space="preserve">that the matching technique used was effective in balancing the observed baseline covariates between the case and control groups. </w:t>
      </w:r>
      <w:r w:rsidR="00E16725">
        <w:rPr>
          <w:rFonts w:eastAsia="Calibri" w:cs="Times New Roman"/>
          <w:szCs w:val="24"/>
        </w:rPr>
        <w:t>Our</w:t>
      </w:r>
      <w:r w:rsidR="00A970B0" w:rsidRPr="00ED53A0">
        <w:rPr>
          <w:rFonts w:eastAsia="Calibri" w:cs="Times New Roman"/>
          <w:szCs w:val="24"/>
        </w:rPr>
        <w:t xml:space="preserve"> study</w:t>
      </w:r>
      <w:r w:rsidR="00D07727">
        <w:rPr>
          <w:rFonts w:eastAsia="Calibri" w:cs="Times New Roman"/>
          <w:szCs w:val="24"/>
        </w:rPr>
        <w:t xml:space="preserve"> has</w:t>
      </w:r>
      <w:r w:rsidR="00A970B0" w:rsidRPr="00ED53A0">
        <w:rPr>
          <w:rFonts w:eastAsia="Calibri" w:cs="Times New Roman"/>
          <w:szCs w:val="24"/>
        </w:rPr>
        <w:t xml:space="preserve"> also </w:t>
      </w:r>
      <w:r w:rsidR="00E16725">
        <w:rPr>
          <w:rFonts w:eastAsia="Calibri" w:cs="Times New Roman"/>
          <w:szCs w:val="24"/>
        </w:rPr>
        <w:t xml:space="preserve">shed light </w:t>
      </w:r>
      <w:r w:rsidR="00D07727">
        <w:rPr>
          <w:rFonts w:eastAsia="Calibri" w:cs="Times New Roman"/>
          <w:szCs w:val="24"/>
        </w:rPr>
        <w:t xml:space="preserve">for the first time on how the </w:t>
      </w:r>
      <w:r w:rsidR="00A970B0" w:rsidRPr="00ED53A0">
        <w:rPr>
          <w:rFonts w:eastAsia="Calibri" w:cs="Times New Roman"/>
          <w:szCs w:val="24"/>
        </w:rPr>
        <w:t xml:space="preserve">costs </w:t>
      </w:r>
      <w:r w:rsidR="00D07727">
        <w:rPr>
          <w:rFonts w:eastAsia="Calibri" w:cs="Times New Roman"/>
          <w:szCs w:val="24"/>
        </w:rPr>
        <w:t>associated with back pain varied by</w:t>
      </w:r>
      <w:r w:rsidR="00A970B0" w:rsidRPr="00ED53A0">
        <w:rPr>
          <w:rFonts w:eastAsia="Calibri" w:cs="Times New Roman"/>
          <w:szCs w:val="24"/>
        </w:rPr>
        <w:t xml:space="preserve"> </w:t>
      </w:r>
      <w:r w:rsidR="00533F00">
        <w:rPr>
          <w:rFonts w:eastAsia="Calibri" w:cs="Times New Roman"/>
          <w:szCs w:val="24"/>
        </w:rPr>
        <w:t>patient, and clinical characteristics</w:t>
      </w:r>
      <w:r w:rsidR="00A970B0" w:rsidRPr="00ED53A0">
        <w:rPr>
          <w:rFonts w:eastAsia="Calibri" w:cs="Times New Roman"/>
          <w:szCs w:val="24"/>
        </w:rPr>
        <w:t xml:space="preserve">. These variations might </w:t>
      </w:r>
      <w:proofErr w:type="gramStart"/>
      <w:r w:rsidR="00A970B0" w:rsidRPr="00ED53A0">
        <w:rPr>
          <w:rFonts w:eastAsia="Calibri" w:cs="Times New Roman"/>
          <w:szCs w:val="24"/>
        </w:rPr>
        <w:t>be a reflection of</w:t>
      </w:r>
      <w:proofErr w:type="gramEnd"/>
      <w:r w:rsidR="00A970B0" w:rsidRPr="00ED53A0">
        <w:rPr>
          <w:rFonts w:eastAsia="Calibri" w:cs="Times New Roman"/>
          <w:szCs w:val="24"/>
        </w:rPr>
        <w:t xml:space="preserve"> the heterogenic nature of back pain in relation to its diagnosis, duration</w:t>
      </w:r>
      <w:r w:rsidR="00673083">
        <w:rPr>
          <w:rFonts w:eastAsia="Calibri" w:cs="Times New Roman"/>
          <w:szCs w:val="24"/>
        </w:rPr>
        <w:t>,</w:t>
      </w:r>
      <w:r w:rsidR="00A970B0" w:rsidRPr="00ED53A0">
        <w:rPr>
          <w:rFonts w:eastAsia="Calibri" w:cs="Times New Roman"/>
          <w:szCs w:val="24"/>
        </w:rPr>
        <w:t xml:space="preserve"> and severity of illness.</w:t>
      </w:r>
    </w:p>
    <w:p w14:paraId="6351A8AC" w14:textId="737F71FC" w:rsidR="00A970B0" w:rsidRDefault="00F37491" w:rsidP="00A970B0">
      <w:pPr>
        <w:spacing w:before="120" w:after="240" w:line="480" w:lineRule="auto"/>
        <w:rPr>
          <w:rFonts w:eastAsia="Calibri" w:cs="Times New Roman"/>
          <w:szCs w:val="24"/>
        </w:rPr>
      </w:pPr>
      <w:r>
        <w:rPr>
          <w:rFonts w:eastAsia="Calibri" w:cs="Times New Roman"/>
          <w:szCs w:val="24"/>
        </w:rPr>
        <w:t xml:space="preserve">One of the limitations of our study was that </w:t>
      </w:r>
      <w:r w:rsidR="00694E1B">
        <w:rPr>
          <w:rFonts w:eastAsia="Calibri" w:cs="Times New Roman"/>
          <w:szCs w:val="24"/>
        </w:rPr>
        <w:t>some cost components such as physiotherapy in primary care</w:t>
      </w:r>
      <w:r>
        <w:rPr>
          <w:rFonts w:eastAsia="Calibri" w:cs="Times New Roman"/>
          <w:szCs w:val="24"/>
        </w:rPr>
        <w:t xml:space="preserve"> were not accounted for in the analysis. This was </w:t>
      </w:r>
      <w:r w:rsidR="00F17298">
        <w:rPr>
          <w:rFonts w:eastAsia="Calibri" w:cs="Times New Roman"/>
          <w:szCs w:val="24"/>
        </w:rPr>
        <w:t xml:space="preserve">due to limitations </w:t>
      </w:r>
      <w:r w:rsidR="00694E1B">
        <w:rPr>
          <w:rFonts w:eastAsia="Calibri" w:cs="Times New Roman"/>
          <w:szCs w:val="24"/>
        </w:rPr>
        <w:t>with</w:t>
      </w:r>
      <w:r w:rsidR="00F17298">
        <w:rPr>
          <w:rFonts w:eastAsia="Calibri" w:cs="Times New Roman"/>
          <w:szCs w:val="24"/>
        </w:rPr>
        <w:t xml:space="preserve"> data recording in primary care databases. </w:t>
      </w:r>
      <w:r w:rsidR="002A4A41" w:rsidRPr="005A2885">
        <w:rPr>
          <w:rFonts w:eastAsia="Calibri" w:cs="Times New Roman"/>
          <w:szCs w:val="24"/>
        </w:rPr>
        <w:t xml:space="preserve">The requirement that cases had to have at least one pain medication to ascertain </w:t>
      </w:r>
      <w:r w:rsidR="003F527C" w:rsidRPr="005A2885">
        <w:rPr>
          <w:rFonts w:eastAsia="Calibri" w:cs="Times New Roman"/>
          <w:szCs w:val="24"/>
        </w:rPr>
        <w:t>their</w:t>
      </w:r>
      <w:r w:rsidR="002A4A41" w:rsidRPr="005A2885">
        <w:rPr>
          <w:rFonts w:eastAsia="Calibri" w:cs="Times New Roman"/>
          <w:szCs w:val="24"/>
        </w:rPr>
        <w:t xml:space="preserve"> back pain </w:t>
      </w:r>
      <w:r w:rsidR="003F527C" w:rsidRPr="005A2885">
        <w:rPr>
          <w:rFonts w:eastAsia="Calibri" w:cs="Times New Roman"/>
          <w:szCs w:val="24"/>
        </w:rPr>
        <w:t>status</w:t>
      </w:r>
      <w:r w:rsidR="00B87B05" w:rsidRPr="005A2885">
        <w:rPr>
          <w:rFonts w:eastAsia="Calibri" w:cs="Times New Roman"/>
          <w:szCs w:val="24"/>
        </w:rPr>
        <w:t xml:space="preserve"> could have excluded some patients</w:t>
      </w:r>
      <w:r w:rsidR="00313A71" w:rsidRPr="005A2885">
        <w:rPr>
          <w:rFonts w:eastAsia="Calibri" w:cs="Times New Roman"/>
          <w:szCs w:val="24"/>
        </w:rPr>
        <w:t xml:space="preserve"> who only used over the counter medication</w:t>
      </w:r>
      <w:r w:rsidR="00B64664" w:rsidRPr="005A2885">
        <w:rPr>
          <w:rFonts w:eastAsia="Calibri" w:cs="Times New Roman"/>
          <w:szCs w:val="24"/>
        </w:rPr>
        <w:t>s</w:t>
      </w:r>
      <w:r w:rsidR="00313A71" w:rsidRPr="005A2885">
        <w:rPr>
          <w:rFonts w:eastAsia="Calibri" w:cs="Times New Roman"/>
          <w:szCs w:val="24"/>
        </w:rPr>
        <w:t xml:space="preserve"> or were referred onwards rather than prescribed </w:t>
      </w:r>
      <w:r w:rsidR="00B90771" w:rsidRPr="005A2885">
        <w:rPr>
          <w:rFonts w:eastAsia="Calibri" w:cs="Times New Roman"/>
          <w:szCs w:val="24"/>
        </w:rPr>
        <w:t xml:space="preserve">a </w:t>
      </w:r>
      <w:r w:rsidR="00313A71" w:rsidRPr="005A2885">
        <w:rPr>
          <w:rFonts w:eastAsia="Calibri" w:cs="Times New Roman"/>
          <w:szCs w:val="24"/>
        </w:rPr>
        <w:t>medication.</w:t>
      </w:r>
      <w:r w:rsidR="00D741FB">
        <w:rPr>
          <w:rFonts w:eastAsia="Calibri" w:cs="Times New Roman"/>
          <w:szCs w:val="24"/>
        </w:rPr>
        <w:t xml:space="preserve"> </w:t>
      </w:r>
      <w:r w:rsidR="00A8176A" w:rsidRPr="00F2137A">
        <w:rPr>
          <w:rFonts w:eastAsia="Calibri" w:cs="Times New Roman"/>
          <w:color w:val="000000" w:themeColor="text1"/>
          <w:szCs w:val="24"/>
        </w:rPr>
        <w:t>Furthermore, t</w:t>
      </w:r>
      <w:r w:rsidR="00E51C02" w:rsidRPr="00F2137A">
        <w:rPr>
          <w:rFonts w:eastAsia="Calibri" w:cs="Times New Roman"/>
          <w:color w:val="000000" w:themeColor="text1"/>
          <w:szCs w:val="24"/>
        </w:rPr>
        <w:t xml:space="preserve">he pain medication could </w:t>
      </w:r>
      <w:r w:rsidR="0038507C" w:rsidRPr="00F2137A">
        <w:rPr>
          <w:rFonts w:eastAsia="Calibri" w:cs="Times New Roman"/>
          <w:color w:val="000000" w:themeColor="text1"/>
          <w:szCs w:val="24"/>
        </w:rPr>
        <w:t>potentially</w:t>
      </w:r>
      <w:r w:rsidR="00E51C02" w:rsidRPr="00F2137A">
        <w:rPr>
          <w:rFonts w:eastAsia="Calibri" w:cs="Times New Roman"/>
          <w:color w:val="000000" w:themeColor="text1"/>
          <w:szCs w:val="24"/>
        </w:rPr>
        <w:t xml:space="preserve"> be for</w:t>
      </w:r>
      <w:r w:rsidR="002879C8" w:rsidRPr="00F2137A">
        <w:rPr>
          <w:rFonts w:eastAsia="Calibri" w:cs="Times New Roman"/>
          <w:color w:val="000000" w:themeColor="text1"/>
          <w:szCs w:val="24"/>
        </w:rPr>
        <w:t xml:space="preserve"> other pain conditions as</w:t>
      </w:r>
      <w:r w:rsidR="00317038" w:rsidRPr="00F2137A">
        <w:rPr>
          <w:rFonts w:eastAsia="Calibri" w:cs="Times New Roman"/>
          <w:color w:val="000000" w:themeColor="text1"/>
          <w:szCs w:val="24"/>
        </w:rPr>
        <w:t xml:space="preserve"> it was not feasible to confirm th</w:t>
      </w:r>
      <w:r w:rsidR="00C103EC" w:rsidRPr="00F2137A">
        <w:rPr>
          <w:rFonts w:eastAsia="Calibri" w:cs="Times New Roman"/>
          <w:color w:val="000000" w:themeColor="text1"/>
          <w:szCs w:val="24"/>
        </w:rPr>
        <w:t>is</w:t>
      </w:r>
      <w:r w:rsidR="00317038" w:rsidRPr="00F2137A">
        <w:rPr>
          <w:rFonts w:eastAsia="Calibri" w:cs="Times New Roman"/>
          <w:color w:val="000000" w:themeColor="text1"/>
          <w:szCs w:val="24"/>
        </w:rPr>
        <w:t xml:space="preserve"> </w:t>
      </w:r>
      <w:r w:rsidR="00927BE3" w:rsidRPr="00F2137A">
        <w:rPr>
          <w:rFonts w:eastAsia="Calibri" w:cs="Times New Roman"/>
          <w:color w:val="000000" w:themeColor="text1"/>
          <w:szCs w:val="24"/>
        </w:rPr>
        <w:t>from</w:t>
      </w:r>
      <w:r w:rsidR="00C103EC" w:rsidRPr="00F2137A">
        <w:rPr>
          <w:rFonts w:eastAsia="Calibri" w:cs="Times New Roman"/>
          <w:color w:val="000000" w:themeColor="text1"/>
          <w:szCs w:val="24"/>
        </w:rPr>
        <w:t xml:space="preserve"> </w:t>
      </w:r>
      <w:r w:rsidR="004271A6" w:rsidRPr="00F2137A">
        <w:rPr>
          <w:rFonts w:eastAsia="Calibri" w:cs="Times New Roman"/>
          <w:color w:val="000000" w:themeColor="text1"/>
          <w:szCs w:val="24"/>
        </w:rPr>
        <w:t xml:space="preserve">coded </w:t>
      </w:r>
      <w:r w:rsidR="00927BE3" w:rsidRPr="00F2137A">
        <w:rPr>
          <w:rFonts w:eastAsia="Calibri" w:cs="Times New Roman"/>
          <w:color w:val="000000" w:themeColor="text1"/>
          <w:szCs w:val="24"/>
        </w:rPr>
        <w:t xml:space="preserve">IMRD </w:t>
      </w:r>
      <w:r w:rsidR="004271A6" w:rsidRPr="00F2137A">
        <w:rPr>
          <w:rFonts w:eastAsia="Calibri" w:cs="Times New Roman"/>
          <w:color w:val="000000" w:themeColor="text1"/>
          <w:szCs w:val="24"/>
        </w:rPr>
        <w:t>data. However, given that the pain medication was prescribed in the same index year as the back pain diagnosis, it was likely that this was relate</w:t>
      </w:r>
      <w:r w:rsidR="00A30506" w:rsidRPr="00F2137A">
        <w:rPr>
          <w:rFonts w:eastAsia="Calibri" w:cs="Times New Roman"/>
          <w:color w:val="000000" w:themeColor="text1"/>
          <w:szCs w:val="24"/>
        </w:rPr>
        <w:t>d</w:t>
      </w:r>
      <w:r w:rsidR="004271A6" w:rsidRPr="00F2137A">
        <w:rPr>
          <w:rFonts w:eastAsia="Calibri" w:cs="Times New Roman"/>
          <w:color w:val="000000" w:themeColor="text1"/>
          <w:szCs w:val="24"/>
        </w:rPr>
        <w:t xml:space="preserve"> to the back pain.</w:t>
      </w:r>
      <w:r w:rsidR="006F0DC8" w:rsidRPr="00F2137A">
        <w:rPr>
          <w:rFonts w:eastAsia="Calibri" w:cs="Times New Roman"/>
          <w:color w:val="000000" w:themeColor="text1"/>
          <w:szCs w:val="24"/>
        </w:rPr>
        <w:t xml:space="preserve"> </w:t>
      </w:r>
      <w:r w:rsidR="00F17298">
        <w:rPr>
          <w:rFonts w:eastAsia="Calibri" w:cs="Times New Roman"/>
          <w:szCs w:val="24"/>
        </w:rPr>
        <w:t xml:space="preserve">We also acknowledge that </w:t>
      </w:r>
      <w:r w:rsidR="00E16725" w:rsidRPr="00E16725">
        <w:rPr>
          <w:rFonts w:eastAsia="Calibri" w:cs="Times New Roman"/>
          <w:szCs w:val="24"/>
        </w:rPr>
        <w:t xml:space="preserve">the matching </w:t>
      </w:r>
      <w:r w:rsidR="00F17298">
        <w:rPr>
          <w:rFonts w:eastAsia="Calibri" w:cs="Times New Roman"/>
          <w:szCs w:val="24"/>
        </w:rPr>
        <w:t xml:space="preserve">method </w:t>
      </w:r>
      <w:r w:rsidR="00944BC3">
        <w:rPr>
          <w:rFonts w:eastAsia="Calibri" w:cs="Times New Roman"/>
          <w:szCs w:val="24"/>
        </w:rPr>
        <w:t>did not balance baseline healthcare resource utilisation as well as potential</w:t>
      </w:r>
      <w:r w:rsidR="00E16725" w:rsidRPr="00E16725">
        <w:rPr>
          <w:rFonts w:eastAsia="Calibri" w:cs="Times New Roman"/>
          <w:szCs w:val="24"/>
        </w:rPr>
        <w:t xml:space="preserve"> unobserved</w:t>
      </w:r>
      <w:r w:rsidR="007A4EFD">
        <w:rPr>
          <w:rFonts w:eastAsia="Calibri" w:cs="Times New Roman"/>
          <w:szCs w:val="24"/>
        </w:rPr>
        <w:t xml:space="preserve"> </w:t>
      </w:r>
      <w:r w:rsidR="00E16725" w:rsidRPr="00E16725">
        <w:rPr>
          <w:rFonts w:eastAsia="Calibri" w:cs="Times New Roman"/>
          <w:szCs w:val="24"/>
        </w:rPr>
        <w:lastRenderedPageBreak/>
        <w:t>characteristics</w:t>
      </w:r>
      <w:r w:rsidR="00F93400">
        <w:rPr>
          <w:rFonts w:eastAsia="Calibri" w:cs="Times New Roman"/>
          <w:szCs w:val="24"/>
        </w:rPr>
        <w:t>,</w:t>
      </w:r>
      <w:r w:rsidR="00E16725" w:rsidRPr="00E16725">
        <w:rPr>
          <w:rFonts w:eastAsia="Calibri" w:cs="Times New Roman"/>
          <w:szCs w:val="24"/>
        </w:rPr>
        <w:t xml:space="preserve"> and hence unmeasured confounding could still exist</w:t>
      </w:r>
      <w:r w:rsidR="00E16725">
        <w:rPr>
          <w:rFonts w:eastAsia="Calibri" w:cs="Times New Roman"/>
          <w:szCs w:val="24"/>
        </w:rPr>
        <w:t>.</w:t>
      </w:r>
      <w:r w:rsidR="00A970B0" w:rsidRPr="00ED53A0">
        <w:rPr>
          <w:rFonts w:eastAsia="Calibri" w:cs="Times New Roman"/>
          <w:szCs w:val="24"/>
        </w:rPr>
        <w:t xml:space="preserve"> Another limitation was in the use Read codes to identify back pain where there </w:t>
      </w:r>
      <w:r w:rsidR="00F17298">
        <w:rPr>
          <w:rFonts w:eastAsia="Calibri" w:cs="Times New Roman"/>
          <w:szCs w:val="24"/>
        </w:rPr>
        <w:t xml:space="preserve">maybe </w:t>
      </w:r>
      <w:r w:rsidR="00A970B0" w:rsidRPr="00ED53A0">
        <w:rPr>
          <w:rFonts w:eastAsia="Calibri" w:cs="Times New Roman"/>
          <w:szCs w:val="24"/>
        </w:rPr>
        <w:t xml:space="preserve">miscoding and variation among practices and clinicians in the usage of specific codes due to lack of standardisation of diagnostic codes </w:t>
      </w:r>
      <w:r w:rsidR="00A970B0" w:rsidRPr="00ED53A0">
        <w:rPr>
          <w:rFonts w:eastAsia="Calibri" w:cs="Times New Roman"/>
          <w:szCs w:val="24"/>
        </w:rPr>
        <w:fldChar w:fldCharType="begin"/>
      </w:r>
      <w:r w:rsidR="00B44AFF">
        <w:rPr>
          <w:rFonts w:eastAsia="Calibri" w:cs="Times New Roman"/>
          <w:szCs w:val="24"/>
        </w:rPr>
        <w:instrText xml:space="preserve"> ADDIN EN.CITE &lt;EndNote&gt;&lt;Cite&gt;&lt;Author&gt;Reed&lt;/Author&gt;&lt;Year&gt;2013&lt;/Year&gt;&lt;RecNum&gt;158&lt;/RecNum&gt;&lt;DisplayText&gt;(27)&lt;/DisplayText&gt;&lt;record&gt;&lt;rec-number&gt;158&lt;/rec-number&gt;&lt;foreign-keys&gt;&lt;key app="EN" db-id="wvr0axtt1w9rr8efern5p95ofraatp209r09" timestamp="1534277785"&gt;158&lt;/key&gt;&lt;/foreign-keys&gt;&lt;ref-type name="Journal Article"&gt;17&lt;/ref-type&gt;&lt;contributors&gt;&lt;authors&gt;&lt;author&gt;Reed, C.&lt;/author&gt;&lt;author&gt;Hong, J.&lt;/author&gt;&lt;author&gt;Novick, D.&lt;/author&gt;&lt;author&gt;Lenox-Smith, A.&lt;/author&gt;&lt;author&gt;Happich, M.&lt;/author&gt;&lt;/authors&gt;&lt;/contributors&gt;&lt;auth-address&gt;Global Health Outcomes, Eli Lilly and Company, Windlesham, Surrey, UK;&lt;/auth-address&gt;&lt;titles&gt;&lt;title&gt;Health care costs before and after diagnosis of depression in patients with unexplained pain: a retrospective cohort study using the United Kingdom General Practice Research Database&lt;/title&gt;&lt;secondary-title&gt;Clinicoecon Outcomes Res&lt;/secondary-title&gt;&lt;/titles&gt;&lt;periodical&gt;&lt;full-title&gt;Clinicoecon Outcomes Res&lt;/full-title&gt;&lt;/periodical&gt;&lt;pages&gt;37-47&lt;/pages&gt;&lt;volume&gt;5&lt;/volume&gt;&lt;keywords&gt;&lt;keyword&gt;Gprd&lt;/keyword&gt;&lt;keyword&gt;Uk&lt;/keyword&gt;&lt;keyword&gt;cost&lt;/keyword&gt;&lt;keyword&gt;depression&lt;/keyword&gt;&lt;keyword&gt;pain&lt;/keyword&gt;&lt;/keywords&gt;&lt;dates&gt;&lt;year&gt;2013&lt;/year&gt;&lt;/dates&gt;&lt;isbn&gt;1178-6981 (Print)&amp;#xD;1178-6981 (Linking)&lt;/isbn&gt;&lt;accession-num&gt;23355787&lt;/accession-num&gt;&lt;urls&gt;&lt;related-urls&gt;&lt;url&gt;https://www.ncbi.nlm.nih.gov/pubmed/23355787&lt;/url&gt;&lt;/related-urls&gt;&lt;/urls&gt;&lt;custom2&gt;PMC3552476&lt;/custom2&gt;&lt;/record&gt;&lt;/Cite&gt;&lt;/EndNote&gt;</w:instrText>
      </w:r>
      <w:r w:rsidR="00A970B0" w:rsidRPr="00ED53A0">
        <w:rPr>
          <w:rFonts w:eastAsia="Calibri" w:cs="Times New Roman"/>
          <w:szCs w:val="24"/>
        </w:rPr>
        <w:fldChar w:fldCharType="separate"/>
      </w:r>
      <w:r w:rsidR="00B44AFF">
        <w:rPr>
          <w:rFonts w:eastAsia="Calibri" w:cs="Times New Roman"/>
          <w:noProof/>
          <w:szCs w:val="24"/>
        </w:rPr>
        <w:t>(27)</w:t>
      </w:r>
      <w:r w:rsidR="00A970B0" w:rsidRPr="00ED53A0">
        <w:rPr>
          <w:rFonts w:eastAsia="Calibri" w:cs="Times New Roman"/>
          <w:szCs w:val="24"/>
        </w:rPr>
        <w:fldChar w:fldCharType="end"/>
      </w:r>
      <w:r w:rsidR="00A970B0" w:rsidRPr="00ED53A0">
        <w:rPr>
          <w:rFonts w:eastAsia="Calibri" w:cs="Times New Roman"/>
          <w:szCs w:val="24"/>
        </w:rPr>
        <w:t>. However, th</w:t>
      </w:r>
      <w:r w:rsidR="000D5865">
        <w:rPr>
          <w:rFonts w:eastAsia="Calibri" w:cs="Times New Roman"/>
          <w:szCs w:val="24"/>
        </w:rPr>
        <w:t>e</w:t>
      </w:r>
      <w:r w:rsidR="00A970B0" w:rsidRPr="00ED53A0">
        <w:rPr>
          <w:rFonts w:eastAsia="Calibri" w:cs="Times New Roman"/>
          <w:szCs w:val="24"/>
        </w:rPr>
        <w:t xml:space="preserve"> study included a high number of Read codes covering a broad range of back pain diagnoses</w:t>
      </w:r>
      <w:r w:rsidR="0004251F">
        <w:rPr>
          <w:rFonts w:eastAsia="Calibri" w:cs="Times New Roman"/>
          <w:szCs w:val="24"/>
        </w:rPr>
        <w:t xml:space="preserve"> together with</w:t>
      </w:r>
      <w:r w:rsidR="00A970B0" w:rsidRPr="00ED53A0">
        <w:rPr>
          <w:rFonts w:eastAsia="Calibri" w:cs="Times New Roman"/>
          <w:szCs w:val="24"/>
        </w:rPr>
        <w:t xml:space="preserve"> a large sample size</w:t>
      </w:r>
      <w:r w:rsidR="00694E1B">
        <w:rPr>
          <w:rFonts w:eastAsia="Calibri" w:cs="Times New Roman"/>
          <w:szCs w:val="24"/>
        </w:rPr>
        <w:t>, hence</w:t>
      </w:r>
      <w:r w:rsidR="00A970B0" w:rsidRPr="00ED53A0">
        <w:rPr>
          <w:rFonts w:eastAsia="Calibri" w:cs="Times New Roman"/>
          <w:szCs w:val="24"/>
        </w:rPr>
        <w:t xml:space="preserve"> increasing the validity of the findings. </w:t>
      </w:r>
    </w:p>
    <w:p w14:paraId="4EC0C984" w14:textId="77777777" w:rsidR="00A970B0" w:rsidRPr="00ED53A0" w:rsidRDefault="00A970B0" w:rsidP="00F7099B">
      <w:pPr>
        <w:pStyle w:val="Heading2"/>
        <w:rPr>
          <w:rFonts w:eastAsia="Calibri"/>
          <w:b w:val="0"/>
        </w:rPr>
      </w:pPr>
      <w:bookmarkStart w:id="14" w:name="_Toc15458467"/>
      <w:r w:rsidRPr="00ED53A0">
        <w:rPr>
          <w:rFonts w:eastAsia="Calibri"/>
        </w:rPr>
        <w:t>Interpretation in relation to other studies</w:t>
      </w:r>
      <w:bookmarkEnd w:id="14"/>
    </w:p>
    <w:p w14:paraId="54FFB088" w14:textId="564D331A" w:rsidR="00A970B0" w:rsidRPr="00ED53A0" w:rsidRDefault="00A970B0" w:rsidP="00A970B0">
      <w:pPr>
        <w:spacing w:before="120" w:after="240" w:line="480" w:lineRule="auto"/>
        <w:rPr>
          <w:rFonts w:eastAsia="Calibri" w:cs="Times New Roman"/>
        </w:rPr>
      </w:pPr>
      <w:r w:rsidRPr="00ED53A0">
        <w:rPr>
          <w:rFonts w:eastAsia="Calibri" w:cs="Times New Roman"/>
          <w:szCs w:val="24"/>
        </w:rPr>
        <w:t xml:space="preserve">Our study has similarities and important differences with other studies estimating the costs associated with back pain. </w:t>
      </w:r>
      <w:proofErr w:type="spellStart"/>
      <w:r w:rsidRPr="00ED53A0">
        <w:rPr>
          <w:rFonts w:eastAsia="Calibri" w:cs="Times New Roman"/>
          <w:szCs w:val="24"/>
        </w:rPr>
        <w:t>Manniadakis</w:t>
      </w:r>
      <w:proofErr w:type="spellEnd"/>
      <w:r w:rsidRPr="00ED53A0">
        <w:rPr>
          <w:rFonts w:eastAsia="Calibri" w:cs="Times New Roman"/>
          <w:szCs w:val="24"/>
        </w:rPr>
        <w:t xml:space="preserve"> and Gray</w:t>
      </w:r>
      <w:r w:rsidR="001D02EB">
        <w:rPr>
          <w:rFonts w:eastAsia="Calibri" w:cs="Times New Roman"/>
          <w:szCs w:val="24"/>
        </w:rPr>
        <w:t xml:space="preserve"> </w:t>
      </w:r>
      <w:r w:rsidR="001D02EB">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1D02EB">
        <w:rPr>
          <w:rFonts w:eastAsia="Calibri" w:cs="Times New Roman"/>
          <w:szCs w:val="24"/>
        </w:rPr>
      </w:r>
      <w:r w:rsidR="001D02EB">
        <w:rPr>
          <w:rFonts w:eastAsia="Calibri" w:cs="Times New Roman"/>
          <w:szCs w:val="24"/>
        </w:rPr>
        <w:fldChar w:fldCharType="separate"/>
      </w:r>
      <w:r w:rsidR="00B44AFF">
        <w:rPr>
          <w:rFonts w:eastAsia="Calibri" w:cs="Times New Roman"/>
          <w:noProof/>
          <w:szCs w:val="24"/>
        </w:rPr>
        <w:t>(8)</w:t>
      </w:r>
      <w:r w:rsidR="001D02EB">
        <w:rPr>
          <w:rFonts w:eastAsia="Calibri" w:cs="Times New Roman"/>
          <w:szCs w:val="24"/>
        </w:rPr>
        <w:fldChar w:fldCharType="end"/>
      </w:r>
      <w:r w:rsidRPr="00ED53A0">
        <w:rPr>
          <w:rFonts w:eastAsia="Calibri" w:cs="Times New Roman"/>
          <w:szCs w:val="24"/>
        </w:rPr>
        <w:t xml:space="preserve"> estimated the costs of consultations and prescriptions in 1998 to be £140.4 million and £93.7 million respectively for the UK </w:t>
      </w:r>
      <w:r w:rsidRPr="00ED53A0">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Pr="00ED53A0">
        <w:rPr>
          <w:rFonts w:eastAsia="Calibri" w:cs="Times New Roman"/>
          <w:szCs w:val="24"/>
        </w:rPr>
      </w:r>
      <w:r w:rsidRPr="00ED53A0">
        <w:rPr>
          <w:rFonts w:eastAsia="Calibri" w:cs="Times New Roman"/>
          <w:szCs w:val="24"/>
        </w:rPr>
        <w:fldChar w:fldCharType="separate"/>
      </w:r>
      <w:r w:rsidR="00B44AFF">
        <w:rPr>
          <w:rFonts w:eastAsia="Calibri" w:cs="Times New Roman"/>
          <w:noProof/>
          <w:szCs w:val="24"/>
        </w:rPr>
        <w:t>(8)</w:t>
      </w:r>
      <w:r w:rsidRPr="00ED53A0">
        <w:rPr>
          <w:rFonts w:eastAsia="Calibri" w:cs="Times New Roman"/>
          <w:szCs w:val="24"/>
        </w:rPr>
        <w:fldChar w:fldCharType="end"/>
      </w:r>
      <w:r w:rsidRPr="00ED53A0">
        <w:rPr>
          <w:rFonts w:eastAsia="Calibri" w:cs="Times New Roman"/>
          <w:szCs w:val="24"/>
        </w:rPr>
        <w:t>. Although this was the first study estimating the costs of back pain in the UK, the estimates were based on survey data and other aggregated sources of data. Using patient level data, our study estimated the incremental costs of consultations and prescriptions in 2015 to be £2.5</w:t>
      </w:r>
      <w:r w:rsidR="00F03E61">
        <w:rPr>
          <w:rFonts w:eastAsia="Calibri" w:cs="Times New Roman"/>
          <w:szCs w:val="24"/>
        </w:rPr>
        <w:t xml:space="preserve"> billion (£2.7 billion in 2020)</w:t>
      </w:r>
      <w:r w:rsidRPr="00ED53A0">
        <w:rPr>
          <w:rFonts w:eastAsia="Calibri" w:cs="Times New Roman"/>
          <w:szCs w:val="24"/>
        </w:rPr>
        <w:t xml:space="preserve"> and £718 million</w:t>
      </w:r>
      <w:r w:rsidR="00F03E61">
        <w:rPr>
          <w:rFonts w:eastAsia="Calibri" w:cs="Times New Roman"/>
          <w:szCs w:val="24"/>
        </w:rPr>
        <w:t xml:space="preserve"> (£792.7 million in 2020)</w:t>
      </w:r>
      <w:r w:rsidRPr="00ED53A0">
        <w:rPr>
          <w:rFonts w:eastAsia="Calibri" w:cs="Times New Roman"/>
          <w:szCs w:val="24"/>
        </w:rPr>
        <w:t xml:space="preserve"> respectively on a national level. This </w:t>
      </w:r>
      <w:r w:rsidR="00247932">
        <w:rPr>
          <w:rFonts w:eastAsia="Calibri" w:cs="Times New Roman"/>
          <w:szCs w:val="24"/>
        </w:rPr>
        <w:t xml:space="preserve">is consistent with predictions by </w:t>
      </w:r>
      <w:proofErr w:type="spellStart"/>
      <w:r w:rsidRPr="00ED53A0">
        <w:rPr>
          <w:rFonts w:eastAsia="Calibri" w:cs="Times New Roman"/>
          <w:szCs w:val="24"/>
        </w:rPr>
        <w:t>Manniadakis</w:t>
      </w:r>
      <w:proofErr w:type="spellEnd"/>
      <w:r w:rsidRPr="00ED53A0">
        <w:rPr>
          <w:rFonts w:eastAsia="Calibri" w:cs="Times New Roman"/>
          <w:szCs w:val="24"/>
        </w:rPr>
        <w:t xml:space="preserve"> and Gray who argued at the time that costs of back pain were expected to rise considerably in the future </w:t>
      </w:r>
      <w:r w:rsidRPr="00ED53A0">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PEVuZE5vdGU+PENpdGU+PEF1dGhvcj5NYW5pYWRha2lzPC9BdXRob3I+PFllYXI+MjAwMDwvWWVh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Pr="00ED53A0">
        <w:rPr>
          <w:rFonts w:eastAsia="Calibri" w:cs="Times New Roman"/>
          <w:szCs w:val="24"/>
        </w:rPr>
      </w:r>
      <w:r w:rsidRPr="00ED53A0">
        <w:rPr>
          <w:rFonts w:eastAsia="Calibri" w:cs="Times New Roman"/>
          <w:szCs w:val="24"/>
        </w:rPr>
        <w:fldChar w:fldCharType="separate"/>
      </w:r>
      <w:r w:rsidR="00B44AFF">
        <w:rPr>
          <w:rFonts w:eastAsia="Calibri" w:cs="Times New Roman"/>
          <w:noProof/>
          <w:szCs w:val="24"/>
        </w:rPr>
        <w:t>(8)</w:t>
      </w:r>
      <w:r w:rsidRPr="00ED53A0">
        <w:rPr>
          <w:rFonts w:eastAsia="Calibri" w:cs="Times New Roman"/>
          <w:szCs w:val="24"/>
        </w:rPr>
        <w:fldChar w:fldCharType="end"/>
      </w:r>
      <w:r w:rsidRPr="00ED53A0">
        <w:rPr>
          <w:rFonts w:eastAsia="Calibri" w:cs="Times New Roman"/>
          <w:szCs w:val="24"/>
        </w:rPr>
        <w:t xml:space="preserve">. </w:t>
      </w:r>
      <w:r w:rsidR="00C24625">
        <w:rPr>
          <w:rFonts w:eastAsia="Calibri" w:cs="Times New Roman"/>
          <w:szCs w:val="24"/>
        </w:rPr>
        <w:t>Hong et al</w:t>
      </w:r>
      <w:r w:rsidRPr="00ED53A0">
        <w:rPr>
          <w:rFonts w:eastAsia="Calibri" w:cs="Times New Roman"/>
          <w:szCs w:val="24"/>
        </w:rPr>
        <w:t xml:space="preserve"> </w:t>
      </w:r>
      <w:r w:rsidRPr="00ED53A0">
        <w:rPr>
          <w:rFonts w:eastAsia="Calibri" w:cs="Times New Roman"/>
          <w:szCs w:val="24"/>
        </w:rPr>
        <w:fldChar w:fldCharType="begin">
          <w:fldData xml:space="preserve">PEVuZE5vdGU+PENpdGU+PEF1dGhvcj5Ib25nPC9BdXRob3I+PFllYXI+MjAxMzwvWWVhcj48UmVj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=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PEVuZE5vdGU+PENpdGU+PEF1dGhvcj5Ib25nPC9BdXRob3I+PFllYXI+MjAxMzwvWWVhcj48UmVj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=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Pr="00ED53A0">
        <w:rPr>
          <w:rFonts w:eastAsia="Calibri" w:cs="Times New Roman"/>
          <w:szCs w:val="24"/>
        </w:rPr>
      </w:r>
      <w:r w:rsidRPr="00ED53A0">
        <w:rPr>
          <w:rFonts w:eastAsia="Calibri" w:cs="Times New Roman"/>
          <w:szCs w:val="24"/>
        </w:rPr>
        <w:fldChar w:fldCharType="separate"/>
      </w:r>
      <w:r w:rsidR="00B44AFF">
        <w:rPr>
          <w:rFonts w:eastAsia="Calibri" w:cs="Times New Roman"/>
          <w:noProof/>
          <w:szCs w:val="24"/>
        </w:rPr>
        <w:t>(18)</w:t>
      </w:r>
      <w:r w:rsidRPr="00ED53A0">
        <w:rPr>
          <w:rFonts w:eastAsia="Calibri" w:cs="Times New Roman"/>
          <w:szCs w:val="24"/>
        </w:rPr>
        <w:fldChar w:fldCharType="end"/>
      </w:r>
      <w:r w:rsidRPr="00ED53A0">
        <w:rPr>
          <w:rFonts w:eastAsia="Calibri" w:cs="Times New Roman"/>
          <w:szCs w:val="24"/>
        </w:rPr>
        <w:t xml:space="preserve"> investigated</w:t>
      </w:r>
      <w:r w:rsidR="00C24625">
        <w:rPr>
          <w:rFonts w:eastAsia="Calibri" w:cs="Times New Roman"/>
          <w:szCs w:val="24"/>
        </w:rPr>
        <w:t>, u</w:t>
      </w:r>
      <w:r w:rsidR="00C24625" w:rsidRPr="00C24625">
        <w:rPr>
          <w:rFonts w:eastAsia="Calibri" w:cs="Times New Roman"/>
          <w:szCs w:val="24"/>
        </w:rPr>
        <w:t xml:space="preserve">sing a case-control design, </w:t>
      </w:r>
      <w:r w:rsidRPr="00ED53A0">
        <w:rPr>
          <w:rFonts w:eastAsia="Calibri" w:cs="Times New Roman"/>
          <w:szCs w:val="24"/>
        </w:rPr>
        <w:t xml:space="preserve">the costs associated with the treatment of </w:t>
      </w:r>
      <w:r w:rsidR="00C24625">
        <w:rPr>
          <w:rFonts w:eastAsia="Calibri" w:cs="Times New Roman"/>
          <w:szCs w:val="24"/>
        </w:rPr>
        <w:t>chronic low back pain (</w:t>
      </w:r>
      <w:r w:rsidRPr="00ED53A0">
        <w:rPr>
          <w:rFonts w:eastAsia="Calibri" w:cs="Times New Roman"/>
          <w:szCs w:val="24"/>
        </w:rPr>
        <w:t>CLBP</w:t>
      </w:r>
      <w:r w:rsidR="00C24625">
        <w:rPr>
          <w:rFonts w:eastAsia="Calibri" w:cs="Times New Roman"/>
          <w:szCs w:val="24"/>
        </w:rPr>
        <w:t>)</w:t>
      </w:r>
      <w:r w:rsidRPr="00ED53A0">
        <w:rPr>
          <w:rFonts w:eastAsia="Calibri" w:cs="Times New Roman"/>
          <w:szCs w:val="24"/>
        </w:rPr>
        <w:t xml:space="preserve"> in </w:t>
      </w:r>
      <w:r w:rsidRPr="00ED53A0">
        <w:rPr>
          <w:rFonts w:eastAsia="Calibri" w:cs="Times New Roman"/>
          <w:color w:val="000000"/>
          <w:szCs w:val="24"/>
        </w:rPr>
        <w:t xml:space="preserve">the UK using CPRD data. </w:t>
      </w:r>
      <w:r w:rsidRPr="00ED53A0">
        <w:rPr>
          <w:rFonts w:eastAsia="Calibri" w:cs="Times New Roman"/>
          <w:szCs w:val="24"/>
        </w:rPr>
        <w:t xml:space="preserve">They reported a much higher marginal cost </w:t>
      </w:r>
      <w:r w:rsidR="00C24625">
        <w:rPr>
          <w:rFonts w:eastAsia="Calibri" w:cs="Times New Roman"/>
          <w:szCs w:val="24"/>
        </w:rPr>
        <w:t xml:space="preserve">per patient in 2009 </w:t>
      </w:r>
      <w:r w:rsidRPr="00ED53A0">
        <w:rPr>
          <w:rFonts w:eastAsia="Calibri" w:cs="Times New Roman"/>
          <w:szCs w:val="24"/>
        </w:rPr>
        <w:t xml:space="preserve">of consultations (£328) and prescriptions (£105) compared to our study </w:t>
      </w:r>
      <w:r w:rsidRPr="00ED53A0">
        <w:rPr>
          <w:rFonts w:eastAsia="Calibri" w:cs="Times New Roman"/>
          <w:szCs w:val="24"/>
        </w:rPr>
        <w:fldChar w:fldCharType="begin">
          <w:fldData xml:space="preserve">PEVuZE5vdGU+PENpdGU+PEF1dGhvcj5Ib25nPC9BdXRob3I+PFllYXI+MjAxMzwvWWVhcj48UmVj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=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PEVuZE5vdGU+PENpdGU+PEF1dGhvcj5Ib25nPC9BdXRob3I+PFllYXI+MjAxMzwvWWVhcj48UmVj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=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Pr="00ED53A0">
        <w:rPr>
          <w:rFonts w:eastAsia="Calibri" w:cs="Times New Roman"/>
          <w:szCs w:val="24"/>
        </w:rPr>
      </w:r>
      <w:r w:rsidRPr="00ED53A0">
        <w:rPr>
          <w:rFonts w:eastAsia="Calibri" w:cs="Times New Roman"/>
          <w:szCs w:val="24"/>
        </w:rPr>
        <w:fldChar w:fldCharType="separate"/>
      </w:r>
      <w:r w:rsidR="00B44AFF">
        <w:rPr>
          <w:rFonts w:eastAsia="Calibri" w:cs="Times New Roman"/>
          <w:noProof/>
          <w:szCs w:val="24"/>
        </w:rPr>
        <w:t>(18)</w:t>
      </w:r>
      <w:r w:rsidRPr="00ED53A0">
        <w:rPr>
          <w:rFonts w:eastAsia="Calibri" w:cs="Times New Roman"/>
          <w:szCs w:val="24"/>
        </w:rPr>
        <w:fldChar w:fldCharType="end"/>
      </w:r>
      <w:r w:rsidRPr="00ED53A0">
        <w:rPr>
          <w:rFonts w:eastAsia="Calibri" w:cs="Times New Roman"/>
          <w:szCs w:val="24"/>
        </w:rPr>
        <w:t>. However, their study compared CLBP patients with patients without CLBP wh</w:t>
      </w:r>
      <w:r w:rsidR="00CA166B">
        <w:rPr>
          <w:rFonts w:eastAsia="Calibri" w:cs="Times New Roman"/>
          <w:szCs w:val="24"/>
        </w:rPr>
        <w:t>ere the chronicity of the pain may</w:t>
      </w:r>
      <w:r w:rsidRPr="00ED53A0">
        <w:rPr>
          <w:rFonts w:eastAsia="Calibri" w:cs="Times New Roman"/>
          <w:szCs w:val="24"/>
        </w:rPr>
        <w:t xml:space="preserve"> explai</w:t>
      </w:r>
      <w:r w:rsidR="00CA166B">
        <w:rPr>
          <w:rFonts w:eastAsia="Calibri" w:cs="Times New Roman"/>
          <w:szCs w:val="24"/>
        </w:rPr>
        <w:t>n</w:t>
      </w:r>
      <w:r w:rsidRPr="00ED53A0">
        <w:rPr>
          <w:rFonts w:eastAsia="Calibri" w:cs="Times New Roman"/>
          <w:szCs w:val="24"/>
        </w:rPr>
        <w:t xml:space="preserve"> the greater cost difference between the two groups. Moreover, Hong et al. matched the case and control groups on the basis of </w:t>
      </w:r>
      <w:r w:rsidR="00FE765E">
        <w:rPr>
          <w:rFonts w:eastAsia="Calibri" w:cs="Times New Roman"/>
          <w:szCs w:val="24"/>
        </w:rPr>
        <w:t xml:space="preserve">just </w:t>
      </w:r>
      <w:r w:rsidRPr="00ED53A0">
        <w:rPr>
          <w:rFonts w:eastAsia="Calibri" w:cs="Times New Roman"/>
          <w:szCs w:val="24"/>
        </w:rPr>
        <w:t xml:space="preserve">three variables: year of birth, gender, and practice ID, which may have limited the comparability of </w:t>
      </w:r>
      <w:r w:rsidRPr="00ED53A0">
        <w:rPr>
          <w:rFonts w:eastAsia="Calibri" w:cs="Times New Roman"/>
          <w:szCs w:val="24"/>
        </w:rPr>
        <w:lastRenderedPageBreak/>
        <w:t xml:space="preserve">the groups. This was in contrast to seven matching characteristics used in the </w:t>
      </w:r>
      <w:r w:rsidR="00FE765E">
        <w:rPr>
          <w:rFonts w:eastAsia="Calibri" w:cs="Times New Roman"/>
          <w:szCs w:val="24"/>
        </w:rPr>
        <w:t xml:space="preserve">current </w:t>
      </w:r>
      <w:r w:rsidRPr="00ED53A0">
        <w:rPr>
          <w:rFonts w:eastAsia="Calibri" w:cs="Times New Roman"/>
          <w:szCs w:val="24"/>
        </w:rPr>
        <w:t xml:space="preserve">study providing better </w:t>
      </w:r>
      <w:r w:rsidR="00CA166B">
        <w:rPr>
          <w:rFonts w:eastAsia="Calibri" w:cs="Times New Roman"/>
          <w:szCs w:val="24"/>
        </w:rPr>
        <w:t xml:space="preserve">a </w:t>
      </w:r>
      <w:r w:rsidRPr="00ED53A0">
        <w:rPr>
          <w:rFonts w:eastAsia="Calibri" w:cs="Times New Roman"/>
          <w:szCs w:val="24"/>
        </w:rPr>
        <w:t xml:space="preserve">basis for comparison and validity of the findings. </w:t>
      </w:r>
    </w:p>
    <w:p w14:paraId="70243A9A" w14:textId="3987F889" w:rsidR="00A970B0" w:rsidRDefault="00A970B0" w:rsidP="00A970B0">
      <w:pPr>
        <w:spacing w:before="120" w:after="240" w:line="480" w:lineRule="auto"/>
        <w:rPr>
          <w:rFonts w:eastAsia="Calibri" w:cs="Times New Roman"/>
          <w:szCs w:val="24"/>
        </w:rPr>
      </w:pPr>
      <w:r w:rsidRPr="00ED53A0">
        <w:rPr>
          <w:rFonts w:eastAsia="Calibri" w:cs="Times New Roman"/>
          <w:szCs w:val="24"/>
        </w:rPr>
        <w:t xml:space="preserve">Consultations accounted for a greater proportion (78%) of the cost difference between the case and control groups in </w:t>
      </w:r>
      <w:r w:rsidR="003D137B">
        <w:rPr>
          <w:rFonts w:eastAsia="Calibri" w:cs="Times New Roman"/>
          <w:szCs w:val="24"/>
        </w:rPr>
        <w:t>our</w:t>
      </w:r>
      <w:r w:rsidRPr="00ED53A0">
        <w:rPr>
          <w:rFonts w:eastAsia="Calibri" w:cs="Times New Roman"/>
          <w:szCs w:val="24"/>
        </w:rPr>
        <w:t xml:space="preserve"> study. </w:t>
      </w:r>
      <w:r w:rsidR="000D4DBF">
        <w:rPr>
          <w:rFonts w:eastAsia="Calibri" w:cs="Times New Roman"/>
          <w:szCs w:val="24"/>
        </w:rPr>
        <w:t>H</w:t>
      </w:r>
      <w:r w:rsidRPr="00ED53A0">
        <w:rPr>
          <w:rFonts w:eastAsia="Calibri" w:cs="Times New Roman"/>
          <w:szCs w:val="24"/>
        </w:rPr>
        <w:t xml:space="preserve">igher proportions of consultation costs compared to prescription costs were reported in other COI studies of back or spine conditions </w:t>
      </w:r>
      <w:r w:rsidR="00061958">
        <w:rPr>
          <w:rFonts w:eastAsia="Calibri" w:cs="Times New Roman"/>
          <w:szCs w:val="24"/>
        </w:rPr>
        <w:t>us</w:t>
      </w:r>
      <w:r w:rsidRPr="00ED53A0">
        <w:rPr>
          <w:rFonts w:eastAsia="Calibri" w:cs="Times New Roman"/>
          <w:szCs w:val="24"/>
        </w:rPr>
        <w:t xml:space="preserve">ing the incremental costs approach </w:t>
      </w:r>
      <w:r w:rsidRPr="00ED53A0">
        <w:rPr>
          <w:rFonts w:eastAsia="Calibri" w:cs="Times New Roman"/>
          <w:szCs w:val="24"/>
        </w:rPr>
        <w:fldChar w:fldCharType="begin">
          <w:fldData xml:space="preserve">PEVuZE5vdGU+PENpdGU+PEF1dGhvcj5NYXJ0aW48L0F1dGhvcj48WWVhcj4yMDA4PC9ZZWFyPjxS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PEVuZE5vdGU+PENpdGU+PEF1dGhvcj5NYXJ0aW48L0F1dGhvcj48WWVhcj4yMDA4PC9ZZWFyPjxS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Pr="00ED53A0">
        <w:rPr>
          <w:rFonts w:eastAsia="Calibri" w:cs="Times New Roman"/>
          <w:szCs w:val="24"/>
        </w:rPr>
      </w:r>
      <w:r w:rsidRPr="00ED53A0">
        <w:rPr>
          <w:rFonts w:eastAsia="Calibri" w:cs="Times New Roman"/>
          <w:szCs w:val="24"/>
        </w:rPr>
        <w:fldChar w:fldCharType="separate"/>
      </w:r>
      <w:r w:rsidR="00B44AFF">
        <w:rPr>
          <w:rFonts w:eastAsia="Calibri" w:cs="Times New Roman"/>
          <w:noProof/>
          <w:szCs w:val="24"/>
        </w:rPr>
        <w:t>(18, 28)</w:t>
      </w:r>
      <w:r w:rsidRPr="00ED53A0">
        <w:rPr>
          <w:rFonts w:eastAsia="Calibri" w:cs="Times New Roman"/>
          <w:szCs w:val="24"/>
        </w:rPr>
        <w:fldChar w:fldCharType="end"/>
      </w:r>
      <w:r w:rsidRPr="00ED53A0">
        <w:rPr>
          <w:rFonts w:eastAsia="Calibri" w:cs="Times New Roman"/>
          <w:szCs w:val="24"/>
        </w:rPr>
        <w:t xml:space="preserve">. </w:t>
      </w:r>
      <w:r w:rsidR="00061958">
        <w:rPr>
          <w:rFonts w:eastAsia="Calibri" w:cs="Times New Roman"/>
          <w:szCs w:val="24"/>
        </w:rPr>
        <w:t>W</w:t>
      </w:r>
      <w:r w:rsidR="00061958" w:rsidRPr="00061958">
        <w:rPr>
          <w:rFonts w:eastAsia="Calibri" w:cs="Times New Roman"/>
          <w:szCs w:val="24"/>
        </w:rPr>
        <w:t>hile adopting different costing methodologies</w:t>
      </w:r>
      <w:r w:rsidR="00061958">
        <w:rPr>
          <w:rFonts w:eastAsia="Calibri" w:cs="Times New Roman"/>
          <w:szCs w:val="24"/>
        </w:rPr>
        <w:t>, s</w:t>
      </w:r>
      <w:r w:rsidR="00D34BF4">
        <w:rPr>
          <w:rFonts w:eastAsia="Calibri" w:cs="Times New Roman"/>
          <w:szCs w:val="24"/>
        </w:rPr>
        <w:t xml:space="preserve">imilar findings were </w:t>
      </w:r>
      <w:r w:rsidR="00061958">
        <w:rPr>
          <w:rFonts w:eastAsia="Calibri" w:cs="Times New Roman"/>
          <w:szCs w:val="24"/>
        </w:rPr>
        <w:t>also reported by</w:t>
      </w:r>
      <w:r w:rsidR="000D4DBF">
        <w:rPr>
          <w:rFonts w:eastAsia="Calibri" w:cs="Times New Roman"/>
          <w:szCs w:val="24"/>
        </w:rPr>
        <w:t xml:space="preserve"> </w:t>
      </w:r>
      <w:r w:rsidR="00061958">
        <w:rPr>
          <w:rFonts w:eastAsia="Calibri" w:cs="Times New Roman"/>
          <w:szCs w:val="24"/>
        </w:rPr>
        <w:t>other European</w:t>
      </w:r>
      <w:r w:rsidR="000D4DBF">
        <w:rPr>
          <w:rFonts w:eastAsia="Calibri" w:cs="Times New Roman"/>
          <w:szCs w:val="24"/>
        </w:rPr>
        <w:t xml:space="preserve"> studies</w:t>
      </w:r>
      <w:r w:rsidR="00061958">
        <w:rPr>
          <w:rFonts w:eastAsia="Calibri" w:cs="Times New Roman"/>
          <w:szCs w:val="24"/>
        </w:rPr>
        <w:t xml:space="preserve"> </w:t>
      </w:r>
      <w:r w:rsidR="00061958">
        <w:rPr>
          <w:rFonts w:eastAsia="Calibri" w:cs="Times New Roman"/>
          <w:szCs w:val="24"/>
        </w:rPr>
        <w:fldChar w:fldCharType="begin">
          <w:fldData xml:space="preserve">PEVuZE5vdGU+PENpdGU+PEF1dGhvcj5Kb25zc29uPC9BdXRob3I+PFllYXI+MjAwMDwvWWVhcj48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PEVuZE5vdGU+PENpdGU+PEF1dGhvcj5Kb25zc29uPC9BdXRob3I+PFllYXI+MjAwMDwvWWVhcj48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00061958">
        <w:rPr>
          <w:rFonts w:eastAsia="Calibri" w:cs="Times New Roman"/>
          <w:szCs w:val="24"/>
        </w:rPr>
      </w:r>
      <w:r w:rsidR="00061958">
        <w:rPr>
          <w:rFonts w:eastAsia="Calibri" w:cs="Times New Roman"/>
          <w:szCs w:val="24"/>
        </w:rPr>
        <w:fldChar w:fldCharType="separate"/>
      </w:r>
      <w:r w:rsidR="00B44AFF">
        <w:rPr>
          <w:rFonts w:eastAsia="Calibri" w:cs="Times New Roman"/>
          <w:noProof/>
          <w:szCs w:val="24"/>
        </w:rPr>
        <w:t>(29-31)</w:t>
      </w:r>
      <w:r w:rsidR="00061958">
        <w:rPr>
          <w:rFonts w:eastAsia="Calibri" w:cs="Times New Roman"/>
          <w:szCs w:val="24"/>
        </w:rPr>
        <w:fldChar w:fldCharType="end"/>
      </w:r>
      <w:r w:rsidR="00D34BF4">
        <w:rPr>
          <w:rFonts w:eastAsia="Calibri" w:cs="Times New Roman"/>
          <w:szCs w:val="24"/>
        </w:rPr>
        <w:t>.</w:t>
      </w:r>
      <w:r w:rsidR="000D4DBF">
        <w:rPr>
          <w:rFonts w:eastAsia="Calibri" w:cs="Times New Roman"/>
          <w:szCs w:val="24"/>
        </w:rPr>
        <w:t xml:space="preserve"> </w:t>
      </w:r>
      <w:r w:rsidRPr="00ED53A0">
        <w:rPr>
          <w:rFonts w:eastAsia="Calibri" w:cs="Times New Roman"/>
          <w:szCs w:val="24"/>
        </w:rPr>
        <w:t xml:space="preserve">On the other hand, a US study by Gore et al. </w:t>
      </w:r>
      <w:r w:rsidRPr="00ED53A0">
        <w:rPr>
          <w:rFonts w:eastAsia="Calibri" w:cs="Times New Roman"/>
          <w:szCs w:val="24"/>
        </w:rPr>
        <w:fldChar w:fldCharType="begin">
          <w:fldData xml:space="preserve">PEVuZE5vdGU+PENpdGU+PEF1dGhvcj5Hb3JlPC9BdXRob3I+PFllYXI+MjAxMjwvWWVhcj48UmVj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</w:fldData>
        </w:fldChar>
      </w:r>
      <w:r w:rsidR="00B44AFF">
        <w:rPr>
          <w:rFonts w:eastAsia="Calibri" w:cs="Times New Roman"/>
          <w:szCs w:val="24"/>
        </w:rPr>
        <w:instrText xml:space="preserve"> ADDIN EN.CITE </w:instrText>
      </w:r>
      <w:r w:rsidR="00B44AFF">
        <w:rPr>
          <w:rFonts w:eastAsia="Calibri" w:cs="Times New Roman"/>
          <w:szCs w:val="24"/>
        </w:rPr>
        <w:fldChar w:fldCharType="begin">
          <w:fldData xml:space="preserve">PEVuZE5vdGU+PENpdGU+PEF1dGhvcj5Hb3JlPC9BdXRob3I+PFllYXI+MjAxMjwvWWVhcj48UmVj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</w:fldData>
        </w:fldChar>
      </w:r>
      <w:r w:rsidR="00B44AFF">
        <w:rPr>
          <w:rFonts w:eastAsia="Calibri" w:cs="Times New Roman"/>
          <w:szCs w:val="24"/>
        </w:rPr>
        <w:instrText xml:space="preserve"> ADDIN EN.CITE.DATA </w:instrText>
      </w:r>
      <w:r w:rsidR="00B44AFF">
        <w:rPr>
          <w:rFonts w:eastAsia="Calibri" w:cs="Times New Roman"/>
          <w:szCs w:val="24"/>
        </w:rPr>
      </w:r>
      <w:r w:rsidR="00B44AFF">
        <w:rPr>
          <w:rFonts w:eastAsia="Calibri" w:cs="Times New Roman"/>
          <w:szCs w:val="24"/>
        </w:rPr>
        <w:fldChar w:fldCharType="end"/>
      </w:r>
      <w:r w:rsidRPr="00ED53A0">
        <w:rPr>
          <w:rFonts w:eastAsia="Calibri" w:cs="Times New Roman"/>
          <w:szCs w:val="24"/>
        </w:rPr>
      </w:r>
      <w:r w:rsidRPr="00ED53A0">
        <w:rPr>
          <w:rFonts w:eastAsia="Calibri" w:cs="Times New Roman"/>
          <w:szCs w:val="24"/>
        </w:rPr>
        <w:fldChar w:fldCharType="separate"/>
      </w:r>
      <w:r w:rsidR="00B44AFF">
        <w:rPr>
          <w:rFonts w:eastAsia="Calibri" w:cs="Times New Roman"/>
          <w:noProof/>
          <w:szCs w:val="24"/>
        </w:rPr>
        <w:t>(32)</w:t>
      </w:r>
      <w:r w:rsidRPr="00ED53A0">
        <w:rPr>
          <w:rFonts w:eastAsia="Calibri" w:cs="Times New Roman"/>
          <w:szCs w:val="24"/>
        </w:rPr>
        <w:fldChar w:fldCharType="end"/>
      </w:r>
      <w:r w:rsidR="003D137B">
        <w:rPr>
          <w:rFonts w:eastAsia="Calibri" w:cs="Times New Roman"/>
          <w:szCs w:val="24"/>
        </w:rPr>
        <w:t xml:space="preserve"> </w:t>
      </w:r>
      <w:r w:rsidR="003D137B" w:rsidRPr="003D137B">
        <w:rPr>
          <w:rFonts w:eastAsia="Calibri" w:cs="Times New Roman"/>
          <w:szCs w:val="24"/>
        </w:rPr>
        <w:t>found that consultations and prescriptions contributed almost equally to the marginal cost of CLBP</w:t>
      </w:r>
      <w:r w:rsidR="003D137B">
        <w:rPr>
          <w:rFonts w:eastAsia="Calibri" w:cs="Times New Roman"/>
          <w:szCs w:val="24"/>
        </w:rPr>
        <w:t xml:space="preserve">. </w:t>
      </w:r>
      <w:r w:rsidR="00D66D7C">
        <w:rPr>
          <w:rFonts w:eastAsia="Calibri" w:cs="Times New Roman"/>
          <w:szCs w:val="24"/>
        </w:rPr>
        <w:t xml:space="preserve">This could be partly due to the more relaxed prescribing patterns for analgesics in the US </w:t>
      </w:r>
      <w:r w:rsidR="008B0411">
        <w:rPr>
          <w:rFonts w:eastAsia="Calibri" w:cs="Times New Roman"/>
          <w:szCs w:val="24"/>
        </w:rPr>
        <w:t>and</w:t>
      </w:r>
      <w:r w:rsidR="00D66D7C">
        <w:rPr>
          <w:rFonts w:eastAsia="Calibri" w:cs="Times New Roman"/>
          <w:szCs w:val="24"/>
        </w:rPr>
        <w:t xml:space="preserve"> the higher drug prices compared to NHS in the UK. </w:t>
      </w:r>
      <w:r w:rsidR="003D137B">
        <w:rPr>
          <w:rFonts w:eastAsia="Calibri" w:cs="Times New Roman"/>
          <w:szCs w:val="24"/>
        </w:rPr>
        <w:t>H</w:t>
      </w:r>
      <w:r w:rsidRPr="00ED53A0">
        <w:rPr>
          <w:rFonts w:eastAsia="Calibri" w:cs="Times New Roman"/>
          <w:szCs w:val="24"/>
        </w:rPr>
        <w:t xml:space="preserve">ence there was no consistency due to methodological differences among the studies. For example, Martin et al. </w:t>
      </w:r>
      <w:r w:rsidR="00254F3A">
        <w:rPr>
          <w:rFonts w:eastAsia="Calibri" w:cs="Times New Roman"/>
          <w:szCs w:val="24"/>
        </w:rPr>
        <w:fldChar w:fldCharType="begin"/>
      </w:r>
      <w:r w:rsidR="00B44AFF">
        <w:rPr>
          <w:rFonts w:eastAsia="Calibri" w:cs="Times New Roman"/>
          <w:szCs w:val="24"/>
        </w:rPr>
        <w:instrText xml:space="preserve"> ADDIN EN.CITE &lt;EndNote&gt;&lt;Cite&gt;&lt;Author&gt;Martin&lt;/Author&gt;&lt;Year&gt;2008&lt;/Year&gt;&lt;RecNum&gt;141&lt;/RecNum&gt;&lt;DisplayText&gt;(28)&lt;/DisplayText&gt;&lt;record&gt;&lt;rec-number&gt;141&lt;/rec-number&gt;&lt;foreign-keys&gt;&lt;key app="EN" db-id="wvr0axtt1w9rr8efern5p95ofraatp209r09" timestamp="1518188156"&gt;141&lt;/key&gt;&lt;/foreign-keys&gt;&lt;ref-type name="Journal Article"&gt;17&lt;/ref-type&gt;&lt;contributors&gt;&lt;authors&gt;&lt;author&gt;Martin, B. I.&lt;/author&gt;&lt;author&gt;Deyo, R. A.&lt;/author&gt;&lt;author&gt;Mirza, S. K.&lt;/author&gt;&lt;author&gt;Turner, J. A.&lt;/author&gt;&lt;author&gt;Comstock, B. A.&lt;/author&gt;&lt;author&gt;Hollingworth, W.&lt;/author&gt;&lt;author&gt;Sullivan, S. D.&lt;/author&gt;&lt;/authors&gt;&lt;/contributors&gt;&lt;auth-address&gt;Department of Orthopaedics and Sports Medicine, University of Washington, Seattle, WA 98104, USA. bim@u.washington.edu&lt;/auth-address&gt;&lt;titles&gt;&lt;title&gt;Expenditures and health status among adults with back and neck problems&lt;/title&gt;&lt;secondary-title&gt;JAMA&lt;/secondary-title&gt;&lt;/titles&gt;&lt;periodical&gt;&lt;full-title&gt;JAMA&lt;/full-title&gt;&lt;/periodical&gt;&lt;pages&gt;656-64&lt;/pages&gt;&lt;volume&gt;299&lt;/volume&gt;&lt;number&gt;6&lt;/number&gt;&lt;keywords&gt;&lt;keyword&gt;Activities of Daily Living&lt;/keyword&gt;&lt;keyword&gt;Adult&lt;/keyword&gt;&lt;keyword&gt;Back Pain/*economics/therapy&lt;/keyword&gt;&lt;keyword&gt;*Cost of Illness&lt;/keyword&gt;&lt;keyword&gt;Female&lt;/keyword&gt;&lt;keyword&gt;*Health Expenditures&lt;/keyword&gt;&lt;keyword&gt;*Health Status&lt;/keyword&gt;&lt;keyword&gt;Health Surveys&lt;/keyword&gt;&lt;keyword&gt;Humans&lt;/keyword&gt;&lt;keyword&gt;Male&lt;/keyword&gt;&lt;keyword&gt;Middle Aged&lt;/keyword&gt;&lt;keyword&gt;Neck Pain/*economics/therapy&lt;/keyword&gt;&lt;keyword&gt;Spinal Diseases/*economics/therapy&lt;/keyword&gt;&lt;keyword&gt;United States&lt;/keyword&gt;&lt;/keywords&gt;&lt;dates&gt;&lt;year&gt;2008&lt;/year&gt;&lt;pub-dates&gt;&lt;date&gt;Feb 13&lt;/date&gt;&lt;/pub-dates&gt;&lt;/dates&gt;&lt;isbn&gt;1538-3598 (Electronic)&amp;#xD;0098-7484 (Linking)&lt;/isbn&gt;&lt;accession-num&gt;18270354&lt;/accession-num&gt;&lt;urls&gt;&lt;related-urls&gt;&lt;url&gt;https://www.ncbi.nlm.nih.gov/pubmed/18270354&lt;/url&gt;&lt;/related-urls&gt;&lt;/urls&gt;&lt;electronic-resource-num&gt;10.1001/jama.299.6.656&lt;/electronic-resource-num&gt;&lt;/record&gt;&lt;/Cite&gt;&lt;/EndNote&gt;</w:instrText>
      </w:r>
      <w:r w:rsidR="00254F3A">
        <w:rPr>
          <w:rFonts w:eastAsia="Calibri" w:cs="Times New Roman"/>
          <w:szCs w:val="24"/>
        </w:rPr>
        <w:fldChar w:fldCharType="separate"/>
      </w:r>
      <w:r w:rsidR="00B44AFF">
        <w:rPr>
          <w:rFonts w:eastAsia="Calibri" w:cs="Times New Roman"/>
          <w:noProof/>
          <w:szCs w:val="24"/>
        </w:rPr>
        <w:t>(28)</w:t>
      </w:r>
      <w:r w:rsidR="00254F3A">
        <w:rPr>
          <w:rFonts w:eastAsia="Calibri" w:cs="Times New Roman"/>
          <w:szCs w:val="24"/>
        </w:rPr>
        <w:fldChar w:fldCharType="end"/>
      </w:r>
      <w:r w:rsidR="00254F3A">
        <w:rPr>
          <w:rFonts w:eastAsia="Calibri" w:cs="Times New Roman"/>
          <w:szCs w:val="24"/>
        </w:rPr>
        <w:t xml:space="preserve"> </w:t>
      </w:r>
      <w:r w:rsidRPr="00ED53A0">
        <w:rPr>
          <w:rFonts w:eastAsia="Calibri" w:cs="Times New Roman"/>
          <w:szCs w:val="24"/>
        </w:rPr>
        <w:t xml:space="preserve">had combined consultations and other ambulatory services into a single outpatient service category making direct comparison of the findings problematic. </w:t>
      </w:r>
      <w:r w:rsidR="00C63264">
        <w:rPr>
          <w:rFonts w:eastAsia="Calibri" w:cs="Times New Roman"/>
          <w:szCs w:val="24"/>
        </w:rPr>
        <w:t>A</w:t>
      </w:r>
      <w:r w:rsidR="00DB072E">
        <w:rPr>
          <w:rFonts w:eastAsia="Calibri" w:cs="Times New Roman"/>
          <w:szCs w:val="24"/>
        </w:rPr>
        <w:t xml:space="preserve"> </w:t>
      </w:r>
      <w:r w:rsidR="00C63264">
        <w:rPr>
          <w:rFonts w:eastAsia="Calibri" w:cs="Times New Roman"/>
          <w:szCs w:val="24"/>
        </w:rPr>
        <w:t xml:space="preserve">systematic scoping review </w:t>
      </w:r>
      <w:r w:rsidR="00D4671E">
        <w:rPr>
          <w:rFonts w:eastAsia="Calibri" w:cs="Times New Roman"/>
          <w:szCs w:val="24"/>
        </w:rPr>
        <w:t>on methodologies used to assess the cost</w:t>
      </w:r>
      <w:r w:rsidR="00602684">
        <w:rPr>
          <w:rFonts w:eastAsia="Calibri" w:cs="Times New Roman"/>
          <w:szCs w:val="24"/>
        </w:rPr>
        <w:t>s</w:t>
      </w:r>
      <w:r w:rsidR="00D4671E">
        <w:rPr>
          <w:rFonts w:eastAsia="Calibri" w:cs="Times New Roman"/>
          <w:szCs w:val="24"/>
        </w:rPr>
        <w:t xml:space="preserve"> of back pain</w:t>
      </w:r>
      <w:r w:rsidR="00543B2B">
        <w:rPr>
          <w:rFonts w:eastAsia="Calibri" w:cs="Times New Roman"/>
          <w:szCs w:val="24"/>
        </w:rPr>
        <w:t xml:space="preserve"> </w:t>
      </w:r>
      <w:r w:rsidR="000212DE">
        <w:rPr>
          <w:rFonts w:eastAsia="Calibri" w:cs="Times New Roman"/>
          <w:szCs w:val="24"/>
        </w:rPr>
        <w:t xml:space="preserve">also </w:t>
      </w:r>
      <w:r w:rsidR="00543B2B">
        <w:rPr>
          <w:rFonts w:eastAsia="Calibri" w:cs="Times New Roman"/>
          <w:szCs w:val="24"/>
        </w:rPr>
        <w:t>highlighted th</w:t>
      </w:r>
      <w:r w:rsidR="0015415C">
        <w:rPr>
          <w:rFonts w:eastAsia="Calibri" w:cs="Times New Roman"/>
          <w:szCs w:val="24"/>
        </w:rPr>
        <w:t xml:space="preserve">e existence of several methodological challenges that influenced the magnitude and accuracy of estimates reported </w:t>
      </w:r>
      <w:r w:rsidR="0015415C">
        <w:rPr>
          <w:rFonts w:eastAsia="Calibri" w:cs="Times New Roman"/>
          <w:szCs w:val="24"/>
        </w:rPr>
        <w:fldChar w:fldCharType="begin"/>
      </w:r>
      <w:r w:rsidR="00B44AFF">
        <w:rPr>
          <w:rFonts w:eastAsia="Calibri" w:cs="Times New Roman"/>
          <w:szCs w:val="24"/>
        </w:rPr>
        <w:instrText xml:space="preserve"> ADDIN EN.CITE &lt;EndNote&gt;&lt;Cite&gt;&lt;Author&gt;Zemedikun&lt;/Author&gt;&lt;Year&gt;2021&lt;/Year&gt;&lt;RecNum&gt;376&lt;/RecNum&gt;&lt;DisplayText&gt;(33)&lt;/DisplayText&gt;&lt;record&gt;&lt;rec-number&gt;376&lt;/rec-number&gt;&lt;foreign-keys&gt;&lt;key app="EN" db-id="wvr0axtt1w9rr8efern5p95ofraatp209r09" timestamp="1643827028"&gt;376&lt;/key&gt;&lt;/foreign-keys&gt;&lt;ref-type name="Journal Article"&gt;17&lt;/ref-type&gt;&lt;contributors&gt;&lt;authors&gt;&lt;author&gt;Zemedikun, D. T.&lt;/author&gt;&lt;author&gt;Kigozi, J.&lt;/author&gt;&lt;author&gt;Wynne-Jones, G.&lt;/author&gt;&lt;author&gt;Guariglia, A.&lt;/author&gt;&lt;author&gt;Roberts, T.&lt;/author&gt;&lt;/authors&gt;&lt;/contributors&gt;&lt;auth-address&gt;Health Economics Unit, Institute of Applied Health Research, University of Birmingham, Birmingham, England, United Kingdom.&amp;#xD;Primary Care Centre Versus Arthritis, Research Institute for Primary Care &amp;amp; Health Sciences, Keele University, Staffordshire, Keele, England, United Kingdom.&amp;#xD;Department of Economics, University of Birmingham, Birmingham, England, United Kingdom.&lt;/auth-address&gt;&lt;titles&gt;&lt;title&gt;Methodological considerations in the assessment of direct and indirect costs of back pain: A systematic scoping review&lt;/title&gt;&lt;secondary-title&gt;PLoS One&lt;/secondary-title&gt;&lt;/titles&gt;&lt;periodical&gt;&lt;full-title&gt;PLoS One&lt;/full-title&gt;&lt;/periodical&gt;&lt;pages&gt;e0251406&lt;/pages&gt;&lt;volume&gt;16&lt;/volume&gt;&lt;number&gt;5&lt;/number&gt;&lt;edition&gt;2021/05/12&lt;/edition&gt;&lt;keywords&gt;&lt;keyword&gt;Back Pain/*economics&lt;/keyword&gt;&lt;keyword&gt;*Cost of Illness&lt;/keyword&gt;&lt;keyword&gt;Costs and Cost Analysis/*methods&lt;/keyword&gt;&lt;keyword&gt;Europe&lt;/keyword&gt;&lt;keyword&gt;Health Care Costs/*statistics &amp;amp; numerical data&lt;/keyword&gt;&lt;keyword&gt;Humans&lt;/keyword&gt;&lt;keyword&gt;Japan&lt;/keyword&gt;&lt;keyword&gt;North America&lt;/keyword&gt;&lt;/keywords&gt;&lt;dates&gt;&lt;year&gt;2021&lt;/year&gt;&lt;/dates&gt;&lt;isbn&gt;1932-6203 (Electronic)&amp;#xD;1932-6203 (Linking)&lt;/isbn&gt;&lt;accession-num&gt;33974661&lt;/accession-num&gt;&lt;urls&gt;&lt;related-urls&gt;&lt;url&gt;https://www.ncbi.nlm.nih.gov/pubmed/33974661&lt;/url&gt;&lt;/related-urls&gt;&lt;/urls&gt;&lt;custom2&gt;PMC8112645&lt;/custom2&gt;&lt;electronic-resource-num&gt;10.1371/journal.pone.0251406&lt;/electronic-resource-num&gt;&lt;/record&gt;&lt;/Cite&gt;&lt;/EndNote&gt;</w:instrText>
      </w:r>
      <w:r w:rsidR="0015415C">
        <w:rPr>
          <w:rFonts w:eastAsia="Calibri" w:cs="Times New Roman"/>
          <w:szCs w:val="24"/>
        </w:rPr>
        <w:fldChar w:fldCharType="separate"/>
      </w:r>
      <w:r w:rsidR="00B44AFF">
        <w:rPr>
          <w:rFonts w:eastAsia="Calibri" w:cs="Times New Roman"/>
          <w:noProof/>
          <w:szCs w:val="24"/>
        </w:rPr>
        <w:t>(33)</w:t>
      </w:r>
      <w:r w:rsidR="0015415C">
        <w:rPr>
          <w:rFonts w:eastAsia="Calibri" w:cs="Times New Roman"/>
          <w:szCs w:val="24"/>
        </w:rPr>
        <w:fldChar w:fldCharType="end"/>
      </w:r>
      <w:r w:rsidR="0015415C">
        <w:rPr>
          <w:rFonts w:eastAsia="Calibri" w:cs="Times New Roman"/>
          <w:szCs w:val="24"/>
        </w:rPr>
        <w:t>.</w:t>
      </w:r>
    </w:p>
    <w:p w14:paraId="38E9270C" w14:textId="77777777" w:rsidR="00A970B0" w:rsidRPr="00ED53A0" w:rsidRDefault="00A970B0" w:rsidP="00F7099B">
      <w:pPr>
        <w:pStyle w:val="Heading1"/>
        <w:rPr>
          <w:rFonts w:eastAsia="Calibri"/>
          <w:b w:val="0"/>
        </w:rPr>
      </w:pPr>
      <w:bookmarkStart w:id="15" w:name="_Toc15458468"/>
      <w:r w:rsidRPr="00ED53A0">
        <w:rPr>
          <w:rFonts w:eastAsia="Calibri"/>
        </w:rPr>
        <w:t>Conclusion</w:t>
      </w:r>
      <w:bookmarkEnd w:id="15"/>
    </w:p>
    <w:p w14:paraId="2932947A" w14:textId="5E13B6D4" w:rsidR="00054461" w:rsidRDefault="00B60547" w:rsidP="00A56A8C">
      <w:pPr>
        <w:spacing w:before="120" w:after="240" w:line="480" w:lineRule="auto"/>
        <w:rPr>
          <w:rFonts w:eastAsia="Calibri" w:cs="Times New Roman"/>
          <w:szCs w:val="24"/>
        </w:rPr>
      </w:pPr>
      <w:r>
        <w:rPr>
          <w:rFonts w:eastAsia="Calibri" w:cs="Times New Roman"/>
          <w:szCs w:val="24"/>
        </w:rPr>
        <w:t xml:space="preserve">This study presents the annual healthcare resource utilisation and costs of back pain in the UK primary care, highlighting cost variations </w:t>
      </w:r>
      <w:r w:rsidR="000E0697">
        <w:rPr>
          <w:rFonts w:eastAsia="Calibri" w:cs="Times New Roman"/>
          <w:szCs w:val="24"/>
        </w:rPr>
        <w:t>across</w:t>
      </w:r>
      <w:r>
        <w:rPr>
          <w:rFonts w:eastAsia="Calibri" w:cs="Times New Roman"/>
          <w:szCs w:val="24"/>
        </w:rPr>
        <w:t xml:space="preserve"> socio-demographic and clinical factors. These </w:t>
      </w:r>
      <w:r w:rsidR="00FC0979">
        <w:rPr>
          <w:rFonts w:eastAsia="Calibri" w:cs="Times New Roman"/>
          <w:szCs w:val="24"/>
        </w:rPr>
        <w:t>data</w:t>
      </w:r>
      <w:r>
        <w:rPr>
          <w:rFonts w:eastAsia="Calibri" w:cs="Times New Roman"/>
          <w:szCs w:val="24"/>
        </w:rPr>
        <w:t xml:space="preserve"> </w:t>
      </w:r>
      <w:r w:rsidR="00A970B0" w:rsidRPr="00ED53A0">
        <w:rPr>
          <w:rFonts w:eastAsia="Calibri" w:cs="Times New Roman"/>
          <w:szCs w:val="24"/>
        </w:rPr>
        <w:t xml:space="preserve">confirm the substantial </w:t>
      </w:r>
      <w:r>
        <w:rPr>
          <w:rFonts w:eastAsia="Calibri" w:cs="Times New Roman"/>
          <w:szCs w:val="24"/>
        </w:rPr>
        <w:t>healthcare burden</w:t>
      </w:r>
      <w:r w:rsidR="00A970B0" w:rsidRPr="00ED53A0">
        <w:rPr>
          <w:rFonts w:eastAsia="Calibri" w:cs="Times New Roman"/>
          <w:szCs w:val="24"/>
        </w:rPr>
        <w:t xml:space="preserve"> associated with back pain</w:t>
      </w:r>
      <w:r w:rsidR="00713609">
        <w:rPr>
          <w:rFonts w:eastAsia="Calibri" w:cs="Times New Roman"/>
          <w:szCs w:val="24"/>
        </w:rPr>
        <w:t xml:space="preserve"> and the need for </w:t>
      </w:r>
      <w:r w:rsidR="0055336F">
        <w:rPr>
          <w:rFonts w:eastAsia="Calibri" w:cs="Times New Roman"/>
          <w:szCs w:val="24"/>
        </w:rPr>
        <w:t>identifying subgroups of patients</w:t>
      </w:r>
      <w:r w:rsidR="00A970B0" w:rsidRPr="00ED53A0">
        <w:rPr>
          <w:rFonts w:eastAsia="Calibri" w:cs="Times New Roman"/>
          <w:szCs w:val="24"/>
        </w:rPr>
        <w:t xml:space="preserve"> contributing to higher expenditure. </w:t>
      </w:r>
      <w:r w:rsidR="000E0697">
        <w:rPr>
          <w:rFonts w:eastAsia="Calibri" w:cs="Times New Roman"/>
          <w:szCs w:val="24"/>
        </w:rPr>
        <w:t>Identification of the magnitude and patterns of expenditure can help guide research priorities for early</w:t>
      </w:r>
      <w:r w:rsidR="00D91CB0">
        <w:rPr>
          <w:rFonts w:eastAsia="Calibri" w:cs="Times New Roman"/>
          <w:szCs w:val="24"/>
        </w:rPr>
        <w:t xml:space="preserve"> </w:t>
      </w:r>
      <w:r w:rsidR="00D91CB0" w:rsidRPr="00D91CB0">
        <w:rPr>
          <w:rFonts w:eastAsia="Calibri" w:cs="Times New Roman"/>
          <w:szCs w:val="24"/>
        </w:rPr>
        <w:t xml:space="preserve">treatment </w:t>
      </w:r>
      <w:r w:rsidR="000E0697">
        <w:rPr>
          <w:rFonts w:eastAsia="Calibri" w:cs="Times New Roman"/>
          <w:szCs w:val="24"/>
        </w:rPr>
        <w:t>to</w:t>
      </w:r>
      <w:r w:rsidR="00D91CB0" w:rsidRPr="00D91CB0">
        <w:rPr>
          <w:rFonts w:eastAsia="Calibri" w:cs="Times New Roman"/>
          <w:szCs w:val="24"/>
        </w:rPr>
        <w:t xml:space="preserve"> improve health</w:t>
      </w:r>
      <w:r w:rsidR="00D91CB0">
        <w:rPr>
          <w:rFonts w:eastAsia="Calibri" w:cs="Times New Roman"/>
          <w:szCs w:val="24"/>
        </w:rPr>
        <w:t xml:space="preserve"> </w:t>
      </w:r>
      <w:r w:rsidR="00D91CB0" w:rsidRPr="00D91CB0">
        <w:rPr>
          <w:rFonts w:eastAsia="Calibri" w:cs="Times New Roman"/>
          <w:szCs w:val="24"/>
        </w:rPr>
        <w:t xml:space="preserve">outcomes and reduce the economic burden of </w:t>
      </w:r>
      <w:r w:rsidR="00D91CB0">
        <w:rPr>
          <w:rFonts w:eastAsia="Calibri" w:cs="Times New Roman"/>
          <w:szCs w:val="24"/>
        </w:rPr>
        <w:t>back pain</w:t>
      </w:r>
      <w:r w:rsidR="00D91CB0" w:rsidRPr="00D91CB0">
        <w:rPr>
          <w:rFonts w:eastAsia="Calibri" w:cs="Times New Roman"/>
          <w:szCs w:val="24"/>
        </w:rPr>
        <w:t>.</w:t>
      </w:r>
      <w:r w:rsidR="00F92E6C" w:rsidRPr="00F92E6C">
        <w:t xml:space="preserve"> </w:t>
      </w:r>
      <w:r w:rsidR="00F92E6C" w:rsidRPr="00F92E6C">
        <w:rPr>
          <w:rFonts w:eastAsia="Calibri" w:cs="Times New Roman"/>
          <w:szCs w:val="24"/>
        </w:rPr>
        <w:t xml:space="preserve">The </w:t>
      </w:r>
      <w:r w:rsidR="00126C14">
        <w:rPr>
          <w:rFonts w:eastAsia="Calibri" w:cs="Times New Roman"/>
          <w:szCs w:val="24"/>
        </w:rPr>
        <w:t>results of this</w:t>
      </w:r>
      <w:r w:rsidR="00F92E6C" w:rsidRPr="00F92E6C">
        <w:rPr>
          <w:rFonts w:eastAsia="Calibri" w:cs="Times New Roman"/>
          <w:szCs w:val="24"/>
        </w:rPr>
        <w:t xml:space="preserve"> study may provide important information for researchers and public health policy </w:t>
      </w:r>
      <w:proofErr w:type="gramStart"/>
      <w:r w:rsidR="00F92E6C" w:rsidRPr="00F92E6C">
        <w:rPr>
          <w:rFonts w:eastAsia="Calibri" w:cs="Times New Roman"/>
          <w:szCs w:val="24"/>
        </w:rPr>
        <w:t xml:space="preserve">makers, </w:t>
      </w:r>
      <w:r w:rsidR="00F92E6C" w:rsidRPr="00F92E6C">
        <w:rPr>
          <w:rFonts w:eastAsia="Calibri" w:cs="Times New Roman"/>
          <w:szCs w:val="24"/>
        </w:rPr>
        <w:lastRenderedPageBreak/>
        <w:t>and</w:t>
      </w:r>
      <w:proofErr w:type="gramEnd"/>
      <w:r w:rsidR="00F92E6C" w:rsidRPr="00F92E6C">
        <w:rPr>
          <w:rFonts w:eastAsia="Calibri" w:cs="Times New Roman"/>
          <w:szCs w:val="24"/>
        </w:rPr>
        <w:t xml:space="preserve"> will inform economic evaluations of interventions to treat or prevent the consequences of back pain.</w:t>
      </w:r>
    </w:p>
    <w:p w14:paraId="78F24DCC" w14:textId="77777777" w:rsidR="00054461" w:rsidRDefault="00054461" w:rsidP="00A56A8C">
      <w:pPr>
        <w:spacing w:before="120" w:after="240" w:line="480" w:lineRule="auto"/>
        <w:rPr>
          <w:rFonts w:eastAsia="Calibri" w:cs="Times New Roman"/>
          <w:szCs w:val="24"/>
        </w:rPr>
      </w:pPr>
    </w:p>
    <w:p w14:paraId="44B717F1" w14:textId="77777777" w:rsidR="00894536" w:rsidRDefault="00894536" w:rsidP="00A56A8C">
      <w:pPr>
        <w:spacing w:before="120" w:after="240" w:line="480" w:lineRule="auto"/>
        <w:rPr>
          <w:rFonts w:eastAsia="Calibri" w:cs="Times New Roman"/>
          <w:szCs w:val="24"/>
        </w:rPr>
        <w:sectPr w:rsidR="00894536" w:rsidSect="00971955">
          <w:pgSz w:w="11906" w:h="16838"/>
          <w:pgMar w:top="1559" w:right="1440" w:bottom="1440" w:left="1440" w:header="709" w:footer="709" w:gutter="0"/>
          <w:lnNumType w:countBy="1" w:restart="continuous"/>
          <w:pgNumType w:start="1"/>
          <w:cols w:space="708"/>
          <w:docGrid w:linePitch="360"/>
        </w:sectPr>
      </w:pPr>
    </w:p>
    <w:p w14:paraId="1B75C534" w14:textId="77777777" w:rsidR="00296121" w:rsidRPr="001146A9" w:rsidRDefault="00296121" w:rsidP="00296121">
      <w:pPr>
        <w:pStyle w:val="Heading2"/>
      </w:pPr>
      <w:r w:rsidRPr="001146A9">
        <w:rPr>
          <w:rFonts w:eastAsia="Calibri"/>
        </w:rPr>
        <w:lastRenderedPageBreak/>
        <w:t>Acknowledgements</w:t>
      </w:r>
    </w:p>
    <w:p w14:paraId="62AAC584" w14:textId="6F429727" w:rsidR="00296121" w:rsidRDefault="00296121" w:rsidP="00296121">
      <w:pPr>
        <w:spacing w:line="480" w:lineRule="auto"/>
        <w:rPr>
          <w:rFonts w:eastAsia="Calibri" w:cs="Times New Roman"/>
          <w:szCs w:val="24"/>
        </w:rPr>
      </w:pPr>
      <w:r w:rsidRPr="0034165D">
        <w:t>The authors thank Dr Majid Artus for his expertise on the clinical area, and the comments and feedback received during the study</w:t>
      </w:r>
      <w:r w:rsidRPr="00016067">
        <w:rPr>
          <w:rFonts w:eastAsia="Calibri" w:cs="Times New Roman"/>
          <w:szCs w:val="24"/>
        </w:rPr>
        <w:t>.</w:t>
      </w:r>
    </w:p>
    <w:p w14:paraId="6B787D32" w14:textId="77777777" w:rsidR="002B39F5" w:rsidRPr="001146A9" w:rsidRDefault="002B39F5" w:rsidP="002B39F5">
      <w:pPr>
        <w:pStyle w:val="Heading2"/>
      </w:pPr>
      <w:r>
        <w:rPr>
          <w:rFonts w:eastAsia="Calibri"/>
        </w:rPr>
        <w:t>Declaration of conflicting</w:t>
      </w:r>
      <w:r w:rsidRPr="001146A9">
        <w:rPr>
          <w:rFonts w:eastAsia="Calibri"/>
        </w:rPr>
        <w:t xml:space="preserve"> interest</w:t>
      </w:r>
    </w:p>
    <w:p w14:paraId="6CF6CD27" w14:textId="13473960" w:rsidR="00784714" w:rsidRDefault="002B39F5" w:rsidP="002B39F5">
      <w:pPr>
        <w:spacing w:line="480" w:lineRule="auto"/>
        <w:rPr>
          <w:rFonts w:eastAsia="Calibri" w:cs="Times New Roman"/>
          <w:szCs w:val="24"/>
        </w:rPr>
      </w:pPr>
      <w:r w:rsidRPr="002B39F5">
        <w:t>The author(s) declared no potential conflicts of interest with respect to the research, authorship, and/or publication of this article.</w:t>
      </w:r>
    </w:p>
    <w:p w14:paraId="32B4CFD3" w14:textId="77777777" w:rsidR="00EA1EA4" w:rsidRPr="001146A9" w:rsidRDefault="00EA1EA4" w:rsidP="00EA1EA4">
      <w:pPr>
        <w:pStyle w:val="Heading2"/>
      </w:pPr>
      <w:r w:rsidRPr="001146A9">
        <w:rPr>
          <w:rFonts w:eastAsia="Calibri"/>
        </w:rPr>
        <w:t>Funding</w:t>
      </w:r>
    </w:p>
    <w:p w14:paraId="73D3C95F" w14:textId="39507A82" w:rsidR="00E26B49" w:rsidRPr="00EA1EA4" w:rsidRDefault="00EA1EA4" w:rsidP="00EA1EA4">
      <w:r>
        <w:t>No funding was received for this study.</w:t>
      </w:r>
    </w:p>
    <w:p w14:paraId="39873F05" w14:textId="6946BB43" w:rsidR="00937208" w:rsidRPr="001146A9" w:rsidRDefault="00937208" w:rsidP="008C656D">
      <w:pPr>
        <w:pStyle w:val="Heading2"/>
      </w:pPr>
      <w:r w:rsidRPr="001146A9">
        <w:rPr>
          <w:rFonts w:eastAsia="Calibri"/>
        </w:rPr>
        <w:t>Ethics approval</w:t>
      </w:r>
    </w:p>
    <w:p w14:paraId="1452C69C" w14:textId="31414C3C" w:rsidR="00D00B54" w:rsidRDefault="00C807BE" w:rsidP="000E6B5F">
      <w:pPr>
        <w:spacing w:line="480" w:lineRule="auto"/>
      </w:pPr>
      <w:bookmarkStart w:id="16" w:name="_Hlk126486659"/>
      <w:r>
        <w:t>This study was approved by the IQVIA Scientific Review Comm</w:t>
      </w:r>
      <w:r w:rsidR="009D4D7C">
        <w:t>ittee</w:t>
      </w:r>
      <w:r w:rsidR="00FC68F1">
        <w:t xml:space="preserve"> </w:t>
      </w:r>
      <w:r w:rsidR="00FC68F1" w:rsidRPr="00FC68F1">
        <w:t xml:space="preserve">(SRC </w:t>
      </w:r>
      <w:r w:rsidR="00D035D8">
        <w:t>r</w:t>
      </w:r>
      <w:r w:rsidR="00FC68F1" w:rsidRPr="00FC68F1">
        <w:t>eference:</w:t>
      </w:r>
      <w:r w:rsidR="009733D6">
        <w:t xml:space="preserve"> </w:t>
      </w:r>
      <w:bookmarkEnd w:id="16"/>
      <w:r w:rsidR="00FC68F1" w:rsidRPr="00FC68F1">
        <w:t>18THIN041)</w:t>
      </w:r>
      <w:r w:rsidR="00CC7D00">
        <w:t xml:space="preserve">, and the use of the </w:t>
      </w:r>
      <w:r w:rsidR="00A2163B">
        <w:t xml:space="preserve">data was approved by the </w:t>
      </w:r>
      <w:r w:rsidR="004206EB" w:rsidRPr="004206EB">
        <w:t>N</w:t>
      </w:r>
      <w:r w:rsidR="00A2163B">
        <w:t xml:space="preserve">ational </w:t>
      </w:r>
      <w:r w:rsidR="004206EB" w:rsidRPr="004206EB">
        <w:t>H</w:t>
      </w:r>
      <w:r w:rsidR="00A2163B">
        <w:t xml:space="preserve">ealth </w:t>
      </w:r>
      <w:r w:rsidR="004206EB" w:rsidRPr="004206EB">
        <w:t>S</w:t>
      </w:r>
      <w:r w:rsidR="0096701A">
        <w:t>ervice (NHS)</w:t>
      </w:r>
      <w:r w:rsidR="004206EB" w:rsidRPr="004206EB">
        <w:t xml:space="preserve"> Research Ethics Committee</w:t>
      </w:r>
      <w:r w:rsidR="0096701A">
        <w:t xml:space="preserve"> </w:t>
      </w:r>
      <w:r w:rsidR="0096701A" w:rsidRPr="002A6072">
        <w:t>(NHS Research Ethics Committee ref</w:t>
      </w:r>
      <w:r w:rsidR="00D035D8">
        <w:t>erence:</w:t>
      </w:r>
      <w:r w:rsidR="0096701A" w:rsidRPr="002A6072">
        <w:t xml:space="preserve"> 18/LO/0441).</w:t>
      </w:r>
      <w:r w:rsidR="000E6B5F">
        <w:t xml:space="preserve"> This was a secondary data study and data were fully anonymized and dissociated from patients. Therefore, there was no need for providing informed consent</w:t>
      </w:r>
      <w:r w:rsidR="00E37281">
        <w:t>.</w:t>
      </w:r>
      <w:r w:rsidR="00FC5EB0">
        <w:t xml:space="preserve"> The study was </w:t>
      </w:r>
      <w:r w:rsidR="00FC5EB0" w:rsidRPr="00FC5EB0">
        <w:t>carried out in accordance with the relevant guidelines and regulations.</w:t>
      </w:r>
    </w:p>
    <w:p w14:paraId="78CDD2B8" w14:textId="77777777" w:rsidR="00937208" w:rsidRPr="001146A9" w:rsidRDefault="00937208" w:rsidP="008C656D">
      <w:pPr>
        <w:pStyle w:val="Heading2"/>
      </w:pPr>
      <w:r w:rsidRPr="001146A9">
        <w:rPr>
          <w:rFonts w:eastAsia="Calibri"/>
        </w:rPr>
        <w:t>Availability of data and materials</w:t>
      </w:r>
    </w:p>
    <w:p w14:paraId="4601AB9B" w14:textId="19185759" w:rsidR="00E84A8F" w:rsidRPr="00937208" w:rsidRDefault="00095CA8" w:rsidP="00095CA8">
      <w:pPr>
        <w:spacing w:line="480" w:lineRule="auto"/>
      </w:pPr>
      <w:r>
        <w:t xml:space="preserve">The data that support the findings of this study are available from </w:t>
      </w:r>
      <w:proofErr w:type="gramStart"/>
      <w:r w:rsidR="00E83DA9" w:rsidRPr="00E83DA9">
        <w:t>IQVIA</w:t>
      </w:r>
      <w:proofErr w:type="gramEnd"/>
      <w:r w:rsidR="00E83DA9" w:rsidRPr="00E83DA9">
        <w:t xml:space="preserve"> </w:t>
      </w:r>
      <w:r>
        <w:t>but restrictions apply to the availability of these data, which were used under license for the current study, and so are</w:t>
      </w:r>
      <w:r w:rsidR="000B0091">
        <w:t xml:space="preserve"> </w:t>
      </w:r>
      <w:r>
        <w:t xml:space="preserve">not publicly available. Data are however available from </w:t>
      </w:r>
      <w:r w:rsidR="00524CB3" w:rsidRPr="00524CB3">
        <w:t>author KN</w:t>
      </w:r>
      <w:r w:rsidR="003241BC">
        <w:t xml:space="preserve"> </w:t>
      </w:r>
      <w:r w:rsidR="00524CB3" w:rsidRPr="00524CB3">
        <w:t>(k.nirantharan@bham.ac.uk)</w:t>
      </w:r>
      <w:r w:rsidR="003241BC">
        <w:t xml:space="preserve"> </w:t>
      </w:r>
      <w:r>
        <w:t>upon</w:t>
      </w:r>
      <w:r w:rsidR="000B0091">
        <w:t xml:space="preserve"> </w:t>
      </w:r>
      <w:r>
        <w:t>reasonable request and with</w:t>
      </w:r>
      <w:r w:rsidR="000B0091">
        <w:t xml:space="preserve"> </w:t>
      </w:r>
      <w:r>
        <w:t>permission of</w:t>
      </w:r>
      <w:r w:rsidR="002A5C10">
        <w:t xml:space="preserve"> IQVIA.</w:t>
      </w:r>
    </w:p>
    <w:p w14:paraId="43C962D9" w14:textId="77777777" w:rsidR="00937208" w:rsidRPr="001146A9" w:rsidRDefault="00937208" w:rsidP="008C656D">
      <w:pPr>
        <w:pStyle w:val="Heading2"/>
      </w:pPr>
      <w:r w:rsidRPr="001146A9">
        <w:rPr>
          <w:rFonts w:eastAsia="Calibri"/>
        </w:rPr>
        <w:lastRenderedPageBreak/>
        <w:t>Authors' contributions</w:t>
      </w:r>
    </w:p>
    <w:p w14:paraId="3C8AB1F2" w14:textId="2BAA7587" w:rsidR="0082744C" w:rsidRPr="0082744C" w:rsidRDefault="0010305F" w:rsidP="0082744C">
      <w:pPr>
        <w:spacing w:line="480" w:lineRule="auto"/>
      </w:pPr>
      <w:r w:rsidRPr="0010305F">
        <w:t>TR, GWJ, AG, and JK conceived and designed the study and supervised the work. DTZ analysed the data and drafted the manuscript. KN and TM contributed to acquisition of data and methodology. All authors reviewed, edited the manuscript, and approved the final manuscript.</w:t>
      </w:r>
    </w:p>
    <w:p w14:paraId="1419BC53" w14:textId="548796D3" w:rsidR="0082744C" w:rsidRPr="001146A9" w:rsidRDefault="0082744C" w:rsidP="0082744C">
      <w:pPr>
        <w:pStyle w:val="Heading2"/>
      </w:pPr>
      <w:r>
        <w:rPr>
          <w:rFonts w:eastAsia="Calibri"/>
        </w:rPr>
        <w:t>ORCID ID</w:t>
      </w:r>
    </w:p>
    <w:p w14:paraId="4072D81D" w14:textId="776EE14F" w:rsidR="00B16503" w:rsidRDefault="00D5436B" w:rsidP="0082744C">
      <w:r>
        <w:t>Dawit T Zemedikun</w:t>
      </w:r>
      <w:r w:rsidR="005D7E8F">
        <w:t xml:space="preserve"> </w:t>
      </w:r>
      <w:r w:rsidR="00CA6A3A">
        <w:t xml:space="preserve"> </w:t>
      </w:r>
      <w:hyperlink r:id="rId9" w:history="1">
        <w:r w:rsidR="00AF1AA0" w:rsidRPr="00266708">
          <w:rPr>
            <w:rStyle w:val="Hyperlink"/>
          </w:rPr>
          <w:t>https://orcid.org/0000-0003-3642-0456</w:t>
        </w:r>
      </w:hyperlink>
      <w:r w:rsidR="00AF1AA0">
        <w:t xml:space="preserve">  </w:t>
      </w:r>
    </w:p>
    <w:p w14:paraId="6E4614B7" w14:textId="41338CE7" w:rsidR="00B16503" w:rsidRPr="001146A9" w:rsidRDefault="00B16503" w:rsidP="00B16503">
      <w:pPr>
        <w:pStyle w:val="Heading2"/>
      </w:pPr>
      <w:r>
        <w:rPr>
          <w:rFonts w:eastAsia="Calibri"/>
        </w:rPr>
        <w:t>Supplementary material</w:t>
      </w:r>
    </w:p>
    <w:p w14:paraId="3A5A7AB8" w14:textId="0553BF99" w:rsidR="0082744C" w:rsidRPr="00EA1EA4" w:rsidRDefault="00611195" w:rsidP="0082744C">
      <w:r>
        <w:t>Supplementary material is available for the article</w:t>
      </w:r>
      <w:r w:rsidR="00D5436B">
        <w:t xml:space="preserve"> </w:t>
      </w:r>
    </w:p>
    <w:p w14:paraId="7D2CF763" w14:textId="77777777" w:rsidR="00B16503" w:rsidRDefault="00B16503" w:rsidP="00A56A8C">
      <w:pPr>
        <w:spacing w:before="120" w:after="240" w:line="480" w:lineRule="auto"/>
        <w:rPr>
          <w:rFonts w:eastAsia="Calibri" w:cs="Times New Roman"/>
          <w:b/>
          <w:bCs/>
          <w:szCs w:val="24"/>
        </w:rPr>
      </w:pPr>
    </w:p>
    <w:p w14:paraId="3C9217FB" w14:textId="27AEEFA9" w:rsidR="00ED434D" w:rsidRPr="00D07875" w:rsidRDefault="00ED434D" w:rsidP="00A56A8C">
      <w:pPr>
        <w:spacing w:before="120" w:after="240" w:line="480" w:lineRule="auto"/>
        <w:rPr>
          <w:rFonts w:eastAsia="Calibri" w:cs="Times New Roman"/>
          <w:b/>
          <w:bCs/>
          <w:szCs w:val="24"/>
        </w:rPr>
        <w:sectPr w:rsidR="00ED434D" w:rsidRPr="00D07875" w:rsidSect="00971955">
          <w:pgSz w:w="11906" w:h="16838"/>
          <w:pgMar w:top="1559" w:right="1440" w:bottom="1440" w:left="1440" w:header="709" w:footer="709" w:gutter="0"/>
          <w:lnNumType w:countBy="1" w:restart="continuous"/>
          <w:pgNumType w:start="1"/>
          <w:cols w:space="708"/>
          <w:docGrid w:linePitch="360"/>
        </w:sectPr>
      </w:pPr>
    </w:p>
    <w:p w14:paraId="31EBC231" w14:textId="4522E5E7" w:rsidR="001F3331" w:rsidRPr="001F3331" w:rsidRDefault="001F3331" w:rsidP="001F3331">
      <w:pPr>
        <w:pStyle w:val="Heading1"/>
      </w:pPr>
      <w:r>
        <w:lastRenderedPageBreak/>
        <w:t>References</w:t>
      </w:r>
    </w:p>
    <w:p w14:paraId="25F2C414" w14:textId="77777777" w:rsidR="00CB2FD2" w:rsidRPr="00CB2FD2" w:rsidRDefault="001F3331" w:rsidP="00CB2FD2">
      <w:pPr>
        <w:pStyle w:val="EndNoteBibliography"/>
        <w:spacing w:after="0"/>
      </w:pPr>
      <w:r w:rsidRPr="0068515F">
        <w:rPr>
          <w:szCs w:val="24"/>
        </w:rPr>
        <w:fldChar w:fldCharType="begin"/>
      </w:r>
      <w:r w:rsidRPr="0068515F">
        <w:rPr>
          <w:szCs w:val="24"/>
        </w:rPr>
        <w:instrText xml:space="preserve"> ADDIN EN.REFLIST </w:instrText>
      </w:r>
      <w:r w:rsidRPr="0068515F">
        <w:rPr>
          <w:szCs w:val="24"/>
        </w:rPr>
        <w:fldChar w:fldCharType="separate"/>
      </w:r>
      <w:r w:rsidR="00CB2FD2" w:rsidRPr="00CB2FD2">
        <w:t>1.</w:t>
      </w:r>
      <w:r w:rsidR="00CB2FD2" w:rsidRPr="00CB2FD2">
        <w:tab/>
        <w:t>Murray CJ, Vos T, Lozano R, Naghavi M, Flaxman AD, Michaud C, et al. Disability-adjusted life years (DALYs) for 291 diseases and injuries in 21 regions, 1990-2010: a systematic analysis for the Global Burden of Disease Study 2010. Lancet. ET AL. (GBD 2010 Collaborators) 2012;380(9859):2197-223.</w:t>
      </w:r>
    </w:p>
    <w:p w14:paraId="3F97C752" w14:textId="77777777" w:rsidR="00CB2FD2" w:rsidRPr="00CB2FD2" w:rsidRDefault="00CB2FD2" w:rsidP="00CB2FD2">
      <w:pPr>
        <w:pStyle w:val="EndNoteBibliography"/>
        <w:spacing w:after="0"/>
      </w:pPr>
      <w:r w:rsidRPr="00CB2FD2">
        <w:t>2.</w:t>
      </w:r>
      <w:r w:rsidRPr="00CB2FD2">
        <w:tab/>
        <w:t>Vos T, Allen C, Arora M, Barber MR, Bhutta AZ, Brown A, et al. Global, regional, and national incidence, prevalence, and years lived with disability for 310 diseases and injuries, 1990-2015: a systematic analysis for the Global Burden of Disease Study 2015. Lancet. ET AL. (GBD 2015 Disease and Injury Incidence and Prevalence Collaborators) 2016;388(10053):1545-602.</w:t>
      </w:r>
    </w:p>
    <w:p w14:paraId="117DA6EB" w14:textId="3361BD54" w:rsidR="00CB2FD2" w:rsidRPr="00CB2FD2" w:rsidRDefault="00CB2FD2" w:rsidP="00CB2FD2">
      <w:pPr>
        <w:pStyle w:val="EndNoteBibliography"/>
        <w:spacing w:after="0"/>
      </w:pPr>
      <w:r w:rsidRPr="00CB2FD2">
        <w:t>3.</w:t>
      </w:r>
      <w:r w:rsidRPr="00CB2FD2">
        <w:tab/>
        <w:t xml:space="preserve">Duthey B. Priority Medicines for Europe and the World "A Public Health Approach to Innovation". Background Paper 6.24 Low back pain2013 20 November 2016:[5 - 21 pp.]. Available from: </w:t>
      </w:r>
      <w:hyperlink r:id="rId10" w:history="1">
        <w:r w:rsidRPr="00CB2FD2">
          <w:rPr>
            <w:rStyle w:val="Hyperlink"/>
          </w:rPr>
          <w:t>https://www.who.int/medicines/areas/priority_medicines/BP6_24LBP.pdf</w:t>
        </w:r>
      </w:hyperlink>
      <w:r w:rsidRPr="00CB2FD2">
        <w:t>.</w:t>
      </w:r>
    </w:p>
    <w:p w14:paraId="620C826C" w14:textId="77777777" w:rsidR="00CB2FD2" w:rsidRPr="00CB2FD2" w:rsidRDefault="00CB2FD2" w:rsidP="00CB2FD2">
      <w:pPr>
        <w:pStyle w:val="EndNoteBibliography"/>
        <w:spacing w:after="0"/>
      </w:pPr>
      <w:r w:rsidRPr="00CB2FD2">
        <w:t>4.</w:t>
      </w:r>
      <w:r w:rsidRPr="00CB2FD2">
        <w:tab/>
        <w:t>Freburger JK, Holmes GM, Agans RP, Jackman AM, Darter JD, Wallace AS, et al. The rising prevalence of chronic low back pain. Arch Intern Med. 2009;169(3):251-8.</w:t>
      </w:r>
    </w:p>
    <w:p w14:paraId="7A30FC66" w14:textId="129E6449" w:rsidR="00CB2FD2" w:rsidRPr="00CB2FD2" w:rsidRDefault="00CB2FD2" w:rsidP="00CB2FD2">
      <w:pPr>
        <w:pStyle w:val="EndNoteBibliography"/>
        <w:spacing w:after="0"/>
      </w:pPr>
      <w:r w:rsidRPr="00CB2FD2">
        <w:t>5.</w:t>
      </w:r>
      <w:r w:rsidRPr="00CB2FD2">
        <w:tab/>
        <w:t xml:space="preserve">Johnson J. The Prevalence of Back Pain: Back Pain Expert; 2012 [Available from: </w:t>
      </w:r>
      <w:hyperlink r:id="rId11" w:history="1">
        <w:r w:rsidRPr="00CB2FD2">
          <w:rPr>
            <w:rStyle w:val="Hyperlink"/>
          </w:rPr>
          <w:t>http://www.backpainexpert.co.uk/theprevalenceofbackpain.html</w:t>
        </w:r>
      </w:hyperlink>
      <w:r w:rsidRPr="00CB2FD2">
        <w:t>.</w:t>
      </w:r>
    </w:p>
    <w:p w14:paraId="3FC03CD7" w14:textId="77777777" w:rsidR="00CB2FD2" w:rsidRPr="00CB2FD2" w:rsidRDefault="00CB2FD2" w:rsidP="00CB2FD2">
      <w:pPr>
        <w:pStyle w:val="EndNoteBibliography"/>
        <w:spacing w:after="0"/>
      </w:pPr>
      <w:r w:rsidRPr="00CB2FD2">
        <w:t>6.</w:t>
      </w:r>
      <w:r w:rsidRPr="00CB2FD2">
        <w:tab/>
        <w:t>Dagenais S, Caro J, Haldeman S. A systematic review of low back pain cost of illness studies in the United States and internationally. Spine J. 2008;8(1):8-20.</w:t>
      </w:r>
    </w:p>
    <w:p w14:paraId="48406742" w14:textId="77777777" w:rsidR="00CB2FD2" w:rsidRPr="00CB2FD2" w:rsidRDefault="00CB2FD2" w:rsidP="00CB2FD2">
      <w:pPr>
        <w:pStyle w:val="EndNoteBibliography"/>
        <w:spacing w:after="0"/>
      </w:pPr>
      <w:r w:rsidRPr="00CB2FD2">
        <w:t>7.</w:t>
      </w:r>
      <w:r w:rsidRPr="00CB2FD2">
        <w:tab/>
        <w:t>Hoy DG, Smith E, Cross M, Sanchez-Riera L, Buchbinder R, Blyth FM, et al. The global burden of musculoskeletal conditions for 2010: an overview of methods. Ann Rheum Dis. 2014b;73(6):982-9.</w:t>
      </w:r>
    </w:p>
    <w:p w14:paraId="71B4101F" w14:textId="77777777" w:rsidR="00CB2FD2" w:rsidRPr="00CB2FD2" w:rsidRDefault="00CB2FD2" w:rsidP="00CB2FD2">
      <w:pPr>
        <w:pStyle w:val="EndNoteBibliography"/>
        <w:spacing w:after="0"/>
      </w:pPr>
      <w:r w:rsidRPr="00CB2FD2">
        <w:t>8.</w:t>
      </w:r>
      <w:r w:rsidRPr="00CB2FD2">
        <w:tab/>
        <w:t>Maniadakis N, Gray A. The economic burden of back pain in the UK. Pain. 2000;84(1):95-103.</w:t>
      </w:r>
    </w:p>
    <w:p w14:paraId="68300627" w14:textId="77777777" w:rsidR="00CB2FD2" w:rsidRPr="00CB2FD2" w:rsidRDefault="00CB2FD2" w:rsidP="00CB2FD2">
      <w:pPr>
        <w:pStyle w:val="EndNoteBibliography"/>
        <w:spacing w:after="0"/>
      </w:pPr>
      <w:r w:rsidRPr="00CB2FD2">
        <w:t>9.</w:t>
      </w:r>
      <w:r w:rsidRPr="00CB2FD2">
        <w:tab/>
        <w:t>Denburg MR, Haynes K, Shults J, Lewis JD, Leonard MB. Validation of The Health Improvement Network (THIN) database for epidemiologic studies of chronic kidney disease. Pharmacoepidemiol Drug Saf. 2011;20(11):1138-49.</w:t>
      </w:r>
    </w:p>
    <w:p w14:paraId="59670FFB" w14:textId="77777777" w:rsidR="00CB2FD2" w:rsidRPr="00CB2FD2" w:rsidRDefault="00CB2FD2" w:rsidP="00CB2FD2">
      <w:pPr>
        <w:pStyle w:val="EndNoteBibliography"/>
        <w:spacing w:after="0"/>
      </w:pPr>
      <w:r w:rsidRPr="00CB2FD2">
        <w:t>10.</w:t>
      </w:r>
      <w:r w:rsidRPr="00CB2FD2">
        <w:tab/>
        <w:t>Kneale D, Khatwa M, Thomas  J. Identifying and appraising promising sources of UK clinical, health and social care data for use by NICE. London: EPPI-Centre, Social Science Research Unit, UCL Institute of Education, University College London.; 2016.</w:t>
      </w:r>
    </w:p>
    <w:p w14:paraId="23210415" w14:textId="77777777" w:rsidR="00CB2FD2" w:rsidRPr="00CB2FD2" w:rsidRDefault="00CB2FD2" w:rsidP="00CB2FD2">
      <w:pPr>
        <w:pStyle w:val="EndNoteBibliography"/>
        <w:spacing w:after="0"/>
      </w:pPr>
      <w:r w:rsidRPr="00CB2FD2">
        <w:t>11.</w:t>
      </w:r>
      <w:r w:rsidRPr="00CB2FD2">
        <w:tab/>
        <w:t>Blak BT, Thompson M, Dattani H, Bourke A. Generalisability of The Health Improvement Network (THIN) database: demographics, chronic disease prevalence and mortality rates. Inform Prim Care. 2011;19(4):251-5.</w:t>
      </w:r>
    </w:p>
    <w:p w14:paraId="3F49E40B" w14:textId="77777777" w:rsidR="00CB2FD2" w:rsidRPr="00CB2FD2" w:rsidRDefault="00CB2FD2" w:rsidP="00CB2FD2">
      <w:pPr>
        <w:pStyle w:val="EndNoteBibliography"/>
        <w:spacing w:after="0"/>
      </w:pPr>
      <w:r w:rsidRPr="00CB2FD2">
        <w:t>12.</w:t>
      </w:r>
      <w:r w:rsidRPr="00CB2FD2">
        <w:tab/>
        <w:t>Booth N. What are the Read Codes? Health Libr Rev. 1994;11(3):177-82.</w:t>
      </w:r>
    </w:p>
    <w:p w14:paraId="670738A6" w14:textId="77777777" w:rsidR="00CB2FD2" w:rsidRPr="00CB2FD2" w:rsidRDefault="00CB2FD2" w:rsidP="00CB2FD2">
      <w:pPr>
        <w:pStyle w:val="EndNoteBibliography"/>
        <w:spacing w:after="0"/>
      </w:pPr>
      <w:r w:rsidRPr="00CB2FD2">
        <w:t>13.</w:t>
      </w:r>
      <w:r w:rsidRPr="00CB2FD2">
        <w:tab/>
        <w:t>Horsfall L, Walters K, Petersen I. Identifying periods of acceptable computer usage in primary care research databases. Pharmacoepidemiol Drug Saf. 2013;22(1):64-9.</w:t>
      </w:r>
    </w:p>
    <w:p w14:paraId="135D1BFF" w14:textId="77777777" w:rsidR="00CB2FD2" w:rsidRPr="00CB2FD2" w:rsidRDefault="00CB2FD2" w:rsidP="00CB2FD2">
      <w:pPr>
        <w:pStyle w:val="EndNoteBibliography"/>
        <w:spacing w:after="0"/>
      </w:pPr>
      <w:r w:rsidRPr="00CB2FD2">
        <w:t>14.</w:t>
      </w:r>
      <w:r w:rsidRPr="00CB2FD2">
        <w:tab/>
        <w:t>Becker S, Ichino A. Estimation of average treatment effects based on propensity scores. The Stata Journal. 2002;4(2):358-77.</w:t>
      </w:r>
    </w:p>
    <w:p w14:paraId="3FFD5BCA" w14:textId="77777777" w:rsidR="00CB2FD2" w:rsidRPr="00CB2FD2" w:rsidRDefault="00CB2FD2" w:rsidP="00CB2FD2">
      <w:pPr>
        <w:pStyle w:val="EndNoteBibliography"/>
        <w:spacing w:after="0"/>
      </w:pPr>
      <w:r w:rsidRPr="00CB2FD2">
        <w:t>15.</w:t>
      </w:r>
      <w:r w:rsidRPr="00CB2FD2">
        <w:tab/>
        <w:t>Austin PC. Balance diagnostics for comparing the distribution of baseline covariates between treatment groups in propensity-score matched samples. Stat Med. 2009;28(25):3083-107.</w:t>
      </w:r>
    </w:p>
    <w:p w14:paraId="50A0CD4F" w14:textId="77777777" w:rsidR="00CB2FD2" w:rsidRPr="00CB2FD2" w:rsidRDefault="00CB2FD2" w:rsidP="00CB2FD2">
      <w:pPr>
        <w:pStyle w:val="EndNoteBibliography"/>
        <w:spacing w:after="0"/>
      </w:pPr>
      <w:r w:rsidRPr="00CB2FD2">
        <w:t>16.</w:t>
      </w:r>
      <w:r w:rsidRPr="00CB2FD2">
        <w:tab/>
        <w:t>Shemilt I, Thomas J, Morciano M. A web-based tool for adjusting costs to a specific target currency and price year. Evidence &amp; Policy. 2010;6:51-9.</w:t>
      </w:r>
    </w:p>
    <w:p w14:paraId="562E920D" w14:textId="77777777" w:rsidR="00CB2FD2" w:rsidRPr="00CB2FD2" w:rsidRDefault="00CB2FD2" w:rsidP="00CB2FD2">
      <w:pPr>
        <w:pStyle w:val="EndNoteBibliography"/>
        <w:spacing w:after="0"/>
      </w:pPr>
      <w:r w:rsidRPr="00CB2FD2">
        <w:t>17.</w:t>
      </w:r>
      <w:r w:rsidRPr="00CB2FD2">
        <w:tab/>
        <w:t>Chen L, Reed C, Happich M, Nyhuis A, Lenox-Smith A. Health care resource utilisation in primary care prior to and after a diagnosis of Alzheimer's disease: a retrospective, matched case-control study in the United Kingdom. BMC Geriatr. 2014;14:76.</w:t>
      </w:r>
    </w:p>
    <w:p w14:paraId="1E304C73" w14:textId="77777777" w:rsidR="00CB2FD2" w:rsidRPr="00CB2FD2" w:rsidRDefault="00CB2FD2" w:rsidP="00CB2FD2">
      <w:pPr>
        <w:pStyle w:val="EndNoteBibliography"/>
        <w:spacing w:after="0"/>
      </w:pPr>
      <w:r w:rsidRPr="00CB2FD2">
        <w:t>18.</w:t>
      </w:r>
      <w:r w:rsidRPr="00CB2FD2">
        <w:tab/>
        <w:t>Hong J, Reed C, Novick D, Happich M. Costs associated with treatment of chronic low back pain: an analysis of the UK General Practice Research Database. Spine. 2013;38(1):75-82.</w:t>
      </w:r>
    </w:p>
    <w:p w14:paraId="7465876A" w14:textId="1417CFC8" w:rsidR="00CB2FD2" w:rsidRPr="00CB2FD2" w:rsidRDefault="00CB2FD2" w:rsidP="00CB2FD2">
      <w:pPr>
        <w:pStyle w:val="EndNoteBibliography"/>
        <w:spacing w:after="0"/>
      </w:pPr>
      <w:r w:rsidRPr="00CB2FD2">
        <w:t>19.</w:t>
      </w:r>
      <w:r w:rsidRPr="00CB2FD2">
        <w:tab/>
        <w:t xml:space="preserve">National Institute for Health and Care Excellence (NICE), Low back pain and sciatica in over 16s: assessment and management, NICE guideline [NG59]. 2016 [Available from: </w:t>
      </w:r>
      <w:hyperlink r:id="rId12" w:history="1">
        <w:r w:rsidRPr="00CB2FD2">
          <w:rPr>
            <w:rStyle w:val="Hyperlink"/>
          </w:rPr>
          <w:t>https://www.nice.org.uk/guidance/ng59/chapter/Recommendations</w:t>
        </w:r>
      </w:hyperlink>
      <w:r w:rsidRPr="00CB2FD2">
        <w:t>.</w:t>
      </w:r>
    </w:p>
    <w:p w14:paraId="072F7110" w14:textId="07833DFD" w:rsidR="00CB2FD2" w:rsidRPr="00CB2FD2" w:rsidRDefault="00CB2FD2" w:rsidP="00CB2FD2">
      <w:pPr>
        <w:pStyle w:val="EndNoteBibliography"/>
        <w:spacing w:after="0"/>
      </w:pPr>
      <w:r w:rsidRPr="00CB2FD2">
        <w:t>20.</w:t>
      </w:r>
      <w:r w:rsidRPr="00CB2FD2">
        <w:tab/>
        <w:t xml:space="preserve">National Health Service (NHS), Electronic Drug Tariff 2011-15 [Available from: </w:t>
      </w:r>
      <w:hyperlink r:id="rId13" w:history="1">
        <w:r w:rsidRPr="00CB2FD2">
          <w:rPr>
            <w:rStyle w:val="Hyperlink"/>
          </w:rPr>
          <w:t>https://www.nhsbsa.nhs.uk/pharmacies-gp-practices-and-appliance-contractors/drug-tariff</w:t>
        </w:r>
      </w:hyperlink>
      <w:r w:rsidRPr="00CB2FD2">
        <w:t>.</w:t>
      </w:r>
    </w:p>
    <w:p w14:paraId="1CA7AD7F" w14:textId="2267787D" w:rsidR="00CB2FD2" w:rsidRPr="00CB2FD2" w:rsidRDefault="00CB2FD2" w:rsidP="00CB2FD2">
      <w:pPr>
        <w:pStyle w:val="EndNoteBibliography"/>
        <w:spacing w:after="0"/>
      </w:pPr>
      <w:r w:rsidRPr="00CB2FD2">
        <w:lastRenderedPageBreak/>
        <w:t>21.</w:t>
      </w:r>
      <w:r w:rsidRPr="00CB2FD2">
        <w:tab/>
        <w:t xml:space="preserve">National Health Sevice (NHS), Prescription cost analysis (PCA) 2011-15 [Available from: </w:t>
      </w:r>
      <w:hyperlink r:id="rId14" w:history="1">
        <w:r w:rsidRPr="00CB2FD2">
          <w:rPr>
            <w:rStyle w:val="Hyperlink"/>
          </w:rPr>
          <w:t>https://www.nhsbsa.nhs.uk/prescription-data/dispensing-data/prescription-cost-analysis-pca-data</w:t>
        </w:r>
      </w:hyperlink>
      <w:r w:rsidRPr="00CB2FD2">
        <w:t>.</w:t>
      </w:r>
    </w:p>
    <w:p w14:paraId="0CF4ACDC" w14:textId="77777777" w:rsidR="00CB2FD2" w:rsidRPr="00CB2FD2" w:rsidRDefault="00CB2FD2" w:rsidP="00CB2FD2">
      <w:pPr>
        <w:pStyle w:val="EndNoteBibliography"/>
        <w:spacing w:after="0"/>
      </w:pPr>
      <w:r w:rsidRPr="00CB2FD2">
        <w:t>22.</w:t>
      </w:r>
      <w:r w:rsidRPr="00CB2FD2">
        <w:tab/>
        <w:t>Barber JA, Thompson SG. Analysis of cost data in randomized trials: an application of the non-parametric bootstrap. Stat Med. 2000;19(23):3219-36.</w:t>
      </w:r>
    </w:p>
    <w:p w14:paraId="58971467" w14:textId="77777777" w:rsidR="00CB2FD2" w:rsidRPr="00CB2FD2" w:rsidRDefault="00CB2FD2" w:rsidP="00CB2FD2">
      <w:pPr>
        <w:pStyle w:val="EndNoteBibliography"/>
        <w:spacing w:after="0"/>
      </w:pPr>
      <w:r w:rsidRPr="00CB2FD2">
        <w:t>23.</w:t>
      </w:r>
      <w:r w:rsidRPr="00CB2FD2">
        <w:tab/>
        <w:t>Doshi JA, Glick HA, Polsky D. Analyses of cost data in economic evaluations conducted alongside randomized controlled trials. Value Health. 2006;9(5):334-40.</w:t>
      </w:r>
    </w:p>
    <w:p w14:paraId="7303BED5" w14:textId="77777777" w:rsidR="00CB2FD2" w:rsidRPr="00CB2FD2" w:rsidRDefault="00CB2FD2" w:rsidP="00CB2FD2">
      <w:pPr>
        <w:pStyle w:val="EndNoteBibliography"/>
        <w:spacing w:after="0"/>
      </w:pPr>
      <w:r w:rsidRPr="00CB2FD2">
        <w:t>24.</w:t>
      </w:r>
      <w:r w:rsidRPr="00CB2FD2">
        <w:tab/>
        <w:t>Walters SJ, Campbell MJ. The use of bootstrap methods for analysing Health-Related Quality of Life outcomes (particularly the SF-36). Health Qual Life Outcomes. 2004;2:70.</w:t>
      </w:r>
    </w:p>
    <w:p w14:paraId="742BA54F" w14:textId="77777777" w:rsidR="00CB2FD2" w:rsidRPr="00CB2FD2" w:rsidRDefault="00CB2FD2" w:rsidP="00CB2FD2">
      <w:pPr>
        <w:pStyle w:val="EndNoteBibliography"/>
        <w:spacing w:after="0"/>
      </w:pPr>
      <w:r w:rsidRPr="00CB2FD2">
        <w:t>25.</w:t>
      </w:r>
      <w:r w:rsidRPr="00CB2FD2">
        <w:tab/>
        <w:t>Gokhale KM, Chandan JS, Toulis K, Gkoutos G, Tino P, Nirantharakumar K. Data extraction for epidemiological research (DExtER): a novel tool for automated clinical epidemiology studies. Eur J Epidemiol. 2020.</w:t>
      </w:r>
    </w:p>
    <w:p w14:paraId="1F60ABE6" w14:textId="5DF78B07" w:rsidR="00CB2FD2" w:rsidRPr="00CB2FD2" w:rsidRDefault="00CB2FD2" w:rsidP="00CB2FD2">
      <w:pPr>
        <w:pStyle w:val="EndNoteBibliography"/>
        <w:spacing w:after="0"/>
      </w:pPr>
      <w:r w:rsidRPr="00CB2FD2">
        <w:t>26.</w:t>
      </w:r>
      <w:r w:rsidRPr="00CB2FD2">
        <w:tab/>
        <w:t xml:space="preserve">Office for National Statistics (ONS), Estimates of the population for the UK, England and Wales, Scotland and Northern Ireland 2016 [Available from: </w:t>
      </w:r>
      <w:hyperlink r:id="rId15" w:history="1">
        <w:r w:rsidRPr="00CB2FD2">
          <w:rPr>
            <w:rStyle w:val="Hyperlink"/>
          </w:rPr>
          <w:t>https://www.ons.gov.uk/peoplepopulationandcommunity/populationandmigration/populationestimates/datasets/populationestimatesforukenglandandwalesscotlandandnorthernireland</w:t>
        </w:r>
      </w:hyperlink>
      <w:r w:rsidRPr="00CB2FD2">
        <w:t>.</w:t>
      </w:r>
    </w:p>
    <w:p w14:paraId="5A8605F6" w14:textId="77777777" w:rsidR="00CB2FD2" w:rsidRPr="00CB2FD2" w:rsidRDefault="00CB2FD2" w:rsidP="00CB2FD2">
      <w:pPr>
        <w:pStyle w:val="EndNoteBibliography"/>
        <w:spacing w:after="0"/>
      </w:pPr>
      <w:r w:rsidRPr="00CB2FD2">
        <w:t>27.</w:t>
      </w:r>
      <w:r w:rsidRPr="00CB2FD2">
        <w:tab/>
        <w:t>Reed C, Hong J, Novick D, Lenox-Smith A, Happich M. Health care costs before and after diagnosis of depression in patients with unexplained pain: a retrospective cohort study using the United Kingdom General Practice Research Database. Clinicoecon Outcomes Res. 2013;5:37-47.</w:t>
      </w:r>
    </w:p>
    <w:p w14:paraId="1EF996C1" w14:textId="77777777" w:rsidR="00CB2FD2" w:rsidRPr="00CB2FD2" w:rsidRDefault="00CB2FD2" w:rsidP="00CB2FD2">
      <w:pPr>
        <w:pStyle w:val="EndNoteBibliography"/>
        <w:spacing w:after="0"/>
      </w:pPr>
      <w:r w:rsidRPr="00CB2FD2">
        <w:t>28.</w:t>
      </w:r>
      <w:r w:rsidRPr="00CB2FD2">
        <w:tab/>
        <w:t>Martin BI, Deyo RA, Mirza SK, Turner JA, Comstock BA, Hollingworth W, et al. Expenditures and health status among adults with back and neck problems. JAMA. 2008;299(6):656-64.</w:t>
      </w:r>
    </w:p>
    <w:p w14:paraId="77831287" w14:textId="77777777" w:rsidR="00CB2FD2" w:rsidRPr="00CB2FD2" w:rsidRDefault="00CB2FD2" w:rsidP="00CB2FD2">
      <w:pPr>
        <w:pStyle w:val="EndNoteBibliography"/>
        <w:spacing w:after="0"/>
      </w:pPr>
      <w:r w:rsidRPr="00CB2FD2">
        <w:t>29.</w:t>
      </w:r>
      <w:r w:rsidRPr="00CB2FD2">
        <w:tab/>
        <w:t>Jonsson D, Husberg M. Socioeconomic costs of rheumatic diseases - Implications for technology assessment. International Journal of Technology Assessment in Health Care. 2000;16(4):1193-200.</w:t>
      </w:r>
    </w:p>
    <w:p w14:paraId="0121D494" w14:textId="77777777" w:rsidR="00CB2FD2" w:rsidRPr="00CB2FD2" w:rsidRDefault="00CB2FD2" w:rsidP="00CB2FD2">
      <w:pPr>
        <w:pStyle w:val="EndNoteBibliography"/>
        <w:spacing w:after="0"/>
      </w:pPr>
      <w:r w:rsidRPr="00CB2FD2">
        <w:t>30.</w:t>
      </w:r>
      <w:r w:rsidRPr="00CB2FD2">
        <w:tab/>
        <w:t>Lambeek LC, Van Tulder MW, Swinkels ICS, Koppes LLJ, Anema JR, Van Mechelen W. The trend in total cost of back pain in the netherlands in the period 2002 to 2007. Spine. 2011;36(13):1050-8.</w:t>
      </w:r>
    </w:p>
    <w:p w14:paraId="62F328DD" w14:textId="77777777" w:rsidR="00CB2FD2" w:rsidRPr="00CB2FD2" w:rsidRDefault="00CB2FD2" w:rsidP="00CB2FD2">
      <w:pPr>
        <w:pStyle w:val="EndNoteBibliography"/>
        <w:spacing w:after="0"/>
      </w:pPr>
      <w:r w:rsidRPr="00CB2FD2">
        <w:t>31.</w:t>
      </w:r>
      <w:r w:rsidRPr="00CB2FD2">
        <w:tab/>
        <w:t>Olafsson G, Jonsson E, Fritzell P, Hagg O, Borgstrom F. Cost of low back pain: results from a national register study in Sweden. Eur Spine J. 2018;27(11):2875-81.</w:t>
      </w:r>
    </w:p>
    <w:p w14:paraId="5EC2E242" w14:textId="77777777" w:rsidR="00CB2FD2" w:rsidRPr="00CB2FD2" w:rsidRDefault="00CB2FD2" w:rsidP="00CB2FD2">
      <w:pPr>
        <w:pStyle w:val="EndNoteBibliography"/>
        <w:spacing w:after="0"/>
      </w:pPr>
      <w:r w:rsidRPr="00CB2FD2">
        <w:t>32.</w:t>
      </w:r>
      <w:r w:rsidRPr="00CB2FD2">
        <w:tab/>
        <w:t>Gore M, Sadosky A, Stacey BR, Tai KS, Leslie D. The burden of chronic low back pain: clinical comorbidities, treatment patterns, and health care costs in usual care settings. Spine. 2012;37(11):E668-77.</w:t>
      </w:r>
    </w:p>
    <w:p w14:paraId="1A6E5B11" w14:textId="77777777" w:rsidR="00CB2FD2" w:rsidRPr="00CB2FD2" w:rsidRDefault="00CB2FD2" w:rsidP="00CB2FD2">
      <w:pPr>
        <w:pStyle w:val="EndNoteBibliography"/>
      </w:pPr>
      <w:r w:rsidRPr="00CB2FD2">
        <w:t>33.</w:t>
      </w:r>
      <w:r w:rsidRPr="00CB2FD2">
        <w:tab/>
        <w:t>Zemedikun DT, Kigozi J, Wynne-Jones G, Guariglia A, Roberts T. Methodological considerations in the assessment of direct and indirect costs of back pain: A systematic scoping review. PLoS One. 2021;16(5):e0251406.</w:t>
      </w:r>
    </w:p>
    <w:p w14:paraId="794D44AE" w14:textId="38D8FA9A" w:rsidR="00782C9B" w:rsidRPr="0032272E" w:rsidRDefault="001F3331" w:rsidP="00782C9B">
      <w:pPr>
        <w:rPr>
          <w:szCs w:val="24"/>
        </w:rPr>
      </w:pPr>
      <w:r w:rsidRPr="0068515F">
        <w:rPr>
          <w:szCs w:val="24"/>
        </w:rPr>
        <w:fldChar w:fldCharType="end"/>
      </w:r>
    </w:p>
    <w:sectPr w:rsidR="00782C9B" w:rsidRPr="0032272E" w:rsidSect="00971955">
      <w:pgSz w:w="11906" w:h="16838"/>
      <w:pgMar w:top="1559" w:right="1440" w:bottom="1440" w:left="1440" w:header="709" w:footer="709" w:gutter="0"/>
      <w:lnNumType w:countBy="1" w:restart="continuous"/>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BC8CE" w14:textId="77777777" w:rsidR="00E341B6" w:rsidRDefault="00E341B6" w:rsidP="00A970B0">
      <w:pPr>
        <w:spacing w:after="0" w:line="240" w:lineRule="auto"/>
      </w:pPr>
      <w:r>
        <w:separator/>
      </w:r>
    </w:p>
  </w:endnote>
  <w:endnote w:type="continuationSeparator" w:id="0">
    <w:p w14:paraId="4C51F8B3" w14:textId="77777777" w:rsidR="00E341B6" w:rsidRDefault="00E341B6" w:rsidP="00A970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5725520"/>
      <w:docPartObj>
        <w:docPartGallery w:val="Page Numbers (Bottom of Page)"/>
        <w:docPartUnique/>
      </w:docPartObj>
    </w:sdtPr>
    <w:sdtEndPr>
      <w:rPr>
        <w:noProof/>
      </w:rPr>
    </w:sdtEndPr>
    <w:sdtContent>
      <w:p w14:paraId="700952A7" w14:textId="28F85FF2" w:rsidR="008244E0" w:rsidRDefault="008244E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0B4BD8A" w14:textId="77777777" w:rsidR="008244E0" w:rsidRDefault="008244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A846C2" w14:textId="77777777" w:rsidR="00E341B6" w:rsidRDefault="00E341B6" w:rsidP="00A970B0">
      <w:pPr>
        <w:spacing w:after="0" w:line="240" w:lineRule="auto"/>
      </w:pPr>
      <w:r>
        <w:separator/>
      </w:r>
    </w:p>
  </w:footnote>
  <w:footnote w:type="continuationSeparator" w:id="0">
    <w:p w14:paraId="6DB34EED" w14:textId="77777777" w:rsidR="00E341B6" w:rsidRDefault="00E341B6" w:rsidP="00A970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1097B"/>
    <w:multiLevelType w:val="hybridMultilevel"/>
    <w:tmpl w:val="A51A3F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A01151"/>
    <w:multiLevelType w:val="multilevel"/>
    <w:tmpl w:val="DFA8BC0E"/>
    <w:lvl w:ilvl="0">
      <w:start w:val="1"/>
      <w:numFmt w:val="decimal"/>
      <w:lvlText w:val="CHAPTER %1."/>
      <w:lvlJc w:val="left"/>
      <w:pPr>
        <w:ind w:left="360" w:hanging="360"/>
      </w:pPr>
      <w:rPr>
        <w:rFonts w:hint="default"/>
      </w:rPr>
    </w:lvl>
    <w:lvl w:ilvl="1">
      <w:start w:val="1"/>
      <w:numFmt w:val="decimal"/>
      <w:lvlText w:val="%1.%2"/>
      <w:lvlJc w:val="left"/>
      <w:pPr>
        <w:ind w:left="576" w:hanging="576"/>
      </w:pPr>
      <w:rPr>
        <w:rFonts w:hint="default"/>
        <w:sz w:val="32"/>
        <w:szCs w:val="32"/>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15:restartNumberingAfterBreak="0">
    <w:nsid w:val="2A843F3D"/>
    <w:multiLevelType w:val="hybridMultilevel"/>
    <w:tmpl w:val="78CCCB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470555E6"/>
    <w:multiLevelType w:val="hybridMultilevel"/>
    <w:tmpl w:val="578285B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9645417"/>
    <w:multiLevelType w:val="multilevel"/>
    <w:tmpl w:val="8D162164"/>
    <w:lvl w:ilvl="0">
      <w:start w:val="1"/>
      <w:numFmt w:val="upperLetter"/>
      <w:lvlText w:val="APPENDIX %1."/>
      <w:lvlJc w:val="left"/>
      <w:pPr>
        <w:ind w:left="720" w:hanging="360"/>
      </w:pPr>
      <w:rPr>
        <w:rFonts w:hint="default"/>
      </w:rPr>
    </w:lvl>
    <w:lvl w:ilvl="1">
      <w:start w:val="1"/>
      <w:numFmt w:val="decimal"/>
      <w:pStyle w:val="Subtitle"/>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51963C98"/>
    <w:multiLevelType w:val="hybridMultilevel"/>
    <w:tmpl w:val="9D52C266"/>
    <w:lvl w:ilvl="0" w:tplc="3EA464AC">
      <w:start w:val="1"/>
      <w:numFmt w:val="bullet"/>
      <w:lvlText w:val="-"/>
      <w:lvlJc w:val="left"/>
      <w:pPr>
        <w:ind w:left="720" w:hanging="360"/>
      </w:pPr>
      <w:rPr>
        <w:rFonts w:ascii="Calibri" w:eastAsia="Calibri"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553F0E67"/>
    <w:multiLevelType w:val="multilevel"/>
    <w:tmpl w:val="0568D2F2"/>
    <w:lvl w:ilvl="0">
      <w:start w:val="1"/>
      <w:numFmt w:val="upperLetter"/>
      <w:lvlText w:val="APPENDIX %1."/>
      <w:lvlJc w:val="left"/>
      <w:pPr>
        <w:ind w:left="720" w:hanging="360"/>
      </w:pPr>
      <w:rPr>
        <w:rFonts w:hint="default"/>
      </w:rPr>
    </w:lvl>
    <w:lvl w:ilvl="1">
      <w:start w:val="1"/>
      <w:numFmt w:val="decimal"/>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55EE5BD7"/>
    <w:multiLevelType w:val="hybridMultilevel"/>
    <w:tmpl w:val="12A2288C"/>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57EE0E59"/>
    <w:multiLevelType w:val="multilevel"/>
    <w:tmpl w:val="B504FCF6"/>
    <w:lvl w:ilvl="0">
      <w:numFmt w:val="none"/>
      <w:lvlText w:val=""/>
      <w:lvlJc w:val="left"/>
      <w:pPr>
        <w:ind w:left="432" w:hanging="432"/>
      </w:pPr>
      <w:rPr>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15:restartNumberingAfterBreak="0">
    <w:nsid w:val="700D70F3"/>
    <w:multiLevelType w:val="hybridMultilevel"/>
    <w:tmpl w:val="E99C87EA"/>
    <w:lvl w:ilvl="0" w:tplc="08090013">
      <w:start w:val="1"/>
      <w:numFmt w:val="upp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7892554B"/>
    <w:multiLevelType w:val="hybridMultilevel"/>
    <w:tmpl w:val="DCBE1D1C"/>
    <w:lvl w:ilvl="0" w:tplc="7DCECB5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69626970">
    <w:abstractNumId w:val="4"/>
  </w:num>
  <w:num w:numId="2" w16cid:durableId="1961448678">
    <w:abstractNumId w:val="6"/>
  </w:num>
  <w:num w:numId="3" w16cid:durableId="1079671189">
    <w:abstractNumId w:val="1"/>
  </w:num>
  <w:num w:numId="4" w16cid:durableId="1731925738">
    <w:abstractNumId w:val="2"/>
  </w:num>
  <w:num w:numId="5" w16cid:durableId="173685258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8564964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13390583">
    <w:abstractNumId w:val="7"/>
  </w:num>
  <w:num w:numId="8" w16cid:durableId="431975966">
    <w:abstractNumId w:val="3"/>
  </w:num>
  <w:num w:numId="9" w16cid:durableId="1099301636">
    <w:abstractNumId w:val="8"/>
  </w:num>
  <w:num w:numId="10" w16cid:durableId="111740753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61121894">
    <w:abstractNumId w:val="5"/>
  </w:num>
  <w:num w:numId="12" w16cid:durableId="842281334">
    <w:abstractNumId w:val="9"/>
  </w:num>
  <w:num w:numId="13" w16cid:durableId="115017307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293887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vr0axtt1w9rr8efern5p95ofraatp209r09&quot;&gt;COIpaperRefs&lt;record-ids&gt;&lt;item&gt;9&lt;/item&gt;&lt;item&gt;13&lt;/item&gt;&lt;item&gt;16&lt;/item&gt;&lt;item&gt;36&lt;/item&gt;&lt;item&gt;39&lt;/item&gt;&lt;item&gt;43&lt;/item&gt;&lt;item&gt;50&lt;/item&gt;&lt;item&gt;52&lt;/item&gt;&lt;item&gt;53&lt;/item&gt;&lt;item&gt;110&lt;/item&gt;&lt;item&gt;125&lt;/item&gt;&lt;item&gt;137&lt;/item&gt;&lt;item&gt;141&lt;/item&gt;&lt;item&gt;143&lt;/item&gt;&lt;item&gt;146&lt;/item&gt;&lt;item&gt;158&lt;/item&gt;&lt;item&gt;160&lt;/item&gt;&lt;item&gt;161&lt;/item&gt;&lt;item&gt;162&lt;/item&gt;&lt;item&gt;168&lt;/item&gt;&lt;item&gt;169&lt;/item&gt;&lt;item&gt;170&lt;/item&gt;&lt;item&gt;233&lt;/item&gt;&lt;item&gt;236&lt;/item&gt;&lt;item&gt;268&lt;/item&gt;&lt;item&gt;269&lt;/item&gt;&lt;item&gt;288&lt;/item&gt;&lt;item&gt;371&lt;/item&gt;&lt;item&gt;372&lt;/item&gt;&lt;item&gt;374&lt;/item&gt;&lt;item&gt;375&lt;/item&gt;&lt;item&gt;376&lt;/item&gt;&lt;item&gt;377&lt;/item&gt;&lt;/record-ids&gt;&lt;/item&gt;&lt;/Libraries&gt;"/>
  </w:docVars>
  <w:rsids>
    <w:rsidRoot w:val="00A970B0"/>
    <w:rsid w:val="00001082"/>
    <w:rsid w:val="00001140"/>
    <w:rsid w:val="0000258E"/>
    <w:rsid w:val="0000281F"/>
    <w:rsid w:val="0000289A"/>
    <w:rsid w:val="0000732A"/>
    <w:rsid w:val="00007BC4"/>
    <w:rsid w:val="00011DBF"/>
    <w:rsid w:val="00011F42"/>
    <w:rsid w:val="00013603"/>
    <w:rsid w:val="0001627E"/>
    <w:rsid w:val="00017B04"/>
    <w:rsid w:val="00020022"/>
    <w:rsid w:val="000212DE"/>
    <w:rsid w:val="000317B8"/>
    <w:rsid w:val="00034ECB"/>
    <w:rsid w:val="0004227E"/>
    <w:rsid w:val="0004251F"/>
    <w:rsid w:val="00043ABA"/>
    <w:rsid w:val="0005233A"/>
    <w:rsid w:val="0005301B"/>
    <w:rsid w:val="00054461"/>
    <w:rsid w:val="00055A5B"/>
    <w:rsid w:val="00060BAB"/>
    <w:rsid w:val="00061174"/>
    <w:rsid w:val="00061958"/>
    <w:rsid w:val="000628C2"/>
    <w:rsid w:val="00062F86"/>
    <w:rsid w:val="00064EFA"/>
    <w:rsid w:val="000657D5"/>
    <w:rsid w:val="00065D1E"/>
    <w:rsid w:val="00074346"/>
    <w:rsid w:val="00074B97"/>
    <w:rsid w:val="000824C8"/>
    <w:rsid w:val="0008549B"/>
    <w:rsid w:val="00095CA8"/>
    <w:rsid w:val="0009688B"/>
    <w:rsid w:val="00096C6D"/>
    <w:rsid w:val="000A2C04"/>
    <w:rsid w:val="000A4664"/>
    <w:rsid w:val="000A56EB"/>
    <w:rsid w:val="000B0091"/>
    <w:rsid w:val="000B0EAD"/>
    <w:rsid w:val="000B224A"/>
    <w:rsid w:val="000C0B5E"/>
    <w:rsid w:val="000C14BC"/>
    <w:rsid w:val="000C1DC8"/>
    <w:rsid w:val="000C3124"/>
    <w:rsid w:val="000C5AD4"/>
    <w:rsid w:val="000C6759"/>
    <w:rsid w:val="000D12AD"/>
    <w:rsid w:val="000D3670"/>
    <w:rsid w:val="000D4371"/>
    <w:rsid w:val="000D4DBF"/>
    <w:rsid w:val="000D5865"/>
    <w:rsid w:val="000E0697"/>
    <w:rsid w:val="000E4B1D"/>
    <w:rsid w:val="000E5FE1"/>
    <w:rsid w:val="000E6B5F"/>
    <w:rsid w:val="000E7381"/>
    <w:rsid w:val="000E75AD"/>
    <w:rsid w:val="000F04B6"/>
    <w:rsid w:val="000F1DFC"/>
    <w:rsid w:val="000F2A6B"/>
    <w:rsid w:val="000F4E06"/>
    <w:rsid w:val="00101B48"/>
    <w:rsid w:val="0010305F"/>
    <w:rsid w:val="00106649"/>
    <w:rsid w:val="0011138B"/>
    <w:rsid w:val="00112BCE"/>
    <w:rsid w:val="00113D43"/>
    <w:rsid w:val="001146A9"/>
    <w:rsid w:val="00121742"/>
    <w:rsid w:val="0012260C"/>
    <w:rsid w:val="00122E8C"/>
    <w:rsid w:val="00123C6F"/>
    <w:rsid w:val="00123D05"/>
    <w:rsid w:val="00125F8E"/>
    <w:rsid w:val="00126C14"/>
    <w:rsid w:val="001272A3"/>
    <w:rsid w:val="00134BCD"/>
    <w:rsid w:val="001362A4"/>
    <w:rsid w:val="00144CE0"/>
    <w:rsid w:val="00146238"/>
    <w:rsid w:val="00151C3D"/>
    <w:rsid w:val="00154082"/>
    <w:rsid w:val="0015415C"/>
    <w:rsid w:val="0015570B"/>
    <w:rsid w:val="00155879"/>
    <w:rsid w:val="00155AF1"/>
    <w:rsid w:val="00156382"/>
    <w:rsid w:val="00157FA6"/>
    <w:rsid w:val="00162892"/>
    <w:rsid w:val="00163596"/>
    <w:rsid w:val="00165343"/>
    <w:rsid w:val="00172878"/>
    <w:rsid w:val="00172898"/>
    <w:rsid w:val="00176783"/>
    <w:rsid w:val="00180CE7"/>
    <w:rsid w:val="00190B43"/>
    <w:rsid w:val="00190D9C"/>
    <w:rsid w:val="00195224"/>
    <w:rsid w:val="001A3019"/>
    <w:rsid w:val="001A488A"/>
    <w:rsid w:val="001A4FEC"/>
    <w:rsid w:val="001A5C59"/>
    <w:rsid w:val="001A7C18"/>
    <w:rsid w:val="001B0192"/>
    <w:rsid w:val="001B148F"/>
    <w:rsid w:val="001B6E3B"/>
    <w:rsid w:val="001B70DA"/>
    <w:rsid w:val="001C28C9"/>
    <w:rsid w:val="001C322B"/>
    <w:rsid w:val="001D02EB"/>
    <w:rsid w:val="001D0689"/>
    <w:rsid w:val="001D2A6B"/>
    <w:rsid w:val="001D308D"/>
    <w:rsid w:val="001D4D79"/>
    <w:rsid w:val="001D5A3E"/>
    <w:rsid w:val="001E319A"/>
    <w:rsid w:val="001E469E"/>
    <w:rsid w:val="001E6A25"/>
    <w:rsid w:val="001E76D6"/>
    <w:rsid w:val="001F3331"/>
    <w:rsid w:val="001F461F"/>
    <w:rsid w:val="00201CF9"/>
    <w:rsid w:val="00204B93"/>
    <w:rsid w:val="00204EBB"/>
    <w:rsid w:val="00210B91"/>
    <w:rsid w:val="00211E50"/>
    <w:rsid w:val="002223B6"/>
    <w:rsid w:val="00224633"/>
    <w:rsid w:val="00225511"/>
    <w:rsid w:val="00225CE9"/>
    <w:rsid w:val="0023387D"/>
    <w:rsid w:val="002341F9"/>
    <w:rsid w:val="0023480C"/>
    <w:rsid w:val="002349B5"/>
    <w:rsid w:val="00237C2A"/>
    <w:rsid w:val="002436F8"/>
    <w:rsid w:val="00247932"/>
    <w:rsid w:val="00254F3A"/>
    <w:rsid w:val="002553A6"/>
    <w:rsid w:val="002605C2"/>
    <w:rsid w:val="002613AA"/>
    <w:rsid w:val="00262957"/>
    <w:rsid w:val="002654F1"/>
    <w:rsid w:val="00274389"/>
    <w:rsid w:val="00275BBB"/>
    <w:rsid w:val="002879C8"/>
    <w:rsid w:val="00296121"/>
    <w:rsid w:val="002964B9"/>
    <w:rsid w:val="002A015D"/>
    <w:rsid w:val="002A34E2"/>
    <w:rsid w:val="002A4A41"/>
    <w:rsid w:val="002A5C10"/>
    <w:rsid w:val="002A6072"/>
    <w:rsid w:val="002B39F5"/>
    <w:rsid w:val="002B735B"/>
    <w:rsid w:val="002B7D03"/>
    <w:rsid w:val="002C56EE"/>
    <w:rsid w:val="002C5CCD"/>
    <w:rsid w:val="002C6915"/>
    <w:rsid w:val="002D0A4E"/>
    <w:rsid w:val="002D28B0"/>
    <w:rsid w:val="002D32CE"/>
    <w:rsid w:val="002D3486"/>
    <w:rsid w:val="002D7726"/>
    <w:rsid w:val="002E0376"/>
    <w:rsid w:val="002E26C5"/>
    <w:rsid w:val="002E40F2"/>
    <w:rsid w:val="002F62B2"/>
    <w:rsid w:val="002F639D"/>
    <w:rsid w:val="003006DC"/>
    <w:rsid w:val="00305FAB"/>
    <w:rsid w:val="00307E1D"/>
    <w:rsid w:val="003115B6"/>
    <w:rsid w:val="00313A71"/>
    <w:rsid w:val="00314F49"/>
    <w:rsid w:val="003154FB"/>
    <w:rsid w:val="003165DA"/>
    <w:rsid w:val="0031677C"/>
    <w:rsid w:val="0031684C"/>
    <w:rsid w:val="00317038"/>
    <w:rsid w:val="0031755F"/>
    <w:rsid w:val="00322476"/>
    <w:rsid w:val="0032272E"/>
    <w:rsid w:val="003236D2"/>
    <w:rsid w:val="003241BC"/>
    <w:rsid w:val="00324F00"/>
    <w:rsid w:val="0033079B"/>
    <w:rsid w:val="003328B6"/>
    <w:rsid w:val="0034125E"/>
    <w:rsid w:val="0034165D"/>
    <w:rsid w:val="00344611"/>
    <w:rsid w:val="00345432"/>
    <w:rsid w:val="00347F07"/>
    <w:rsid w:val="00350248"/>
    <w:rsid w:val="00355C2A"/>
    <w:rsid w:val="00355D5E"/>
    <w:rsid w:val="0036400A"/>
    <w:rsid w:val="003641BD"/>
    <w:rsid w:val="00365E7A"/>
    <w:rsid w:val="00377889"/>
    <w:rsid w:val="003778CF"/>
    <w:rsid w:val="003802AC"/>
    <w:rsid w:val="00382336"/>
    <w:rsid w:val="00382FBD"/>
    <w:rsid w:val="0038507C"/>
    <w:rsid w:val="00387E11"/>
    <w:rsid w:val="00393416"/>
    <w:rsid w:val="003974B8"/>
    <w:rsid w:val="003A04C7"/>
    <w:rsid w:val="003A3E6A"/>
    <w:rsid w:val="003A6D5A"/>
    <w:rsid w:val="003A733A"/>
    <w:rsid w:val="003B1D59"/>
    <w:rsid w:val="003B20E0"/>
    <w:rsid w:val="003C2FAB"/>
    <w:rsid w:val="003C7D80"/>
    <w:rsid w:val="003D137B"/>
    <w:rsid w:val="003D480E"/>
    <w:rsid w:val="003D6F80"/>
    <w:rsid w:val="003F03E6"/>
    <w:rsid w:val="003F1549"/>
    <w:rsid w:val="003F2C43"/>
    <w:rsid w:val="003F4498"/>
    <w:rsid w:val="003F527C"/>
    <w:rsid w:val="004010C7"/>
    <w:rsid w:val="0040436E"/>
    <w:rsid w:val="004044EA"/>
    <w:rsid w:val="004053FA"/>
    <w:rsid w:val="00406FA2"/>
    <w:rsid w:val="00412701"/>
    <w:rsid w:val="00413D42"/>
    <w:rsid w:val="00415395"/>
    <w:rsid w:val="00417176"/>
    <w:rsid w:val="004202D8"/>
    <w:rsid w:val="004206EB"/>
    <w:rsid w:val="004219D3"/>
    <w:rsid w:val="00421A34"/>
    <w:rsid w:val="00425995"/>
    <w:rsid w:val="004271A6"/>
    <w:rsid w:val="004275EC"/>
    <w:rsid w:val="00433B2A"/>
    <w:rsid w:val="004377E2"/>
    <w:rsid w:val="004412DA"/>
    <w:rsid w:val="00443857"/>
    <w:rsid w:val="00444BB0"/>
    <w:rsid w:val="0044798D"/>
    <w:rsid w:val="00453218"/>
    <w:rsid w:val="00454275"/>
    <w:rsid w:val="004551E0"/>
    <w:rsid w:val="004556F9"/>
    <w:rsid w:val="0046440D"/>
    <w:rsid w:val="0046571E"/>
    <w:rsid w:val="00471A83"/>
    <w:rsid w:val="00473C34"/>
    <w:rsid w:val="00474DB8"/>
    <w:rsid w:val="00485CCE"/>
    <w:rsid w:val="00487718"/>
    <w:rsid w:val="0049163E"/>
    <w:rsid w:val="0049422A"/>
    <w:rsid w:val="004A1A4A"/>
    <w:rsid w:val="004A2C38"/>
    <w:rsid w:val="004A3E62"/>
    <w:rsid w:val="004B188F"/>
    <w:rsid w:val="004B4CCD"/>
    <w:rsid w:val="004C7508"/>
    <w:rsid w:val="004D6E9A"/>
    <w:rsid w:val="004D7261"/>
    <w:rsid w:val="004F10A7"/>
    <w:rsid w:val="004F2F1B"/>
    <w:rsid w:val="004F65A4"/>
    <w:rsid w:val="00501F30"/>
    <w:rsid w:val="0050291F"/>
    <w:rsid w:val="00504D78"/>
    <w:rsid w:val="0050589B"/>
    <w:rsid w:val="00505ECD"/>
    <w:rsid w:val="00506ED1"/>
    <w:rsid w:val="00510B59"/>
    <w:rsid w:val="00510FFD"/>
    <w:rsid w:val="00512B01"/>
    <w:rsid w:val="00517F62"/>
    <w:rsid w:val="00521DE7"/>
    <w:rsid w:val="005223A6"/>
    <w:rsid w:val="00524CB3"/>
    <w:rsid w:val="005251C5"/>
    <w:rsid w:val="005331DD"/>
    <w:rsid w:val="005336E8"/>
    <w:rsid w:val="00533F00"/>
    <w:rsid w:val="005342CA"/>
    <w:rsid w:val="0053736E"/>
    <w:rsid w:val="00537F59"/>
    <w:rsid w:val="00543B2B"/>
    <w:rsid w:val="005445AF"/>
    <w:rsid w:val="0055336F"/>
    <w:rsid w:val="00571A31"/>
    <w:rsid w:val="005815F3"/>
    <w:rsid w:val="00594907"/>
    <w:rsid w:val="005A1B78"/>
    <w:rsid w:val="005A2885"/>
    <w:rsid w:val="005B11AA"/>
    <w:rsid w:val="005B1739"/>
    <w:rsid w:val="005B2FF4"/>
    <w:rsid w:val="005B4EBE"/>
    <w:rsid w:val="005C0AAF"/>
    <w:rsid w:val="005C7DFD"/>
    <w:rsid w:val="005D044B"/>
    <w:rsid w:val="005D0C71"/>
    <w:rsid w:val="005D1ABE"/>
    <w:rsid w:val="005D68B2"/>
    <w:rsid w:val="005D7E8F"/>
    <w:rsid w:val="005E1963"/>
    <w:rsid w:val="005E2203"/>
    <w:rsid w:val="005E4283"/>
    <w:rsid w:val="005E78EB"/>
    <w:rsid w:val="006002DF"/>
    <w:rsid w:val="00601288"/>
    <w:rsid w:val="00602684"/>
    <w:rsid w:val="00604ED6"/>
    <w:rsid w:val="00611195"/>
    <w:rsid w:val="00616AE0"/>
    <w:rsid w:val="006209B9"/>
    <w:rsid w:val="00621C7B"/>
    <w:rsid w:val="00621E98"/>
    <w:rsid w:val="00630AAE"/>
    <w:rsid w:val="006310C7"/>
    <w:rsid w:val="00641314"/>
    <w:rsid w:val="00643AD5"/>
    <w:rsid w:val="00644BDC"/>
    <w:rsid w:val="006474B1"/>
    <w:rsid w:val="0065147F"/>
    <w:rsid w:val="00653FC8"/>
    <w:rsid w:val="00655FAC"/>
    <w:rsid w:val="00656DB4"/>
    <w:rsid w:val="00657227"/>
    <w:rsid w:val="006613B7"/>
    <w:rsid w:val="006629D5"/>
    <w:rsid w:val="006631B2"/>
    <w:rsid w:val="0066466A"/>
    <w:rsid w:val="00673083"/>
    <w:rsid w:val="00674664"/>
    <w:rsid w:val="0068492F"/>
    <w:rsid w:val="0068515F"/>
    <w:rsid w:val="00686B1B"/>
    <w:rsid w:val="006872C8"/>
    <w:rsid w:val="00694E1B"/>
    <w:rsid w:val="006966B9"/>
    <w:rsid w:val="006A346D"/>
    <w:rsid w:val="006B7ABA"/>
    <w:rsid w:val="006C3931"/>
    <w:rsid w:val="006C69A6"/>
    <w:rsid w:val="006C7475"/>
    <w:rsid w:val="006D72A0"/>
    <w:rsid w:val="006E235D"/>
    <w:rsid w:val="006F0DC8"/>
    <w:rsid w:val="006F1EC9"/>
    <w:rsid w:val="006F7D9F"/>
    <w:rsid w:val="007014B5"/>
    <w:rsid w:val="0070213A"/>
    <w:rsid w:val="007054B0"/>
    <w:rsid w:val="00712B2E"/>
    <w:rsid w:val="0071355F"/>
    <w:rsid w:val="00713609"/>
    <w:rsid w:val="007160F2"/>
    <w:rsid w:val="007162F4"/>
    <w:rsid w:val="00722DD2"/>
    <w:rsid w:val="0072531C"/>
    <w:rsid w:val="007443CF"/>
    <w:rsid w:val="00754F7A"/>
    <w:rsid w:val="00761095"/>
    <w:rsid w:val="0076776A"/>
    <w:rsid w:val="00771E68"/>
    <w:rsid w:val="007769D6"/>
    <w:rsid w:val="00776E47"/>
    <w:rsid w:val="007778D0"/>
    <w:rsid w:val="00782C9B"/>
    <w:rsid w:val="00783C5C"/>
    <w:rsid w:val="00784377"/>
    <w:rsid w:val="00784714"/>
    <w:rsid w:val="00790E70"/>
    <w:rsid w:val="00791BB0"/>
    <w:rsid w:val="007934F9"/>
    <w:rsid w:val="0079752D"/>
    <w:rsid w:val="007A4EFD"/>
    <w:rsid w:val="007B0D91"/>
    <w:rsid w:val="007B2BE3"/>
    <w:rsid w:val="007B4C4A"/>
    <w:rsid w:val="007B52E1"/>
    <w:rsid w:val="007B7404"/>
    <w:rsid w:val="007C071C"/>
    <w:rsid w:val="007D1C4A"/>
    <w:rsid w:val="007D1FF2"/>
    <w:rsid w:val="007D2D33"/>
    <w:rsid w:val="007E1142"/>
    <w:rsid w:val="007E6E7B"/>
    <w:rsid w:val="007F453E"/>
    <w:rsid w:val="007F5C04"/>
    <w:rsid w:val="007F6341"/>
    <w:rsid w:val="00804DE9"/>
    <w:rsid w:val="00806097"/>
    <w:rsid w:val="00810BF0"/>
    <w:rsid w:val="00812442"/>
    <w:rsid w:val="00817A8C"/>
    <w:rsid w:val="008215CC"/>
    <w:rsid w:val="008244E0"/>
    <w:rsid w:val="008266D7"/>
    <w:rsid w:val="0082744C"/>
    <w:rsid w:val="00827715"/>
    <w:rsid w:val="00831AC3"/>
    <w:rsid w:val="008427A4"/>
    <w:rsid w:val="008464FD"/>
    <w:rsid w:val="00850D53"/>
    <w:rsid w:val="00850FFA"/>
    <w:rsid w:val="0087186A"/>
    <w:rsid w:val="008728E5"/>
    <w:rsid w:val="00875E30"/>
    <w:rsid w:val="0088214F"/>
    <w:rsid w:val="0088664A"/>
    <w:rsid w:val="00894536"/>
    <w:rsid w:val="008A1EBE"/>
    <w:rsid w:val="008A3FAB"/>
    <w:rsid w:val="008A4E45"/>
    <w:rsid w:val="008A5A1F"/>
    <w:rsid w:val="008A7D31"/>
    <w:rsid w:val="008B0411"/>
    <w:rsid w:val="008B0851"/>
    <w:rsid w:val="008B52F2"/>
    <w:rsid w:val="008C656D"/>
    <w:rsid w:val="008C6818"/>
    <w:rsid w:val="008D0297"/>
    <w:rsid w:val="008D02DF"/>
    <w:rsid w:val="008D3518"/>
    <w:rsid w:val="008D4307"/>
    <w:rsid w:val="008D5FAC"/>
    <w:rsid w:val="008D779B"/>
    <w:rsid w:val="008D7C3F"/>
    <w:rsid w:val="008D7CFE"/>
    <w:rsid w:val="008E1CD8"/>
    <w:rsid w:val="008E5291"/>
    <w:rsid w:val="008E575D"/>
    <w:rsid w:val="008E72B2"/>
    <w:rsid w:val="008E7525"/>
    <w:rsid w:val="008F2633"/>
    <w:rsid w:val="008F4F6E"/>
    <w:rsid w:val="00903A6E"/>
    <w:rsid w:val="0090769F"/>
    <w:rsid w:val="00907805"/>
    <w:rsid w:val="009109D5"/>
    <w:rsid w:val="00922FAF"/>
    <w:rsid w:val="00927BE3"/>
    <w:rsid w:val="00933B8C"/>
    <w:rsid w:val="00937208"/>
    <w:rsid w:val="00944BC3"/>
    <w:rsid w:val="00950E33"/>
    <w:rsid w:val="00952D19"/>
    <w:rsid w:val="00961330"/>
    <w:rsid w:val="009613DE"/>
    <w:rsid w:val="00961451"/>
    <w:rsid w:val="009624C1"/>
    <w:rsid w:val="00963EA1"/>
    <w:rsid w:val="0096701A"/>
    <w:rsid w:val="00967ADC"/>
    <w:rsid w:val="00971955"/>
    <w:rsid w:val="0097206A"/>
    <w:rsid w:val="009733D6"/>
    <w:rsid w:val="00975AF5"/>
    <w:rsid w:val="00981E7D"/>
    <w:rsid w:val="00986FAC"/>
    <w:rsid w:val="00991F3C"/>
    <w:rsid w:val="00993408"/>
    <w:rsid w:val="00994115"/>
    <w:rsid w:val="00995A99"/>
    <w:rsid w:val="00996CBE"/>
    <w:rsid w:val="009A0F82"/>
    <w:rsid w:val="009A19B6"/>
    <w:rsid w:val="009A4ED4"/>
    <w:rsid w:val="009A5101"/>
    <w:rsid w:val="009A7AA1"/>
    <w:rsid w:val="009B04CF"/>
    <w:rsid w:val="009B5BAE"/>
    <w:rsid w:val="009C28D1"/>
    <w:rsid w:val="009C3445"/>
    <w:rsid w:val="009C3473"/>
    <w:rsid w:val="009C7561"/>
    <w:rsid w:val="009D1D88"/>
    <w:rsid w:val="009D2BF7"/>
    <w:rsid w:val="009D4D7C"/>
    <w:rsid w:val="009E130D"/>
    <w:rsid w:val="009E48F3"/>
    <w:rsid w:val="009E49A2"/>
    <w:rsid w:val="009F0439"/>
    <w:rsid w:val="009F11AB"/>
    <w:rsid w:val="009F3260"/>
    <w:rsid w:val="009F389A"/>
    <w:rsid w:val="00A01789"/>
    <w:rsid w:val="00A07F30"/>
    <w:rsid w:val="00A10E21"/>
    <w:rsid w:val="00A119CA"/>
    <w:rsid w:val="00A12094"/>
    <w:rsid w:val="00A15AC0"/>
    <w:rsid w:val="00A17B1E"/>
    <w:rsid w:val="00A2163B"/>
    <w:rsid w:val="00A2164A"/>
    <w:rsid w:val="00A238EA"/>
    <w:rsid w:val="00A23FDD"/>
    <w:rsid w:val="00A2411E"/>
    <w:rsid w:val="00A30506"/>
    <w:rsid w:val="00A3230A"/>
    <w:rsid w:val="00A361D9"/>
    <w:rsid w:val="00A45BAD"/>
    <w:rsid w:val="00A47CCF"/>
    <w:rsid w:val="00A54374"/>
    <w:rsid w:val="00A56A8C"/>
    <w:rsid w:val="00A57A00"/>
    <w:rsid w:val="00A60E8A"/>
    <w:rsid w:val="00A62674"/>
    <w:rsid w:val="00A727CC"/>
    <w:rsid w:val="00A73458"/>
    <w:rsid w:val="00A73DDB"/>
    <w:rsid w:val="00A76173"/>
    <w:rsid w:val="00A80414"/>
    <w:rsid w:val="00A8176A"/>
    <w:rsid w:val="00A832A4"/>
    <w:rsid w:val="00A843DE"/>
    <w:rsid w:val="00A84B05"/>
    <w:rsid w:val="00A85DA6"/>
    <w:rsid w:val="00A906A4"/>
    <w:rsid w:val="00A9166C"/>
    <w:rsid w:val="00A970B0"/>
    <w:rsid w:val="00AA3B1C"/>
    <w:rsid w:val="00AB43C0"/>
    <w:rsid w:val="00AC3B7A"/>
    <w:rsid w:val="00AC3D9D"/>
    <w:rsid w:val="00AC4D1A"/>
    <w:rsid w:val="00AC5C6B"/>
    <w:rsid w:val="00AC7401"/>
    <w:rsid w:val="00AD0E39"/>
    <w:rsid w:val="00AD1812"/>
    <w:rsid w:val="00AD3AD2"/>
    <w:rsid w:val="00AE1FED"/>
    <w:rsid w:val="00AE2B99"/>
    <w:rsid w:val="00AE409E"/>
    <w:rsid w:val="00AE650A"/>
    <w:rsid w:val="00AE7938"/>
    <w:rsid w:val="00AF1AA0"/>
    <w:rsid w:val="00AF265F"/>
    <w:rsid w:val="00AF632F"/>
    <w:rsid w:val="00B00FAA"/>
    <w:rsid w:val="00B02192"/>
    <w:rsid w:val="00B051A2"/>
    <w:rsid w:val="00B15E51"/>
    <w:rsid w:val="00B15F9E"/>
    <w:rsid w:val="00B16503"/>
    <w:rsid w:val="00B2006A"/>
    <w:rsid w:val="00B2010C"/>
    <w:rsid w:val="00B24B20"/>
    <w:rsid w:val="00B2534D"/>
    <w:rsid w:val="00B35448"/>
    <w:rsid w:val="00B35912"/>
    <w:rsid w:val="00B40B3C"/>
    <w:rsid w:val="00B44881"/>
    <w:rsid w:val="00B44AFF"/>
    <w:rsid w:val="00B450BE"/>
    <w:rsid w:val="00B452C0"/>
    <w:rsid w:val="00B452DD"/>
    <w:rsid w:val="00B475E6"/>
    <w:rsid w:val="00B50C2B"/>
    <w:rsid w:val="00B53404"/>
    <w:rsid w:val="00B55F98"/>
    <w:rsid w:val="00B56084"/>
    <w:rsid w:val="00B60547"/>
    <w:rsid w:val="00B64589"/>
    <w:rsid w:val="00B645E7"/>
    <w:rsid w:val="00B64664"/>
    <w:rsid w:val="00B732CD"/>
    <w:rsid w:val="00B82900"/>
    <w:rsid w:val="00B84E19"/>
    <w:rsid w:val="00B87B05"/>
    <w:rsid w:val="00B90771"/>
    <w:rsid w:val="00B90F22"/>
    <w:rsid w:val="00B929E2"/>
    <w:rsid w:val="00B92F52"/>
    <w:rsid w:val="00B936E2"/>
    <w:rsid w:val="00B94250"/>
    <w:rsid w:val="00B962A6"/>
    <w:rsid w:val="00B97C76"/>
    <w:rsid w:val="00BA09B0"/>
    <w:rsid w:val="00BA1F31"/>
    <w:rsid w:val="00BA340D"/>
    <w:rsid w:val="00BA3959"/>
    <w:rsid w:val="00BA4244"/>
    <w:rsid w:val="00BB42FA"/>
    <w:rsid w:val="00BB5409"/>
    <w:rsid w:val="00BC1136"/>
    <w:rsid w:val="00BC2390"/>
    <w:rsid w:val="00BC4727"/>
    <w:rsid w:val="00BC69DA"/>
    <w:rsid w:val="00BC7943"/>
    <w:rsid w:val="00BD01E7"/>
    <w:rsid w:val="00BD6299"/>
    <w:rsid w:val="00BD6E6D"/>
    <w:rsid w:val="00BE0523"/>
    <w:rsid w:val="00BE31DC"/>
    <w:rsid w:val="00BE6342"/>
    <w:rsid w:val="00BE6A7C"/>
    <w:rsid w:val="00BE6B2C"/>
    <w:rsid w:val="00BF23EC"/>
    <w:rsid w:val="00BF3D1E"/>
    <w:rsid w:val="00BF4FB8"/>
    <w:rsid w:val="00C01446"/>
    <w:rsid w:val="00C02B7C"/>
    <w:rsid w:val="00C045B9"/>
    <w:rsid w:val="00C053D0"/>
    <w:rsid w:val="00C05D9E"/>
    <w:rsid w:val="00C103EC"/>
    <w:rsid w:val="00C14426"/>
    <w:rsid w:val="00C14490"/>
    <w:rsid w:val="00C20265"/>
    <w:rsid w:val="00C205B7"/>
    <w:rsid w:val="00C24625"/>
    <w:rsid w:val="00C26BDD"/>
    <w:rsid w:val="00C31729"/>
    <w:rsid w:val="00C34084"/>
    <w:rsid w:val="00C37E17"/>
    <w:rsid w:val="00C37F5A"/>
    <w:rsid w:val="00C435B9"/>
    <w:rsid w:val="00C470F9"/>
    <w:rsid w:val="00C50FF2"/>
    <w:rsid w:val="00C52D17"/>
    <w:rsid w:val="00C547D2"/>
    <w:rsid w:val="00C55F37"/>
    <w:rsid w:val="00C560C2"/>
    <w:rsid w:val="00C5664C"/>
    <w:rsid w:val="00C57BBD"/>
    <w:rsid w:val="00C61981"/>
    <w:rsid w:val="00C63264"/>
    <w:rsid w:val="00C6379D"/>
    <w:rsid w:val="00C654B1"/>
    <w:rsid w:val="00C751FB"/>
    <w:rsid w:val="00C807BE"/>
    <w:rsid w:val="00C86C30"/>
    <w:rsid w:val="00C87A00"/>
    <w:rsid w:val="00C90518"/>
    <w:rsid w:val="00CA166B"/>
    <w:rsid w:val="00CA1717"/>
    <w:rsid w:val="00CA50AA"/>
    <w:rsid w:val="00CA6A3A"/>
    <w:rsid w:val="00CA6EA5"/>
    <w:rsid w:val="00CA7BB0"/>
    <w:rsid w:val="00CB00E9"/>
    <w:rsid w:val="00CB1806"/>
    <w:rsid w:val="00CB2DE4"/>
    <w:rsid w:val="00CB2FD2"/>
    <w:rsid w:val="00CB4338"/>
    <w:rsid w:val="00CC105C"/>
    <w:rsid w:val="00CC29B6"/>
    <w:rsid w:val="00CC658D"/>
    <w:rsid w:val="00CC7D00"/>
    <w:rsid w:val="00CD2D0F"/>
    <w:rsid w:val="00CD4BAB"/>
    <w:rsid w:val="00CD4FD1"/>
    <w:rsid w:val="00CD6F94"/>
    <w:rsid w:val="00CE25C6"/>
    <w:rsid w:val="00CE262E"/>
    <w:rsid w:val="00CE3DE5"/>
    <w:rsid w:val="00CE5D60"/>
    <w:rsid w:val="00CE5DBB"/>
    <w:rsid w:val="00CE7025"/>
    <w:rsid w:val="00CF4B42"/>
    <w:rsid w:val="00CF51D7"/>
    <w:rsid w:val="00CF5B31"/>
    <w:rsid w:val="00CF5FD0"/>
    <w:rsid w:val="00D00B54"/>
    <w:rsid w:val="00D00EFB"/>
    <w:rsid w:val="00D0102E"/>
    <w:rsid w:val="00D014E5"/>
    <w:rsid w:val="00D035D8"/>
    <w:rsid w:val="00D0488D"/>
    <w:rsid w:val="00D0514A"/>
    <w:rsid w:val="00D053B9"/>
    <w:rsid w:val="00D07727"/>
    <w:rsid w:val="00D07875"/>
    <w:rsid w:val="00D14353"/>
    <w:rsid w:val="00D163C5"/>
    <w:rsid w:val="00D21315"/>
    <w:rsid w:val="00D219B9"/>
    <w:rsid w:val="00D23A79"/>
    <w:rsid w:val="00D25330"/>
    <w:rsid w:val="00D25C1F"/>
    <w:rsid w:val="00D26EFF"/>
    <w:rsid w:val="00D27C10"/>
    <w:rsid w:val="00D30ACA"/>
    <w:rsid w:val="00D34BF4"/>
    <w:rsid w:val="00D3699F"/>
    <w:rsid w:val="00D434AA"/>
    <w:rsid w:val="00D43B04"/>
    <w:rsid w:val="00D44BC1"/>
    <w:rsid w:val="00D44D34"/>
    <w:rsid w:val="00D45D77"/>
    <w:rsid w:val="00D4671E"/>
    <w:rsid w:val="00D541B8"/>
    <w:rsid w:val="00D5436B"/>
    <w:rsid w:val="00D55964"/>
    <w:rsid w:val="00D60C85"/>
    <w:rsid w:val="00D63B4B"/>
    <w:rsid w:val="00D666D6"/>
    <w:rsid w:val="00D66D7C"/>
    <w:rsid w:val="00D6785C"/>
    <w:rsid w:val="00D7026E"/>
    <w:rsid w:val="00D7099A"/>
    <w:rsid w:val="00D72507"/>
    <w:rsid w:val="00D741FB"/>
    <w:rsid w:val="00D77B18"/>
    <w:rsid w:val="00D80432"/>
    <w:rsid w:val="00D814AC"/>
    <w:rsid w:val="00D82C25"/>
    <w:rsid w:val="00D86C07"/>
    <w:rsid w:val="00D91CB0"/>
    <w:rsid w:val="00D92326"/>
    <w:rsid w:val="00D94A46"/>
    <w:rsid w:val="00D96934"/>
    <w:rsid w:val="00D96A94"/>
    <w:rsid w:val="00DA0362"/>
    <w:rsid w:val="00DA3699"/>
    <w:rsid w:val="00DB072E"/>
    <w:rsid w:val="00DB0D56"/>
    <w:rsid w:val="00DB32AF"/>
    <w:rsid w:val="00DB3458"/>
    <w:rsid w:val="00DB3C38"/>
    <w:rsid w:val="00DB45BF"/>
    <w:rsid w:val="00DB6264"/>
    <w:rsid w:val="00DC5C14"/>
    <w:rsid w:val="00DC5FFB"/>
    <w:rsid w:val="00DC6239"/>
    <w:rsid w:val="00DC7E3F"/>
    <w:rsid w:val="00DD0C28"/>
    <w:rsid w:val="00DD18CB"/>
    <w:rsid w:val="00DD582B"/>
    <w:rsid w:val="00DD6F7D"/>
    <w:rsid w:val="00DE417A"/>
    <w:rsid w:val="00DE6478"/>
    <w:rsid w:val="00DE688F"/>
    <w:rsid w:val="00DF116C"/>
    <w:rsid w:val="00DF5885"/>
    <w:rsid w:val="00DF688A"/>
    <w:rsid w:val="00DF6F55"/>
    <w:rsid w:val="00DF762D"/>
    <w:rsid w:val="00E02DBB"/>
    <w:rsid w:val="00E04B5B"/>
    <w:rsid w:val="00E12C42"/>
    <w:rsid w:val="00E12D58"/>
    <w:rsid w:val="00E14029"/>
    <w:rsid w:val="00E15FBD"/>
    <w:rsid w:val="00E16503"/>
    <w:rsid w:val="00E16725"/>
    <w:rsid w:val="00E23EE0"/>
    <w:rsid w:val="00E2497C"/>
    <w:rsid w:val="00E25F01"/>
    <w:rsid w:val="00E26147"/>
    <w:rsid w:val="00E26B49"/>
    <w:rsid w:val="00E27956"/>
    <w:rsid w:val="00E3025D"/>
    <w:rsid w:val="00E311BE"/>
    <w:rsid w:val="00E32FCB"/>
    <w:rsid w:val="00E33B20"/>
    <w:rsid w:val="00E341B6"/>
    <w:rsid w:val="00E35204"/>
    <w:rsid w:val="00E37281"/>
    <w:rsid w:val="00E43514"/>
    <w:rsid w:val="00E51AA1"/>
    <w:rsid w:val="00E51C02"/>
    <w:rsid w:val="00E53DBD"/>
    <w:rsid w:val="00E54AFD"/>
    <w:rsid w:val="00E5542F"/>
    <w:rsid w:val="00E56B70"/>
    <w:rsid w:val="00E65B35"/>
    <w:rsid w:val="00E72F55"/>
    <w:rsid w:val="00E73364"/>
    <w:rsid w:val="00E77D37"/>
    <w:rsid w:val="00E77E1C"/>
    <w:rsid w:val="00E83318"/>
    <w:rsid w:val="00E83DA9"/>
    <w:rsid w:val="00E849A0"/>
    <w:rsid w:val="00E84A8F"/>
    <w:rsid w:val="00E96BD8"/>
    <w:rsid w:val="00E96D22"/>
    <w:rsid w:val="00EA03C0"/>
    <w:rsid w:val="00EA1843"/>
    <w:rsid w:val="00EA1EA4"/>
    <w:rsid w:val="00EA5C7E"/>
    <w:rsid w:val="00EA65B4"/>
    <w:rsid w:val="00EB27D8"/>
    <w:rsid w:val="00EB27EA"/>
    <w:rsid w:val="00EB47DE"/>
    <w:rsid w:val="00EB70CF"/>
    <w:rsid w:val="00EC06FA"/>
    <w:rsid w:val="00EC2BAD"/>
    <w:rsid w:val="00EC4D50"/>
    <w:rsid w:val="00EC6D8E"/>
    <w:rsid w:val="00ED434D"/>
    <w:rsid w:val="00ED4EB0"/>
    <w:rsid w:val="00ED53A0"/>
    <w:rsid w:val="00ED70A2"/>
    <w:rsid w:val="00EE2246"/>
    <w:rsid w:val="00EE7DB2"/>
    <w:rsid w:val="00EF0C8B"/>
    <w:rsid w:val="00EF1DBF"/>
    <w:rsid w:val="00EF2926"/>
    <w:rsid w:val="00EF35D2"/>
    <w:rsid w:val="00EF3C07"/>
    <w:rsid w:val="00EF5CD4"/>
    <w:rsid w:val="00EF616C"/>
    <w:rsid w:val="00F016C5"/>
    <w:rsid w:val="00F03E61"/>
    <w:rsid w:val="00F06C9F"/>
    <w:rsid w:val="00F124CF"/>
    <w:rsid w:val="00F139CC"/>
    <w:rsid w:val="00F17298"/>
    <w:rsid w:val="00F2137A"/>
    <w:rsid w:val="00F21D13"/>
    <w:rsid w:val="00F24596"/>
    <w:rsid w:val="00F25905"/>
    <w:rsid w:val="00F345E5"/>
    <w:rsid w:val="00F37491"/>
    <w:rsid w:val="00F41CE4"/>
    <w:rsid w:val="00F504F6"/>
    <w:rsid w:val="00F54CF1"/>
    <w:rsid w:val="00F557A6"/>
    <w:rsid w:val="00F55BBF"/>
    <w:rsid w:val="00F56DCF"/>
    <w:rsid w:val="00F604D8"/>
    <w:rsid w:val="00F70414"/>
    <w:rsid w:val="00F7099B"/>
    <w:rsid w:val="00F709B0"/>
    <w:rsid w:val="00F80554"/>
    <w:rsid w:val="00F805EC"/>
    <w:rsid w:val="00F8758F"/>
    <w:rsid w:val="00F929C3"/>
    <w:rsid w:val="00F92E6C"/>
    <w:rsid w:val="00F93400"/>
    <w:rsid w:val="00F97464"/>
    <w:rsid w:val="00FA7035"/>
    <w:rsid w:val="00FB04F1"/>
    <w:rsid w:val="00FB6DD8"/>
    <w:rsid w:val="00FB7A18"/>
    <w:rsid w:val="00FB7CD6"/>
    <w:rsid w:val="00FB7E47"/>
    <w:rsid w:val="00FB7FE9"/>
    <w:rsid w:val="00FC0979"/>
    <w:rsid w:val="00FC1E05"/>
    <w:rsid w:val="00FC5EB0"/>
    <w:rsid w:val="00FC6227"/>
    <w:rsid w:val="00FC68F1"/>
    <w:rsid w:val="00FD2080"/>
    <w:rsid w:val="00FD310D"/>
    <w:rsid w:val="00FE2F57"/>
    <w:rsid w:val="00FE765E"/>
    <w:rsid w:val="00FF087F"/>
    <w:rsid w:val="00FF18AC"/>
    <w:rsid w:val="00FF26D5"/>
    <w:rsid w:val="00FF4554"/>
    <w:rsid w:val="00FF45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8FD0C2"/>
  <w15:chartTrackingRefBased/>
  <w15:docId w15:val="{E9E0B11E-3A72-4DB2-8702-3721ED3F8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11AA"/>
    <w:rPr>
      <w:rFonts w:ascii="Times New Roman" w:hAnsi="Times New Roman"/>
      <w:sz w:val="24"/>
    </w:rPr>
  </w:style>
  <w:style w:type="paragraph" w:styleId="Heading1">
    <w:name w:val="heading 1"/>
    <w:aliases w:val="Heading 1 (Chapter)"/>
    <w:basedOn w:val="Normal"/>
    <w:next w:val="Normal"/>
    <w:link w:val="Heading1Char"/>
    <w:uiPriority w:val="9"/>
    <w:qFormat/>
    <w:rsid w:val="00601288"/>
    <w:pPr>
      <w:keepNext/>
      <w:keepLines/>
      <w:spacing w:before="360" w:after="240"/>
      <w:outlineLvl w:val="0"/>
    </w:pPr>
    <w:rPr>
      <w:rFonts w:eastAsiaTheme="majorEastAsia" w:cstheme="majorBidi"/>
      <w:b/>
      <w:sz w:val="36"/>
      <w:szCs w:val="32"/>
    </w:rPr>
  </w:style>
  <w:style w:type="paragraph" w:styleId="Heading2">
    <w:name w:val="heading 2"/>
    <w:aliases w:val="Heading 2 (Chapter)"/>
    <w:basedOn w:val="Normal"/>
    <w:next w:val="Normal"/>
    <w:link w:val="Heading2Char"/>
    <w:uiPriority w:val="9"/>
    <w:unhideWhenUsed/>
    <w:qFormat/>
    <w:rsid w:val="00017B04"/>
    <w:pPr>
      <w:keepNext/>
      <w:keepLines/>
      <w:spacing w:before="280" w:after="240"/>
      <w:outlineLvl w:val="1"/>
    </w:pPr>
    <w:rPr>
      <w:rFonts w:eastAsiaTheme="majorEastAsia" w:cstheme="majorBidi"/>
      <w:b/>
      <w:sz w:val="32"/>
      <w:szCs w:val="26"/>
    </w:rPr>
  </w:style>
  <w:style w:type="paragraph" w:styleId="Heading3">
    <w:name w:val="heading 3"/>
    <w:aliases w:val="Heading 3 (Chapter)"/>
    <w:basedOn w:val="Normal"/>
    <w:next w:val="Normal"/>
    <w:link w:val="Heading3Char"/>
    <w:uiPriority w:val="9"/>
    <w:unhideWhenUsed/>
    <w:qFormat/>
    <w:rsid w:val="00F7099B"/>
    <w:pPr>
      <w:keepNext/>
      <w:keepLines/>
      <w:spacing w:before="40" w:after="0"/>
      <w:outlineLvl w:val="2"/>
    </w:pPr>
    <w:rPr>
      <w:rFonts w:asciiTheme="majorHAnsi" w:eastAsiaTheme="majorEastAsia" w:hAnsiTheme="majorHAnsi" w:cstheme="majorBidi"/>
      <w:b/>
      <w:szCs w:val="24"/>
    </w:rPr>
  </w:style>
  <w:style w:type="paragraph" w:styleId="Heading4">
    <w:name w:val="heading 4"/>
    <w:aliases w:val="Heading 4 (Chapter)"/>
    <w:basedOn w:val="Subhead-Lvl3-Thesis"/>
    <w:next w:val="Normal"/>
    <w:link w:val="Heading4Char"/>
    <w:uiPriority w:val="9"/>
    <w:unhideWhenUsed/>
    <w:qFormat/>
    <w:rsid w:val="00C61981"/>
    <w:pPr>
      <w:ind w:left="864" w:hanging="864"/>
      <w:outlineLvl w:val="3"/>
    </w:pPr>
  </w:style>
  <w:style w:type="paragraph" w:styleId="Heading5">
    <w:name w:val="heading 5"/>
    <w:aliases w:val="Heading 3 (Appendices)"/>
    <w:basedOn w:val="Normal"/>
    <w:next w:val="Normal"/>
    <w:link w:val="Heading5Char"/>
    <w:uiPriority w:val="9"/>
    <w:unhideWhenUsed/>
    <w:qFormat/>
    <w:rsid w:val="00C61981"/>
    <w:pPr>
      <w:keepNext/>
      <w:keepLines/>
      <w:spacing w:before="40" w:after="0"/>
      <w:outlineLvl w:val="4"/>
    </w:pPr>
    <w:rPr>
      <w:rFonts w:ascii="Cambria" w:eastAsia="MS Gothic" w:hAnsi="Cambria" w:cs="Times New Roman"/>
      <w:color w:val="365F91"/>
      <w:szCs w:val="24"/>
    </w:rPr>
  </w:style>
  <w:style w:type="paragraph" w:styleId="Heading6">
    <w:name w:val="heading 6"/>
    <w:basedOn w:val="Normal"/>
    <w:next w:val="Normal"/>
    <w:link w:val="Heading6Char"/>
    <w:uiPriority w:val="9"/>
    <w:semiHidden/>
    <w:unhideWhenUsed/>
    <w:qFormat/>
    <w:rsid w:val="00C61981"/>
    <w:pPr>
      <w:keepNext/>
      <w:keepLines/>
      <w:spacing w:before="40" w:after="0"/>
      <w:outlineLvl w:val="5"/>
    </w:pPr>
    <w:rPr>
      <w:rFonts w:ascii="Cambria" w:eastAsia="MS Gothic" w:hAnsi="Cambria" w:cs="Times New Roman"/>
      <w:color w:val="243F60"/>
      <w:szCs w:val="24"/>
    </w:rPr>
  </w:style>
  <w:style w:type="paragraph" w:styleId="Heading7">
    <w:name w:val="heading 7"/>
    <w:basedOn w:val="Normal"/>
    <w:next w:val="Normal"/>
    <w:link w:val="Heading7Char"/>
    <w:uiPriority w:val="9"/>
    <w:semiHidden/>
    <w:unhideWhenUsed/>
    <w:qFormat/>
    <w:rsid w:val="00C61981"/>
    <w:pPr>
      <w:keepNext/>
      <w:keepLines/>
      <w:spacing w:before="40" w:after="0"/>
      <w:outlineLvl w:val="6"/>
    </w:pPr>
    <w:rPr>
      <w:rFonts w:ascii="Cambria" w:eastAsia="MS Gothic" w:hAnsi="Cambria" w:cs="Times New Roman"/>
      <w:i/>
      <w:iCs/>
      <w:color w:val="243F60"/>
      <w:szCs w:val="24"/>
    </w:rPr>
  </w:style>
  <w:style w:type="paragraph" w:styleId="Heading8">
    <w:name w:val="heading 8"/>
    <w:basedOn w:val="Normal"/>
    <w:next w:val="Normal"/>
    <w:link w:val="Heading8Char"/>
    <w:uiPriority w:val="9"/>
    <w:semiHidden/>
    <w:unhideWhenUsed/>
    <w:qFormat/>
    <w:rsid w:val="00C61981"/>
    <w:pPr>
      <w:keepNext/>
      <w:keepLines/>
      <w:spacing w:before="40" w:after="0"/>
      <w:outlineLvl w:val="7"/>
    </w:pPr>
    <w:rPr>
      <w:rFonts w:ascii="Cambria" w:eastAsia="MS Gothic" w:hAnsi="Cambria" w:cs="Times New Roman"/>
      <w:color w:val="272727"/>
      <w:sz w:val="21"/>
      <w:szCs w:val="21"/>
    </w:rPr>
  </w:style>
  <w:style w:type="paragraph" w:styleId="Heading9">
    <w:name w:val="heading 9"/>
    <w:basedOn w:val="Normal"/>
    <w:next w:val="Normal"/>
    <w:link w:val="Heading9Char"/>
    <w:uiPriority w:val="9"/>
    <w:semiHidden/>
    <w:unhideWhenUsed/>
    <w:qFormat/>
    <w:rsid w:val="00C61981"/>
    <w:pPr>
      <w:keepNext/>
      <w:keepLines/>
      <w:spacing w:before="40" w:after="0"/>
      <w:outlineLvl w:val="8"/>
    </w:pPr>
    <w:rPr>
      <w:rFonts w:ascii="Cambria" w:eastAsia="MS Gothic" w:hAnsi="Cambria" w:cs="Times New Roman"/>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A970B0"/>
    <w:pPr>
      <w:spacing w:after="200" w:line="240" w:lineRule="auto"/>
    </w:pPr>
    <w:rPr>
      <w:i/>
      <w:iCs/>
      <w:color w:val="44546A" w:themeColor="text2"/>
      <w:sz w:val="18"/>
      <w:szCs w:val="18"/>
    </w:rPr>
  </w:style>
  <w:style w:type="paragraph" w:styleId="Header">
    <w:name w:val="header"/>
    <w:basedOn w:val="Normal"/>
    <w:link w:val="HeaderChar"/>
    <w:uiPriority w:val="99"/>
    <w:unhideWhenUsed/>
    <w:rsid w:val="00A970B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70B0"/>
  </w:style>
  <w:style w:type="paragraph" w:styleId="Footer">
    <w:name w:val="footer"/>
    <w:basedOn w:val="Normal"/>
    <w:link w:val="FooterChar"/>
    <w:uiPriority w:val="99"/>
    <w:unhideWhenUsed/>
    <w:rsid w:val="00A970B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70B0"/>
  </w:style>
  <w:style w:type="paragraph" w:customStyle="1" w:styleId="EndNoteBibliographyTitle">
    <w:name w:val="EndNote Bibliography Title"/>
    <w:basedOn w:val="Normal"/>
    <w:link w:val="EndNoteBibliographyTitleChar"/>
    <w:rsid w:val="00A970B0"/>
    <w:pPr>
      <w:spacing w:after="0"/>
      <w:jc w:val="center"/>
    </w:pPr>
    <w:rPr>
      <w:rFonts w:ascii="Calibri" w:hAnsi="Calibri" w:cs="Calibri"/>
      <w:noProof/>
      <w:sz w:val="22"/>
      <w:lang w:val="en-US"/>
    </w:rPr>
  </w:style>
  <w:style w:type="character" w:customStyle="1" w:styleId="EndNoteBibliographyTitleChar">
    <w:name w:val="EndNote Bibliography Title Char"/>
    <w:basedOn w:val="DefaultParagraphFont"/>
    <w:link w:val="EndNoteBibliographyTitle"/>
    <w:rsid w:val="00A970B0"/>
    <w:rPr>
      <w:rFonts w:ascii="Calibri" w:hAnsi="Calibri" w:cs="Calibri"/>
      <w:noProof/>
      <w:lang w:val="en-US"/>
    </w:rPr>
  </w:style>
  <w:style w:type="paragraph" w:customStyle="1" w:styleId="EndNoteBibliography">
    <w:name w:val="EndNote Bibliography"/>
    <w:basedOn w:val="Normal"/>
    <w:link w:val="EndNoteBibliographyChar"/>
    <w:rsid w:val="00A970B0"/>
    <w:pPr>
      <w:spacing w:line="240" w:lineRule="auto"/>
    </w:pPr>
    <w:rPr>
      <w:rFonts w:ascii="Calibri" w:hAnsi="Calibri" w:cs="Calibri"/>
      <w:noProof/>
      <w:sz w:val="22"/>
      <w:lang w:val="en-US"/>
    </w:rPr>
  </w:style>
  <w:style w:type="character" w:customStyle="1" w:styleId="EndNoteBibliographyChar">
    <w:name w:val="EndNote Bibliography Char"/>
    <w:basedOn w:val="DefaultParagraphFont"/>
    <w:link w:val="EndNoteBibliography"/>
    <w:rsid w:val="00A970B0"/>
    <w:rPr>
      <w:rFonts w:ascii="Calibri" w:hAnsi="Calibri" w:cs="Calibri"/>
      <w:noProof/>
      <w:lang w:val="en-US"/>
    </w:rPr>
  </w:style>
  <w:style w:type="character" w:styleId="Hyperlink">
    <w:name w:val="Hyperlink"/>
    <w:basedOn w:val="DefaultParagraphFont"/>
    <w:uiPriority w:val="99"/>
    <w:unhideWhenUsed/>
    <w:rsid w:val="00A970B0"/>
    <w:rPr>
      <w:color w:val="0563C1" w:themeColor="hyperlink"/>
      <w:u w:val="single"/>
    </w:rPr>
  </w:style>
  <w:style w:type="character" w:customStyle="1" w:styleId="Heading1Char">
    <w:name w:val="Heading 1 Char"/>
    <w:aliases w:val="Heading 1 (Chapter) Char"/>
    <w:basedOn w:val="DefaultParagraphFont"/>
    <w:link w:val="Heading1"/>
    <w:uiPriority w:val="9"/>
    <w:rsid w:val="00601288"/>
    <w:rPr>
      <w:rFonts w:ascii="Times New Roman" w:eastAsiaTheme="majorEastAsia" w:hAnsi="Times New Roman" w:cstheme="majorBidi"/>
      <w:b/>
      <w:sz w:val="36"/>
      <w:szCs w:val="32"/>
    </w:rPr>
  </w:style>
  <w:style w:type="paragraph" w:styleId="Title">
    <w:name w:val="Title"/>
    <w:aliases w:val="Heading 1 (Appendices)"/>
    <w:basedOn w:val="Normal"/>
    <w:next w:val="Normal"/>
    <w:link w:val="TitleChar"/>
    <w:uiPriority w:val="10"/>
    <w:qFormat/>
    <w:rsid w:val="00017B04"/>
    <w:pPr>
      <w:spacing w:before="120" w:after="120" w:line="240" w:lineRule="auto"/>
      <w:contextualSpacing/>
    </w:pPr>
    <w:rPr>
      <w:rFonts w:eastAsiaTheme="majorEastAsia" w:cstheme="majorBidi"/>
      <w:b/>
      <w:spacing w:val="-10"/>
      <w:kern w:val="28"/>
      <w:sz w:val="36"/>
      <w:szCs w:val="56"/>
    </w:rPr>
  </w:style>
  <w:style w:type="character" w:customStyle="1" w:styleId="TitleChar">
    <w:name w:val="Title Char"/>
    <w:aliases w:val="Heading 1 (Appendices) Char"/>
    <w:basedOn w:val="DefaultParagraphFont"/>
    <w:link w:val="Title"/>
    <w:uiPriority w:val="10"/>
    <w:rsid w:val="00017B04"/>
    <w:rPr>
      <w:rFonts w:ascii="Times New Roman" w:eastAsiaTheme="majorEastAsia" w:hAnsi="Times New Roman" w:cstheme="majorBidi"/>
      <w:b/>
      <w:spacing w:val="-10"/>
      <w:kern w:val="28"/>
      <w:sz w:val="36"/>
      <w:szCs w:val="56"/>
    </w:rPr>
  </w:style>
  <w:style w:type="character" w:customStyle="1" w:styleId="Heading2Char">
    <w:name w:val="Heading 2 Char"/>
    <w:aliases w:val="Heading 2 (Chapter) Char"/>
    <w:basedOn w:val="DefaultParagraphFont"/>
    <w:link w:val="Heading2"/>
    <w:uiPriority w:val="9"/>
    <w:rsid w:val="00017B04"/>
    <w:rPr>
      <w:rFonts w:ascii="Times New Roman" w:eastAsiaTheme="majorEastAsia" w:hAnsi="Times New Roman" w:cstheme="majorBidi"/>
      <w:b/>
      <w:sz w:val="32"/>
      <w:szCs w:val="26"/>
    </w:rPr>
  </w:style>
  <w:style w:type="character" w:customStyle="1" w:styleId="Heading3Char">
    <w:name w:val="Heading 3 Char"/>
    <w:aliases w:val="Heading 3 (Chapter) Char"/>
    <w:basedOn w:val="DefaultParagraphFont"/>
    <w:link w:val="Heading3"/>
    <w:uiPriority w:val="9"/>
    <w:rsid w:val="00F7099B"/>
    <w:rPr>
      <w:rFonts w:asciiTheme="majorHAnsi" w:eastAsiaTheme="majorEastAsia" w:hAnsiTheme="majorHAnsi" w:cstheme="majorBidi"/>
      <w:b/>
      <w:sz w:val="24"/>
      <w:szCs w:val="24"/>
    </w:rPr>
  </w:style>
  <w:style w:type="character" w:customStyle="1" w:styleId="UnresolvedMention1">
    <w:name w:val="Unresolved Mention1"/>
    <w:basedOn w:val="DefaultParagraphFont"/>
    <w:uiPriority w:val="99"/>
    <w:semiHidden/>
    <w:unhideWhenUsed/>
    <w:rsid w:val="00995A99"/>
    <w:rPr>
      <w:color w:val="605E5C"/>
      <w:shd w:val="clear" w:color="auto" w:fill="E1DFDD"/>
    </w:rPr>
  </w:style>
  <w:style w:type="character" w:customStyle="1" w:styleId="Heading4Char">
    <w:name w:val="Heading 4 Char"/>
    <w:aliases w:val="Heading 4 (Chapter) Char"/>
    <w:basedOn w:val="DefaultParagraphFont"/>
    <w:link w:val="Heading4"/>
    <w:uiPriority w:val="9"/>
    <w:rsid w:val="00C61981"/>
    <w:rPr>
      <w:rFonts w:ascii="Times New Roman" w:eastAsia="Times New Roman" w:hAnsi="Times New Roman" w:cs="Times New Roman"/>
      <w:sz w:val="24"/>
      <w:szCs w:val="24"/>
      <w:u w:val="single"/>
      <w:lang w:val="en-US"/>
    </w:rPr>
  </w:style>
  <w:style w:type="paragraph" w:customStyle="1" w:styleId="Heading3Appendices1">
    <w:name w:val="Heading 3 (Appendices)1"/>
    <w:basedOn w:val="Normal"/>
    <w:next w:val="Normal"/>
    <w:uiPriority w:val="9"/>
    <w:unhideWhenUsed/>
    <w:qFormat/>
    <w:rsid w:val="00C61981"/>
    <w:pPr>
      <w:keepNext/>
      <w:keepLines/>
      <w:tabs>
        <w:tab w:val="num" w:pos="360"/>
      </w:tabs>
      <w:spacing w:before="40" w:after="0" w:line="480" w:lineRule="auto"/>
      <w:outlineLvl w:val="4"/>
    </w:pPr>
    <w:rPr>
      <w:rFonts w:ascii="Cambria" w:eastAsia="MS Gothic" w:hAnsi="Cambria" w:cs="Times New Roman"/>
      <w:color w:val="365F91"/>
      <w:szCs w:val="24"/>
      <w:lang w:val="en-US"/>
    </w:rPr>
  </w:style>
  <w:style w:type="paragraph" w:customStyle="1" w:styleId="Heading61">
    <w:name w:val="Heading 61"/>
    <w:basedOn w:val="Normal"/>
    <w:next w:val="Normal"/>
    <w:uiPriority w:val="9"/>
    <w:semiHidden/>
    <w:unhideWhenUsed/>
    <w:qFormat/>
    <w:rsid w:val="00C61981"/>
    <w:pPr>
      <w:keepNext/>
      <w:keepLines/>
      <w:tabs>
        <w:tab w:val="num" w:pos="360"/>
      </w:tabs>
      <w:spacing w:before="40" w:after="0" w:line="480" w:lineRule="auto"/>
      <w:outlineLvl w:val="5"/>
    </w:pPr>
    <w:rPr>
      <w:rFonts w:ascii="Cambria" w:eastAsia="MS Gothic" w:hAnsi="Cambria" w:cs="Times New Roman"/>
      <w:color w:val="243F60"/>
      <w:szCs w:val="24"/>
      <w:lang w:val="en-US"/>
    </w:rPr>
  </w:style>
  <w:style w:type="paragraph" w:customStyle="1" w:styleId="Heading71">
    <w:name w:val="Heading 71"/>
    <w:basedOn w:val="Normal"/>
    <w:next w:val="Normal"/>
    <w:uiPriority w:val="9"/>
    <w:semiHidden/>
    <w:unhideWhenUsed/>
    <w:qFormat/>
    <w:rsid w:val="00C61981"/>
    <w:pPr>
      <w:keepNext/>
      <w:keepLines/>
      <w:tabs>
        <w:tab w:val="num" w:pos="360"/>
      </w:tabs>
      <w:spacing w:before="40" w:after="0" w:line="480" w:lineRule="auto"/>
      <w:outlineLvl w:val="6"/>
    </w:pPr>
    <w:rPr>
      <w:rFonts w:ascii="Cambria" w:eastAsia="MS Gothic" w:hAnsi="Cambria" w:cs="Times New Roman"/>
      <w:i/>
      <w:iCs/>
      <w:color w:val="243F60"/>
      <w:szCs w:val="24"/>
      <w:lang w:val="en-US"/>
    </w:rPr>
  </w:style>
  <w:style w:type="paragraph" w:customStyle="1" w:styleId="Heading81">
    <w:name w:val="Heading 81"/>
    <w:basedOn w:val="Normal"/>
    <w:next w:val="Normal"/>
    <w:uiPriority w:val="9"/>
    <w:semiHidden/>
    <w:unhideWhenUsed/>
    <w:qFormat/>
    <w:rsid w:val="00C61981"/>
    <w:pPr>
      <w:keepNext/>
      <w:keepLines/>
      <w:tabs>
        <w:tab w:val="num" w:pos="360"/>
      </w:tabs>
      <w:spacing w:before="40" w:after="0" w:line="480" w:lineRule="auto"/>
      <w:outlineLvl w:val="7"/>
    </w:pPr>
    <w:rPr>
      <w:rFonts w:ascii="Cambria" w:eastAsia="MS Gothic" w:hAnsi="Cambria" w:cs="Times New Roman"/>
      <w:color w:val="272727"/>
      <w:sz w:val="21"/>
      <w:szCs w:val="21"/>
      <w:lang w:val="en-US"/>
    </w:rPr>
  </w:style>
  <w:style w:type="paragraph" w:customStyle="1" w:styleId="Heading91">
    <w:name w:val="Heading 91"/>
    <w:basedOn w:val="Normal"/>
    <w:next w:val="Normal"/>
    <w:uiPriority w:val="9"/>
    <w:semiHidden/>
    <w:unhideWhenUsed/>
    <w:qFormat/>
    <w:rsid w:val="00C61981"/>
    <w:pPr>
      <w:keepNext/>
      <w:keepLines/>
      <w:tabs>
        <w:tab w:val="num" w:pos="360"/>
      </w:tabs>
      <w:spacing w:before="40" w:after="0" w:line="480" w:lineRule="auto"/>
      <w:outlineLvl w:val="8"/>
    </w:pPr>
    <w:rPr>
      <w:rFonts w:ascii="Cambria" w:eastAsia="MS Gothic" w:hAnsi="Cambria" w:cs="Times New Roman"/>
      <w:i/>
      <w:iCs/>
      <w:color w:val="272727"/>
      <w:sz w:val="21"/>
      <w:szCs w:val="21"/>
      <w:lang w:val="en-US"/>
    </w:rPr>
  </w:style>
  <w:style w:type="character" w:styleId="UnresolvedMention">
    <w:name w:val="Unresolved Mention"/>
    <w:basedOn w:val="DefaultParagraphFont"/>
    <w:uiPriority w:val="99"/>
    <w:semiHidden/>
    <w:unhideWhenUsed/>
    <w:rsid w:val="00AF1AA0"/>
    <w:rPr>
      <w:color w:val="605E5C"/>
      <w:shd w:val="clear" w:color="auto" w:fill="E1DFDD"/>
    </w:rPr>
  </w:style>
  <w:style w:type="paragraph" w:styleId="BalloonText">
    <w:name w:val="Balloon Text"/>
    <w:basedOn w:val="Normal"/>
    <w:link w:val="BalloonTextChar"/>
    <w:uiPriority w:val="99"/>
    <w:semiHidden/>
    <w:unhideWhenUsed/>
    <w:rsid w:val="00C61981"/>
    <w:pPr>
      <w:spacing w:before="240" w:after="0" w:line="480" w:lineRule="auto"/>
    </w:pPr>
    <w:rPr>
      <w:rFonts w:ascii="Tahoma" w:hAnsi="Tahoma" w:cs="Tahoma"/>
      <w:sz w:val="16"/>
      <w:szCs w:val="16"/>
      <w:lang w:val="en-US"/>
    </w:rPr>
  </w:style>
  <w:style w:type="character" w:customStyle="1" w:styleId="BalloonTextChar">
    <w:name w:val="Balloon Text Char"/>
    <w:basedOn w:val="DefaultParagraphFont"/>
    <w:link w:val="BalloonText"/>
    <w:uiPriority w:val="99"/>
    <w:semiHidden/>
    <w:rsid w:val="00C61981"/>
    <w:rPr>
      <w:rFonts w:ascii="Tahoma" w:hAnsi="Tahoma" w:cs="Tahoma"/>
      <w:sz w:val="16"/>
      <w:szCs w:val="16"/>
      <w:lang w:val="en-US"/>
    </w:rPr>
  </w:style>
  <w:style w:type="paragraph" w:styleId="ListParagraph">
    <w:name w:val="List Paragraph"/>
    <w:basedOn w:val="Normal"/>
    <w:uiPriority w:val="34"/>
    <w:qFormat/>
    <w:rsid w:val="00C61981"/>
    <w:pPr>
      <w:spacing w:before="240" w:after="200" w:line="480" w:lineRule="auto"/>
      <w:contextualSpacing/>
    </w:pPr>
    <w:rPr>
      <w:rFonts w:cs="Times New Roman"/>
      <w:szCs w:val="24"/>
      <w:lang w:val="en-US"/>
    </w:rPr>
  </w:style>
  <w:style w:type="character" w:styleId="CommentReference">
    <w:name w:val="annotation reference"/>
    <w:basedOn w:val="DefaultParagraphFont"/>
    <w:uiPriority w:val="99"/>
    <w:semiHidden/>
    <w:unhideWhenUsed/>
    <w:rsid w:val="00C61981"/>
    <w:rPr>
      <w:sz w:val="16"/>
      <w:szCs w:val="16"/>
    </w:rPr>
  </w:style>
  <w:style w:type="paragraph" w:styleId="CommentText">
    <w:name w:val="annotation text"/>
    <w:basedOn w:val="Normal"/>
    <w:link w:val="CommentTextChar"/>
    <w:uiPriority w:val="99"/>
    <w:unhideWhenUsed/>
    <w:rsid w:val="00C61981"/>
    <w:pPr>
      <w:spacing w:before="240" w:after="200" w:line="480" w:lineRule="auto"/>
    </w:pPr>
    <w:rPr>
      <w:rFonts w:cs="Times New Roman"/>
      <w:sz w:val="20"/>
      <w:szCs w:val="20"/>
      <w:lang w:val="en-US"/>
    </w:rPr>
  </w:style>
  <w:style w:type="character" w:customStyle="1" w:styleId="CommentTextChar">
    <w:name w:val="Comment Text Char"/>
    <w:basedOn w:val="DefaultParagraphFont"/>
    <w:link w:val="CommentText"/>
    <w:uiPriority w:val="99"/>
    <w:rsid w:val="00C61981"/>
    <w:rPr>
      <w:rFonts w:ascii="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C61981"/>
    <w:rPr>
      <w:b/>
      <w:bCs/>
    </w:rPr>
  </w:style>
  <w:style w:type="character" w:customStyle="1" w:styleId="CommentSubjectChar">
    <w:name w:val="Comment Subject Char"/>
    <w:basedOn w:val="CommentTextChar"/>
    <w:link w:val="CommentSubject"/>
    <w:uiPriority w:val="99"/>
    <w:semiHidden/>
    <w:rsid w:val="00C61981"/>
    <w:rPr>
      <w:rFonts w:ascii="Times New Roman" w:hAnsi="Times New Roman" w:cs="Times New Roman"/>
      <w:b/>
      <w:bCs/>
      <w:sz w:val="20"/>
      <w:szCs w:val="20"/>
      <w:lang w:val="en-US"/>
    </w:rPr>
  </w:style>
  <w:style w:type="table" w:styleId="TableGrid">
    <w:name w:val="Table Grid"/>
    <w:basedOn w:val="TableNormal"/>
    <w:uiPriority w:val="59"/>
    <w:rsid w:val="00C6198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61981"/>
    <w:rPr>
      <w:color w:val="808080"/>
    </w:rPr>
  </w:style>
  <w:style w:type="paragraph" w:customStyle="1" w:styleId="TOCHeading1">
    <w:name w:val="TOC Heading1"/>
    <w:basedOn w:val="Heading1"/>
    <w:next w:val="Normal"/>
    <w:uiPriority w:val="39"/>
    <w:unhideWhenUsed/>
    <w:qFormat/>
    <w:rsid w:val="00C61981"/>
    <w:pPr>
      <w:spacing w:before="480" w:line="276" w:lineRule="auto"/>
      <w:outlineLvl w:val="9"/>
    </w:pPr>
    <w:rPr>
      <w:bCs/>
      <w:caps/>
      <w:color w:val="365F91"/>
      <w:sz w:val="40"/>
      <w:szCs w:val="28"/>
      <w:lang w:val="en-US" w:eastAsia="ja-JP"/>
    </w:rPr>
  </w:style>
  <w:style w:type="paragraph" w:styleId="TOC1">
    <w:name w:val="toc 1"/>
    <w:basedOn w:val="Normal"/>
    <w:next w:val="Normal"/>
    <w:link w:val="TOC1Char"/>
    <w:autoRedefine/>
    <w:uiPriority w:val="39"/>
    <w:unhideWhenUsed/>
    <w:rsid w:val="00C61981"/>
    <w:pPr>
      <w:tabs>
        <w:tab w:val="left" w:pos="480"/>
        <w:tab w:val="left" w:pos="1200"/>
        <w:tab w:val="left" w:pos="1680"/>
        <w:tab w:val="right" w:pos="8630"/>
      </w:tabs>
      <w:spacing w:before="240" w:after="0" w:line="360" w:lineRule="auto"/>
    </w:pPr>
    <w:rPr>
      <w:rFonts w:cs="Times New Roman"/>
      <w:b/>
      <w:bCs/>
      <w:szCs w:val="24"/>
      <w:lang w:val="en-US"/>
    </w:rPr>
  </w:style>
  <w:style w:type="paragraph" w:customStyle="1" w:styleId="TOC21">
    <w:name w:val="TOC 21"/>
    <w:basedOn w:val="Normal"/>
    <w:next w:val="Normal"/>
    <w:autoRedefine/>
    <w:uiPriority w:val="39"/>
    <w:unhideWhenUsed/>
    <w:rsid w:val="00C61981"/>
    <w:pPr>
      <w:tabs>
        <w:tab w:val="left" w:pos="720"/>
        <w:tab w:val="right" w:pos="8630"/>
      </w:tabs>
      <w:spacing w:after="0" w:line="360" w:lineRule="auto"/>
    </w:pPr>
    <w:rPr>
      <w:rFonts w:cs="Calibri"/>
      <w:b/>
      <w:bCs/>
      <w:szCs w:val="20"/>
      <w:lang w:val="en-US"/>
    </w:rPr>
  </w:style>
  <w:style w:type="paragraph" w:styleId="TOC3">
    <w:name w:val="toc 3"/>
    <w:basedOn w:val="Normal"/>
    <w:next w:val="Normal"/>
    <w:autoRedefine/>
    <w:uiPriority w:val="39"/>
    <w:unhideWhenUsed/>
    <w:rsid w:val="00C61981"/>
    <w:pPr>
      <w:tabs>
        <w:tab w:val="left" w:pos="960"/>
        <w:tab w:val="right" w:pos="8630"/>
      </w:tabs>
      <w:spacing w:after="0" w:line="360" w:lineRule="auto"/>
      <w:ind w:left="245"/>
    </w:pPr>
    <w:rPr>
      <w:rFonts w:cs="Times New Roman"/>
      <w:noProof/>
      <w:szCs w:val="24"/>
      <w:lang w:val="en-US"/>
    </w:rPr>
  </w:style>
  <w:style w:type="paragraph" w:styleId="NoSpacing">
    <w:name w:val="No Spacing"/>
    <w:link w:val="NoSpacingChar"/>
    <w:uiPriority w:val="1"/>
    <w:qFormat/>
    <w:rsid w:val="00C61981"/>
    <w:pPr>
      <w:spacing w:after="0" w:line="240" w:lineRule="auto"/>
      <w:jc w:val="both"/>
    </w:pPr>
    <w:rPr>
      <w:rFonts w:ascii="Times New Roman" w:hAnsi="Times New Roman" w:cs="Times New Roman"/>
      <w:sz w:val="24"/>
      <w:szCs w:val="24"/>
      <w:lang w:val="en-US"/>
    </w:rPr>
  </w:style>
  <w:style w:type="paragraph" w:customStyle="1" w:styleId="Style1">
    <w:name w:val="Style1"/>
    <w:basedOn w:val="Normal"/>
    <w:link w:val="Style1Char"/>
    <w:rsid w:val="00C61981"/>
    <w:pPr>
      <w:spacing w:after="0" w:line="240" w:lineRule="auto"/>
      <w:jc w:val="center"/>
    </w:pPr>
    <w:rPr>
      <w:rFonts w:eastAsia="Times New Roman" w:cs="Times New Roman"/>
      <w:szCs w:val="24"/>
      <w:lang w:val="en-US"/>
    </w:rPr>
  </w:style>
  <w:style w:type="paragraph" w:customStyle="1" w:styleId="Chapter-LevelHeadings">
    <w:name w:val="Chapter-Level Headings"/>
    <w:basedOn w:val="Normal"/>
    <w:rsid w:val="00C61981"/>
    <w:pPr>
      <w:tabs>
        <w:tab w:val="right" w:pos="8550"/>
      </w:tabs>
      <w:spacing w:after="0" w:line="480" w:lineRule="auto"/>
      <w:jc w:val="center"/>
    </w:pPr>
    <w:rPr>
      <w:rFonts w:eastAsia="Times New Roman" w:cs="Times New Roman"/>
      <w:b/>
      <w:caps/>
      <w:sz w:val="28"/>
      <w:szCs w:val="24"/>
      <w:lang w:val="en-US"/>
    </w:rPr>
  </w:style>
  <w:style w:type="paragraph" w:customStyle="1" w:styleId="CoverPageSingleSpace">
    <w:name w:val="Cover Page Single Space"/>
    <w:basedOn w:val="Normal"/>
    <w:autoRedefine/>
    <w:semiHidden/>
    <w:rsid w:val="00C61981"/>
    <w:pPr>
      <w:tabs>
        <w:tab w:val="left" w:pos="1440"/>
      </w:tabs>
      <w:spacing w:after="0" w:line="480" w:lineRule="auto"/>
      <w:ind w:left="360" w:hanging="360"/>
      <w:jc w:val="center"/>
    </w:pPr>
    <w:rPr>
      <w:rFonts w:eastAsia="Times New Roman" w:cs="Times New Roman"/>
      <w:b/>
      <w:szCs w:val="24"/>
      <w:lang w:val="en-US"/>
    </w:rPr>
  </w:style>
  <w:style w:type="paragraph" w:customStyle="1" w:styleId="DoubleSpacingNormalText">
    <w:name w:val="Double Spacing Normal Text"/>
    <w:basedOn w:val="Normal"/>
    <w:semiHidden/>
    <w:rsid w:val="00C61981"/>
    <w:pPr>
      <w:spacing w:after="0" w:line="480" w:lineRule="auto"/>
    </w:pPr>
    <w:rPr>
      <w:rFonts w:eastAsia="Times New Roman" w:cs="Times New Roman"/>
      <w:szCs w:val="24"/>
      <w:lang w:val="en-US"/>
    </w:rPr>
  </w:style>
  <w:style w:type="character" w:styleId="PageNumber">
    <w:name w:val="page number"/>
    <w:basedOn w:val="DefaultParagraphFont"/>
    <w:rsid w:val="00C61981"/>
  </w:style>
  <w:style w:type="paragraph" w:customStyle="1" w:styleId="StyleDoubleSpacingNormalTextBlack">
    <w:name w:val="Style Double Spacing Normal Text + Black"/>
    <w:basedOn w:val="DoubleSpacingNormalText"/>
    <w:semiHidden/>
    <w:rsid w:val="00C61981"/>
    <w:rPr>
      <w:color w:val="000000"/>
    </w:rPr>
  </w:style>
  <w:style w:type="paragraph" w:styleId="TableofFigures">
    <w:name w:val="table of figures"/>
    <w:basedOn w:val="Normal"/>
    <w:next w:val="Normal"/>
    <w:uiPriority w:val="99"/>
    <w:rsid w:val="00C61981"/>
    <w:pPr>
      <w:spacing w:after="0" w:line="240" w:lineRule="auto"/>
    </w:pPr>
    <w:rPr>
      <w:rFonts w:eastAsia="Times New Roman" w:cs="Times New Roman"/>
      <w:szCs w:val="24"/>
      <w:lang w:val="en-US"/>
    </w:rPr>
  </w:style>
  <w:style w:type="paragraph" w:styleId="BodyText2">
    <w:name w:val="Body Text 2"/>
    <w:basedOn w:val="Normal"/>
    <w:link w:val="BodyText2Char"/>
    <w:rsid w:val="00C61981"/>
    <w:pPr>
      <w:spacing w:after="120" w:line="480" w:lineRule="auto"/>
    </w:pPr>
    <w:rPr>
      <w:rFonts w:eastAsia="Times New Roman" w:cs="Times New Roman"/>
      <w:szCs w:val="24"/>
      <w:lang w:val="en-US"/>
    </w:rPr>
  </w:style>
  <w:style w:type="character" w:customStyle="1" w:styleId="BodyText2Char">
    <w:name w:val="Body Text 2 Char"/>
    <w:basedOn w:val="DefaultParagraphFont"/>
    <w:link w:val="BodyText2"/>
    <w:rsid w:val="00C61981"/>
    <w:rPr>
      <w:rFonts w:ascii="Times New Roman" w:eastAsia="Times New Roman" w:hAnsi="Times New Roman" w:cs="Times New Roman"/>
      <w:sz w:val="24"/>
      <w:szCs w:val="24"/>
      <w:lang w:val="en-US"/>
    </w:rPr>
  </w:style>
  <w:style w:type="paragraph" w:customStyle="1" w:styleId="MainBodyHeadings">
    <w:name w:val="MainBody Headings"/>
    <w:basedOn w:val="CoverPageSingleSpace"/>
    <w:rsid w:val="00C61981"/>
    <w:pPr>
      <w:ind w:left="0" w:firstLine="0"/>
    </w:pPr>
    <w:rPr>
      <w:caps/>
      <w:sz w:val="28"/>
    </w:rPr>
  </w:style>
  <w:style w:type="paragraph" w:customStyle="1" w:styleId="TOC41">
    <w:name w:val="TOC 41"/>
    <w:basedOn w:val="Normal"/>
    <w:next w:val="Normal"/>
    <w:autoRedefine/>
    <w:uiPriority w:val="39"/>
    <w:unhideWhenUsed/>
    <w:rsid w:val="00C61981"/>
    <w:pPr>
      <w:spacing w:after="0" w:line="480" w:lineRule="auto"/>
      <w:ind w:left="480"/>
    </w:pPr>
    <w:rPr>
      <w:rFonts w:cs="Calibri"/>
      <w:sz w:val="20"/>
      <w:szCs w:val="20"/>
      <w:lang w:val="en-US"/>
    </w:rPr>
  </w:style>
  <w:style w:type="paragraph" w:customStyle="1" w:styleId="TOC51">
    <w:name w:val="TOC 51"/>
    <w:basedOn w:val="Normal"/>
    <w:next w:val="Normal"/>
    <w:autoRedefine/>
    <w:uiPriority w:val="39"/>
    <w:unhideWhenUsed/>
    <w:rsid w:val="00C61981"/>
    <w:pPr>
      <w:spacing w:after="0" w:line="480" w:lineRule="auto"/>
      <w:ind w:left="720"/>
    </w:pPr>
    <w:rPr>
      <w:rFonts w:cs="Calibri"/>
      <w:sz w:val="20"/>
      <w:szCs w:val="20"/>
      <w:lang w:val="en-US"/>
    </w:rPr>
  </w:style>
  <w:style w:type="paragraph" w:customStyle="1" w:styleId="TOC61">
    <w:name w:val="TOC 61"/>
    <w:basedOn w:val="Normal"/>
    <w:next w:val="Normal"/>
    <w:autoRedefine/>
    <w:uiPriority w:val="39"/>
    <w:unhideWhenUsed/>
    <w:rsid w:val="00C61981"/>
    <w:pPr>
      <w:spacing w:after="0" w:line="480" w:lineRule="auto"/>
      <w:ind w:left="960"/>
    </w:pPr>
    <w:rPr>
      <w:rFonts w:cs="Calibri"/>
      <w:sz w:val="20"/>
      <w:szCs w:val="20"/>
      <w:lang w:val="en-US"/>
    </w:rPr>
  </w:style>
  <w:style w:type="paragraph" w:customStyle="1" w:styleId="TOC71">
    <w:name w:val="TOC 71"/>
    <w:basedOn w:val="Normal"/>
    <w:next w:val="Normal"/>
    <w:autoRedefine/>
    <w:uiPriority w:val="39"/>
    <w:unhideWhenUsed/>
    <w:rsid w:val="00C61981"/>
    <w:pPr>
      <w:spacing w:after="0" w:line="480" w:lineRule="auto"/>
      <w:ind w:left="1200"/>
    </w:pPr>
    <w:rPr>
      <w:rFonts w:cs="Calibri"/>
      <w:sz w:val="20"/>
      <w:szCs w:val="20"/>
      <w:lang w:val="en-US"/>
    </w:rPr>
  </w:style>
  <w:style w:type="paragraph" w:customStyle="1" w:styleId="TOC81">
    <w:name w:val="TOC 81"/>
    <w:basedOn w:val="Normal"/>
    <w:next w:val="Normal"/>
    <w:autoRedefine/>
    <w:uiPriority w:val="39"/>
    <w:unhideWhenUsed/>
    <w:rsid w:val="00C61981"/>
    <w:pPr>
      <w:spacing w:after="0" w:line="480" w:lineRule="auto"/>
      <w:ind w:left="1440"/>
    </w:pPr>
    <w:rPr>
      <w:rFonts w:cs="Calibri"/>
      <w:sz w:val="20"/>
      <w:szCs w:val="20"/>
      <w:lang w:val="en-US"/>
    </w:rPr>
  </w:style>
  <w:style w:type="paragraph" w:customStyle="1" w:styleId="TOC91">
    <w:name w:val="TOC 91"/>
    <w:basedOn w:val="Normal"/>
    <w:next w:val="Normal"/>
    <w:autoRedefine/>
    <w:uiPriority w:val="39"/>
    <w:unhideWhenUsed/>
    <w:rsid w:val="00C61981"/>
    <w:pPr>
      <w:spacing w:after="0" w:line="480" w:lineRule="auto"/>
      <w:ind w:left="1680"/>
    </w:pPr>
    <w:rPr>
      <w:rFonts w:cs="Calibri"/>
      <w:sz w:val="20"/>
      <w:szCs w:val="20"/>
      <w:lang w:val="en-US"/>
    </w:rPr>
  </w:style>
  <w:style w:type="paragraph" w:customStyle="1" w:styleId="Subhead-Lvl2-Thesis">
    <w:name w:val="Subhead-Lvl 2-Thesis"/>
    <w:basedOn w:val="Normal"/>
    <w:rsid w:val="00C61981"/>
    <w:pPr>
      <w:spacing w:before="240" w:after="0" w:line="480" w:lineRule="auto"/>
    </w:pPr>
    <w:rPr>
      <w:rFonts w:eastAsia="Times New Roman" w:cs="Times New Roman"/>
      <w:b/>
      <w:szCs w:val="24"/>
      <w:lang w:val="en-US"/>
    </w:rPr>
  </w:style>
  <w:style w:type="paragraph" w:customStyle="1" w:styleId="Subhead-Lvl3-Thesis">
    <w:name w:val="Subhead-Lvl 3-Thesis"/>
    <w:basedOn w:val="Normal"/>
    <w:rsid w:val="00C61981"/>
    <w:pPr>
      <w:spacing w:before="240" w:after="0" w:line="480" w:lineRule="auto"/>
    </w:pPr>
    <w:rPr>
      <w:rFonts w:eastAsia="Times New Roman" w:cs="Times New Roman"/>
      <w:szCs w:val="24"/>
      <w:u w:val="single"/>
      <w:lang w:val="en-US"/>
    </w:rPr>
  </w:style>
  <w:style w:type="character" w:customStyle="1" w:styleId="TOC1Char">
    <w:name w:val="TOC 1 Char"/>
    <w:basedOn w:val="DefaultParagraphFont"/>
    <w:link w:val="TOC1"/>
    <w:uiPriority w:val="39"/>
    <w:rsid w:val="00C61981"/>
    <w:rPr>
      <w:rFonts w:ascii="Times New Roman" w:hAnsi="Times New Roman" w:cs="Times New Roman"/>
      <w:b/>
      <w:bCs/>
      <w:sz w:val="24"/>
      <w:szCs w:val="24"/>
      <w:lang w:val="en-US"/>
    </w:rPr>
  </w:style>
  <w:style w:type="paragraph" w:customStyle="1" w:styleId="Subhead-Lvl1-Thesis">
    <w:name w:val="Subhead-Lvl 1-Thesis"/>
    <w:basedOn w:val="Normal"/>
    <w:rsid w:val="00C61981"/>
    <w:pPr>
      <w:spacing w:before="240" w:after="0" w:line="480" w:lineRule="auto"/>
      <w:jc w:val="center"/>
    </w:pPr>
    <w:rPr>
      <w:rFonts w:eastAsia="Times New Roman" w:cs="Times New Roman"/>
      <w:b/>
      <w:szCs w:val="24"/>
      <w:lang w:val="en-US"/>
    </w:rPr>
  </w:style>
  <w:style w:type="paragraph" w:customStyle="1" w:styleId="Subhead-Lvl4-Thesis">
    <w:name w:val="Subhead-Lvl 4-Thesis"/>
    <w:basedOn w:val="Normal"/>
    <w:next w:val="Normal"/>
    <w:rsid w:val="00C61981"/>
    <w:pPr>
      <w:tabs>
        <w:tab w:val="left" w:pos="720"/>
      </w:tabs>
      <w:spacing w:before="240" w:after="0" w:line="480" w:lineRule="auto"/>
    </w:pPr>
    <w:rPr>
      <w:rFonts w:eastAsia="Times New Roman" w:cs="Times New Roman"/>
      <w:i/>
      <w:color w:val="000000"/>
      <w:szCs w:val="24"/>
      <w:lang w:val="en-US"/>
    </w:rPr>
  </w:style>
  <w:style w:type="paragraph" w:styleId="Subtitle">
    <w:name w:val="Subtitle"/>
    <w:aliases w:val="Heading 2 (Appendices)"/>
    <w:basedOn w:val="Heading2"/>
    <w:next w:val="Normal"/>
    <w:link w:val="SubtitleChar"/>
    <w:uiPriority w:val="11"/>
    <w:rsid w:val="00C61981"/>
    <w:pPr>
      <w:keepNext w:val="0"/>
      <w:keepLines w:val="0"/>
      <w:numPr>
        <w:ilvl w:val="1"/>
        <w:numId w:val="1"/>
      </w:numPr>
      <w:spacing w:before="0" w:line="480" w:lineRule="auto"/>
      <w:contextualSpacing/>
    </w:pPr>
    <w:rPr>
      <w:rFonts w:eastAsia="Calibri" w:cs="Times New Roman"/>
      <w:szCs w:val="24"/>
      <w:lang w:val="en-US"/>
    </w:rPr>
  </w:style>
  <w:style w:type="character" w:customStyle="1" w:styleId="SubtitleChar">
    <w:name w:val="Subtitle Char"/>
    <w:aliases w:val="Heading 2 (Appendices) Char"/>
    <w:basedOn w:val="DefaultParagraphFont"/>
    <w:link w:val="Subtitle"/>
    <w:uiPriority w:val="11"/>
    <w:rsid w:val="00C61981"/>
    <w:rPr>
      <w:rFonts w:ascii="Times New Roman" w:eastAsia="Calibri" w:hAnsi="Times New Roman" w:cs="Times New Roman"/>
      <w:b/>
      <w:sz w:val="32"/>
      <w:szCs w:val="24"/>
      <w:lang w:val="en-US"/>
    </w:rPr>
  </w:style>
  <w:style w:type="character" w:customStyle="1" w:styleId="Heading5Char">
    <w:name w:val="Heading 5 Char"/>
    <w:aliases w:val="Heading 3 (Appendices) Char"/>
    <w:basedOn w:val="DefaultParagraphFont"/>
    <w:link w:val="Heading5"/>
    <w:uiPriority w:val="9"/>
    <w:rsid w:val="00C61981"/>
    <w:rPr>
      <w:rFonts w:ascii="Cambria" w:eastAsia="MS Gothic" w:hAnsi="Cambria" w:cs="Times New Roman"/>
      <w:color w:val="365F91"/>
      <w:sz w:val="24"/>
      <w:szCs w:val="24"/>
    </w:rPr>
  </w:style>
  <w:style w:type="character" w:customStyle="1" w:styleId="Heading6Char">
    <w:name w:val="Heading 6 Char"/>
    <w:basedOn w:val="DefaultParagraphFont"/>
    <w:link w:val="Heading6"/>
    <w:uiPriority w:val="9"/>
    <w:semiHidden/>
    <w:rsid w:val="00C61981"/>
    <w:rPr>
      <w:rFonts w:ascii="Cambria" w:eastAsia="MS Gothic" w:hAnsi="Cambria" w:cs="Times New Roman"/>
      <w:color w:val="243F60"/>
      <w:sz w:val="24"/>
      <w:szCs w:val="24"/>
    </w:rPr>
  </w:style>
  <w:style w:type="character" w:customStyle="1" w:styleId="Heading7Char">
    <w:name w:val="Heading 7 Char"/>
    <w:basedOn w:val="DefaultParagraphFont"/>
    <w:link w:val="Heading7"/>
    <w:uiPriority w:val="9"/>
    <w:semiHidden/>
    <w:rsid w:val="00C61981"/>
    <w:rPr>
      <w:rFonts w:ascii="Cambria" w:eastAsia="MS Gothic" w:hAnsi="Cambria" w:cs="Times New Roman"/>
      <w:i/>
      <w:iCs/>
      <w:color w:val="243F60"/>
      <w:sz w:val="24"/>
      <w:szCs w:val="24"/>
    </w:rPr>
  </w:style>
  <w:style w:type="character" w:customStyle="1" w:styleId="Heading8Char">
    <w:name w:val="Heading 8 Char"/>
    <w:basedOn w:val="DefaultParagraphFont"/>
    <w:link w:val="Heading8"/>
    <w:uiPriority w:val="9"/>
    <w:semiHidden/>
    <w:rsid w:val="00C61981"/>
    <w:rPr>
      <w:rFonts w:ascii="Cambria" w:eastAsia="MS Gothic" w:hAnsi="Cambria" w:cs="Times New Roman"/>
      <w:color w:val="272727"/>
      <w:sz w:val="21"/>
      <w:szCs w:val="21"/>
    </w:rPr>
  </w:style>
  <w:style w:type="character" w:customStyle="1" w:styleId="Heading9Char">
    <w:name w:val="Heading 9 Char"/>
    <w:basedOn w:val="DefaultParagraphFont"/>
    <w:link w:val="Heading9"/>
    <w:uiPriority w:val="9"/>
    <w:semiHidden/>
    <w:rsid w:val="00C61981"/>
    <w:rPr>
      <w:rFonts w:ascii="Cambria" w:eastAsia="MS Gothic" w:hAnsi="Cambria" w:cs="Times New Roman"/>
      <w:i/>
      <w:iCs/>
      <w:color w:val="272727"/>
      <w:sz w:val="21"/>
      <w:szCs w:val="21"/>
    </w:rPr>
  </w:style>
  <w:style w:type="character" w:styleId="SubtleEmphasis">
    <w:name w:val="Subtle Emphasis"/>
    <w:uiPriority w:val="19"/>
    <w:rsid w:val="00C61981"/>
  </w:style>
  <w:style w:type="paragraph" w:styleId="BodyTextIndent2">
    <w:name w:val="Body Text Indent 2"/>
    <w:basedOn w:val="Normal"/>
    <w:link w:val="BodyTextIndent2Char"/>
    <w:uiPriority w:val="99"/>
    <w:semiHidden/>
    <w:unhideWhenUsed/>
    <w:rsid w:val="00C61981"/>
    <w:pPr>
      <w:spacing w:before="240" w:after="120" w:line="480" w:lineRule="auto"/>
      <w:ind w:left="360"/>
    </w:pPr>
    <w:rPr>
      <w:rFonts w:cs="Times New Roman"/>
      <w:szCs w:val="24"/>
      <w:lang w:val="en-US"/>
    </w:rPr>
  </w:style>
  <w:style w:type="character" w:customStyle="1" w:styleId="BodyTextIndent2Char">
    <w:name w:val="Body Text Indent 2 Char"/>
    <w:basedOn w:val="DefaultParagraphFont"/>
    <w:link w:val="BodyTextIndent2"/>
    <w:uiPriority w:val="99"/>
    <w:semiHidden/>
    <w:rsid w:val="00C61981"/>
    <w:rPr>
      <w:rFonts w:ascii="Times New Roman" w:hAnsi="Times New Roman" w:cs="Times New Roman"/>
      <w:sz w:val="24"/>
      <w:szCs w:val="24"/>
      <w:lang w:val="en-US"/>
    </w:rPr>
  </w:style>
  <w:style w:type="character" w:customStyle="1" w:styleId="NoSpacingChar">
    <w:name w:val="No Spacing Char"/>
    <w:basedOn w:val="DefaultParagraphFont"/>
    <w:link w:val="NoSpacing"/>
    <w:uiPriority w:val="1"/>
    <w:rsid w:val="00C61981"/>
    <w:rPr>
      <w:rFonts w:ascii="Times New Roman" w:hAnsi="Times New Roman" w:cs="Times New Roman"/>
      <w:sz w:val="24"/>
      <w:szCs w:val="24"/>
      <w:lang w:val="en-US"/>
    </w:rPr>
  </w:style>
  <w:style w:type="paragraph" w:customStyle="1" w:styleId="EndnoteText1">
    <w:name w:val="Endnote Text1"/>
    <w:basedOn w:val="Normal"/>
    <w:next w:val="EndnoteText"/>
    <w:link w:val="EndnoteTextChar"/>
    <w:uiPriority w:val="99"/>
    <w:semiHidden/>
    <w:unhideWhenUsed/>
    <w:rsid w:val="00C61981"/>
    <w:pPr>
      <w:spacing w:after="0" w:line="240" w:lineRule="auto"/>
    </w:pPr>
    <w:rPr>
      <w:sz w:val="20"/>
      <w:szCs w:val="20"/>
    </w:rPr>
  </w:style>
  <w:style w:type="character" w:customStyle="1" w:styleId="EndnoteTextChar">
    <w:name w:val="Endnote Text Char"/>
    <w:basedOn w:val="DefaultParagraphFont"/>
    <w:link w:val="EndnoteText1"/>
    <w:uiPriority w:val="99"/>
    <w:semiHidden/>
    <w:rsid w:val="00C61981"/>
    <w:rPr>
      <w:rFonts w:ascii="Times New Roman" w:hAnsi="Times New Roman"/>
      <w:sz w:val="20"/>
      <w:szCs w:val="20"/>
      <w:lang w:val="en-GB"/>
    </w:rPr>
  </w:style>
  <w:style w:type="character" w:styleId="EndnoteReference">
    <w:name w:val="endnote reference"/>
    <w:basedOn w:val="DefaultParagraphFont"/>
    <w:uiPriority w:val="99"/>
    <w:semiHidden/>
    <w:unhideWhenUsed/>
    <w:rsid w:val="00C61981"/>
    <w:rPr>
      <w:vertAlign w:val="superscript"/>
    </w:rPr>
  </w:style>
  <w:style w:type="paragraph" w:customStyle="1" w:styleId="paragraph">
    <w:name w:val="paragraph"/>
    <w:basedOn w:val="Normal"/>
    <w:uiPriority w:val="99"/>
    <w:rsid w:val="00C61981"/>
    <w:pPr>
      <w:spacing w:before="100" w:beforeAutospacing="1" w:after="100" w:afterAutospacing="1" w:line="240" w:lineRule="auto"/>
    </w:pPr>
    <w:rPr>
      <w:rFonts w:eastAsia="Times New Roman" w:cs="Times New Roman"/>
      <w:szCs w:val="24"/>
      <w:lang w:eastAsia="en-GB"/>
    </w:rPr>
  </w:style>
  <w:style w:type="character" w:customStyle="1" w:styleId="normaltextrun">
    <w:name w:val="normaltextrun"/>
    <w:basedOn w:val="DefaultParagraphFont"/>
    <w:rsid w:val="00C61981"/>
  </w:style>
  <w:style w:type="character" w:customStyle="1" w:styleId="apple-converted-space">
    <w:name w:val="apple-converted-space"/>
    <w:basedOn w:val="DefaultParagraphFont"/>
    <w:rsid w:val="00C61981"/>
  </w:style>
  <w:style w:type="character" w:customStyle="1" w:styleId="eop">
    <w:name w:val="eop"/>
    <w:basedOn w:val="DefaultParagraphFont"/>
    <w:rsid w:val="00C61981"/>
  </w:style>
  <w:style w:type="character" w:customStyle="1" w:styleId="Mention1">
    <w:name w:val="Mention1"/>
    <w:basedOn w:val="DefaultParagraphFont"/>
    <w:uiPriority w:val="99"/>
    <w:semiHidden/>
    <w:unhideWhenUsed/>
    <w:rsid w:val="00C61981"/>
    <w:rPr>
      <w:color w:val="2B579A"/>
      <w:shd w:val="clear" w:color="auto" w:fill="E6E6E6"/>
    </w:rPr>
  </w:style>
  <w:style w:type="character" w:customStyle="1" w:styleId="Style1Char">
    <w:name w:val="Style1 Char"/>
    <w:basedOn w:val="Heading2Char"/>
    <w:link w:val="Style1"/>
    <w:rsid w:val="00C61981"/>
    <w:rPr>
      <w:rFonts w:ascii="Times New Roman" w:eastAsia="Times New Roman" w:hAnsi="Times New Roman" w:cs="Times New Roman"/>
      <w:b w:val="0"/>
      <w:sz w:val="24"/>
      <w:szCs w:val="24"/>
      <w:lang w:val="en-US"/>
    </w:rPr>
  </w:style>
  <w:style w:type="character" w:customStyle="1" w:styleId="Mention2">
    <w:name w:val="Mention2"/>
    <w:basedOn w:val="DefaultParagraphFont"/>
    <w:uiPriority w:val="99"/>
    <w:semiHidden/>
    <w:unhideWhenUsed/>
    <w:rsid w:val="00C61981"/>
    <w:rPr>
      <w:color w:val="2B579A"/>
      <w:shd w:val="clear" w:color="auto" w:fill="E6E6E6"/>
    </w:rPr>
  </w:style>
  <w:style w:type="character" w:customStyle="1" w:styleId="Mention3">
    <w:name w:val="Mention3"/>
    <w:basedOn w:val="DefaultParagraphFont"/>
    <w:uiPriority w:val="99"/>
    <w:semiHidden/>
    <w:unhideWhenUsed/>
    <w:rsid w:val="00C61981"/>
    <w:rPr>
      <w:color w:val="2B579A"/>
      <w:shd w:val="clear" w:color="auto" w:fill="E6E6E6"/>
    </w:rPr>
  </w:style>
  <w:style w:type="character" w:customStyle="1" w:styleId="Mention4">
    <w:name w:val="Mention4"/>
    <w:basedOn w:val="DefaultParagraphFont"/>
    <w:uiPriority w:val="99"/>
    <w:semiHidden/>
    <w:unhideWhenUsed/>
    <w:rsid w:val="00C61981"/>
    <w:rPr>
      <w:color w:val="2B579A"/>
      <w:shd w:val="clear" w:color="auto" w:fill="E6E6E6"/>
    </w:rPr>
  </w:style>
  <w:style w:type="character" w:customStyle="1" w:styleId="Mention5">
    <w:name w:val="Mention5"/>
    <w:basedOn w:val="DefaultParagraphFont"/>
    <w:uiPriority w:val="99"/>
    <w:semiHidden/>
    <w:unhideWhenUsed/>
    <w:rsid w:val="00C61981"/>
    <w:rPr>
      <w:color w:val="2B579A"/>
      <w:shd w:val="clear" w:color="auto" w:fill="E6E6E6"/>
    </w:rPr>
  </w:style>
  <w:style w:type="character" w:customStyle="1" w:styleId="Mention6">
    <w:name w:val="Mention6"/>
    <w:basedOn w:val="DefaultParagraphFont"/>
    <w:uiPriority w:val="99"/>
    <w:semiHidden/>
    <w:unhideWhenUsed/>
    <w:rsid w:val="00C61981"/>
    <w:rPr>
      <w:color w:val="2B579A"/>
      <w:shd w:val="clear" w:color="auto" w:fill="E6E6E6"/>
    </w:rPr>
  </w:style>
  <w:style w:type="character" w:customStyle="1" w:styleId="UnresolvedMention10">
    <w:name w:val="Unresolved Mention1"/>
    <w:basedOn w:val="DefaultParagraphFont"/>
    <w:uiPriority w:val="99"/>
    <w:semiHidden/>
    <w:unhideWhenUsed/>
    <w:rsid w:val="00C61981"/>
    <w:rPr>
      <w:color w:val="808080"/>
      <w:shd w:val="clear" w:color="auto" w:fill="E6E6E6"/>
    </w:rPr>
  </w:style>
  <w:style w:type="paragraph" w:styleId="Revision">
    <w:name w:val="Revision"/>
    <w:hidden/>
    <w:uiPriority w:val="99"/>
    <w:semiHidden/>
    <w:rsid w:val="00C61981"/>
    <w:pPr>
      <w:spacing w:after="0" w:line="240" w:lineRule="auto"/>
    </w:pPr>
    <w:rPr>
      <w:rFonts w:ascii="Times New Roman" w:hAnsi="Times New Roman"/>
      <w:sz w:val="24"/>
      <w:szCs w:val="24"/>
    </w:rPr>
  </w:style>
  <w:style w:type="character" w:customStyle="1" w:styleId="UnresolvedMention2">
    <w:name w:val="Unresolved Mention2"/>
    <w:basedOn w:val="DefaultParagraphFont"/>
    <w:uiPriority w:val="99"/>
    <w:semiHidden/>
    <w:unhideWhenUsed/>
    <w:rsid w:val="00C61981"/>
    <w:rPr>
      <w:color w:val="808080"/>
      <w:shd w:val="clear" w:color="auto" w:fill="E6E6E6"/>
    </w:rPr>
  </w:style>
  <w:style w:type="character" w:customStyle="1" w:styleId="UnresolvedMention3">
    <w:name w:val="Unresolved Mention3"/>
    <w:basedOn w:val="DefaultParagraphFont"/>
    <w:uiPriority w:val="99"/>
    <w:semiHidden/>
    <w:unhideWhenUsed/>
    <w:rsid w:val="00C61981"/>
    <w:rPr>
      <w:color w:val="808080"/>
      <w:shd w:val="clear" w:color="auto" w:fill="E6E6E6"/>
    </w:rPr>
  </w:style>
  <w:style w:type="character" w:customStyle="1" w:styleId="UnresolvedMention4">
    <w:name w:val="Unresolved Mention4"/>
    <w:basedOn w:val="DefaultParagraphFont"/>
    <w:uiPriority w:val="99"/>
    <w:semiHidden/>
    <w:unhideWhenUsed/>
    <w:rsid w:val="00C61981"/>
    <w:rPr>
      <w:color w:val="808080"/>
      <w:shd w:val="clear" w:color="auto" w:fill="E6E6E6"/>
    </w:rPr>
  </w:style>
  <w:style w:type="character" w:customStyle="1" w:styleId="UnresolvedMention5">
    <w:name w:val="Unresolved Mention5"/>
    <w:basedOn w:val="DefaultParagraphFont"/>
    <w:uiPriority w:val="99"/>
    <w:semiHidden/>
    <w:unhideWhenUsed/>
    <w:rsid w:val="00C61981"/>
    <w:rPr>
      <w:color w:val="605E5C"/>
      <w:shd w:val="clear" w:color="auto" w:fill="E1DFDD"/>
    </w:rPr>
  </w:style>
  <w:style w:type="character" w:customStyle="1" w:styleId="FollowedHyperlink1">
    <w:name w:val="FollowedHyperlink1"/>
    <w:basedOn w:val="DefaultParagraphFont"/>
    <w:uiPriority w:val="99"/>
    <w:semiHidden/>
    <w:unhideWhenUsed/>
    <w:rsid w:val="00C61981"/>
    <w:rPr>
      <w:color w:val="800080"/>
      <w:u w:val="single"/>
    </w:rPr>
  </w:style>
  <w:style w:type="character" w:customStyle="1" w:styleId="UnresolvedMention6">
    <w:name w:val="Unresolved Mention6"/>
    <w:basedOn w:val="DefaultParagraphFont"/>
    <w:uiPriority w:val="99"/>
    <w:semiHidden/>
    <w:unhideWhenUsed/>
    <w:rsid w:val="00C61981"/>
    <w:rPr>
      <w:color w:val="605E5C"/>
      <w:shd w:val="clear" w:color="auto" w:fill="E1DFDD"/>
    </w:rPr>
  </w:style>
  <w:style w:type="paragraph" w:customStyle="1" w:styleId="NormalWeb1">
    <w:name w:val="Normal (Web)1"/>
    <w:basedOn w:val="Normal"/>
    <w:next w:val="NormalWeb"/>
    <w:uiPriority w:val="99"/>
    <w:semiHidden/>
    <w:unhideWhenUsed/>
    <w:rsid w:val="00C61981"/>
    <w:pPr>
      <w:spacing w:before="100" w:beforeAutospacing="1" w:after="100" w:afterAutospacing="1" w:line="240" w:lineRule="auto"/>
    </w:pPr>
    <w:rPr>
      <w:rFonts w:eastAsia="MS Mincho" w:cs="Times New Roman"/>
      <w:szCs w:val="24"/>
      <w:lang w:eastAsia="en-GB"/>
    </w:rPr>
  </w:style>
  <w:style w:type="paragraph" w:customStyle="1" w:styleId="msonormal0">
    <w:name w:val="msonormal"/>
    <w:basedOn w:val="Normal"/>
    <w:uiPriority w:val="99"/>
    <w:rsid w:val="00C61981"/>
    <w:pPr>
      <w:spacing w:before="100" w:beforeAutospacing="1" w:after="100" w:afterAutospacing="1" w:line="240" w:lineRule="auto"/>
    </w:pPr>
    <w:rPr>
      <w:rFonts w:eastAsia="Times New Roman" w:cs="Times New Roman"/>
      <w:szCs w:val="24"/>
      <w:lang w:eastAsia="en-GB"/>
    </w:rPr>
  </w:style>
  <w:style w:type="paragraph" w:customStyle="1" w:styleId="xl63">
    <w:name w:val="xl63"/>
    <w:basedOn w:val="Normal"/>
    <w:uiPriority w:val="99"/>
    <w:rsid w:val="00C61981"/>
    <w:pPr>
      <w:pBdr>
        <w:top w:val="single" w:sz="8" w:space="0" w:color="auto"/>
        <w:bottom w:val="double" w:sz="6" w:space="0" w:color="auto"/>
      </w:pBdr>
      <w:spacing w:before="100" w:beforeAutospacing="1" w:after="100" w:afterAutospacing="1" w:line="240" w:lineRule="auto"/>
    </w:pPr>
    <w:rPr>
      <w:rFonts w:eastAsia="Times New Roman" w:cs="Times New Roman"/>
      <w:b/>
      <w:bCs/>
      <w:szCs w:val="24"/>
      <w:lang w:eastAsia="en-GB"/>
    </w:rPr>
  </w:style>
  <w:style w:type="paragraph" w:customStyle="1" w:styleId="xl64">
    <w:name w:val="xl64"/>
    <w:basedOn w:val="Normal"/>
    <w:uiPriority w:val="99"/>
    <w:rsid w:val="00C61981"/>
    <w:pPr>
      <w:pBdr>
        <w:bottom w:val="single" w:sz="4" w:space="0" w:color="auto"/>
      </w:pBdr>
      <w:spacing w:before="100" w:beforeAutospacing="1" w:after="100" w:afterAutospacing="1" w:line="240" w:lineRule="auto"/>
    </w:pPr>
    <w:rPr>
      <w:rFonts w:eastAsia="Times New Roman" w:cs="Times New Roman"/>
      <w:szCs w:val="24"/>
      <w:lang w:eastAsia="en-GB"/>
    </w:rPr>
  </w:style>
  <w:style w:type="paragraph" w:customStyle="1" w:styleId="xl65">
    <w:name w:val="xl65"/>
    <w:basedOn w:val="Normal"/>
    <w:uiPriority w:val="99"/>
    <w:rsid w:val="00C61981"/>
    <w:pPr>
      <w:spacing w:before="100" w:beforeAutospacing="1" w:after="100" w:afterAutospacing="1" w:line="240" w:lineRule="auto"/>
    </w:pPr>
    <w:rPr>
      <w:rFonts w:eastAsia="Times New Roman" w:cs="Times New Roman"/>
      <w:i/>
      <w:iCs/>
      <w:szCs w:val="24"/>
      <w:lang w:eastAsia="en-GB"/>
    </w:rPr>
  </w:style>
  <w:style w:type="paragraph" w:customStyle="1" w:styleId="xl66">
    <w:name w:val="xl66"/>
    <w:basedOn w:val="Normal"/>
    <w:uiPriority w:val="99"/>
    <w:rsid w:val="00C61981"/>
    <w:pPr>
      <w:pBdr>
        <w:top w:val="single" w:sz="8" w:space="0" w:color="auto"/>
        <w:bottom w:val="double" w:sz="6" w:space="0" w:color="auto"/>
      </w:pBdr>
      <w:spacing w:before="100" w:beforeAutospacing="1" w:after="100" w:afterAutospacing="1" w:line="240" w:lineRule="auto"/>
      <w:jc w:val="center"/>
    </w:pPr>
    <w:rPr>
      <w:rFonts w:eastAsia="Times New Roman" w:cs="Times New Roman"/>
      <w:b/>
      <w:bCs/>
      <w:szCs w:val="24"/>
      <w:lang w:eastAsia="en-GB"/>
    </w:rPr>
  </w:style>
  <w:style w:type="paragraph" w:customStyle="1" w:styleId="xl67">
    <w:name w:val="xl67"/>
    <w:basedOn w:val="Normal"/>
    <w:uiPriority w:val="99"/>
    <w:rsid w:val="00C61981"/>
    <w:pPr>
      <w:pBdr>
        <w:top w:val="single" w:sz="8" w:space="0" w:color="auto"/>
        <w:bottom w:val="double" w:sz="6" w:space="0" w:color="auto"/>
      </w:pBdr>
      <w:spacing w:before="100" w:beforeAutospacing="1" w:after="100" w:afterAutospacing="1" w:line="240" w:lineRule="auto"/>
    </w:pPr>
    <w:rPr>
      <w:rFonts w:eastAsia="Times New Roman" w:cs="Times New Roman"/>
      <w:b/>
      <w:bCs/>
      <w:szCs w:val="24"/>
      <w:lang w:eastAsia="en-GB"/>
    </w:rPr>
  </w:style>
  <w:style w:type="character" w:customStyle="1" w:styleId="UnresolvedMention7">
    <w:name w:val="Unresolved Mention7"/>
    <w:basedOn w:val="DefaultParagraphFont"/>
    <w:uiPriority w:val="99"/>
    <w:semiHidden/>
    <w:unhideWhenUsed/>
    <w:rsid w:val="00C61981"/>
    <w:rPr>
      <w:color w:val="605E5C"/>
      <w:shd w:val="clear" w:color="auto" w:fill="E1DFDD"/>
    </w:rPr>
  </w:style>
  <w:style w:type="character" w:customStyle="1" w:styleId="UnresolvedMention8">
    <w:name w:val="Unresolved Mention8"/>
    <w:basedOn w:val="DefaultParagraphFont"/>
    <w:uiPriority w:val="99"/>
    <w:semiHidden/>
    <w:unhideWhenUsed/>
    <w:rsid w:val="00C61981"/>
    <w:rPr>
      <w:color w:val="605E5C"/>
      <w:shd w:val="clear" w:color="auto" w:fill="E1DFDD"/>
    </w:rPr>
  </w:style>
  <w:style w:type="character" w:customStyle="1" w:styleId="UnresolvedMention9">
    <w:name w:val="Unresolved Mention9"/>
    <w:basedOn w:val="DefaultParagraphFont"/>
    <w:uiPriority w:val="99"/>
    <w:semiHidden/>
    <w:unhideWhenUsed/>
    <w:rsid w:val="00C61981"/>
    <w:rPr>
      <w:color w:val="605E5C"/>
      <w:shd w:val="clear" w:color="auto" w:fill="E1DFDD"/>
    </w:rPr>
  </w:style>
  <w:style w:type="character" w:customStyle="1" w:styleId="UnresolvedMention100">
    <w:name w:val="Unresolved Mention10"/>
    <w:basedOn w:val="DefaultParagraphFont"/>
    <w:uiPriority w:val="99"/>
    <w:semiHidden/>
    <w:unhideWhenUsed/>
    <w:rsid w:val="00C61981"/>
    <w:rPr>
      <w:color w:val="605E5C"/>
      <w:shd w:val="clear" w:color="auto" w:fill="E1DFDD"/>
    </w:rPr>
  </w:style>
  <w:style w:type="character" w:customStyle="1" w:styleId="UnresolvedMention11">
    <w:name w:val="Unresolved Mention11"/>
    <w:basedOn w:val="DefaultParagraphFont"/>
    <w:uiPriority w:val="99"/>
    <w:semiHidden/>
    <w:unhideWhenUsed/>
    <w:rsid w:val="00C61981"/>
    <w:rPr>
      <w:color w:val="605E5C"/>
      <w:shd w:val="clear" w:color="auto" w:fill="E1DFDD"/>
    </w:rPr>
  </w:style>
  <w:style w:type="character" w:customStyle="1" w:styleId="UnresolvedMention12">
    <w:name w:val="Unresolved Mention12"/>
    <w:basedOn w:val="DefaultParagraphFont"/>
    <w:uiPriority w:val="99"/>
    <w:semiHidden/>
    <w:unhideWhenUsed/>
    <w:rsid w:val="00C61981"/>
    <w:rPr>
      <w:color w:val="605E5C"/>
      <w:shd w:val="clear" w:color="auto" w:fill="E1DFDD"/>
    </w:rPr>
  </w:style>
  <w:style w:type="character" w:customStyle="1" w:styleId="UnresolvedMention13">
    <w:name w:val="Unresolved Mention13"/>
    <w:basedOn w:val="DefaultParagraphFont"/>
    <w:uiPriority w:val="99"/>
    <w:semiHidden/>
    <w:unhideWhenUsed/>
    <w:rsid w:val="00C61981"/>
    <w:rPr>
      <w:color w:val="605E5C"/>
      <w:shd w:val="clear" w:color="auto" w:fill="E1DFDD"/>
    </w:rPr>
  </w:style>
  <w:style w:type="character" w:customStyle="1" w:styleId="UnresolvedMention14">
    <w:name w:val="Unresolved Mention14"/>
    <w:basedOn w:val="DefaultParagraphFont"/>
    <w:uiPriority w:val="99"/>
    <w:semiHidden/>
    <w:unhideWhenUsed/>
    <w:rsid w:val="00C61981"/>
    <w:rPr>
      <w:color w:val="605E5C"/>
      <w:shd w:val="clear" w:color="auto" w:fill="E1DFDD"/>
    </w:rPr>
  </w:style>
  <w:style w:type="table" w:customStyle="1" w:styleId="TableGrid0">
    <w:name w:val="TableGrid"/>
    <w:rsid w:val="00C61981"/>
    <w:pPr>
      <w:spacing w:after="0" w:line="240" w:lineRule="auto"/>
    </w:pPr>
    <w:rPr>
      <w:rFonts w:eastAsia="MS Mincho"/>
      <w:lang w:eastAsia="en-GB"/>
    </w:rPr>
    <w:tblPr>
      <w:tblCellMar>
        <w:top w:w="0" w:type="dxa"/>
        <w:left w:w="0" w:type="dxa"/>
        <w:bottom w:w="0" w:type="dxa"/>
        <w:right w:w="0" w:type="dxa"/>
      </w:tblCellMar>
    </w:tblPr>
  </w:style>
  <w:style w:type="character" w:customStyle="1" w:styleId="UnresolvedMention15">
    <w:name w:val="Unresolved Mention15"/>
    <w:basedOn w:val="DefaultParagraphFont"/>
    <w:uiPriority w:val="99"/>
    <w:semiHidden/>
    <w:unhideWhenUsed/>
    <w:rsid w:val="00C61981"/>
    <w:rPr>
      <w:color w:val="605E5C"/>
      <w:shd w:val="clear" w:color="auto" w:fill="E1DFDD"/>
    </w:rPr>
  </w:style>
  <w:style w:type="character" w:customStyle="1" w:styleId="UnresolvedMention16">
    <w:name w:val="Unresolved Mention16"/>
    <w:basedOn w:val="DefaultParagraphFont"/>
    <w:uiPriority w:val="99"/>
    <w:semiHidden/>
    <w:unhideWhenUsed/>
    <w:rsid w:val="00C61981"/>
    <w:rPr>
      <w:color w:val="605E5C"/>
      <w:shd w:val="clear" w:color="auto" w:fill="E1DFDD"/>
    </w:rPr>
  </w:style>
  <w:style w:type="character" w:customStyle="1" w:styleId="UnresolvedMention17">
    <w:name w:val="Unresolved Mention17"/>
    <w:basedOn w:val="DefaultParagraphFont"/>
    <w:uiPriority w:val="99"/>
    <w:semiHidden/>
    <w:unhideWhenUsed/>
    <w:rsid w:val="00C61981"/>
    <w:rPr>
      <w:color w:val="605E5C"/>
      <w:shd w:val="clear" w:color="auto" w:fill="E1DFDD"/>
    </w:rPr>
  </w:style>
  <w:style w:type="character" w:customStyle="1" w:styleId="Heading5Char1">
    <w:name w:val="Heading 5 Char1"/>
    <w:basedOn w:val="DefaultParagraphFont"/>
    <w:uiPriority w:val="9"/>
    <w:semiHidden/>
    <w:rsid w:val="00C61981"/>
    <w:rPr>
      <w:rFonts w:asciiTheme="majorHAnsi" w:eastAsiaTheme="majorEastAsia" w:hAnsiTheme="majorHAnsi" w:cstheme="majorBidi"/>
      <w:color w:val="2E74B5" w:themeColor="accent1" w:themeShade="BF"/>
    </w:rPr>
  </w:style>
  <w:style w:type="character" w:customStyle="1" w:styleId="Heading6Char1">
    <w:name w:val="Heading 6 Char1"/>
    <w:basedOn w:val="DefaultParagraphFont"/>
    <w:uiPriority w:val="9"/>
    <w:semiHidden/>
    <w:rsid w:val="00C61981"/>
    <w:rPr>
      <w:rFonts w:asciiTheme="majorHAnsi" w:eastAsiaTheme="majorEastAsia" w:hAnsiTheme="majorHAnsi" w:cstheme="majorBidi"/>
      <w:color w:val="1F4D78" w:themeColor="accent1" w:themeShade="7F"/>
    </w:rPr>
  </w:style>
  <w:style w:type="character" w:customStyle="1" w:styleId="Heading7Char1">
    <w:name w:val="Heading 7 Char1"/>
    <w:basedOn w:val="DefaultParagraphFont"/>
    <w:uiPriority w:val="9"/>
    <w:semiHidden/>
    <w:rsid w:val="00C61981"/>
    <w:rPr>
      <w:rFonts w:asciiTheme="majorHAnsi" w:eastAsiaTheme="majorEastAsia" w:hAnsiTheme="majorHAnsi" w:cstheme="majorBidi"/>
      <w:i/>
      <w:iCs/>
      <w:color w:val="1F4D78" w:themeColor="accent1" w:themeShade="7F"/>
    </w:rPr>
  </w:style>
  <w:style w:type="character" w:customStyle="1" w:styleId="Heading8Char1">
    <w:name w:val="Heading 8 Char1"/>
    <w:basedOn w:val="DefaultParagraphFont"/>
    <w:uiPriority w:val="9"/>
    <w:semiHidden/>
    <w:rsid w:val="00C61981"/>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C61981"/>
    <w:rPr>
      <w:rFonts w:asciiTheme="majorHAnsi" w:eastAsiaTheme="majorEastAsia" w:hAnsiTheme="majorHAnsi" w:cstheme="majorBidi"/>
      <w:i/>
      <w:iCs/>
      <w:color w:val="272727" w:themeColor="text1" w:themeTint="D8"/>
      <w:sz w:val="21"/>
      <w:szCs w:val="21"/>
    </w:rPr>
  </w:style>
  <w:style w:type="paragraph" w:styleId="EndnoteText">
    <w:name w:val="endnote text"/>
    <w:basedOn w:val="Normal"/>
    <w:link w:val="EndnoteTextChar1"/>
    <w:uiPriority w:val="99"/>
    <w:semiHidden/>
    <w:unhideWhenUsed/>
    <w:rsid w:val="00C61981"/>
    <w:pPr>
      <w:spacing w:after="0" w:line="240" w:lineRule="auto"/>
    </w:pPr>
    <w:rPr>
      <w:sz w:val="20"/>
      <w:szCs w:val="20"/>
    </w:rPr>
  </w:style>
  <w:style w:type="character" w:customStyle="1" w:styleId="EndnoteTextChar1">
    <w:name w:val="Endnote Text Char1"/>
    <w:basedOn w:val="DefaultParagraphFont"/>
    <w:link w:val="EndnoteText"/>
    <w:uiPriority w:val="99"/>
    <w:semiHidden/>
    <w:rsid w:val="00C61981"/>
    <w:rPr>
      <w:sz w:val="20"/>
      <w:szCs w:val="20"/>
    </w:rPr>
  </w:style>
  <w:style w:type="character" w:styleId="FollowedHyperlink">
    <w:name w:val="FollowedHyperlink"/>
    <w:basedOn w:val="DefaultParagraphFont"/>
    <w:uiPriority w:val="99"/>
    <w:semiHidden/>
    <w:unhideWhenUsed/>
    <w:rsid w:val="00C61981"/>
    <w:rPr>
      <w:color w:val="954F72" w:themeColor="followedHyperlink"/>
      <w:u w:val="single"/>
    </w:rPr>
  </w:style>
  <w:style w:type="paragraph" w:styleId="NormalWeb">
    <w:name w:val="Normal (Web)"/>
    <w:basedOn w:val="Normal"/>
    <w:uiPriority w:val="99"/>
    <w:semiHidden/>
    <w:unhideWhenUsed/>
    <w:rsid w:val="00C61981"/>
    <w:rPr>
      <w:rFonts w:cs="Times New Roman"/>
      <w:szCs w:val="24"/>
    </w:rPr>
  </w:style>
  <w:style w:type="paragraph" w:customStyle="1" w:styleId="TOCHeading2">
    <w:name w:val="TOC Heading2"/>
    <w:basedOn w:val="Heading1"/>
    <w:next w:val="Normal"/>
    <w:uiPriority w:val="39"/>
    <w:unhideWhenUsed/>
    <w:qFormat/>
    <w:rsid w:val="00CE262E"/>
    <w:pPr>
      <w:spacing w:before="480" w:line="276" w:lineRule="auto"/>
      <w:outlineLvl w:val="9"/>
    </w:pPr>
    <w:rPr>
      <w:bCs/>
      <w:caps/>
      <w:color w:val="365F91"/>
      <w:sz w:val="40"/>
      <w:szCs w:val="28"/>
      <w:lang w:val="en-US" w:eastAsia="ja-JP"/>
    </w:rPr>
  </w:style>
  <w:style w:type="paragraph" w:customStyle="1" w:styleId="TOC22">
    <w:name w:val="TOC 22"/>
    <w:basedOn w:val="Normal"/>
    <w:next w:val="Normal"/>
    <w:autoRedefine/>
    <w:uiPriority w:val="39"/>
    <w:unhideWhenUsed/>
    <w:rsid w:val="00CE262E"/>
    <w:pPr>
      <w:tabs>
        <w:tab w:val="left" w:pos="720"/>
        <w:tab w:val="right" w:pos="8630"/>
      </w:tabs>
      <w:spacing w:after="0" w:line="360" w:lineRule="auto"/>
    </w:pPr>
    <w:rPr>
      <w:rFonts w:cs="Calibri"/>
      <w:b/>
      <w:bCs/>
      <w:szCs w:val="20"/>
      <w:lang w:val="en-US"/>
    </w:rPr>
  </w:style>
  <w:style w:type="paragraph" w:customStyle="1" w:styleId="TOC42">
    <w:name w:val="TOC 42"/>
    <w:basedOn w:val="Normal"/>
    <w:next w:val="Normal"/>
    <w:autoRedefine/>
    <w:uiPriority w:val="39"/>
    <w:unhideWhenUsed/>
    <w:rsid w:val="00CE262E"/>
    <w:pPr>
      <w:spacing w:after="0" w:line="480" w:lineRule="auto"/>
      <w:ind w:left="480"/>
    </w:pPr>
    <w:rPr>
      <w:rFonts w:cs="Calibri"/>
      <w:sz w:val="20"/>
      <w:szCs w:val="20"/>
      <w:lang w:val="en-US"/>
    </w:rPr>
  </w:style>
  <w:style w:type="paragraph" w:customStyle="1" w:styleId="TOC52">
    <w:name w:val="TOC 52"/>
    <w:basedOn w:val="Normal"/>
    <w:next w:val="Normal"/>
    <w:autoRedefine/>
    <w:uiPriority w:val="39"/>
    <w:unhideWhenUsed/>
    <w:rsid w:val="00CE262E"/>
    <w:pPr>
      <w:spacing w:after="0" w:line="480" w:lineRule="auto"/>
      <w:ind w:left="720"/>
    </w:pPr>
    <w:rPr>
      <w:rFonts w:cs="Calibri"/>
      <w:sz w:val="20"/>
      <w:szCs w:val="20"/>
      <w:lang w:val="en-US"/>
    </w:rPr>
  </w:style>
  <w:style w:type="paragraph" w:customStyle="1" w:styleId="TOC62">
    <w:name w:val="TOC 62"/>
    <w:basedOn w:val="Normal"/>
    <w:next w:val="Normal"/>
    <w:autoRedefine/>
    <w:uiPriority w:val="39"/>
    <w:unhideWhenUsed/>
    <w:rsid w:val="00CE262E"/>
    <w:pPr>
      <w:spacing w:after="0" w:line="480" w:lineRule="auto"/>
      <w:ind w:left="960"/>
    </w:pPr>
    <w:rPr>
      <w:rFonts w:cs="Calibri"/>
      <w:sz w:val="20"/>
      <w:szCs w:val="20"/>
      <w:lang w:val="en-US"/>
    </w:rPr>
  </w:style>
  <w:style w:type="paragraph" w:customStyle="1" w:styleId="TOC72">
    <w:name w:val="TOC 72"/>
    <w:basedOn w:val="Normal"/>
    <w:next w:val="Normal"/>
    <w:autoRedefine/>
    <w:uiPriority w:val="39"/>
    <w:unhideWhenUsed/>
    <w:rsid w:val="00CE262E"/>
    <w:pPr>
      <w:spacing w:after="0" w:line="480" w:lineRule="auto"/>
      <w:ind w:left="1200"/>
    </w:pPr>
    <w:rPr>
      <w:rFonts w:cs="Calibri"/>
      <w:sz w:val="20"/>
      <w:szCs w:val="20"/>
      <w:lang w:val="en-US"/>
    </w:rPr>
  </w:style>
  <w:style w:type="paragraph" w:customStyle="1" w:styleId="TOC82">
    <w:name w:val="TOC 82"/>
    <w:basedOn w:val="Normal"/>
    <w:next w:val="Normal"/>
    <w:autoRedefine/>
    <w:uiPriority w:val="39"/>
    <w:unhideWhenUsed/>
    <w:rsid w:val="00CE262E"/>
    <w:pPr>
      <w:spacing w:after="0" w:line="480" w:lineRule="auto"/>
      <w:ind w:left="1440"/>
    </w:pPr>
    <w:rPr>
      <w:rFonts w:cs="Calibri"/>
      <w:sz w:val="20"/>
      <w:szCs w:val="20"/>
      <w:lang w:val="en-US"/>
    </w:rPr>
  </w:style>
  <w:style w:type="paragraph" w:customStyle="1" w:styleId="TOC92">
    <w:name w:val="TOC 92"/>
    <w:basedOn w:val="Normal"/>
    <w:next w:val="Normal"/>
    <w:autoRedefine/>
    <w:uiPriority w:val="39"/>
    <w:unhideWhenUsed/>
    <w:rsid w:val="00CE262E"/>
    <w:pPr>
      <w:spacing w:after="0" w:line="480" w:lineRule="auto"/>
      <w:ind w:left="1680"/>
    </w:pPr>
    <w:rPr>
      <w:rFonts w:cs="Calibri"/>
      <w:sz w:val="20"/>
      <w:szCs w:val="20"/>
      <w:lang w:val="en-US"/>
    </w:rPr>
  </w:style>
  <w:style w:type="table" w:customStyle="1" w:styleId="TableGrid1">
    <w:name w:val="TableGrid1"/>
    <w:rsid w:val="00CE262E"/>
    <w:pPr>
      <w:spacing w:after="0" w:line="240" w:lineRule="auto"/>
    </w:pPr>
    <w:rPr>
      <w:rFonts w:eastAsia="MS Mincho"/>
      <w:lang w:eastAsia="en-GB"/>
    </w:rPr>
    <w:tblPr>
      <w:tblCellMar>
        <w:top w:w="0" w:type="dxa"/>
        <w:left w:w="0" w:type="dxa"/>
        <w:bottom w:w="0" w:type="dxa"/>
        <w:right w:w="0" w:type="dxa"/>
      </w:tblCellMar>
    </w:tblPr>
  </w:style>
  <w:style w:type="character" w:customStyle="1" w:styleId="UnresolvedMention18">
    <w:name w:val="Unresolved Mention18"/>
    <w:basedOn w:val="DefaultParagraphFont"/>
    <w:uiPriority w:val="99"/>
    <w:semiHidden/>
    <w:unhideWhenUsed/>
    <w:rsid w:val="00D0488D"/>
    <w:rPr>
      <w:color w:val="605E5C"/>
      <w:shd w:val="clear" w:color="auto" w:fill="E1DFDD"/>
    </w:rPr>
  </w:style>
  <w:style w:type="character" w:styleId="LineNumber">
    <w:name w:val="line number"/>
    <w:basedOn w:val="DefaultParagraphFont"/>
    <w:uiPriority w:val="99"/>
    <w:semiHidden/>
    <w:unhideWhenUsed/>
    <w:rsid w:val="009719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0042472">
      <w:bodyDiv w:val="1"/>
      <w:marLeft w:val="0"/>
      <w:marRight w:val="0"/>
      <w:marTop w:val="0"/>
      <w:marBottom w:val="0"/>
      <w:divBdr>
        <w:top w:val="none" w:sz="0" w:space="0" w:color="auto"/>
        <w:left w:val="none" w:sz="0" w:space="0" w:color="auto"/>
        <w:bottom w:val="none" w:sz="0" w:space="0" w:color="auto"/>
        <w:right w:val="none" w:sz="0" w:space="0" w:color="auto"/>
      </w:divBdr>
    </w:div>
    <w:div w:id="745150068">
      <w:bodyDiv w:val="1"/>
      <w:marLeft w:val="0"/>
      <w:marRight w:val="0"/>
      <w:marTop w:val="0"/>
      <w:marBottom w:val="0"/>
      <w:divBdr>
        <w:top w:val="none" w:sz="0" w:space="0" w:color="auto"/>
        <w:left w:val="none" w:sz="0" w:space="0" w:color="auto"/>
        <w:bottom w:val="none" w:sz="0" w:space="0" w:color="auto"/>
        <w:right w:val="none" w:sz="0" w:space="0" w:color="auto"/>
      </w:divBdr>
    </w:div>
    <w:div w:id="918829569">
      <w:bodyDiv w:val="1"/>
      <w:marLeft w:val="0"/>
      <w:marRight w:val="0"/>
      <w:marTop w:val="0"/>
      <w:marBottom w:val="0"/>
      <w:divBdr>
        <w:top w:val="none" w:sz="0" w:space="0" w:color="auto"/>
        <w:left w:val="none" w:sz="0" w:space="0" w:color="auto"/>
        <w:bottom w:val="none" w:sz="0" w:space="0" w:color="auto"/>
        <w:right w:val="none" w:sz="0" w:space="0" w:color="auto"/>
      </w:divBdr>
    </w:div>
    <w:div w:id="1019889399">
      <w:bodyDiv w:val="1"/>
      <w:marLeft w:val="0"/>
      <w:marRight w:val="0"/>
      <w:marTop w:val="0"/>
      <w:marBottom w:val="0"/>
      <w:divBdr>
        <w:top w:val="none" w:sz="0" w:space="0" w:color="auto"/>
        <w:left w:val="none" w:sz="0" w:space="0" w:color="auto"/>
        <w:bottom w:val="none" w:sz="0" w:space="0" w:color="auto"/>
        <w:right w:val="none" w:sz="0" w:space="0" w:color="auto"/>
      </w:divBdr>
    </w:div>
    <w:div w:id="1195311809">
      <w:bodyDiv w:val="1"/>
      <w:marLeft w:val="0"/>
      <w:marRight w:val="0"/>
      <w:marTop w:val="0"/>
      <w:marBottom w:val="0"/>
      <w:divBdr>
        <w:top w:val="none" w:sz="0" w:space="0" w:color="auto"/>
        <w:left w:val="none" w:sz="0" w:space="0" w:color="auto"/>
        <w:bottom w:val="none" w:sz="0" w:space="0" w:color="auto"/>
        <w:right w:val="none" w:sz="0" w:space="0" w:color="auto"/>
      </w:divBdr>
    </w:div>
    <w:div w:id="1312755138">
      <w:bodyDiv w:val="1"/>
      <w:marLeft w:val="0"/>
      <w:marRight w:val="0"/>
      <w:marTop w:val="0"/>
      <w:marBottom w:val="0"/>
      <w:divBdr>
        <w:top w:val="none" w:sz="0" w:space="0" w:color="auto"/>
        <w:left w:val="none" w:sz="0" w:space="0" w:color="auto"/>
        <w:bottom w:val="none" w:sz="0" w:space="0" w:color="auto"/>
        <w:right w:val="none" w:sz="0" w:space="0" w:color="auto"/>
      </w:divBdr>
    </w:div>
    <w:div w:id="1769234881">
      <w:bodyDiv w:val="1"/>
      <w:marLeft w:val="0"/>
      <w:marRight w:val="0"/>
      <w:marTop w:val="0"/>
      <w:marBottom w:val="0"/>
      <w:divBdr>
        <w:top w:val="none" w:sz="0" w:space="0" w:color="auto"/>
        <w:left w:val="none" w:sz="0" w:space="0" w:color="auto"/>
        <w:bottom w:val="none" w:sz="0" w:space="0" w:color="auto"/>
        <w:right w:val="none" w:sz="0" w:space="0" w:color="auto"/>
      </w:divBdr>
    </w:div>
    <w:div w:id="1980843601">
      <w:bodyDiv w:val="1"/>
      <w:marLeft w:val="0"/>
      <w:marRight w:val="0"/>
      <w:marTop w:val="0"/>
      <w:marBottom w:val="0"/>
      <w:divBdr>
        <w:top w:val="none" w:sz="0" w:space="0" w:color="auto"/>
        <w:left w:val="none" w:sz="0" w:space="0" w:color="auto"/>
        <w:bottom w:val="none" w:sz="0" w:space="0" w:color="auto"/>
        <w:right w:val="none" w:sz="0" w:space="0" w:color="auto"/>
      </w:divBdr>
    </w:div>
    <w:div w:id="2121995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nhsbsa.nhs.uk/pharmacies-gp-practices-and-appliance-contractors/drug-tarif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ice.org.uk/guidance/ng59/chapter/Recommendation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ackpainexpert.co.uk/theprevalenceofbackpain.html" TargetMode="External"/><Relationship Id="rId5" Type="http://schemas.openxmlformats.org/officeDocument/2006/relationships/webSettings" Target="webSettings.xml"/><Relationship Id="rId15" Type="http://schemas.openxmlformats.org/officeDocument/2006/relationships/hyperlink" Target="https://www.ons.gov.uk/peoplepopulationandcommunity/populationandmigration/populationestimates/datasets/populationestimatesforukenglandandwalesscotlandandnorthernireland" TargetMode="External"/><Relationship Id="rId10" Type="http://schemas.openxmlformats.org/officeDocument/2006/relationships/hyperlink" Target="https://www.who.int/medicines/areas/priority_medicines/BP6_24LBP.pdf" TargetMode="External"/><Relationship Id="rId4" Type="http://schemas.openxmlformats.org/officeDocument/2006/relationships/settings" Target="settings.xml"/><Relationship Id="rId9" Type="http://schemas.openxmlformats.org/officeDocument/2006/relationships/hyperlink" Target="https://orcid.org/0000-0003-3642-0456" TargetMode="External"/><Relationship Id="rId14" Type="http://schemas.openxmlformats.org/officeDocument/2006/relationships/hyperlink" Target="https://www.nhsbsa.nhs.uk/prescription-data/dispensing-data/prescription-cost-analysis-pca-dat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She10</b:Tag>
    <b:SourceType>JournalArticle</b:SourceType>
    <b:Guid>{E73307AE-AB2F-4371-B266-6FA1E2A34002}</b:Guid>
    <b:Title>A web-based tool for adjusting costs to a specific target currency and price year</b:Title>
    <b:Year>2010</b:Year>
    <b:Author>
      <b:Author>
        <b:NameList>
          <b:Person>
            <b:Last>Shemilt I.</b:Last>
            <b:First>Thomas</b:First>
            <b:Middle>J., Morciano M.</b:Middle>
          </b:Person>
        </b:NameList>
      </b:Author>
    </b:Author>
    <b:JournalName>Evidence &amp; Policy</b:JournalName>
    <b:Pages>51-9</b:Pages>
    <b:RefOrder>1</b:RefOrder>
  </b:Source>
</b:Sources>
</file>

<file path=customXml/itemProps1.xml><?xml version="1.0" encoding="utf-8"?>
<ds:datastoreItem xmlns:ds="http://schemas.openxmlformats.org/officeDocument/2006/customXml" ds:itemID="{B81449EA-4A04-4B9E-A454-6CB69B25E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5605</Words>
  <Characters>50816</Characters>
  <Application>Microsoft Office Word</Application>
  <DocSecurity>0</DocSecurity>
  <Lines>423</Lines>
  <Paragraphs>112</Paragraphs>
  <ScaleCrop>false</ScaleCrop>
  <HeadingPairs>
    <vt:vector size="2" baseType="variant">
      <vt:variant>
        <vt:lpstr>Title</vt:lpstr>
      </vt:variant>
      <vt:variant>
        <vt:i4>1</vt:i4>
      </vt:variant>
    </vt:vector>
  </HeadingPairs>
  <TitlesOfParts>
    <vt:vector size="1" baseType="lpstr">
      <vt:lpstr>Cost of back pain</vt:lpstr>
    </vt:vector>
  </TitlesOfParts>
  <Company>UoB IT Services</Company>
  <LinksUpToDate>false</LinksUpToDate>
  <CharactersWithSpaces>56309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Cost of back pain</dc:title>
  <dc:subject/>
  <dc:creator>Dawit Zemedikun</dc:creator>
  <cp:keywords/>
  <dc:description/>
  <cp:lastModifiedBy>Gwenllian Wynne-Jones</cp:lastModifiedBy>
  <cp:revision>2</cp:revision>
  <dcterms:created xsi:type="dcterms:W3CDTF">2023-11-08T10:46:00Z</dcterms:created>
  <dcterms:modified xsi:type="dcterms:W3CDTF">2023-11-08T10:46:00Z</dcterms:modified>
</cp:coreProperties>
</file>