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A91C" w14:textId="77777777" w:rsidR="002D1484" w:rsidRDefault="003D1906">
      <w:pPr>
        <w:jc w:val="center"/>
        <w:rPr>
          <w:rFonts w:ascii="Cambria" w:eastAsia="Cambria" w:hAnsi="Cambria" w:cs="Cambria"/>
          <w:b/>
          <w:sz w:val="24"/>
          <w:u w:val="single"/>
        </w:rPr>
      </w:pPr>
      <w:r>
        <w:rPr>
          <w:rFonts w:ascii="Cambria" w:eastAsia="Cambria" w:hAnsi="Cambria" w:cs="Cambria"/>
          <w:b/>
          <w:sz w:val="24"/>
          <w:u w:val="single"/>
        </w:rPr>
        <w:t>Title page</w:t>
      </w:r>
    </w:p>
    <w:p w14:paraId="37076BC5"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Article type. Clinical Practice </w:t>
      </w:r>
    </w:p>
    <w:p w14:paraId="32BE2934" w14:textId="01652CAA" w:rsidR="002D1484" w:rsidRDefault="003D1906">
      <w:pPr>
        <w:rPr>
          <w:rFonts w:ascii="Cambria" w:eastAsia="Cambria" w:hAnsi="Cambria" w:cs="Cambria"/>
          <w:sz w:val="24"/>
        </w:rPr>
      </w:pPr>
      <w:r>
        <w:rPr>
          <w:rFonts w:ascii="Cambria" w:eastAsia="Cambria" w:hAnsi="Cambria" w:cs="Cambria"/>
          <w:sz w:val="24"/>
        </w:rPr>
        <w:t>Manuscript title. Assessment</w:t>
      </w:r>
      <w:r w:rsidR="003C590D">
        <w:rPr>
          <w:rFonts w:ascii="Cambria" w:eastAsia="Cambria" w:hAnsi="Cambria" w:cs="Cambria"/>
          <w:sz w:val="24"/>
        </w:rPr>
        <w:t xml:space="preserve"> and </w:t>
      </w:r>
      <w:r w:rsidR="00521A58">
        <w:rPr>
          <w:rFonts w:ascii="Cambria" w:eastAsia="Cambria" w:hAnsi="Cambria" w:cs="Cambria"/>
          <w:sz w:val="24"/>
        </w:rPr>
        <w:t>management</w:t>
      </w:r>
      <w:r>
        <w:rPr>
          <w:rFonts w:ascii="Cambria" w:eastAsia="Cambria" w:hAnsi="Cambria" w:cs="Cambria"/>
          <w:sz w:val="24"/>
        </w:rPr>
        <w:t xml:space="preserve"> of endometriosis in young people in primary care</w:t>
      </w:r>
    </w:p>
    <w:p w14:paraId="443F720D" w14:textId="77777777" w:rsidR="002D1484" w:rsidRDefault="003D1906">
      <w:pPr>
        <w:spacing w:line="276" w:lineRule="auto"/>
        <w:rPr>
          <w:rFonts w:ascii="Cambria" w:eastAsia="Cambria" w:hAnsi="Cambria" w:cs="Cambria"/>
          <w:sz w:val="24"/>
        </w:rPr>
      </w:pPr>
      <w:r>
        <w:rPr>
          <w:rFonts w:ascii="Cambria" w:eastAsia="Cambria" w:hAnsi="Cambria" w:cs="Cambria"/>
          <w:sz w:val="24"/>
        </w:rPr>
        <w:t>Authors: Liz Hare, Victoria Roberts, Nicholas P Hare, Faraz Mughal*</w:t>
      </w:r>
    </w:p>
    <w:p w14:paraId="51074579"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Corresponding author. </w:t>
      </w:r>
    </w:p>
    <w:p w14:paraId="1F010A40"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*Faraz Mughal, GP and NIHR Doctoral Fellow, School of Medicine, Keele University, Keele, ST5 5BG, </w:t>
      </w:r>
      <w:hyperlink r:id="rId5">
        <w:r>
          <w:rPr>
            <w:rFonts w:ascii="Cambria" w:eastAsia="Cambria" w:hAnsi="Cambria" w:cs="Cambria"/>
            <w:color w:val="0563C1"/>
            <w:sz w:val="24"/>
            <w:u w:val="single"/>
          </w:rPr>
          <w:t>f.mughal@keele.ac.uk</w:t>
        </w:r>
      </w:hyperlink>
      <w:r>
        <w:rPr>
          <w:rFonts w:ascii="Cambria" w:eastAsia="Cambria" w:hAnsi="Cambria" w:cs="Cambria"/>
          <w:sz w:val="24"/>
        </w:rPr>
        <w:t xml:space="preserve"> </w:t>
      </w:r>
    </w:p>
    <w:p w14:paraId="05F3042F" w14:textId="77777777" w:rsidR="002D1484" w:rsidRDefault="003D1906">
      <w:pPr>
        <w:spacing w:line="276" w:lineRule="auto"/>
        <w:rPr>
          <w:rFonts w:ascii="Cambria" w:eastAsia="Cambria" w:hAnsi="Cambria" w:cs="Cambria"/>
          <w:sz w:val="24"/>
        </w:rPr>
      </w:pPr>
      <w:r>
        <w:rPr>
          <w:rFonts w:ascii="Cambria" w:eastAsia="Cambria" w:hAnsi="Cambria" w:cs="Cambria"/>
          <w:sz w:val="24"/>
        </w:rPr>
        <w:t>------------------------------------------------------------------------------------------------------------</w:t>
      </w:r>
    </w:p>
    <w:p w14:paraId="56F424C3"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Liz Hare, FRCSI, DFFP, MRCGP, </w:t>
      </w:r>
      <w:proofErr w:type="spellStart"/>
      <w:r>
        <w:rPr>
          <w:rFonts w:ascii="Cambria" w:eastAsia="Cambria" w:hAnsi="Cambria" w:cs="Cambria"/>
          <w:sz w:val="24"/>
        </w:rPr>
        <w:t>PgDip</w:t>
      </w:r>
      <w:proofErr w:type="spellEnd"/>
      <w:r>
        <w:rPr>
          <w:rFonts w:ascii="Cambria" w:eastAsia="Cambria" w:hAnsi="Cambria" w:cs="Cambria"/>
          <w:sz w:val="24"/>
        </w:rPr>
        <w:t xml:space="preserve">, GP, Tudor Lodge Surgery, </w:t>
      </w:r>
      <w:proofErr w:type="spellStart"/>
      <w:r>
        <w:rPr>
          <w:rFonts w:ascii="Cambria" w:eastAsia="Cambria" w:hAnsi="Cambria" w:cs="Cambria"/>
          <w:sz w:val="24"/>
        </w:rPr>
        <w:t>Weston-super-Mare</w:t>
      </w:r>
      <w:proofErr w:type="spellEnd"/>
      <w:r>
        <w:rPr>
          <w:rFonts w:ascii="Cambria" w:eastAsia="Cambria" w:hAnsi="Cambria" w:cs="Cambria"/>
          <w:sz w:val="24"/>
        </w:rPr>
        <w:t>, BS23 4JP. RCGP Adolescent Health Group</w:t>
      </w:r>
    </w:p>
    <w:p w14:paraId="6F3334B0"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Victoria Roberts, BSc, MBChB, Academic Foundation Year 2 Doctor, University Hospitals </w:t>
      </w:r>
      <w:proofErr w:type="gramStart"/>
      <w:r>
        <w:rPr>
          <w:rFonts w:ascii="Cambria" w:eastAsia="Cambria" w:hAnsi="Cambria" w:cs="Cambria"/>
          <w:sz w:val="24"/>
        </w:rPr>
        <w:t>Bristol</w:t>
      </w:r>
      <w:proofErr w:type="gramEnd"/>
      <w:r>
        <w:rPr>
          <w:rFonts w:ascii="Cambria" w:eastAsia="Cambria" w:hAnsi="Cambria" w:cs="Cambria"/>
          <w:sz w:val="24"/>
        </w:rPr>
        <w:t xml:space="preserve"> and Weston Trust </w:t>
      </w:r>
      <w:r>
        <w:rPr>
          <w:rFonts w:ascii="Cambria" w:eastAsia="Cambria" w:hAnsi="Cambria" w:cs="Cambria"/>
          <w:color w:val="333333"/>
          <w:sz w:val="24"/>
          <w:shd w:val="clear" w:color="auto" w:fill="FFFFFF"/>
        </w:rPr>
        <w:t>Marlborough Street Bristol Avon BS1 3NU. University of Bristol.</w:t>
      </w:r>
    </w:p>
    <w:p w14:paraId="1A793AB4"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Nicholas P Hare, MBChB, MSc, FHEA, Academic Foundation Year 2 Doctor, University Hospitals </w:t>
      </w:r>
      <w:proofErr w:type="gramStart"/>
      <w:r>
        <w:rPr>
          <w:rFonts w:ascii="Cambria" w:eastAsia="Cambria" w:hAnsi="Cambria" w:cs="Cambria"/>
          <w:sz w:val="24"/>
        </w:rPr>
        <w:t>Bristol</w:t>
      </w:r>
      <w:proofErr w:type="gramEnd"/>
      <w:r>
        <w:rPr>
          <w:rFonts w:ascii="Cambria" w:eastAsia="Cambria" w:hAnsi="Cambria" w:cs="Cambria"/>
          <w:sz w:val="24"/>
        </w:rPr>
        <w:t xml:space="preserve"> and Weston Trust </w:t>
      </w:r>
      <w:r>
        <w:rPr>
          <w:rFonts w:ascii="Cambria" w:eastAsia="Cambria" w:hAnsi="Cambria" w:cs="Cambria"/>
          <w:color w:val="333333"/>
          <w:sz w:val="24"/>
          <w:shd w:val="clear" w:color="auto" w:fill="FFFFFF"/>
        </w:rPr>
        <w:t>Marlborough Street Bristol Avon BS1 3NU. University of Bristol.</w:t>
      </w:r>
    </w:p>
    <w:p w14:paraId="37CDBB1F"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Faraz Mughal, DCH, MPhil, FRCGP, GP and NIHR Doctoral Fellow, School of Medicine, Keele University, Keele, ST5 5BG. RCGP Adolescent Health Group. </w:t>
      </w:r>
    </w:p>
    <w:p w14:paraId="6A9062C9" w14:textId="75A62DC4" w:rsidR="002D1484" w:rsidRDefault="003D1906">
      <w:pPr>
        <w:spacing w:line="276" w:lineRule="auto"/>
        <w:rPr>
          <w:rFonts w:ascii="Cambria" w:eastAsia="Cambria" w:hAnsi="Cambria" w:cs="Cambria"/>
          <w:sz w:val="24"/>
        </w:rPr>
      </w:pPr>
      <w:r>
        <w:rPr>
          <w:rFonts w:ascii="Cambria" w:eastAsia="Cambria" w:hAnsi="Cambria" w:cs="Cambria"/>
          <w:sz w:val="24"/>
        </w:rPr>
        <w:t xml:space="preserve">Word count. </w:t>
      </w:r>
      <w:r w:rsidR="00A6400E">
        <w:rPr>
          <w:rFonts w:ascii="Cambria" w:eastAsia="Cambria" w:hAnsi="Cambria" w:cs="Cambria"/>
          <w:sz w:val="24"/>
        </w:rPr>
        <w:t>864</w:t>
      </w:r>
    </w:p>
    <w:p w14:paraId="402AA0A5" w14:textId="0CB11827" w:rsidR="002D1484" w:rsidRDefault="003D1906">
      <w:pPr>
        <w:spacing w:line="276" w:lineRule="auto"/>
        <w:rPr>
          <w:rFonts w:ascii="Cambria" w:eastAsia="Cambria" w:hAnsi="Cambria" w:cs="Cambria"/>
          <w:sz w:val="24"/>
        </w:rPr>
      </w:pPr>
      <w:r>
        <w:rPr>
          <w:rFonts w:ascii="Cambria" w:eastAsia="Cambria" w:hAnsi="Cambria" w:cs="Cambria"/>
          <w:sz w:val="24"/>
        </w:rPr>
        <w:t xml:space="preserve">References. </w:t>
      </w:r>
      <w:r w:rsidR="00A6400E">
        <w:rPr>
          <w:rFonts w:ascii="Cambria" w:eastAsia="Cambria" w:hAnsi="Cambria" w:cs="Cambria"/>
          <w:sz w:val="24"/>
        </w:rPr>
        <w:t>5</w:t>
      </w:r>
    </w:p>
    <w:p w14:paraId="3E61BBCC" w14:textId="77777777" w:rsidR="002D1484" w:rsidRDefault="003D1906">
      <w:pPr>
        <w:spacing w:line="276" w:lineRule="auto"/>
        <w:rPr>
          <w:rFonts w:ascii="Cambria" w:eastAsia="Cambria" w:hAnsi="Cambria" w:cs="Cambria"/>
          <w:sz w:val="24"/>
        </w:rPr>
      </w:pPr>
      <w:r>
        <w:rPr>
          <w:rFonts w:ascii="Cambria" w:eastAsia="Cambria" w:hAnsi="Cambria" w:cs="Cambria"/>
          <w:sz w:val="24"/>
        </w:rPr>
        <w:t xml:space="preserve">Funding. Faraz Mughal, Doctoral Fellow, is funded by NIHR (300957). The views expressed in this publication are those of the authors, and not necessarily those of the NHS, NIHR, or the Department of Health and Social Care. </w:t>
      </w:r>
    </w:p>
    <w:p w14:paraId="466E637D" w14:textId="77777777" w:rsidR="002D1484" w:rsidRDefault="003D1906">
      <w:pPr>
        <w:spacing w:line="276" w:lineRule="auto"/>
        <w:rPr>
          <w:rFonts w:ascii="Cambria" w:eastAsia="Cambria" w:hAnsi="Cambria" w:cs="Cambria"/>
          <w:color w:val="000000"/>
          <w:sz w:val="24"/>
        </w:rPr>
      </w:pPr>
      <w:r>
        <w:rPr>
          <w:rFonts w:ascii="Cambria" w:eastAsia="Cambria" w:hAnsi="Cambria" w:cs="Cambria"/>
          <w:sz w:val="24"/>
        </w:rPr>
        <w:t xml:space="preserve">Competing interests. LH and FM are members of the RCGP Adolescent Health Group. LH is a digital GP and works voluntarily for NCEPOD as a Case Reviewer on the Endometriosis and Transition project. LH works voluntarily for UK DCTN. </w:t>
      </w:r>
    </w:p>
    <w:p w14:paraId="37E4FCB3" w14:textId="77777777" w:rsidR="00080169" w:rsidRDefault="00080169">
      <w:pPr>
        <w:spacing w:line="275" w:lineRule="auto"/>
        <w:rPr>
          <w:rFonts w:ascii="Cambria" w:eastAsia="Cambria" w:hAnsi="Cambria" w:cs="Cambria"/>
          <w:color w:val="000000"/>
          <w:sz w:val="24"/>
        </w:rPr>
      </w:pPr>
    </w:p>
    <w:p w14:paraId="4FD03B83" w14:textId="77777777" w:rsidR="00080169" w:rsidRDefault="00080169">
      <w:pPr>
        <w:spacing w:line="275" w:lineRule="auto"/>
        <w:rPr>
          <w:rFonts w:ascii="Cambria" w:eastAsia="Cambria" w:hAnsi="Cambria" w:cs="Cambria"/>
          <w:color w:val="000000"/>
          <w:sz w:val="24"/>
        </w:rPr>
      </w:pPr>
    </w:p>
    <w:p w14:paraId="32E8D341" w14:textId="77777777" w:rsidR="00080169" w:rsidRDefault="00080169">
      <w:pPr>
        <w:spacing w:line="275" w:lineRule="auto"/>
        <w:rPr>
          <w:rFonts w:ascii="Cambria" w:eastAsia="Cambria" w:hAnsi="Cambria" w:cs="Cambria"/>
          <w:color w:val="000000"/>
          <w:sz w:val="24"/>
        </w:rPr>
      </w:pPr>
    </w:p>
    <w:p w14:paraId="164C1114" w14:textId="77777777" w:rsidR="00080169" w:rsidRDefault="00080169">
      <w:pPr>
        <w:spacing w:line="275" w:lineRule="auto"/>
        <w:rPr>
          <w:rFonts w:ascii="Cambria" w:eastAsia="Cambria" w:hAnsi="Cambria" w:cs="Cambria"/>
          <w:color w:val="000000"/>
          <w:sz w:val="24"/>
        </w:rPr>
      </w:pPr>
    </w:p>
    <w:p w14:paraId="1D5E6FE5" w14:textId="77777777" w:rsidR="00080169" w:rsidRDefault="00080169">
      <w:pPr>
        <w:spacing w:line="275" w:lineRule="auto"/>
        <w:rPr>
          <w:rFonts w:ascii="Cambria" w:eastAsia="Cambria" w:hAnsi="Cambria" w:cs="Cambria"/>
          <w:color w:val="000000"/>
          <w:sz w:val="24"/>
        </w:rPr>
      </w:pPr>
    </w:p>
    <w:p w14:paraId="3C7E0921" w14:textId="77777777" w:rsidR="00080169" w:rsidRDefault="00080169">
      <w:pPr>
        <w:spacing w:line="275" w:lineRule="auto"/>
        <w:rPr>
          <w:rFonts w:ascii="Cambria" w:eastAsia="Cambria" w:hAnsi="Cambria" w:cs="Cambria"/>
          <w:color w:val="000000"/>
          <w:sz w:val="24"/>
        </w:rPr>
      </w:pPr>
    </w:p>
    <w:p w14:paraId="587D5DB1" w14:textId="77777777" w:rsidR="009E7CD4" w:rsidRDefault="009E7CD4">
      <w:pPr>
        <w:spacing w:line="275" w:lineRule="auto"/>
        <w:rPr>
          <w:rFonts w:ascii="Cambria" w:eastAsia="Cambria" w:hAnsi="Cambria" w:cs="Cambria"/>
          <w:color w:val="000000"/>
          <w:sz w:val="24"/>
        </w:rPr>
        <w:sectPr w:rsidR="009E7CD4" w:rsidSect="009E7CD4">
          <w:pgSz w:w="11906" w:h="16838"/>
          <w:pgMar w:top="1440" w:right="1440" w:bottom="1440" w:left="1440" w:header="708" w:footer="708" w:gutter="0"/>
          <w:lnNumType w:countBy="1" w:restart="continuous"/>
          <w:cols w:space="708"/>
          <w:docGrid w:linePitch="360"/>
        </w:sectPr>
      </w:pPr>
    </w:p>
    <w:p w14:paraId="1B559BA4" w14:textId="42FC1481" w:rsidR="00073CC5" w:rsidRPr="0070358C" w:rsidRDefault="003D1906" w:rsidP="00073CC5">
      <w:pPr>
        <w:spacing w:line="275" w:lineRule="auto"/>
        <w:rPr>
          <w:rFonts w:ascii="Cambria" w:eastAsia="Cambria" w:hAnsi="Cambria" w:cs="Cambria"/>
          <w:sz w:val="24"/>
        </w:rPr>
      </w:pPr>
      <w:r w:rsidRPr="0070358C">
        <w:rPr>
          <w:rFonts w:ascii="Cambria" w:eastAsia="Cambria" w:hAnsi="Cambria" w:cs="Cambria"/>
          <w:color w:val="000000"/>
          <w:sz w:val="24"/>
        </w:rPr>
        <w:lastRenderedPageBreak/>
        <w:t>Endometriosis is a chronic inflammatory condition resulting from the presence of endometrial tissue, glands, and stroma in extra-uterine sites</w:t>
      </w:r>
      <w:r w:rsidR="00801BDD" w:rsidRPr="0070358C">
        <w:rPr>
          <w:rFonts w:ascii="Cambria" w:eastAsia="Cambria" w:hAnsi="Cambria" w:cs="Cambria"/>
          <w:color w:val="000000"/>
          <w:sz w:val="24"/>
        </w:rPr>
        <w:t>.</w:t>
      </w:r>
      <w:r w:rsidRPr="0070358C">
        <w:rPr>
          <w:rFonts w:ascii="Cambria" w:eastAsia="Cambria" w:hAnsi="Cambria" w:cs="Cambria"/>
          <w:color w:val="000000"/>
          <w:sz w:val="24"/>
        </w:rPr>
        <w:t xml:space="preserve"> It is a common condition  affect</w:t>
      </w:r>
      <w:r w:rsidR="009C448D" w:rsidRPr="0070358C">
        <w:rPr>
          <w:rFonts w:ascii="Cambria" w:eastAsia="Cambria" w:hAnsi="Cambria" w:cs="Cambria"/>
          <w:color w:val="000000"/>
          <w:sz w:val="24"/>
        </w:rPr>
        <w:t>ing</w:t>
      </w:r>
      <w:r w:rsidRPr="0070358C">
        <w:rPr>
          <w:rFonts w:ascii="Cambria" w:eastAsia="Cambria" w:hAnsi="Cambria" w:cs="Cambria"/>
          <w:color w:val="000000"/>
          <w:sz w:val="24"/>
        </w:rPr>
        <w:t xml:space="preserve"> approximately</w:t>
      </w:r>
      <w:r w:rsidR="00040E41" w:rsidRPr="0070358C">
        <w:rPr>
          <w:rFonts w:ascii="Cambria" w:eastAsia="Cambria" w:hAnsi="Cambria" w:cs="Cambria"/>
          <w:color w:val="000000"/>
          <w:sz w:val="24"/>
        </w:rPr>
        <w:t xml:space="preserve"> 1 to 5% of women, although </w:t>
      </w:r>
      <w:r w:rsidR="009C448D" w:rsidRPr="0070358C">
        <w:rPr>
          <w:rFonts w:ascii="Cambria" w:eastAsia="Cambria" w:hAnsi="Cambria" w:cs="Cambria"/>
          <w:color w:val="000000"/>
          <w:sz w:val="24"/>
        </w:rPr>
        <w:t xml:space="preserve">this is </w:t>
      </w:r>
      <w:r w:rsidR="00040E41" w:rsidRPr="0070358C">
        <w:rPr>
          <w:rFonts w:ascii="Cambria" w:eastAsia="Cambria" w:hAnsi="Cambria" w:cs="Cambria"/>
          <w:color w:val="000000"/>
          <w:sz w:val="24"/>
        </w:rPr>
        <w:t>a</w:t>
      </w:r>
      <w:r w:rsidR="00CB0D15" w:rsidRPr="0070358C">
        <w:rPr>
          <w:rFonts w:ascii="Cambria" w:eastAsia="Cambria" w:hAnsi="Cambria" w:cs="Cambria"/>
          <w:color w:val="000000"/>
          <w:sz w:val="24"/>
        </w:rPr>
        <w:t xml:space="preserve"> likely</w:t>
      </w:r>
      <w:r w:rsidR="00040E41" w:rsidRPr="0070358C">
        <w:rPr>
          <w:rFonts w:ascii="Cambria" w:eastAsia="Cambria" w:hAnsi="Cambria" w:cs="Cambria"/>
          <w:color w:val="000000"/>
          <w:sz w:val="24"/>
        </w:rPr>
        <w:t xml:space="preserve"> underestimation</w:t>
      </w:r>
      <w:r w:rsidR="00DE758F" w:rsidRPr="0070358C">
        <w:rPr>
          <w:rFonts w:ascii="Cambria" w:eastAsia="Cambria" w:hAnsi="Cambria" w:cs="Cambria"/>
          <w:color w:val="000000"/>
          <w:sz w:val="24"/>
        </w:rPr>
        <w:t xml:space="preserve">, </w:t>
      </w:r>
      <w:r w:rsidR="00811298" w:rsidRPr="0070358C">
        <w:rPr>
          <w:rFonts w:ascii="Cambria" w:eastAsia="Cambria" w:hAnsi="Cambria" w:cs="Cambria"/>
          <w:color w:val="000000"/>
          <w:sz w:val="24"/>
        </w:rPr>
        <w:t>with</w:t>
      </w:r>
      <w:r w:rsidR="00DE758F" w:rsidRPr="0070358C">
        <w:rPr>
          <w:rFonts w:ascii="Cambria" w:eastAsia="Cambria" w:hAnsi="Cambria" w:cs="Cambria"/>
          <w:color w:val="000000"/>
          <w:sz w:val="24"/>
        </w:rPr>
        <w:t xml:space="preserve"> symptoms often begin</w:t>
      </w:r>
      <w:r w:rsidR="00811298" w:rsidRPr="0070358C">
        <w:rPr>
          <w:rFonts w:ascii="Cambria" w:eastAsia="Cambria" w:hAnsi="Cambria" w:cs="Cambria"/>
          <w:color w:val="000000"/>
          <w:sz w:val="24"/>
        </w:rPr>
        <w:t>ning in teenage years</w:t>
      </w:r>
      <w:r w:rsidR="007D2320" w:rsidRPr="0070358C">
        <w:rPr>
          <w:rFonts w:ascii="Cambria" w:eastAsia="Cambria" w:hAnsi="Cambria" w:cs="Cambria"/>
          <w:color w:val="000000"/>
          <w:sz w:val="24"/>
        </w:rPr>
        <w:t>.</w:t>
      </w:r>
      <w:r w:rsidR="008173FD" w:rsidRPr="0070358C">
        <w:rPr>
          <w:rFonts w:ascii="Cambria" w:eastAsia="Cambria" w:hAnsi="Cambria" w:cs="Cambria"/>
          <w:color w:val="000000"/>
          <w:sz w:val="24"/>
          <w:vertAlign w:val="superscript"/>
        </w:rPr>
        <w:t>1</w:t>
      </w:r>
      <w:r w:rsidRPr="0070358C">
        <w:rPr>
          <w:rFonts w:ascii="Calibri" w:eastAsia="Calibri" w:hAnsi="Calibri" w:cs="Calibri"/>
          <w:sz w:val="24"/>
        </w:rPr>
        <w:t xml:space="preserve"> </w:t>
      </w:r>
      <w:r w:rsidR="00553B13" w:rsidRPr="0070358C">
        <w:rPr>
          <w:rFonts w:ascii="Calibri" w:eastAsia="Calibri" w:hAnsi="Calibri" w:cs="Calibri"/>
          <w:sz w:val="24"/>
        </w:rPr>
        <w:t>The 2022</w:t>
      </w:r>
      <w:r w:rsidRPr="0070358C">
        <w:rPr>
          <w:rFonts w:ascii="Cambria" w:eastAsia="Cambria" w:hAnsi="Cambria" w:cs="Cambria"/>
          <w:color w:val="000000"/>
          <w:sz w:val="24"/>
        </w:rPr>
        <w:t xml:space="preserve"> European Society of Human Reproductive and Embryology (ESHRE) Guideline</w:t>
      </w:r>
      <w:r w:rsidR="00CC781C" w:rsidRPr="0070358C">
        <w:rPr>
          <w:rFonts w:ascii="Cambria" w:eastAsia="Cambria" w:hAnsi="Cambria" w:cs="Cambria"/>
          <w:color w:val="000000"/>
          <w:sz w:val="24"/>
        </w:rPr>
        <w:t xml:space="preserve"> for the first time has new recommendations for the</w:t>
      </w:r>
      <w:r w:rsidRPr="0070358C">
        <w:rPr>
          <w:rFonts w:ascii="Cambria" w:eastAsia="Cambria" w:hAnsi="Cambria" w:cs="Cambria"/>
          <w:color w:val="000000"/>
          <w:sz w:val="24"/>
        </w:rPr>
        <w:t xml:space="preserve"> diagnosis and management of endometriosis in adolescents</w:t>
      </w:r>
      <w:r w:rsidR="00FC4103" w:rsidRPr="0070358C">
        <w:rPr>
          <w:rFonts w:ascii="Cambria" w:eastAsia="Cambria" w:hAnsi="Cambria" w:cs="Cambria"/>
          <w:color w:val="000000"/>
          <w:sz w:val="24"/>
        </w:rPr>
        <w:t xml:space="preserve"> (&lt;20 years)</w:t>
      </w:r>
      <w:r w:rsidR="007D2320" w:rsidRPr="0070358C">
        <w:rPr>
          <w:rFonts w:ascii="Cambria" w:eastAsia="Cambria" w:hAnsi="Cambria" w:cs="Cambria"/>
          <w:color w:val="000000"/>
          <w:sz w:val="24"/>
        </w:rPr>
        <w:t>.</w:t>
      </w:r>
      <w:r w:rsidR="008173FD" w:rsidRPr="0070358C">
        <w:rPr>
          <w:rFonts w:ascii="Cambria" w:eastAsia="Cambria" w:hAnsi="Cambria" w:cs="Cambria"/>
          <w:color w:val="000000"/>
          <w:sz w:val="24"/>
          <w:vertAlign w:val="superscript"/>
        </w:rPr>
        <w:t>2</w:t>
      </w:r>
      <w:r w:rsidRPr="0070358C">
        <w:rPr>
          <w:rFonts w:ascii="Cambria" w:eastAsia="Cambria" w:hAnsi="Cambria" w:cs="Cambria"/>
          <w:color w:val="000000"/>
          <w:sz w:val="24"/>
        </w:rPr>
        <w:t xml:space="preserve"> </w:t>
      </w:r>
      <w:r w:rsidR="00073CC5" w:rsidRPr="0070358C">
        <w:rPr>
          <w:rFonts w:ascii="Cambria" w:eastAsia="Cambria" w:hAnsi="Cambria" w:cs="Cambria"/>
          <w:color w:val="000000"/>
          <w:sz w:val="24"/>
        </w:rPr>
        <w:t xml:space="preserve">In this clinical practice piece, we </w:t>
      </w:r>
      <w:r w:rsidR="00237885" w:rsidRPr="0070358C">
        <w:rPr>
          <w:rFonts w:ascii="Cambria" w:eastAsia="Cambria" w:hAnsi="Cambria" w:cs="Cambria"/>
          <w:color w:val="000000"/>
          <w:sz w:val="24"/>
        </w:rPr>
        <w:t>aim to provide an update</w:t>
      </w:r>
      <w:r w:rsidR="00861B4D" w:rsidRPr="0070358C">
        <w:rPr>
          <w:rFonts w:ascii="Cambria" w:eastAsia="Cambria" w:hAnsi="Cambria" w:cs="Cambria"/>
          <w:color w:val="000000"/>
          <w:sz w:val="24"/>
        </w:rPr>
        <w:t xml:space="preserve"> on best practice for</w:t>
      </w:r>
      <w:r w:rsidR="00073CC5" w:rsidRPr="0070358C">
        <w:rPr>
          <w:rFonts w:ascii="Cambria" w:eastAsia="Cambria" w:hAnsi="Cambria" w:cs="Cambria"/>
          <w:color w:val="000000"/>
          <w:sz w:val="24"/>
        </w:rPr>
        <w:t xml:space="preserve"> the assessment and management of likely endometriosis in young people</w:t>
      </w:r>
      <w:r w:rsidR="00FE4EBD" w:rsidRPr="0070358C">
        <w:rPr>
          <w:rFonts w:ascii="Cambria" w:eastAsia="Cambria" w:hAnsi="Cambria" w:cs="Cambria"/>
          <w:color w:val="000000"/>
          <w:sz w:val="24"/>
        </w:rPr>
        <w:t xml:space="preserve"> up to 25 years</w:t>
      </w:r>
      <w:r w:rsidR="00073CC5" w:rsidRPr="0070358C">
        <w:rPr>
          <w:rFonts w:ascii="Cambria" w:eastAsia="Cambria" w:hAnsi="Cambria" w:cs="Cambria"/>
          <w:color w:val="000000"/>
          <w:sz w:val="24"/>
        </w:rPr>
        <w:t xml:space="preserve">. </w:t>
      </w:r>
    </w:p>
    <w:p w14:paraId="430BCC64" w14:textId="749298E4" w:rsidR="0061174D" w:rsidRPr="0070358C" w:rsidRDefault="0061174D" w:rsidP="0061174D">
      <w:pPr>
        <w:spacing w:line="275" w:lineRule="auto"/>
        <w:rPr>
          <w:rFonts w:ascii="Cambria" w:eastAsia="Cambria" w:hAnsi="Cambria" w:cs="Cambria"/>
          <w:color w:val="000000"/>
          <w:sz w:val="24"/>
          <w:u w:val="single"/>
        </w:rPr>
      </w:pPr>
      <w:r w:rsidRPr="0070358C">
        <w:rPr>
          <w:rFonts w:ascii="Cambria" w:eastAsia="Cambria" w:hAnsi="Cambria" w:cs="Cambria"/>
          <w:color w:val="000000"/>
          <w:sz w:val="24"/>
          <w:u w:val="single"/>
        </w:rPr>
        <w:t>Patient experiences</w:t>
      </w:r>
      <w:r w:rsidR="00B01E31" w:rsidRPr="0070358C">
        <w:rPr>
          <w:rFonts w:ascii="Cambria" w:eastAsia="Cambria" w:hAnsi="Cambria" w:cs="Cambria"/>
          <w:color w:val="000000"/>
          <w:sz w:val="24"/>
          <w:u w:val="single"/>
        </w:rPr>
        <w:t>:</w:t>
      </w:r>
    </w:p>
    <w:p w14:paraId="36ACF7CA" w14:textId="428AABD9" w:rsidR="0061174D" w:rsidRPr="0070358C" w:rsidRDefault="0061174D" w:rsidP="0061174D">
      <w:pPr>
        <w:spacing w:line="275" w:lineRule="auto"/>
        <w:rPr>
          <w:rFonts w:ascii="Cambria" w:eastAsia="Cambria" w:hAnsi="Cambria" w:cs="Cambria"/>
          <w:sz w:val="24"/>
        </w:rPr>
      </w:pPr>
      <w:r w:rsidRPr="0070358C">
        <w:rPr>
          <w:rFonts w:ascii="Cambria" w:eastAsia="Cambria" w:hAnsi="Cambria" w:cs="Cambria"/>
          <w:sz w:val="24"/>
        </w:rPr>
        <w:t>Endometriosis impacts on all areas of a young person’s life: education or work life, social life, and relationships.</w:t>
      </w:r>
      <w:r w:rsidRPr="0070358C">
        <w:rPr>
          <w:rFonts w:ascii="Cambria" w:eastAsia="Cambria" w:hAnsi="Cambria" w:cs="Cambria"/>
          <w:sz w:val="24"/>
          <w:vertAlign w:val="superscript"/>
        </w:rPr>
        <w:t xml:space="preserve">3 </w:t>
      </w:r>
      <w:r w:rsidRPr="0070358C">
        <w:rPr>
          <w:rFonts w:ascii="Cambria" w:eastAsia="Cambria" w:hAnsi="Cambria" w:cs="Cambria"/>
          <w:sz w:val="24"/>
        </w:rPr>
        <w:t>Young women have experienced substantial disruption to careers and education from symptoms of severe pain, tiredness, and side-effects of analgesia such as nausea. Pain has been described as ‘crippling’ and ‘horrific’ with duration of pain important.</w:t>
      </w:r>
      <w:r w:rsidRPr="0070358C">
        <w:rPr>
          <w:rFonts w:ascii="Cambria" w:eastAsia="Cambria" w:hAnsi="Cambria" w:cs="Cambria"/>
          <w:sz w:val="24"/>
          <w:vertAlign w:val="superscript"/>
        </w:rPr>
        <w:t>3</w:t>
      </w:r>
      <w:r w:rsidRPr="0070358C">
        <w:rPr>
          <w:rFonts w:ascii="Cambria" w:eastAsia="Cambria" w:hAnsi="Cambria" w:cs="Cambria"/>
          <w:sz w:val="24"/>
        </w:rPr>
        <w:t xml:space="preserve"> Young women have described GPs to normalise endometriosis-related pain and be reluctant to refer to a specialist.</w:t>
      </w:r>
      <w:r w:rsidRPr="0070358C">
        <w:rPr>
          <w:rFonts w:ascii="Cambria" w:eastAsia="Cambria" w:hAnsi="Cambria" w:cs="Cambria"/>
          <w:sz w:val="24"/>
          <w:vertAlign w:val="superscript"/>
        </w:rPr>
        <w:t>3</w:t>
      </w:r>
      <w:r w:rsidRPr="0070358C">
        <w:rPr>
          <w:rFonts w:ascii="Cambria" w:eastAsia="Cambria" w:hAnsi="Cambria" w:cs="Cambria"/>
          <w:sz w:val="24"/>
        </w:rPr>
        <w:t xml:space="preserve"> Patients have described preferring surgical treatments over medical treatments because there were perceived to be fewer side-effects and enhanced symptom relief.</w:t>
      </w:r>
      <w:r w:rsidRPr="0070358C">
        <w:rPr>
          <w:rFonts w:ascii="Cambria" w:eastAsia="Cambria" w:hAnsi="Cambria" w:cs="Cambria"/>
          <w:sz w:val="24"/>
          <w:vertAlign w:val="superscript"/>
        </w:rPr>
        <w:t>3</w:t>
      </w:r>
      <w:r w:rsidRPr="0070358C">
        <w:rPr>
          <w:rFonts w:ascii="Cambria" w:eastAsia="Cambria" w:hAnsi="Cambria" w:cs="Cambria"/>
          <w:sz w:val="24"/>
        </w:rPr>
        <w:t xml:space="preserve"> </w:t>
      </w:r>
    </w:p>
    <w:p w14:paraId="5262B5A3" w14:textId="1D0B3754" w:rsidR="008D4D3B" w:rsidRPr="0070358C" w:rsidRDefault="008D4D3B">
      <w:pPr>
        <w:spacing w:line="275" w:lineRule="auto"/>
        <w:rPr>
          <w:rFonts w:ascii="Cambria" w:eastAsia="Cambria" w:hAnsi="Cambria" w:cs="Cambria"/>
          <w:color w:val="000000"/>
          <w:sz w:val="24"/>
          <w:u w:val="single"/>
        </w:rPr>
      </w:pPr>
      <w:r w:rsidRPr="0070358C">
        <w:rPr>
          <w:rFonts w:ascii="Cambria" w:eastAsia="Cambria" w:hAnsi="Cambria" w:cs="Cambria"/>
          <w:color w:val="000000"/>
          <w:sz w:val="24"/>
          <w:u w:val="single"/>
        </w:rPr>
        <w:t>Assessment</w:t>
      </w:r>
      <w:r w:rsidR="00B01E31" w:rsidRPr="0070358C">
        <w:rPr>
          <w:rFonts w:ascii="Cambria" w:eastAsia="Cambria" w:hAnsi="Cambria" w:cs="Cambria"/>
          <w:color w:val="000000"/>
          <w:sz w:val="24"/>
          <w:u w:val="single"/>
        </w:rPr>
        <w:t>:</w:t>
      </w:r>
    </w:p>
    <w:p w14:paraId="086B8E86" w14:textId="155B231D" w:rsidR="00CE131B" w:rsidRPr="0070358C" w:rsidRDefault="003D1906">
      <w:pPr>
        <w:spacing w:line="275" w:lineRule="auto"/>
        <w:rPr>
          <w:rFonts w:ascii="Cambria" w:eastAsia="Cambria" w:hAnsi="Cambria" w:cs="Cambria"/>
          <w:color w:val="000000"/>
          <w:sz w:val="24"/>
        </w:rPr>
      </w:pPr>
      <w:r w:rsidRPr="0070358C">
        <w:rPr>
          <w:rFonts w:ascii="Cambria" w:eastAsia="Cambria" w:hAnsi="Cambria" w:cs="Cambria"/>
          <w:color w:val="000000"/>
          <w:sz w:val="24"/>
        </w:rPr>
        <w:t>For young people the consideration of endometriosis as a diagnosis may be overlooked</w:t>
      </w:r>
      <w:r w:rsidR="00DB140A" w:rsidRPr="0070358C">
        <w:rPr>
          <w:rFonts w:ascii="Cambria" w:eastAsia="Cambria" w:hAnsi="Cambria" w:cs="Cambria"/>
          <w:color w:val="000000"/>
          <w:sz w:val="24"/>
        </w:rPr>
        <w:t xml:space="preserve"> </w:t>
      </w:r>
      <w:r w:rsidR="009C223F" w:rsidRPr="0070358C">
        <w:rPr>
          <w:rFonts w:ascii="Cambria" w:eastAsia="Cambria" w:hAnsi="Cambria" w:cs="Cambria"/>
          <w:color w:val="000000"/>
          <w:sz w:val="24"/>
        </w:rPr>
        <w:t>for</w:t>
      </w:r>
      <w:r w:rsidR="00DB140A" w:rsidRPr="0070358C">
        <w:rPr>
          <w:rFonts w:ascii="Cambria" w:eastAsia="Cambria" w:hAnsi="Cambria" w:cs="Cambria"/>
          <w:color w:val="000000"/>
          <w:sz w:val="24"/>
        </w:rPr>
        <w:t xml:space="preserve"> painful periods</w:t>
      </w:r>
      <w:r w:rsidR="005E1442" w:rsidRPr="0070358C">
        <w:rPr>
          <w:rFonts w:ascii="Cambria" w:eastAsia="Cambria" w:hAnsi="Cambria" w:cs="Cambria"/>
          <w:color w:val="000000"/>
          <w:sz w:val="24"/>
        </w:rPr>
        <w:t xml:space="preserve"> for example,</w:t>
      </w:r>
      <w:r w:rsidR="00DB140A" w:rsidRPr="0070358C">
        <w:rPr>
          <w:rFonts w:ascii="Cambria" w:eastAsia="Cambria" w:hAnsi="Cambria" w:cs="Cambria"/>
          <w:color w:val="000000"/>
          <w:sz w:val="24"/>
        </w:rPr>
        <w:t xml:space="preserve"> </w:t>
      </w:r>
      <w:r w:rsidRPr="0070358C">
        <w:rPr>
          <w:rFonts w:ascii="Cambria" w:eastAsia="Cambria" w:hAnsi="Cambria" w:cs="Cambria"/>
          <w:color w:val="000000"/>
          <w:sz w:val="24"/>
        </w:rPr>
        <w:t>resulting in a protracted patient journey (up to 12 years from onset t</w:t>
      </w:r>
      <w:r w:rsidRPr="0070358C">
        <w:rPr>
          <w:rFonts w:ascii="Cambria" w:eastAsia="Cambria" w:hAnsi="Cambria" w:cs="Cambria"/>
          <w:sz w:val="24"/>
        </w:rPr>
        <w:t>o</w:t>
      </w:r>
      <w:r w:rsidRPr="0070358C">
        <w:rPr>
          <w:rFonts w:ascii="Cambria" w:eastAsia="Cambria" w:hAnsi="Cambria" w:cs="Cambria"/>
          <w:color w:val="000000"/>
          <w:sz w:val="24"/>
        </w:rPr>
        <w:t xml:space="preserve"> diagnosis), affecting quality of life</w:t>
      </w:r>
      <w:r w:rsidR="00DC16AD" w:rsidRPr="0070358C">
        <w:rPr>
          <w:rFonts w:ascii="Cambria" w:eastAsia="Cambria" w:hAnsi="Cambria" w:cs="Cambria"/>
          <w:color w:val="000000"/>
          <w:sz w:val="24"/>
        </w:rPr>
        <w:t>,</w:t>
      </w:r>
      <w:r w:rsidRPr="0070358C">
        <w:rPr>
          <w:rFonts w:ascii="Cambria" w:eastAsia="Cambria" w:hAnsi="Cambria" w:cs="Cambria"/>
          <w:color w:val="000000"/>
          <w:sz w:val="24"/>
        </w:rPr>
        <w:t xml:space="preserve"> and </w:t>
      </w:r>
      <w:r w:rsidR="00452A5F" w:rsidRPr="0070358C">
        <w:rPr>
          <w:rFonts w:ascii="Cambria" w:eastAsia="Cambria" w:hAnsi="Cambria" w:cs="Cambria"/>
          <w:color w:val="000000"/>
          <w:sz w:val="24"/>
        </w:rPr>
        <w:t xml:space="preserve">possible </w:t>
      </w:r>
      <w:r w:rsidRPr="0070358C">
        <w:rPr>
          <w:rFonts w:ascii="Cambria" w:eastAsia="Cambria" w:hAnsi="Cambria" w:cs="Cambria"/>
          <w:color w:val="000000"/>
          <w:sz w:val="24"/>
        </w:rPr>
        <w:t>future fertility.</w:t>
      </w:r>
      <w:r w:rsidR="002733F3" w:rsidRPr="0070358C">
        <w:rPr>
          <w:rFonts w:ascii="Cambria" w:eastAsia="Cambria" w:hAnsi="Cambria" w:cs="Cambria"/>
          <w:sz w:val="24"/>
        </w:rPr>
        <w:t xml:space="preserve"> </w:t>
      </w:r>
      <w:r w:rsidR="00D14E80" w:rsidRPr="0070358C">
        <w:rPr>
          <w:rFonts w:ascii="Cambria" w:eastAsia="Cambria" w:hAnsi="Cambria" w:cs="Cambria"/>
          <w:color w:val="000000"/>
          <w:sz w:val="24"/>
        </w:rPr>
        <w:t xml:space="preserve">Risk factors for endometriosis specific to young people include family history, early menarche, and a short menstrual cycle. </w:t>
      </w:r>
      <w:r w:rsidRPr="0070358C">
        <w:rPr>
          <w:rFonts w:ascii="Cambria" w:eastAsia="Cambria" w:hAnsi="Cambria" w:cs="Cambria"/>
          <w:color w:val="000000"/>
          <w:sz w:val="24"/>
        </w:rPr>
        <w:t>Endometriosis</w:t>
      </w:r>
      <w:r w:rsidR="008D4D3B" w:rsidRPr="0070358C">
        <w:rPr>
          <w:rFonts w:ascii="Cambria" w:eastAsia="Cambria" w:hAnsi="Cambria" w:cs="Cambria"/>
          <w:color w:val="000000"/>
          <w:sz w:val="24"/>
        </w:rPr>
        <w:t xml:space="preserve"> should be considered </w:t>
      </w:r>
      <w:r w:rsidR="0011631E" w:rsidRPr="0070358C">
        <w:rPr>
          <w:rFonts w:ascii="Cambria" w:eastAsia="Cambria" w:hAnsi="Cambria" w:cs="Cambria"/>
          <w:color w:val="000000"/>
          <w:sz w:val="24"/>
        </w:rPr>
        <w:t>in young women presenting with one or more:</w:t>
      </w:r>
      <w:r w:rsidRPr="0070358C">
        <w:rPr>
          <w:rFonts w:ascii="Cambria" w:eastAsia="Cambria" w:hAnsi="Cambria" w:cs="Cambria"/>
          <w:color w:val="000000"/>
          <w:sz w:val="24"/>
        </w:rPr>
        <w:t xml:space="preserve"> chronic cyclical or </w:t>
      </w:r>
      <w:proofErr w:type="spellStart"/>
      <w:r w:rsidRPr="0070358C">
        <w:rPr>
          <w:rFonts w:ascii="Cambria" w:eastAsia="Cambria" w:hAnsi="Cambria" w:cs="Cambria"/>
          <w:color w:val="000000"/>
          <w:sz w:val="24"/>
        </w:rPr>
        <w:t>acyclical</w:t>
      </w:r>
      <w:proofErr w:type="spellEnd"/>
      <w:r w:rsidRPr="0070358C">
        <w:rPr>
          <w:rFonts w:ascii="Cambria" w:eastAsia="Cambria" w:hAnsi="Cambria" w:cs="Cambria"/>
          <w:color w:val="000000"/>
          <w:sz w:val="24"/>
        </w:rPr>
        <w:t xml:space="preserve"> pelvic pain with nausea</w:t>
      </w:r>
      <w:r w:rsidR="0011631E" w:rsidRPr="0070358C">
        <w:rPr>
          <w:rFonts w:ascii="Cambria" w:eastAsia="Cambria" w:hAnsi="Cambria" w:cs="Cambria"/>
          <w:color w:val="000000"/>
          <w:sz w:val="24"/>
        </w:rPr>
        <w:t>;</w:t>
      </w:r>
      <w:r w:rsidRPr="0070358C">
        <w:rPr>
          <w:rFonts w:ascii="Cambria" w:eastAsia="Cambria" w:hAnsi="Cambria" w:cs="Cambria"/>
          <w:color w:val="000000"/>
          <w:sz w:val="24"/>
        </w:rPr>
        <w:t xml:space="preserve"> dysmenorrhea</w:t>
      </w:r>
      <w:r w:rsidR="005A3627" w:rsidRPr="0070358C">
        <w:rPr>
          <w:rFonts w:ascii="Cambria" w:eastAsia="Cambria" w:hAnsi="Cambria" w:cs="Cambria"/>
          <w:color w:val="000000"/>
          <w:sz w:val="24"/>
        </w:rPr>
        <w:t xml:space="preserve"> (affecting activities of daily living)</w:t>
      </w:r>
      <w:r w:rsidR="0011631E" w:rsidRPr="0070358C">
        <w:rPr>
          <w:rFonts w:ascii="Cambria" w:eastAsia="Cambria" w:hAnsi="Cambria" w:cs="Cambria"/>
          <w:color w:val="000000"/>
          <w:sz w:val="24"/>
        </w:rPr>
        <w:t>; deep</w:t>
      </w:r>
      <w:r w:rsidRPr="0070358C">
        <w:rPr>
          <w:rFonts w:ascii="Cambria" w:eastAsia="Cambria" w:hAnsi="Cambria" w:cs="Cambria"/>
          <w:color w:val="000000"/>
          <w:sz w:val="24"/>
        </w:rPr>
        <w:t xml:space="preserve"> dyspareunia</w:t>
      </w:r>
      <w:r w:rsidR="005A3627" w:rsidRPr="0070358C">
        <w:rPr>
          <w:rFonts w:ascii="Cambria" w:eastAsia="Cambria" w:hAnsi="Cambria" w:cs="Cambria"/>
          <w:color w:val="000000"/>
          <w:sz w:val="24"/>
        </w:rPr>
        <w:t xml:space="preserve">; cyclical </w:t>
      </w:r>
      <w:r w:rsidR="003B3190" w:rsidRPr="0070358C">
        <w:rPr>
          <w:rFonts w:ascii="Cambria" w:eastAsia="Cambria" w:hAnsi="Cambria" w:cs="Cambria"/>
          <w:color w:val="000000"/>
          <w:sz w:val="24"/>
        </w:rPr>
        <w:t>gastrointestinal symptoms (</w:t>
      </w:r>
      <w:proofErr w:type="spellStart"/>
      <w:r w:rsidR="003B3190" w:rsidRPr="0070358C">
        <w:rPr>
          <w:rFonts w:ascii="Cambria" w:eastAsia="Cambria" w:hAnsi="Cambria" w:cs="Cambria"/>
          <w:color w:val="000000"/>
          <w:sz w:val="24"/>
        </w:rPr>
        <w:t>dyschezia</w:t>
      </w:r>
      <w:proofErr w:type="spellEnd"/>
      <w:r w:rsidR="003B3190" w:rsidRPr="0070358C">
        <w:rPr>
          <w:rFonts w:ascii="Cambria" w:eastAsia="Cambria" w:hAnsi="Cambria" w:cs="Cambria"/>
          <w:color w:val="000000"/>
          <w:sz w:val="24"/>
        </w:rPr>
        <w:t>); cyclical urinary symptoms (dysuria</w:t>
      </w:r>
      <w:r w:rsidR="00A8102A" w:rsidRPr="0070358C">
        <w:rPr>
          <w:rFonts w:ascii="Cambria" w:eastAsia="Cambria" w:hAnsi="Cambria" w:cs="Cambria"/>
          <w:color w:val="000000"/>
          <w:sz w:val="24"/>
        </w:rPr>
        <w:t xml:space="preserve"> or haematuria) or infertility with any of the preceding points.</w:t>
      </w:r>
      <w:r w:rsidR="00D14E80" w:rsidRPr="0070358C">
        <w:rPr>
          <w:rFonts w:ascii="Cambria" w:eastAsia="Cambria" w:hAnsi="Cambria" w:cs="Cambria"/>
          <w:color w:val="000000"/>
          <w:sz w:val="24"/>
          <w:vertAlign w:val="superscript"/>
        </w:rPr>
        <w:t>4</w:t>
      </w:r>
      <w:r w:rsidRPr="0070358C">
        <w:rPr>
          <w:rFonts w:ascii="Cambria" w:eastAsia="Cambria" w:hAnsi="Cambria" w:cs="Cambria"/>
          <w:color w:val="000000"/>
          <w:sz w:val="24"/>
        </w:rPr>
        <w:t xml:space="preserve"> </w:t>
      </w:r>
      <w:r w:rsidR="00F3583A" w:rsidRPr="0070358C">
        <w:rPr>
          <w:rFonts w:ascii="Cambria" w:eastAsia="Cambria" w:hAnsi="Cambria" w:cs="Cambria"/>
          <w:color w:val="000000"/>
          <w:sz w:val="24"/>
        </w:rPr>
        <w:t xml:space="preserve">Fatigue </w:t>
      </w:r>
      <w:r w:rsidR="00F7728A" w:rsidRPr="0070358C">
        <w:rPr>
          <w:rFonts w:ascii="Cambria" w:eastAsia="Cambria" w:hAnsi="Cambria" w:cs="Cambria"/>
          <w:color w:val="000000"/>
          <w:sz w:val="24"/>
        </w:rPr>
        <w:t xml:space="preserve">also </w:t>
      </w:r>
      <w:r w:rsidR="00F3583A" w:rsidRPr="0070358C">
        <w:rPr>
          <w:rFonts w:ascii="Cambria" w:eastAsia="Cambria" w:hAnsi="Cambria" w:cs="Cambria"/>
          <w:color w:val="000000"/>
          <w:sz w:val="24"/>
        </w:rPr>
        <w:t>is commonly described</w:t>
      </w:r>
      <w:r w:rsidR="007001EE" w:rsidRPr="0070358C">
        <w:rPr>
          <w:rFonts w:ascii="Cambria" w:eastAsia="Cambria" w:hAnsi="Cambria" w:cs="Cambria"/>
          <w:color w:val="000000"/>
          <w:sz w:val="24"/>
        </w:rPr>
        <w:t xml:space="preserve"> in endometriosis.</w:t>
      </w:r>
      <w:r w:rsidR="00CE131B" w:rsidRPr="0070358C">
        <w:rPr>
          <w:rFonts w:ascii="Cambria" w:eastAsia="Cambria" w:hAnsi="Cambria" w:cs="Cambria"/>
          <w:color w:val="000000"/>
          <w:sz w:val="24"/>
          <w:vertAlign w:val="superscript"/>
        </w:rPr>
        <w:t xml:space="preserve"> </w:t>
      </w:r>
      <w:r w:rsidRPr="0070358C">
        <w:rPr>
          <w:rFonts w:ascii="Cambria" w:eastAsia="Cambria" w:hAnsi="Cambria" w:cs="Cambria"/>
          <w:color w:val="000000"/>
          <w:sz w:val="24"/>
        </w:rPr>
        <w:t>Endometriosis should</w:t>
      </w:r>
      <w:r w:rsidR="00853781" w:rsidRPr="0070358C">
        <w:rPr>
          <w:rFonts w:ascii="Cambria" w:eastAsia="Cambria" w:hAnsi="Cambria" w:cs="Cambria"/>
          <w:color w:val="000000"/>
          <w:sz w:val="24"/>
        </w:rPr>
        <w:t xml:space="preserve"> also</w:t>
      </w:r>
      <w:r w:rsidRPr="0070358C">
        <w:rPr>
          <w:rFonts w:ascii="Cambria" w:eastAsia="Cambria" w:hAnsi="Cambria" w:cs="Cambria"/>
          <w:color w:val="000000"/>
          <w:sz w:val="24"/>
        </w:rPr>
        <w:t xml:space="preserve"> be considered in young females presenting with cyclical absenteeism from school and use of oral contraceptives for dysmenorrhea. </w:t>
      </w:r>
    </w:p>
    <w:p w14:paraId="162D361F" w14:textId="5DECE801" w:rsidR="00611B09" w:rsidRPr="0070358C" w:rsidRDefault="00265ACD">
      <w:pPr>
        <w:spacing w:line="275" w:lineRule="auto"/>
        <w:rPr>
          <w:rFonts w:ascii="Cambria" w:eastAsia="Cambria" w:hAnsi="Cambria" w:cs="Cambria"/>
          <w:color w:val="000000"/>
          <w:sz w:val="24"/>
        </w:rPr>
      </w:pPr>
      <w:r w:rsidRPr="0070358C">
        <w:rPr>
          <w:rFonts w:ascii="Cambria" w:eastAsia="Cambria" w:hAnsi="Cambria" w:cs="Cambria"/>
          <w:sz w:val="24"/>
        </w:rPr>
        <w:t>U</w:t>
      </w:r>
      <w:r w:rsidR="003D1906" w:rsidRPr="0070358C">
        <w:rPr>
          <w:rFonts w:ascii="Cambria" w:eastAsia="Cambria" w:hAnsi="Cambria" w:cs="Cambria"/>
          <w:sz w:val="24"/>
        </w:rPr>
        <w:t>ltrasound</w:t>
      </w:r>
      <w:r w:rsidR="00126554" w:rsidRPr="0070358C">
        <w:rPr>
          <w:rFonts w:ascii="Cambria" w:eastAsia="Cambria" w:hAnsi="Cambria" w:cs="Cambria"/>
          <w:sz w:val="24"/>
        </w:rPr>
        <w:t xml:space="preserve"> (</w:t>
      </w:r>
      <w:r w:rsidR="00874675" w:rsidRPr="0070358C">
        <w:rPr>
          <w:rFonts w:ascii="Cambria" w:eastAsia="Cambria" w:hAnsi="Cambria" w:cs="Cambria"/>
          <w:sz w:val="24"/>
        </w:rPr>
        <w:t>if appropriate</w:t>
      </w:r>
      <w:r w:rsidR="008F7132" w:rsidRPr="0070358C">
        <w:rPr>
          <w:rFonts w:ascii="Cambria" w:eastAsia="Cambria" w:hAnsi="Cambria" w:cs="Cambria"/>
          <w:sz w:val="24"/>
        </w:rPr>
        <w:t>, transvaginal</w:t>
      </w:r>
      <w:r w:rsidR="00874675" w:rsidRPr="0070358C">
        <w:rPr>
          <w:rFonts w:ascii="Cambria" w:eastAsia="Cambria" w:hAnsi="Cambria" w:cs="Cambria"/>
          <w:sz w:val="24"/>
        </w:rPr>
        <w:t xml:space="preserve"> can diagnose ovarian endometriosis</w:t>
      </w:r>
      <w:r w:rsidR="00F62209" w:rsidRPr="0070358C">
        <w:rPr>
          <w:rFonts w:ascii="Cambria" w:eastAsia="Cambria" w:hAnsi="Cambria" w:cs="Cambria"/>
          <w:sz w:val="24"/>
        </w:rPr>
        <w:t>)</w:t>
      </w:r>
      <w:r w:rsidR="003D1906" w:rsidRPr="0070358C">
        <w:rPr>
          <w:rFonts w:ascii="Cambria" w:eastAsia="Cambria" w:hAnsi="Cambria" w:cs="Cambria"/>
          <w:sz w:val="24"/>
        </w:rPr>
        <w:t xml:space="preserve"> and MRI </w:t>
      </w:r>
      <w:r w:rsidRPr="0070358C">
        <w:rPr>
          <w:rFonts w:ascii="Cambria" w:eastAsia="Cambria" w:hAnsi="Cambria" w:cs="Cambria"/>
          <w:sz w:val="24"/>
        </w:rPr>
        <w:t xml:space="preserve">can be used to diagnose </w:t>
      </w:r>
      <w:r w:rsidR="00354F47" w:rsidRPr="0070358C">
        <w:rPr>
          <w:rFonts w:ascii="Cambria" w:eastAsia="Cambria" w:hAnsi="Cambria" w:cs="Cambria"/>
          <w:sz w:val="24"/>
        </w:rPr>
        <w:t>endometriosis,</w:t>
      </w:r>
      <w:r w:rsidRPr="0070358C">
        <w:rPr>
          <w:rFonts w:ascii="Cambria" w:eastAsia="Cambria" w:hAnsi="Cambria" w:cs="Cambria"/>
          <w:sz w:val="24"/>
        </w:rPr>
        <w:t xml:space="preserve"> but</w:t>
      </w:r>
      <w:r w:rsidR="003D1906" w:rsidRPr="0070358C">
        <w:rPr>
          <w:rFonts w:ascii="Cambria" w:eastAsia="Cambria" w:hAnsi="Cambria" w:cs="Cambria"/>
          <w:sz w:val="24"/>
        </w:rPr>
        <w:t xml:space="preserve"> negative findings do not exclude endometriosis</w:t>
      </w:r>
      <w:r w:rsidR="00A83584" w:rsidRPr="0070358C">
        <w:rPr>
          <w:rFonts w:ascii="Cambria" w:eastAsia="Cambria" w:hAnsi="Cambria" w:cs="Cambria"/>
          <w:sz w:val="24"/>
        </w:rPr>
        <w:t>.</w:t>
      </w:r>
      <w:r w:rsidR="001327BC" w:rsidRPr="0070358C">
        <w:rPr>
          <w:rFonts w:ascii="Cambria" w:eastAsia="Cambria" w:hAnsi="Cambria" w:cs="Cambria"/>
          <w:sz w:val="24"/>
          <w:vertAlign w:val="superscript"/>
        </w:rPr>
        <w:t>2</w:t>
      </w:r>
      <w:r w:rsidR="00CE131B" w:rsidRPr="0070358C">
        <w:rPr>
          <w:rFonts w:ascii="Cambria" w:eastAsia="Cambria" w:hAnsi="Cambria" w:cs="Cambria"/>
          <w:color w:val="000000"/>
          <w:sz w:val="24"/>
          <w:vertAlign w:val="superscript"/>
        </w:rPr>
        <w:t xml:space="preserve"> </w:t>
      </w:r>
      <w:r w:rsidR="003D1906" w:rsidRPr="0070358C">
        <w:rPr>
          <w:rFonts w:ascii="Cambria" w:eastAsia="Cambria" w:hAnsi="Cambria" w:cs="Cambria"/>
          <w:color w:val="000000"/>
          <w:sz w:val="24"/>
        </w:rPr>
        <w:t xml:space="preserve">To </w:t>
      </w:r>
      <w:r w:rsidR="00E034C3" w:rsidRPr="0070358C">
        <w:rPr>
          <w:rFonts w:ascii="Cambria" w:eastAsia="Cambria" w:hAnsi="Cambria" w:cs="Cambria"/>
          <w:color w:val="000000"/>
          <w:sz w:val="24"/>
        </w:rPr>
        <w:t>rule out</w:t>
      </w:r>
      <w:r w:rsidR="003D1906" w:rsidRPr="0070358C">
        <w:rPr>
          <w:rFonts w:ascii="Cambria" w:eastAsia="Cambria" w:hAnsi="Cambria" w:cs="Cambria"/>
          <w:color w:val="000000"/>
          <w:sz w:val="24"/>
        </w:rPr>
        <w:t xml:space="preserve"> other</w:t>
      </w:r>
      <w:r w:rsidR="003D1906" w:rsidRPr="0070358C">
        <w:rPr>
          <w:rFonts w:ascii="Cambria" w:eastAsia="Cambria" w:hAnsi="Cambria" w:cs="Cambria"/>
          <w:sz w:val="24"/>
        </w:rPr>
        <w:t xml:space="preserve"> conditions</w:t>
      </w:r>
      <w:r w:rsidR="00096447" w:rsidRPr="0070358C">
        <w:rPr>
          <w:rFonts w:ascii="Cambria" w:eastAsia="Cambria" w:hAnsi="Cambria" w:cs="Cambria"/>
          <w:sz w:val="24"/>
        </w:rPr>
        <w:t xml:space="preserve"> in primary care,</w:t>
      </w:r>
      <w:r w:rsidR="003D1906" w:rsidRPr="0070358C">
        <w:rPr>
          <w:rFonts w:ascii="Cambria" w:eastAsia="Cambria" w:hAnsi="Cambria" w:cs="Cambria"/>
          <w:color w:val="000000"/>
          <w:sz w:val="24"/>
        </w:rPr>
        <w:t xml:space="preserve"> the </w:t>
      </w:r>
      <w:r w:rsidR="00096447" w:rsidRPr="0070358C">
        <w:rPr>
          <w:rFonts w:ascii="Cambria" w:eastAsia="Cambria" w:hAnsi="Cambria" w:cs="Cambria"/>
          <w:color w:val="000000"/>
          <w:sz w:val="24"/>
        </w:rPr>
        <w:t>practitioner</w:t>
      </w:r>
      <w:r w:rsidR="003D1906" w:rsidRPr="0070358C">
        <w:rPr>
          <w:rFonts w:ascii="Cambria" w:eastAsia="Cambria" w:hAnsi="Cambria" w:cs="Cambria"/>
          <w:color w:val="000000"/>
          <w:sz w:val="24"/>
        </w:rPr>
        <w:t xml:space="preserve"> should undertake </w:t>
      </w:r>
      <w:r w:rsidR="00096447" w:rsidRPr="0070358C">
        <w:rPr>
          <w:rFonts w:ascii="Cambria" w:eastAsia="Cambria" w:hAnsi="Cambria" w:cs="Cambria"/>
          <w:color w:val="000000"/>
          <w:sz w:val="24"/>
        </w:rPr>
        <w:t xml:space="preserve">an </w:t>
      </w:r>
      <w:r w:rsidR="003D1906" w:rsidRPr="0070358C">
        <w:rPr>
          <w:rFonts w:ascii="Cambria" w:eastAsia="Cambria" w:hAnsi="Cambria" w:cs="Cambria"/>
          <w:color w:val="000000"/>
          <w:sz w:val="24"/>
        </w:rPr>
        <w:t>abdominal</w:t>
      </w:r>
      <w:r w:rsidR="003D1906" w:rsidRPr="0070358C">
        <w:rPr>
          <w:rFonts w:ascii="Cambria" w:eastAsia="Cambria" w:hAnsi="Cambria" w:cs="Cambria"/>
          <w:sz w:val="24"/>
        </w:rPr>
        <w:t xml:space="preserve"> and pelvic examination (</w:t>
      </w:r>
      <w:r w:rsidR="00096447" w:rsidRPr="0070358C">
        <w:rPr>
          <w:rFonts w:ascii="Cambria" w:eastAsia="Cambria" w:hAnsi="Cambria" w:cs="Cambria"/>
          <w:sz w:val="24"/>
        </w:rPr>
        <w:t>with consent of the</w:t>
      </w:r>
      <w:r w:rsidR="003D1906" w:rsidRPr="0070358C">
        <w:rPr>
          <w:rFonts w:ascii="Cambria" w:eastAsia="Cambria" w:hAnsi="Cambria" w:cs="Cambria"/>
          <w:sz w:val="24"/>
        </w:rPr>
        <w:t xml:space="preserve"> young perso</w:t>
      </w:r>
      <w:r w:rsidR="00922D3A" w:rsidRPr="0070358C">
        <w:rPr>
          <w:rFonts w:ascii="Cambria" w:eastAsia="Cambria" w:hAnsi="Cambria" w:cs="Cambria"/>
          <w:sz w:val="24"/>
        </w:rPr>
        <w:t>n</w:t>
      </w:r>
      <w:r w:rsidR="003D1906" w:rsidRPr="0070358C">
        <w:rPr>
          <w:rFonts w:ascii="Cambria" w:eastAsia="Cambria" w:hAnsi="Cambria" w:cs="Cambria"/>
          <w:sz w:val="24"/>
        </w:rPr>
        <w:t>) to exclude masses</w:t>
      </w:r>
      <w:r w:rsidR="003D1906" w:rsidRPr="0070358C">
        <w:rPr>
          <w:rFonts w:ascii="Cambria" w:eastAsia="Cambria" w:hAnsi="Cambria" w:cs="Cambria"/>
          <w:color w:val="000000"/>
          <w:sz w:val="24"/>
        </w:rPr>
        <w:t>.</w:t>
      </w:r>
      <w:r w:rsidR="00020105" w:rsidRPr="0070358C">
        <w:rPr>
          <w:rFonts w:ascii="Cambria" w:eastAsia="Cambria" w:hAnsi="Cambria" w:cs="Cambria"/>
          <w:color w:val="000000"/>
          <w:sz w:val="24"/>
        </w:rPr>
        <w:t xml:space="preserve"> </w:t>
      </w:r>
      <w:r w:rsidR="00724060" w:rsidRPr="0070358C">
        <w:rPr>
          <w:rFonts w:ascii="Cambria" w:eastAsia="Cambria" w:hAnsi="Cambria" w:cs="Cambria"/>
          <w:color w:val="000000"/>
          <w:sz w:val="24"/>
        </w:rPr>
        <w:t>On examination e</w:t>
      </w:r>
      <w:r w:rsidR="00AB5CBA" w:rsidRPr="0070358C">
        <w:rPr>
          <w:rFonts w:ascii="Cambria" w:eastAsia="Cambria" w:hAnsi="Cambria" w:cs="Cambria"/>
          <w:color w:val="000000"/>
          <w:sz w:val="24"/>
        </w:rPr>
        <w:t xml:space="preserve">licited pain, </w:t>
      </w:r>
      <w:r w:rsidR="00ED1132" w:rsidRPr="0070358C">
        <w:rPr>
          <w:rFonts w:ascii="Cambria" w:eastAsia="Cambria" w:hAnsi="Cambria" w:cs="Cambria"/>
          <w:color w:val="000000"/>
          <w:sz w:val="24"/>
        </w:rPr>
        <w:t>vaginal nodules, and adnexal masses can support suspicion of endometriosis.</w:t>
      </w:r>
      <w:r w:rsidR="00ED1132" w:rsidRPr="0070358C">
        <w:rPr>
          <w:rFonts w:ascii="Cambria" w:eastAsia="Cambria" w:hAnsi="Cambria" w:cs="Cambria"/>
          <w:color w:val="000000"/>
          <w:sz w:val="24"/>
          <w:vertAlign w:val="superscript"/>
        </w:rPr>
        <w:t>5</w:t>
      </w:r>
      <w:r w:rsidR="003D1906" w:rsidRPr="0070358C">
        <w:rPr>
          <w:rFonts w:ascii="Cambria" w:eastAsia="Cambria" w:hAnsi="Cambria" w:cs="Cambria"/>
          <w:color w:val="000000"/>
          <w:sz w:val="24"/>
        </w:rPr>
        <w:t xml:space="preserve"> Appropriate differentiating investigations include a</w:t>
      </w:r>
      <w:r w:rsidR="003D1906" w:rsidRPr="0070358C">
        <w:rPr>
          <w:rFonts w:ascii="Cambria" w:eastAsia="Cambria" w:hAnsi="Cambria" w:cs="Cambria"/>
          <w:sz w:val="24"/>
        </w:rPr>
        <w:t xml:space="preserve"> </w:t>
      </w:r>
      <w:r w:rsidR="00020105" w:rsidRPr="0070358C">
        <w:rPr>
          <w:rFonts w:ascii="Cambria" w:eastAsia="Cambria" w:hAnsi="Cambria" w:cs="Cambria"/>
          <w:color w:val="000000"/>
          <w:sz w:val="24"/>
        </w:rPr>
        <w:t>mid-stream urine</w:t>
      </w:r>
      <w:r w:rsidR="003D1906" w:rsidRPr="0070358C">
        <w:rPr>
          <w:rFonts w:ascii="Cambria" w:eastAsia="Cambria" w:hAnsi="Cambria" w:cs="Cambria"/>
          <w:color w:val="000000"/>
          <w:sz w:val="24"/>
        </w:rPr>
        <w:t xml:space="preserve">, faecal calprotectin, vaginal swabs, blood tests, and ultrasound to exclude UTI, fibroids/myomas, pelvic inflammatory disease, irritable bowel, and </w:t>
      </w:r>
      <w:r w:rsidR="003D1906" w:rsidRPr="0070358C">
        <w:rPr>
          <w:rFonts w:ascii="Cambria" w:eastAsia="Cambria" w:hAnsi="Cambria" w:cs="Cambria"/>
          <w:color w:val="000000"/>
          <w:sz w:val="24"/>
        </w:rPr>
        <w:lastRenderedPageBreak/>
        <w:t>inflammatory bowel disease.</w:t>
      </w:r>
      <w:r w:rsidR="00572683" w:rsidRPr="0070358C">
        <w:rPr>
          <w:rFonts w:ascii="Cambria" w:eastAsia="Cambria" w:hAnsi="Cambria" w:cs="Cambria"/>
          <w:color w:val="000000"/>
          <w:sz w:val="24"/>
        </w:rPr>
        <w:t xml:space="preserve"> Endometriosis can be misdiagnosed as irritable bowel syndrome.</w:t>
      </w:r>
      <w:r w:rsidR="00572683" w:rsidRPr="0070358C">
        <w:rPr>
          <w:rFonts w:ascii="Cambria" w:eastAsia="Cambria" w:hAnsi="Cambria" w:cs="Cambria"/>
          <w:color w:val="000000"/>
          <w:sz w:val="24"/>
          <w:vertAlign w:val="superscript"/>
        </w:rPr>
        <w:t>5</w:t>
      </w:r>
      <w:r w:rsidR="003D1906" w:rsidRPr="0070358C">
        <w:rPr>
          <w:rFonts w:ascii="Cambria" w:eastAsia="Cambria" w:hAnsi="Cambria" w:cs="Cambria"/>
          <w:color w:val="000000"/>
          <w:sz w:val="24"/>
        </w:rPr>
        <w:t xml:space="preserve"> </w:t>
      </w:r>
      <w:r w:rsidR="006122B0" w:rsidRPr="0070358C">
        <w:rPr>
          <w:rFonts w:ascii="Cambria" w:eastAsia="Cambria" w:hAnsi="Cambria" w:cs="Cambria"/>
          <w:color w:val="000000"/>
          <w:sz w:val="24"/>
        </w:rPr>
        <w:t xml:space="preserve">The </w:t>
      </w:r>
      <w:r w:rsidR="00103DF9" w:rsidRPr="0070358C">
        <w:rPr>
          <w:rFonts w:ascii="Cambria" w:eastAsia="Cambria" w:hAnsi="Cambria" w:cs="Cambria"/>
          <w:color w:val="000000"/>
          <w:sz w:val="24"/>
        </w:rPr>
        <w:t>C</w:t>
      </w:r>
      <w:r w:rsidR="006122B0" w:rsidRPr="0070358C">
        <w:rPr>
          <w:rFonts w:ascii="Cambria" w:eastAsia="Cambria" w:hAnsi="Cambria" w:cs="Cambria"/>
          <w:color w:val="000000"/>
          <w:sz w:val="24"/>
        </w:rPr>
        <w:t>A</w:t>
      </w:r>
      <w:r w:rsidR="00103DF9" w:rsidRPr="0070358C">
        <w:rPr>
          <w:rFonts w:ascii="Cambria" w:eastAsia="Cambria" w:hAnsi="Cambria" w:cs="Cambria"/>
          <w:color w:val="000000"/>
          <w:sz w:val="24"/>
        </w:rPr>
        <w:t xml:space="preserve">-125 blood test is not recommended for </w:t>
      </w:r>
      <w:r w:rsidR="006122B0" w:rsidRPr="0070358C">
        <w:rPr>
          <w:rFonts w:ascii="Cambria" w:eastAsia="Cambria" w:hAnsi="Cambria" w:cs="Cambria"/>
          <w:color w:val="000000"/>
          <w:sz w:val="24"/>
        </w:rPr>
        <w:t>suspecting endometriosis.</w:t>
      </w:r>
      <w:r w:rsidR="006122B0" w:rsidRPr="0070358C">
        <w:rPr>
          <w:rFonts w:ascii="Cambria" w:eastAsia="Cambria" w:hAnsi="Cambria" w:cs="Cambria"/>
          <w:color w:val="000000"/>
          <w:sz w:val="24"/>
          <w:vertAlign w:val="superscript"/>
        </w:rPr>
        <w:t>2</w:t>
      </w:r>
    </w:p>
    <w:p w14:paraId="2A60EFAC" w14:textId="182553A7" w:rsidR="002D1484" w:rsidRPr="0070358C" w:rsidRDefault="005A1C6C">
      <w:pPr>
        <w:spacing w:line="275" w:lineRule="auto"/>
        <w:rPr>
          <w:rFonts w:ascii="Cambria" w:eastAsia="Cambria" w:hAnsi="Cambria" w:cs="Cambria"/>
          <w:color w:val="000000"/>
          <w:sz w:val="24"/>
          <w:vertAlign w:val="superscript"/>
        </w:rPr>
      </w:pPr>
      <w:r w:rsidRPr="0070358C">
        <w:rPr>
          <w:rFonts w:ascii="Cambria" w:eastAsia="Cambria" w:hAnsi="Cambria" w:cs="Cambria"/>
          <w:color w:val="000000"/>
          <w:sz w:val="24"/>
        </w:rPr>
        <w:t>In young women with suspected endometriosis, w</w:t>
      </w:r>
      <w:r w:rsidR="003D1906" w:rsidRPr="0070358C">
        <w:rPr>
          <w:rFonts w:ascii="Cambria" w:eastAsia="Cambria" w:hAnsi="Cambria" w:cs="Cambria"/>
          <w:color w:val="000000"/>
          <w:sz w:val="24"/>
        </w:rPr>
        <w:t>here other potential diagnoses are excluded and medical treatment not successful,</w:t>
      </w:r>
      <w:r w:rsidR="00C1651D" w:rsidRPr="0070358C">
        <w:rPr>
          <w:rFonts w:ascii="Cambria" w:eastAsia="Cambria" w:hAnsi="Cambria" w:cs="Cambria"/>
          <w:color w:val="000000"/>
          <w:sz w:val="24"/>
        </w:rPr>
        <w:t xml:space="preserve"> practitioners should</w:t>
      </w:r>
      <w:r w:rsidR="003D1906" w:rsidRPr="0070358C">
        <w:rPr>
          <w:rFonts w:ascii="Cambria" w:eastAsia="Cambria" w:hAnsi="Cambria" w:cs="Cambria"/>
          <w:color w:val="000000"/>
          <w:sz w:val="24"/>
        </w:rPr>
        <w:t xml:space="preserve"> refer</w:t>
      </w:r>
      <w:r w:rsidR="00C1651D" w:rsidRPr="0070358C">
        <w:rPr>
          <w:rFonts w:ascii="Cambria" w:eastAsia="Cambria" w:hAnsi="Cambria" w:cs="Cambria"/>
          <w:color w:val="000000"/>
          <w:sz w:val="24"/>
        </w:rPr>
        <w:t xml:space="preserve"> them</w:t>
      </w:r>
      <w:r w:rsidR="003D1906" w:rsidRPr="0070358C">
        <w:rPr>
          <w:rFonts w:ascii="Cambria" w:eastAsia="Cambria" w:hAnsi="Cambria" w:cs="Cambria"/>
          <w:color w:val="000000"/>
          <w:sz w:val="24"/>
        </w:rPr>
        <w:t xml:space="preserve"> to </w:t>
      </w:r>
      <w:r w:rsidR="00540FF2" w:rsidRPr="0070358C">
        <w:rPr>
          <w:rFonts w:ascii="Cambria" w:eastAsia="Cambria" w:hAnsi="Cambria" w:cs="Cambria"/>
          <w:color w:val="000000"/>
          <w:sz w:val="24"/>
        </w:rPr>
        <w:t xml:space="preserve">an age-appropriate </w:t>
      </w:r>
      <w:r w:rsidR="003D1906" w:rsidRPr="0070358C">
        <w:rPr>
          <w:rFonts w:ascii="Cambria" w:eastAsia="Cambria" w:hAnsi="Cambria" w:cs="Cambria"/>
          <w:color w:val="000000"/>
          <w:sz w:val="24"/>
        </w:rPr>
        <w:t>gynaecology</w:t>
      </w:r>
      <w:r w:rsidR="00540FF2" w:rsidRPr="0070358C">
        <w:rPr>
          <w:rFonts w:ascii="Cambria" w:eastAsia="Cambria" w:hAnsi="Cambria" w:cs="Cambria"/>
          <w:color w:val="000000"/>
          <w:sz w:val="24"/>
        </w:rPr>
        <w:t xml:space="preserve"> service</w:t>
      </w:r>
      <w:r w:rsidR="003D1906" w:rsidRPr="0070358C">
        <w:rPr>
          <w:rFonts w:ascii="Cambria" w:eastAsia="Cambria" w:hAnsi="Cambria" w:cs="Cambria"/>
          <w:color w:val="000000"/>
          <w:sz w:val="24"/>
        </w:rPr>
        <w:t xml:space="preserve"> for consideration of diagnostic laparoscopy</w:t>
      </w:r>
      <w:r w:rsidR="00FE288C" w:rsidRPr="0070358C">
        <w:rPr>
          <w:rFonts w:ascii="Cambria" w:eastAsia="Cambria" w:hAnsi="Cambria" w:cs="Cambria"/>
          <w:color w:val="000000"/>
          <w:sz w:val="24"/>
        </w:rPr>
        <w:t>, ideally in a</w:t>
      </w:r>
      <w:r w:rsidR="00945719" w:rsidRPr="0070358C">
        <w:rPr>
          <w:rFonts w:ascii="Cambria" w:eastAsia="Cambria" w:hAnsi="Cambria" w:cs="Cambria"/>
          <w:color w:val="000000"/>
          <w:sz w:val="24"/>
        </w:rPr>
        <w:t xml:space="preserve"> specialist </w:t>
      </w:r>
      <w:r w:rsidR="00FE288C" w:rsidRPr="0070358C">
        <w:rPr>
          <w:rFonts w:ascii="Cambria" w:eastAsia="Cambria" w:hAnsi="Cambria" w:cs="Cambria"/>
          <w:color w:val="000000"/>
          <w:sz w:val="24"/>
        </w:rPr>
        <w:t>endometriosis centre</w:t>
      </w:r>
      <w:r w:rsidR="00945719" w:rsidRPr="0070358C">
        <w:rPr>
          <w:rFonts w:ascii="Cambria" w:eastAsia="Cambria" w:hAnsi="Cambria" w:cs="Cambria"/>
          <w:color w:val="000000"/>
          <w:sz w:val="24"/>
        </w:rPr>
        <w:t>,</w:t>
      </w:r>
      <w:r w:rsidR="00540FF2" w:rsidRPr="0070358C">
        <w:rPr>
          <w:rFonts w:ascii="Cambria" w:eastAsia="Cambria" w:hAnsi="Cambria" w:cs="Cambria"/>
          <w:color w:val="000000"/>
          <w:sz w:val="24"/>
        </w:rPr>
        <w:t xml:space="preserve"> or to a gynaecologist with a specialist interest</w:t>
      </w:r>
      <w:r w:rsidR="003D1906" w:rsidRPr="0070358C">
        <w:rPr>
          <w:rFonts w:ascii="Cambria" w:eastAsia="Cambria" w:hAnsi="Cambria" w:cs="Cambria"/>
          <w:color w:val="000000"/>
          <w:sz w:val="24"/>
        </w:rPr>
        <w:t>.</w:t>
      </w:r>
    </w:p>
    <w:p w14:paraId="3801EAAD" w14:textId="1C5BB7C0" w:rsidR="008143B6" w:rsidRPr="0070358C" w:rsidRDefault="008143B6">
      <w:pPr>
        <w:spacing w:line="275" w:lineRule="auto"/>
        <w:rPr>
          <w:rFonts w:ascii="Cambria" w:eastAsia="Cambria" w:hAnsi="Cambria" w:cs="Cambria"/>
          <w:color w:val="000000"/>
          <w:sz w:val="24"/>
          <w:u w:val="single"/>
        </w:rPr>
      </w:pPr>
      <w:r w:rsidRPr="0070358C">
        <w:rPr>
          <w:rFonts w:ascii="Cambria" w:eastAsia="Cambria" w:hAnsi="Cambria" w:cs="Cambria"/>
          <w:color w:val="000000"/>
          <w:sz w:val="24"/>
          <w:u w:val="single"/>
        </w:rPr>
        <w:t>Treatment</w:t>
      </w:r>
      <w:r w:rsidR="00B01E31" w:rsidRPr="0070358C">
        <w:rPr>
          <w:rFonts w:ascii="Cambria" w:eastAsia="Cambria" w:hAnsi="Cambria" w:cs="Cambria"/>
          <w:color w:val="000000"/>
          <w:sz w:val="24"/>
          <w:u w:val="single"/>
        </w:rPr>
        <w:t>:</w:t>
      </w:r>
    </w:p>
    <w:p w14:paraId="63D753DA" w14:textId="25457A74" w:rsidR="002D1484" w:rsidRPr="0070358C" w:rsidRDefault="003D1906">
      <w:pPr>
        <w:spacing w:line="275" w:lineRule="auto"/>
        <w:rPr>
          <w:rFonts w:ascii="Cambria" w:eastAsia="Cambria" w:hAnsi="Cambria" w:cs="Cambria"/>
          <w:color w:val="000000"/>
          <w:sz w:val="24"/>
        </w:rPr>
      </w:pPr>
      <w:r w:rsidRPr="0070358C">
        <w:rPr>
          <w:rFonts w:ascii="Cambria" w:eastAsia="Cambria" w:hAnsi="Cambria" w:cs="Cambria"/>
          <w:color w:val="000000"/>
          <w:sz w:val="24"/>
        </w:rPr>
        <w:t>In young people with dysmenorrhea and</w:t>
      </w:r>
      <w:r w:rsidR="004153FE" w:rsidRPr="0070358C">
        <w:rPr>
          <w:rFonts w:ascii="Cambria" w:eastAsia="Cambria" w:hAnsi="Cambria" w:cs="Cambria"/>
          <w:color w:val="000000"/>
          <w:sz w:val="24"/>
        </w:rPr>
        <w:t>/or</w:t>
      </w:r>
      <w:r w:rsidRPr="0070358C">
        <w:rPr>
          <w:rFonts w:ascii="Cambria" w:eastAsia="Cambria" w:hAnsi="Cambria" w:cs="Cambria"/>
          <w:color w:val="000000"/>
          <w:sz w:val="24"/>
        </w:rPr>
        <w:t xml:space="preserve"> endometriosis-associated pain hormonal contraceptives</w:t>
      </w:r>
      <w:r w:rsidR="004153FE" w:rsidRPr="0070358C">
        <w:rPr>
          <w:rFonts w:ascii="Cambria" w:eastAsia="Cambria" w:hAnsi="Cambria" w:cs="Cambria"/>
          <w:color w:val="000000"/>
          <w:sz w:val="24"/>
        </w:rPr>
        <w:t xml:space="preserve"> (combined oral contraceptive pill)</w:t>
      </w:r>
      <w:r w:rsidRPr="0070358C">
        <w:rPr>
          <w:rFonts w:ascii="Cambria" w:eastAsia="Cambria" w:hAnsi="Cambria" w:cs="Cambria"/>
          <w:color w:val="000000"/>
          <w:sz w:val="24"/>
        </w:rPr>
        <w:t xml:space="preserve"> or progesterone</w:t>
      </w:r>
      <w:r w:rsidR="004153FE" w:rsidRPr="0070358C">
        <w:rPr>
          <w:rFonts w:ascii="Cambria" w:eastAsia="Cambria" w:hAnsi="Cambria" w:cs="Cambria"/>
          <w:color w:val="000000"/>
          <w:sz w:val="24"/>
        </w:rPr>
        <w:t xml:space="preserve"> (e.g., LNG-intrauterine system)</w:t>
      </w:r>
      <w:r w:rsidRPr="0070358C">
        <w:rPr>
          <w:rFonts w:ascii="Cambria" w:eastAsia="Cambria" w:hAnsi="Cambria" w:cs="Cambria"/>
          <w:color w:val="000000"/>
          <w:sz w:val="24"/>
        </w:rPr>
        <w:t xml:space="preserve"> is recommended as first line. Non-steroidal anti-inflammatory medications are suggested for pain</w:t>
      </w:r>
      <w:r w:rsidR="00DE2DC8" w:rsidRPr="0070358C">
        <w:rPr>
          <w:rFonts w:ascii="Cambria" w:eastAsia="Cambria" w:hAnsi="Cambria" w:cs="Cambria"/>
          <w:color w:val="000000"/>
          <w:sz w:val="24"/>
        </w:rPr>
        <w:t xml:space="preserve"> at age-appropriate doses</w:t>
      </w:r>
      <w:r w:rsidRPr="0070358C">
        <w:rPr>
          <w:rFonts w:ascii="Cambria" w:eastAsia="Cambria" w:hAnsi="Cambria" w:cs="Cambria"/>
          <w:color w:val="000000"/>
          <w:sz w:val="24"/>
        </w:rPr>
        <w:t xml:space="preserve"> where hormone therapy is not </w:t>
      </w:r>
      <w:r w:rsidR="00042278" w:rsidRPr="0070358C">
        <w:rPr>
          <w:rFonts w:ascii="Cambria" w:eastAsia="Cambria" w:hAnsi="Cambria" w:cs="Cambria"/>
          <w:color w:val="000000"/>
          <w:sz w:val="24"/>
        </w:rPr>
        <w:t>suitable</w:t>
      </w:r>
      <w:r w:rsidRPr="0070358C">
        <w:rPr>
          <w:rFonts w:ascii="Cambria" w:eastAsia="Cambria" w:hAnsi="Cambria" w:cs="Cambria"/>
          <w:color w:val="000000"/>
          <w:sz w:val="24"/>
        </w:rPr>
        <w:t xml:space="preserve">. Where endometriosis is confirmed and </w:t>
      </w:r>
      <w:r w:rsidR="00D61E05" w:rsidRPr="0070358C">
        <w:rPr>
          <w:rFonts w:ascii="Cambria" w:eastAsia="Cambria" w:hAnsi="Cambria" w:cs="Cambria"/>
          <w:color w:val="000000"/>
          <w:sz w:val="24"/>
        </w:rPr>
        <w:t xml:space="preserve">initial </w:t>
      </w:r>
      <w:r w:rsidRPr="0070358C">
        <w:rPr>
          <w:rFonts w:ascii="Cambria" w:eastAsia="Cambria" w:hAnsi="Cambria" w:cs="Cambria"/>
          <w:color w:val="000000"/>
          <w:sz w:val="24"/>
        </w:rPr>
        <w:t xml:space="preserve">hormonal therapy unsuccessful, </w:t>
      </w:r>
      <w:r w:rsidR="0002074C" w:rsidRPr="0070358C">
        <w:rPr>
          <w:rFonts w:ascii="Cambria" w:eastAsia="Cambria" w:hAnsi="Cambria" w:cs="Cambria"/>
          <w:color w:val="000000"/>
          <w:sz w:val="24"/>
        </w:rPr>
        <w:t xml:space="preserve">specialist </w:t>
      </w:r>
      <w:r w:rsidRPr="0070358C">
        <w:rPr>
          <w:rFonts w:ascii="Cambria" w:eastAsia="Cambria" w:hAnsi="Cambria" w:cs="Cambria"/>
          <w:color w:val="000000"/>
          <w:sz w:val="24"/>
        </w:rPr>
        <w:t>gynaecology services</w:t>
      </w:r>
      <w:r w:rsidR="009C6A1E" w:rsidRPr="0070358C">
        <w:rPr>
          <w:rFonts w:ascii="Cambria" w:eastAsia="Cambria" w:hAnsi="Cambria" w:cs="Cambria"/>
          <w:color w:val="000000"/>
          <w:sz w:val="24"/>
        </w:rPr>
        <w:t xml:space="preserve"> can</w:t>
      </w:r>
      <w:r w:rsidRPr="0070358C">
        <w:rPr>
          <w:rFonts w:ascii="Cambria" w:eastAsia="Cambria" w:hAnsi="Cambria" w:cs="Cambria"/>
          <w:color w:val="000000"/>
          <w:sz w:val="24"/>
        </w:rPr>
        <w:t xml:space="preserve"> </w:t>
      </w:r>
      <w:r w:rsidR="0002074C" w:rsidRPr="0070358C">
        <w:rPr>
          <w:rFonts w:ascii="Cambria" w:eastAsia="Cambria" w:hAnsi="Cambria" w:cs="Cambria"/>
          <w:color w:val="000000"/>
          <w:sz w:val="24"/>
        </w:rPr>
        <w:t>consider</w:t>
      </w:r>
      <w:r w:rsidRPr="0070358C">
        <w:rPr>
          <w:rFonts w:ascii="Cambria" w:eastAsia="Cambria" w:hAnsi="Cambria" w:cs="Cambria"/>
          <w:color w:val="000000"/>
          <w:sz w:val="24"/>
        </w:rPr>
        <w:t xml:space="preserve"> </w:t>
      </w:r>
      <w:r w:rsidR="00091E6B" w:rsidRPr="0070358C">
        <w:rPr>
          <w:rFonts w:ascii="Cambria" w:eastAsia="Cambria" w:hAnsi="Cambria" w:cs="Cambria"/>
          <w:color w:val="000000"/>
          <w:sz w:val="24"/>
        </w:rPr>
        <w:t xml:space="preserve">offering young people </w:t>
      </w:r>
      <w:r w:rsidRPr="0070358C">
        <w:rPr>
          <w:rFonts w:ascii="Cambria" w:eastAsia="Cambria" w:hAnsi="Cambria" w:cs="Cambria"/>
          <w:color w:val="000000"/>
          <w:sz w:val="24"/>
        </w:rPr>
        <w:t>GnRH agonists for up to one year</w:t>
      </w:r>
      <w:r w:rsidR="00091E6B" w:rsidRPr="0070358C">
        <w:rPr>
          <w:rFonts w:ascii="Cambria" w:eastAsia="Cambria" w:hAnsi="Cambria" w:cs="Cambria"/>
          <w:color w:val="000000"/>
          <w:sz w:val="24"/>
        </w:rPr>
        <w:t xml:space="preserve"> after a full discussion of benefits and risks.</w:t>
      </w:r>
      <w:r w:rsidRPr="0070358C">
        <w:rPr>
          <w:rFonts w:ascii="Cambria" w:eastAsia="Cambria" w:hAnsi="Cambria" w:cs="Cambria"/>
          <w:color w:val="000000"/>
          <w:sz w:val="24"/>
        </w:rPr>
        <w:t xml:space="preserve"> </w:t>
      </w:r>
    </w:p>
    <w:p w14:paraId="2970226C" w14:textId="2F978648" w:rsidR="00502C74" w:rsidRPr="0070358C" w:rsidRDefault="006A658E">
      <w:pPr>
        <w:spacing w:line="275" w:lineRule="auto"/>
        <w:rPr>
          <w:rFonts w:ascii="Cambria" w:eastAsia="Cambria" w:hAnsi="Cambria" w:cs="Cambria"/>
          <w:color w:val="000000"/>
          <w:sz w:val="24"/>
        </w:rPr>
      </w:pPr>
      <w:r w:rsidRPr="0070358C">
        <w:rPr>
          <w:rFonts w:ascii="Cambria" w:eastAsia="Cambria" w:hAnsi="Cambria" w:cs="Cambria"/>
          <w:color w:val="000000"/>
          <w:sz w:val="24"/>
        </w:rPr>
        <w:t xml:space="preserve">Where medical treatment </w:t>
      </w:r>
      <w:r w:rsidR="00897CEE" w:rsidRPr="0070358C">
        <w:rPr>
          <w:rFonts w:ascii="Cambria" w:eastAsia="Cambria" w:hAnsi="Cambria" w:cs="Cambria"/>
          <w:color w:val="000000"/>
          <w:sz w:val="24"/>
        </w:rPr>
        <w:t>has not helped, surgical removal of endometriosis lesions</w:t>
      </w:r>
      <w:r w:rsidR="00F26A01" w:rsidRPr="0070358C">
        <w:rPr>
          <w:rFonts w:ascii="Cambria" w:eastAsia="Cambria" w:hAnsi="Cambria" w:cs="Cambria"/>
          <w:color w:val="000000"/>
          <w:sz w:val="24"/>
        </w:rPr>
        <w:t xml:space="preserve"> by an experienced surgeon</w:t>
      </w:r>
      <w:r w:rsidR="00897CEE" w:rsidRPr="0070358C">
        <w:rPr>
          <w:rFonts w:ascii="Cambria" w:eastAsia="Cambria" w:hAnsi="Cambria" w:cs="Cambria"/>
          <w:color w:val="000000"/>
          <w:sz w:val="24"/>
        </w:rPr>
        <w:t xml:space="preserve"> to manage symptoms is suggested however post-operative hormone treatment may well be needed to </w:t>
      </w:r>
      <w:r w:rsidR="00F26A01" w:rsidRPr="0070358C">
        <w:rPr>
          <w:rFonts w:ascii="Cambria" w:eastAsia="Cambria" w:hAnsi="Cambria" w:cs="Cambria"/>
          <w:color w:val="000000"/>
          <w:sz w:val="24"/>
        </w:rPr>
        <w:t>prevent symptom recurrence.</w:t>
      </w:r>
      <w:r w:rsidR="00F26A01" w:rsidRPr="0070358C">
        <w:rPr>
          <w:rFonts w:ascii="Cambria" w:eastAsia="Cambria" w:hAnsi="Cambria" w:cs="Cambria"/>
          <w:color w:val="000000"/>
          <w:sz w:val="24"/>
          <w:vertAlign w:val="superscript"/>
        </w:rPr>
        <w:t>2</w:t>
      </w:r>
      <w:r w:rsidR="00502C74" w:rsidRPr="0070358C">
        <w:rPr>
          <w:rFonts w:ascii="Cambria" w:eastAsia="Cambria" w:hAnsi="Cambria" w:cs="Cambria"/>
          <w:color w:val="000000"/>
          <w:sz w:val="24"/>
          <w:vertAlign w:val="superscript"/>
        </w:rPr>
        <w:t xml:space="preserve"> </w:t>
      </w:r>
      <w:proofErr w:type="gramStart"/>
      <w:r w:rsidR="00AB3FA9" w:rsidRPr="0070358C">
        <w:rPr>
          <w:rFonts w:ascii="Cambria" w:eastAsia="Cambria" w:hAnsi="Cambria" w:cs="Cambria"/>
          <w:color w:val="000000"/>
          <w:sz w:val="24"/>
        </w:rPr>
        <w:t>Non-pharmacological</w:t>
      </w:r>
      <w:proofErr w:type="gramEnd"/>
      <w:r w:rsidR="00AB3FA9" w:rsidRPr="0070358C">
        <w:rPr>
          <w:rFonts w:ascii="Cambria" w:eastAsia="Cambria" w:hAnsi="Cambria" w:cs="Cambria"/>
          <w:color w:val="000000"/>
          <w:sz w:val="24"/>
        </w:rPr>
        <w:t xml:space="preserve"> interventions such as pelvic physiotherapy</w:t>
      </w:r>
      <w:r w:rsidR="00C90D0C" w:rsidRPr="0070358C">
        <w:rPr>
          <w:rFonts w:ascii="Cambria" w:eastAsia="Cambria" w:hAnsi="Cambria" w:cs="Cambria"/>
          <w:color w:val="000000"/>
          <w:sz w:val="24"/>
        </w:rPr>
        <w:t xml:space="preserve"> and</w:t>
      </w:r>
      <w:r w:rsidR="00AB3FA9" w:rsidRPr="0070358C">
        <w:rPr>
          <w:rFonts w:ascii="Cambria" w:eastAsia="Cambria" w:hAnsi="Cambria" w:cs="Cambria"/>
          <w:color w:val="000000"/>
          <w:sz w:val="24"/>
        </w:rPr>
        <w:t xml:space="preserve"> talking therapies</w:t>
      </w:r>
      <w:r w:rsidR="00C90D0C" w:rsidRPr="0070358C">
        <w:rPr>
          <w:rFonts w:ascii="Cambria" w:eastAsia="Cambria" w:hAnsi="Cambria" w:cs="Cambria"/>
          <w:color w:val="000000"/>
          <w:sz w:val="24"/>
        </w:rPr>
        <w:t xml:space="preserve"> may help reduce </w:t>
      </w:r>
      <w:r w:rsidR="00D1663B" w:rsidRPr="0070358C">
        <w:rPr>
          <w:rFonts w:ascii="Cambria" w:eastAsia="Cambria" w:hAnsi="Cambria" w:cs="Cambria"/>
          <w:color w:val="000000"/>
          <w:sz w:val="24"/>
        </w:rPr>
        <w:t>impact of symptoms although the evidence is weak.</w:t>
      </w:r>
      <w:r w:rsidR="00D1663B" w:rsidRPr="0070358C">
        <w:rPr>
          <w:rFonts w:ascii="Cambria" w:eastAsia="Cambria" w:hAnsi="Cambria" w:cs="Cambria"/>
          <w:color w:val="000000"/>
          <w:sz w:val="24"/>
          <w:vertAlign w:val="superscript"/>
        </w:rPr>
        <w:t>4</w:t>
      </w:r>
      <w:r w:rsidR="00C90D0C" w:rsidRPr="0070358C">
        <w:rPr>
          <w:rFonts w:ascii="Cambria" w:eastAsia="Cambria" w:hAnsi="Cambria" w:cs="Cambria"/>
          <w:color w:val="000000"/>
          <w:sz w:val="24"/>
        </w:rPr>
        <w:t xml:space="preserve"> </w:t>
      </w:r>
    </w:p>
    <w:p w14:paraId="56B8BF24" w14:textId="0AF6643D" w:rsidR="002D1484" w:rsidRPr="0070358C" w:rsidRDefault="003D1906">
      <w:pPr>
        <w:spacing w:line="275" w:lineRule="auto"/>
        <w:rPr>
          <w:rFonts w:ascii="Cambria" w:eastAsia="Cambria" w:hAnsi="Cambria" w:cs="Cambria"/>
          <w:sz w:val="24"/>
        </w:rPr>
      </w:pPr>
      <w:r w:rsidRPr="0070358C">
        <w:rPr>
          <w:rFonts w:ascii="Cambria" w:eastAsia="Cambria" w:hAnsi="Cambria" w:cs="Cambria"/>
          <w:color w:val="000000"/>
          <w:sz w:val="24"/>
        </w:rPr>
        <w:t xml:space="preserve">Below we outline key actions for practitioners </w:t>
      </w:r>
      <w:r w:rsidR="008A5C2B" w:rsidRPr="0070358C">
        <w:rPr>
          <w:rFonts w:ascii="Cambria" w:eastAsia="Cambria" w:hAnsi="Cambria" w:cs="Cambria"/>
          <w:color w:val="000000"/>
          <w:sz w:val="24"/>
        </w:rPr>
        <w:t xml:space="preserve">suspecting endometriosis in a young person </w:t>
      </w:r>
      <w:r w:rsidRPr="0070358C">
        <w:rPr>
          <w:rFonts w:ascii="Cambria" w:eastAsia="Cambria" w:hAnsi="Cambria" w:cs="Cambria"/>
          <w:color w:val="000000"/>
          <w:sz w:val="24"/>
        </w:rPr>
        <w:t xml:space="preserve">in primary care. </w:t>
      </w:r>
    </w:p>
    <w:p w14:paraId="0889A5F8" w14:textId="77777777" w:rsidR="002D1484" w:rsidRPr="0070358C" w:rsidRDefault="003D1906">
      <w:pPr>
        <w:spacing w:line="275" w:lineRule="auto"/>
        <w:rPr>
          <w:rFonts w:ascii="Cambria" w:eastAsia="Cambria" w:hAnsi="Cambria" w:cs="Cambria"/>
          <w:color w:val="000000"/>
          <w:sz w:val="24"/>
          <w:u w:val="single"/>
        </w:rPr>
      </w:pPr>
      <w:r w:rsidRPr="0070358C">
        <w:rPr>
          <w:rFonts w:ascii="Cambria" w:eastAsia="Cambria" w:hAnsi="Cambria" w:cs="Cambria"/>
          <w:color w:val="000000"/>
          <w:sz w:val="24"/>
          <w:u w:val="single"/>
        </w:rPr>
        <w:t>Key actions:</w:t>
      </w:r>
    </w:p>
    <w:p w14:paraId="23B0BF10" w14:textId="7FDE0E8F" w:rsidR="002D1484" w:rsidRPr="0070358C" w:rsidRDefault="003776CF">
      <w:pPr>
        <w:numPr>
          <w:ilvl w:val="0"/>
          <w:numId w:val="1"/>
        </w:numPr>
        <w:spacing w:line="275" w:lineRule="auto"/>
        <w:ind w:left="720" w:hanging="360"/>
        <w:rPr>
          <w:rFonts w:ascii="Cambria" w:eastAsia="Cambria" w:hAnsi="Cambria" w:cs="Cambria"/>
          <w:color w:val="242424"/>
          <w:sz w:val="24"/>
        </w:rPr>
      </w:pPr>
      <w:r w:rsidRPr="0070358C">
        <w:rPr>
          <w:rFonts w:ascii="Cambria" w:eastAsia="Cambria" w:hAnsi="Cambria" w:cs="Cambria"/>
          <w:color w:val="242424"/>
          <w:sz w:val="24"/>
        </w:rPr>
        <w:t xml:space="preserve">To </w:t>
      </w:r>
      <w:r w:rsidR="00142F93" w:rsidRPr="0070358C">
        <w:rPr>
          <w:rFonts w:ascii="Cambria" w:eastAsia="Cambria" w:hAnsi="Cambria" w:cs="Cambria"/>
          <w:color w:val="242424"/>
          <w:sz w:val="24"/>
        </w:rPr>
        <w:t xml:space="preserve">suspect </w:t>
      </w:r>
      <w:r w:rsidR="003D1906" w:rsidRPr="0070358C">
        <w:rPr>
          <w:rFonts w:ascii="Cambria" w:eastAsia="Cambria" w:hAnsi="Cambria" w:cs="Cambria"/>
          <w:color w:val="242424"/>
          <w:sz w:val="24"/>
        </w:rPr>
        <w:t>endometriosis in</w:t>
      </w:r>
      <w:r w:rsidRPr="0070358C">
        <w:rPr>
          <w:rFonts w:ascii="Cambria" w:eastAsia="Cambria" w:hAnsi="Cambria" w:cs="Cambria"/>
          <w:color w:val="242424"/>
          <w:sz w:val="24"/>
        </w:rPr>
        <w:t xml:space="preserve"> a</w:t>
      </w:r>
      <w:r w:rsidR="003D1906" w:rsidRPr="0070358C">
        <w:rPr>
          <w:rFonts w:ascii="Cambria" w:eastAsia="Cambria" w:hAnsi="Cambria" w:cs="Cambria"/>
          <w:color w:val="242424"/>
          <w:sz w:val="24"/>
        </w:rPr>
        <w:t xml:space="preserve"> young pe</w:t>
      </w:r>
      <w:r w:rsidRPr="0070358C">
        <w:rPr>
          <w:rFonts w:ascii="Cambria" w:eastAsia="Cambria" w:hAnsi="Cambria" w:cs="Cambria"/>
          <w:color w:val="242424"/>
          <w:sz w:val="24"/>
        </w:rPr>
        <w:t>rson</w:t>
      </w:r>
      <w:r w:rsidR="003D1906" w:rsidRPr="0070358C">
        <w:rPr>
          <w:rFonts w:ascii="Cambria" w:eastAsia="Cambria" w:hAnsi="Cambria" w:cs="Cambria"/>
          <w:color w:val="242424"/>
          <w:sz w:val="24"/>
        </w:rPr>
        <w:t xml:space="preserve"> after exclusion of other </w:t>
      </w:r>
      <w:r w:rsidR="00797FAE" w:rsidRPr="0070358C">
        <w:rPr>
          <w:rFonts w:ascii="Cambria" w:eastAsia="Cambria" w:hAnsi="Cambria" w:cs="Cambria"/>
          <w:color w:val="242424"/>
          <w:sz w:val="24"/>
        </w:rPr>
        <w:t xml:space="preserve">appropriate </w:t>
      </w:r>
      <w:r w:rsidR="003D1906" w:rsidRPr="0070358C">
        <w:rPr>
          <w:rFonts w:ascii="Cambria" w:eastAsia="Cambria" w:hAnsi="Cambria" w:cs="Cambria"/>
          <w:color w:val="242424"/>
          <w:sz w:val="24"/>
        </w:rPr>
        <w:t>aetiologies</w:t>
      </w:r>
      <w:r w:rsidR="00BA306B" w:rsidRPr="0070358C">
        <w:rPr>
          <w:rFonts w:ascii="Cambria" w:eastAsia="Cambria" w:hAnsi="Cambria" w:cs="Cambria"/>
          <w:color w:val="242424"/>
          <w:sz w:val="24"/>
        </w:rPr>
        <w:t>.</w:t>
      </w:r>
      <w:r w:rsidR="00797FAE" w:rsidRPr="0070358C">
        <w:rPr>
          <w:rFonts w:ascii="Cambria" w:eastAsia="Cambria" w:hAnsi="Cambria" w:cs="Cambria"/>
          <w:color w:val="242424"/>
          <w:sz w:val="24"/>
        </w:rPr>
        <w:t xml:space="preserve"> Endometriosis can occur in young people: make use of</w:t>
      </w:r>
      <w:r w:rsidR="003D1906" w:rsidRPr="0070358C">
        <w:rPr>
          <w:rFonts w:ascii="Cambria" w:eastAsia="Cambria" w:hAnsi="Cambria" w:cs="Cambria"/>
          <w:color w:val="242424"/>
          <w:sz w:val="24"/>
        </w:rPr>
        <w:t xml:space="preserve"> Advice &amp; Guidance</w:t>
      </w:r>
      <w:r w:rsidR="00E93D7B" w:rsidRPr="0070358C">
        <w:rPr>
          <w:rFonts w:ascii="Cambria" w:eastAsia="Cambria" w:hAnsi="Cambria" w:cs="Cambria"/>
          <w:color w:val="242424"/>
          <w:sz w:val="24"/>
        </w:rPr>
        <w:t>/Referral</w:t>
      </w:r>
      <w:r w:rsidR="003D1906" w:rsidRPr="0070358C">
        <w:rPr>
          <w:rFonts w:ascii="Cambria" w:eastAsia="Cambria" w:hAnsi="Cambria" w:cs="Cambria"/>
          <w:color w:val="242424"/>
          <w:sz w:val="24"/>
        </w:rPr>
        <w:t xml:space="preserve"> </w:t>
      </w:r>
      <w:r w:rsidR="00BA306B" w:rsidRPr="0070358C">
        <w:rPr>
          <w:rFonts w:ascii="Cambria" w:eastAsia="Cambria" w:hAnsi="Cambria" w:cs="Cambria"/>
          <w:color w:val="242424"/>
          <w:sz w:val="24"/>
        </w:rPr>
        <w:t>t</w:t>
      </w:r>
      <w:r w:rsidR="009A7B22" w:rsidRPr="0070358C">
        <w:rPr>
          <w:rFonts w:ascii="Cambria" w:eastAsia="Cambria" w:hAnsi="Cambria" w:cs="Cambria"/>
          <w:color w:val="242424"/>
          <w:sz w:val="24"/>
        </w:rPr>
        <w:t>o</w:t>
      </w:r>
      <w:r w:rsidR="003D1906" w:rsidRPr="0070358C">
        <w:rPr>
          <w:rFonts w:ascii="Cambria" w:eastAsia="Cambria" w:hAnsi="Cambria" w:cs="Cambria"/>
          <w:color w:val="242424"/>
          <w:sz w:val="24"/>
        </w:rPr>
        <w:t xml:space="preserve"> gynaecology</w:t>
      </w:r>
      <w:r w:rsidR="00797FAE" w:rsidRPr="0070358C">
        <w:rPr>
          <w:rFonts w:ascii="Cambria" w:eastAsia="Cambria" w:hAnsi="Cambria" w:cs="Cambria"/>
          <w:color w:val="242424"/>
          <w:sz w:val="24"/>
        </w:rPr>
        <w:t xml:space="preserve"> for prompt</w:t>
      </w:r>
      <w:r w:rsidR="003D1906" w:rsidRPr="0070358C">
        <w:rPr>
          <w:rFonts w:ascii="Cambria" w:eastAsia="Cambria" w:hAnsi="Cambria" w:cs="Cambria"/>
          <w:color w:val="242424"/>
          <w:sz w:val="24"/>
        </w:rPr>
        <w:t xml:space="preserve"> person-centred care</w:t>
      </w:r>
      <w:r w:rsidR="00CF3B8B" w:rsidRPr="0070358C">
        <w:rPr>
          <w:rFonts w:ascii="Cambria" w:eastAsia="Cambria" w:hAnsi="Cambria" w:cs="Cambria"/>
          <w:color w:val="242424"/>
          <w:sz w:val="24"/>
        </w:rPr>
        <w:t>.</w:t>
      </w:r>
      <w:r w:rsidR="003D1906" w:rsidRPr="0070358C">
        <w:rPr>
          <w:rFonts w:ascii="Cambria" w:eastAsia="Cambria" w:hAnsi="Cambria" w:cs="Cambria"/>
          <w:color w:val="242424"/>
          <w:sz w:val="24"/>
        </w:rPr>
        <w:t xml:space="preserve"> </w:t>
      </w:r>
    </w:p>
    <w:p w14:paraId="4099D11F" w14:textId="51E9B5F5" w:rsidR="00090BBB" w:rsidRPr="0070358C" w:rsidRDefault="00A17D54">
      <w:pPr>
        <w:numPr>
          <w:ilvl w:val="0"/>
          <w:numId w:val="1"/>
        </w:numPr>
        <w:spacing w:line="275" w:lineRule="auto"/>
        <w:ind w:left="720" w:hanging="360"/>
        <w:rPr>
          <w:rFonts w:ascii="Cambria" w:eastAsia="Cambria" w:hAnsi="Cambria" w:cs="Cambria"/>
          <w:color w:val="242424"/>
          <w:sz w:val="24"/>
        </w:rPr>
      </w:pPr>
      <w:r w:rsidRPr="0070358C">
        <w:rPr>
          <w:rFonts w:ascii="Cambria" w:eastAsia="Cambria" w:hAnsi="Cambria" w:cs="Cambria"/>
          <w:color w:val="242424"/>
          <w:sz w:val="24"/>
        </w:rPr>
        <w:t xml:space="preserve">Ensure to </w:t>
      </w:r>
      <w:r w:rsidR="00112169" w:rsidRPr="0070358C">
        <w:rPr>
          <w:rFonts w:ascii="Cambria" w:eastAsia="Cambria" w:hAnsi="Cambria" w:cs="Cambria"/>
          <w:color w:val="242424"/>
          <w:sz w:val="24"/>
        </w:rPr>
        <w:t>respond compassionately to young people with concerns about endometriosis</w:t>
      </w:r>
      <w:r w:rsidR="00142F93" w:rsidRPr="0070358C">
        <w:rPr>
          <w:rFonts w:ascii="Cambria" w:eastAsia="Cambria" w:hAnsi="Cambria" w:cs="Cambria"/>
          <w:color w:val="242424"/>
          <w:sz w:val="24"/>
        </w:rPr>
        <w:t>, validate pain,</w:t>
      </w:r>
      <w:r w:rsidR="00112169" w:rsidRPr="0070358C">
        <w:rPr>
          <w:rFonts w:ascii="Cambria" w:eastAsia="Cambria" w:hAnsi="Cambria" w:cs="Cambria"/>
          <w:color w:val="242424"/>
          <w:sz w:val="24"/>
        </w:rPr>
        <w:t xml:space="preserve"> and recognise that s</w:t>
      </w:r>
      <w:r w:rsidR="00090BBB" w:rsidRPr="0070358C">
        <w:rPr>
          <w:rFonts w:ascii="Cambria" w:eastAsia="Cambria" w:hAnsi="Cambria" w:cs="Cambria"/>
          <w:color w:val="242424"/>
          <w:sz w:val="24"/>
        </w:rPr>
        <w:t xml:space="preserve">ymptoms </w:t>
      </w:r>
      <w:r w:rsidRPr="0070358C">
        <w:rPr>
          <w:rFonts w:ascii="Cambria" w:eastAsia="Cambria" w:hAnsi="Cambria" w:cs="Cambria"/>
          <w:color w:val="242424"/>
          <w:sz w:val="24"/>
        </w:rPr>
        <w:t>can be cyclical or persistent</w:t>
      </w:r>
      <w:r w:rsidR="000C34F7" w:rsidRPr="0070358C">
        <w:rPr>
          <w:rFonts w:ascii="Cambria" w:eastAsia="Cambria" w:hAnsi="Cambria" w:cs="Cambria"/>
          <w:color w:val="242424"/>
          <w:sz w:val="24"/>
        </w:rPr>
        <w:t>.</w:t>
      </w:r>
      <w:r w:rsidR="00157DE7" w:rsidRPr="0070358C">
        <w:rPr>
          <w:rFonts w:ascii="Cambria" w:eastAsia="Cambria" w:hAnsi="Cambria" w:cs="Cambria"/>
          <w:color w:val="242424"/>
          <w:sz w:val="24"/>
        </w:rPr>
        <w:t xml:space="preserve"> Consider offering aids such as a symptom tracker</w:t>
      </w:r>
    </w:p>
    <w:p w14:paraId="4E9E837B" w14:textId="03C534EC" w:rsidR="002D1484" w:rsidRPr="0070358C" w:rsidRDefault="003D1906">
      <w:pPr>
        <w:numPr>
          <w:ilvl w:val="0"/>
          <w:numId w:val="1"/>
        </w:numPr>
        <w:spacing w:line="275" w:lineRule="auto"/>
        <w:ind w:left="720" w:hanging="360"/>
        <w:rPr>
          <w:rFonts w:ascii="Cambria" w:eastAsia="Cambria" w:hAnsi="Cambria" w:cs="Cambria"/>
          <w:color w:val="242424"/>
          <w:sz w:val="24"/>
        </w:rPr>
      </w:pPr>
      <w:r w:rsidRPr="0070358C">
        <w:rPr>
          <w:rFonts w:ascii="Cambria" w:eastAsia="Cambria" w:hAnsi="Cambria" w:cs="Cambria"/>
          <w:color w:val="242424"/>
          <w:sz w:val="24"/>
        </w:rPr>
        <w:t>Treat the young person and not the disease: check expectations on function in education or work, relationships, timing, and preparation for starting a family. Use digital communication systems to share patient information from recognised sources such as Endometriosis.org</w:t>
      </w:r>
    </w:p>
    <w:p w14:paraId="492BFBF2" w14:textId="303C9315" w:rsidR="00E52683" w:rsidRPr="0070358C" w:rsidRDefault="00E52683">
      <w:pPr>
        <w:numPr>
          <w:ilvl w:val="0"/>
          <w:numId w:val="1"/>
        </w:numPr>
        <w:spacing w:line="275" w:lineRule="auto"/>
        <w:ind w:left="720" w:hanging="360"/>
        <w:rPr>
          <w:rFonts w:ascii="Cambria" w:eastAsia="Cambria" w:hAnsi="Cambria" w:cs="Cambria"/>
          <w:sz w:val="24"/>
        </w:rPr>
      </w:pPr>
      <w:r w:rsidRPr="0070358C">
        <w:rPr>
          <w:rFonts w:ascii="Cambria" w:eastAsia="Arial" w:hAnsi="Cambria" w:cs="Arial"/>
          <w:kern w:val="0"/>
          <w:sz w:val="24"/>
          <w:szCs w:val="24"/>
          <w:lang w:val="en"/>
          <w14:ligatures w14:val="none"/>
        </w:rPr>
        <w:t xml:space="preserve">Prescribers should have a “can </w:t>
      </w:r>
      <w:proofErr w:type="gramStart"/>
      <w:r w:rsidRPr="0070358C">
        <w:rPr>
          <w:rFonts w:ascii="Cambria" w:eastAsia="Arial" w:hAnsi="Cambria" w:cs="Arial"/>
          <w:kern w:val="0"/>
          <w:sz w:val="24"/>
          <w:szCs w:val="24"/>
          <w:lang w:val="en"/>
          <w14:ligatures w14:val="none"/>
        </w:rPr>
        <w:t>do“</w:t>
      </w:r>
      <w:r w:rsidR="00092E0B" w:rsidRPr="0070358C">
        <w:rPr>
          <w:rFonts w:ascii="Cambria" w:eastAsia="Arial" w:hAnsi="Cambria" w:cs="Arial"/>
          <w:kern w:val="0"/>
          <w:sz w:val="24"/>
          <w:szCs w:val="24"/>
          <w:lang w:val="en"/>
          <w14:ligatures w14:val="none"/>
        </w:rPr>
        <w:t xml:space="preserve"> </w:t>
      </w:r>
      <w:r w:rsidRPr="0070358C">
        <w:rPr>
          <w:rFonts w:ascii="Cambria" w:eastAsia="Arial" w:hAnsi="Cambria" w:cs="Arial"/>
          <w:kern w:val="0"/>
          <w:sz w:val="24"/>
          <w:szCs w:val="24"/>
          <w:lang w:val="en"/>
          <w14:ligatures w14:val="none"/>
        </w:rPr>
        <w:t>attitude</w:t>
      </w:r>
      <w:proofErr w:type="gramEnd"/>
      <w:r w:rsidRPr="0070358C">
        <w:rPr>
          <w:rFonts w:ascii="Cambria" w:eastAsia="Arial" w:hAnsi="Cambria" w:cs="Arial"/>
          <w:kern w:val="0"/>
          <w:sz w:val="24"/>
          <w:szCs w:val="24"/>
          <w:lang w:val="en"/>
          <w14:ligatures w14:val="none"/>
        </w:rPr>
        <w:t xml:space="preserve"> in initiating hormonal therapies with patient advice and support. These treatments can </w:t>
      </w:r>
      <w:r w:rsidR="00092E0B" w:rsidRPr="0070358C">
        <w:rPr>
          <w:rFonts w:ascii="Cambria" w:eastAsia="Arial" w:hAnsi="Cambria" w:cs="Arial"/>
          <w:kern w:val="0"/>
          <w:sz w:val="24"/>
          <w:szCs w:val="24"/>
          <w:lang w:val="en"/>
          <w14:ligatures w14:val="none"/>
        </w:rPr>
        <w:t>improve symptoms and allow the young person</w:t>
      </w:r>
      <w:r w:rsidRPr="0070358C">
        <w:rPr>
          <w:rFonts w:ascii="Cambria" w:eastAsia="Arial" w:hAnsi="Cambria" w:cs="Arial"/>
          <w:kern w:val="0"/>
          <w:sz w:val="24"/>
          <w:szCs w:val="24"/>
          <w:lang w:val="en"/>
          <w14:ligatures w14:val="none"/>
        </w:rPr>
        <w:t xml:space="preserve"> to function at work and education</w:t>
      </w:r>
      <w:r w:rsidR="00AC4A08" w:rsidRPr="0070358C">
        <w:rPr>
          <w:rFonts w:ascii="Cambria" w:eastAsia="Arial" w:hAnsi="Cambria" w:cs="Arial"/>
          <w:kern w:val="0"/>
          <w:sz w:val="24"/>
          <w:szCs w:val="24"/>
          <w:lang w:val="en"/>
          <w14:ligatures w14:val="none"/>
        </w:rPr>
        <w:t xml:space="preserve">. </w:t>
      </w:r>
    </w:p>
    <w:p w14:paraId="3226E824" w14:textId="3FE2301C" w:rsidR="002D1484" w:rsidRPr="0070358C" w:rsidRDefault="003D1906">
      <w:pPr>
        <w:numPr>
          <w:ilvl w:val="0"/>
          <w:numId w:val="1"/>
        </w:numPr>
        <w:spacing w:line="275" w:lineRule="auto"/>
        <w:ind w:left="720" w:hanging="360"/>
        <w:rPr>
          <w:rFonts w:ascii="Cambria" w:eastAsia="Cambria" w:hAnsi="Cambria" w:cs="Cambria"/>
          <w:color w:val="242424"/>
          <w:sz w:val="24"/>
        </w:rPr>
      </w:pPr>
      <w:r w:rsidRPr="0070358C">
        <w:rPr>
          <w:rFonts w:ascii="Cambria" w:eastAsia="Cambria" w:hAnsi="Cambria" w:cs="Cambria"/>
          <w:color w:val="242424"/>
          <w:sz w:val="24"/>
        </w:rPr>
        <w:t xml:space="preserve">Ensure that people with </w:t>
      </w:r>
      <w:r w:rsidR="00CF3B8B" w:rsidRPr="0070358C">
        <w:rPr>
          <w:rFonts w:ascii="Cambria" w:eastAsia="Cambria" w:hAnsi="Cambria" w:cs="Cambria"/>
          <w:color w:val="242424"/>
          <w:sz w:val="24"/>
        </w:rPr>
        <w:t>confirmed diagnosed</w:t>
      </w:r>
      <w:r w:rsidR="00F27C00" w:rsidRPr="0070358C">
        <w:rPr>
          <w:rFonts w:ascii="Cambria" w:eastAsia="Cambria" w:hAnsi="Cambria" w:cs="Cambria"/>
          <w:color w:val="242424"/>
          <w:sz w:val="24"/>
        </w:rPr>
        <w:t xml:space="preserve"> </w:t>
      </w:r>
      <w:r w:rsidRPr="0070358C">
        <w:rPr>
          <w:rFonts w:ascii="Cambria" w:eastAsia="Cambria" w:hAnsi="Cambria" w:cs="Cambria"/>
          <w:color w:val="242424"/>
          <w:sz w:val="24"/>
        </w:rPr>
        <w:t xml:space="preserve">endometriosis have clear explanations of the condition and access to specialists for long-term symptom </w:t>
      </w:r>
      <w:r w:rsidRPr="0070358C">
        <w:rPr>
          <w:rFonts w:ascii="Cambria" w:eastAsia="Cambria" w:hAnsi="Cambria" w:cs="Cambria"/>
          <w:color w:val="242424"/>
          <w:sz w:val="24"/>
        </w:rPr>
        <w:lastRenderedPageBreak/>
        <w:t>control</w:t>
      </w:r>
      <w:r w:rsidR="00AF7D48" w:rsidRPr="0070358C">
        <w:rPr>
          <w:rFonts w:ascii="Cambria" w:eastAsia="Cambria" w:hAnsi="Cambria" w:cs="Cambria"/>
          <w:color w:val="242424"/>
          <w:sz w:val="24"/>
        </w:rPr>
        <w:t xml:space="preserve"> </w:t>
      </w:r>
      <w:r w:rsidR="00CF3B8B" w:rsidRPr="0070358C">
        <w:rPr>
          <w:rFonts w:ascii="Cambria" w:eastAsia="Cambria" w:hAnsi="Cambria" w:cs="Cambria"/>
          <w:color w:val="242424"/>
          <w:sz w:val="24"/>
        </w:rPr>
        <w:t xml:space="preserve">and </w:t>
      </w:r>
      <w:r w:rsidR="00D057E7" w:rsidRPr="0070358C">
        <w:rPr>
          <w:rFonts w:ascii="Cambria" w:eastAsia="Cambria" w:hAnsi="Cambria" w:cs="Cambria"/>
          <w:color w:val="242424"/>
          <w:sz w:val="24"/>
        </w:rPr>
        <w:t xml:space="preserve">discussions around </w:t>
      </w:r>
      <w:r w:rsidRPr="0070358C">
        <w:rPr>
          <w:rFonts w:ascii="Cambria" w:eastAsia="Cambria" w:hAnsi="Cambria" w:cs="Cambria"/>
          <w:color w:val="242424"/>
          <w:sz w:val="24"/>
        </w:rPr>
        <w:t>conception, ART</w:t>
      </w:r>
      <w:r w:rsidR="00AF7D48" w:rsidRPr="0070358C">
        <w:rPr>
          <w:rFonts w:ascii="Cambria" w:eastAsia="Cambria" w:hAnsi="Cambria" w:cs="Cambria"/>
          <w:color w:val="242424"/>
          <w:sz w:val="24"/>
        </w:rPr>
        <w:t>,</w:t>
      </w:r>
      <w:r w:rsidRPr="0070358C">
        <w:rPr>
          <w:rFonts w:ascii="Cambria" w:eastAsia="Cambria" w:hAnsi="Cambria" w:cs="Cambria"/>
          <w:color w:val="242424"/>
          <w:sz w:val="24"/>
        </w:rPr>
        <w:t xml:space="preserve"> and </w:t>
      </w:r>
      <w:r w:rsidR="00D057E7" w:rsidRPr="0070358C">
        <w:rPr>
          <w:rFonts w:ascii="Cambria" w:eastAsia="Cambria" w:hAnsi="Cambria" w:cs="Cambria"/>
          <w:color w:val="242424"/>
          <w:sz w:val="24"/>
        </w:rPr>
        <w:t xml:space="preserve">the potential </w:t>
      </w:r>
      <w:r w:rsidRPr="0070358C">
        <w:rPr>
          <w:rFonts w:ascii="Cambria" w:eastAsia="Cambria" w:hAnsi="Cambria" w:cs="Cambria"/>
          <w:color w:val="242424"/>
          <w:sz w:val="24"/>
        </w:rPr>
        <w:t>risk of obstetric complications</w:t>
      </w:r>
      <w:r w:rsidR="00D057E7" w:rsidRPr="0070358C">
        <w:rPr>
          <w:rFonts w:ascii="Cambria" w:eastAsia="Cambria" w:hAnsi="Cambria" w:cs="Cambria"/>
          <w:color w:val="242424"/>
          <w:sz w:val="24"/>
        </w:rPr>
        <w:t>.</w:t>
      </w:r>
      <w:r w:rsidRPr="0070358C">
        <w:rPr>
          <w:rFonts w:ascii="Cambria" w:eastAsia="Cambria" w:hAnsi="Cambria" w:cs="Cambria"/>
          <w:color w:val="242424"/>
          <w:sz w:val="24"/>
        </w:rPr>
        <w:t xml:space="preserve"> </w:t>
      </w:r>
    </w:p>
    <w:p w14:paraId="19A47A7B" w14:textId="1740D34B" w:rsidR="002D1484" w:rsidRPr="0070358C" w:rsidRDefault="003D1906">
      <w:pPr>
        <w:numPr>
          <w:ilvl w:val="0"/>
          <w:numId w:val="1"/>
        </w:numPr>
        <w:spacing w:line="275" w:lineRule="auto"/>
        <w:ind w:left="720" w:hanging="360"/>
        <w:rPr>
          <w:rFonts w:ascii="Cambria" w:eastAsia="Cambria" w:hAnsi="Cambria" w:cs="Cambria"/>
          <w:color w:val="242424"/>
          <w:sz w:val="24"/>
        </w:rPr>
      </w:pPr>
      <w:r w:rsidRPr="0070358C">
        <w:rPr>
          <w:rFonts w:ascii="Cambria" w:eastAsia="Cambria" w:hAnsi="Cambria" w:cs="Cambria"/>
          <w:color w:val="242424"/>
          <w:sz w:val="24"/>
        </w:rPr>
        <w:t>Encourage young people to use Patient Initiated Follow-Up for accessing gynaecological services during exacerbations. Primary care can offer initial clinical assessment and examination to support the PIFU discussion by responding to specific queries from gynaecology specialist</w:t>
      </w:r>
      <w:r w:rsidR="00D057E7" w:rsidRPr="0070358C">
        <w:rPr>
          <w:rFonts w:ascii="Cambria" w:eastAsia="Cambria" w:hAnsi="Cambria" w:cs="Cambria"/>
          <w:color w:val="242424"/>
          <w:sz w:val="24"/>
        </w:rPr>
        <w:t>s</w:t>
      </w:r>
      <w:r w:rsidRPr="0070358C">
        <w:rPr>
          <w:rFonts w:ascii="Cambria" w:eastAsia="Cambria" w:hAnsi="Cambria" w:cs="Cambria"/>
          <w:color w:val="242424"/>
          <w:sz w:val="24"/>
        </w:rPr>
        <w:t>.</w:t>
      </w:r>
    </w:p>
    <w:p w14:paraId="2E4A5089" w14:textId="77777777" w:rsidR="002D1484" w:rsidRPr="0070358C" w:rsidRDefault="003D1906">
      <w:pPr>
        <w:spacing w:line="275" w:lineRule="auto"/>
        <w:rPr>
          <w:rFonts w:ascii="Cambria" w:eastAsia="Cambria" w:hAnsi="Cambria" w:cs="Cambria"/>
          <w:color w:val="242424"/>
          <w:sz w:val="24"/>
          <w:u w:val="single"/>
        </w:rPr>
      </w:pPr>
      <w:r w:rsidRPr="0070358C">
        <w:rPr>
          <w:rFonts w:ascii="Cambria" w:eastAsia="Cambria" w:hAnsi="Cambria" w:cs="Cambria"/>
          <w:color w:val="242424"/>
          <w:sz w:val="24"/>
          <w:u w:val="single"/>
        </w:rPr>
        <w:t>Conclusion:</w:t>
      </w:r>
    </w:p>
    <w:p w14:paraId="064F3189" w14:textId="77777777" w:rsidR="00651146" w:rsidRPr="0070358C" w:rsidRDefault="003D1906">
      <w:pPr>
        <w:spacing w:line="275" w:lineRule="auto"/>
        <w:rPr>
          <w:rFonts w:ascii="Cambria" w:eastAsia="Cambria" w:hAnsi="Cambria" w:cs="Cambria"/>
          <w:color w:val="242424"/>
          <w:sz w:val="24"/>
        </w:rPr>
      </w:pPr>
      <w:r w:rsidRPr="0070358C">
        <w:rPr>
          <w:rFonts w:ascii="Cambria" w:eastAsia="Cambria" w:hAnsi="Cambria" w:cs="Cambria"/>
          <w:color w:val="242424"/>
          <w:sz w:val="24"/>
        </w:rPr>
        <w:t xml:space="preserve">Clinically, endometriosis is an enigmatic condition with sequelae that range from minor discomfort to a frozen pelvis and lifelong pain. Updated NICE guidance is expected in December 2023 and </w:t>
      </w:r>
      <w:r w:rsidR="002A7C1E" w:rsidRPr="0070358C">
        <w:rPr>
          <w:rFonts w:ascii="Cambria" w:eastAsia="Cambria" w:hAnsi="Cambria" w:cs="Cambria"/>
          <w:color w:val="242424"/>
          <w:sz w:val="24"/>
        </w:rPr>
        <w:t>will</w:t>
      </w:r>
      <w:r w:rsidRPr="0070358C">
        <w:rPr>
          <w:rFonts w:ascii="Cambria" w:eastAsia="Cambria" w:hAnsi="Cambria" w:cs="Cambria"/>
          <w:color w:val="242424"/>
          <w:sz w:val="24"/>
        </w:rPr>
        <w:t xml:space="preserve"> be welcomed to </w:t>
      </w:r>
      <w:r w:rsidR="00B01E31" w:rsidRPr="0070358C">
        <w:rPr>
          <w:rFonts w:ascii="Cambria" w:eastAsia="Cambria" w:hAnsi="Cambria" w:cs="Cambria"/>
          <w:color w:val="242424"/>
          <w:sz w:val="24"/>
        </w:rPr>
        <w:t>provide</w:t>
      </w:r>
      <w:r w:rsidRPr="0070358C">
        <w:rPr>
          <w:rFonts w:ascii="Cambria" w:eastAsia="Cambria" w:hAnsi="Cambria" w:cs="Cambria"/>
          <w:color w:val="242424"/>
          <w:sz w:val="24"/>
        </w:rPr>
        <w:t xml:space="preserve"> clearer direction as more is being understood about this condition. Primary care initiated hormonal contraception can be beneficial for young people</w:t>
      </w:r>
      <w:r w:rsidR="00651146" w:rsidRPr="0070358C">
        <w:rPr>
          <w:rFonts w:ascii="Cambria" w:eastAsia="Cambria" w:hAnsi="Cambria" w:cs="Cambria"/>
          <w:color w:val="242424"/>
          <w:sz w:val="24"/>
        </w:rPr>
        <w:t xml:space="preserve"> with suspected endometriosis</w:t>
      </w:r>
      <w:r w:rsidRPr="0070358C">
        <w:rPr>
          <w:rFonts w:ascii="Cambria" w:eastAsia="Cambria" w:hAnsi="Cambria" w:cs="Cambria"/>
          <w:color w:val="242424"/>
          <w:sz w:val="24"/>
        </w:rPr>
        <w:t xml:space="preserve"> as it downregulates endometrial activity and </w:t>
      </w:r>
      <w:r w:rsidR="00837240" w:rsidRPr="0070358C">
        <w:rPr>
          <w:rFonts w:ascii="Cambria" w:eastAsia="Cambria" w:hAnsi="Cambria" w:cs="Cambria"/>
          <w:color w:val="242424"/>
          <w:sz w:val="24"/>
        </w:rPr>
        <w:t xml:space="preserve">may </w:t>
      </w:r>
      <w:r w:rsidRPr="0070358C">
        <w:rPr>
          <w:rFonts w:ascii="Cambria" w:eastAsia="Cambria" w:hAnsi="Cambria" w:cs="Cambria"/>
          <w:color w:val="242424"/>
          <w:sz w:val="24"/>
        </w:rPr>
        <w:t>ameliorate pain</w:t>
      </w:r>
      <w:r w:rsidR="00651146" w:rsidRPr="0070358C">
        <w:rPr>
          <w:rFonts w:ascii="Cambria" w:eastAsia="Cambria" w:hAnsi="Cambria" w:cs="Cambria"/>
          <w:color w:val="242424"/>
          <w:sz w:val="24"/>
        </w:rPr>
        <w:t>; but this should not prevent a referral for confirmation</w:t>
      </w:r>
      <w:r w:rsidRPr="0070358C">
        <w:rPr>
          <w:rFonts w:ascii="Cambria" w:eastAsia="Cambria" w:hAnsi="Cambria" w:cs="Cambria"/>
          <w:color w:val="242424"/>
          <w:sz w:val="24"/>
        </w:rPr>
        <w:t xml:space="preserve">. </w:t>
      </w:r>
    </w:p>
    <w:p w14:paraId="50835A4D" w14:textId="468F23E1" w:rsidR="002D1484" w:rsidRPr="00837240" w:rsidRDefault="003D1906">
      <w:pPr>
        <w:spacing w:line="275" w:lineRule="auto"/>
        <w:rPr>
          <w:rFonts w:ascii="Cambria" w:eastAsia="Cambria" w:hAnsi="Cambria" w:cs="Cambria"/>
          <w:color w:val="242424"/>
          <w:sz w:val="24"/>
        </w:rPr>
      </w:pPr>
      <w:r w:rsidRPr="0070358C">
        <w:rPr>
          <w:rFonts w:ascii="Cambria" w:eastAsia="Cambria" w:hAnsi="Cambria" w:cs="Cambria"/>
          <w:color w:val="242424"/>
          <w:sz w:val="24"/>
        </w:rPr>
        <w:t>It is important families are involved w</w:t>
      </w:r>
      <w:r w:rsidR="00651146" w:rsidRPr="0070358C">
        <w:rPr>
          <w:rFonts w:ascii="Cambria" w:eastAsia="Cambria" w:hAnsi="Cambria" w:cs="Cambria"/>
          <w:color w:val="242424"/>
          <w:sz w:val="24"/>
        </w:rPr>
        <w:t>here</w:t>
      </w:r>
      <w:r w:rsidRPr="0070358C">
        <w:rPr>
          <w:rFonts w:ascii="Cambria" w:eastAsia="Cambria" w:hAnsi="Cambria" w:cs="Cambria"/>
          <w:color w:val="242424"/>
          <w:sz w:val="24"/>
        </w:rPr>
        <w:t xml:space="preserve"> consent</w:t>
      </w:r>
      <w:r w:rsidR="00651146" w:rsidRPr="0070358C">
        <w:rPr>
          <w:rFonts w:ascii="Cambria" w:eastAsia="Cambria" w:hAnsi="Cambria" w:cs="Cambria"/>
          <w:color w:val="242424"/>
          <w:sz w:val="24"/>
        </w:rPr>
        <w:t xml:space="preserve"> is gained</w:t>
      </w:r>
      <w:r w:rsidRPr="0070358C">
        <w:rPr>
          <w:rFonts w:ascii="Cambria" w:eastAsia="Cambria" w:hAnsi="Cambria" w:cs="Cambria"/>
          <w:color w:val="242424"/>
          <w:sz w:val="24"/>
        </w:rPr>
        <w:t>.</w:t>
      </w:r>
      <w:r w:rsidR="00837240" w:rsidRPr="0070358C">
        <w:rPr>
          <w:rFonts w:ascii="Cambria" w:eastAsia="Cambria" w:hAnsi="Cambria" w:cs="Cambria"/>
          <w:color w:val="242424"/>
          <w:sz w:val="24"/>
        </w:rPr>
        <w:t xml:space="preserve"> </w:t>
      </w:r>
      <w:r w:rsidRPr="0070358C">
        <w:rPr>
          <w:rFonts w:ascii="Cambria" w:eastAsia="Cambria" w:hAnsi="Cambria" w:cs="Cambria"/>
          <w:color w:val="242424"/>
          <w:sz w:val="24"/>
        </w:rPr>
        <w:t>A holistic approach is imperative in guiding and supporting the individual and family in the assessment and treatment of possible endometriosis.</w:t>
      </w:r>
    </w:p>
    <w:p w14:paraId="27188F7A" w14:textId="77777777" w:rsidR="00837240" w:rsidRDefault="00837240">
      <w:pPr>
        <w:spacing w:line="275" w:lineRule="auto"/>
        <w:rPr>
          <w:rFonts w:ascii="Cambria" w:eastAsia="Cambria" w:hAnsi="Cambria" w:cs="Cambria"/>
          <w:color w:val="333333"/>
          <w:sz w:val="24"/>
        </w:rPr>
      </w:pPr>
    </w:p>
    <w:p w14:paraId="3582C7E2" w14:textId="77777777" w:rsidR="001A1F2D" w:rsidRDefault="001A1F2D">
      <w:pPr>
        <w:spacing w:line="275" w:lineRule="auto"/>
        <w:rPr>
          <w:rFonts w:ascii="Cambria" w:eastAsia="Cambria" w:hAnsi="Cambria" w:cs="Cambria"/>
          <w:b/>
          <w:color w:val="000000"/>
          <w:sz w:val="24"/>
          <w:u w:val="single"/>
        </w:rPr>
      </w:pPr>
    </w:p>
    <w:p w14:paraId="6FBC7975" w14:textId="77777777" w:rsidR="001A1F2D" w:rsidRDefault="001A1F2D">
      <w:pPr>
        <w:spacing w:line="275" w:lineRule="auto"/>
        <w:rPr>
          <w:rFonts w:ascii="Cambria" w:eastAsia="Cambria" w:hAnsi="Cambria" w:cs="Cambria"/>
          <w:b/>
          <w:color w:val="000000"/>
          <w:sz w:val="24"/>
          <w:u w:val="single"/>
        </w:rPr>
      </w:pPr>
    </w:p>
    <w:p w14:paraId="2515969F" w14:textId="77777777" w:rsidR="001A1F2D" w:rsidRDefault="001A1F2D">
      <w:pPr>
        <w:spacing w:line="275" w:lineRule="auto"/>
        <w:rPr>
          <w:rFonts w:ascii="Cambria" w:eastAsia="Cambria" w:hAnsi="Cambria" w:cs="Cambria"/>
          <w:b/>
          <w:color w:val="000000"/>
          <w:sz w:val="24"/>
          <w:u w:val="single"/>
        </w:rPr>
      </w:pPr>
    </w:p>
    <w:p w14:paraId="6087E81B" w14:textId="77777777" w:rsidR="001A1F2D" w:rsidRDefault="001A1F2D">
      <w:pPr>
        <w:spacing w:line="275" w:lineRule="auto"/>
        <w:rPr>
          <w:rFonts w:ascii="Cambria" w:eastAsia="Cambria" w:hAnsi="Cambria" w:cs="Cambria"/>
          <w:b/>
          <w:color w:val="000000"/>
          <w:sz w:val="24"/>
          <w:u w:val="single"/>
        </w:rPr>
      </w:pPr>
    </w:p>
    <w:p w14:paraId="305FF022" w14:textId="77777777" w:rsidR="001A1F2D" w:rsidRDefault="001A1F2D">
      <w:pPr>
        <w:spacing w:line="275" w:lineRule="auto"/>
        <w:rPr>
          <w:rFonts w:ascii="Cambria" w:eastAsia="Cambria" w:hAnsi="Cambria" w:cs="Cambria"/>
          <w:b/>
          <w:color w:val="000000"/>
          <w:sz w:val="24"/>
          <w:u w:val="single"/>
        </w:rPr>
      </w:pPr>
    </w:p>
    <w:p w14:paraId="7AAC5C19" w14:textId="77777777" w:rsidR="001A1F2D" w:rsidRDefault="001A1F2D">
      <w:pPr>
        <w:spacing w:line="275" w:lineRule="auto"/>
        <w:rPr>
          <w:rFonts w:ascii="Cambria" w:eastAsia="Cambria" w:hAnsi="Cambria" w:cs="Cambria"/>
          <w:b/>
          <w:color w:val="000000"/>
          <w:sz w:val="24"/>
          <w:u w:val="single"/>
        </w:rPr>
      </w:pPr>
    </w:p>
    <w:p w14:paraId="2103EA10" w14:textId="77777777" w:rsidR="001A1F2D" w:rsidRDefault="001A1F2D">
      <w:pPr>
        <w:spacing w:line="275" w:lineRule="auto"/>
        <w:rPr>
          <w:rFonts w:ascii="Cambria" w:eastAsia="Cambria" w:hAnsi="Cambria" w:cs="Cambria"/>
          <w:b/>
          <w:color w:val="000000"/>
          <w:sz w:val="24"/>
          <w:u w:val="single"/>
        </w:rPr>
      </w:pPr>
    </w:p>
    <w:p w14:paraId="15D93822" w14:textId="77777777" w:rsidR="001A1F2D" w:rsidRDefault="001A1F2D">
      <w:pPr>
        <w:spacing w:line="275" w:lineRule="auto"/>
        <w:rPr>
          <w:rFonts w:ascii="Cambria" w:eastAsia="Cambria" w:hAnsi="Cambria" w:cs="Cambria"/>
          <w:b/>
          <w:color w:val="000000"/>
          <w:sz w:val="24"/>
          <w:u w:val="single"/>
        </w:rPr>
      </w:pPr>
    </w:p>
    <w:p w14:paraId="6200B551" w14:textId="77777777" w:rsidR="001A1F2D" w:rsidRDefault="001A1F2D">
      <w:pPr>
        <w:spacing w:line="275" w:lineRule="auto"/>
        <w:rPr>
          <w:rFonts w:ascii="Cambria" w:eastAsia="Cambria" w:hAnsi="Cambria" w:cs="Cambria"/>
          <w:b/>
          <w:color w:val="000000"/>
          <w:sz w:val="24"/>
          <w:u w:val="single"/>
        </w:rPr>
      </w:pPr>
    </w:p>
    <w:p w14:paraId="2DC812C7" w14:textId="77777777" w:rsidR="001A1F2D" w:rsidRDefault="001A1F2D">
      <w:pPr>
        <w:spacing w:line="275" w:lineRule="auto"/>
        <w:rPr>
          <w:rFonts w:ascii="Cambria" w:eastAsia="Cambria" w:hAnsi="Cambria" w:cs="Cambria"/>
          <w:b/>
          <w:color w:val="000000"/>
          <w:sz w:val="24"/>
          <w:u w:val="single"/>
        </w:rPr>
      </w:pPr>
    </w:p>
    <w:p w14:paraId="64C264CA" w14:textId="77777777" w:rsidR="001A1F2D" w:rsidRDefault="001A1F2D">
      <w:pPr>
        <w:spacing w:line="275" w:lineRule="auto"/>
        <w:rPr>
          <w:rFonts w:ascii="Cambria" w:eastAsia="Cambria" w:hAnsi="Cambria" w:cs="Cambria"/>
          <w:b/>
          <w:color w:val="000000"/>
          <w:sz w:val="24"/>
          <w:u w:val="single"/>
        </w:rPr>
      </w:pPr>
    </w:p>
    <w:p w14:paraId="1E8E8F35" w14:textId="77777777" w:rsidR="001A1F2D" w:rsidRDefault="001A1F2D">
      <w:pPr>
        <w:spacing w:line="275" w:lineRule="auto"/>
        <w:rPr>
          <w:rFonts w:ascii="Cambria" w:eastAsia="Cambria" w:hAnsi="Cambria" w:cs="Cambria"/>
          <w:b/>
          <w:color w:val="000000"/>
          <w:sz w:val="24"/>
          <w:u w:val="single"/>
        </w:rPr>
      </w:pPr>
    </w:p>
    <w:p w14:paraId="71D4E358" w14:textId="77777777" w:rsidR="001A1F2D" w:rsidRDefault="001A1F2D">
      <w:pPr>
        <w:spacing w:line="275" w:lineRule="auto"/>
        <w:rPr>
          <w:rFonts w:ascii="Cambria" w:eastAsia="Cambria" w:hAnsi="Cambria" w:cs="Cambria"/>
          <w:b/>
          <w:color w:val="000000"/>
          <w:sz w:val="24"/>
          <w:u w:val="single"/>
        </w:rPr>
      </w:pPr>
    </w:p>
    <w:p w14:paraId="3B804241" w14:textId="77777777" w:rsidR="001A1F2D" w:rsidRDefault="001A1F2D">
      <w:pPr>
        <w:spacing w:line="275" w:lineRule="auto"/>
        <w:rPr>
          <w:rFonts w:ascii="Cambria" w:eastAsia="Cambria" w:hAnsi="Cambria" w:cs="Cambria"/>
          <w:b/>
          <w:color w:val="000000"/>
          <w:sz w:val="24"/>
          <w:u w:val="single"/>
        </w:rPr>
      </w:pPr>
    </w:p>
    <w:p w14:paraId="731101F9" w14:textId="77777777" w:rsidR="001A1F2D" w:rsidRDefault="001A1F2D">
      <w:pPr>
        <w:spacing w:line="275" w:lineRule="auto"/>
        <w:rPr>
          <w:rFonts w:ascii="Cambria" w:eastAsia="Cambria" w:hAnsi="Cambria" w:cs="Cambria"/>
          <w:b/>
          <w:color w:val="000000"/>
          <w:sz w:val="24"/>
          <w:u w:val="single"/>
        </w:rPr>
      </w:pPr>
    </w:p>
    <w:p w14:paraId="1921E10B" w14:textId="77777777" w:rsidR="001A1F2D" w:rsidRDefault="001A1F2D">
      <w:pPr>
        <w:spacing w:line="275" w:lineRule="auto"/>
        <w:rPr>
          <w:rFonts w:ascii="Cambria" w:eastAsia="Cambria" w:hAnsi="Cambria" w:cs="Cambria"/>
          <w:b/>
          <w:color w:val="000000"/>
          <w:sz w:val="24"/>
          <w:u w:val="single"/>
        </w:rPr>
      </w:pPr>
    </w:p>
    <w:p w14:paraId="30E8531C" w14:textId="77777777" w:rsidR="001A1F2D" w:rsidRDefault="001A1F2D">
      <w:pPr>
        <w:spacing w:line="275" w:lineRule="auto"/>
        <w:rPr>
          <w:rFonts w:ascii="Cambria" w:eastAsia="Cambria" w:hAnsi="Cambria" w:cs="Cambria"/>
          <w:b/>
          <w:color w:val="000000"/>
          <w:sz w:val="24"/>
          <w:u w:val="single"/>
        </w:rPr>
      </w:pPr>
    </w:p>
    <w:p w14:paraId="4EA023D1" w14:textId="77777777" w:rsidR="001A1F2D" w:rsidRDefault="001A1F2D">
      <w:pPr>
        <w:spacing w:line="275" w:lineRule="auto"/>
        <w:rPr>
          <w:rFonts w:ascii="Cambria" w:eastAsia="Cambria" w:hAnsi="Cambria" w:cs="Cambria"/>
          <w:b/>
          <w:color w:val="000000"/>
          <w:sz w:val="24"/>
          <w:u w:val="single"/>
        </w:rPr>
      </w:pPr>
    </w:p>
    <w:p w14:paraId="1AFC4CF2" w14:textId="77777777" w:rsidR="001A1F2D" w:rsidRDefault="001A1F2D">
      <w:pPr>
        <w:spacing w:line="275" w:lineRule="auto"/>
        <w:rPr>
          <w:rFonts w:ascii="Cambria" w:eastAsia="Cambria" w:hAnsi="Cambria" w:cs="Cambria"/>
          <w:b/>
          <w:color w:val="000000"/>
          <w:sz w:val="24"/>
          <w:u w:val="single"/>
        </w:rPr>
      </w:pPr>
    </w:p>
    <w:p w14:paraId="6CD985EC" w14:textId="77777777" w:rsidR="001A1F2D" w:rsidRDefault="001A1F2D">
      <w:pPr>
        <w:spacing w:line="275" w:lineRule="auto"/>
        <w:rPr>
          <w:rFonts w:ascii="Cambria" w:eastAsia="Cambria" w:hAnsi="Cambria" w:cs="Cambria"/>
          <w:b/>
          <w:color w:val="000000"/>
          <w:sz w:val="24"/>
          <w:u w:val="single"/>
        </w:rPr>
      </w:pPr>
    </w:p>
    <w:p w14:paraId="2315035F" w14:textId="77777777" w:rsidR="004B704A" w:rsidRDefault="004B704A">
      <w:pPr>
        <w:spacing w:line="275" w:lineRule="auto"/>
        <w:rPr>
          <w:rFonts w:ascii="Cambria" w:eastAsia="Cambria" w:hAnsi="Cambria" w:cs="Cambria"/>
          <w:b/>
          <w:color w:val="000000"/>
          <w:sz w:val="24"/>
          <w:u w:val="single"/>
        </w:rPr>
      </w:pPr>
    </w:p>
    <w:p w14:paraId="67286B6C" w14:textId="58CD7F32" w:rsidR="002D1484" w:rsidRDefault="003D1906">
      <w:pPr>
        <w:spacing w:line="275" w:lineRule="auto"/>
        <w:rPr>
          <w:rFonts w:ascii="Cambria" w:eastAsia="Cambria" w:hAnsi="Cambria" w:cs="Cambria"/>
          <w:sz w:val="24"/>
        </w:rPr>
      </w:pPr>
      <w:r>
        <w:rPr>
          <w:rFonts w:ascii="Cambria" w:eastAsia="Cambria" w:hAnsi="Cambria" w:cs="Cambria"/>
          <w:b/>
          <w:color w:val="000000"/>
          <w:sz w:val="24"/>
          <w:u w:val="single"/>
        </w:rPr>
        <w:t>References</w:t>
      </w:r>
    </w:p>
    <w:p w14:paraId="2595D755" w14:textId="7B9C92EE" w:rsidR="00A83584" w:rsidRDefault="0041585E">
      <w:pPr>
        <w:numPr>
          <w:ilvl w:val="0"/>
          <w:numId w:val="2"/>
        </w:numPr>
        <w:spacing w:after="0" w:line="360" w:lineRule="auto"/>
        <w:ind w:left="720" w:hanging="360"/>
        <w:jc w:val="both"/>
        <w:rPr>
          <w:rFonts w:ascii="Cambria" w:eastAsia="Cambria" w:hAnsi="Cambria" w:cs="Cambria"/>
          <w:sz w:val="24"/>
        </w:rPr>
      </w:pPr>
      <w:r>
        <w:rPr>
          <w:rFonts w:ascii="Cambria" w:eastAsia="Cambria" w:hAnsi="Cambria" w:cs="Cambria"/>
          <w:sz w:val="24"/>
        </w:rPr>
        <w:t>Sarria-</w:t>
      </w:r>
      <w:proofErr w:type="spellStart"/>
      <w:r>
        <w:rPr>
          <w:rFonts w:ascii="Cambria" w:eastAsia="Cambria" w:hAnsi="Cambria" w:cs="Cambria"/>
          <w:sz w:val="24"/>
        </w:rPr>
        <w:t>Santamera</w:t>
      </w:r>
      <w:proofErr w:type="spellEnd"/>
      <w:r>
        <w:rPr>
          <w:rFonts w:ascii="Cambria" w:eastAsia="Cambria" w:hAnsi="Cambria" w:cs="Cambria"/>
          <w:sz w:val="24"/>
        </w:rPr>
        <w:t xml:space="preserve"> a, </w:t>
      </w:r>
      <w:proofErr w:type="spellStart"/>
      <w:r>
        <w:rPr>
          <w:rFonts w:ascii="Cambria" w:eastAsia="Cambria" w:hAnsi="Cambria" w:cs="Cambria"/>
          <w:sz w:val="24"/>
        </w:rPr>
        <w:t>Orazumbekova</w:t>
      </w:r>
      <w:proofErr w:type="spellEnd"/>
      <w:r>
        <w:rPr>
          <w:rFonts w:ascii="Cambria" w:eastAsia="Cambria" w:hAnsi="Cambria" w:cs="Cambria"/>
          <w:sz w:val="24"/>
        </w:rPr>
        <w:t xml:space="preserve"> B, </w:t>
      </w:r>
      <w:r w:rsidR="009E32F3">
        <w:rPr>
          <w:rFonts w:ascii="Cambria" w:eastAsia="Cambria" w:hAnsi="Cambria" w:cs="Cambria"/>
          <w:sz w:val="24"/>
        </w:rPr>
        <w:t xml:space="preserve">Terzic M, </w:t>
      </w:r>
      <w:proofErr w:type="spellStart"/>
      <w:r w:rsidR="009E32F3">
        <w:rPr>
          <w:rFonts w:ascii="Cambria" w:eastAsia="Cambria" w:hAnsi="Cambria" w:cs="Cambria"/>
          <w:sz w:val="24"/>
        </w:rPr>
        <w:t>Issanov</w:t>
      </w:r>
      <w:proofErr w:type="spellEnd"/>
      <w:r w:rsidR="009E32F3">
        <w:rPr>
          <w:rFonts w:ascii="Cambria" w:eastAsia="Cambria" w:hAnsi="Cambria" w:cs="Cambria"/>
          <w:sz w:val="24"/>
        </w:rPr>
        <w:t xml:space="preserve"> A, </w:t>
      </w:r>
      <w:proofErr w:type="spellStart"/>
      <w:r w:rsidR="009E32F3">
        <w:rPr>
          <w:rFonts w:ascii="Cambria" w:eastAsia="Cambria" w:hAnsi="Cambria" w:cs="Cambria"/>
          <w:sz w:val="24"/>
        </w:rPr>
        <w:t>Chaowen</w:t>
      </w:r>
      <w:proofErr w:type="spellEnd"/>
      <w:r w:rsidR="009E32F3">
        <w:rPr>
          <w:rFonts w:ascii="Cambria" w:eastAsia="Cambria" w:hAnsi="Cambria" w:cs="Cambria"/>
          <w:sz w:val="24"/>
        </w:rPr>
        <w:t xml:space="preserve"> C, et al. Systematic review and meta-analysis of incidence and prevalence of endometriosis. Healthcare (Basel). 2020</w:t>
      </w:r>
      <w:r w:rsidR="006F3A00">
        <w:rPr>
          <w:rFonts w:ascii="Cambria" w:eastAsia="Cambria" w:hAnsi="Cambria" w:cs="Cambria"/>
          <w:sz w:val="24"/>
        </w:rPr>
        <w:t>;9(1):29.</w:t>
      </w:r>
    </w:p>
    <w:p w14:paraId="7902FDDF" w14:textId="29A03499" w:rsidR="002D1484" w:rsidRDefault="003D1906">
      <w:pPr>
        <w:numPr>
          <w:ilvl w:val="0"/>
          <w:numId w:val="2"/>
        </w:numPr>
        <w:spacing w:after="0" w:line="360" w:lineRule="auto"/>
        <w:ind w:left="720" w:hanging="360"/>
        <w:jc w:val="both"/>
        <w:rPr>
          <w:rFonts w:ascii="Cambria" w:eastAsia="Cambria" w:hAnsi="Cambria" w:cs="Cambria"/>
          <w:color w:val="000000"/>
          <w:sz w:val="24"/>
        </w:rPr>
      </w:pPr>
      <w:r>
        <w:rPr>
          <w:rFonts w:ascii="Cambria" w:eastAsia="Cambria" w:hAnsi="Cambria" w:cs="Cambria"/>
          <w:color w:val="000000"/>
          <w:sz w:val="24"/>
        </w:rPr>
        <w:t>Becker CM, Bokor A, Heikinheimo O, Horne A, Jansen F, Kiesel L, et al. E</w:t>
      </w:r>
      <w:r>
        <w:rPr>
          <w:rFonts w:ascii="Cambria" w:eastAsia="Cambria" w:hAnsi="Cambria" w:cs="Cambria"/>
          <w:sz w:val="24"/>
        </w:rPr>
        <w:t>SHRE</w:t>
      </w:r>
      <w:r>
        <w:rPr>
          <w:rFonts w:ascii="Cambria" w:eastAsia="Cambria" w:hAnsi="Cambria" w:cs="Cambria"/>
          <w:color w:val="000000"/>
          <w:sz w:val="24"/>
        </w:rPr>
        <w:t xml:space="preserve"> guideline: Endometriosis. Hum </w:t>
      </w:r>
      <w:proofErr w:type="spellStart"/>
      <w:r>
        <w:rPr>
          <w:rFonts w:ascii="Cambria" w:eastAsia="Cambria" w:hAnsi="Cambria" w:cs="Cambria"/>
          <w:color w:val="000000"/>
          <w:sz w:val="24"/>
        </w:rPr>
        <w:t>Reprod</w:t>
      </w:r>
      <w:proofErr w:type="spellEnd"/>
      <w:r>
        <w:rPr>
          <w:rFonts w:ascii="Cambria" w:eastAsia="Cambria" w:hAnsi="Cambria" w:cs="Cambria"/>
          <w:color w:val="000000"/>
          <w:sz w:val="24"/>
        </w:rPr>
        <w:t xml:space="preserve"> Open. 2022;2022(2).  </w:t>
      </w:r>
    </w:p>
    <w:p w14:paraId="51AB7BBC" w14:textId="5B294AED" w:rsidR="004B704A" w:rsidRDefault="005E07D0" w:rsidP="00E452D6">
      <w:pPr>
        <w:numPr>
          <w:ilvl w:val="0"/>
          <w:numId w:val="2"/>
        </w:numPr>
        <w:spacing w:after="0" w:line="360" w:lineRule="auto"/>
        <w:ind w:left="720" w:hanging="360"/>
        <w:jc w:val="both"/>
        <w:rPr>
          <w:rFonts w:ascii="Cambria" w:eastAsia="Cambria" w:hAnsi="Cambria" w:cs="Cambria"/>
          <w:color w:val="000000"/>
          <w:sz w:val="24"/>
        </w:rPr>
      </w:pPr>
      <w:r w:rsidRPr="00E452D6">
        <w:rPr>
          <w:rFonts w:ascii="Cambria" w:eastAsia="Cambria" w:hAnsi="Cambria" w:cs="Cambria"/>
          <w:color w:val="000000"/>
          <w:sz w:val="24"/>
        </w:rPr>
        <w:t xml:space="preserve">Young K, Fisher J, Kirkman M. Women’s experiences of endometriosis: a systematic review and synthesis of qualitative research. </w:t>
      </w:r>
      <w:r w:rsidR="00A301DD" w:rsidRPr="00E452D6">
        <w:rPr>
          <w:rFonts w:ascii="Cambria" w:eastAsia="Cambria" w:hAnsi="Cambria" w:cs="Cambria"/>
          <w:color w:val="000000"/>
          <w:sz w:val="24"/>
        </w:rPr>
        <w:t xml:space="preserve">J Fam </w:t>
      </w:r>
      <w:proofErr w:type="spellStart"/>
      <w:r w:rsidR="00A301DD" w:rsidRPr="00E452D6">
        <w:rPr>
          <w:rFonts w:ascii="Cambria" w:eastAsia="Cambria" w:hAnsi="Cambria" w:cs="Cambria"/>
          <w:color w:val="000000"/>
          <w:sz w:val="24"/>
        </w:rPr>
        <w:t>Plann</w:t>
      </w:r>
      <w:proofErr w:type="spellEnd"/>
      <w:r w:rsidR="00A301DD" w:rsidRPr="00E452D6">
        <w:rPr>
          <w:rFonts w:ascii="Cambria" w:eastAsia="Cambria" w:hAnsi="Cambria" w:cs="Cambria"/>
          <w:color w:val="000000"/>
          <w:sz w:val="24"/>
        </w:rPr>
        <w:t xml:space="preserve"> </w:t>
      </w:r>
      <w:proofErr w:type="spellStart"/>
      <w:r w:rsidR="00A301DD" w:rsidRPr="00E452D6">
        <w:rPr>
          <w:rFonts w:ascii="Cambria" w:eastAsia="Cambria" w:hAnsi="Cambria" w:cs="Cambria"/>
          <w:color w:val="000000"/>
          <w:sz w:val="24"/>
        </w:rPr>
        <w:t>Reprod</w:t>
      </w:r>
      <w:proofErr w:type="spellEnd"/>
      <w:r w:rsidR="00A301DD" w:rsidRPr="00E452D6">
        <w:rPr>
          <w:rFonts w:ascii="Cambria" w:eastAsia="Cambria" w:hAnsi="Cambria" w:cs="Cambria"/>
          <w:color w:val="000000"/>
          <w:sz w:val="24"/>
        </w:rPr>
        <w:t xml:space="preserve"> Health Care</w:t>
      </w:r>
      <w:r w:rsidR="00927AAB" w:rsidRPr="00E452D6">
        <w:rPr>
          <w:rFonts w:ascii="Cambria" w:eastAsia="Cambria" w:hAnsi="Cambria" w:cs="Cambria"/>
          <w:color w:val="000000"/>
          <w:sz w:val="24"/>
        </w:rPr>
        <w:t>. 2015;41(3):225-34</w:t>
      </w:r>
    </w:p>
    <w:p w14:paraId="266EAA52" w14:textId="635EA55A" w:rsidR="00E452D6" w:rsidRDefault="00E452D6" w:rsidP="00E452D6">
      <w:pPr>
        <w:numPr>
          <w:ilvl w:val="0"/>
          <w:numId w:val="2"/>
        </w:numPr>
        <w:spacing w:after="0" w:line="360" w:lineRule="auto"/>
        <w:ind w:left="720" w:hanging="360"/>
        <w:jc w:val="both"/>
        <w:rPr>
          <w:rFonts w:ascii="Cambria" w:eastAsia="Cambria" w:hAnsi="Cambria" w:cs="Cambria"/>
          <w:color w:val="000000"/>
          <w:sz w:val="24"/>
        </w:rPr>
      </w:pPr>
      <w:r>
        <w:rPr>
          <w:rFonts w:ascii="Cambria" w:eastAsia="Cambria" w:hAnsi="Cambria" w:cs="Cambria"/>
          <w:color w:val="000000"/>
          <w:sz w:val="24"/>
        </w:rPr>
        <w:t xml:space="preserve">Horne </w:t>
      </w:r>
      <w:r w:rsidR="002142EF">
        <w:rPr>
          <w:rFonts w:ascii="Cambria" w:eastAsia="Cambria" w:hAnsi="Cambria" w:cs="Cambria"/>
          <w:color w:val="000000"/>
          <w:sz w:val="24"/>
        </w:rPr>
        <w:t xml:space="preserve">AW, </w:t>
      </w:r>
      <w:proofErr w:type="spellStart"/>
      <w:r w:rsidR="002142EF">
        <w:rPr>
          <w:rFonts w:ascii="Cambria" w:eastAsia="Cambria" w:hAnsi="Cambria" w:cs="Cambria"/>
          <w:color w:val="000000"/>
          <w:sz w:val="24"/>
        </w:rPr>
        <w:t>Missmer</w:t>
      </w:r>
      <w:proofErr w:type="spellEnd"/>
      <w:r w:rsidR="002142EF">
        <w:rPr>
          <w:rFonts w:ascii="Cambria" w:eastAsia="Cambria" w:hAnsi="Cambria" w:cs="Cambria"/>
          <w:color w:val="000000"/>
          <w:sz w:val="24"/>
        </w:rPr>
        <w:t xml:space="preserve"> SA. Pathophysiology, diagnosis, and management of endometriosis. BMJ 2022;</w:t>
      </w:r>
      <w:proofErr w:type="gramStart"/>
      <w:r w:rsidR="002142EF">
        <w:rPr>
          <w:rFonts w:ascii="Cambria" w:eastAsia="Cambria" w:hAnsi="Cambria" w:cs="Cambria"/>
          <w:color w:val="000000"/>
          <w:sz w:val="24"/>
        </w:rPr>
        <w:t>379:e</w:t>
      </w:r>
      <w:proofErr w:type="gramEnd"/>
      <w:r w:rsidR="002142EF">
        <w:rPr>
          <w:rFonts w:ascii="Cambria" w:eastAsia="Cambria" w:hAnsi="Cambria" w:cs="Cambria"/>
          <w:color w:val="000000"/>
          <w:sz w:val="24"/>
        </w:rPr>
        <w:t>070</w:t>
      </w:r>
      <w:r w:rsidR="003D192D">
        <w:rPr>
          <w:rFonts w:ascii="Cambria" w:eastAsia="Cambria" w:hAnsi="Cambria" w:cs="Cambria"/>
          <w:color w:val="000000"/>
          <w:sz w:val="24"/>
        </w:rPr>
        <w:t xml:space="preserve">750 </w:t>
      </w:r>
    </w:p>
    <w:p w14:paraId="6113D0B5" w14:textId="471DB73A" w:rsidR="00153824" w:rsidRPr="00E452D6" w:rsidRDefault="00655E20" w:rsidP="00E452D6">
      <w:pPr>
        <w:numPr>
          <w:ilvl w:val="0"/>
          <w:numId w:val="2"/>
        </w:numPr>
        <w:spacing w:after="0" w:line="360" w:lineRule="auto"/>
        <w:ind w:left="720" w:hanging="360"/>
        <w:jc w:val="both"/>
        <w:rPr>
          <w:rFonts w:ascii="Cambria" w:eastAsia="Cambria" w:hAnsi="Cambria" w:cs="Cambria"/>
          <w:color w:val="000000"/>
          <w:sz w:val="24"/>
        </w:rPr>
      </w:pPr>
      <w:r>
        <w:rPr>
          <w:rFonts w:ascii="Cambria" w:eastAsia="Cambria" w:hAnsi="Cambria" w:cs="Cambria"/>
          <w:color w:val="000000"/>
          <w:sz w:val="24"/>
        </w:rPr>
        <w:t xml:space="preserve">Johnston JL, Reid H, Hunter D. Diagnosis endometriosis in primary care: clinical update. Br J Gen </w:t>
      </w:r>
      <w:proofErr w:type="spellStart"/>
      <w:r>
        <w:rPr>
          <w:rFonts w:ascii="Cambria" w:eastAsia="Cambria" w:hAnsi="Cambria" w:cs="Cambria"/>
          <w:color w:val="000000"/>
          <w:sz w:val="24"/>
        </w:rPr>
        <w:t>Pract</w:t>
      </w:r>
      <w:proofErr w:type="spellEnd"/>
      <w:r>
        <w:rPr>
          <w:rFonts w:ascii="Cambria" w:eastAsia="Cambria" w:hAnsi="Cambria" w:cs="Cambria"/>
          <w:color w:val="000000"/>
          <w:sz w:val="24"/>
        </w:rPr>
        <w:t xml:space="preserve"> 2015;65(631):101-2</w:t>
      </w:r>
    </w:p>
    <w:p w14:paraId="18538B14" w14:textId="77777777" w:rsidR="002D1484" w:rsidRDefault="002D1484">
      <w:pPr>
        <w:spacing w:line="275" w:lineRule="auto"/>
        <w:rPr>
          <w:rFonts w:ascii="Cambria" w:eastAsia="Cambria" w:hAnsi="Cambria" w:cs="Cambria"/>
          <w:sz w:val="24"/>
        </w:rPr>
      </w:pPr>
    </w:p>
    <w:p w14:paraId="580B3DF4" w14:textId="77777777" w:rsidR="002D1484" w:rsidRDefault="002D1484">
      <w:pPr>
        <w:spacing w:line="240" w:lineRule="auto"/>
        <w:ind w:left="567" w:hanging="567"/>
        <w:rPr>
          <w:rFonts w:ascii="Cambria" w:eastAsia="Cambria" w:hAnsi="Cambria" w:cs="Cambria"/>
          <w:sz w:val="24"/>
        </w:rPr>
      </w:pPr>
    </w:p>
    <w:sectPr w:rsidR="002D1484" w:rsidSect="009E7CD4">
      <w:pgSz w:w="11906" w:h="16838"/>
      <w:pgMar w:top="1440" w:right="1440" w:bottom="1440" w:left="1440" w:header="709" w:footer="709"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246"/>
    <w:multiLevelType w:val="multilevel"/>
    <w:tmpl w:val="6B1231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012405"/>
    <w:multiLevelType w:val="multilevel"/>
    <w:tmpl w:val="0248C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6843802">
    <w:abstractNumId w:val="1"/>
  </w:num>
  <w:num w:numId="2" w16cid:durableId="9479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84"/>
    <w:rsid w:val="00020105"/>
    <w:rsid w:val="0002074C"/>
    <w:rsid w:val="000211CB"/>
    <w:rsid w:val="00040E41"/>
    <w:rsid w:val="00042278"/>
    <w:rsid w:val="00073CC5"/>
    <w:rsid w:val="00080169"/>
    <w:rsid w:val="00086C4C"/>
    <w:rsid w:val="00087611"/>
    <w:rsid w:val="00090BBB"/>
    <w:rsid w:val="00091E6B"/>
    <w:rsid w:val="00092E0B"/>
    <w:rsid w:val="00096447"/>
    <w:rsid w:val="000B2DA7"/>
    <w:rsid w:val="000B7514"/>
    <w:rsid w:val="000C34F7"/>
    <w:rsid w:val="000C7104"/>
    <w:rsid w:val="000F6571"/>
    <w:rsid w:val="00103DF9"/>
    <w:rsid w:val="00112169"/>
    <w:rsid w:val="0011631E"/>
    <w:rsid w:val="00126554"/>
    <w:rsid w:val="001327BC"/>
    <w:rsid w:val="00142F93"/>
    <w:rsid w:val="00153824"/>
    <w:rsid w:val="00157DE7"/>
    <w:rsid w:val="001A1F2D"/>
    <w:rsid w:val="001A3955"/>
    <w:rsid w:val="001A798C"/>
    <w:rsid w:val="001E0389"/>
    <w:rsid w:val="001E6D7F"/>
    <w:rsid w:val="001F08A2"/>
    <w:rsid w:val="002142EF"/>
    <w:rsid w:val="00237885"/>
    <w:rsid w:val="00261A8B"/>
    <w:rsid w:val="00265ACD"/>
    <w:rsid w:val="002733F3"/>
    <w:rsid w:val="00273E0B"/>
    <w:rsid w:val="00293A0A"/>
    <w:rsid w:val="0029614F"/>
    <w:rsid w:val="002A7C1E"/>
    <w:rsid w:val="002D1484"/>
    <w:rsid w:val="002F046F"/>
    <w:rsid w:val="003360C9"/>
    <w:rsid w:val="00344A9D"/>
    <w:rsid w:val="00354F47"/>
    <w:rsid w:val="003776CF"/>
    <w:rsid w:val="00393788"/>
    <w:rsid w:val="00395C82"/>
    <w:rsid w:val="003B3190"/>
    <w:rsid w:val="003C4AC9"/>
    <w:rsid w:val="003C590D"/>
    <w:rsid w:val="003D1906"/>
    <w:rsid w:val="003D192D"/>
    <w:rsid w:val="003E60FD"/>
    <w:rsid w:val="003F1F7D"/>
    <w:rsid w:val="003F3CED"/>
    <w:rsid w:val="004153FE"/>
    <w:rsid w:val="0041585E"/>
    <w:rsid w:val="004428A7"/>
    <w:rsid w:val="00445D75"/>
    <w:rsid w:val="00452A5F"/>
    <w:rsid w:val="004602F3"/>
    <w:rsid w:val="004866A3"/>
    <w:rsid w:val="004B704A"/>
    <w:rsid w:val="004E220E"/>
    <w:rsid w:val="00502C74"/>
    <w:rsid w:val="00521A58"/>
    <w:rsid w:val="00526FDD"/>
    <w:rsid w:val="00540FF2"/>
    <w:rsid w:val="00546C7E"/>
    <w:rsid w:val="00551C58"/>
    <w:rsid w:val="00553B13"/>
    <w:rsid w:val="00567F0D"/>
    <w:rsid w:val="00572683"/>
    <w:rsid w:val="00573979"/>
    <w:rsid w:val="005A1743"/>
    <w:rsid w:val="005A1C6C"/>
    <w:rsid w:val="005A3627"/>
    <w:rsid w:val="005C21C3"/>
    <w:rsid w:val="005C4547"/>
    <w:rsid w:val="005D0FC4"/>
    <w:rsid w:val="005D1DDD"/>
    <w:rsid w:val="005D3C6F"/>
    <w:rsid w:val="005E07D0"/>
    <w:rsid w:val="005E1442"/>
    <w:rsid w:val="005F3AFA"/>
    <w:rsid w:val="0061174D"/>
    <w:rsid w:val="00611B09"/>
    <w:rsid w:val="006122B0"/>
    <w:rsid w:val="006169DA"/>
    <w:rsid w:val="006510CE"/>
    <w:rsid w:val="00651146"/>
    <w:rsid w:val="00655E20"/>
    <w:rsid w:val="00671D77"/>
    <w:rsid w:val="006811F3"/>
    <w:rsid w:val="006A658E"/>
    <w:rsid w:val="006E3AF8"/>
    <w:rsid w:val="006F3A00"/>
    <w:rsid w:val="006F57FC"/>
    <w:rsid w:val="007001EE"/>
    <w:rsid w:val="0070358C"/>
    <w:rsid w:val="007137BB"/>
    <w:rsid w:val="00724060"/>
    <w:rsid w:val="00742D56"/>
    <w:rsid w:val="00747607"/>
    <w:rsid w:val="00752C30"/>
    <w:rsid w:val="00765151"/>
    <w:rsid w:val="00792A56"/>
    <w:rsid w:val="00797FAE"/>
    <w:rsid w:val="007A2C4D"/>
    <w:rsid w:val="007D2320"/>
    <w:rsid w:val="007F093B"/>
    <w:rsid w:val="007F1EC2"/>
    <w:rsid w:val="00801BDD"/>
    <w:rsid w:val="00811298"/>
    <w:rsid w:val="00813948"/>
    <w:rsid w:val="008143B6"/>
    <w:rsid w:val="008173FD"/>
    <w:rsid w:val="00833729"/>
    <w:rsid w:val="00837240"/>
    <w:rsid w:val="008431D2"/>
    <w:rsid w:val="00853781"/>
    <w:rsid w:val="00861B4D"/>
    <w:rsid w:val="00874675"/>
    <w:rsid w:val="00881A61"/>
    <w:rsid w:val="00886E0C"/>
    <w:rsid w:val="00897CEE"/>
    <w:rsid w:val="008A30AB"/>
    <w:rsid w:val="008A5C2B"/>
    <w:rsid w:val="008B5E12"/>
    <w:rsid w:val="008B7C78"/>
    <w:rsid w:val="008C05CF"/>
    <w:rsid w:val="008C6CAE"/>
    <w:rsid w:val="008D4D3B"/>
    <w:rsid w:val="008F7132"/>
    <w:rsid w:val="00916A89"/>
    <w:rsid w:val="00922D3A"/>
    <w:rsid w:val="00927AAB"/>
    <w:rsid w:val="00942AAA"/>
    <w:rsid w:val="00945719"/>
    <w:rsid w:val="00953E1B"/>
    <w:rsid w:val="009555B7"/>
    <w:rsid w:val="009948DB"/>
    <w:rsid w:val="009A7B22"/>
    <w:rsid w:val="009B1925"/>
    <w:rsid w:val="009C1E9E"/>
    <w:rsid w:val="009C223F"/>
    <w:rsid w:val="009C448D"/>
    <w:rsid w:val="009C598B"/>
    <w:rsid w:val="009C6A1E"/>
    <w:rsid w:val="009D54C5"/>
    <w:rsid w:val="009E32F3"/>
    <w:rsid w:val="009E7CD4"/>
    <w:rsid w:val="00A17D54"/>
    <w:rsid w:val="00A301DD"/>
    <w:rsid w:val="00A6400E"/>
    <w:rsid w:val="00A74E88"/>
    <w:rsid w:val="00A8102A"/>
    <w:rsid w:val="00A83584"/>
    <w:rsid w:val="00AA013B"/>
    <w:rsid w:val="00AB3FA9"/>
    <w:rsid w:val="00AB5CBA"/>
    <w:rsid w:val="00AC4A08"/>
    <w:rsid w:val="00AC5705"/>
    <w:rsid w:val="00AD6C2A"/>
    <w:rsid w:val="00AF7D48"/>
    <w:rsid w:val="00B01E31"/>
    <w:rsid w:val="00B75C53"/>
    <w:rsid w:val="00B8751E"/>
    <w:rsid w:val="00B93069"/>
    <w:rsid w:val="00BA306B"/>
    <w:rsid w:val="00BD0757"/>
    <w:rsid w:val="00C02069"/>
    <w:rsid w:val="00C1651D"/>
    <w:rsid w:val="00C835CA"/>
    <w:rsid w:val="00C90D0C"/>
    <w:rsid w:val="00C92A51"/>
    <w:rsid w:val="00C9530D"/>
    <w:rsid w:val="00CA5245"/>
    <w:rsid w:val="00CB0D15"/>
    <w:rsid w:val="00CC781C"/>
    <w:rsid w:val="00CD09C1"/>
    <w:rsid w:val="00CE131B"/>
    <w:rsid w:val="00CF0F5A"/>
    <w:rsid w:val="00CF3B8B"/>
    <w:rsid w:val="00D00C93"/>
    <w:rsid w:val="00D01584"/>
    <w:rsid w:val="00D057E7"/>
    <w:rsid w:val="00D14E80"/>
    <w:rsid w:val="00D1663B"/>
    <w:rsid w:val="00D45AF5"/>
    <w:rsid w:val="00D60F09"/>
    <w:rsid w:val="00D61E05"/>
    <w:rsid w:val="00D81E4E"/>
    <w:rsid w:val="00DA5D5D"/>
    <w:rsid w:val="00DA7A8C"/>
    <w:rsid w:val="00DB140A"/>
    <w:rsid w:val="00DB32B1"/>
    <w:rsid w:val="00DC16AD"/>
    <w:rsid w:val="00DE2DC8"/>
    <w:rsid w:val="00DE758F"/>
    <w:rsid w:val="00DF5A5F"/>
    <w:rsid w:val="00DF69D0"/>
    <w:rsid w:val="00E034C3"/>
    <w:rsid w:val="00E25DDD"/>
    <w:rsid w:val="00E452D6"/>
    <w:rsid w:val="00E52683"/>
    <w:rsid w:val="00E62E1A"/>
    <w:rsid w:val="00E93D7B"/>
    <w:rsid w:val="00EB4800"/>
    <w:rsid w:val="00EC0FA3"/>
    <w:rsid w:val="00ED1132"/>
    <w:rsid w:val="00ED4457"/>
    <w:rsid w:val="00EF68C2"/>
    <w:rsid w:val="00F26A01"/>
    <w:rsid w:val="00F27C00"/>
    <w:rsid w:val="00F3583A"/>
    <w:rsid w:val="00F571D4"/>
    <w:rsid w:val="00F62209"/>
    <w:rsid w:val="00F7728A"/>
    <w:rsid w:val="00FA7974"/>
    <w:rsid w:val="00FC4103"/>
    <w:rsid w:val="00FE288C"/>
    <w:rsid w:val="00FE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4D3B"/>
  <w15:docId w15:val="{194379A0-54B6-4BD6-9CF6-8EE9DA9F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E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ughal@kee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Mughal, Faraz</dc:creator>
  <cp:lastModifiedBy>Faraz Mughal</cp:lastModifiedBy>
  <cp:revision>218</cp:revision>
  <dcterms:created xsi:type="dcterms:W3CDTF">2023-10-19T15:24:00Z</dcterms:created>
  <dcterms:modified xsi:type="dcterms:W3CDTF">2023-10-22T20:14:00Z</dcterms:modified>
</cp:coreProperties>
</file>