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81F0" w14:textId="03B26B46" w:rsidR="00CE0007" w:rsidRPr="00004D8A" w:rsidRDefault="00CE0007" w:rsidP="000F69D0">
      <w:pPr>
        <w:pStyle w:val="ssrcss-1q0x1qg-paragraph"/>
        <w:jc w:val="center"/>
        <w:rPr>
          <w:rFonts w:ascii="Arial" w:hAnsi="Arial"/>
          <w:sz w:val="36"/>
        </w:rPr>
      </w:pPr>
      <w:bookmarkStart w:id="0" w:name="_Hlk150082639"/>
      <w:bookmarkStart w:id="1" w:name="_Hlk150887182"/>
      <w:r w:rsidRPr="00004D8A">
        <w:rPr>
          <w:rFonts w:ascii="Arial" w:hAnsi="Arial"/>
          <w:sz w:val="36"/>
        </w:rPr>
        <w:t xml:space="preserve">Counting the </w:t>
      </w:r>
      <w:r w:rsidR="00FA6189" w:rsidRPr="00004D8A">
        <w:rPr>
          <w:rFonts w:ascii="Arial" w:hAnsi="Arial"/>
          <w:sz w:val="36"/>
        </w:rPr>
        <w:t xml:space="preserve">Lifetime </w:t>
      </w:r>
      <w:r w:rsidRPr="00004D8A">
        <w:rPr>
          <w:rFonts w:ascii="Arial" w:hAnsi="Arial"/>
          <w:sz w:val="36"/>
        </w:rPr>
        <w:t xml:space="preserve">Cost of Obesity: Analysis based on </w:t>
      </w:r>
      <w:r w:rsidR="00AC5FD4" w:rsidRPr="00004D8A">
        <w:rPr>
          <w:rFonts w:ascii="Arial" w:hAnsi="Arial"/>
          <w:sz w:val="36"/>
        </w:rPr>
        <w:t>National England Data</w:t>
      </w:r>
    </w:p>
    <w:bookmarkEnd w:id="0"/>
    <w:p w14:paraId="7765EDD4" w14:textId="77777777" w:rsidR="006A5F13" w:rsidRPr="00004D8A" w:rsidRDefault="006A5F13" w:rsidP="00D60FEE">
      <w:pPr>
        <w:rPr>
          <w:shd w:val="clear" w:color="auto" w:fill="FFFFFF"/>
        </w:rPr>
      </w:pPr>
    </w:p>
    <w:p w14:paraId="3EEF5DF4" w14:textId="169862D5" w:rsidR="00F040B3" w:rsidRPr="00004D8A" w:rsidRDefault="00F040B3" w:rsidP="006A5F13">
      <w:pPr>
        <w:jc w:val="center"/>
        <w:rPr>
          <w:shd w:val="clear" w:color="auto" w:fill="FFFFFF"/>
          <w:vertAlign w:val="superscript"/>
        </w:rPr>
      </w:pPr>
      <w:r w:rsidRPr="00004D8A">
        <w:rPr>
          <w:shd w:val="clear" w:color="auto" w:fill="FFFFFF"/>
        </w:rPr>
        <w:t>Adrian Heald</w:t>
      </w:r>
      <w:r w:rsidRPr="00004D8A">
        <w:rPr>
          <w:shd w:val="clear" w:color="auto" w:fill="FFFFFF"/>
          <w:vertAlign w:val="superscript"/>
        </w:rPr>
        <w:t>1,2</w:t>
      </w:r>
      <w:r w:rsidRPr="00004D8A">
        <w:rPr>
          <w:shd w:val="clear" w:color="auto" w:fill="FFFFFF"/>
        </w:rPr>
        <w:t xml:space="preserve">, </w:t>
      </w:r>
      <w:r w:rsidR="00E33ABF" w:rsidRPr="00004D8A">
        <w:rPr>
          <w:shd w:val="clear" w:color="auto" w:fill="FFFFFF"/>
        </w:rPr>
        <w:t>Mike Stedman</w:t>
      </w:r>
      <w:r w:rsidR="00E33ABF" w:rsidRPr="00004D8A">
        <w:rPr>
          <w:shd w:val="clear" w:color="auto" w:fill="FFFFFF"/>
          <w:vertAlign w:val="superscript"/>
        </w:rPr>
        <w:t>3</w:t>
      </w:r>
      <w:r w:rsidR="00C7679F" w:rsidRPr="00004D8A">
        <w:rPr>
          <w:shd w:val="clear" w:color="auto" w:fill="FFFFFF"/>
        </w:rPr>
        <w:t xml:space="preserve">, </w:t>
      </w:r>
      <w:r w:rsidR="000C7E18" w:rsidRPr="00004D8A">
        <w:rPr>
          <w:shd w:val="clear" w:color="auto" w:fill="FFFFFF"/>
        </w:rPr>
        <w:t>Ant</w:t>
      </w:r>
      <w:r w:rsidR="000F69D0" w:rsidRPr="00004D8A">
        <w:rPr>
          <w:shd w:val="clear" w:color="auto" w:fill="FFFFFF"/>
        </w:rPr>
        <w:t>h</w:t>
      </w:r>
      <w:r w:rsidR="000C7E18" w:rsidRPr="00004D8A">
        <w:rPr>
          <w:shd w:val="clear" w:color="auto" w:fill="FFFFFF"/>
        </w:rPr>
        <w:t>ony</w:t>
      </w:r>
      <w:r w:rsidR="000F69D0" w:rsidRPr="00004D8A">
        <w:rPr>
          <w:shd w:val="clear" w:color="auto" w:fill="FFFFFF"/>
        </w:rPr>
        <w:t xml:space="preserve"> A</w:t>
      </w:r>
      <w:r w:rsidR="000C7E18" w:rsidRPr="00004D8A">
        <w:rPr>
          <w:shd w:val="clear" w:color="auto" w:fill="FFFFFF"/>
        </w:rPr>
        <w:t xml:space="preserve"> Fryer</w:t>
      </w:r>
      <w:r w:rsidR="000F69D0" w:rsidRPr="00004D8A">
        <w:rPr>
          <w:shd w:val="clear" w:color="auto" w:fill="FFFFFF"/>
          <w:vertAlign w:val="superscript"/>
        </w:rPr>
        <w:t>4</w:t>
      </w:r>
      <w:r w:rsidR="000C7E18" w:rsidRPr="00004D8A">
        <w:rPr>
          <w:shd w:val="clear" w:color="auto" w:fill="FFFFFF"/>
        </w:rPr>
        <w:t xml:space="preserve">, </w:t>
      </w:r>
      <w:r w:rsidR="00A930A9" w:rsidRPr="00004D8A">
        <w:rPr>
          <w:shd w:val="clear" w:color="auto" w:fill="FFFFFF"/>
        </w:rPr>
        <w:t>Mark B Davies</w:t>
      </w:r>
      <w:r w:rsidR="00A930A9" w:rsidRPr="00004D8A">
        <w:rPr>
          <w:shd w:val="clear" w:color="auto" w:fill="FFFFFF"/>
          <w:vertAlign w:val="superscript"/>
        </w:rPr>
        <w:t>3</w:t>
      </w:r>
      <w:r w:rsidR="00A930A9" w:rsidRPr="00004D8A">
        <w:rPr>
          <w:shd w:val="clear" w:color="auto" w:fill="FFFFFF"/>
        </w:rPr>
        <w:t xml:space="preserve">, </w:t>
      </w:r>
      <w:r w:rsidR="00EC57CE" w:rsidRPr="00004D8A">
        <w:rPr>
          <w:shd w:val="clear" w:color="auto" w:fill="FFFFFF"/>
        </w:rPr>
        <w:t>Martin K Rutter,</w:t>
      </w:r>
      <w:r w:rsidR="00EC57CE" w:rsidRPr="00004D8A">
        <w:rPr>
          <w:shd w:val="clear" w:color="auto" w:fill="FFFFFF"/>
          <w:vertAlign w:val="superscript"/>
        </w:rPr>
        <w:t>5,6</w:t>
      </w:r>
      <w:r w:rsidR="00EC57CE" w:rsidRPr="00004D8A">
        <w:rPr>
          <w:shd w:val="clear" w:color="auto" w:fill="FFFFFF"/>
        </w:rPr>
        <w:t xml:space="preserve"> </w:t>
      </w:r>
      <w:r w:rsidR="008627D6" w:rsidRPr="00004D8A">
        <w:rPr>
          <w:shd w:val="clear" w:color="auto" w:fill="FFFFFF"/>
        </w:rPr>
        <w:t>J Martin Gibson</w:t>
      </w:r>
      <w:r w:rsidR="008627D6" w:rsidRPr="00004D8A">
        <w:rPr>
          <w:shd w:val="clear" w:color="auto" w:fill="FFFFFF"/>
          <w:vertAlign w:val="superscript"/>
        </w:rPr>
        <w:t>1,2</w:t>
      </w:r>
      <w:r w:rsidR="008627D6" w:rsidRPr="00004D8A">
        <w:rPr>
          <w:shd w:val="clear" w:color="auto" w:fill="FFFFFF"/>
        </w:rPr>
        <w:t xml:space="preserve">, </w:t>
      </w:r>
      <w:r w:rsidR="00C7679F" w:rsidRPr="00004D8A">
        <w:rPr>
          <w:shd w:val="clear" w:color="auto" w:fill="FFFFFF"/>
        </w:rPr>
        <w:t>Martin Whyte</w:t>
      </w:r>
      <w:r w:rsidR="00EC57CE" w:rsidRPr="00004D8A">
        <w:rPr>
          <w:shd w:val="clear" w:color="auto" w:fill="FFFFFF"/>
          <w:vertAlign w:val="superscript"/>
        </w:rPr>
        <w:t>7</w:t>
      </w:r>
    </w:p>
    <w:p w14:paraId="6630134E" w14:textId="77777777" w:rsidR="006A5F13" w:rsidRPr="00004D8A" w:rsidRDefault="006A5F13" w:rsidP="00DB6A8B">
      <w:pPr>
        <w:pStyle w:val="NoSpacing"/>
        <w:rPr>
          <w:shd w:val="clear" w:color="auto" w:fill="FFFFFF"/>
          <w:vertAlign w:val="superscript"/>
        </w:rPr>
      </w:pPr>
    </w:p>
    <w:p w14:paraId="163AE97E" w14:textId="1D266CFE" w:rsidR="00F040B3" w:rsidRPr="00004D8A" w:rsidRDefault="00F040B3" w:rsidP="00DB6A8B">
      <w:pPr>
        <w:pStyle w:val="NoSpacing"/>
        <w:rPr>
          <w:shd w:val="clear" w:color="auto" w:fill="FFFFFF"/>
          <w:vertAlign w:val="superscript"/>
        </w:rPr>
      </w:pPr>
      <w:r w:rsidRPr="00004D8A">
        <w:rPr>
          <w:shd w:val="clear" w:color="auto" w:fill="FFFFFF"/>
          <w:vertAlign w:val="superscript"/>
        </w:rPr>
        <w:t xml:space="preserve">1 </w:t>
      </w:r>
      <w:r w:rsidRPr="00004D8A">
        <w:rPr>
          <w:shd w:val="clear" w:color="auto" w:fill="FFFFFF"/>
        </w:rPr>
        <w:t>The School of Medicine and Manchester Academic Health Sciences Centre, Manchester University, UK</w:t>
      </w:r>
    </w:p>
    <w:p w14:paraId="6D1C5346" w14:textId="77777777" w:rsidR="00F040B3" w:rsidRPr="00004D8A" w:rsidRDefault="00F040B3" w:rsidP="00DB6A8B">
      <w:pPr>
        <w:pStyle w:val="NoSpacing"/>
        <w:rPr>
          <w:shd w:val="clear" w:color="auto" w:fill="FFFFFF"/>
        </w:rPr>
      </w:pPr>
      <w:r w:rsidRPr="00004D8A">
        <w:rPr>
          <w:shd w:val="clear" w:color="auto" w:fill="FFFFFF"/>
          <w:vertAlign w:val="superscript"/>
        </w:rPr>
        <w:t xml:space="preserve">2 </w:t>
      </w:r>
      <w:r w:rsidRPr="00004D8A">
        <w:rPr>
          <w:shd w:val="clear" w:color="auto" w:fill="FFFFFF"/>
        </w:rPr>
        <w:t>Department of Endocrinology and Diabetes, Salford Royal Hospital, Salford, UK</w:t>
      </w:r>
    </w:p>
    <w:p w14:paraId="0CCE262E" w14:textId="79B3EE32" w:rsidR="00F040B3" w:rsidRPr="00004D8A" w:rsidRDefault="00F040B3" w:rsidP="00DB6A8B">
      <w:pPr>
        <w:pStyle w:val="NoSpacing"/>
        <w:rPr>
          <w:shd w:val="clear" w:color="auto" w:fill="FFFFFF"/>
        </w:rPr>
      </w:pPr>
      <w:r w:rsidRPr="00004D8A">
        <w:rPr>
          <w:shd w:val="clear" w:color="auto" w:fill="FFFFFF"/>
          <w:vertAlign w:val="superscript"/>
        </w:rPr>
        <w:t>3</w:t>
      </w:r>
      <w:r w:rsidR="00E33ABF" w:rsidRPr="00004D8A">
        <w:rPr>
          <w:shd w:val="clear" w:color="auto" w:fill="FFFFFF"/>
        </w:rPr>
        <w:t xml:space="preserve"> Res Consortium, Andover, UK</w:t>
      </w:r>
      <w:r w:rsidR="008627D6" w:rsidRPr="00004D8A">
        <w:rPr>
          <w:shd w:val="clear" w:color="auto" w:fill="FFFFFF"/>
        </w:rPr>
        <w:t xml:space="preserve"> </w:t>
      </w:r>
    </w:p>
    <w:p w14:paraId="78E012ED" w14:textId="7EFCBF89" w:rsidR="00613766" w:rsidRPr="00004D8A" w:rsidRDefault="008627D6" w:rsidP="00DB6A8B">
      <w:pPr>
        <w:pStyle w:val="NoSpacing"/>
        <w:rPr>
          <w:vertAlign w:val="superscript"/>
        </w:rPr>
      </w:pPr>
      <w:r w:rsidRPr="00004D8A">
        <w:rPr>
          <w:vertAlign w:val="superscript"/>
        </w:rPr>
        <w:t xml:space="preserve">4 </w:t>
      </w:r>
      <w:r w:rsidR="00500A57" w:rsidRPr="00004D8A">
        <w:rPr>
          <w:shd w:val="clear" w:color="auto" w:fill="FFFFFF"/>
        </w:rPr>
        <w:t>School of Medicine, Keele University, Staffordshire, UK</w:t>
      </w:r>
    </w:p>
    <w:p w14:paraId="49A53169" w14:textId="77777777" w:rsidR="00EC57CE" w:rsidRPr="00004D8A" w:rsidRDefault="00613766" w:rsidP="00EC57CE">
      <w:pPr>
        <w:pStyle w:val="NoSpacing"/>
        <w:rPr>
          <w:shd w:val="clear" w:color="auto" w:fill="FFFFFF"/>
        </w:rPr>
      </w:pPr>
      <w:r w:rsidRPr="00004D8A">
        <w:rPr>
          <w:vertAlign w:val="superscript"/>
        </w:rPr>
        <w:t>5</w:t>
      </w:r>
      <w:r w:rsidR="000A4815" w:rsidRPr="00004D8A">
        <w:rPr>
          <w:vertAlign w:val="superscript"/>
        </w:rPr>
        <w:t xml:space="preserve"> </w:t>
      </w:r>
      <w:r w:rsidR="00EC57CE" w:rsidRPr="00004D8A">
        <w:rPr>
          <w:shd w:val="clear" w:color="auto" w:fill="FFFFFF"/>
        </w:rPr>
        <w:t>Division of Diabetes, Endocrinology and Gastroenterology, School of Medical Sciences, University of Manchester, Manchester, UK</w:t>
      </w:r>
    </w:p>
    <w:p w14:paraId="61656A2D" w14:textId="77777777" w:rsidR="00EC57CE" w:rsidRPr="00004D8A" w:rsidRDefault="00EC57CE" w:rsidP="00EC57CE">
      <w:pPr>
        <w:pStyle w:val="NoSpacing"/>
        <w:rPr>
          <w:shd w:val="clear" w:color="auto" w:fill="FFFFFF"/>
        </w:rPr>
      </w:pPr>
      <w:r w:rsidRPr="00004D8A">
        <w:rPr>
          <w:shd w:val="clear" w:color="auto" w:fill="FFFFFF"/>
          <w:vertAlign w:val="superscript"/>
        </w:rPr>
        <w:t>6</w:t>
      </w:r>
      <w:r w:rsidRPr="00004D8A">
        <w:rPr>
          <w:shd w:val="clear" w:color="auto" w:fill="FFFFFF"/>
        </w:rPr>
        <w:t xml:space="preserve"> Diabetes, Endocrinology and Metabolism Centre, Manchester University NHS Foundation Trust, Manchester Academic Health Science Centre, NIHR Manchester Biomedical Research Centre, Manchester, UK</w:t>
      </w:r>
    </w:p>
    <w:p w14:paraId="1766827A" w14:textId="20ADE8B3" w:rsidR="008627D6" w:rsidRPr="00004D8A" w:rsidRDefault="00EC57CE" w:rsidP="00DB6A8B">
      <w:pPr>
        <w:pStyle w:val="NoSpacing"/>
        <w:rPr>
          <w:shd w:val="clear" w:color="auto" w:fill="FFFFFF"/>
        </w:rPr>
      </w:pPr>
      <w:r w:rsidRPr="00004D8A">
        <w:rPr>
          <w:shd w:val="clear" w:color="auto" w:fill="FFFFFF"/>
          <w:vertAlign w:val="superscript"/>
        </w:rPr>
        <w:t>7</w:t>
      </w:r>
      <w:r w:rsidRPr="00004D8A">
        <w:rPr>
          <w:shd w:val="clear" w:color="auto" w:fill="FFFFFF"/>
        </w:rPr>
        <w:t xml:space="preserve"> </w:t>
      </w:r>
      <w:r w:rsidR="008627D6" w:rsidRPr="00004D8A">
        <w:rPr>
          <w:shd w:val="clear" w:color="auto" w:fill="FFFFFF"/>
        </w:rPr>
        <w:t>Department of Clinical and Experimental Medicine, University of Surrey, Guildford, UK</w:t>
      </w:r>
    </w:p>
    <w:p w14:paraId="766C516C" w14:textId="77777777" w:rsidR="00F040B3" w:rsidRPr="00004D8A" w:rsidRDefault="00F040B3" w:rsidP="00D60FEE"/>
    <w:p w14:paraId="03460AB8" w14:textId="77777777" w:rsidR="006A5F13" w:rsidRPr="00004D8A" w:rsidRDefault="006A5F13" w:rsidP="00DB6A8B">
      <w:pPr>
        <w:pStyle w:val="NoSpacing"/>
      </w:pPr>
    </w:p>
    <w:p w14:paraId="2EE915B3" w14:textId="77777777" w:rsidR="006A5F13" w:rsidRPr="00004D8A" w:rsidRDefault="006A5F13" w:rsidP="00DB6A8B">
      <w:pPr>
        <w:pStyle w:val="NoSpacing"/>
      </w:pPr>
    </w:p>
    <w:p w14:paraId="6F1B20E8" w14:textId="77777777" w:rsidR="006A5F13" w:rsidRPr="00004D8A" w:rsidRDefault="006A5F13" w:rsidP="00DB6A8B">
      <w:pPr>
        <w:pStyle w:val="NoSpacing"/>
      </w:pPr>
    </w:p>
    <w:p w14:paraId="514A4D84" w14:textId="77777777" w:rsidR="00782FEA" w:rsidRPr="00004D8A" w:rsidRDefault="00F040B3" w:rsidP="00DB6A8B">
      <w:pPr>
        <w:pStyle w:val="NoSpacing"/>
      </w:pPr>
      <w:r w:rsidRPr="00004D8A">
        <w:t>Key words</w:t>
      </w:r>
      <w:r w:rsidR="006F25A3" w:rsidRPr="00004D8A">
        <w:t xml:space="preserve">: Obesity, Costs, Mortality, HRCU, Life Years, Life Years Lost, Index of Multiple Deprivation, </w:t>
      </w:r>
      <w:r w:rsidR="00782FEA" w:rsidRPr="00004D8A">
        <w:t>ICB, QALY</w:t>
      </w:r>
    </w:p>
    <w:p w14:paraId="164FAB4E" w14:textId="38D4DD01" w:rsidR="00F040B3" w:rsidRPr="00004D8A" w:rsidRDefault="00F040B3" w:rsidP="00DB6A8B">
      <w:pPr>
        <w:pStyle w:val="NoSpacing"/>
      </w:pPr>
      <w:r w:rsidRPr="00004D8A">
        <w:t xml:space="preserve">Word Count: </w:t>
      </w:r>
      <w:r w:rsidR="006F25A3" w:rsidRPr="00004D8A">
        <w:t>5415</w:t>
      </w:r>
    </w:p>
    <w:p w14:paraId="096B892F" w14:textId="5047F7BA" w:rsidR="00F040B3" w:rsidRPr="00004D8A" w:rsidRDefault="00F040B3" w:rsidP="00DB6A8B">
      <w:pPr>
        <w:pStyle w:val="NoSpacing"/>
      </w:pPr>
      <w:r w:rsidRPr="00004D8A">
        <w:t>Figures:</w:t>
      </w:r>
      <w:r w:rsidR="006F25A3" w:rsidRPr="00004D8A">
        <w:t xml:space="preserve"> 3</w:t>
      </w:r>
    </w:p>
    <w:p w14:paraId="7D7A8C3D" w14:textId="23E8C6D3" w:rsidR="00F040B3" w:rsidRPr="00004D8A" w:rsidRDefault="00F040B3" w:rsidP="00DB6A8B">
      <w:pPr>
        <w:pStyle w:val="NoSpacing"/>
      </w:pPr>
      <w:r w:rsidRPr="00004D8A">
        <w:t xml:space="preserve">Tables: </w:t>
      </w:r>
      <w:r w:rsidR="006F25A3" w:rsidRPr="00004D8A">
        <w:t>5 and 1 supplementary Table</w:t>
      </w:r>
    </w:p>
    <w:p w14:paraId="51CF2D6D" w14:textId="77777777" w:rsidR="00D83307" w:rsidRPr="00004D8A" w:rsidRDefault="00D83307" w:rsidP="00D60FEE"/>
    <w:p w14:paraId="2D3FEB0D" w14:textId="77777777" w:rsidR="00F040B3" w:rsidRPr="00004D8A" w:rsidRDefault="00F040B3" w:rsidP="00DB6A8B">
      <w:pPr>
        <w:pStyle w:val="NoSpacing"/>
      </w:pPr>
      <w:r w:rsidRPr="00004D8A">
        <w:t>Corresponding author:</w:t>
      </w:r>
    </w:p>
    <w:p w14:paraId="08290C9F" w14:textId="77777777" w:rsidR="00F040B3" w:rsidRPr="00004D8A" w:rsidRDefault="00F040B3" w:rsidP="00DB6A8B">
      <w:pPr>
        <w:pStyle w:val="NoSpacing"/>
      </w:pPr>
      <w:r w:rsidRPr="00004D8A">
        <w:t>Dr Adrian H Heald</w:t>
      </w:r>
    </w:p>
    <w:p w14:paraId="29D5DA66" w14:textId="77777777" w:rsidR="00F040B3" w:rsidRPr="00004D8A" w:rsidRDefault="00F040B3" w:rsidP="00DB6A8B">
      <w:pPr>
        <w:pStyle w:val="NoSpacing"/>
      </w:pPr>
      <w:r w:rsidRPr="00004D8A">
        <w:t>Department of Diabetes and Endocrinology</w:t>
      </w:r>
    </w:p>
    <w:p w14:paraId="0C283C19" w14:textId="77777777" w:rsidR="00F040B3" w:rsidRPr="00004D8A" w:rsidRDefault="00F040B3" w:rsidP="00DB6A8B">
      <w:pPr>
        <w:pStyle w:val="NoSpacing"/>
      </w:pPr>
      <w:r w:rsidRPr="00004D8A">
        <w:t>Salford Royal Hospital</w:t>
      </w:r>
    </w:p>
    <w:p w14:paraId="7E9631AB" w14:textId="77777777" w:rsidR="00F040B3" w:rsidRPr="000D2F96" w:rsidRDefault="00F040B3" w:rsidP="00DB6A8B">
      <w:pPr>
        <w:pStyle w:val="NoSpacing"/>
      </w:pPr>
      <w:r w:rsidRPr="000D2F96">
        <w:t>M6 8HD, UK</w:t>
      </w:r>
    </w:p>
    <w:p w14:paraId="62FC5BDD" w14:textId="77777777" w:rsidR="00F040B3" w:rsidRPr="000D2F96" w:rsidRDefault="00F040B3" w:rsidP="00DB6A8B">
      <w:pPr>
        <w:pStyle w:val="NoSpacing"/>
      </w:pPr>
      <w:r w:rsidRPr="000D2F96">
        <w:t>Telephone +44 161 206 4426</w:t>
      </w:r>
    </w:p>
    <w:p w14:paraId="7EFBDFA6" w14:textId="785C657C" w:rsidR="00AC24D4" w:rsidRPr="000D2F96" w:rsidRDefault="009F76D9" w:rsidP="00DB6A8B">
      <w:pPr>
        <w:pStyle w:val="NoSpacing"/>
      </w:pPr>
      <w:hyperlink r:id="rId8" w:history="1">
        <w:r w:rsidR="00AC24D4" w:rsidRPr="000D2F96">
          <w:rPr>
            <w:rStyle w:val="Hyperlink"/>
            <w:color w:val="auto"/>
            <w:sz w:val="20"/>
            <w:szCs w:val="20"/>
          </w:rPr>
          <w:t>adrian.heald@manchester.ac.uk</w:t>
        </w:r>
      </w:hyperlink>
    </w:p>
    <w:p w14:paraId="1095BDCC" w14:textId="5B9F042A" w:rsidR="00D60FEE" w:rsidRPr="000D2F96" w:rsidRDefault="00D60FEE">
      <w:pPr>
        <w:spacing w:after="0" w:line="240" w:lineRule="auto"/>
      </w:pPr>
      <w:r w:rsidRPr="000D2F96">
        <w:br w:type="page"/>
      </w:r>
    </w:p>
    <w:p w14:paraId="1105E80B" w14:textId="264A6F1F" w:rsidR="00F040B3" w:rsidRPr="00004D8A" w:rsidRDefault="00F040B3" w:rsidP="00101F56">
      <w:pPr>
        <w:pStyle w:val="Heading1"/>
        <w:rPr>
          <w:sz w:val="20"/>
          <w:szCs w:val="20"/>
        </w:rPr>
      </w:pPr>
      <w:r w:rsidRPr="00004D8A">
        <w:lastRenderedPageBreak/>
        <w:t>Abstract</w:t>
      </w:r>
    </w:p>
    <w:p w14:paraId="69F83F17" w14:textId="77777777" w:rsidR="007E3F2B" w:rsidRPr="00004D8A" w:rsidRDefault="007E3F2B" w:rsidP="00500A57">
      <w:pPr>
        <w:pStyle w:val="Heading3"/>
        <w:spacing w:line="360" w:lineRule="auto"/>
        <w:rPr>
          <w:rFonts w:ascii="Arial" w:hAnsi="Arial" w:cs="Arial"/>
        </w:rPr>
      </w:pPr>
      <w:r w:rsidRPr="00004D8A">
        <w:rPr>
          <w:rFonts w:ascii="Arial" w:hAnsi="Arial" w:cs="Arial"/>
        </w:rPr>
        <w:t>Introduction</w:t>
      </w:r>
    </w:p>
    <w:p w14:paraId="73995003" w14:textId="77777777" w:rsidR="007E3F2B" w:rsidRPr="00004D8A" w:rsidRDefault="007E3F2B" w:rsidP="00500A57">
      <w:pPr>
        <w:pStyle w:val="NoSpacing"/>
        <w:spacing w:line="360" w:lineRule="auto"/>
        <w:rPr>
          <w:rFonts w:ascii="Arial" w:hAnsi="Arial" w:cs="Arial"/>
          <w:sz w:val="24"/>
          <w:szCs w:val="24"/>
        </w:rPr>
      </w:pPr>
      <w:r w:rsidRPr="00004D8A">
        <w:rPr>
          <w:rFonts w:ascii="Arial" w:hAnsi="Arial" w:cs="Arial"/>
          <w:sz w:val="24"/>
          <w:szCs w:val="24"/>
        </w:rPr>
        <w:t xml:space="preserve">Obesity has a significant impact on all-cause mortality rate and overall healthcare resource use (HCRU). These outcomes are also strongly linked to age, </w:t>
      </w:r>
      <w:proofErr w:type="gramStart"/>
      <w:r w:rsidRPr="00004D8A">
        <w:rPr>
          <w:rFonts w:ascii="Arial" w:hAnsi="Arial" w:cs="Arial"/>
          <w:sz w:val="24"/>
          <w:szCs w:val="24"/>
        </w:rPr>
        <w:t>sex</w:t>
      </w:r>
      <w:proofErr w:type="gramEnd"/>
      <w:r w:rsidRPr="00004D8A">
        <w:rPr>
          <w:rFonts w:ascii="Arial" w:hAnsi="Arial" w:cs="Arial"/>
          <w:sz w:val="24"/>
          <w:szCs w:val="24"/>
        </w:rPr>
        <w:t xml:space="preserve"> and local deprivation of the population.</w:t>
      </w:r>
    </w:p>
    <w:p w14:paraId="5B9F6A31" w14:textId="2E4F295A" w:rsidR="007E3F2B" w:rsidRPr="00004D8A" w:rsidRDefault="007E3F2B" w:rsidP="00500A57">
      <w:pPr>
        <w:pStyle w:val="NoSpacing"/>
        <w:spacing w:line="360" w:lineRule="auto"/>
        <w:rPr>
          <w:rFonts w:ascii="Arial" w:hAnsi="Arial" w:cs="Arial"/>
          <w:sz w:val="24"/>
          <w:szCs w:val="24"/>
        </w:rPr>
      </w:pPr>
      <w:bookmarkStart w:id="2" w:name="_Hlk150082559"/>
      <w:r w:rsidRPr="00004D8A">
        <w:rPr>
          <w:rFonts w:ascii="Arial" w:hAnsi="Arial" w:cs="Arial"/>
          <w:sz w:val="24"/>
          <w:szCs w:val="24"/>
        </w:rPr>
        <w:t xml:space="preserve">We </w:t>
      </w:r>
      <w:r w:rsidR="00EC57CE" w:rsidRPr="00004D8A">
        <w:rPr>
          <w:rFonts w:ascii="Arial" w:hAnsi="Arial" w:cs="Arial"/>
          <w:sz w:val="24"/>
          <w:szCs w:val="24"/>
        </w:rPr>
        <w:t xml:space="preserve">aimed to establish the lifetime costs of obesity by demographic group/geographic area using </w:t>
      </w:r>
      <w:r w:rsidRPr="00004D8A">
        <w:rPr>
          <w:rFonts w:ascii="Arial" w:hAnsi="Arial" w:cs="Arial"/>
          <w:sz w:val="24"/>
          <w:szCs w:val="24"/>
        </w:rPr>
        <w:t>published mortality rates and HCRU use for Integrated Care Boards (ICB) in England</w:t>
      </w:r>
      <w:r w:rsidR="00C56884" w:rsidRPr="00004D8A">
        <w:rPr>
          <w:rFonts w:ascii="Arial" w:hAnsi="Arial" w:cs="Arial"/>
          <w:sz w:val="24"/>
          <w:szCs w:val="24"/>
        </w:rPr>
        <w:t xml:space="preserve"> in the context of costs of therapeutic intervention</w:t>
      </w:r>
      <w:bookmarkEnd w:id="2"/>
      <w:r w:rsidR="00C56884" w:rsidRPr="00004D8A">
        <w:rPr>
          <w:rFonts w:ascii="Arial" w:hAnsi="Arial" w:cs="Arial"/>
          <w:sz w:val="24"/>
          <w:szCs w:val="24"/>
        </w:rPr>
        <w:t>.</w:t>
      </w:r>
    </w:p>
    <w:p w14:paraId="0DB9B13F" w14:textId="77777777" w:rsidR="007E3F2B" w:rsidRPr="00004D8A" w:rsidRDefault="007E3F2B" w:rsidP="00500A57">
      <w:pPr>
        <w:pStyle w:val="Heading3"/>
        <w:spacing w:line="360" w:lineRule="auto"/>
        <w:rPr>
          <w:rFonts w:ascii="Arial" w:hAnsi="Arial" w:cs="Arial"/>
          <w:kern w:val="0"/>
          <w14:ligatures w14:val="none"/>
        </w:rPr>
      </w:pPr>
      <w:r w:rsidRPr="00004D8A">
        <w:rPr>
          <w:rFonts w:ascii="Arial" w:hAnsi="Arial" w:cs="Arial"/>
        </w:rPr>
        <w:t>Methods</w:t>
      </w:r>
    </w:p>
    <w:p w14:paraId="28D17024" w14:textId="22A7CD99" w:rsidR="007E3F2B" w:rsidRPr="00004D8A" w:rsidRDefault="007E3F2B" w:rsidP="00500A57">
      <w:pPr>
        <w:pStyle w:val="NoSpacing"/>
        <w:spacing w:line="360" w:lineRule="auto"/>
      </w:pPr>
      <w:r w:rsidRPr="00004D8A">
        <w:rPr>
          <w:rFonts w:ascii="Arial" w:hAnsi="Arial" w:cs="Arial"/>
          <w:sz w:val="24"/>
          <w:szCs w:val="24"/>
        </w:rPr>
        <w:t xml:space="preserve">Population and expected mortality </w:t>
      </w:r>
      <w:r w:rsidR="005F3A2F" w:rsidRPr="00004D8A">
        <w:rPr>
          <w:rFonts w:ascii="Arial" w:hAnsi="Arial" w:cs="Arial"/>
          <w:sz w:val="24"/>
          <w:szCs w:val="24"/>
        </w:rPr>
        <w:t xml:space="preserve">rates </w:t>
      </w:r>
      <w:r w:rsidRPr="00004D8A">
        <w:rPr>
          <w:rFonts w:ascii="Arial" w:hAnsi="Arial" w:cs="Arial"/>
          <w:sz w:val="24"/>
          <w:szCs w:val="24"/>
        </w:rPr>
        <w:t>by age, sex and deprivation were obtained from national data</w:t>
      </w:r>
      <w:r w:rsidR="00852DD8" w:rsidRPr="00004D8A">
        <w:rPr>
          <w:rFonts w:ascii="Arial" w:hAnsi="Arial" w:cs="Arial"/>
          <w:sz w:val="24"/>
          <w:szCs w:val="24"/>
        </w:rPr>
        <w:t>.</w:t>
      </w:r>
      <w:r w:rsidRPr="00004D8A">
        <w:rPr>
          <w:rFonts w:ascii="Arial" w:hAnsi="Arial" w:cs="Arial"/>
          <w:sz w:val="24"/>
          <w:szCs w:val="24"/>
        </w:rPr>
        <w:t xml:space="preserve"> </w:t>
      </w:r>
      <w:r w:rsidR="00852DD8" w:rsidRPr="00004D8A">
        <w:rPr>
          <w:rFonts w:ascii="Arial" w:hAnsi="Arial" w:cs="Arial"/>
          <w:sz w:val="24"/>
          <w:szCs w:val="24"/>
        </w:rPr>
        <w:t>O</w:t>
      </w:r>
      <w:r w:rsidRPr="00004D8A">
        <w:rPr>
          <w:rFonts w:ascii="Arial" w:hAnsi="Arial" w:cs="Arial"/>
          <w:sz w:val="24"/>
          <w:szCs w:val="24"/>
        </w:rPr>
        <w:t xml:space="preserve">besity class prevalence was taken from the health of </w:t>
      </w:r>
      <w:r w:rsidR="004B0B6D" w:rsidRPr="00004D8A">
        <w:rPr>
          <w:rFonts w:ascii="Arial" w:hAnsi="Arial" w:cs="Arial"/>
          <w:sz w:val="24"/>
          <w:szCs w:val="24"/>
        </w:rPr>
        <w:t xml:space="preserve">the </w:t>
      </w:r>
      <w:r w:rsidRPr="00004D8A">
        <w:rPr>
          <w:rFonts w:ascii="Arial" w:hAnsi="Arial" w:cs="Arial"/>
          <w:sz w:val="24"/>
          <w:szCs w:val="24"/>
        </w:rPr>
        <w:t>nation study</w:t>
      </w:r>
      <w:r w:rsidR="00852DD8" w:rsidRPr="00004D8A">
        <w:rPr>
          <w:rFonts w:ascii="Arial" w:hAnsi="Arial" w:cs="Arial"/>
          <w:sz w:val="24"/>
          <w:szCs w:val="24"/>
        </w:rPr>
        <w:t>.</w:t>
      </w:r>
      <w:r w:rsidR="003F5392" w:rsidRPr="00004D8A">
        <w:rPr>
          <w:rFonts w:ascii="Arial" w:hAnsi="Arial" w:cs="Arial"/>
          <w:sz w:val="24"/>
          <w:szCs w:val="24"/>
        </w:rPr>
        <w:t xml:space="preserve"> </w:t>
      </w:r>
      <w:r w:rsidR="00852DD8" w:rsidRPr="00004D8A">
        <w:rPr>
          <w:rFonts w:ascii="Arial" w:hAnsi="Arial" w:cs="Arial"/>
          <w:sz w:val="24"/>
          <w:szCs w:val="24"/>
        </w:rPr>
        <w:t>The p</w:t>
      </w:r>
      <w:r w:rsidRPr="00004D8A">
        <w:rPr>
          <w:rFonts w:ascii="Arial" w:hAnsi="Arial" w:cs="Arial"/>
          <w:sz w:val="24"/>
          <w:szCs w:val="24"/>
        </w:rPr>
        <w:t>ublished impact of obesity by age</w:t>
      </w:r>
      <w:r w:rsidR="00CD702C" w:rsidRPr="00004D8A">
        <w:rPr>
          <w:rFonts w:ascii="Arial" w:hAnsi="Arial" w:cs="Arial"/>
          <w:sz w:val="24"/>
          <w:szCs w:val="24"/>
        </w:rPr>
        <w:t>,</w:t>
      </w:r>
      <w:r w:rsidRPr="00004D8A">
        <w:rPr>
          <w:rFonts w:ascii="Arial" w:hAnsi="Arial" w:cs="Arial"/>
          <w:sz w:val="24"/>
          <w:szCs w:val="24"/>
        </w:rPr>
        <w:t xml:space="preserve"> group, sex and deprivation on mortality and </w:t>
      </w:r>
      <w:r w:rsidR="004C3BBF" w:rsidRPr="00004D8A">
        <w:rPr>
          <w:rFonts w:ascii="Arial" w:hAnsi="Arial" w:cs="Arial"/>
          <w:sz w:val="24"/>
          <w:szCs w:val="24"/>
        </w:rPr>
        <w:t>Health Care Resource Use (</w:t>
      </w:r>
      <w:r w:rsidRPr="00004D8A">
        <w:rPr>
          <w:rFonts w:ascii="Arial" w:hAnsi="Arial" w:cs="Arial"/>
          <w:sz w:val="24"/>
          <w:szCs w:val="24"/>
        </w:rPr>
        <w:t>HCRU</w:t>
      </w:r>
      <w:r w:rsidR="004C3BBF" w:rsidRPr="00004D8A">
        <w:rPr>
          <w:rFonts w:ascii="Arial" w:hAnsi="Arial" w:cs="Arial"/>
          <w:sz w:val="24"/>
          <w:szCs w:val="24"/>
        </w:rPr>
        <w:t>)</w:t>
      </w:r>
      <w:r w:rsidRPr="00004D8A">
        <w:rPr>
          <w:rFonts w:ascii="Arial" w:hAnsi="Arial" w:cs="Arial"/>
          <w:sz w:val="24"/>
          <w:szCs w:val="24"/>
        </w:rPr>
        <w:t xml:space="preserve"> were applied to </w:t>
      </w:r>
      <w:r w:rsidR="00427BFD" w:rsidRPr="00004D8A">
        <w:rPr>
          <w:rFonts w:ascii="Arial" w:hAnsi="Arial" w:cs="Arial"/>
          <w:sz w:val="24"/>
          <w:szCs w:val="24"/>
        </w:rPr>
        <w:t>estimate life years lost</w:t>
      </w:r>
      <w:r w:rsidR="004B0B6D" w:rsidRPr="00004D8A">
        <w:rPr>
          <w:rFonts w:ascii="Arial" w:hAnsi="Arial" w:cs="Arial"/>
          <w:sz w:val="24"/>
          <w:szCs w:val="24"/>
        </w:rPr>
        <w:t xml:space="preserve"> and L</w:t>
      </w:r>
      <w:r w:rsidRPr="00004D8A">
        <w:rPr>
          <w:rFonts w:ascii="Arial" w:hAnsi="Arial" w:cs="Arial"/>
          <w:sz w:val="24"/>
          <w:szCs w:val="24"/>
        </w:rPr>
        <w:t>ifetime HCRU (</w:t>
      </w:r>
      <w:r w:rsidR="00852DD8" w:rsidRPr="00004D8A">
        <w:rPr>
          <w:rFonts w:ascii="Arial" w:hAnsi="Arial" w:cs="Arial"/>
          <w:sz w:val="24"/>
          <w:szCs w:val="24"/>
        </w:rPr>
        <w:t>by sex, age band and</w:t>
      </w:r>
      <w:r w:rsidRPr="00004D8A">
        <w:rPr>
          <w:rFonts w:ascii="Arial" w:hAnsi="Arial" w:cs="Arial"/>
          <w:sz w:val="24"/>
          <w:szCs w:val="24"/>
        </w:rPr>
        <w:t xml:space="preserve"> BMI class for each </w:t>
      </w:r>
      <w:r w:rsidR="00F0334A" w:rsidRPr="00004D8A">
        <w:rPr>
          <w:rFonts w:ascii="Arial" w:hAnsi="Arial" w:cs="Arial"/>
          <w:sz w:val="24"/>
          <w:szCs w:val="24"/>
        </w:rPr>
        <w:t>Integrated Care Board (</w:t>
      </w:r>
      <w:r w:rsidRPr="00004D8A">
        <w:rPr>
          <w:rFonts w:ascii="Arial" w:hAnsi="Arial" w:cs="Arial"/>
          <w:sz w:val="24"/>
          <w:szCs w:val="24"/>
        </w:rPr>
        <w:t>ICB</w:t>
      </w:r>
      <w:r w:rsidR="00F0334A" w:rsidRPr="00004D8A">
        <w:rPr>
          <w:rFonts w:ascii="Arial" w:hAnsi="Arial" w:cs="Arial"/>
          <w:sz w:val="24"/>
          <w:szCs w:val="24"/>
        </w:rPr>
        <w:t>)</w:t>
      </w:r>
      <w:r w:rsidRPr="00004D8A">
        <w:rPr>
          <w:rFonts w:ascii="Arial" w:hAnsi="Arial" w:cs="Arial"/>
          <w:sz w:val="24"/>
          <w:szCs w:val="24"/>
        </w:rPr>
        <w:t xml:space="preserve">. The year 2019 was chosen as the study basis data to avoid influences of COVID-19 pandemic </w:t>
      </w:r>
      <w:r w:rsidR="00852DD8" w:rsidRPr="00004D8A">
        <w:rPr>
          <w:rFonts w:ascii="Arial" w:hAnsi="Arial" w:cs="Arial"/>
          <w:sz w:val="24"/>
          <w:szCs w:val="24"/>
        </w:rPr>
        <w:t xml:space="preserve">on obesity rates with application of </w:t>
      </w:r>
      <w:r w:rsidRPr="00004D8A">
        <w:rPr>
          <w:rFonts w:ascii="Arial" w:hAnsi="Arial" w:cs="Arial"/>
          <w:sz w:val="24"/>
          <w:szCs w:val="24"/>
        </w:rPr>
        <w:t xml:space="preserve">2022/23 HCRU values. Outcomes including prevalence, deaths, </w:t>
      </w:r>
      <w:r w:rsidR="00F0334A" w:rsidRPr="00004D8A">
        <w:rPr>
          <w:rFonts w:ascii="Arial" w:hAnsi="Arial" w:cs="Arial"/>
          <w:sz w:val="24"/>
          <w:szCs w:val="24"/>
        </w:rPr>
        <w:t>life years lost</w:t>
      </w:r>
      <w:r w:rsidRPr="00004D8A">
        <w:rPr>
          <w:rFonts w:ascii="Arial" w:hAnsi="Arial" w:cs="Arial"/>
          <w:sz w:val="24"/>
          <w:szCs w:val="24"/>
        </w:rPr>
        <w:t>, HCRU</w:t>
      </w:r>
      <w:r w:rsidR="00F0334A" w:rsidRPr="00004D8A">
        <w:rPr>
          <w:rFonts w:ascii="Arial" w:hAnsi="Arial" w:cs="Arial"/>
          <w:sz w:val="24"/>
          <w:szCs w:val="24"/>
        </w:rPr>
        <w:t xml:space="preserve"> and</w:t>
      </w:r>
      <w:r w:rsidRPr="00004D8A">
        <w:rPr>
          <w:rFonts w:ascii="Arial" w:hAnsi="Arial" w:cs="Arial"/>
          <w:sz w:val="24"/>
          <w:szCs w:val="24"/>
        </w:rPr>
        <w:t xml:space="preserve"> </w:t>
      </w:r>
      <w:r w:rsidR="00F0334A" w:rsidRPr="00004D8A">
        <w:rPr>
          <w:rFonts w:ascii="Arial" w:hAnsi="Arial" w:cs="Arial"/>
          <w:sz w:val="24"/>
          <w:szCs w:val="24"/>
        </w:rPr>
        <w:t xml:space="preserve">Lifetime </w:t>
      </w:r>
      <w:r w:rsidRPr="00004D8A">
        <w:rPr>
          <w:rFonts w:ascii="Arial" w:hAnsi="Arial" w:cs="Arial"/>
          <w:sz w:val="24"/>
          <w:szCs w:val="24"/>
        </w:rPr>
        <w:t xml:space="preserve">HCRU were compared by age and sex </w:t>
      </w:r>
      <w:r w:rsidR="005F3A2F" w:rsidRPr="00004D8A">
        <w:rPr>
          <w:rFonts w:ascii="Arial" w:hAnsi="Arial" w:cs="Arial"/>
          <w:sz w:val="24"/>
          <w:szCs w:val="24"/>
        </w:rPr>
        <w:t xml:space="preserve">groups </w:t>
      </w:r>
      <w:r w:rsidRPr="00004D8A">
        <w:rPr>
          <w:rFonts w:ascii="Arial" w:hAnsi="Arial" w:cs="Arial"/>
          <w:sz w:val="24"/>
          <w:szCs w:val="24"/>
        </w:rPr>
        <w:t>across 4 BMI classes Normal/Underweight (BMI &lt;25</w:t>
      </w:r>
      <w:r w:rsidR="00427BFD" w:rsidRPr="00004D8A">
        <w:rPr>
          <w:rFonts w:ascii="Arial" w:hAnsi="Arial" w:cs="Arial"/>
          <w:sz w:val="24"/>
          <w:szCs w:val="24"/>
        </w:rPr>
        <w:t>kg/m</w:t>
      </w:r>
      <w:r w:rsidR="00427BFD" w:rsidRPr="00004D8A">
        <w:rPr>
          <w:rFonts w:ascii="Arial" w:hAnsi="Arial" w:cs="Arial"/>
          <w:sz w:val="24"/>
          <w:szCs w:val="24"/>
          <w:vertAlign w:val="superscript"/>
        </w:rPr>
        <w:t>2</w:t>
      </w:r>
      <w:r w:rsidRPr="00004D8A">
        <w:rPr>
          <w:rFonts w:ascii="Arial" w:hAnsi="Arial" w:cs="Arial"/>
          <w:sz w:val="24"/>
          <w:szCs w:val="24"/>
        </w:rPr>
        <w:t>), Overweight (25-29.9), Obese Class I&amp;II (30-39</w:t>
      </w:r>
      <w:r w:rsidR="004C3BBF" w:rsidRPr="00004D8A">
        <w:rPr>
          <w:rFonts w:ascii="Arial" w:hAnsi="Arial" w:cs="Arial"/>
          <w:sz w:val="24"/>
          <w:szCs w:val="24"/>
        </w:rPr>
        <w:t>.9</w:t>
      </w:r>
      <w:r w:rsidRPr="00004D8A">
        <w:rPr>
          <w:rFonts w:ascii="Arial" w:hAnsi="Arial" w:cs="Arial"/>
          <w:sz w:val="24"/>
          <w:szCs w:val="24"/>
        </w:rPr>
        <w:t>)</w:t>
      </w:r>
      <w:r w:rsidR="003F5392" w:rsidRPr="00004D8A">
        <w:rPr>
          <w:rFonts w:ascii="Arial" w:hAnsi="Arial" w:cs="Arial"/>
          <w:sz w:val="24"/>
          <w:szCs w:val="24"/>
        </w:rPr>
        <w:t>,</w:t>
      </w:r>
      <w:r w:rsidRPr="00004D8A">
        <w:rPr>
          <w:rFonts w:ascii="Arial" w:hAnsi="Arial" w:cs="Arial"/>
          <w:sz w:val="24"/>
          <w:szCs w:val="24"/>
        </w:rPr>
        <w:t xml:space="preserve"> Obese Class III (&gt;=40), with benchmarking being set against all population being BMI&lt;25 overall and by each of the 4</w:t>
      </w:r>
      <w:r w:rsidR="003F5392" w:rsidRPr="00004D8A">
        <w:rPr>
          <w:rFonts w:ascii="Arial" w:hAnsi="Arial" w:cs="Arial"/>
          <w:sz w:val="24"/>
          <w:szCs w:val="24"/>
        </w:rPr>
        <w:t>2</w:t>
      </w:r>
      <w:r w:rsidRPr="00004D8A">
        <w:rPr>
          <w:rFonts w:ascii="Arial" w:hAnsi="Arial" w:cs="Arial"/>
          <w:sz w:val="24"/>
          <w:szCs w:val="24"/>
        </w:rPr>
        <w:t xml:space="preserve"> ICBs</w:t>
      </w:r>
      <w:r w:rsidR="00F93FE8" w:rsidRPr="00004D8A">
        <w:rPr>
          <w:rFonts w:ascii="Arial" w:hAnsi="Arial" w:cs="Arial"/>
          <w:sz w:val="24"/>
          <w:szCs w:val="24"/>
        </w:rPr>
        <w:t>. We also associated future life with deaths to provide an estimate of ‘future life years lost’ occurring each year.</w:t>
      </w:r>
    </w:p>
    <w:p w14:paraId="0594C418" w14:textId="77777777" w:rsidR="00F93FE8" w:rsidRPr="00004D8A" w:rsidRDefault="00F93FE8" w:rsidP="00500A57">
      <w:pPr>
        <w:pStyle w:val="NoSpacing"/>
        <w:spacing w:line="360" w:lineRule="auto"/>
        <w:rPr>
          <w:rFonts w:ascii="Arial" w:hAnsi="Arial" w:cs="Arial"/>
        </w:rPr>
      </w:pPr>
    </w:p>
    <w:p w14:paraId="7B52D627" w14:textId="38BAE7DB" w:rsidR="00F93FE8" w:rsidRPr="00004D8A" w:rsidRDefault="00F93FE8" w:rsidP="00500A57">
      <w:pPr>
        <w:pStyle w:val="NoSpacing"/>
        <w:spacing w:line="360" w:lineRule="auto"/>
        <w:rPr>
          <w:rFonts w:ascii="Arial" w:hAnsi="Arial" w:cs="Arial"/>
          <w:b/>
          <w:bCs/>
          <w:sz w:val="24"/>
          <w:szCs w:val="24"/>
        </w:rPr>
      </w:pPr>
      <w:r w:rsidRPr="00004D8A">
        <w:rPr>
          <w:rFonts w:ascii="Arial" w:hAnsi="Arial" w:cs="Arial"/>
          <w:b/>
          <w:bCs/>
          <w:sz w:val="24"/>
          <w:szCs w:val="24"/>
        </w:rPr>
        <w:t>Results</w:t>
      </w:r>
    </w:p>
    <w:p w14:paraId="05C7D752" w14:textId="6288FBDE" w:rsidR="007E3F2B" w:rsidRPr="00004D8A" w:rsidRDefault="007E3F2B" w:rsidP="00500A57">
      <w:pPr>
        <w:pStyle w:val="NoSpacing"/>
        <w:spacing w:line="360" w:lineRule="auto"/>
        <w:rPr>
          <w:rFonts w:ascii="Arial" w:hAnsi="Arial" w:cs="Arial"/>
          <w:sz w:val="24"/>
          <w:szCs w:val="24"/>
        </w:rPr>
      </w:pPr>
      <w:r w:rsidRPr="00004D8A">
        <w:rPr>
          <w:rFonts w:ascii="Arial" w:hAnsi="Arial" w:cs="Arial"/>
          <w:sz w:val="24"/>
          <w:szCs w:val="24"/>
        </w:rPr>
        <w:t>Total population of age</w:t>
      </w:r>
      <w:r w:rsidR="005F3A2F" w:rsidRPr="00004D8A">
        <w:rPr>
          <w:rFonts w:ascii="Arial" w:hAnsi="Arial" w:cs="Arial"/>
          <w:sz w:val="24"/>
          <w:szCs w:val="24"/>
        </w:rPr>
        <w:t>d</w:t>
      </w:r>
      <w:r w:rsidRPr="00004D8A">
        <w:rPr>
          <w:rFonts w:ascii="Arial" w:hAnsi="Arial" w:cs="Arial"/>
          <w:sz w:val="24"/>
          <w:szCs w:val="24"/>
        </w:rPr>
        <w:t xml:space="preserve">&gt;16 </w:t>
      </w:r>
      <w:r w:rsidR="005F3A2F" w:rsidRPr="00004D8A">
        <w:rPr>
          <w:rFonts w:ascii="Arial" w:hAnsi="Arial" w:cs="Arial"/>
          <w:sz w:val="24"/>
          <w:szCs w:val="24"/>
        </w:rPr>
        <w:t xml:space="preserve">years </w:t>
      </w:r>
      <w:r w:rsidRPr="00004D8A">
        <w:rPr>
          <w:rFonts w:ascii="Arial" w:hAnsi="Arial" w:cs="Arial"/>
          <w:sz w:val="24"/>
          <w:szCs w:val="24"/>
        </w:rPr>
        <w:t>was 45.4million (</w:t>
      </w:r>
      <w:r w:rsidR="00457A7A" w:rsidRPr="00004D8A">
        <w:rPr>
          <w:rFonts w:ascii="Arial" w:hAnsi="Arial" w:cs="Arial"/>
          <w:sz w:val="24"/>
          <w:szCs w:val="24"/>
        </w:rPr>
        <w:t xml:space="preserve">51% </w:t>
      </w:r>
      <w:r w:rsidR="005F3A2F" w:rsidRPr="00004D8A">
        <w:rPr>
          <w:rFonts w:ascii="Arial" w:hAnsi="Arial" w:cs="Arial"/>
          <w:sz w:val="24"/>
          <w:szCs w:val="24"/>
        </w:rPr>
        <w:t>f</w:t>
      </w:r>
      <w:r w:rsidRPr="00004D8A">
        <w:rPr>
          <w:rFonts w:ascii="Arial" w:hAnsi="Arial" w:cs="Arial"/>
          <w:sz w:val="24"/>
          <w:szCs w:val="24"/>
        </w:rPr>
        <w:t xml:space="preserve">emale). </w:t>
      </w:r>
    </w:p>
    <w:p w14:paraId="2B9F4574" w14:textId="77777777" w:rsidR="00296F79" w:rsidRPr="00004D8A" w:rsidRDefault="007E3F2B" w:rsidP="00296F79">
      <w:pPr>
        <w:rPr>
          <w:rFonts w:asciiTheme="minorHAnsi" w:hAnsiTheme="minorHAnsi" w:cstheme="minorBidi"/>
          <w:i/>
          <w:iCs/>
          <w:sz w:val="22"/>
          <w:szCs w:val="22"/>
        </w:rPr>
      </w:pPr>
      <w:r w:rsidRPr="00004D8A">
        <w:rPr>
          <w:b/>
          <w:bCs/>
        </w:rPr>
        <w:t>Prevalence:</w:t>
      </w:r>
      <w:r w:rsidRPr="00004D8A">
        <w:t xml:space="preserve"> </w:t>
      </w:r>
    </w:p>
    <w:p w14:paraId="0D9EC4BB" w14:textId="65D0674C" w:rsidR="00296F79" w:rsidRPr="00004D8A" w:rsidRDefault="00296F79" w:rsidP="00296F79">
      <w:r w:rsidRPr="00004D8A">
        <w:t xml:space="preserve">Prevalence: 13.7 million (28% of the total adult population) had a BMI </w:t>
      </w:r>
      <w:bookmarkStart w:id="3" w:name="_Hlk153116533"/>
      <w:r w:rsidRPr="00004D8A">
        <w:t>≥</w:t>
      </w:r>
      <w:bookmarkEnd w:id="3"/>
      <w:r w:rsidRPr="00004D8A">
        <w:t>30</w:t>
      </w:r>
      <w:r w:rsidR="003B1FA0" w:rsidRPr="00004D8A">
        <w:t>mg/m</w:t>
      </w:r>
      <w:r w:rsidR="003B1FA0" w:rsidRPr="00004D8A">
        <w:rPr>
          <w:vertAlign w:val="superscript"/>
        </w:rPr>
        <w:t>2</w:t>
      </w:r>
      <w:r w:rsidRPr="00004D8A">
        <w:t xml:space="preserve"> and BMI ≥40</w:t>
      </w:r>
      <w:r w:rsidR="003B1FA0" w:rsidRPr="00004D8A">
        <w:t>kg/m</w:t>
      </w:r>
      <w:r w:rsidR="003B1FA0" w:rsidRPr="00004D8A">
        <w:rPr>
          <w:vertAlign w:val="superscript"/>
        </w:rPr>
        <w:t>2</w:t>
      </w:r>
      <w:r w:rsidRPr="00004D8A">
        <w:t xml:space="preserve"> were 1.50 million (12%) of these 1.0 million (68%) were Female and of these 0.6 million 40% were aged women 16-49yrs. Also 35% of those with a BMI</w:t>
      </w:r>
      <w:bookmarkStart w:id="4" w:name="_Hlk153114787"/>
      <w:r w:rsidRPr="00004D8A">
        <w:t>≥</w:t>
      </w:r>
      <w:bookmarkEnd w:id="4"/>
      <w:r w:rsidRPr="00004D8A">
        <w:t>40</w:t>
      </w:r>
      <w:r w:rsidR="003B1FA0" w:rsidRPr="00004D8A">
        <w:t>kg/m</w:t>
      </w:r>
      <w:r w:rsidR="003B1FA0" w:rsidRPr="00004D8A">
        <w:rPr>
          <w:vertAlign w:val="superscript"/>
        </w:rPr>
        <w:t>2</w:t>
      </w:r>
      <w:r w:rsidRPr="00004D8A">
        <w:t xml:space="preserve"> were in the top deprivation quintile (</w:t>
      </w:r>
      <w:r w:rsidR="00435908" w:rsidRPr="00004D8A">
        <w:t>i.e.</w:t>
      </w:r>
      <w:r w:rsidRPr="00004D8A">
        <w:t xml:space="preserve"> overall 20%). </w:t>
      </w:r>
    </w:p>
    <w:p w14:paraId="5E9C07C7" w14:textId="41E5E448" w:rsidR="007E3F2B" w:rsidRPr="00004D8A" w:rsidRDefault="007E3F2B" w:rsidP="00500A57">
      <w:pPr>
        <w:pStyle w:val="NoSpacing"/>
        <w:spacing w:line="360" w:lineRule="auto"/>
        <w:rPr>
          <w:rFonts w:ascii="Arial" w:hAnsi="Arial" w:cs="Arial"/>
          <w:sz w:val="24"/>
          <w:szCs w:val="24"/>
        </w:rPr>
      </w:pPr>
    </w:p>
    <w:p w14:paraId="22E356D4" w14:textId="2CB468E4" w:rsidR="007E3F2B" w:rsidRPr="00004D8A" w:rsidRDefault="007E3F2B" w:rsidP="00500A57">
      <w:pPr>
        <w:pStyle w:val="NoSpacing"/>
        <w:spacing w:line="360" w:lineRule="auto"/>
        <w:rPr>
          <w:rFonts w:ascii="Arial" w:hAnsi="Arial" w:cs="Arial"/>
          <w:kern w:val="2"/>
          <w:sz w:val="24"/>
          <w:szCs w:val="24"/>
          <w14:ligatures w14:val="standardContextual"/>
        </w:rPr>
      </w:pPr>
      <w:r w:rsidRPr="00004D8A">
        <w:rPr>
          <w:rFonts w:ascii="Arial" w:hAnsi="Arial" w:cs="Arial"/>
          <w:b/>
          <w:bCs/>
          <w:sz w:val="24"/>
          <w:szCs w:val="24"/>
        </w:rPr>
        <w:lastRenderedPageBreak/>
        <w:t>Mortality:</w:t>
      </w:r>
      <w:r w:rsidRPr="00004D8A">
        <w:rPr>
          <w:rFonts w:ascii="Arial" w:hAnsi="Arial" w:cs="Arial"/>
          <w:sz w:val="24"/>
          <w:szCs w:val="24"/>
        </w:rPr>
        <w:t xml:space="preserve"> Based on expected deaths of 518k/year, model</w:t>
      </w:r>
      <w:r w:rsidR="00457A7A" w:rsidRPr="00004D8A">
        <w:rPr>
          <w:rFonts w:ascii="Arial" w:hAnsi="Arial" w:cs="Arial"/>
          <w:sz w:val="24"/>
          <w:szCs w:val="24"/>
        </w:rPr>
        <w:t>ling</w:t>
      </w:r>
      <w:r w:rsidRPr="00004D8A">
        <w:rPr>
          <w:rFonts w:ascii="Arial" w:hAnsi="Arial" w:cs="Arial"/>
          <w:sz w:val="24"/>
          <w:szCs w:val="24"/>
        </w:rPr>
        <w:t xml:space="preserve"> s</w:t>
      </w:r>
      <w:r w:rsidR="00457A7A" w:rsidRPr="00004D8A">
        <w:rPr>
          <w:rFonts w:ascii="Arial" w:hAnsi="Arial" w:cs="Arial"/>
          <w:sz w:val="24"/>
          <w:szCs w:val="24"/>
        </w:rPr>
        <w:t>uggested</w:t>
      </w:r>
      <w:r w:rsidRPr="00004D8A">
        <w:rPr>
          <w:rFonts w:ascii="Arial" w:hAnsi="Arial" w:cs="Arial"/>
          <w:sz w:val="24"/>
          <w:szCs w:val="24"/>
        </w:rPr>
        <w:t xml:space="preserve"> that if </w:t>
      </w:r>
      <w:r w:rsidR="00333F19" w:rsidRPr="00004D8A">
        <w:rPr>
          <w:rFonts w:ascii="Arial" w:hAnsi="Arial" w:cs="Arial"/>
          <w:sz w:val="24"/>
          <w:szCs w:val="24"/>
        </w:rPr>
        <w:t xml:space="preserve">a </w:t>
      </w:r>
      <w:r w:rsidRPr="00004D8A">
        <w:rPr>
          <w:rFonts w:ascii="Arial" w:hAnsi="Arial" w:cs="Arial"/>
          <w:sz w:val="24"/>
          <w:szCs w:val="24"/>
        </w:rPr>
        <w:t>BMI&lt;25</w:t>
      </w:r>
      <w:r w:rsidR="00333F19" w:rsidRPr="00004D8A">
        <w:rPr>
          <w:rFonts w:ascii="Arial" w:hAnsi="Arial" w:cs="Arial"/>
          <w:sz w:val="24"/>
          <w:szCs w:val="24"/>
        </w:rPr>
        <w:t xml:space="preserve"> was achieved in all individuals</w:t>
      </w:r>
      <w:r w:rsidRPr="00004D8A">
        <w:rPr>
          <w:rFonts w:ascii="Arial" w:hAnsi="Arial" w:cs="Arial"/>
          <w:sz w:val="24"/>
          <w:szCs w:val="24"/>
        </w:rPr>
        <w:t>, th</w:t>
      </w:r>
      <w:r w:rsidR="00333F19" w:rsidRPr="00004D8A">
        <w:rPr>
          <w:rFonts w:ascii="Arial" w:hAnsi="Arial" w:cs="Arial"/>
          <w:sz w:val="24"/>
          <w:szCs w:val="24"/>
        </w:rPr>
        <w:t xml:space="preserve">e death rate </w:t>
      </w:r>
      <w:r w:rsidRPr="00004D8A">
        <w:rPr>
          <w:rFonts w:ascii="Arial" w:hAnsi="Arial" w:cs="Arial"/>
          <w:sz w:val="24"/>
          <w:szCs w:val="24"/>
        </w:rPr>
        <w:t xml:space="preserve">would fall </w:t>
      </w:r>
      <w:r w:rsidR="00333F19" w:rsidRPr="00004D8A">
        <w:rPr>
          <w:rFonts w:ascii="Arial" w:hAnsi="Arial" w:cs="Arial"/>
          <w:sz w:val="24"/>
          <w:szCs w:val="24"/>
        </w:rPr>
        <w:t xml:space="preserve">by 63K </w:t>
      </w:r>
      <w:r w:rsidRPr="00004D8A">
        <w:rPr>
          <w:rFonts w:ascii="Arial" w:hAnsi="Arial" w:cs="Arial"/>
          <w:sz w:val="24"/>
          <w:szCs w:val="24"/>
        </w:rPr>
        <w:t>to 455k</w:t>
      </w:r>
      <w:r w:rsidR="00457A7A" w:rsidRPr="00004D8A">
        <w:rPr>
          <w:rFonts w:ascii="Arial" w:hAnsi="Arial" w:cs="Arial"/>
          <w:sz w:val="24"/>
          <w:szCs w:val="24"/>
        </w:rPr>
        <w:t>/year</w:t>
      </w:r>
      <w:r w:rsidR="008127C8" w:rsidRPr="00004D8A">
        <w:rPr>
          <w:rFonts w:ascii="Arial" w:hAnsi="Arial" w:cs="Arial"/>
          <w:sz w:val="24"/>
          <w:szCs w:val="24"/>
        </w:rPr>
        <w:t xml:space="preserve"> for the Engl</w:t>
      </w:r>
      <w:r w:rsidR="00457A7A" w:rsidRPr="00004D8A">
        <w:rPr>
          <w:rFonts w:ascii="Arial" w:hAnsi="Arial" w:cs="Arial"/>
          <w:sz w:val="24"/>
          <w:szCs w:val="24"/>
        </w:rPr>
        <w:t>ish</w:t>
      </w:r>
      <w:r w:rsidR="008127C8" w:rsidRPr="00004D8A">
        <w:rPr>
          <w:rFonts w:ascii="Arial" w:hAnsi="Arial" w:cs="Arial"/>
          <w:sz w:val="24"/>
          <w:szCs w:val="24"/>
        </w:rPr>
        <w:t xml:space="preserve"> population</w:t>
      </w:r>
      <w:r w:rsidR="002F4D16" w:rsidRPr="00004D8A">
        <w:rPr>
          <w:rFonts w:ascii="Arial" w:hAnsi="Arial" w:cs="Arial"/>
          <w:sz w:val="24"/>
          <w:szCs w:val="24"/>
        </w:rPr>
        <w:t xml:space="preserve"> (</w:t>
      </w:r>
      <w:r w:rsidRPr="00004D8A">
        <w:rPr>
          <w:rFonts w:ascii="Arial" w:hAnsi="Arial" w:cs="Arial"/>
          <w:sz w:val="24"/>
          <w:szCs w:val="24"/>
        </w:rPr>
        <w:t xml:space="preserve">12% </w:t>
      </w:r>
      <w:r w:rsidR="00333F19" w:rsidRPr="00004D8A">
        <w:rPr>
          <w:rFonts w:ascii="Arial" w:hAnsi="Arial" w:cs="Arial"/>
          <w:sz w:val="24"/>
          <w:szCs w:val="24"/>
        </w:rPr>
        <w:t>reduction</w:t>
      </w:r>
      <w:r w:rsidR="002F4D16" w:rsidRPr="00004D8A">
        <w:rPr>
          <w:rFonts w:ascii="Arial" w:hAnsi="Arial" w:cs="Arial"/>
          <w:sz w:val="24"/>
          <w:szCs w:val="24"/>
        </w:rPr>
        <w:t>)</w:t>
      </w:r>
      <w:r w:rsidRPr="00004D8A">
        <w:rPr>
          <w:rFonts w:ascii="Arial" w:hAnsi="Arial" w:cs="Arial"/>
          <w:sz w:val="24"/>
          <w:szCs w:val="24"/>
        </w:rPr>
        <w:t xml:space="preserve">. </w:t>
      </w:r>
      <w:r w:rsidR="00427BFD" w:rsidRPr="00004D8A">
        <w:rPr>
          <w:rFonts w:ascii="Arial" w:hAnsi="Arial" w:cs="Arial"/>
          <w:sz w:val="24"/>
          <w:szCs w:val="24"/>
        </w:rPr>
        <w:t>For</w:t>
      </w:r>
      <w:r w:rsidRPr="00004D8A">
        <w:rPr>
          <w:rFonts w:ascii="Arial" w:hAnsi="Arial" w:cs="Arial"/>
          <w:sz w:val="24"/>
          <w:szCs w:val="24"/>
        </w:rPr>
        <w:t xml:space="preserve"> </w:t>
      </w:r>
      <w:r w:rsidR="00333F19" w:rsidRPr="00004D8A">
        <w:rPr>
          <w:rFonts w:ascii="Arial" w:hAnsi="Arial" w:cs="Arial"/>
          <w:sz w:val="24"/>
          <w:szCs w:val="24"/>
        </w:rPr>
        <w:t xml:space="preserve">those with a </w:t>
      </w:r>
      <w:r w:rsidRPr="00004D8A">
        <w:rPr>
          <w:rFonts w:ascii="Arial" w:hAnsi="Arial" w:cs="Arial"/>
          <w:sz w:val="24"/>
          <w:szCs w:val="24"/>
        </w:rPr>
        <w:t>BMI</w:t>
      </w:r>
      <w:r w:rsidR="008127C8" w:rsidRPr="00004D8A">
        <w:rPr>
          <w:rFonts w:ascii="Arial" w:hAnsi="Arial" w:cs="Arial"/>
          <w:sz w:val="24"/>
          <w:szCs w:val="24"/>
        </w:rPr>
        <w:t>≥</w:t>
      </w:r>
      <w:r w:rsidRPr="00004D8A">
        <w:rPr>
          <w:rFonts w:ascii="Arial" w:hAnsi="Arial" w:cs="Arial"/>
          <w:sz w:val="24"/>
          <w:szCs w:val="24"/>
        </w:rPr>
        <w:t>40 the</w:t>
      </w:r>
      <w:r w:rsidR="00333F19" w:rsidRPr="00004D8A">
        <w:rPr>
          <w:rFonts w:ascii="Arial" w:hAnsi="Arial" w:cs="Arial"/>
          <w:sz w:val="24"/>
          <w:szCs w:val="24"/>
        </w:rPr>
        <w:t xml:space="preserve"> predicted reduction</w:t>
      </w:r>
      <w:r w:rsidRPr="00004D8A">
        <w:rPr>
          <w:rFonts w:ascii="Arial" w:hAnsi="Arial" w:cs="Arial"/>
          <w:sz w:val="24"/>
          <w:szCs w:val="24"/>
        </w:rPr>
        <w:t xml:space="preserve"> was 12k</w:t>
      </w:r>
      <w:r w:rsidR="00333F19" w:rsidRPr="00004D8A">
        <w:rPr>
          <w:rFonts w:ascii="Arial" w:hAnsi="Arial" w:cs="Arial"/>
          <w:sz w:val="24"/>
          <w:szCs w:val="24"/>
        </w:rPr>
        <w:t xml:space="preserve"> deaths</w:t>
      </w:r>
      <w:r w:rsidRPr="00004D8A">
        <w:rPr>
          <w:rFonts w:ascii="Arial" w:hAnsi="Arial" w:cs="Arial"/>
          <w:sz w:val="24"/>
          <w:szCs w:val="24"/>
        </w:rPr>
        <w:t xml:space="preserve"> (54% </w:t>
      </w:r>
      <w:r w:rsidR="002F4D16" w:rsidRPr="00004D8A">
        <w:rPr>
          <w:rFonts w:ascii="Arial" w:hAnsi="Arial" w:cs="Arial"/>
          <w:sz w:val="24"/>
          <w:szCs w:val="24"/>
        </w:rPr>
        <w:t>lower</w:t>
      </w:r>
      <w:r w:rsidRPr="00004D8A">
        <w:rPr>
          <w:rFonts w:ascii="Arial" w:hAnsi="Arial" w:cs="Arial"/>
          <w:sz w:val="24"/>
          <w:szCs w:val="24"/>
        </w:rPr>
        <w:t>); while</w:t>
      </w:r>
      <w:r w:rsidR="002F4D16" w:rsidRPr="00004D8A">
        <w:rPr>
          <w:rFonts w:ascii="Arial" w:hAnsi="Arial" w:cs="Arial"/>
          <w:sz w:val="24"/>
          <w:szCs w:val="24"/>
        </w:rPr>
        <w:t xml:space="preserve"> in those aged 16-49yrs with a</w:t>
      </w:r>
      <w:r w:rsidR="00427BFD" w:rsidRPr="00004D8A">
        <w:rPr>
          <w:rFonts w:ascii="Arial" w:hAnsi="Arial" w:cs="Arial"/>
          <w:sz w:val="24"/>
          <w:szCs w:val="24"/>
        </w:rPr>
        <w:t xml:space="preserve"> BMI≥40 </w:t>
      </w:r>
      <w:r w:rsidRPr="00004D8A">
        <w:rPr>
          <w:rFonts w:ascii="Arial" w:hAnsi="Arial" w:cs="Arial"/>
          <w:sz w:val="24"/>
          <w:szCs w:val="24"/>
        </w:rPr>
        <w:t xml:space="preserve">72% of deaths </w:t>
      </w:r>
      <w:r w:rsidR="002F4D16" w:rsidRPr="00004D8A">
        <w:rPr>
          <w:rFonts w:ascii="Arial" w:hAnsi="Arial" w:cs="Arial"/>
          <w:sz w:val="24"/>
          <w:szCs w:val="24"/>
        </w:rPr>
        <w:t>were</w:t>
      </w:r>
      <w:r w:rsidRPr="00004D8A">
        <w:rPr>
          <w:rFonts w:ascii="Arial" w:hAnsi="Arial" w:cs="Arial"/>
          <w:sz w:val="24"/>
          <w:szCs w:val="24"/>
        </w:rPr>
        <w:t xml:space="preserve"> linked to obesity</w:t>
      </w:r>
      <w:r w:rsidR="00C30C44" w:rsidRPr="00004D8A">
        <w:rPr>
          <w:rFonts w:ascii="Arial" w:hAnsi="Arial" w:cs="Arial"/>
          <w:sz w:val="24"/>
          <w:szCs w:val="24"/>
        </w:rPr>
        <w:t>.</w:t>
      </w:r>
    </w:p>
    <w:p w14:paraId="107627EE" w14:textId="650A1F49" w:rsidR="00DF26F9" w:rsidRPr="00004D8A" w:rsidRDefault="00F93FE8" w:rsidP="00500A57">
      <w:pPr>
        <w:spacing w:after="0"/>
        <w:rPr>
          <w:b/>
          <w:bCs/>
        </w:rPr>
      </w:pPr>
      <w:bookmarkStart w:id="5" w:name="_Hlk149476721"/>
      <w:r w:rsidRPr="00004D8A">
        <w:rPr>
          <w:b/>
          <w:bCs/>
        </w:rPr>
        <w:t>Future l</w:t>
      </w:r>
      <w:r w:rsidR="007E3F2B" w:rsidRPr="00004D8A">
        <w:rPr>
          <w:b/>
          <w:bCs/>
        </w:rPr>
        <w:t>ife years lost</w:t>
      </w:r>
      <w:bookmarkEnd w:id="5"/>
      <w:r w:rsidR="003F5392" w:rsidRPr="00004D8A">
        <w:rPr>
          <w:b/>
          <w:bCs/>
        </w:rPr>
        <w:t xml:space="preserve">: </w:t>
      </w:r>
      <w:r w:rsidR="00670BAD" w:rsidRPr="00004D8A">
        <w:t>We</w:t>
      </w:r>
      <w:r w:rsidR="00670BAD" w:rsidRPr="00004D8A">
        <w:rPr>
          <w:b/>
          <w:bCs/>
        </w:rPr>
        <w:t xml:space="preserve"> </w:t>
      </w:r>
      <w:r w:rsidR="00670BAD" w:rsidRPr="00004D8A">
        <w:t>estimated 2</w:t>
      </w:r>
      <w:r w:rsidR="0024365B" w:rsidRPr="00004D8A">
        <w:t>.</w:t>
      </w:r>
      <w:r w:rsidR="00670BAD" w:rsidRPr="00004D8A">
        <w:t>5 years were lost in people with</w:t>
      </w:r>
      <w:r w:rsidR="007E3F2B" w:rsidRPr="00004D8A">
        <w:t xml:space="preserve"> BMI</w:t>
      </w:r>
      <w:r w:rsidR="008127C8" w:rsidRPr="00004D8A">
        <w:t xml:space="preserve"> </w:t>
      </w:r>
      <w:r w:rsidR="007E3F2B" w:rsidRPr="00004D8A">
        <w:t>30-</w:t>
      </w:r>
      <w:r w:rsidR="00C938E9" w:rsidRPr="00004D8A">
        <w:t>3</w:t>
      </w:r>
      <w:r w:rsidR="00427BFD" w:rsidRPr="00004D8A">
        <w:t>9.9</w:t>
      </w:r>
      <w:r w:rsidR="007E3F2B" w:rsidRPr="00004D8A">
        <w:t xml:space="preserve"> </w:t>
      </w:r>
      <w:r w:rsidR="00670BAD" w:rsidRPr="00004D8A">
        <w:t>6.7 years</w:t>
      </w:r>
      <w:r w:rsidR="00670BAD" w:rsidRPr="00004D8A" w:rsidDel="00670BAD">
        <w:t xml:space="preserve"> </w:t>
      </w:r>
      <w:r w:rsidR="00670BAD" w:rsidRPr="00004D8A">
        <w:t>when</w:t>
      </w:r>
      <w:r w:rsidR="007E3F2B" w:rsidRPr="00004D8A">
        <w:t xml:space="preserve"> BMI</w:t>
      </w:r>
      <w:r w:rsidR="003F5392" w:rsidRPr="00004D8A">
        <w:t>≥</w:t>
      </w:r>
      <w:r w:rsidR="007E3F2B" w:rsidRPr="00004D8A">
        <w:t>40</w:t>
      </w:r>
      <w:r w:rsidR="00427BFD" w:rsidRPr="00004D8A">
        <w:t>. H</w:t>
      </w:r>
      <w:r w:rsidR="007E3F2B" w:rsidRPr="00004D8A">
        <w:t>owever</w:t>
      </w:r>
      <w:r w:rsidR="002F4D16" w:rsidRPr="00004D8A">
        <w:t>,</w:t>
      </w:r>
      <w:r w:rsidR="007E3F2B" w:rsidRPr="00004D8A">
        <w:t xml:space="preserve"> for those </w:t>
      </w:r>
      <w:r w:rsidR="00670BAD" w:rsidRPr="00004D8A">
        <w:t>a</w:t>
      </w:r>
      <w:r w:rsidR="007E3F2B" w:rsidRPr="00004D8A">
        <w:t>ge</w:t>
      </w:r>
      <w:r w:rsidR="00670BAD" w:rsidRPr="00004D8A">
        <w:t>d</w:t>
      </w:r>
      <w:r w:rsidR="007E3F2B" w:rsidRPr="00004D8A">
        <w:t xml:space="preserve"> 16-4</w:t>
      </w:r>
      <w:r w:rsidR="003F5392" w:rsidRPr="00004D8A">
        <w:t>9</w:t>
      </w:r>
      <w:r w:rsidR="00670BAD" w:rsidRPr="00004D8A">
        <w:t>yrs</w:t>
      </w:r>
      <w:r w:rsidR="00427BFD" w:rsidRPr="00004D8A">
        <w:t xml:space="preserve"> </w:t>
      </w:r>
      <w:r w:rsidR="00670BAD" w:rsidRPr="00004D8A">
        <w:t>with a</w:t>
      </w:r>
      <w:r w:rsidR="00427BFD" w:rsidRPr="00004D8A">
        <w:t xml:space="preserve"> BMI≥40</w:t>
      </w:r>
      <w:r w:rsidR="00670BAD" w:rsidRPr="00004D8A">
        <w:t xml:space="preserve">, </w:t>
      </w:r>
      <w:r w:rsidR="007E3F2B" w:rsidRPr="00004D8A">
        <w:t>8.3 years</w:t>
      </w:r>
      <w:r w:rsidR="00670BAD" w:rsidRPr="00004D8A">
        <w:t xml:space="preserve"> were lost</w:t>
      </w:r>
      <w:r w:rsidRPr="00004D8A">
        <w:t>.</w:t>
      </w:r>
      <w:r w:rsidR="00DF26F9" w:rsidRPr="00004D8A">
        <w:rPr>
          <w:b/>
          <w:bCs/>
        </w:rPr>
        <w:t xml:space="preserve"> </w:t>
      </w:r>
    </w:p>
    <w:p w14:paraId="3705DCDF" w14:textId="5D04D1C0" w:rsidR="00DF26F9" w:rsidRPr="00173688" w:rsidRDefault="00DF26F9" w:rsidP="00500A57">
      <w:pPr>
        <w:spacing w:after="0"/>
        <w:rPr>
          <w:rFonts w:eastAsiaTheme="minorEastAsia"/>
          <w:kern w:val="24"/>
        </w:rPr>
      </w:pPr>
      <w:r w:rsidRPr="00004D8A">
        <w:rPr>
          <w:b/>
          <w:bCs/>
        </w:rPr>
        <w:t>HCRU:</w:t>
      </w:r>
      <w:r w:rsidRPr="00004D8A">
        <w:t xml:space="preserve"> </w:t>
      </w:r>
      <w:r w:rsidRPr="00004D8A">
        <w:rPr>
          <w:rFonts w:eastAsiaTheme="minorEastAsia"/>
          <w:kern w:val="24"/>
        </w:rPr>
        <w:t>For weight reduction, the annual HCRU decrease in going from BMI≥40 kg/m</w:t>
      </w:r>
      <w:r w:rsidRPr="00004D8A">
        <w:rPr>
          <w:rFonts w:eastAsiaTheme="minorEastAsia"/>
          <w:kern w:val="24"/>
          <w:vertAlign w:val="superscript"/>
        </w:rPr>
        <w:t>2</w:t>
      </w:r>
      <w:r w:rsidRPr="00004D8A">
        <w:rPr>
          <w:rFonts w:eastAsiaTheme="minorEastAsia"/>
          <w:kern w:val="24"/>
        </w:rPr>
        <w:t xml:space="preserve"> to BMI 30-39.9 kg/m</w:t>
      </w:r>
      <w:r w:rsidRPr="00004D8A">
        <w:rPr>
          <w:rFonts w:eastAsiaTheme="minorEastAsia"/>
          <w:kern w:val="24"/>
          <w:vertAlign w:val="superscript"/>
        </w:rPr>
        <w:t>2</w:t>
      </w:r>
      <w:r w:rsidRPr="00004D8A">
        <w:rPr>
          <w:rFonts w:eastAsiaTheme="minorEastAsia"/>
          <w:kern w:val="24"/>
        </w:rPr>
        <w:t xml:space="preserve"> was £342 per person</w:t>
      </w:r>
      <w:r w:rsidRPr="00004D8A">
        <w:t xml:space="preserve"> and going from </w:t>
      </w:r>
      <w:r w:rsidRPr="00173688">
        <w:rPr>
          <w:rFonts w:eastAsiaTheme="minorEastAsia"/>
          <w:kern w:val="24"/>
        </w:rPr>
        <w:t xml:space="preserve">BMI 30-39.9 to BMI 25-29.9 the </w:t>
      </w:r>
      <w:r w:rsidRPr="00004D8A">
        <w:rPr>
          <w:rFonts w:eastAsiaTheme="minorEastAsia"/>
          <w:kern w:val="24"/>
        </w:rPr>
        <w:t>reduction</w:t>
      </w:r>
      <w:r w:rsidRPr="00173688">
        <w:rPr>
          <w:rFonts w:eastAsiaTheme="minorEastAsia"/>
          <w:kern w:val="24"/>
        </w:rPr>
        <w:t xml:space="preserve"> was £316/person.</w:t>
      </w:r>
      <w:r w:rsidR="00BC7681" w:rsidRPr="00173688">
        <w:rPr>
          <w:rFonts w:eastAsiaTheme="minorEastAsia"/>
          <w:kern w:val="24"/>
        </w:rPr>
        <w:t xml:space="preserve"> However</w:t>
      </w:r>
      <w:r w:rsidR="00500A57" w:rsidRPr="00173688">
        <w:rPr>
          <w:rFonts w:eastAsiaTheme="minorEastAsia"/>
          <w:kern w:val="24"/>
        </w:rPr>
        <w:t>,</w:t>
      </w:r>
      <w:r w:rsidR="00BC7681" w:rsidRPr="00173688">
        <w:rPr>
          <w:rFonts w:eastAsiaTheme="minorEastAsia"/>
          <w:kern w:val="24"/>
        </w:rPr>
        <w:t xml:space="preserve"> lifetime costs </w:t>
      </w:r>
      <w:r w:rsidR="00EE48C9" w:rsidRPr="00173688">
        <w:rPr>
          <w:rFonts w:eastAsiaTheme="minorEastAsia"/>
          <w:kern w:val="24"/>
        </w:rPr>
        <w:t>were</w:t>
      </w:r>
      <w:r w:rsidR="00BC7681" w:rsidRPr="00173688">
        <w:rPr>
          <w:rFonts w:eastAsiaTheme="minorEastAsia"/>
          <w:kern w:val="24"/>
        </w:rPr>
        <w:t xml:space="preserve"> </w:t>
      </w:r>
      <w:r w:rsidR="003B3C4F" w:rsidRPr="00173688">
        <w:rPr>
          <w:rFonts w:eastAsiaTheme="minorEastAsia"/>
          <w:kern w:val="24"/>
        </w:rPr>
        <w:t>similar because</w:t>
      </w:r>
      <w:r w:rsidR="00BC7681" w:rsidRPr="00173688">
        <w:rPr>
          <w:rFonts w:eastAsiaTheme="minorEastAsia"/>
          <w:kern w:val="24"/>
        </w:rPr>
        <w:t xml:space="preserve"> of reduced life expectancy for obese individuals.</w:t>
      </w:r>
    </w:p>
    <w:p w14:paraId="266DB2DC" w14:textId="7C8F2A36" w:rsidR="00BB13C5" w:rsidRPr="00004D8A" w:rsidRDefault="00F04B0E" w:rsidP="00500A57">
      <w:pPr>
        <w:spacing w:after="0"/>
      </w:pPr>
      <w:r w:rsidRPr="00004D8A">
        <w:rPr>
          <w:b/>
          <w:bCs/>
        </w:rPr>
        <w:t>Quality Adjusted Life Years (</w:t>
      </w:r>
      <w:r w:rsidR="00BB13C5" w:rsidRPr="00004D8A">
        <w:rPr>
          <w:b/>
          <w:bCs/>
        </w:rPr>
        <w:t>QALY</w:t>
      </w:r>
      <w:r w:rsidRPr="00004D8A">
        <w:rPr>
          <w:b/>
          <w:bCs/>
        </w:rPr>
        <w:t>)</w:t>
      </w:r>
      <w:r w:rsidR="007E3F2B" w:rsidRPr="00004D8A">
        <w:rPr>
          <w:b/>
          <w:bCs/>
        </w:rPr>
        <w:t>:</w:t>
      </w:r>
      <w:r w:rsidR="007E3F2B" w:rsidRPr="00004D8A">
        <w:t xml:space="preserve"> </w:t>
      </w:r>
      <w:r w:rsidR="00BB13C5" w:rsidRPr="00004D8A">
        <w:t xml:space="preserve">Overall, 791,689 </w:t>
      </w:r>
      <w:r w:rsidR="00F0334A" w:rsidRPr="00004D8A">
        <w:t>future life years lost</w:t>
      </w:r>
      <w:r w:rsidR="00BB13C5" w:rsidRPr="00004D8A">
        <w:t xml:space="preserve"> </w:t>
      </w:r>
      <w:r w:rsidR="00425BA7" w:rsidRPr="00004D8A">
        <w:t xml:space="preserve">(13.1% of all) </w:t>
      </w:r>
      <w:r w:rsidR="00BB13C5" w:rsidRPr="00004D8A">
        <w:t>in people with BMI ≥25 were related to excess weight.</w:t>
      </w:r>
    </w:p>
    <w:p w14:paraId="59735998" w14:textId="5830F9ED" w:rsidR="00BB13C5" w:rsidRPr="00004D8A" w:rsidRDefault="0042148D" w:rsidP="00500A57">
      <w:pPr>
        <w:spacing w:after="0"/>
        <w:jc w:val="both"/>
      </w:pPr>
      <w:r w:rsidRPr="00004D8A">
        <w:t xml:space="preserve">When </w:t>
      </w:r>
      <w:r w:rsidR="00BB13C5" w:rsidRPr="00004D8A">
        <w:t xml:space="preserve">the NICE £30,000 per QALY value was applied to the estimated total 791,689 </w:t>
      </w:r>
      <w:r w:rsidR="007A0E22" w:rsidRPr="00004D8A">
        <w:t>Future life years lost</w:t>
      </w:r>
      <w:r w:rsidR="00BB13C5" w:rsidRPr="00004D8A">
        <w:t xml:space="preserve"> then the potential QALY value </w:t>
      </w:r>
      <w:r w:rsidR="00561AD8" w:rsidRPr="00004D8A">
        <w:t xml:space="preserve">reduction </w:t>
      </w:r>
      <w:r w:rsidR="00BB13C5" w:rsidRPr="00004D8A">
        <w:t xml:space="preserve">lost </w:t>
      </w:r>
      <w:r w:rsidRPr="00004D8A">
        <w:t>wa</w:t>
      </w:r>
      <w:r w:rsidR="00BB13C5" w:rsidRPr="00004D8A">
        <w:t>s equivalent to £24 billion/year or £522</w:t>
      </w:r>
      <w:r w:rsidRPr="00004D8A">
        <w:t>/</w:t>
      </w:r>
      <w:r w:rsidR="00BB13C5" w:rsidRPr="00004D8A">
        <w:t xml:space="preserve">person </w:t>
      </w:r>
      <w:r w:rsidRPr="00004D8A">
        <w:t>in the</w:t>
      </w:r>
      <w:r w:rsidR="00F0334A" w:rsidRPr="00004D8A">
        <w:t xml:space="preserve"> obese</w:t>
      </w:r>
      <w:r w:rsidRPr="00004D8A">
        <w:t xml:space="preserve"> </w:t>
      </w:r>
      <w:r w:rsidR="00BB13C5" w:rsidRPr="00004D8A">
        <w:t xml:space="preserve">population. For morbidly obese men and women the potential QALY value lost </w:t>
      </w:r>
      <w:r w:rsidRPr="00004D8A">
        <w:t>wa</w:t>
      </w:r>
      <w:r w:rsidR="00BB13C5" w:rsidRPr="00004D8A">
        <w:t>s £2864</w:t>
      </w:r>
      <w:r w:rsidRPr="00004D8A">
        <w:t>/</w:t>
      </w:r>
      <w:r w:rsidR="00BB13C5" w:rsidRPr="00004D8A">
        <w:t>person</w:t>
      </w:r>
      <w:r w:rsidRPr="00004D8A">
        <w:t>/</w:t>
      </w:r>
      <w:r w:rsidR="00BB13C5" w:rsidRPr="00004D8A">
        <w:t>year.</w:t>
      </w:r>
    </w:p>
    <w:p w14:paraId="2006DC9E" w14:textId="668E948A" w:rsidR="007E3F2B" w:rsidRPr="00004D8A" w:rsidRDefault="007E3F2B" w:rsidP="00500A57">
      <w:pPr>
        <w:pStyle w:val="NoSpacing"/>
        <w:spacing w:line="360" w:lineRule="auto"/>
        <w:rPr>
          <w:rFonts w:ascii="Arial" w:hAnsi="Arial" w:cs="Arial"/>
          <w:sz w:val="24"/>
          <w:szCs w:val="24"/>
        </w:rPr>
      </w:pPr>
      <w:r w:rsidRPr="00004D8A">
        <w:rPr>
          <w:rFonts w:ascii="Arial" w:hAnsi="Arial" w:cs="Arial"/>
          <w:b/>
          <w:bCs/>
          <w:sz w:val="24"/>
          <w:szCs w:val="24"/>
        </w:rPr>
        <w:t>Geography:</w:t>
      </w:r>
      <w:r w:rsidRPr="00004D8A">
        <w:rPr>
          <w:rFonts w:ascii="Arial" w:hAnsi="Arial" w:cs="Arial"/>
          <w:sz w:val="24"/>
          <w:szCs w:val="24"/>
        </w:rPr>
        <w:t xml:space="preserve"> </w:t>
      </w:r>
      <w:r w:rsidR="0042148D" w:rsidRPr="00004D8A">
        <w:rPr>
          <w:rFonts w:ascii="Arial" w:hAnsi="Arial" w:cs="Arial"/>
          <w:sz w:val="24"/>
          <w:szCs w:val="24"/>
        </w:rPr>
        <w:t>Across t</w:t>
      </w:r>
      <w:r w:rsidRPr="00004D8A">
        <w:rPr>
          <w:rFonts w:ascii="Arial" w:hAnsi="Arial" w:cs="Arial"/>
          <w:sz w:val="24"/>
          <w:szCs w:val="24"/>
        </w:rPr>
        <w:t>he 4</w:t>
      </w:r>
      <w:r w:rsidR="008127C8" w:rsidRPr="00004D8A">
        <w:rPr>
          <w:rFonts w:ascii="Arial" w:hAnsi="Arial" w:cs="Arial"/>
          <w:sz w:val="24"/>
          <w:szCs w:val="24"/>
        </w:rPr>
        <w:t>2</w:t>
      </w:r>
      <w:r w:rsidRPr="00004D8A">
        <w:rPr>
          <w:rFonts w:ascii="Arial" w:hAnsi="Arial" w:cs="Arial"/>
          <w:sz w:val="24"/>
          <w:szCs w:val="24"/>
        </w:rPr>
        <w:t xml:space="preserve"> ICB</w:t>
      </w:r>
      <w:r w:rsidR="0042148D" w:rsidRPr="00004D8A">
        <w:rPr>
          <w:rFonts w:ascii="Arial" w:hAnsi="Arial" w:cs="Arial"/>
          <w:sz w:val="24"/>
          <w:szCs w:val="24"/>
        </w:rPr>
        <w:t xml:space="preserve">s we observed </w:t>
      </w:r>
      <w:r w:rsidRPr="00004D8A">
        <w:rPr>
          <w:rFonts w:ascii="Arial" w:hAnsi="Arial" w:cs="Arial"/>
          <w:sz w:val="24"/>
          <w:szCs w:val="24"/>
        </w:rPr>
        <w:t xml:space="preserve">significant variation </w:t>
      </w:r>
      <w:r w:rsidR="00EE48C9" w:rsidRPr="00004D8A">
        <w:rPr>
          <w:rFonts w:ascii="Arial" w:hAnsi="Arial" w:cs="Arial"/>
          <w:sz w:val="24"/>
          <w:szCs w:val="24"/>
        </w:rPr>
        <w:t xml:space="preserve">in </w:t>
      </w:r>
      <w:r w:rsidR="0042148D" w:rsidRPr="00004D8A">
        <w:rPr>
          <w:rFonts w:ascii="Arial" w:hAnsi="Arial" w:cs="Arial"/>
          <w:sz w:val="24"/>
          <w:szCs w:val="24"/>
        </w:rPr>
        <w:t xml:space="preserve">the </w:t>
      </w:r>
      <w:r w:rsidRPr="00004D8A">
        <w:rPr>
          <w:rFonts w:ascii="Arial" w:hAnsi="Arial" w:cs="Arial"/>
          <w:sz w:val="24"/>
          <w:szCs w:val="24"/>
        </w:rPr>
        <w:t xml:space="preserve">prevalence </w:t>
      </w:r>
      <w:r w:rsidR="0042148D" w:rsidRPr="00004D8A">
        <w:rPr>
          <w:rFonts w:ascii="Arial" w:hAnsi="Arial" w:cs="Arial"/>
          <w:sz w:val="24"/>
          <w:szCs w:val="24"/>
        </w:rPr>
        <w:t xml:space="preserve">of </w:t>
      </w:r>
      <w:r w:rsidRPr="00004D8A">
        <w:rPr>
          <w:rFonts w:ascii="Arial" w:hAnsi="Arial" w:cs="Arial"/>
          <w:sz w:val="24"/>
          <w:szCs w:val="24"/>
        </w:rPr>
        <w:t xml:space="preserve">BMI </w:t>
      </w:r>
      <w:r w:rsidR="00813261" w:rsidRPr="00004D8A">
        <w:rPr>
          <w:rFonts w:ascii="Arial" w:hAnsi="Arial" w:cs="Arial"/>
          <w:sz w:val="24"/>
          <w:szCs w:val="24"/>
        </w:rPr>
        <w:t>&gt;=</w:t>
      </w:r>
      <w:r w:rsidRPr="00004D8A">
        <w:rPr>
          <w:rFonts w:ascii="Arial" w:hAnsi="Arial" w:cs="Arial"/>
          <w:sz w:val="24"/>
          <w:szCs w:val="24"/>
        </w:rPr>
        <w:t>40 (1.8% - 4</w:t>
      </w:r>
      <w:r w:rsidR="008127C8" w:rsidRPr="00004D8A">
        <w:rPr>
          <w:rFonts w:ascii="Arial" w:hAnsi="Arial" w:cs="Arial"/>
          <w:sz w:val="24"/>
          <w:szCs w:val="24"/>
        </w:rPr>
        <w:t>.</w:t>
      </w:r>
      <w:r w:rsidRPr="00004D8A">
        <w:rPr>
          <w:rFonts w:ascii="Arial" w:hAnsi="Arial" w:cs="Arial"/>
          <w:sz w:val="24"/>
          <w:szCs w:val="24"/>
        </w:rPr>
        <w:t>3%)</w:t>
      </w:r>
      <w:r w:rsidR="0042148D" w:rsidRPr="00004D8A">
        <w:rPr>
          <w:rFonts w:ascii="Arial" w:hAnsi="Arial" w:cs="Arial"/>
          <w:sz w:val="24"/>
          <w:szCs w:val="24"/>
        </w:rPr>
        <w:t xml:space="preserve">, </w:t>
      </w:r>
      <w:r w:rsidRPr="00004D8A">
        <w:rPr>
          <w:rFonts w:ascii="Arial" w:hAnsi="Arial" w:cs="Arial"/>
          <w:sz w:val="24"/>
          <w:szCs w:val="24"/>
        </w:rPr>
        <w:t xml:space="preserve">excess mortality (11.6% - 15.4%), and HCRU linked to </w:t>
      </w:r>
      <w:r w:rsidR="0042148D" w:rsidRPr="00004D8A">
        <w:rPr>
          <w:rFonts w:ascii="Arial" w:hAnsi="Arial" w:cs="Arial"/>
          <w:sz w:val="24"/>
          <w:szCs w:val="24"/>
        </w:rPr>
        <w:t xml:space="preserve">higher </w:t>
      </w:r>
      <w:r w:rsidRPr="00004D8A">
        <w:rPr>
          <w:rFonts w:ascii="Arial" w:hAnsi="Arial" w:cs="Arial"/>
          <w:sz w:val="24"/>
          <w:szCs w:val="24"/>
        </w:rPr>
        <w:t>BMI (7.2% - 8.8%)</w:t>
      </w:r>
      <w:r w:rsidR="008127C8" w:rsidRPr="00004D8A">
        <w:rPr>
          <w:rFonts w:ascii="Arial" w:hAnsi="Arial" w:cs="Arial"/>
          <w:sz w:val="24"/>
          <w:szCs w:val="24"/>
        </w:rPr>
        <w:t>. The a</w:t>
      </w:r>
      <w:r w:rsidRPr="00004D8A">
        <w:rPr>
          <w:rFonts w:ascii="Arial" w:hAnsi="Arial" w:cs="Arial"/>
          <w:sz w:val="24"/>
          <w:szCs w:val="24"/>
        </w:rPr>
        <w:t xml:space="preserve">reas with the </w:t>
      </w:r>
      <w:r w:rsidR="0042148D" w:rsidRPr="00004D8A">
        <w:rPr>
          <w:rFonts w:ascii="Arial" w:hAnsi="Arial" w:cs="Arial"/>
          <w:sz w:val="24"/>
          <w:szCs w:val="24"/>
        </w:rPr>
        <w:t>greatest</w:t>
      </w:r>
      <w:r w:rsidRPr="00004D8A">
        <w:rPr>
          <w:rFonts w:ascii="Arial" w:hAnsi="Arial" w:cs="Arial"/>
          <w:sz w:val="24"/>
          <w:szCs w:val="24"/>
        </w:rPr>
        <w:t xml:space="preserve"> impact </w:t>
      </w:r>
      <w:r w:rsidR="00F0334A" w:rsidRPr="00004D8A">
        <w:rPr>
          <w:rFonts w:ascii="Arial" w:hAnsi="Arial" w:cs="Arial"/>
          <w:sz w:val="24"/>
          <w:szCs w:val="24"/>
        </w:rPr>
        <w:t xml:space="preserve">on HCRU </w:t>
      </w:r>
      <w:r w:rsidR="0042148D" w:rsidRPr="00004D8A">
        <w:rPr>
          <w:rFonts w:ascii="Arial" w:hAnsi="Arial" w:cs="Arial"/>
          <w:sz w:val="24"/>
          <w:szCs w:val="24"/>
        </w:rPr>
        <w:t>we</w:t>
      </w:r>
      <w:r w:rsidRPr="00004D8A">
        <w:rPr>
          <w:rFonts w:ascii="Arial" w:hAnsi="Arial" w:cs="Arial"/>
          <w:sz w:val="24"/>
          <w:szCs w:val="24"/>
        </w:rPr>
        <w:t>re in the north</w:t>
      </w:r>
      <w:r w:rsidR="008127C8" w:rsidRPr="00004D8A">
        <w:rPr>
          <w:rFonts w:ascii="Arial" w:hAnsi="Arial" w:cs="Arial"/>
          <w:sz w:val="24"/>
          <w:szCs w:val="24"/>
        </w:rPr>
        <w:t>-</w:t>
      </w:r>
      <w:r w:rsidRPr="00004D8A">
        <w:rPr>
          <w:rFonts w:ascii="Arial" w:hAnsi="Arial" w:cs="Arial"/>
          <w:sz w:val="24"/>
          <w:szCs w:val="24"/>
        </w:rPr>
        <w:t>west, north</w:t>
      </w:r>
      <w:r w:rsidR="008127C8" w:rsidRPr="00004D8A">
        <w:rPr>
          <w:rFonts w:ascii="Arial" w:hAnsi="Arial" w:cs="Arial"/>
          <w:sz w:val="24"/>
          <w:szCs w:val="24"/>
        </w:rPr>
        <w:t>-</w:t>
      </w:r>
      <w:r w:rsidRPr="00004D8A">
        <w:rPr>
          <w:rFonts w:ascii="Arial" w:hAnsi="Arial" w:cs="Arial"/>
          <w:sz w:val="24"/>
          <w:szCs w:val="24"/>
        </w:rPr>
        <w:t>east and midland</w:t>
      </w:r>
      <w:r w:rsidR="008127C8" w:rsidRPr="00004D8A">
        <w:rPr>
          <w:rFonts w:ascii="Arial" w:hAnsi="Arial" w:cs="Arial"/>
          <w:sz w:val="24"/>
          <w:szCs w:val="24"/>
        </w:rPr>
        <w:t>s</w:t>
      </w:r>
      <w:r w:rsidRPr="00004D8A">
        <w:rPr>
          <w:rFonts w:ascii="Arial" w:hAnsi="Arial" w:cs="Arial"/>
          <w:sz w:val="24"/>
          <w:szCs w:val="24"/>
        </w:rPr>
        <w:t xml:space="preserve"> </w:t>
      </w:r>
      <w:r w:rsidR="00C30C44" w:rsidRPr="00004D8A">
        <w:rPr>
          <w:rFonts w:ascii="Arial" w:hAnsi="Arial" w:cs="Arial"/>
          <w:sz w:val="24"/>
          <w:szCs w:val="24"/>
        </w:rPr>
        <w:t>of England,</w:t>
      </w:r>
      <w:r w:rsidR="00CD702C" w:rsidRPr="00004D8A">
        <w:rPr>
          <w:rFonts w:ascii="Arial" w:hAnsi="Arial" w:cs="Arial"/>
          <w:sz w:val="24"/>
          <w:szCs w:val="24"/>
        </w:rPr>
        <w:t xml:space="preserve"> </w:t>
      </w:r>
      <w:r w:rsidRPr="00004D8A">
        <w:rPr>
          <w:rFonts w:ascii="Arial" w:hAnsi="Arial" w:cs="Arial"/>
          <w:sz w:val="24"/>
          <w:szCs w:val="24"/>
        </w:rPr>
        <w:t xml:space="preserve">while the </w:t>
      </w:r>
      <w:r w:rsidR="00CD702C" w:rsidRPr="00004D8A">
        <w:rPr>
          <w:rFonts w:ascii="Arial" w:hAnsi="Arial" w:cs="Arial"/>
          <w:sz w:val="24"/>
          <w:szCs w:val="24"/>
        </w:rPr>
        <w:t>south shows</w:t>
      </w:r>
      <w:r w:rsidRPr="00004D8A">
        <w:rPr>
          <w:rFonts w:ascii="Arial" w:hAnsi="Arial" w:cs="Arial"/>
          <w:sz w:val="24"/>
          <w:szCs w:val="24"/>
        </w:rPr>
        <w:t xml:space="preserve"> less impact</w:t>
      </w:r>
      <w:r w:rsidR="008127C8" w:rsidRPr="00004D8A">
        <w:rPr>
          <w:rFonts w:ascii="Arial" w:hAnsi="Arial" w:cs="Arial"/>
          <w:sz w:val="24"/>
          <w:szCs w:val="24"/>
        </w:rPr>
        <w:t>.</w:t>
      </w:r>
    </w:p>
    <w:p w14:paraId="424A64C7" w14:textId="77777777" w:rsidR="007E3F2B" w:rsidRPr="00004D8A" w:rsidRDefault="007E3F2B" w:rsidP="00500A57">
      <w:pPr>
        <w:pStyle w:val="Heading3"/>
        <w:spacing w:line="360" w:lineRule="auto"/>
        <w:rPr>
          <w:rFonts w:ascii="Arial" w:hAnsi="Arial" w:cs="Arial"/>
        </w:rPr>
      </w:pPr>
      <w:r w:rsidRPr="00004D8A">
        <w:rPr>
          <w:rFonts w:ascii="Arial" w:hAnsi="Arial" w:cs="Arial"/>
        </w:rPr>
        <w:t>Conclusion</w:t>
      </w:r>
    </w:p>
    <w:p w14:paraId="3B08F5CB" w14:textId="2BFFAF5A" w:rsidR="007E3F2B" w:rsidRPr="00004D8A" w:rsidRDefault="00BE5094" w:rsidP="00500A57">
      <w:pPr>
        <w:pStyle w:val="NoSpacing"/>
        <w:spacing w:line="360" w:lineRule="auto"/>
        <w:jc w:val="both"/>
        <w:rPr>
          <w:rFonts w:ascii="Arial" w:hAnsi="Arial" w:cs="Arial"/>
          <w:sz w:val="24"/>
          <w:szCs w:val="24"/>
        </w:rPr>
      </w:pPr>
      <w:bookmarkStart w:id="6" w:name="_Hlk149482430"/>
      <w:r w:rsidRPr="00004D8A">
        <w:rPr>
          <w:rFonts w:ascii="Arial" w:hAnsi="Arial" w:cs="Arial"/>
          <w:sz w:val="24"/>
          <w:szCs w:val="24"/>
        </w:rPr>
        <w:t xml:space="preserve">The expected </w:t>
      </w:r>
      <w:r w:rsidR="00725CBB" w:rsidRPr="00004D8A">
        <w:rPr>
          <w:rFonts w:ascii="Arial" w:hAnsi="Arial" w:cs="Arial"/>
          <w:sz w:val="24"/>
          <w:szCs w:val="24"/>
        </w:rPr>
        <w:t xml:space="preserve">increases </w:t>
      </w:r>
      <w:r w:rsidR="0075731D" w:rsidRPr="00004D8A">
        <w:rPr>
          <w:rFonts w:ascii="Arial" w:hAnsi="Arial" w:cs="Arial"/>
          <w:sz w:val="24"/>
          <w:szCs w:val="24"/>
        </w:rPr>
        <w:t xml:space="preserve">in annual </w:t>
      </w:r>
      <w:r w:rsidR="006C55EB" w:rsidRPr="00004D8A">
        <w:rPr>
          <w:rFonts w:ascii="Arial" w:hAnsi="Arial" w:cs="Arial"/>
          <w:sz w:val="24"/>
          <w:szCs w:val="24"/>
        </w:rPr>
        <w:t>HCRU</w:t>
      </w:r>
      <w:r w:rsidR="00813261" w:rsidRPr="00004D8A">
        <w:rPr>
          <w:rFonts w:ascii="Arial" w:hAnsi="Arial" w:cs="Arial"/>
          <w:sz w:val="24"/>
          <w:szCs w:val="24"/>
        </w:rPr>
        <w:t xml:space="preserve"> </w:t>
      </w:r>
      <w:r w:rsidR="0075731D" w:rsidRPr="00004D8A">
        <w:rPr>
          <w:rFonts w:ascii="Arial" w:hAnsi="Arial" w:cs="Arial"/>
          <w:sz w:val="24"/>
          <w:szCs w:val="24"/>
        </w:rPr>
        <w:t>d</w:t>
      </w:r>
      <w:r w:rsidRPr="00004D8A">
        <w:rPr>
          <w:rFonts w:ascii="Arial" w:hAnsi="Arial" w:cs="Arial"/>
          <w:sz w:val="24"/>
          <w:szCs w:val="24"/>
        </w:rPr>
        <w:t xml:space="preserve">ue to obesity </w:t>
      </w:r>
      <w:r w:rsidR="0075731D" w:rsidRPr="00004D8A">
        <w:rPr>
          <w:rFonts w:ascii="Arial" w:hAnsi="Arial" w:cs="Arial"/>
          <w:sz w:val="24"/>
          <w:szCs w:val="24"/>
        </w:rPr>
        <w:t xml:space="preserve">when considered over a lifetime </w:t>
      </w:r>
      <w:r w:rsidR="006C55EB" w:rsidRPr="00004D8A">
        <w:rPr>
          <w:rFonts w:ascii="Arial" w:hAnsi="Arial" w:cs="Arial"/>
          <w:sz w:val="24"/>
          <w:szCs w:val="24"/>
        </w:rPr>
        <w:t xml:space="preserve">are </w:t>
      </w:r>
      <w:r w:rsidRPr="00004D8A">
        <w:rPr>
          <w:rFonts w:ascii="Arial" w:hAnsi="Arial" w:cs="Arial"/>
          <w:sz w:val="24"/>
          <w:szCs w:val="24"/>
        </w:rPr>
        <w:t xml:space="preserve">being </w:t>
      </w:r>
      <w:r w:rsidR="006C55EB" w:rsidRPr="00004D8A">
        <w:rPr>
          <w:rFonts w:ascii="Arial" w:hAnsi="Arial" w:cs="Arial"/>
          <w:sz w:val="24"/>
          <w:szCs w:val="24"/>
        </w:rPr>
        <w:t xml:space="preserve">mitigated by </w:t>
      </w:r>
      <w:r w:rsidR="0075731D" w:rsidRPr="00004D8A">
        <w:rPr>
          <w:rFonts w:ascii="Arial" w:hAnsi="Arial" w:cs="Arial"/>
          <w:sz w:val="24"/>
          <w:szCs w:val="24"/>
        </w:rPr>
        <w:t xml:space="preserve">reduced </w:t>
      </w:r>
      <w:r w:rsidR="006C55EB" w:rsidRPr="00004D8A">
        <w:rPr>
          <w:rFonts w:ascii="Arial" w:hAnsi="Arial" w:cs="Arial"/>
          <w:sz w:val="24"/>
          <w:szCs w:val="24"/>
        </w:rPr>
        <w:t xml:space="preserve">the increased mortality of obese individuals. Our </w:t>
      </w:r>
      <w:r w:rsidR="00840481" w:rsidRPr="00004D8A">
        <w:rPr>
          <w:rFonts w:ascii="Arial" w:hAnsi="Arial" w:cs="Arial"/>
          <w:sz w:val="24"/>
          <w:szCs w:val="24"/>
        </w:rPr>
        <w:t>data suggest that s</w:t>
      </w:r>
      <w:r w:rsidR="007E3F2B" w:rsidRPr="00004D8A">
        <w:rPr>
          <w:rFonts w:ascii="Arial" w:hAnsi="Arial" w:cs="Arial"/>
          <w:sz w:val="24"/>
          <w:szCs w:val="24"/>
        </w:rPr>
        <w:t xml:space="preserve">imple short term HCRU reduction </w:t>
      </w:r>
      <w:r w:rsidR="00840481" w:rsidRPr="00004D8A">
        <w:rPr>
          <w:rFonts w:ascii="Arial" w:hAnsi="Arial" w:cs="Arial"/>
          <w:sz w:val="24"/>
          <w:szCs w:val="24"/>
        </w:rPr>
        <w:t xml:space="preserve">brought about through BMI reduction </w:t>
      </w:r>
      <w:r w:rsidR="007E3F2B" w:rsidRPr="00004D8A">
        <w:rPr>
          <w:rFonts w:ascii="Arial" w:hAnsi="Arial" w:cs="Arial"/>
          <w:sz w:val="24"/>
          <w:szCs w:val="24"/>
        </w:rPr>
        <w:t xml:space="preserve">will be insufficient to fund </w:t>
      </w:r>
      <w:r w:rsidR="00DF26F9" w:rsidRPr="00004D8A">
        <w:rPr>
          <w:rFonts w:ascii="Arial" w:hAnsi="Arial" w:cs="Arial"/>
          <w:sz w:val="24"/>
          <w:szCs w:val="24"/>
        </w:rPr>
        <w:t xml:space="preserve">additional </w:t>
      </w:r>
      <w:r w:rsidR="007E3F2B" w:rsidRPr="00004D8A">
        <w:rPr>
          <w:rFonts w:ascii="Arial" w:hAnsi="Arial" w:cs="Arial"/>
          <w:sz w:val="24"/>
          <w:szCs w:val="24"/>
        </w:rPr>
        <w:t>specialist weight reduction intervention</w:t>
      </w:r>
      <w:r w:rsidR="00840481" w:rsidRPr="00004D8A">
        <w:rPr>
          <w:rFonts w:ascii="Arial" w:hAnsi="Arial" w:cs="Arial"/>
          <w:sz w:val="24"/>
          <w:szCs w:val="24"/>
        </w:rPr>
        <w:t>s</w:t>
      </w:r>
      <w:r w:rsidR="007E3F2B" w:rsidRPr="00004D8A">
        <w:rPr>
          <w:rFonts w:ascii="Arial" w:hAnsi="Arial" w:cs="Arial"/>
          <w:sz w:val="24"/>
          <w:szCs w:val="24"/>
        </w:rPr>
        <w:t xml:space="preserve">. </w:t>
      </w:r>
    </w:p>
    <w:p w14:paraId="04E9A304" w14:textId="268F2D38" w:rsidR="004E05F8" w:rsidRPr="00004D8A" w:rsidRDefault="004E05F8" w:rsidP="00A930A9">
      <w:pPr>
        <w:jc w:val="both"/>
        <w:rPr>
          <w:kern w:val="0"/>
          <w14:ligatures w14:val="none"/>
        </w:rPr>
      </w:pPr>
      <w:r w:rsidRPr="00004D8A">
        <w:t xml:space="preserve">The HRCUs associated with BMI are not in most cases related to short term health conditions. They are a cumulative result over </w:t>
      </w:r>
      <w:proofErr w:type="gramStart"/>
      <w:r w:rsidRPr="00004D8A">
        <w:t>a number of</w:t>
      </w:r>
      <w:proofErr w:type="gramEnd"/>
      <w:r w:rsidRPr="00004D8A">
        <w:t xml:space="preserve"> years, so for age 16-49 years reducing BMI from ≥40 to 30-39.9kg/m</w:t>
      </w:r>
      <w:r w:rsidRPr="00004D8A">
        <w:rPr>
          <w:vertAlign w:val="superscript"/>
        </w:rPr>
        <w:t>2</w:t>
      </w:r>
      <w:r w:rsidRPr="00004D8A">
        <w:t xml:space="preserve"> </w:t>
      </w:r>
      <w:bookmarkStart w:id="7" w:name="_Hlk153312303"/>
      <w:r w:rsidRPr="00004D8A">
        <w:t xml:space="preserve">might show an annual decrease HCRU/person by £325/year for women and £80/year for men but this might not be immediately </w:t>
      </w:r>
      <w:r w:rsidR="00754FEB" w:rsidRPr="00004D8A">
        <w:t>occurred</w:t>
      </w:r>
      <w:r w:rsidRPr="00004D8A">
        <w:t xml:space="preserve"> within that year</w:t>
      </w:r>
      <w:bookmarkEnd w:id="7"/>
      <w:r w:rsidRPr="00004D8A">
        <w:t xml:space="preserve">. For those aged &gt;70 years reducing BMI from </w:t>
      </w:r>
      <w:r w:rsidRPr="00004D8A">
        <w:rPr>
          <w:kern w:val="0"/>
          <w14:ligatures w14:val="none"/>
        </w:rPr>
        <w:lastRenderedPageBreak/>
        <w:t>≥40 to 30-39.kg/m</w:t>
      </w:r>
      <w:r w:rsidRPr="00004D8A">
        <w:rPr>
          <w:kern w:val="0"/>
          <w:vertAlign w:val="superscript"/>
          <w14:ligatures w14:val="none"/>
        </w:rPr>
        <w:t>2</w:t>
      </w:r>
      <w:r w:rsidRPr="00004D8A">
        <w:t xml:space="preserve"> </w:t>
      </w:r>
      <w:r w:rsidRPr="00004D8A">
        <w:rPr>
          <w:kern w:val="0"/>
          <w14:ligatures w14:val="none"/>
        </w:rPr>
        <w:t>might show an annual decrease HCRU/person by £777/year for women and £796/year for men but also not be manifest within that year.</w:t>
      </w:r>
    </w:p>
    <w:p w14:paraId="71343DDB" w14:textId="2A6EEFA3" w:rsidR="000E4247" w:rsidRPr="00004D8A" w:rsidRDefault="00500A57" w:rsidP="00500A57">
      <w:pPr>
        <w:pStyle w:val="NoSpacing"/>
        <w:spacing w:line="360" w:lineRule="auto"/>
        <w:jc w:val="both"/>
      </w:pPr>
      <w:r w:rsidRPr="00004D8A">
        <w:rPr>
          <w:rFonts w:ascii="Arial" w:hAnsi="Arial" w:cs="Arial"/>
          <w:sz w:val="24"/>
          <w:szCs w:val="24"/>
        </w:rPr>
        <w:t>However,</w:t>
      </w:r>
      <w:r w:rsidR="007E43BE" w:rsidRPr="00004D8A">
        <w:rPr>
          <w:rFonts w:ascii="Arial" w:hAnsi="Arial" w:cs="Arial"/>
          <w:sz w:val="24"/>
          <w:szCs w:val="24"/>
        </w:rPr>
        <w:t xml:space="preserve"> for morbidly obese men and women the potential QALY value lost was £2864/person/year with the potential for these funds to be applied to intensive weight management programmes</w:t>
      </w:r>
      <w:r w:rsidR="006C55EB" w:rsidRPr="00004D8A">
        <w:rPr>
          <w:rFonts w:ascii="Arial" w:hAnsi="Arial" w:cs="Arial"/>
          <w:sz w:val="24"/>
          <w:szCs w:val="24"/>
        </w:rPr>
        <w:t xml:space="preserve"> including pharmacotherapy.</w:t>
      </w:r>
      <w:r w:rsidR="005235F8" w:rsidRPr="00004D8A">
        <w:rPr>
          <w:sz w:val="24"/>
        </w:rPr>
        <w:br w:type="page"/>
      </w:r>
      <w:bookmarkEnd w:id="6"/>
      <w:r w:rsidR="006B5FE5" w:rsidRPr="00004D8A">
        <w:rPr>
          <w:rFonts w:ascii="Arial" w:hAnsi="Arial" w:cs="Arial"/>
          <w:b/>
          <w:bCs/>
          <w:sz w:val="24"/>
          <w:szCs w:val="24"/>
        </w:rPr>
        <w:lastRenderedPageBreak/>
        <w:t>Key Summary Points</w:t>
      </w:r>
      <w:r w:rsidR="004F5D90" w:rsidRPr="00004D8A">
        <w:t xml:space="preserve"> </w:t>
      </w:r>
    </w:p>
    <w:p w14:paraId="5B01C1DA" w14:textId="77777777" w:rsidR="0033119D" w:rsidRPr="00004D8A" w:rsidRDefault="0033119D" w:rsidP="007E43BE">
      <w:pPr>
        <w:pStyle w:val="NoSpacing"/>
        <w:jc w:val="both"/>
      </w:pPr>
    </w:p>
    <w:p w14:paraId="70BB9A58" w14:textId="77777777" w:rsidR="00F45B2C" w:rsidRPr="00004D8A" w:rsidRDefault="004F5D90" w:rsidP="00B94E2B">
      <w:pPr>
        <w:spacing w:after="0"/>
      </w:pPr>
      <w:r w:rsidRPr="00004D8A">
        <w:t xml:space="preserve">Obesity has a significant impact on </w:t>
      </w:r>
      <w:r w:rsidR="00A345E1" w:rsidRPr="00004D8A">
        <w:t xml:space="preserve">risk for </w:t>
      </w:r>
      <w:r w:rsidRPr="00004D8A">
        <w:t xml:space="preserve">all-cause mortality and overall healthcare resource use (HCRU). These outcomes are also strongly linked to age, </w:t>
      </w:r>
      <w:proofErr w:type="gramStart"/>
      <w:r w:rsidRPr="00004D8A">
        <w:t>sex</w:t>
      </w:r>
      <w:proofErr w:type="gramEnd"/>
      <w:r w:rsidRPr="00004D8A">
        <w:t xml:space="preserve"> and local deprivation of the population</w:t>
      </w:r>
      <w:r w:rsidR="0024365B" w:rsidRPr="00004D8A">
        <w:t xml:space="preserve"> with significant regional variation</w:t>
      </w:r>
      <w:r w:rsidRPr="00004D8A">
        <w:t>.</w:t>
      </w:r>
      <w:r w:rsidR="00F45B2C" w:rsidRPr="00004D8A">
        <w:t xml:space="preserve"> </w:t>
      </w:r>
    </w:p>
    <w:p w14:paraId="4B77C46C" w14:textId="77777777" w:rsidR="00F45B2C" w:rsidRPr="00004D8A" w:rsidRDefault="00F45B2C" w:rsidP="00B94E2B">
      <w:pPr>
        <w:spacing w:after="0"/>
      </w:pPr>
    </w:p>
    <w:p w14:paraId="67B81F09" w14:textId="56C178E3" w:rsidR="00F45B2C" w:rsidRPr="00004D8A" w:rsidRDefault="00F45B2C" w:rsidP="00B94E2B">
      <w:pPr>
        <w:spacing w:after="0"/>
        <w:rPr>
          <w:b/>
          <w:bCs/>
        </w:rPr>
      </w:pPr>
      <w:r w:rsidRPr="00004D8A">
        <w:t>We</w:t>
      </w:r>
      <w:r w:rsidRPr="00004D8A">
        <w:rPr>
          <w:b/>
          <w:bCs/>
        </w:rPr>
        <w:t xml:space="preserve"> </w:t>
      </w:r>
      <w:r w:rsidRPr="00004D8A">
        <w:t>estimated 2.5 years were lost in people with BMI 30-39.9 6.7 years</w:t>
      </w:r>
      <w:r w:rsidRPr="00004D8A" w:rsidDel="00670BAD">
        <w:t xml:space="preserve"> </w:t>
      </w:r>
      <w:r w:rsidRPr="00004D8A">
        <w:t>when BMI≥40. However, for those aged 16-49yrs with a BMI≥40, 8.3 years were lost.</w:t>
      </w:r>
      <w:r w:rsidRPr="00004D8A">
        <w:rPr>
          <w:b/>
          <w:bCs/>
        </w:rPr>
        <w:t xml:space="preserve"> </w:t>
      </w:r>
    </w:p>
    <w:p w14:paraId="79BFCB4E" w14:textId="77777777" w:rsidR="00F45B2C" w:rsidRPr="00004D8A" w:rsidRDefault="00F45B2C" w:rsidP="00B94E2B">
      <w:pPr>
        <w:spacing w:after="0"/>
        <w:rPr>
          <w:b/>
          <w:bCs/>
        </w:rPr>
      </w:pPr>
    </w:p>
    <w:p w14:paraId="4BDFF4A5" w14:textId="014E9D79" w:rsidR="004F5D90" w:rsidRPr="00004D8A" w:rsidRDefault="00F45B2C" w:rsidP="00B94E2B">
      <w:pPr>
        <w:spacing w:after="0"/>
        <w:rPr>
          <w:kern w:val="0"/>
          <w14:ligatures w14:val="none"/>
        </w:rPr>
      </w:pPr>
      <w:r w:rsidRPr="00004D8A">
        <w:rPr>
          <w:kern w:val="0"/>
          <w14:ligatures w14:val="none"/>
        </w:rPr>
        <w:t>We estimate</w:t>
      </w:r>
      <w:r w:rsidR="004F5D90" w:rsidRPr="00004D8A">
        <w:rPr>
          <w:kern w:val="0"/>
          <w14:ligatures w14:val="none"/>
        </w:rPr>
        <w:t xml:space="preserve"> the lifetime costs </w:t>
      </w:r>
      <w:r w:rsidR="00A345E1" w:rsidRPr="00004D8A">
        <w:rPr>
          <w:kern w:val="0"/>
          <w14:ligatures w14:val="none"/>
        </w:rPr>
        <w:t>associated with</w:t>
      </w:r>
      <w:r w:rsidR="004F5D90" w:rsidRPr="00004D8A">
        <w:rPr>
          <w:kern w:val="0"/>
          <w14:ligatures w14:val="none"/>
        </w:rPr>
        <w:t xml:space="preserve"> obesity by demographic group/geographic area. </w:t>
      </w:r>
      <w:r w:rsidR="00A345E1" w:rsidRPr="00004D8A">
        <w:rPr>
          <w:kern w:val="0"/>
          <w14:ligatures w14:val="none"/>
        </w:rPr>
        <w:t>E</w:t>
      </w:r>
      <w:r w:rsidR="004F5D90" w:rsidRPr="00004D8A">
        <w:rPr>
          <w:kern w:val="0"/>
          <w14:ligatures w14:val="none"/>
        </w:rPr>
        <w:t xml:space="preserve">xpected lifetime </w:t>
      </w:r>
      <w:r w:rsidR="0024365B" w:rsidRPr="00004D8A">
        <w:rPr>
          <w:kern w:val="0"/>
          <w14:ligatures w14:val="none"/>
        </w:rPr>
        <w:t xml:space="preserve">cost </w:t>
      </w:r>
      <w:r w:rsidR="004F5D90" w:rsidRPr="00004D8A">
        <w:rPr>
          <w:kern w:val="0"/>
          <w14:ligatures w14:val="none"/>
        </w:rPr>
        <w:t>was £4,357 billion</w:t>
      </w:r>
      <w:r w:rsidR="0024365B" w:rsidRPr="00004D8A">
        <w:rPr>
          <w:kern w:val="0"/>
          <w14:ligatures w14:val="none"/>
        </w:rPr>
        <w:t>; if</w:t>
      </w:r>
      <w:r w:rsidR="004F5D90" w:rsidRPr="00004D8A">
        <w:rPr>
          <w:kern w:val="0"/>
          <w14:ligatures w14:val="none"/>
        </w:rPr>
        <w:t xml:space="preserve"> their BMI was &lt;25</w:t>
      </w:r>
      <w:r w:rsidR="0024365B" w:rsidRPr="00004D8A">
        <w:rPr>
          <w:kern w:val="0"/>
          <w14:ligatures w14:val="none"/>
        </w:rPr>
        <w:t xml:space="preserve"> this is </w:t>
      </w:r>
      <w:r w:rsidR="004F5D90" w:rsidRPr="00004D8A">
        <w:rPr>
          <w:kern w:val="0"/>
          <w14:ligatures w14:val="none"/>
        </w:rPr>
        <w:t>£4,333 billion</w:t>
      </w:r>
      <w:r w:rsidR="0024365B" w:rsidRPr="00004D8A">
        <w:rPr>
          <w:kern w:val="0"/>
          <w14:ligatures w14:val="none"/>
        </w:rPr>
        <w:t xml:space="preserve"> </w:t>
      </w:r>
      <w:r w:rsidR="00095227" w:rsidRPr="00004D8A">
        <w:rPr>
          <w:kern w:val="0"/>
          <w14:ligatures w14:val="none"/>
        </w:rPr>
        <w:t>- thus</w:t>
      </w:r>
      <w:r w:rsidR="0024365B" w:rsidRPr="00004D8A">
        <w:rPr>
          <w:kern w:val="0"/>
          <w14:ligatures w14:val="none"/>
        </w:rPr>
        <w:t xml:space="preserve"> the total cost remains similar, because of the</w:t>
      </w:r>
      <w:r w:rsidR="00F85042" w:rsidRPr="00004D8A">
        <w:rPr>
          <w:kern w:val="0"/>
          <w14:ligatures w14:val="none"/>
        </w:rPr>
        <w:t xml:space="preserve"> on-</w:t>
      </w:r>
      <w:r w:rsidR="0024365B" w:rsidRPr="00004D8A">
        <w:rPr>
          <w:kern w:val="0"/>
          <w14:ligatures w14:val="none"/>
        </w:rPr>
        <w:t>average shorter lives of people with obesity</w:t>
      </w:r>
      <w:r w:rsidRPr="00004D8A">
        <w:rPr>
          <w:kern w:val="0"/>
          <w14:ligatures w14:val="none"/>
        </w:rPr>
        <w:t>.</w:t>
      </w:r>
    </w:p>
    <w:p w14:paraId="1FA706C3" w14:textId="77777777" w:rsidR="00F85042" w:rsidRPr="00004D8A" w:rsidRDefault="00F85042" w:rsidP="00B94E2B">
      <w:pPr>
        <w:spacing w:after="0"/>
        <w:rPr>
          <w:kern w:val="0"/>
          <w14:ligatures w14:val="none"/>
        </w:rPr>
      </w:pPr>
    </w:p>
    <w:p w14:paraId="3027D1E8" w14:textId="2466F746" w:rsidR="0024365B" w:rsidRPr="00004D8A" w:rsidRDefault="0024365B" w:rsidP="00B94E2B">
      <w:pPr>
        <w:spacing w:after="0"/>
        <w:jc w:val="both"/>
      </w:pPr>
      <w:bookmarkStart w:id="8" w:name="_Hlk149482175"/>
      <w:r w:rsidRPr="00004D8A">
        <w:t xml:space="preserve">When the NICE £30,000 per QALY value was applied to the estimated total 791,689 </w:t>
      </w:r>
      <w:r w:rsidR="007A0E22" w:rsidRPr="00004D8A">
        <w:t>Future Life Yeas Lost,</w:t>
      </w:r>
      <w:r w:rsidRPr="00004D8A">
        <w:t xml:space="preserve"> then the potential QALY value lost was equivalent to £24 billion/year or £522/person in the obese population. </w:t>
      </w:r>
      <w:bookmarkStart w:id="9" w:name="_Hlk149479464"/>
      <w:r w:rsidRPr="00004D8A">
        <w:t>For morbidly obese men and women the potential QALY value lost was £2864/person/year</w:t>
      </w:r>
      <w:r w:rsidR="007E43BE" w:rsidRPr="00004D8A">
        <w:t xml:space="preserve"> with the potential for these funds to be applied to intensive weight management programmes. </w:t>
      </w:r>
      <w:bookmarkEnd w:id="9"/>
    </w:p>
    <w:bookmarkEnd w:id="8"/>
    <w:p w14:paraId="230DFD35" w14:textId="77777777" w:rsidR="00427543" w:rsidRPr="00004D8A" w:rsidRDefault="00427543">
      <w:pPr>
        <w:spacing w:after="0" w:line="240" w:lineRule="auto"/>
        <w:rPr>
          <w:rFonts w:eastAsiaTheme="minorEastAsia"/>
          <w:b/>
          <w:bCs/>
          <w:smallCaps/>
          <w:kern w:val="0"/>
          <w:sz w:val="28"/>
          <w14:ligatures w14:val="none"/>
        </w:rPr>
      </w:pPr>
      <w:r w:rsidRPr="00004D8A">
        <w:br w:type="page"/>
      </w:r>
    </w:p>
    <w:p w14:paraId="1CBA8B2B" w14:textId="75ADA7A1" w:rsidR="00D0702C" w:rsidRPr="00004D8A" w:rsidRDefault="00084FE4" w:rsidP="00D0702C">
      <w:pPr>
        <w:pStyle w:val="Heading1"/>
      </w:pPr>
      <w:r w:rsidRPr="00004D8A">
        <w:lastRenderedPageBreak/>
        <w:t>Introduction</w:t>
      </w:r>
    </w:p>
    <w:p w14:paraId="1366D185" w14:textId="7624EFCF" w:rsidR="00EB3273" w:rsidRPr="00004D8A" w:rsidRDefault="00EA7A10" w:rsidP="007A387C">
      <w:r w:rsidRPr="00004D8A">
        <w:t>The i</w:t>
      </w:r>
      <w:r w:rsidR="00C97E61" w:rsidRPr="00004D8A">
        <w:t xml:space="preserve">ncreasing rate of obesity </w:t>
      </w:r>
      <w:r w:rsidR="000A4815" w:rsidRPr="00004D8A">
        <w:t>is one of</w:t>
      </w:r>
      <w:r w:rsidR="00C97E61" w:rsidRPr="00004D8A">
        <w:t xml:space="preserve"> the </w:t>
      </w:r>
      <w:r w:rsidR="006B09A9" w:rsidRPr="00004D8A">
        <w:t>greatest</w:t>
      </w:r>
      <w:r w:rsidR="00C97E61" w:rsidRPr="00004D8A">
        <w:t xml:space="preserve"> challenge</w:t>
      </w:r>
      <w:r w:rsidR="000A4815" w:rsidRPr="00004D8A">
        <w:t>s</w:t>
      </w:r>
      <w:r w:rsidR="00C97E61" w:rsidRPr="00004D8A">
        <w:t xml:space="preserve"> facing health care systems across </w:t>
      </w:r>
      <w:r w:rsidR="00505316" w:rsidRPr="00004D8A">
        <w:t>the world (</w:t>
      </w:r>
      <w:r w:rsidR="00427543" w:rsidRPr="00004D8A">
        <w:rPr>
          <w:shd w:val="clear" w:color="auto" w:fill="FFFFFF"/>
        </w:rPr>
        <w:t>1</w:t>
      </w:r>
      <w:r w:rsidR="00505316" w:rsidRPr="00004D8A">
        <w:t>).</w:t>
      </w:r>
      <w:r w:rsidR="00FD09EF" w:rsidRPr="00004D8A">
        <w:t xml:space="preserve"> O</w:t>
      </w:r>
      <w:r w:rsidR="005B6970" w:rsidRPr="00004D8A">
        <w:t xml:space="preserve">besity </w:t>
      </w:r>
      <w:r w:rsidR="00FD09EF" w:rsidRPr="00004D8A">
        <w:t xml:space="preserve">has a causal role in many commonly </w:t>
      </w:r>
      <w:r w:rsidR="005B6970" w:rsidRPr="00004D8A">
        <w:t>associated chronic</w:t>
      </w:r>
      <w:r w:rsidR="00196AB3" w:rsidRPr="00004D8A">
        <w:t xml:space="preserve"> conditions including </w:t>
      </w:r>
      <w:r w:rsidR="00186276" w:rsidRPr="00004D8A">
        <w:t>cardiometabolic, digestive, respiratory, neurological, musculoskeletal, and infectious diseases</w:t>
      </w:r>
      <w:r w:rsidR="00D0702C" w:rsidRPr="00004D8A">
        <w:t xml:space="preserve"> (2)</w:t>
      </w:r>
      <w:r w:rsidR="00196AB3" w:rsidRPr="00004D8A">
        <w:t>.</w:t>
      </w:r>
      <w:r w:rsidR="00505316" w:rsidRPr="00004D8A">
        <w:t xml:space="preserve"> </w:t>
      </w:r>
      <w:r w:rsidR="00734EEA" w:rsidRPr="00004D8A">
        <w:t xml:space="preserve">The health </w:t>
      </w:r>
      <w:r w:rsidR="00EB3273" w:rsidRPr="00004D8A">
        <w:t xml:space="preserve">economic </w:t>
      </w:r>
      <w:r w:rsidR="00734EEA" w:rsidRPr="00004D8A">
        <w:t>cost of obesity has been estimated</w:t>
      </w:r>
      <w:r w:rsidR="00136F9B" w:rsidRPr="00004D8A">
        <w:t xml:space="preserve"> at £1.3 trillion, or 2.8% of global annual economic activity </w:t>
      </w:r>
      <w:r w:rsidR="001F38DF" w:rsidRPr="00004D8A">
        <w:t>(</w:t>
      </w:r>
      <w:r w:rsidR="00D0702C" w:rsidRPr="00004D8A">
        <w:t>3</w:t>
      </w:r>
      <w:r w:rsidR="001F38DF" w:rsidRPr="00004D8A">
        <w:t>)</w:t>
      </w:r>
      <w:r w:rsidR="00632458" w:rsidRPr="00004D8A">
        <w:t>.</w:t>
      </w:r>
      <w:r w:rsidR="001F38DF" w:rsidRPr="00004D8A">
        <w:t xml:space="preserve"> </w:t>
      </w:r>
    </w:p>
    <w:p w14:paraId="14379DC8" w14:textId="500AE497" w:rsidR="00EA1D81" w:rsidRPr="00004D8A" w:rsidRDefault="001143E4" w:rsidP="00512E82">
      <w:r w:rsidRPr="00004D8A">
        <w:t xml:space="preserve">Data from the </w:t>
      </w:r>
      <w:r w:rsidR="00C640E9" w:rsidRPr="00004D8A">
        <w:t>United States of America (</w:t>
      </w:r>
      <w:r w:rsidRPr="00004D8A">
        <w:t>USA</w:t>
      </w:r>
      <w:r w:rsidR="00C640E9" w:rsidRPr="00004D8A">
        <w:t>)</w:t>
      </w:r>
      <w:r w:rsidRPr="00004D8A">
        <w:t xml:space="preserve"> ha</w:t>
      </w:r>
      <w:r w:rsidR="00FD09EF" w:rsidRPr="00004D8A">
        <w:t>ve</w:t>
      </w:r>
      <w:r w:rsidRPr="00004D8A">
        <w:t xml:space="preserve"> suggested that a</w:t>
      </w:r>
      <w:r w:rsidR="002F6671" w:rsidRPr="00004D8A">
        <w:t xml:space="preserve">dults with obesity </w:t>
      </w:r>
      <w:r w:rsidRPr="00004D8A">
        <w:t>ha</w:t>
      </w:r>
      <w:r w:rsidR="00742A00" w:rsidRPr="00004D8A">
        <w:t>ve</w:t>
      </w:r>
      <w:r w:rsidRPr="00004D8A">
        <w:t xml:space="preserve"> double the</w:t>
      </w:r>
      <w:r w:rsidR="002F6671" w:rsidRPr="00004D8A">
        <w:t xml:space="preserve"> annual medical care costs</w:t>
      </w:r>
      <w:r w:rsidR="00617C13" w:rsidRPr="00004D8A">
        <w:t xml:space="preserve"> than those with healthy </w:t>
      </w:r>
      <w:r w:rsidR="00912ECC" w:rsidRPr="00004D8A">
        <w:t>body mass index (</w:t>
      </w:r>
      <w:r w:rsidR="00617C13" w:rsidRPr="00004D8A">
        <w:t>BMI</w:t>
      </w:r>
      <w:r w:rsidR="00182F1E" w:rsidRPr="00004D8A">
        <w:t xml:space="preserve"> &lt;25 kg/m</w:t>
      </w:r>
      <w:r w:rsidR="00182F1E" w:rsidRPr="00004D8A">
        <w:rPr>
          <w:vertAlign w:val="superscript"/>
        </w:rPr>
        <w:t>2</w:t>
      </w:r>
      <w:r w:rsidR="00912ECC" w:rsidRPr="00004D8A">
        <w:t>)</w:t>
      </w:r>
      <w:r w:rsidR="00617C13" w:rsidRPr="00004D8A">
        <w:t>.</w:t>
      </w:r>
      <w:r w:rsidR="002F6671" w:rsidRPr="00004D8A">
        <w:t xml:space="preserve"> </w:t>
      </w:r>
      <w:r w:rsidR="00617C13" w:rsidRPr="00004D8A">
        <w:t>Furthermore,</w:t>
      </w:r>
      <w:r w:rsidR="002F6671" w:rsidRPr="00004D8A">
        <w:t xml:space="preserve"> costs </w:t>
      </w:r>
      <w:r w:rsidR="009E4468" w:rsidRPr="00004D8A">
        <w:t>were greater the higher the</w:t>
      </w:r>
      <w:r w:rsidR="002F6671" w:rsidRPr="00004D8A">
        <w:t xml:space="preserve"> class of obesity</w:t>
      </w:r>
      <w:r w:rsidR="009E4468" w:rsidRPr="00004D8A">
        <w:t xml:space="preserve"> -</w:t>
      </w:r>
      <w:r w:rsidR="002F6671" w:rsidRPr="00004D8A">
        <w:t xml:space="preserve"> from 68.4% </w:t>
      </w:r>
      <w:r w:rsidR="009E4468" w:rsidRPr="00004D8A">
        <w:t xml:space="preserve">greater costs </w:t>
      </w:r>
      <w:r w:rsidR="002F6671" w:rsidRPr="00004D8A">
        <w:t xml:space="preserve">for BMI 30.0 </w:t>
      </w:r>
      <w:r w:rsidR="009E4468" w:rsidRPr="00004D8A">
        <w:t>-</w:t>
      </w:r>
      <w:r w:rsidR="002F6671" w:rsidRPr="00004D8A">
        <w:t xml:space="preserve"> 34.9 </w:t>
      </w:r>
      <w:r w:rsidR="009E4468" w:rsidRPr="00004D8A">
        <w:t>kg/m</w:t>
      </w:r>
      <w:r w:rsidR="009E4468" w:rsidRPr="00004D8A">
        <w:rPr>
          <w:vertAlign w:val="superscript"/>
        </w:rPr>
        <w:t>2</w:t>
      </w:r>
      <w:r w:rsidR="009E4468" w:rsidRPr="00004D8A">
        <w:t xml:space="preserve"> to </w:t>
      </w:r>
      <w:r w:rsidR="002F6671" w:rsidRPr="00004D8A">
        <w:t>23</w:t>
      </w:r>
      <w:r w:rsidR="002448B3" w:rsidRPr="00004D8A">
        <w:t>4</w:t>
      </w:r>
      <w:r w:rsidR="002F6671" w:rsidRPr="00004D8A">
        <w:t xml:space="preserve">% for BMI </w:t>
      </w:r>
      <m:oMath>
        <m:r>
          <w:rPr>
            <w:rFonts w:ascii="Cambria Math" w:hAnsi="Cambria Math"/>
          </w:rPr>
          <m:t>≥</m:t>
        </m:r>
      </m:oMath>
      <w:r w:rsidR="002F6671" w:rsidRPr="00004D8A">
        <w:t xml:space="preserve">40 </w:t>
      </w:r>
      <w:r w:rsidR="009E4468" w:rsidRPr="00004D8A">
        <w:t>kg/m</w:t>
      </w:r>
      <w:r w:rsidR="009E4468" w:rsidRPr="00004D8A">
        <w:rPr>
          <w:vertAlign w:val="superscript"/>
        </w:rPr>
        <w:t>2</w:t>
      </w:r>
      <w:r w:rsidR="00BD29ED" w:rsidRPr="00004D8A">
        <w:t xml:space="preserve"> </w:t>
      </w:r>
      <w:r w:rsidR="00F16EF3" w:rsidRPr="00004D8A">
        <w:t>(</w:t>
      </w:r>
      <w:r w:rsidR="00E02A44" w:rsidRPr="00004D8A">
        <w:t>4</w:t>
      </w:r>
      <w:r w:rsidR="0017187C" w:rsidRPr="00004D8A">
        <w:t>,</w:t>
      </w:r>
      <w:r w:rsidR="00E02A44" w:rsidRPr="00004D8A">
        <w:t>5</w:t>
      </w:r>
      <w:r w:rsidR="00A92BE9" w:rsidRPr="00004D8A">
        <w:t>)</w:t>
      </w:r>
      <w:r w:rsidR="00BD29ED" w:rsidRPr="00004D8A">
        <w:t>.</w:t>
      </w:r>
      <w:r w:rsidR="00D7684F" w:rsidRPr="00004D8A">
        <w:t xml:space="preserve"> </w:t>
      </w:r>
      <w:r w:rsidR="00064D88" w:rsidRPr="00004D8A">
        <w:t>In the UK, analysis of health records of 2.4 million adults in north-west London (6</w:t>
      </w:r>
      <w:r w:rsidR="003C08F4" w:rsidRPr="00004D8A">
        <w:t>) showed</w:t>
      </w:r>
      <w:r w:rsidR="00064D88" w:rsidRPr="00004D8A">
        <w:t xml:space="preserve"> that individuals with a BMI &lt;25 kg/m</w:t>
      </w:r>
      <w:r w:rsidR="00064D88" w:rsidRPr="00004D8A">
        <w:rPr>
          <w:vertAlign w:val="superscript"/>
        </w:rPr>
        <w:t>2</w:t>
      </w:r>
      <w:r w:rsidR="00064D88" w:rsidRPr="00004D8A">
        <w:t xml:space="preserve"> cost the NHS an average of £638 annually, compared with £1,375 for those with a BMI of </w:t>
      </w:r>
      <m:oMath>
        <m:r>
          <w:rPr>
            <w:rFonts w:ascii="Cambria Math" w:hAnsi="Cambria Math"/>
          </w:rPr>
          <m:t>≥</m:t>
        </m:r>
      </m:oMath>
      <w:r w:rsidR="00064D88" w:rsidRPr="00004D8A">
        <w:t xml:space="preserve">40 </w:t>
      </w:r>
      <w:r w:rsidR="0035680E" w:rsidRPr="00004D8A">
        <w:t>kg/m</w:t>
      </w:r>
      <w:r w:rsidR="0035680E" w:rsidRPr="00004D8A">
        <w:rPr>
          <w:vertAlign w:val="superscript"/>
        </w:rPr>
        <w:t>2</w:t>
      </w:r>
      <w:r w:rsidR="0035680E" w:rsidRPr="00004D8A">
        <w:t xml:space="preserve"> </w:t>
      </w:r>
      <w:r w:rsidR="00064D88" w:rsidRPr="00004D8A">
        <w:t>(Class 3 Obesity)</w:t>
      </w:r>
      <w:r w:rsidR="003C08F4" w:rsidRPr="00004D8A">
        <w:t>.</w:t>
      </w:r>
    </w:p>
    <w:p w14:paraId="5E9D90C2" w14:textId="6494BA22" w:rsidR="005C3948" w:rsidRPr="00004D8A" w:rsidRDefault="00441F9D" w:rsidP="00512E82">
      <w:r w:rsidRPr="00004D8A">
        <w:t xml:space="preserve">In England, the proportion </w:t>
      </w:r>
      <w:r w:rsidR="001B412E" w:rsidRPr="00004D8A">
        <w:t>o</w:t>
      </w:r>
      <w:r w:rsidR="006B09A9" w:rsidRPr="00004D8A">
        <w:t>f</w:t>
      </w:r>
      <w:r w:rsidR="001B412E" w:rsidRPr="00004D8A">
        <w:t xml:space="preserve"> people </w:t>
      </w:r>
      <w:r w:rsidRPr="00004D8A">
        <w:t xml:space="preserve">living with obesity increased from </w:t>
      </w:r>
      <w:r w:rsidR="00BE0260" w:rsidRPr="00004D8A">
        <w:t xml:space="preserve">15% in 1993 </w:t>
      </w:r>
      <w:r w:rsidR="00C36BE5" w:rsidRPr="00004D8A">
        <w:t>to 2</w:t>
      </w:r>
      <w:r w:rsidR="007568FD" w:rsidRPr="00004D8A">
        <w:t>8</w:t>
      </w:r>
      <w:r w:rsidR="00C36BE5" w:rsidRPr="00004D8A">
        <w:t>%</w:t>
      </w:r>
      <w:r w:rsidR="007568FD" w:rsidRPr="00004D8A">
        <w:t xml:space="preserve"> in 2019</w:t>
      </w:r>
      <w:r w:rsidR="00CE7941" w:rsidRPr="00004D8A">
        <w:t xml:space="preserve"> (pre-pandemic data)</w:t>
      </w:r>
      <w:r w:rsidR="00CA03E2" w:rsidRPr="00004D8A">
        <w:t xml:space="preserve"> </w:t>
      </w:r>
      <w:r w:rsidR="00F97E47" w:rsidRPr="00004D8A">
        <w:t xml:space="preserve">and the proportion with BMI </w:t>
      </w:r>
      <w:r w:rsidR="00EA7A10" w:rsidRPr="00004D8A">
        <w:t>≥</w:t>
      </w:r>
      <w:r w:rsidR="00F97E47" w:rsidRPr="00004D8A">
        <w:t xml:space="preserve"> 40 kg/m</w:t>
      </w:r>
      <w:r w:rsidR="00F97E47" w:rsidRPr="00004D8A">
        <w:rPr>
          <w:vertAlign w:val="superscript"/>
        </w:rPr>
        <w:t>2</w:t>
      </w:r>
      <w:r w:rsidR="00F97E47" w:rsidRPr="00004D8A">
        <w:t xml:space="preserve"> has increased to</w:t>
      </w:r>
      <w:r w:rsidR="007428F5" w:rsidRPr="00004D8A">
        <w:t xml:space="preserve"> 3%</w:t>
      </w:r>
      <w:r w:rsidR="00CA03E2" w:rsidRPr="00004D8A">
        <w:t xml:space="preserve"> of the total population</w:t>
      </w:r>
      <w:r w:rsidR="007428F5" w:rsidRPr="00004D8A">
        <w:t>. The prevalence of obesity</w:t>
      </w:r>
      <w:r w:rsidR="00EA1D81" w:rsidRPr="00004D8A">
        <w:t xml:space="preserve"> </w:t>
      </w:r>
      <w:r w:rsidR="002448B3" w:rsidRPr="00004D8A">
        <w:t xml:space="preserve">in adults </w:t>
      </w:r>
      <w:r w:rsidR="00EA1D81" w:rsidRPr="00004D8A">
        <w:t xml:space="preserve">varies </w:t>
      </w:r>
      <w:r w:rsidR="003027AE" w:rsidRPr="00004D8A">
        <w:t xml:space="preserve">significantly </w:t>
      </w:r>
      <w:r w:rsidR="00EA1D81" w:rsidRPr="00004D8A">
        <w:t>by region</w:t>
      </w:r>
      <w:r w:rsidR="00D019F3" w:rsidRPr="00004D8A">
        <w:t xml:space="preserve"> in England –</w:t>
      </w:r>
      <w:r w:rsidR="00EA1D81" w:rsidRPr="00004D8A">
        <w:t xml:space="preserve"> </w:t>
      </w:r>
      <w:r w:rsidR="00D019F3" w:rsidRPr="00004D8A">
        <w:t xml:space="preserve">being </w:t>
      </w:r>
      <w:r w:rsidR="00EA1D81" w:rsidRPr="00004D8A">
        <w:t xml:space="preserve">highest in the </w:t>
      </w:r>
      <w:r w:rsidR="00CA1BD3" w:rsidRPr="00004D8A">
        <w:t>Northeast</w:t>
      </w:r>
      <w:r w:rsidR="00EA1D81" w:rsidRPr="00004D8A">
        <w:t xml:space="preserve"> </w:t>
      </w:r>
      <w:r w:rsidR="00C0005C" w:rsidRPr="00004D8A">
        <w:t xml:space="preserve">(34%) </w:t>
      </w:r>
      <w:r w:rsidR="00EA1D81" w:rsidRPr="00004D8A">
        <w:t xml:space="preserve">and </w:t>
      </w:r>
      <w:r w:rsidR="00AB0692" w:rsidRPr="00004D8A">
        <w:t>North</w:t>
      </w:r>
      <w:r w:rsidR="00CA1BD3" w:rsidRPr="00004D8A">
        <w:t>w</w:t>
      </w:r>
      <w:r w:rsidR="00AB0692" w:rsidRPr="00004D8A">
        <w:t>est</w:t>
      </w:r>
      <w:r w:rsidR="00EA1D81" w:rsidRPr="00004D8A">
        <w:t xml:space="preserve"> (3</w:t>
      </w:r>
      <w:r w:rsidR="00C0005C" w:rsidRPr="00004D8A">
        <w:t>0</w:t>
      </w:r>
      <w:r w:rsidR="00EA1D81" w:rsidRPr="00004D8A">
        <w:t>%</w:t>
      </w:r>
      <w:r w:rsidR="00C0005C" w:rsidRPr="00004D8A">
        <w:t>)</w:t>
      </w:r>
      <w:r w:rsidR="00EA1D81" w:rsidRPr="00004D8A">
        <w:t xml:space="preserve"> of adults) and lowest in the </w:t>
      </w:r>
      <w:r w:rsidR="00CA1BD3" w:rsidRPr="00004D8A">
        <w:t>Southeast</w:t>
      </w:r>
      <w:r w:rsidR="00EA1D81" w:rsidRPr="00004D8A">
        <w:t xml:space="preserve"> (24%) and London (23%)</w:t>
      </w:r>
      <w:r w:rsidR="00900939" w:rsidRPr="00004D8A">
        <w:t xml:space="preserve"> (7,8)</w:t>
      </w:r>
      <w:r w:rsidR="009505B2" w:rsidRPr="00004D8A">
        <w:t xml:space="preserve">. </w:t>
      </w:r>
      <w:r w:rsidR="00A5500A" w:rsidRPr="00004D8A">
        <w:t>Socioeconomic i</w:t>
      </w:r>
      <w:r w:rsidR="009505B2" w:rsidRPr="00004D8A">
        <w:t xml:space="preserve">nequalities are seen in the prevalence of </w:t>
      </w:r>
      <w:r w:rsidR="00754FEB" w:rsidRPr="00004D8A">
        <w:t>obesity,</w:t>
      </w:r>
      <w:r w:rsidR="00A5500A" w:rsidRPr="00004D8A">
        <w:t xml:space="preserve"> </w:t>
      </w:r>
      <w:r w:rsidR="00E966B2" w:rsidRPr="00004D8A">
        <w:t>and this is particularly so</w:t>
      </w:r>
      <w:r w:rsidR="009505B2" w:rsidRPr="00004D8A">
        <w:t xml:space="preserve"> in women; 39.5% of women in the most deprived areas of England were living with obesity compared with 21.9% in the least deprived areas</w:t>
      </w:r>
      <w:r w:rsidR="0081548A" w:rsidRPr="00004D8A">
        <w:t>.</w:t>
      </w:r>
      <w:r w:rsidR="00F97E47" w:rsidRPr="00004D8A">
        <w:t xml:space="preserve"> </w:t>
      </w:r>
      <w:r w:rsidR="00FC6EDF" w:rsidRPr="00004D8A">
        <w:t xml:space="preserve">In a recent analysis, </w:t>
      </w:r>
      <w:r w:rsidR="00E70D40" w:rsidRPr="00004D8A">
        <w:t xml:space="preserve">modelling </w:t>
      </w:r>
      <w:r w:rsidR="00D019F3" w:rsidRPr="00004D8A">
        <w:t xml:space="preserve">people </w:t>
      </w:r>
      <w:r w:rsidR="00E70D40" w:rsidRPr="00004D8A">
        <w:t>from age 40 years onwards</w:t>
      </w:r>
      <w:r w:rsidR="00661DCE" w:rsidRPr="00004D8A">
        <w:t xml:space="preserve"> in the UK</w:t>
      </w:r>
      <w:r w:rsidR="00E70D40" w:rsidRPr="00004D8A">
        <w:t xml:space="preserve">, </w:t>
      </w:r>
      <w:r w:rsidR="00FE561E" w:rsidRPr="00004D8A">
        <w:t>it was</w:t>
      </w:r>
      <w:r w:rsidR="002A5B35" w:rsidRPr="00004D8A">
        <w:t xml:space="preserve"> estimated</w:t>
      </w:r>
      <w:r w:rsidR="00EE23ED" w:rsidRPr="00004D8A">
        <w:t xml:space="preserve"> that reducing BMI from 35 to 25</w:t>
      </w:r>
      <w:r w:rsidR="005D6D37" w:rsidRPr="00004D8A">
        <w:t xml:space="preserve"> kg/m</w:t>
      </w:r>
      <w:r w:rsidR="005D6D37" w:rsidRPr="00004D8A">
        <w:rPr>
          <w:vertAlign w:val="superscript"/>
        </w:rPr>
        <w:t>2</w:t>
      </w:r>
      <w:r w:rsidR="00EE23ED" w:rsidRPr="00004D8A">
        <w:t xml:space="preserve"> would result in a QALY gain of 3.48 years, </w:t>
      </w:r>
      <w:r w:rsidR="005D6D37" w:rsidRPr="00004D8A">
        <w:t>and</w:t>
      </w:r>
      <w:r w:rsidR="00EE23ED" w:rsidRPr="00004D8A">
        <w:t xml:space="preserve"> a cost </w:t>
      </w:r>
      <w:r w:rsidR="005572C0" w:rsidRPr="00004D8A">
        <w:t xml:space="preserve">saving </w:t>
      </w:r>
      <w:r w:rsidR="00EE23ED" w:rsidRPr="00004D8A">
        <w:t xml:space="preserve">of </w:t>
      </w:r>
      <w:r w:rsidR="00BD4A81" w:rsidRPr="00004D8A">
        <w:t>£8</w:t>
      </w:r>
      <w:r w:rsidR="005572C0" w:rsidRPr="00004D8A">
        <w:t>838</w:t>
      </w:r>
      <w:r w:rsidR="00AC3E1B" w:rsidRPr="00004D8A">
        <w:t xml:space="preserve"> (9)</w:t>
      </w:r>
      <w:r w:rsidR="005572C0" w:rsidRPr="00004D8A">
        <w:t>.</w:t>
      </w:r>
      <w:r w:rsidR="00FA189B" w:rsidRPr="00004D8A">
        <w:t xml:space="preserve"> However, </w:t>
      </w:r>
      <w:r w:rsidR="00492C9E" w:rsidRPr="00004D8A">
        <w:t xml:space="preserve">the effect of socioeconomic </w:t>
      </w:r>
      <w:r w:rsidR="005A1CE3" w:rsidRPr="00004D8A">
        <w:t>inequality was not part of the model</w:t>
      </w:r>
      <w:r w:rsidR="0029628B" w:rsidRPr="00004D8A">
        <w:t>, neither were</w:t>
      </w:r>
      <w:r w:rsidR="005A1CE3" w:rsidRPr="00004D8A">
        <w:t xml:space="preserve"> </w:t>
      </w:r>
      <w:r w:rsidR="00FA189B" w:rsidRPr="00004D8A">
        <w:t xml:space="preserve">cost predictions for those </w:t>
      </w:r>
      <w:r w:rsidR="00E04C2F" w:rsidRPr="00004D8A">
        <w:t xml:space="preserve">aged </w:t>
      </w:r>
      <w:r w:rsidR="002448B3" w:rsidRPr="00004D8A">
        <w:t>&lt;</w:t>
      </w:r>
      <w:r w:rsidR="0029628B" w:rsidRPr="00004D8A">
        <w:t>40 years included in model development.</w:t>
      </w:r>
    </w:p>
    <w:p w14:paraId="44DA28E8" w14:textId="7AB5D6F8" w:rsidR="00C666F3" w:rsidRPr="00004D8A" w:rsidRDefault="002A5B35" w:rsidP="007A387C">
      <w:r w:rsidRPr="00004D8A">
        <w:t>Our</w:t>
      </w:r>
      <w:r w:rsidR="00C666F3" w:rsidRPr="00004D8A">
        <w:t xml:space="preserve"> objective</w:t>
      </w:r>
      <w:r w:rsidR="003A5CBE" w:rsidRPr="00004D8A">
        <w:t>s</w:t>
      </w:r>
      <w:r w:rsidR="00C666F3" w:rsidRPr="00004D8A">
        <w:t xml:space="preserve"> w</w:t>
      </w:r>
      <w:r w:rsidR="003A5CBE" w:rsidRPr="00004D8A">
        <w:t>ere</w:t>
      </w:r>
      <w:r w:rsidR="000D7517" w:rsidRPr="00004D8A">
        <w:t xml:space="preserve"> </w:t>
      </w:r>
      <w:r w:rsidR="00C666F3" w:rsidRPr="00004D8A">
        <w:t>t</w:t>
      </w:r>
      <w:r w:rsidR="009459E0" w:rsidRPr="00004D8A">
        <w:t>hree</w:t>
      </w:r>
      <w:r w:rsidR="00C666F3" w:rsidRPr="00004D8A">
        <w:t>fold: first</w:t>
      </w:r>
      <w:r w:rsidR="00162501" w:rsidRPr="00004D8A">
        <w:t>ly</w:t>
      </w:r>
      <w:r w:rsidR="00C666F3" w:rsidRPr="00004D8A">
        <w:t xml:space="preserve">, to assess the long-term economic cost of obesity in </w:t>
      </w:r>
      <w:r w:rsidR="000D7517" w:rsidRPr="00004D8A">
        <w:t>Eng</w:t>
      </w:r>
      <w:r w:rsidR="00D36E28" w:rsidRPr="00004D8A">
        <w:t>l</w:t>
      </w:r>
      <w:r w:rsidR="000D7517" w:rsidRPr="00004D8A">
        <w:t>and</w:t>
      </w:r>
      <w:r w:rsidR="00C666F3" w:rsidRPr="00004D8A">
        <w:t xml:space="preserve">, </w:t>
      </w:r>
      <w:r w:rsidRPr="00004D8A">
        <w:t xml:space="preserve">in </w:t>
      </w:r>
      <w:r w:rsidR="002B380F" w:rsidRPr="00004D8A">
        <w:t>age and sex</w:t>
      </w:r>
      <w:r w:rsidRPr="00004D8A">
        <w:t xml:space="preserve"> strata</w:t>
      </w:r>
      <w:r w:rsidR="002B380F" w:rsidRPr="00004D8A">
        <w:t>;</w:t>
      </w:r>
      <w:r w:rsidR="00C666F3" w:rsidRPr="00004D8A">
        <w:t xml:space="preserve"> second</w:t>
      </w:r>
      <w:r w:rsidR="002B380F" w:rsidRPr="00004D8A">
        <w:t>ly</w:t>
      </w:r>
      <w:r w:rsidR="00C666F3" w:rsidRPr="00004D8A">
        <w:t>, to evaluate the</w:t>
      </w:r>
      <w:r w:rsidR="00F2001A" w:rsidRPr="00004D8A">
        <w:t xml:space="preserve"> potential</w:t>
      </w:r>
      <w:r w:rsidR="006110BB" w:rsidRPr="00004D8A">
        <w:t xml:space="preserve"> </w:t>
      </w:r>
      <w:r w:rsidR="006B09A9" w:rsidRPr="00004D8A">
        <w:t xml:space="preserve">health </w:t>
      </w:r>
      <w:r w:rsidR="00F2001A" w:rsidRPr="00004D8A">
        <w:t xml:space="preserve">economic benefit </w:t>
      </w:r>
      <w:r w:rsidRPr="00004D8A">
        <w:t xml:space="preserve">of </w:t>
      </w:r>
      <w:r w:rsidR="00527E46" w:rsidRPr="00004D8A">
        <w:t>reducing</w:t>
      </w:r>
      <w:r w:rsidR="00C666F3" w:rsidRPr="00004D8A">
        <w:t xml:space="preserve"> </w:t>
      </w:r>
      <w:r w:rsidR="009C31E9" w:rsidRPr="00004D8A">
        <w:t>BMI</w:t>
      </w:r>
      <w:r w:rsidR="00527E46" w:rsidRPr="00004D8A">
        <w:t>;</w:t>
      </w:r>
      <w:r w:rsidR="009459E0" w:rsidRPr="00004D8A">
        <w:t xml:space="preserve"> thirdly</w:t>
      </w:r>
      <w:r w:rsidRPr="00004D8A">
        <w:t>,</w:t>
      </w:r>
      <w:r w:rsidR="009459E0" w:rsidRPr="00004D8A">
        <w:t xml:space="preserve"> </w:t>
      </w:r>
      <w:r w:rsidR="00B52A86" w:rsidRPr="00004D8A">
        <w:t xml:space="preserve">to create a representation of the distribution of </w:t>
      </w:r>
      <w:r w:rsidR="002448B3" w:rsidRPr="00004D8A">
        <w:t xml:space="preserve">health </w:t>
      </w:r>
      <w:r w:rsidR="00B52A86" w:rsidRPr="00004D8A">
        <w:t xml:space="preserve">burdens </w:t>
      </w:r>
      <w:r w:rsidR="002448B3" w:rsidRPr="00004D8A">
        <w:t>linked to BMI across different UK regions</w:t>
      </w:r>
      <w:r w:rsidR="00B52A86" w:rsidRPr="00004D8A">
        <w:t>.</w:t>
      </w:r>
    </w:p>
    <w:p w14:paraId="79C5FF4D" w14:textId="0581E342" w:rsidR="00534845" w:rsidRPr="00004D8A" w:rsidRDefault="00471FFC" w:rsidP="00DC69C0">
      <w:pPr>
        <w:pStyle w:val="Heading1"/>
      </w:pPr>
      <w:r w:rsidRPr="00004D8A">
        <w:lastRenderedPageBreak/>
        <w:t>M</w:t>
      </w:r>
      <w:r w:rsidR="00CE309C" w:rsidRPr="00004D8A">
        <w:t>ethods</w:t>
      </w:r>
    </w:p>
    <w:p w14:paraId="5217D054" w14:textId="724FC8D5" w:rsidR="00F14A07" w:rsidRPr="00004D8A" w:rsidRDefault="00264A90" w:rsidP="00F14A07">
      <w:r w:rsidRPr="00004D8A">
        <w:t>M</w:t>
      </w:r>
      <w:r w:rsidR="00F14A07" w:rsidRPr="00004D8A">
        <w:t xml:space="preserve">ost data </w:t>
      </w:r>
      <w:r w:rsidRPr="00004D8A">
        <w:t xml:space="preserve">for obesity and its complications </w:t>
      </w:r>
      <w:r w:rsidR="00F14A07" w:rsidRPr="00004D8A">
        <w:t xml:space="preserve">are published at national (England) level. </w:t>
      </w:r>
      <w:r w:rsidR="00FA58C3" w:rsidRPr="00004D8A">
        <w:t xml:space="preserve">However, </w:t>
      </w:r>
      <w:r w:rsidR="00F14A07" w:rsidRPr="00004D8A">
        <w:t xml:space="preserve">NHS funding is </w:t>
      </w:r>
      <w:r w:rsidR="005E67D9" w:rsidRPr="00004D8A">
        <w:t xml:space="preserve">regionally </w:t>
      </w:r>
      <w:r w:rsidR="00F14A07" w:rsidRPr="00004D8A">
        <w:t xml:space="preserve">allocated to 42 Integrated Care Boards (ICBs). We applied the published prevalence and risk ratio for main BMI classes to published models for mortality rates and </w:t>
      </w:r>
      <w:r w:rsidR="005E67D9" w:rsidRPr="00004D8A">
        <w:t xml:space="preserve">health care resource </w:t>
      </w:r>
      <w:r w:rsidR="001C6B00" w:rsidRPr="00004D8A">
        <w:t>utilization (</w:t>
      </w:r>
      <w:r w:rsidR="00F14A07" w:rsidRPr="00004D8A">
        <w:t>HCRU</w:t>
      </w:r>
      <w:r w:rsidR="001C6B00" w:rsidRPr="00004D8A">
        <w:t>)</w:t>
      </w:r>
      <w:r w:rsidR="00F14A07" w:rsidRPr="00004D8A">
        <w:t xml:space="preserve"> in the given populations by age sex and deprivation of the 42 Integrated Care Boards (ICBs) in England. </w:t>
      </w:r>
      <w:r w:rsidR="003570E0" w:rsidRPr="00004D8A">
        <w:t>We examined data from</w:t>
      </w:r>
      <w:r w:rsidR="00F14A07" w:rsidRPr="00004D8A">
        <w:t xml:space="preserve"> 2019 to avoid influences of the Sars-Cov-2 (COVID-19) pandemic on obesity prevalence, mortality rates and HCRUs.</w:t>
      </w:r>
    </w:p>
    <w:p w14:paraId="24F8CC0C" w14:textId="77777777" w:rsidR="00F14A07" w:rsidRPr="00004D8A" w:rsidRDefault="00F14A07" w:rsidP="007A0ADC"/>
    <w:p w14:paraId="24C5B43C" w14:textId="4F7415F9" w:rsidR="003F0ED6" w:rsidRPr="00004D8A" w:rsidRDefault="003F0ED6" w:rsidP="00A20B2E">
      <w:pPr>
        <w:pStyle w:val="Heading2"/>
        <w:rPr>
          <w:color w:val="auto"/>
        </w:rPr>
      </w:pPr>
      <w:r w:rsidRPr="00004D8A">
        <w:rPr>
          <w:color w:val="auto"/>
        </w:rPr>
        <w:t>B</w:t>
      </w:r>
      <w:r w:rsidR="00E20B97" w:rsidRPr="00004D8A">
        <w:rPr>
          <w:color w:val="auto"/>
        </w:rPr>
        <w:t>aseline Data</w:t>
      </w:r>
    </w:p>
    <w:p w14:paraId="673B1FF4" w14:textId="00676FEB" w:rsidR="00BF226E" w:rsidRPr="00004D8A" w:rsidRDefault="00BF226E" w:rsidP="007A387C">
      <w:r w:rsidRPr="00004D8A">
        <w:t xml:space="preserve">The following </w:t>
      </w:r>
      <w:r w:rsidR="00535BE1" w:rsidRPr="00004D8A">
        <w:t xml:space="preserve">latest available </w:t>
      </w:r>
      <w:r w:rsidRPr="00004D8A">
        <w:t xml:space="preserve">data sets were </w:t>
      </w:r>
      <w:r w:rsidR="00DB3ED7" w:rsidRPr="00004D8A">
        <w:t xml:space="preserve">applied </w:t>
      </w:r>
      <w:r w:rsidRPr="00004D8A">
        <w:t>to establish baseline population</w:t>
      </w:r>
      <w:r w:rsidR="00DB3ED7" w:rsidRPr="00004D8A">
        <w:t xml:space="preserve"> number</w:t>
      </w:r>
      <w:r w:rsidR="002C13D9" w:rsidRPr="00004D8A">
        <w:t>s</w:t>
      </w:r>
      <w:r w:rsidRPr="00004D8A">
        <w:t>, HCRU and mortality for each age</w:t>
      </w:r>
      <w:r w:rsidR="00E971F7" w:rsidRPr="00004D8A">
        <w:t xml:space="preserve">, </w:t>
      </w:r>
      <w:proofErr w:type="gramStart"/>
      <w:r w:rsidR="00E971F7" w:rsidRPr="00004D8A">
        <w:t>sex</w:t>
      </w:r>
      <w:proofErr w:type="gramEnd"/>
      <w:r w:rsidR="00E971F7" w:rsidRPr="00004D8A">
        <w:t xml:space="preserve"> and deprivation quintile in e</w:t>
      </w:r>
      <w:r w:rsidR="002C13D9" w:rsidRPr="00004D8A">
        <w:t>ach</w:t>
      </w:r>
      <w:r w:rsidR="00E971F7" w:rsidRPr="00004D8A">
        <w:t xml:space="preserve"> ICB</w:t>
      </w:r>
      <w:r w:rsidR="00E77A5B" w:rsidRPr="00004D8A">
        <w:t>.</w:t>
      </w:r>
    </w:p>
    <w:p w14:paraId="17B11097" w14:textId="26A3CB27" w:rsidR="002C13D9" w:rsidRPr="00004D8A" w:rsidRDefault="003F0ED6" w:rsidP="00DC0CE8">
      <w:pPr>
        <w:pStyle w:val="ListParagraph"/>
        <w:numPr>
          <w:ilvl w:val="0"/>
          <w:numId w:val="19"/>
        </w:numPr>
      </w:pPr>
      <w:r w:rsidRPr="00004D8A">
        <w:t xml:space="preserve">Local Population Numbers by </w:t>
      </w:r>
      <w:r w:rsidR="009F6127" w:rsidRPr="00004D8A">
        <w:t>a</w:t>
      </w:r>
      <w:r w:rsidRPr="00004D8A">
        <w:t xml:space="preserve">ge </w:t>
      </w:r>
      <w:r w:rsidR="009F6127" w:rsidRPr="00004D8A">
        <w:t>and</w:t>
      </w:r>
      <w:r w:rsidRPr="00004D8A">
        <w:t xml:space="preserve"> </w:t>
      </w:r>
      <w:r w:rsidR="009F6127" w:rsidRPr="00004D8A">
        <w:t>s</w:t>
      </w:r>
      <w:r w:rsidRPr="00004D8A">
        <w:t>ex</w:t>
      </w:r>
      <w:r w:rsidR="002A07E8" w:rsidRPr="00004D8A">
        <w:t>.</w:t>
      </w:r>
      <w:r w:rsidR="000152F8" w:rsidRPr="00004D8A">
        <w:t xml:space="preserve"> </w:t>
      </w:r>
      <w:r w:rsidR="00AC3E1B" w:rsidRPr="00004D8A">
        <w:t xml:space="preserve">NHS England </w:t>
      </w:r>
      <w:r w:rsidRPr="00004D8A">
        <w:t xml:space="preserve">publishes </w:t>
      </w:r>
      <w:r w:rsidR="00B9137A" w:rsidRPr="00004D8A">
        <w:t xml:space="preserve">the </w:t>
      </w:r>
      <w:r w:rsidRPr="00004D8A">
        <w:t xml:space="preserve">population </w:t>
      </w:r>
      <w:r w:rsidR="00B9137A" w:rsidRPr="00004D8A">
        <w:t>by each age and sex for every ICB</w:t>
      </w:r>
      <w:r w:rsidR="002E521D" w:rsidRPr="00004D8A">
        <w:t xml:space="preserve"> (</w:t>
      </w:r>
      <w:r w:rsidR="00AC3E1B" w:rsidRPr="00004D8A">
        <w:t>10</w:t>
      </w:r>
      <w:r w:rsidR="002E521D" w:rsidRPr="00004D8A">
        <w:t>).</w:t>
      </w:r>
    </w:p>
    <w:p w14:paraId="2BCE7AC4" w14:textId="26A77466" w:rsidR="00473C9B" w:rsidRPr="00004D8A" w:rsidRDefault="003F0ED6" w:rsidP="00814A3A">
      <w:pPr>
        <w:pStyle w:val="ListParagraph"/>
        <w:numPr>
          <w:ilvl w:val="0"/>
          <w:numId w:val="19"/>
        </w:numPr>
      </w:pPr>
      <w:r w:rsidRPr="00004D8A">
        <w:t xml:space="preserve">Population Numbers by </w:t>
      </w:r>
      <w:r w:rsidR="00C65C92" w:rsidRPr="00004D8A">
        <w:t xml:space="preserve">Social </w:t>
      </w:r>
      <w:r w:rsidRPr="00004D8A">
        <w:t>Deprivation</w:t>
      </w:r>
      <w:r w:rsidR="003F122C" w:rsidRPr="00004D8A">
        <w:t>.</w:t>
      </w:r>
      <w:r w:rsidR="000152F8" w:rsidRPr="00004D8A">
        <w:t xml:space="preserve"> </w:t>
      </w:r>
      <w:r w:rsidR="00473C9B" w:rsidRPr="00004D8A">
        <w:t xml:space="preserve">NHS </w:t>
      </w:r>
      <w:r w:rsidR="00143CAD" w:rsidRPr="00004D8A">
        <w:t xml:space="preserve">England </w:t>
      </w:r>
      <w:r w:rsidR="00473C9B" w:rsidRPr="00004D8A">
        <w:t>publishe</w:t>
      </w:r>
      <w:r w:rsidR="00C65C92" w:rsidRPr="00004D8A">
        <w:t>s the number</w:t>
      </w:r>
      <w:r w:rsidR="00637C19" w:rsidRPr="00004D8A">
        <w:t>s for every</w:t>
      </w:r>
      <w:r w:rsidR="00C65C92" w:rsidRPr="00004D8A">
        <w:t xml:space="preserve"> ICB</w:t>
      </w:r>
      <w:r w:rsidR="00B57C6C" w:rsidRPr="00004D8A">
        <w:t xml:space="preserve"> in each </w:t>
      </w:r>
      <w:r w:rsidR="005F3EB5" w:rsidRPr="00004D8A">
        <w:t>index of multiple deprivation (</w:t>
      </w:r>
      <w:r w:rsidR="00B57C6C" w:rsidRPr="00004D8A">
        <w:t>IMD</w:t>
      </w:r>
      <w:r w:rsidR="005F3EB5" w:rsidRPr="00004D8A">
        <w:t>)</w:t>
      </w:r>
      <w:r w:rsidR="00B57C6C" w:rsidRPr="00004D8A">
        <w:t xml:space="preserve"> decile</w:t>
      </w:r>
      <w:r w:rsidR="00A917CF" w:rsidRPr="00004D8A">
        <w:t xml:space="preserve">. </w:t>
      </w:r>
      <w:r w:rsidR="00882418" w:rsidRPr="00004D8A">
        <w:t xml:space="preserve">The IMD is a </w:t>
      </w:r>
      <w:r w:rsidR="00814A3A" w:rsidRPr="00004D8A">
        <w:t xml:space="preserve">measure of </w:t>
      </w:r>
      <w:r w:rsidR="00882418" w:rsidRPr="00004D8A">
        <w:t xml:space="preserve">relative deprivation of small </w:t>
      </w:r>
      <w:r w:rsidR="00814A3A" w:rsidRPr="00004D8A">
        <w:t xml:space="preserve">geographical </w:t>
      </w:r>
      <w:r w:rsidR="00882418" w:rsidRPr="00004D8A">
        <w:t>areas</w:t>
      </w:r>
      <w:r w:rsidR="00814A3A" w:rsidRPr="00004D8A">
        <w:t xml:space="preserve"> of the UK</w:t>
      </w:r>
      <w:r w:rsidR="00882418" w:rsidRPr="00004D8A">
        <w:t xml:space="preserve">. </w:t>
      </w:r>
      <w:r w:rsidR="00A917CF" w:rsidRPr="00004D8A">
        <w:t>We assume</w:t>
      </w:r>
      <w:r w:rsidR="00360264" w:rsidRPr="00004D8A">
        <w:t>d</w:t>
      </w:r>
      <w:r w:rsidR="00A917CF" w:rsidRPr="00004D8A">
        <w:t xml:space="preserve"> this </w:t>
      </w:r>
      <w:r w:rsidR="00360264" w:rsidRPr="00004D8A">
        <w:t>percentage</w:t>
      </w:r>
      <w:r w:rsidR="00A917CF" w:rsidRPr="00004D8A">
        <w:t xml:space="preserve"> is even</w:t>
      </w:r>
      <w:r w:rsidR="00360264" w:rsidRPr="00004D8A">
        <w:t>ly</w:t>
      </w:r>
      <w:r w:rsidR="00A917CF" w:rsidRPr="00004D8A">
        <w:t xml:space="preserve"> </w:t>
      </w:r>
      <w:r w:rsidR="00360264" w:rsidRPr="00004D8A">
        <w:t xml:space="preserve">distributed </w:t>
      </w:r>
      <w:r w:rsidR="00A917CF" w:rsidRPr="00004D8A">
        <w:t>across ages and sex</w:t>
      </w:r>
      <w:r w:rsidR="00360264" w:rsidRPr="00004D8A">
        <w:t>, and</w:t>
      </w:r>
      <w:r w:rsidR="00A917CF" w:rsidRPr="00004D8A">
        <w:t xml:space="preserve"> so c</w:t>
      </w:r>
      <w:r w:rsidR="001877D6" w:rsidRPr="00004D8A">
        <w:t>ould</w:t>
      </w:r>
      <w:r w:rsidR="00A917CF" w:rsidRPr="00004D8A">
        <w:t xml:space="preserve"> be uniformly applied</w:t>
      </w:r>
      <w:r w:rsidR="002E521D" w:rsidRPr="00004D8A">
        <w:t xml:space="preserve"> (</w:t>
      </w:r>
      <w:r w:rsidR="00AC3E1B" w:rsidRPr="00004D8A">
        <w:t>11</w:t>
      </w:r>
      <w:r w:rsidR="002E521D" w:rsidRPr="00004D8A">
        <w:t>).</w:t>
      </w:r>
    </w:p>
    <w:p w14:paraId="0B79347F" w14:textId="052A5FCF" w:rsidR="0011069C" w:rsidRPr="00004D8A" w:rsidRDefault="0011069C" w:rsidP="00DC0CE8">
      <w:pPr>
        <w:pStyle w:val="ListParagraph"/>
        <w:numPr>
          <w:ilvl w:val="0"/>
          <w:numId w:val="19"/>
        </w:numPr>
        <w:rPr>
          <w:u w:val="single"/>
        </w:rPr>
      </w:pPr>
      <w:r w:rsidRPr="00004D8A">
        <w:t xml:space="preserve">Mortality Rate by </w:t>
      </w:r>
      <w:r w:rsidR="00866D3C" w:rsidRPr="00004D8A">
        <w:t>A</w:t>
      </w:r>
      <w:r w:rsidRPr="00004D8A">
        <w:t xml:space="preserve">ge </w:t>
      </w:r>
      <w:r w:rsidR="00360264" w:rsidRPr="00004D8A">
        <w:t>and</w:t>
      </w:r>
      <w:r w:rsidRPr="00004D8A">
        <w:t xml:space="preserve"> </w:t>
      </w:r>
      <w:r w:rsidR="00866D3C" w:rsidRPr="00004D8A">
        <w:t>S</w:t>
      </w:r>
      <w:r w:rsidRPr="00004D8A">
        <w:t xml:space="preserve">ex </w:t>
      </w:r>
      <w:bookmarkStart w:id="10" w:name="_Hlk146784195"/>
      <w:r w:rsidRPr="00004D8A">
        <w:t>National life tables England</w:t>
      </w:r>
      <w:r w:rsidR="00866D3C" w:rsidRPr="00004D8A">
        <w:t>. E</w:t>
      </w:r>
      <w:r w:rsidRPr="00004D8A">
        <w:t xml:space="preserve">ach national life table is based on population estimates, </w:t>
      </w:r>
      <w:proofErr w:type="gramStart"/>
      <w:r w:rsidRPr="00004D8A">
        <w:t>births</w:t>
      </w:r>
      <w:proofErr w:type="gramEnd"/>
      <w:r w:rsidRPr="00004D8A">
        <w:t xml:space="preserve"> and deaths for a period of three consecutive years. Tables are published annually</w:t>
      </w:r>
      <w:bookmarkEnd w:id="10"/>
      <w:r w:rsidR="002E521D" w:rsidRPr="00004D8A">
        <w:t xml:space="preserve"> (</w:t>
      </w:r>
      <w:r w:rsidR="00AC3E1B" w:rsidRPr="00004D8A">
        <w:t>12</w:t>
      </w:r>
      <w:r w:rsidR="002E521D" w:rsidRPr="00004D8A">
        <w:t>).</w:t>
      </w:r>
    </w:p>
    <w:p w14:paraId="3BD60713" w14:textId="376127CA" w:rsidR="00193320" w:rsidRPr="00004D8A" w:rsidRDefault="00193320" w:rsidP="00DC0CE8">
      <w:pPr>
        <w:pStyle w:val="ListParagraph"/>
        <w:numPr>
          <w:ilvl w:val="0"/>
          <w:numId w:val="19"/>
        </w:numPr>
      </w:pPr>
      <w:r w:rsidRPr="00004D8A">
        <w:t xml:space="preserve">Mortality Rate by </w:t>
      </w:r>
      <w:r w:rsidR="002A07E8" w:rsidRPr="00004D8A">
        <w:t>socioeconomic status</w:t>
      </w:r>
      <w:r w:rsidR="00866D3C" w:rsidRPr="00004D8A">
        <w:t>.</w:t>
      </w:r>
      <w:r w:rsidRPr="00004D8A">
        <w:t xml:space="preserve"> Numbers of deaths</w:t>
      </w:r>
      <w:r w:rsidR="00374DBC" w:rsidRPr="00004D8A">
        <w:t>,</w:t>
      </w:r>
      <w:r w:rsidRPr="00004D8A">
        <w:t xml:space="preserve"> and age standardised mortality rates</w:t>
      </w:r>
      <w:r w:rsidR="00374DBC" w:rsidRPr="00004D8A">
        <w:t>,</w:t>
      </w:r>
      <w:r w:rsidRPr="00004D8A">
        <w:t xml:space="preserve"> by </w:t>
      </w:r>
      <w:r w:rsidR="002A07E8" w:rsidRPr="00004D8A">
        <w:t>socioeconomic</w:t>
      </w:r>
      <w:r w:rsidRPr="00004D8A">
        <w:t xml:space="preserve"> decile, </w:t>
      </w:r>
      <w:proofErr w:type="gramStart"/>
      <w:r w:rsidRPr="00004D8A">
        <w:t>month</w:t>
      </w:r>
      <w:proofErr w:type="gramEnd"/>
      <w:r w:rsidRPr="00004D8A">
        <w:t xml:space="preserve"> and sex: 1 January 2019 to 3</w:t>
      </w:r>
      <w:r w:rsidR="00DE2C35" w:rsidRPr="00004D8A">
        <w:t>1</w:t>
      </w:r>
      <w:r w:rsidR="00DE2C35" w:rsidRPr="00004D8A">
        <w:rPr>
          <w:vertAlign w:val="superscript"/>
        </w:rPr>
        <w:t>st</w:t>
      </w:r>
      <w:r w:rsidR="00DE2C35" w:rsidRPr="00004D8A">
        <w:t xml:space="preserve"> December 2019 (to exclude effects of COVID-19 pandemic)</w:t>
      </w:r>
      <w:r w:rsidRPr="00004D8A">
        <w:t xml:space="preserve"> </w:t>
      </w:r>
      <w:r w:rsidR="002E521D" w:rsidRPr="00004D8A">
        <w:t>(</w:t>
      </w:r>
      <w:r w:rsidR="00DC0CE8" w:rsidRPr="00004D8A">
        <w:t>1</w:t>
      </w:r>
      <w:r w:rsidR="00AC3E1B" w:rsidRPr="00004D8A">
        <w:t>3</w:t>
      </w:r>
      <w:r w:rsidR="002E521D" w:rsidRPr="00004D8A">
        <w:t>).</w:t>
      </w:r>
    </w:p>
    <w:p w14:paraId="16215B90" w14:textId="1598CB64" w:rsidR="00FB05CE" w:rsidRPr="00004D8A" w:rsidRDefault="00FB05CE" w:rsidP="00DC0CE8">
      <w:pPr>
        <w:pStyle w:val="ListParagraph"/>
        <w:numPr>
          <w:ilvl w:val="0"/>
          <w:numId w:val="19"/>
        </w:numPr>
      </w:pPr>
      <w:r w:rsidRPr="00004D8A">
        <w:t xml:space="preserve">Total HCRU available in each ICB was taken for the years 2022/23 published by NHS </w:t>
      </w:r>
      <w:r w:rsidR="00754FEB" w:rsidRPr="00004D8A">
        <w:t>England for</w:t>
      </w:r>
      <w:r w:rsidRPr="00004D8A">
        <w:t xml:space="preserve"> each ICB were taken and applied as </w:t>
      </w:r>
      <w:r w:rsidR="00324065" w:rsidRPr="00004D8A">
        <w:t xml:space="preserve">a baseline for </w:t>
      </w:r>
      <w:r w:rsidR="00754FEB" w:rsidRPr="00004D8A">
        <w:t>ongoing costs</w:t>
      </w:r>
      <w:r w:rsidRPr="00004D8A">
        <w:t xml:space="preserve"> / population. </w:t>
      </w:r>
      <w:r w:rsidR="0073421B" w:rsidRPr="00004D8A">
        <w:t>These include primary care, medication, elective and emergency secondary care costs</w:t>
      </w:r>
      <w:r w:rsidR="002E521D" w:rsidRPr="00004D8A">
        <w:t xml:space="preserve"> (</w:t>
      </w:r>
      <w:r w:rsidR="00DC0CE8" w:rsidRPr="00004D8A">
        <w:t>1</w:t>
      </w:r>
      <w:r w:rsidR="00AC3E1B" w:rsidRPr="00004D8A">
        <w:t>4</w:t>
      </w:r>
      <w:r w:rsidR="002E521D" w:rsidRPr="00004D8A">
        <w:t>).</w:t>
      </w:r>
      <w:r w:rsidR="004917B4" w:rsidRPr="00004D8A">
        <w:t xml:space="preserve"> </w:t>
      </w:r>
    </w:p>
    <w:p w14:paraId="47706FEB" w14:textId="3E47DCDE" w:rsidR="00287EF0" w:rsidRPr="00004D8A" w:rsidRDefault="003F0ED6" w:rsidP="00DC0CE8">
      <w:pPr>
        <w:pStyle w:val="ListParagraph"/>
        <w:numPr>
          <w:ilvl w:val="0"/>
          <w:numId w:val="19"/>
        </w:numPr>
      </w:pPr>
      <w:r w:rsidRPr="00004D8A">
        <w:t xml:space="preserve">HCRU by </w:t>
      </w:r>
      <w:r w:rsidR="007E5721" w:rsidRPr="00004D8A">
        <w:t xml:space="preserve">socioeconomic </w:t>
      </w:r>
      <w:r w:rsidR="002448B3" w:rsidRPr="00004D8A">
        <w:t>level</w:t>
      </w:r>
      <w:r w:rsidR="007E5721" w:rsidRPr="00004D8A">
        <w:t>, by a</w:t>
      </w:r>
      <w:r w:rsidRPr="00004D8A">
        <w:t xml:space="preserve">ge &amp; </w:t>
      </w:r>
      <w:r w:rsidR="007E5721" w:rsidRPr="00004D8A">
        <w:t>s</w:t>
      </w:r>
      <w:r w:rsidRPr="00004D8A">
        <w:t>ex</w:t>
      </w:r>
      <w:r w:rsidR="00251680" w:rsidRPr="00004D8A">
        <w:t>.</w:t>
      </w:r>
      <w:r w:rsidR="00FD5FDB" w:rsidRPr="00004D8A">
        <w:t xml:space="preserve"> </w:t>
      </w:r>
      <w:r w:rsidR="00143CAD" w:rsidRPr="00004D8A">
        <w:t xml:space="preserve">NHS </w:t>
      </w:r>
      <w:r w:rsidR="00637C19" w:rsidRPr="00004D8A">
        <w:t xml:space="preserve">Digital </w:t>
      </w:r>
      <w:r w:rsidR="004F2EEF" w:rsidRPr="00004D8A">
        <w:t>produce</w:t>
      </w:r>
      <w:r w:rsidR="003A5778" w:rsidRPr="00004D8A">
        <w:t>s</w:t>
      </w:r>
      <w:r w:rsidR="004F2EEF" w:rsidRPr="00004D8A">
        <w:t xml:space="preserve"> a report of </w:t>
      </w:r>
      <w:r w:rsidR="003A5778" w:rsidRPr="00004D8A">
        <w:t>h</w:t>
      </w:r>
      <w:r w:rsidR="004F2EEF" w:rsidRPr="00004D8A">
        <w:t xml:space="preserve">ospital </w:t>
      </w:r>
      <w:r w:rsidR="003A5778" w:rsidRPr="00004D8A">
        <w:t>a</w:t>
      </w:r>
      <w:r w:rsidR="004F2EEF" w:rsidRPr="00004D8A">
        <w:t xml:space="preserve">ctivity </w:t>
      </w:r>
      <w:r w:rsidR="0042795A" w:rsidRPr="00004D8A">
        <w:t xml:space="preserve">by </w:t>
      </w:r>
      <w:r w:rsidR="00B34755" w:rsidRPr="00004D8A">
        <w:t xml:space="preserve">sex, </w:t>
      </w:r>
      <w:r w:rsidR="0042795A" w:rsidRPr="00004D8A">
        <w:t xml:space="preserve">age group, </w:t>
      </w:r>
      <w:r w:rsidR="003A5778" w:rsidRPr="00004D8A">
        <w:t xml:space="preserve">and socioeconomic </w:t>
      </w:r>
      <w:r w:rsidR="00B23300" w:rsidRPr="00004D8A">
        <w:t>group.</w:t>
      </w:r>
      <w:r w:rsidR="00B34755" w:rsidRPr="00004D8A">
        <w:t xml:space="preserve"> </w:t>
      </w:r>
      <w:r w:rsidR="00B23300" w:rsidRPr="00004D8A">
        <w:t>T</w:t>
      </w:r>
      <w:r w:rsidR="00B34755" w:rsidRPr="00004D8A">
        <w:t xml:space="preserve">his covered </w:t>
      </w:r>
      <w:r w:rsidR="00872E39" w:rsidRPr="00004D8A">
        <w:lastRenderedPageBreak/>
        <w:t>over 50%</w:t>
      </w:r>
      <w:r w:rsidR="00B34755" w:rsidRPr="00004D8A">
        <w:t xml:space="preserve"> of total ICB costs and </w:t>
      </w:r>
      <w:r w:rsidR="003B724A" w:rsidRPr="00004D8A">
        <w:t xml:space="preserve">as no further split was available it was </w:t>
      </w:r>
      <w:r w:rsidR="00B34755" w:rsidRPr="00004D8A">
        <w:t>assume</w:t>
      </w:r>
      <w:r w:rsidR="000869EA" w:rsidRPr="00004D8A">
        <w:t>d</w:t>
      </w:r>
      <w:r w:rsidR="008E545C" w:rsidRPr="00004D8A">
        <w:t xml:space="preserve"> th</w:t>
      </w:r>
      <w:r w:rsidR="003B724A" w:rsidRPr="00004D8A">
        <w:t xml:space="preserve">e same </w:t>
      </w:r>
      <w:r w:rsidR="008E545C" w:rsidRPr="00004D8A">
        <w:t xml:space="preserve">allocation would </w:t>
      </w:r>
      <w:r w:rsidR="00872E39" w:rsidRPr="00004D8A">
        <w:t>apply the rem</w:t>
      </w:r>
      <w:r w:rsidR="003B724A" w:rsidRPr="00004D8A">
        <w:t>a</w:t>
      </w:r>
      <w:r w:rsidR="00872E39" w:rsidRPr="00004D8A">
        <w:t>ining costs</w:t>
      </w:r>
      <w:r w:rsidR="005D16CE" w:rsidRPr="00004D8A">
        <w:t>.</w:t>
      </w:r>
      <w:r w:rsidR="00872E39" w:rsidRPr="00004D8A">
        <w:t xml:space="preserve"> </w:t>
      </w:r>
      <w:r w:rsidR="00FC1668" w:rsidRPr="00004D8A">
        <w:t>W</w:t>
      </w:r>
      <w:r w:rsidR="00B34755" w:rsidRPr="00004D8A">
        <w:t xml:space="preserve">e </w:t>
      </w:r>
      <w:r w:rsidR="00FC1668" w:rsidRPr="00004D8A">
        <w:t xml:space="preserve">therefore </w:t>
      </w:r>
      <w:r w:rsidR="00E82380" w:rsidRPr="00004D8A">
        <w:t xml:space="preserve">applied </w:t>
      </w:r>
      <w:r w:rsidR="00AE5BC6" w:rsidRPr="00004D8A">
        <w:t xml:space="preserve">to the </w:t>
      </w:r>
      <w:r w:rsidR="00E82380" w:rsidRPr="00004D8A">
        <w:t>popul</w:t>
      </w:r>
      <w:r w:rsidR="0011154B" w:rsidRPr="00004D8A">
        <w:t>a</w:t>
      </w:r>
      <w:r w:rsidR="00E82380" w:rsidRPr="00004D8A">
        <w:t>tion to derive cost</w:t>
      </w:r>
      <w:r w:rsidR="00AE5BC6" w:rsidRPr="00004D8A">
        <w:t xml:space="preserve"> per </w:t>
      </w:r>
      <w:r w:rsidR="00E82380" w:rsidRPr="00004D8A">
        <w:t xml:space="preserve">person and </w:t>
      </w:r>
      <w:r w:rsidR="00B34755" w:rsidRPr="00004D8A">
        <w:t xml:space="preserve">used these </w:t>
      </w:r>
      <w:r w:rsidR="00875231" w:rsidRPr="00004D8A">
        <w:t>to allocate the total ICB budget to each age</w:t>
      </w:r>
      <w:r w:rsidR="0011154B" w:rsidRPr="00004D8A">
        <w:t>,</w:t>
      </w:r>
      <w:r w:rsidR="00875231" w:rsidRPr="00004D8A">
        <w:t xml:space="preserve"> </w:t>
      </w:r>
      <w:proofErr w:type="gramStart"/>
      <w:r w:rsidR="00875231" w:rsidRPr="00004D8A">
        <w:t>sex</w:t>
      </w:r>
      <w:proofErr w:type="gramEnd"/>
      <w:r w:rsidR="0011154B" w:rsidRPr="00004D8A">
        <w:t xml:space="preserve"> and deprivation quintile</w:t>
      </w:r>
      <w:r w:rsidR="00ED5755" w:rsidRPr="00004D8A">
        <w:t xml:space="preserve"> (</w:t>
      </w:r>
      <w:r w:rsidR="00DC0CE8" w:rsidRPr="00004D8A">
        <w:t>1</w:t>
      </w:r>
      <w:r w:rsidR="00AC3E1B" w:rsidRPr="00004D8A">
        <w:t>5</w:t>
      </w:r>
      <w:r w:rsidR="00ED5755" w:rsidRPr="00004D8A">
        <w:t>).</w:t>
      </w:r>
    </w:p>
    <w:p w14:paraId="5AD8E098" w14:textId="3A26CBE6" w:rsidR="003F0ED6" w:rsidRPr="00004D8A" w:rsidRDefault="00E20B97" w:rsidP="00A20B2E">
      <w:pPr>
        <w:pStyle w:val="Heading2"/>
        <w:rPr>
          <w:color w:val="auto"/>
        </w:rPr>
      </w:pPr>
      <w:r w:rsidRPr="00004D8A">
        <w:rPr>
          <w:color w:val="auto"/>
        </w:rPr>
        <w:t>Obesity Impact</w:t>
      </w:r>
    </w:p>
    <w:p w14:paraId="3BD6645D" w14:textId="7B16C0C3" w:rsidR="00B70863" w:rsidRPr="00004D8A" w:rsidRDefault="00B70863" w:rsidP="007A387C">
      <w:r w:rsidRPr="00004D8A">
        <w:t xml:space="preserve">The following </w:t>
      </w:r>
      <w:r w:rsidR="00E20B97" w:rsidRPr="00004D8A">
        <w:t xml:space="preserve">analysis of </w:t>
      </w:r>
      <w:r w:rsidR="005D1328" w:rsidRPr="00004D8A">
        <w:t xml:space="preserve">national </w:t>
      </w:r>
      <w:r w:rsidRPr="00004D8A">
        <w:t>data set</w:t>
      </w:r>
      <w:r w:rsidR="00381A13" w:rsidRPr="00004D8A">
        <w:t>s</w:t>
      </w:r>
      <w:r w:rsidRPr="00004D8A">
        <w:t xml:space="preserve"> were applied to </w:t>
      </w:r>
      <w:r w:rsidR="00986998" w:rsidRPr="00004D8A">
        <w:t>establish the allocation of the</w:t>
      </w:r>
      <w:r w:rsidR="00381A13" w:rsidRPr="00004D8A">
        <w:t xml:space="preserve"> </w:t>
      </w:r>
      <w:r w:rsidR="005C2C83" w:rsidRPr="00004D8A">
        <w:t xml:space="preserve">total </w:t>
      </w:r>
      <w:r w:rsidR="00381A13" w:rsidRPr="00004D8A">
        <w:t>population</w:t>
      </w:r>
      <w:r w:rsidR="005C2C83" w:rsidRPr="00004D8A">
        <w:t xml:space="preserve"> in 2019</w:t>
      </w:r>
      <w:r w:rsidR="00381A13" w:rsidRPr="00004D8A">
        <w:t>, mortality and HCRUs</w:t>
      </w:r>
      <w:r w:rsidR="00986998" w:rsidRPr="00004D8A">
        <w:t xml:space="preserve"> into</w:t>
      </w:r>
      <w:r w:rsidR="007C6E33" w:rsidRPr="00004D8A">
        <w:t>:</w:t>
      </w:r>
    </w:p>
    <w:p w14:paraId="549C7674" w14:textId="0F0F9CED" w:rsidR="003F0ED6" w:rsidRPr="00004D8A" w:rsidRDefault="003F0ED6" w:rsidP="00DC0CE8">
      <w:pPr>
        <w:pStyle w:val="ListParagraph"/>
        <w:numPr>
          <w:ilvl w:val="0"/>
          <w:numId w:val="20"/>
        </w:numPr>
      </w:pPr>
      <w:r w:rsidRPr="00004D8A">
        <w:t xml:space="preserve">Prevalence of </w:t>
      </w:r>
      <w:r w:rsidR="00596393" w:rsidRPr="00004D8A">
        <w:t>o</w:t>
      </w:r>
      <w:r w:rsidRPr="00004D8A">
        <w:t>besity by age</w:t>
      </w:r>
      <w:r w:rsidR="00596393" w:rsidRPr="00004D8A">
        <w:t>,</w:t>
      </w:r>
      <w:r w:rsidRPr="00004D8A">
        <w:t xml:space="preserve"> </w:t>
      </w:r>
      <w:proofErr w:type="gramStart"/>
      <w:r w:rsidRPr="00004D8A">
        <w:t>sex</w:t>
      </w:r>
      <w:proofErr w:type="gramEnd"/>
      <w:r w:rsidRPr="00004D8A">
        <w:t xml:space="preserve"> and </w:t>
      </w:r>
      <w:r w:rsidR="00596393" w:rsidRPr="00004D8A">
        <w:t>socioeconomic group.</w:t>
      </w:r>
      <w:r w:rsidR="00BC2803" w:rsidRPr="00004D8A">
        <w:t xml:space="preserve"> </w:t>
      </w:r>
      <w:bookmarkStart w:id="11" w:name="_Hlk146784554"/>
      <w:r w:rsidRPr="00004D8A">
        <w:t xml:space="preserve">The Health Survey for England (HSE) </w:t>
      </w:r>
      <w:r w:rsidR="00DC0CE8" w:rsidRPr="00004D8A">
        <w:t>(1</w:t>
      </w:r>
      <w:r w:rsidR="00AC3E1B" w:rsidRPr="00004D8A">
        <w:t>6</w:t>
      </w:r>
      <w:r w:rsidR="00DC0CE8" w:rsidRPr="00004D8A">
        <w:t xml:space="preserve">) </w:t>
      </w:r>
      <w:r w:rsidRPr="00004D8A">
        <w:t xml:space="preserve">monitors trends in the nation’s health and care. It provides information </w:t>
      </w:r>
      <w:r w:rsidR="00A63E15" w:rsidRPr="00004D8A">
        <w:t>of</w:t>
      </w:r>
      <w:r w:rsidRPr="00004D8A">
        <w:t xml:space="preserve"> adults living in private households in England. </w:t>
      </w:r>
      <w:r w:rsidR="00AD58B0" w:rsidRPr="00004D8A">
        <w:t>We used 2019</w:t>
      </w:r>
      <w:r w:rsidR="00E66481" w:rsidRPr="00004D8A">
        <w:t xml:space="preserve"> survey results to</w:t>
      </w:r>
      <w:r w:rsidR="00EF011A" w:rsidRPr="00004D8A">
        <w:t xml:space="preserve"> show </w:t>
      </w:r>
      <w:r w:rsidR="001B3643" w:rsidRPr="00004D8A">
        <w:t xml:space="preserve">prevalence by age group, </w:t>
      </w:r>
      <w:proofErr w:type="gramStart"/>
      <w:r w:rsidR="001B3643" w:rsidRPr="00004D8A">
        <w:t>sex</w:t>
      </w:r>
      <w:proofErr w:type="gramEnd"/>
      <w:r w:rsidR="001B3643" w:rsidRPr="00004D8A">
        <w:t xml:space="preserve"> and </w:t>
      </w:r>
      <w:r w:rsidR="00E66481" w:rsidRPr="00004D8A">
        <w:t>socioeconomic</w:t>
      </w:r>
      <w:r w:rsidR="001B3643" w:rsidRPr="00004D8A">
        <w:t xml:space="preserve"> </w:t>
      </w:r>
      <w:r w:rsidR="00010D65" w:rsidRPr="00004D8A">
        <w:t xml:space="preserve">quintile </w:t>
      </w:r>
      <w:r w:rsidR="001B3643" w:rsidRPr="00004D8A">
        <w:t xml:space="preserve">of </w:t>
      </w:r>
      <w:r w:rsidR="00010D65" w:rsidRPr="00004D8A">
        <w:t xml:space="preserve">the </w:t>
      </w:r>
      <w:r w:rsidR="00E66481" w:rsidRPr="00004D8A">
        <w:t>four</w:t>
      </w:r>
      <w:r w:rsidR="00EF011A" w:rsidRPr="00004D8A">
        <w:t xml:space="preserve"> obesity classes</w:t>
      </w:r>
      <w:r w:rsidR="00FC402A" w:rsidRPr="00004D8A">
        <w:t xml:space="preserve">: </w:t>
      </w:r>
      <w:r w:rsidR="00EF011A" w:rsidRPr="00004D8A">
        <w:t>Underweight</w:t>
      </w:r>
      <w:r w:rsidR="00E66481" w:rsidRPr="00004D8A">
        <w:t xml:space="preserve"> or n</w:t>
      </w:r>
      <w:r w:rsidR="00EF011A" w:rsidRPr="00004D8A">
        <w:t>ormal (BMI&lt;25</w:t>
      </w:r>
      <w:r w:rsidR="00E66481" w:rsidRPr="00004D8A">
        <w:t xml:space="preserve"> kg/m</w:t>
      </w:r>
      <w:r w:rsidR="00E66481" w:rsidRPr="00004D8A">
        <w:rPr>
          <w:vertAlign w:val="superscript"/>
        </w:rPr>
        <w:t>2</w:t>
      </w:r>
      <w:r w:rsidR="00EF011A" w:rsidRPr="00004D8A">
        <w:t>), Overweight (BMI 25-29.9</w:t>
      </w:r>
      <w:r w:rsidR="00E66481" w:rsidRPr="00004D8A">
        <w:t xml:space="preserve"> k</w:t>
      </w:r>
      <w:r w:rsidR="00ED6C2A" w:rsidRPr="00004D8A">
        <w:t>g/m</w:t>
      </w:r>
      <w:r w:rsidR="00ED6C2A" w:rsidRPr="00004D8A">
        <w:rPr>
          <w:vertAlign w:val="superscript"/>
        </w:rPr>
        <w:t>2</w:t>
      </w:r>
      <w:r w:rsidR="00EF011A" w:rsidRPr="00004D8A">
        <w:t>), Obese Class I&amp;II (BMI 30-39.9</w:t>
      </w:r>
      <w:r w:rsidR="00971456" w:rsidRPr="00004D8A">
        <w:t xml:space="preserve"> kg/m</w:t>
      </w:r>
      <w:r w:rsidR="00971456" w:rsidRPr="00004D8A">
        <w:rPr>
          <w:vertAlign w:val="superscript"/>
        </w:rPr>
        <w:t>2</w:t>
      </w:r>
      <w:r w:rsidR="00EF011A" w:rsidRPr="00004D8A">
        <w:t xml:space="preserve">), Obese Class III (BMI </w:t>
      </w:r>
      <w:r w:rsidR="00971456" w:rsidRPr="00004D8A">
        <w:t xml:space="preserve">≥ </w:t>
      </w:r>
      <w:r w:rsidR="00EF011A" w:rsidRPr="00004D8A">
        <w:t>40</w:t>
      </w:r>
      <w:r w:rsidR="00971456" w:rsidRPr="00004D8A">
        <w:t xml:space="preserve"> kg/m</w:t>
      </w:r>
      <w:r w:rsidR="00971456" w:rsidRPr="00004D8A">
        <w:rPr>
          <w:vertAlign w:val="superscript"/>
        </w:rPr>
        <w:t>2</w:t>
      </w:r>
      <w:r w:rsidR="00EF011A" w:rsidRPr="00004D8A">
        <w:t>)</w:t>
      </w:r>
      <w:r w:rsidR="00010D65" w:rsidRPr="00004D8A">
        <w:t>.</w:t>
      </w:r>
      <w:r w:rsidR="00EF011A" w:rsidRPr="00004D8A">
        <w:t xml:space="preserve"> </w:t>
      </w:r>
      <w:r w:rsidR="001B3643" w:rsidRPr="00004D8A">
        <w:t xml:space="preserve">It was not possible to split </w:t>
      </w:r>
      <w:r w:rsidR="00010D65" w:rsidRPr="00004D8A">
        <w:t>o</w:t>
      </w:r>
      <w:r w:rsidR="001B3643" w:rsidRPr="00004D8A">
        <w:t xml:space="preserve">bese </w:t>
      </w:r>
      <w:r w:rsidR="00807F1F" w:rsidRPr="00004D8A">
        <w:t>c</w:t>
      </w:r>
      <w:r w:rsidR="001B3643" w:rsidRPr="00004D8A">
        <w:t>lass</w:t>
      </w:r>
      <w:r w:rsidR="00010D65" w:rsidRPr="00004D8A">
        <w:t>es</w:t>
      </w:r>
      <w:r w:rsidR="001B3643" w:rsidRPr="00004D8A">
        <w:t xml:space="preserve"> I </w:t>
      </w:r>
      <w:r w:rsidR="00010D65" w:rsidRPr="00004D8A">
        <w:t>(BMI 30-34.9</w:t>
      </w:r>
      <w:r w:rsidR="00017E42" w:rsidRPr="00004D8A">
        <w:t xml:space="preserve"> kg/m</w:t>
      </w:r>
      <w:r w:rsidR="00017E42" w:rsidRPr="00004D8A">
        <w:rPr>
          <w:vertAlign w:val="superscript"/>
        </w:rPr>
        <w:t>2</w:t>
      </w:r>
      <w:r w:rsidR="00010D65" w:rsidRPr="00004D8A">
        <w:t>) and II (BMI 35-39.9</w:t>
      </w:r>
      <w:r w:rsidR="00017E42" w:rsidRPr="00004D8A">
        <w:t xml:space="preserve"> kg/m</w:t>
      </w:r>
      <w:r w:rsidR="00017E42" w:rsidRPr="00004D8A">
        <w:rPr>
          <w:vertAlign w:val="superscript"/>
        </w:rPr>
        <w:t>2</w:t>
      </w:r>
      <w:r w:rsidR="00010D65" w:rsidRPr="00004D8A">
        <w:t>)</w:t>
      </w:r>
      <w:r w:rsidR="001B3643" w:rsidRPr="00004D8A">
        <w:t xml:space="preserve"> as prevalence data was only given for the sum of these </w:t>
      </w:r>
      <w:r w:rsidR="00017E42" w:rsidRPr="00004D8A">
        <w:t>two</w:t>
      </w:r>
      <w:r w:rsidR="001B3643" w:rsidRPr="00004D8A">
        <w:t xml:space="preserve"> cohorts</w:t>
      </w:r>
      <w:r w:rsidR="00ED5755" w:rsidRPr="00004D8A">
        <w:t>.</w:t>
      </w:r>
      <w:r w:rsidR="000F3A53" w:rsidRPr="00004D8A">
        <w:t xml:space="preserve"> Additional data was provided by the papers of Kent et al and Le Roux et al (17,18).</w:t>
      </w:r>
    </w:p>
    <w:bookmarkEnd w:id="11"/>
    <w:p w14:paraId="0BD92979" w14:textId="4D5BC7AA" w:rsidR="003F0ED6" w:rsidRPr="00004D8A" w:rsidRDefault="00C065D9" w:rsidP="00F93FE8">
      <w:pPr>
        <w:pStyle w:val="ListParagraph"/>
        <w:numPr>
          <w:ilvl w:val="0"/>
          <w:numId w:val="20"/>
        </w:numPr>
      </w:pPr>
      <w:r w:rsidRPr="00004D8A">
        <w:t>Data from a 2019 cohort study of 3·6 million adults (19) from Clinical Practice Research Datalink (CPRD) linked to national death registration data for individuals with BMI data in the UK to estimate the impact of obesity on mortality</w:t>
      </w:r>
      <w:r w:rsidR="00FA0651" w:rsidRPr="00004D8A">
        <w:t>,</w:t>
      </w:r>
      <w:r w:rsidRPr="00004D8A">
        <w:t xml:space="preserve"> t</w:t>
      </w:r>
      <w:r w:rsidR="00FA0651" w:rsidRPr="00004D8A">
        <w:t>h</w:t>
      </w:r>
      <w:r w:rsidRPr="00004D8A">
        <w:t>rough Cox regression models fitted for all-cause mortality, where expected age of death by BMI category was estimated using a simplified Poisson model including BMI category, age, sex, and interactions between these variables.</w:t>
      </w:r>
      <w:r w:rsidR="009B5EF5" w:rsidRPr="00004D8A">
        <w:t xml:space="preserve"> </w:t>
      </w:r>
      <w:r w:rsidR="006F784B" w:rsidRPr="00004D8A">
        <w:t>A</w:t>
      </w:r>
      <w:r w:rsidR="00FB7D16" w:rsidRPr="00004D8A">
        <w:t>llocation of HCRU</w:t>
      </w:r>
      <w:r w:rsidR="006F784B" w:rsidRPr="00004D8A">
        <w:t xml:space="preserve"> per </w:t>
      </w:r>
      <w:r w:rsidR="00FB7D16" w:rsidRPr="00004D8A">
        <w:t xml:space="preserve">person </w:t>
      </w:r>
      <w:r w:rsidR="006F784B" w:rsidRPr="00004D8A">
        <w:t>(</w:t>
      </w:r>
      <w:r w:rsidR="00FB7D16" w:rsidRPr="00004D8A">
        <w:t>by BMI</w:t>
      </w:r>
      <w:r w:rsidR="0028010B" w:rsidRPr="00004D8A">
        <w:t>,</w:t>
      </w:r>
      <w:r w:rsidR="00FB7D16" w:rsidRPr="00004D8A">
        <w:t xml:space="preserve"> </w:t>
      </w:r>
      <w:r w:rsidR="003F0ED6" w:rsidRPr="00004D8A">
        <w:t>age</w:t>
      </w:r>
      <w:r w:rsidR="0028010B" w:rsidRPr="00004D8A">
        <w:t>,</w:t>
      </w:r>
      <w:r w:rsidR="003F0ED6" w:rsidRPr="00004D8A">
        <w:t xml:space="preserve"> </w:t>
      </w:r>
      <w:r w:rsidR="006F784B" w:rsidRPr="00004D8A">
        <w:t>and</w:t>
      </w:r>
      <w:r w:rsidR="003F0ED6" w:rsidRPr="00004D8A">
        <w:t xml:space="preserve"> sex</w:t>
      </w:r>
      <w:r w:rsidR="006F784B" w:rsidRPr="00004D8A">
        <w:t>)</w:t>
      </w:r>
      <w:r w:rsidR="003F0ED6" w:rsidRPr="00004D8A">
        <w:t xml:space="preserve"> was taken from</w:t>
      </w:r>
      <w:r w:rsidR="00233BAB" w:rsidRPr="00004D8A">
        <w:t xml:space="preserve"> </w:t>
      </w:r>
      <w:r w:rsidR="003F0ED6" w:rsidRPr="00004D8A">
        <w:t xml:space="preserve">Ward </w:t>
      </w:r>
      <w:r w:rsidR="00DC0CE8" w:rsidRPr="00004D8A">
        <w:t xml:space="preserve">et al </w:t>
      </w:r>
      <w:r w:rsidR="00233BAB" w:rsidRPr="00004D8A">
        <w:t>(</w:t>
      </w:r>
      <w:r w:rsidR="00123B5E" w:rsidRPr="00004D8A">
        <w:t>20</w:t>
      </w:r>
      <w:r w:rsidR="00233BAB" w:rsidRPr="00004D8A">
        <w:t xml:space="preserve">) </w:t>
      </w:r>
      <w:r w:rsidR="00F6371C" w:rsidRPr="00004D8A">
        <w:t xml:space="preserve">who used de-identified data from the Medical Expenditure Panel Survey (MEPS) 2011–2016,  for 139,143 adults to show </w:t>
      </w:r>
      <w:r w:rsidR="00D90DD2" w:rsidRPr="00004D8A">
        <w:t xml:space="preserve"> </w:t>
      </w:r>
      <w:r w:rsidR="0012719C" w:rsidRPr="00004D8A">
        <w:t xml:space="preserve">relative </w:t>
      </w:r>
      <w:r w:rsidR="008D1629" w:rsidRPr="00004D8A">
        <w:t xml:space="preserve">BMI-related health care expenditures </w:t>
      </w:r>
      <w:r w:rsidR="00233BAB" w:rsidRPr="00004D8A">
        <w:t>in the USA</w:t>
      </w:r>
      <w:r w:rsidR="00D617F4">
        <w:t xml:space="preserve"> </w:t>
      </w:r>
      <w:r w:rsidR="00205B66" w:rsidRPr="00004D8A">
        <w:t>they used a</w:t>
      </w:r>
      <w:r w:rsidR="00BC7E6E" w:rsidRPr="00004D8A">
        <w:t xml:space="preserve"> generalized additive models </w:t>
      </w:r>
      <w:r w:rsidR="00205B66" w:rsidRPr="00004D8A">
        <w:t xml:space="preserve">to </w:t>
      </w:r>
      <w:r w:rsidR="00BC7E6E" w:rsidRPr="00004D8A">
        <w:t xml:space="preserve">estimate the relationship between log BMI and the log of the standardized expenditures </w:t>
      </w:r>
      <w:r w:rsidR="00205B66" w:rsidRPr="00004D8A">
        <w:t xml:space="preserve">and published </w:t>
      </w:r>
      <w:r w:rsidR="00586799" w:rsidRPr="00004D8A">
        <w:t xml:space="preserve">their </w:t>
      </w:r>
      <w:r w:rsidR="00205B66" w:rsidRPr="00004D8A">
        <w:t>results to a BMI</w:t>
      </w:r>
      <w:r w:rsidR="00586799" w:rsidRPr="00004D8A">
        <w:t>,</w:t>
      </w:r>
      <w:r w:rsidR="00205B66" w:rsidRPr="00004D8A">
        <w:t xml:space="preserve"> age</w:t>
      </w:r>
      <w:r w:rsidR="00586799" w:rsidRPr="00004D8A">
        <w:t>,</w:t>
      </w:r>
      <w:r w:rsidR="00205B66" w:rsidRPr="00004D8A">
        <w:t xml:space="preserve"> and sex granularit</w:t>
      </w:r>
      <w:r w:rsidR="00586799" w:rsidRPr="00004D8A">
        <w:t>y</w:t>
      </w:r>
      <w:r w:rsidR="008D1629" w:rsidRPr="00004D8A">
        <w:t>)</w:t>
      </w:r>
      <w:r w:rsidR="00F1735C" w:rsidRPr="00004D8A">
        <w:t xml:space="preserve">. </w:t>
      </w:r>
      <w:r w:rsidR="00773250" w:rsidRPr="00004D8A">
        <w:t xml:space="preserve">As </w:t>
      </w:r>
      <w:r w:rsidR="00261870" w:rsidRPr="00004D8A">
        <w:t xml:space="preserve">overall </w:t>
      </w:r>
      <w:r w:rsidR="00773250" w:rsidRPr="00004D8A">
        <w:t xml:space="preserve">personal health costs are not </w:t>
      </w:r>
      <w:r w:rsidR="00261870" w:rsidRPr="00004D8A">
        <w:t xml:space="preserve">collated in the NHS </w:t>
      </w:r>
      <w:r w:rsidR="00920AFF" w:rsidRPr="00004D8A">
        <w:t xml:space="preserve">HCRU data </w:t>
      </w:r>
      <w:r w:rsidR="00EB07C7" w:rsidRPr="00004D8A">
        <w:t xml:space="preserve">/ person by age sex and </w:t>
      </w:r>
      <w:r w:rsidR="0012719C" w:rsidRPr="00004D8A">
        <w:t xml:space="preserve">BMI </w:t>
      </w:r>
      <w:r w:rsidR="00EB07C7" w:rsidRPr="00004D8A">
        <w:t xml:space="preserve">classes </w:t>
      </w:r>
      <w:r w:rsidR="00233BAB" w:rsidRPr="00004D8A">
        <w:t xml:space="preserve">is </w:t>
      </w:r>
      <w:r w:rsidR="00920AFF" w:rsidRPr="00004D8A">
        <w:t xml:space="preserve">not available </w:t>
      </w:r>
      <w:r w:rsidR="00EB07C7" w:rsidRPr="00004D8A">
        <w:t>for</w:t>
      </w:r>
      <w:r w:rsidR="00920AFF" w:rsidRPr="00004D8A">
        <w:t xml:space="preserve"> the UK</w:t>
      </w:r>
      <w:r w:rsidR="00211D48" w:rsidRPr="00004D8A">
        <w:t>.</w:t>
      </w:r>
      <w:r w:rsidR="00920AFF" w:rsidRPr="00004D8A">
        <w:t xml:space="preserve"> </w:t>
      </w:r>
      <w:r w:rsidR="007F6F14" w:rsidRPr="00004D8A">
        <w:t xml:space="preserve">The </w:t>
      </w:r>
      <w:r w:rsidR="00261870" w:rsidRPr="00004D8A">
        <w:t xml:space="preserve">relative </w:t>
      </w:r>
      <w:r w:rsidR="007F6F14" w:rsidRPr="00004D8A">
        <w:t>cost</w:t>
      </w:r>
      <w:r w:rsidR="00473F79" w:rsidRPr="00004D8A">
        <w:t>/person</w:t>
      </w:r>
      <w:r w:rsidR="007F6F14" w:rsidRPr="00004D8A">
        <w:t xml:space="preserve"> </w:t>
      </w:r>
      <w:r w:rsidR="004A4A32" w:rsidRPr="00004D8A">
        <w:t xml:space="preserve">given for </w:t>
      </w:r>
      <w:r w:rsidR="00473F79" w:rsidRPr="00004D8A">
        <w:t>e</w:t>
      </w:r>
      <w:r w:rsidR="007F6F14" w:rsidRPr="00004D8A">
        <w:t>ach BMI</w:t>
      </w:r>
      <w:r w:rsidR="00F5762D" w:rsidRPr="00004D8A">
        <w:t xml:space="preserve">, sex </w:t>
      </w:r>
      <w:r w:rsidR="00473F79" w:rsidRPr="00004D8A">
        <w:t xml:space="preserve">and age class </w:t>
      </w:r>
      <w:r w:rsidR="004A4A32" w:rsidRPr="00004D8A">
        <w:t xml:space="preserve">in the USA </w:t>
      </w:r>
      <w:r w:rsidR="00473F79" w:rsidRPr="00004D8A">
        <w:t xml:space="preserve">was </w:t>
      </w:r>
      <w:r w:rsidR="00F5762D" w:rsidRPr="00004D8A">
        <w:t xml:space="preserve">then </w:t>
      </w:r>
      <w:r w:rsidR="00473F79" w:rsidRPr="00004D8A">
        <w:t xml:space="preserve">taken as a </w:t>
      </w:r>
      <w:r w:rsidR="00687D1E" w:rsidRPr="00004D8A">
        <w:t>ratio to</w:t>
      </w:r>
      <w:r w:rsidR="00473F79" w:rsidRPr="00004D8A">
        <w:t xml:space="preserve"> the overall total</w:t>
      </w:r>
      <w:r w:rsidR="00F5762D" w:rsidRPr="00004D8A">
        <w:t xml:space="preserve"> average</w:t>
      </w:r>
      <w:r w:rsidR="00473F79" w:rsidRPr="00004D8A">
        <w:t xml:space="preserve"> cost/person</w:t>
      </w:r>
      <w:r w:rsidR="00687D1E" w:rsidRPr="00004D8A">
        <w:t xml:space="preserve">. This </w:t>
      </w:r>
      <w:r w:rsidR="00687D1E" w:rsidRPr="00004D8A">
        <w:lastRenderedPageBreak/>
        <w:t xml:space="preserve">ratio was applied to </w:t>
      </w:r>
      <w:r w:rsidR="004A4A32" w:rsidRPr="00004D8A">
        <w:t>an</w:t>
      </w:r>
      <w:r w:rsidR="00687D1E" w:rsidRPr="00004D8A">
        <w:t xml:space="preserve"> average</w:t>
      </w:r>
      <w:r w:rsidR="00F5762D" w:rsidRPr="00004D8A">
        <w:t xml:space="preserve"> cost/person </w:t>
      </w:r>
      <w:r w:rsidR="000B02C7" w:rsidRPr="00004D8A">
        <w:t xml:space="preserve">by sex and age group </w:t>
      </w:r>
      <w:r w:rsidR="001F7B1C" w:rsidRPr="00004D8A">
        <w:t xml:space="preserve">in England </w:t>
      </w:r>
      <w:r w:rsidR="00F5762D" w:rsidRPr="00004D8A">
        <w:t xml:space="preserve">to give the costs/person in each </w:t>
      </w:r>
      <w:r w:rsidR="001F7B1C" w:rsidRPr="00004D8A">
        <w:t xml:space="preserve">sex, </w:t>
      </w:r>
      <w:proofErr w:type="gramStart"/>
      <w:r w:rsidR="00F5762D" w:rsidRPr="00004D8A">
        <w:t>age</w:t>
      </w:r>
      <w:proofErr w:type="gramEnd"/>
      <w:r w:rsidR="00F5762D" w:rsidRPr="00004D8A">
        <w:t xml:space="preserve"> and BMI class in </w:t>
      </w:r>
      <w:r w:rsidR="001F7B1C" w:rsidRPr="00004D8A">
        <w:t>E</w:t>
      </w:r>
      <w:r w:rsidR="00F5762D" w:rsidRPr="00004D8A">
        <w:t>nglan</w:t>
      </w:r>
      <w:r w:rsidR="001F7B1C" w:rsidRPr="00004D8A">
        <w:t>d.</w:t>
      </w:r>
      <w:r w:rsidR="00687D1E" w:rsidRPr="00004D8A">
        <w:t xml:space="preserve"> </w:t>
      </w:r>
      <w:r w:rsidR="00211D48" w:rsidRPr="00004D8A">
        <w:t>T</w:t>
      </w:r>
      <w:r w:rsidR="00233BAB" w:rsidRPr="00004D8A">
        <w:t>h</w:t>
      </w:r>
      <w:r w:rsidR="008864F9" w:rsidRPr="00004D8A">
        <w:t xml:space="preserve">is allocation </w:t>
      </w:r>
      <w:r w:rsidR="00F9320F" w:rsidRPr="00004D8A">
        <w:t>was</w:t>
      </w:r>
      <w:r w:rsidR="00233BAB" w:rsidRPr="00004D8A">
        <w:t xml:space="preserve"> </w:t>
      </w:r>
      <w:r w:rsidR="008864F9" w:rsidRPr="00004D8A">
        <w:t xml:space="preserve">assumed </w:t>
      </w:r>
      <w:r w:rsidR="00233BAB" w:rsidRPr="00004D8A">
        <w:t>as appro</w:t>
      </w:r>
      <w:r w:rsidR="00BC0E5A" w:rsidRPr="00004D8A">
        <w:t>p</w:t>
      </w:r>
      <w:r w:rsidR="00233BAB" w:rsidRPr="00004D8A">
        <w:t>riate</w:t>
      </w:r>
      <w:r w:rsidR="00E21DE3" w:rsidRPr="00004D8A">
        <w:t xml:space="preserve"> given </w:t>
      </w:r>
      <w:r w:rsidR="00346D04" w:rsidRPr="00004D8A">
        <w:t xml:space="preserve">the </w:t>
      </w:r>
      <w:r w:rsidR="00335343" w:rsidRPr="00004D8A">
        <w:t xml:space="preserve">broad </w:t>
      </w:r>
      <w:r w:rsidR="00346D04" w:rsidRPr="00004D8A">
        <w:t xml:space="preserve">similarity in population </w:t>
      </w:r>
      <w:r w:rsidR="00335343" w:rsidRPr="00004D8A">
        <w:t xml:space="preserve">mix of </w:t>
      </w:r>
      <w:r w:rsidR="00DA2032" w:rsidRPr="00004D8A">
        <w:t xml:space="preserve">BMI, </w:t>
      </w:r>
      <w:proofErr w:type="gramStart"/>
      <w:r w:rsidR="00346D04" w:rsidRPr="00004D8A">
        <w:t>age</w:t>
      </w:r>
      <w:proofErr w:type="gramEnd"/>
      <w:r w:rsidR="00346D04" w:rsidRPr="00004D8A">
        <w:t xml:space="preserve"> </w:t>
      </w:r>
      <w:r w:rsidR="00DA2032" w:rsidRPr="00004D8A">
        <w:t>and health</w:t>
      </w:r>
      <w:r w:rsidR="00E21DE3" w:rsidRPr="00004D8A">
        <w:t>care levels</w:t>
      </w:r>
      <w:r w:rsidR="00233BAB" w:rsidRPr="00004D8A">
        <w:t>.</w:t>
      </w:r>
    </w:p>
    <w:p w14:paraId="769415C9" w14:textId="77777777" w:rsidR="00211D48" w:rsidRPr="00004D8A" w:rsidRDefault="00211D48" w:rsidP="007A0ADC">
      <w:pPr>
        <w:pStyle w:val="ListParagraph"/>
      </w:pPr>
    </w:p>
    <w:p w14:paraId="05365559" w14:textId="0230EF3C" w:rsidR="003F0ED6" w:rsidRPr="00004D8A" w:rsidRDefault="003F0ED6" w:rsidP="00CE309C">
      <w:pPr>
        <w:pStyle w:val="Heading2"/>
        <w:rPr>
          <w:color w:val="auto"/>
        </w:rPr>
      </w:pPr>
      <w:r w:rsidRPr="00004D8A">
        <w:rPr>
          <w:color w:val="auto"/>
        </w:rPr>
        <w:t>I</w:t>
      </w:r>
      <w:r w:rsidR="00CE309C" w:rsidRPr="00004D8A">
        <w:rPr>
          <w:color w:val="auto"/>
        </w:rPr>
        <w:t>ntegrated Data Model</w:t>
      </w:r>
    </w:p>
    <w:p w14:paraId="1074FC45" w14:textId="18D2E2E1" w:rsidR="003F0ED6" w:rsidRPr="00004D8A" w:rsidRDefault="003F0ED6" w:rsidP="007A387C">
      <w:r w:rsidRPr="00004D8A">
        <w:t xml:space="preserve">The Integrated Data Model </w:t>
      </w:r>
      <w:r w:rsidR="00F17D5E" w:rsidRPr="00004D8A">
        <w:t xml:space="preserve">that we utilised </w:t>
      </w:r>
      <w:r w:rsidRPr="00004D8A">
        <w:t xml:space="preserve">applied </w:t>
      </w:r>
      <w:r w:rsidR="009306E5" w:rsidRPr="00004D8A">
        <w:t xml:space="preserve">the </w:t>
      </w:r>
      <w:r w:rsidRPr="00004D8A">
        <w:t>published papers</w:t>
      </w:r>
      <w:r w:rsidR="00211D48" w:rsidRPr="00004D8A">
        <w:t xml:space="preserve"> and </w:t>
      </w:r>
      <w:r w:rsidRPr="00004D8A">
        <w:t>models</w:t>
      </w:r>
      <w:r w:rsidR="00F17D5E" w:rsidRPr="00004D8A">
        <w:t xml:space="preserve"> (outlined above)</w:t>
      </w:r>
      <w:r w:rsidRPr="00004D8A">
        <w:t xml:space="preserve"> on the impact of obesity class to the estimated numbers of population</w:t>
      </w:r>
      <w:r w:rsidR="00B511F3" w:rsidRPr="00004D8A">
        <w:t>. Data were</w:t>
      </w:r>
      <w:r w:rsidRPr="00004D8A">
        <w:t xml:space="preserve"> </w:t>
      </w:r>
      <w:r w:rsidR="00FB5DA0" w:rsidRPr="00004D8A">
        <w:t>classified</w:t>
      </w:r>
      <w:r w:rsidRPr="00004D8A">
        <w:t xml:space="preserve"> by </w:t>
      </w:r>
      <w:r w:rsidR="002B19D2" w:rsidRPr="00004D8A">
        <w:t xml:space="preserve">ICB, </w:t>
      </w:r>
      <w:r w:rsidRPr="00004D8A">
        <w:t xml:space="preserve">age, sex, </w:t>
      </w:r>
      <w:r w:rsidR="00FB5DA0" w:rsidRPr="00004D8A">
        <w:t>socioeconomic</w:t>
      </w:r>
      <w:r w:rsidRPr="00004D8A">
        <w:t xml:space="preserve"> quintile</w:t>
      </w:r>
      <w:r w:rsidR="00FB5DA0" w:rsidRPr="00004D8A">
        <w:t>,</w:t>
      </w:r>
      <w:r w:rsidRPr="00004D8A">
        <w:t xml:space="preserve"> and BMI class</w:t>
      </w:r>
      <w:r w:rsidR="002B19D2" w:rsidRPr="00004D8A">
        <w:t>.</w:t>
      </w:r>
    </w:p>
    <w:p w14:paraId="71A29F5B" w14:textId="64D0DD54" w:rsidR="00101F56" w:rsidRPr="00004D8A" w:rsidRDefault="00101F56" w:rsidP="00A20B2E">
      <w:pPr>
        <w:pStyle w:val="Heading2"/>
        <w:rPr>
          <w:color w:val="auto"/>
        </w:rPr>
      </w:pPr>
      <w:r w:rsidRPr="00004D8A">
        <w:rPr>
          <w:color w:val="auto"/>
        </w:rPr>
        <w:t>Outcomes</w:t>
      </w:r>
    </w:p>
    <w:p w14:paraId="07A40280" w14:textId="09F998CD" w:rsidR="00201027" w:rsidRPr="00004D8A" w:rsidRDefault="007B7743" w:rsidP="007A387C">
      <w:r w:rsidRPr="00004D8A">
        <w:rPr>
          <w:b/>
          <w:bCs/>
        </w:rPr>
        <w:t xml:space="preserve">Population: </w:t>
      </w:r>
      <w:r w:rsidR="003F0ED6" w:rsidRPr="00004D8A">
        <w:t>The population for each ICB</w:t>
      </w:r>
      <w:r w:rsidR="003F3A46" w:rsidRPr="00004D8A">
        <w:t>,</w:t>
      </w:r>
      <w:r w:rsidR="003F0ED6" w:rsidRPr="00004D8A">
        <w:t xml:space="preserve"> by sex and single year age</w:t>
      </w:r>
      <w:r w:rsidR="003F3A46" w:rsidRPr="00004D8A">
        <w:t>,</w:t>
      </w:r>
      <w:r w:rsidR="003F0ED6" w:rsidRPr="00004D8A">
        <w:t xml:space="preserve"> was split by relative prevalence </w:t>
      </w:r>
      <w:r w:rsidR="00233BAB" w:rsidRPr="00004D8A">
        <w:t xml:space="preserve">in each </w:t>
      </w:r>
      <w:r w:rsidR="003F0ED6" w:rsidRPr="00004D8A">
        <w:t xml:space="preserve">deprivation quintiles </w:t>
      </w:r>
      <w:r w:rsidR="00233BAB" w:rsidRPr="00004D8A">
        <w:t>in</w:t>
      </w:r>
      <w:r w:rsidR="003F0ED6" w:rsidRPr="00004D8A">
        <w:t xml:space="preserve"> each ICB </w:t>
      </w:r>
      <w:r w:rsidR="00233BAB" w:rsidRPr="00004D8A">
        <w:t>and the</w:t>
      </w:r>
      <w:r w:rsidR="003F0ED6" w:rsidRPr="00004D8A">
        <w:t xml:space="preserve"> relative prevalence </w:t>
      </w:r>
      <w:r w:rsidR="00233BAB" w:rsidRPr="00004D8A">
        <w:t xml:space="preserve">of each </w:t>
      </w:r>
      <w:r w:rsidR="003F0ED6" w:rsidRPr="00004D8A">
        <w:t xml:space="preserve">BMI </w:t>
      </w:r>
      <w:r w:rsidR="003F3A46" w:rsidRPr="00004D8A">
        <w:t>c</w:t>
      </w:r>
      <w:r w:rsidR="003F0ED6" w:rsidRPr="00004D8A">
        <w:t xml:space="preserve">lass </w:t>
      </w:r>
      <w:r w:rsidR="00726959" w:rsidRPr="00004D8A">
        <w:t xml:space="preserve">by age, </w:t>
      </w:r>
      <w:proofErr w:type="gramStart"/>
      <w:r w:rsidR="00726959" w:rsidRPr="00004D8A">
        <w:t>sex</w:t>
      </w:r>
      <w:proofErr w:type="gramEnd"/>
      <w:r w:rsidR="00726959" w:rsidRPr="00004D8A">
        <w:t xml:space="preserve"> and </w:t>
      </w:r>
      <w:r w:rsidR="00201027" w:rsidRPr="00004D8A">
        <w:t>deprivation</w:t>
      </w:r>
      <w:r w:rsidR="003F3A46" w:rsidRPr="00004D8A">
        <w:t>. This</w:t>
      </w:r>
      <w:r w:rsidR="00201027" w:rsidRPr="00004D8A">
        <w:t xml:space="preserve"> </w:t>
      </w:r>
      <w:r w:rsidR="00426296" w:rsidRPr="00004D8A">
        <w:t>g</w:t>
      </w:r>
      <w:r w:rsidR="003F3A46" w:rsidRPr="00004D8A">
        <w:t>a</w:t>
      </w:r>
      <w:r w:rsidR="00426296" w:rsidRPr="00004D8A">
        <w:t xml:space="preserve">ve </w:t>
      </w:r>
      <w:r w:rsidR="00FC2EAE" w:rsidRPr="00004D8A">
        <w:t>a</w:t>
      </w:r>
      <w:r w:rsidR="00426296" w:rsidRPr="00004D8A">
        <w:t xml:space="preserve"> </w:t>
      </w:r>
      <w:r w:rsidR="007D0611" w:rsidRPr="00004D8A">
        <w:t xml:space="preserve">population </w:t>
      </w:r>
      <w:r w:rsidR="00201027" w:rsidRPr="00004D8A">
        <w:t xml:space="preserve">number </w:t>
      </w:r>
      <w:r w:rsidR="007D0611" w:rsidRPr="00004D8A">
        <w:t>in each class ICB</w:t>
      </w:r>
      <w:r w:rsidR="00DC2533" w:rsidRPr="00004D8A">
        <w:t xml:space="preserve"> (</w:t>
      </w:r>
      <w:r w:rsidR="008E22F3" w:rsidRPr="00004D8A">
        <w:t>n=</w:t>
      </w:r>
      <w:r w:rsidR="00DC2533" w:rsidRPr="00004D8A">
        <w:t>4</w:t>
      </w:r>
      <w:r w:rsidR="00ED5755" w:rsidRPr="00004D8A">
        <w:t>2</w:t>
      </w:r>
      <w:r w:rsidR="00DC2533" w:rsidRPr="00004D8A">
        <w:t>)</w:t>
      </w:r>
      <w:r w:rsidR="007D0611" w:rsidRPr="00004D8A">
        <w:t>, Age</w:t>
      </w:r>
      <w:r w:rsidR="00DC2533" w:rsidRPr="00004D8A">
        <w:t xml:space="preserve"> (</w:t>
      </w:r>
      <w:r w:rsidR="008E22F3" w:rsidRPr="00004D8A">
        <w:t>n=</w:t>
      </w:r>
      <w:r w:rsidR="00DC2533" w:rsidRPr="00004D8A">
        <w:t>90),</w:t>
      </w:r>
      <w:r w:rsidR="007D0611" w:rsidRPr="00004D8A">
        <w:t xml:space="preserve"> Sex</w:t>
      </w:r>
      <w:r w:rsidR="00DC2533" w:rsidRPr="00004D8A">
        <w:t xml:space="preserve"> (</w:t>
      </w:r>
      <w:r w:rsidR="008E22F3" w:rsidRPr="00004D8A">
        <w:t>n=</w:t>
      </w:r>
      <w:r w:rsidR="00DC2533" w:rsidRPr="00004D8A">
        <w:t>2)</w:t>
      </w:r>
      <w:r w:rsidR="007D0611" w:rsidRPr="00004D8A">
        <w:t xml:space="preserve">, </w:t>
      </w:r>
      <w:r w:rsidR="00BC0619" w:rsidRPr="00004D8A">
        <w:t xml:space="preserve">Deprivation </w:t>
      </w:r>
      <w:r w:rsidR="00DC2533" w:rsidRPr="00004D8A">
        <w:t>(</w:t>
      </w:r>
      <w:r w:rsidR="008E22F3" w:rsidRPr="00004D8A">
        <w:t>n=</w:t>
      </w:r>
      <w:r w:rsidR="00DC2533" w:rsidRPr="00004D8A">
        <w:t>5)</w:t>
      </w:r>
      <w:r w:rsidR="00FC2EAE" w:rsidRPr="00004D8A">
        <w:t xml:space="preserve">, </w:t>
      </w:r>
      <w:r w:rsidR="00DC2533" w:rsidRPr="00004D8A">
        <w:t xml:space="preserve">and </w:t>
      </w:r>
      <w:r w:rsidR="00FC2EAE" w:rsidRPr="00004D8A">
        <w:t xml:space="preserve">BMI </w:t>
      </w:r>
      <w:r w:rsidR="00BA3705" w:rsidRPr="00004D8A">
        <w:t>(</w:t>
      </w:r>
      <w:r w:rsidR="008E22F3" w:rsidRPr="00004D8A">
        <w:t>n=</w:t>
      </w:r>
      <w:r w:rsidR="00C57533" w:rsidRPr="00004D8A">
        <w:t>4</w:t>
      </w:r>
      <w:r w:rsidR="00BA3705" w:rsidRPr="00004D8A">
        <w:t>)</w:t>
      </w:r>
      <w:r w:rsidR="00C57533" w:rsidRPr="00004D8A">
        <w:t xml:space="preserve">, giving a total of 152,880 </w:t>
      </w:r>
      <w:r w:rsidR="00233BAB" w:rsidRPr="00004D8A">
        <w:t>cohorts of distinct populations</w:t>
      </w:r>
      <w:r w:rsidR="00C57533" w:rsidRPr="00004D8A">
        <w:t>.</w:t>
      </w:r>
    </w:p>
    <w:p w14:paraId="5E01C550" w14:textId="37C0F879" w:rsidR="003F0ED6" w:rsidRPr="00004D8A" w:rsidRDefault="007B7743" w:rsidP="007A387C">
      <w:r w:rsidRPr="00004D8A">
        <w:rPr>
          <w:b/>
          <w:bCs/>
        </w:rPr>
        <w:t>Mortality:</w:t>
      </w:r>
      <w:r w:rsidRPr="00004D8A">
        <w:t xml:space="preserve"> </w:t>
      </w:r>
      <w:r w:rsidR="00646185" w:rsidRPr="00004D8A">
        <w:t xml:space="preserve">The </w:t>
      </w:r>
      <w:r w:rsidR="005D7177" w:rsidRPr="00004D8A">
        <w:t xml:space="preserve">ONS </w:t>
      </w:r>
      <w:r w:rsidR="00433283" w:rsidRPr="00004D8A">
        <w:t>published m</w:t>
      </w:r>
      <w:r w:rsidR="00646185" w:rsidRPr="00004D8A">
        <w:t>ortality r</w:t>
      </w:r>
      <w:r w:rsidR="00433283" w:rsidRPr="00004D8A">
        <w:t>a</w:t>
      </w:r>
      <w:r w:rsidR="00646185" w:rsidRPr="00004D8A">
        <w:t>te</w:t>
      </w:r>
      <w:r w:rsidR="00ED5573" w:rsidRPr="00004D8A">
        <w:t>,</w:t>
      </w:r>
      <w:r w:rsidR="00646185" w:rsidRPr="00004D8A">
        <w:t xml:space="preserve"> by age and sex was </w:t>
      </w:r>
      <w:r w:rsidR="00B66571" w:rsidRPr="00004D8A">
        <w:t xml:space="preserve">then </w:t>
      </w:r>
      <w:r w:rsidR="00646185" w:rsidRPr="00004D8A">
        <w:t>adjusted by the odds ratio</w:t>
      </w:r>
      <w:r w:rsidR="00433283" w:rsidRPr="00004D8A">
        <w:t xml:space="preserve"> </w:t>
      </w:r>
      <w:r w:rsidR="002F181B" w:rsidRPr="00004D8A">
        <w:t xml:space="preserve">taken from ONS publication linking </w:t>
      </w:r>
      <w:r w:rsidR="0097194A" w:rsidRPr="00004D8A">
        <w:t xml:space="preserve">mortality to social </w:t>
      </w:r>
      <w:r w:rsidR="00433283" w:rsidRPr="00004D8A">
        <w:t xml:space="preserve">deprivation </w:t>
      </w:r>
      <w:r w:rsidR="0097194A" w:rsidRPr="00004D8A">
        <w:t>decile</w:t>
      </w:r>
      <w:r w:rsidR="00C50530" w:rsidRPr="00004D8A">
        <w:t xml:space="preserve"> </w:t>
      </w:r>
      <w:r w:rsidR="00A365F5" w:rsidRPr="00004D8A">
        <w:t>(</w:t>
      </w:r>
      <w:r w:rsidR="00123B5E" w:rsidRPr="00004D8A">
        <w:t>13</w:t>
      </w:r>
      <w:r w:rsidR="00173688" w:rsidRPr="00004D8A">
        <w:t>) and</w:t>
      </w:r>
      <w:r w:rsidR="00F96426" w:rsidRPr="00004D8A">
        <w:t xml:space="preserve"> t</w:t>
      </w:r>
      <w:r w:rsidR="0097194A" w:rsidRPr="00004D8A">
        <w:t xml:space="preserve">he odds ratio </w:t>
      </w:r>
      <w:r w:rsidR="00F96426" w:rsidRPr="00004D8A">
        <w:t>for</w:t>
      </w:r>
      <w:r w:rsidR="0097194A" w:rsidRPr="00004D8A">
        <w:t xml:space="preserve"> impact of BMI class on mortality taken from</w:t>
      </w:r>
      <w:r w:rsidR="00F96426" w:rsidRPr="00004D8A">
        <w:t xml:space="preserve"> </w:t>
      </w:r>
      <w:r w:rsidR="00123B5E" w:rsidRPr="00004D8A">
        <w:t xml:space="preserve">a </w:t>
      </w:r>
      <w:r w:rsidR="00F96426" w:rsidRPr="00004D8A">
        <w:t>UK based study (</w:t>
      </w:r>
      <w:r w:rsidR="00123B5E" w:rsidRPr="00004D8A">
        <w:t>19</w:t>
      </w:r>
      <w:r w:rsidR="00F96426" w:rsidRPr="00004D8A">
        <w:t>)</w:t>
      </w:r>
      <w:r w:rsidR="00C50530" w:rsidRPr="00004D8A">
        <w:t xml:space="preserve">. </w:t>
      </w:r>
      <w:r w:rsidR="00F96426" w:rsidRPr="00004D8A">
        <w:t xml:space="preserve"> All together </w:t>
      </w:r>
      <w:r w:rsidR="00ED5573" w:rsidRPr="00004D8A">
        <w:t>his</w:t>
      </w:r>
      <w:r w:rsidR="00433283" w:rsidRPr="00004D8A">
        <w:t xml:space="preserve"> g</w:t>
      </w:r>
      <w:r w:rsidR="00ED5573" w:rsidRPr="00004D8A">
        <w:t>a</w:t>
      </w:r>
      <w:r w:rsidR="00433283" w:rsidRPr="00004D8A">
        <w:t xml:space="preserve">ve </w:t>
      </w:r>
      <w:r w:rsidR="00ED5573" w:rsidRPr="00004D8A">
        <w:t xml:space="preserve">the </w:t>
      </w:r>
      <w:r w:rsidR="00817A09" w:rsidRPr="00004D8A">
        <w:t xml:space="preserve">mortality rate for each </w:t>
      </w:r>
      <w:r w:rsidR="004C7CFE" w:rsidRPr="00004D8A">
        <w:t xml:space="preserve">of the </w:t>
      </w:r>
      <w:r w:rsidR="00817A09" w:rsidRPr="00004D8A">
        <w:t>cohort</w:t>
      </w:r>
      <w:r w:rsidR="00DE1E5E" w:rsidRPr="00004D8A">
        <w:t>s</w:t>
      </w:r>
      <w:r w:rsidR="00ED5573" w:rsidRPr="00004D8A">
        <w:t>. Th</w:t>
      </w:r>
      <w:r w:rsidR="00DC6DC3" w:rsidRPr="00004D8A">
        <w:t>e value</w:t>
      </w:r>
      <w:r w:rsidR="00ED5573" w:rsidRPr="00004D8A">
        <w:t xml:space="preserve"> was</w:t>
      </w:r>
      <w:r w:rsidR="00461970" w:rsidRPr="00004D8A">
        <w:t xml:space="preserve"> </w:t>
      </w:r>
      <w:r w:rsidR="00DE1E5E" w:rsidRPr="00004D8A">
        <w:t>t</w:t>
      </w:r>
      <w:r w:rsidR="00461970" w:rsidRPr="00004D8A">
        <w:t xml:space="preserve">hen applied to the population </w:t>
      </w:r>
      <w:r w:rsidR="00DE1E5E" w:rsidRPr="00004D8A">
        <w:t xml:space="preserve">to </w:t>
      </w:r>
      <w:r w:rsidR="00461970" w:rsidRPr="00004D8A">
        <w:t>g</w:t>
      </w:r>
      <w:r w:rsidR="00DE1E5E" w:rsidRPr="00004D8A">
        <w:t>i</w:t>
      </w:r>
      <w:r w:rsidR="00461970" w:rsidRPr="00004D8A">
        <w:t xml:space="preserve">ve </w:t>
      </w:r>
      <w:r w:rsidR="00DE1E5E" w:rsidRPr="00004D8A">
        <w:t>the</w:t>
      </w:r>
      <w:r w:rsidR="00461970" w:rsidRPr="00004D8A">
        <w:t xml:space="preserve"> number </w:t>
      </w:r>
      <w:r w:rsidR="00DE1E5E" w:rsidRPr="00004D8A">
        <w:t>of</w:t>
      </w:r>
      <w:r w:rsidR="00461970" w:rsidRPr="00004D8A">
        <w:t xml:space="preserve"> expected deaths</w:t>
      </w:r>
      <w:r w:rsidR="00ED5755" w:rsidRPr="00004D8A">
        <w:t>.</w:t>
      </w:r>
    </w:p>
    <w:p w14:paraId="16EAA29B" w14:textId="5E1CB28D" w:rsidR="00F34C8B" w:rsidRPr="00004D8A" w:rsidRDefault="00644A41" w:rsidP="007A387C">
      <w:r w:rsidRPr="00004D8A">
        <w:rPr>
          <w:b/>
          <w:bCs/>
        </w:rPr>
        <w:t xml:space="preserve">Expected </w:t>
      </w:r>
      <w:r w:rsidR="00F34C8B" w:rsidRPr="00004D8A">
        <w:rPr>
          <w:b/>
          <w:bCs/>
        </w:rPr>
        <w:t xml:space="preserve">Future Life Years: </w:t>
      </w:r>
      <w:r w:rsidR="00233BAB" w:rsidRPr="00004D8A">
        <w:t>In each cohort</w:t>
      </w:r>
      <w:r w:rsidR="00DE1E5E" w:rsidRPr="00004D8A">
        <w:t>,</w:t>
      </w:r>
      <w:r w:rsidR="00233BAB" w:rsidRPr="00004D8A">
        <w:t xml:space="preserve"> the </w:t>
      </w:r>
      <w:r w:rsidR="00ED5EA0" w:rsidRPr="00004D8A">
        <w:t xml:space="preserve">current </w:t>
      </w:r>
      <w:r w:rsidR="00F34C8B" w:rsidRPr="00004D8A">
        <w:t xml:space="preserve">mortality </w:t>
      </w:r>
      <w:r w:rsidR="00BB1FCF" w:rsidRPr="00004D8A">
        <w:t xml:space="preserve">rate for each life year </w:t>
      </w:r>
      <w:r w:rsidR="00ED5EA0" w:rsidRPr="00004D8A">
        <w:t xml:space="preserve">can then be </w:t>
      </w:r>
      <w:r w:rsidR="0064663D" w:rsidRPr="00004D8A">
        <w:t xml:space="preserve">used </w:t>
      </w:r>
      <w:r w:rsidR="008F3F09" w:rsidRPr="00004D8A">
        <w:t xml:space="preserve">over </w:t>
      </w:r>
      <w:r w:rsidR="00D15FF2" w:rsidRPr="00004D8A">
        <w:t xml:space="preserve">the </w:t>
      </w:r>
      <w:r w:rsidR="008F3F09" w:rsidRPr="00004D8A">
        <w:t xml:space="preserve">future </w:t>
      </w:r>
      <w:r w:rsidR="00461970" w:rsidRPr="00004D8A">
        <w:t>age</w:t>
      </w:r>
      <w:r w:rsidR="00233BAB" w:rsidRPr="00004D8A">
        <w:t xml:space="preserve"> years</w:t>
      </w:r>
      <w:r w:rsidR="008F3F09" w:rsidRPr="00004D8A">
        <w:t xml:space="preserve"> </w:t>
      </w:r>
      <w:r w:rsidR="00F34C8B" w:rsidRPr="00004D8A">
        <w:t xml:space="preserve">to </w:t>
      </w:r>
      <w:r w:rsidR="00BB1FCF" w:rsidRPr="00004D8A">
        <w:t>calculate</w:t>
      </w:r>
      <w:r w:rsidR="00F34C8B" w:rsidRPr="00004D8A">
        <w:t xml:space="preserve"> </w:t>
      </w:r>
      <w:r w:rsidR="00461970" w:rsidRPr="00004D8A">
        <w:t xml:space="preserve">the </w:t>
      </w:r>
      <w:r w:rsidR="00233BAB" w:rsidRPr="00004D8A">
        <w:t>life expectancy</w:t>
      </w:r>
      <w:r w:rsidR="00ED5EA0" w:rsidRPr="00004D8A">
        <w:t xml:space="preserve"> </w:t>
      </w:r>
      <w:r w:rsidR="0064663D" w:rsidRPr="00004D8A">
        <w:t>for</w:t>
      </w:r>
      <w:r w:rsidR="00ED5EA0" w:rsidRPr="00004D8A">
        <w:t xml:space="preserve"> each </w:t>
      </w:r>
      <w:r w:rsidR="00D15FF2" w:rsidRPr="00004D8A">
        <w:t xml:space="preserve">given </w:t>
      </w:r>
      <w:r w:rsidR="00ED5EA0" w:rsidRPr="00004D8A">
        <w:t>age year</w:t>
      </w:r>
      <w:r w:rsidR="00075CC0" w:rsidRPr="00004D8A">
        <w:t>,</w:t>
      </w:r>
      <w:r w:rsidR="00233BAB" w:rsidRPr="00004D8A">
        <w:t xml:space="preserve"> </w:t>
      </w:r>
      <w:r w:rsidR="00B75FBE" w:rsidRPr="00004D8A">
        <w:t>‘</w:t>
      </w:r>
      <w:r w:rsidRPr="00004D8A">
        <w:t>Future L</w:t>
      </w:r>
      <w:r w:rsidR="008F3F09" w:rsidRPr="00004D8A">
        <w:t xml:space="preserve">ife </w:t>
      </w:r>
      <w:r w:rsidRPr="00004D8A">
        <w:t>Y</w:t>
      </w:r>
      <w:r w:rsidR="008F3F09" w:rsidRPr="00004D8A">
        <w:t>ears</w:t>
      </w:r>
      <w:r w:rsidR="008D15BD" w:rsidRPr="00004D8A">
        <w:t>’</w:t>
      </w:r>
      <w:r w:rsidR="00354BC6" w:rsidRPr="00004D8A">
        <w:t>.</w:t>
      </w:r>
    </w:p>
    <w:p w14:paraId="2092BF58" w14:textId="4D9FC378" w:rsidR="00E10D38" w:rsidRPr="00004D8A" w:rsidRDefault="00F01A16" w:rsidP="007A387C">
      <w:r w:rsidRPr="00004D8A">
        <w:rPr>
          <w:b/>
          <w:bCs/>
        </w:rPr>
        <w:t>Healthcare Resource Use (</w:t>
      </w:r>
      <w:r w:rsidR="00E10D38" w:rsidRPr="00004D8A">
        <w:rPr>
          <w:b/>
          <w:bCs/>
        </w:rPr>
        <w:t>H</w:t>
      </w:r>
      <w:r w:rsidR="00EB2262" w:rsidRPr="00004D8A">
        <w:rPr>
          <w:b/>
          <w:bCs/>
        </w:rPr>
        <w:t>C</w:t>
      </w:r>
      <w:r w:rsidR="00E10D38" w:rsidRPr="00004D8A">
        <w:rPr>
          <w:b/>
          <w:bCs/>
        </w:rPr>
        <w:t>RU</w:t>
      </w:r>
      <w:r w:rsidRPr="00004D8A">
        <w:rPr>
          <w:b/>
          <w:bCs/>
        </w:rPr>
        <w:t>)</w:t>
      </w:r>
      <w:r w:rsidR="00E10D38" w:rsidRPr="00004D8A">
        <w:rPr>
          <w:b/>
          <w:bCs/>
        </w:rPr>
        <w:t>:</w:t>
      </w:r>
      <w:r w:rsidR="00E10D38" w:rsidRPr="00004D8A">
        <w:t xml:space="preserve"> </w:t>
      </w:r>
      <w:r w:rsidR="00233BAB" w:rsidRPr="00004D8A">
        <w:t xml:space="preserve">The total </w:t>
      </w:r>
      <w:r w:rsidR="00BB5EC0" w:rsidRPr="00004D8A">
        <w:t>HCRU in each ICB (</w:t>
      </w:r>
      <w:r w:rsidR="00233BAB" w:rsidRPr="00004D8A">
        <w:t>2022/2023 financial year prices</w:t>
      </w:r>
      <w:r w:rsidR="00BB5EC0" w:rsidRPr="00004D8A">
        <w:t xml:space="preserve">) was divided by the </w:t>
      </w:r>
      <w:r w:rsidR="00D43A1D" w:rsidRPr="00004D8A">
        <w:t xml:space="preserve">ICB </w:t>
      </w:r>
      <w:r w:rsidR="00BB5EC0" w:rsidRPr="00004D8A">
        <w:t xml:space="preserve">population and then the </w:t>
      </w:r>
      <w:r w:rsidR="00E10D38" w:rsidRPr="00004D8A">
        <w:t xml:space="preserve">average HCRU / population </w:t>
      </w:r>
      <w:r w:rsidR="00DB0A75" w:rsidRPr="00004D8A">
        <w:t xml:space="preserve">was adjusted by </w:t>
      </w:r>
      <w:r w:rsidR="0046783F" w:rsidRPr="00004D8A">
        <w:t xml:space="preserve">the </w:t>
      </w:r>
      <w:r w:rsidR="00461970" w:rsidRPr="00004D8A">
        <w:t xml:space="preserve">relative </w:t>
      </w:r>
      <w:r w:rsidR="0046783F" w:rsidRPr="00004D8A">
        <w:t>(</w:t>
      </w:r>
      <w:r w:rsidR="00233BAB" w:rsidRPr="00004D8A">
        <w:t>expected</w:t>
      </w:r>
      <w:r w:rsidR="0046783F" w:rsidRPr="00004D8A">
        <w:t>)</w:t>
      </w:r>
      <w:r w:rsidR="00233BAB" w:rsidRPr="00004D8A">
        <w:t xml:space="preserve"> </w:t>
      </w:r>
      <w:r w:rsidR="00DB0A75" w:rsidRPr="00004D8A">
        <w:t>ratio for the age</w:t>
      </w:r>
      <w:r w:rsidR="00461970" w:rsidRPr="00004D8A">
        <w:t>,</w:t>
      </w:r>
      <w:r w:rsidR="00DB0A75" w:rsidRPr="00004D8A">
        <w:t xml:space="preserve"> </w:t>
      </w:r>
      <w:proofErr w:type="gramStart"/>
      <w:r w:rsidR="00DB0A75" w:rsidRPr="00004D8A">
        <w:t>sex</w:t>
      </w:r>
      <w:proofErr w:type="gramEnd"/>
      <w:r w:rsidR="00DB0A75" w:rsidRPr="00004D8A">
        <w:t xml:space="preserve"> and BMI</w:t>
      </w:r>
      <w:r w:rsidR="00EB2262" w:rsidRPr="00004D8A">
        <w:t xml:space="preserve"> class</w:t>
      </w:r>
      <w:r w:rsidR="00ED5755" w:rsidRPr="00004D8A">
        <w:t>.</w:t>
      </w:r>
    </w:p>
    <w:p w14:paraId="5328B7C5" w14:textId="0AA13682" w:rsidR="00EB2262" w:rsidRPr="00004D8A" w:rsidRDefault="00EB2262" w:rsidP="007A387C">
      <w:r w:rsidRPr="00004D8A">
        <w:rPr>
          <w:b/>
          <w:bCs/>
        </w:rPr>
        <w:t>L</w:t>
      </w:r>
      <w:r w:rsidR="00264A77" w:rsidRPr="00004D8A">
        <w:rPr>
          <w:b/>
          <w:bCs/>
        </w:rPr>
        <w:t>ifetime</w:t>
      </w:r>
      <w:r w:rsidRPr="00004D8A">
        <w:rPr>
          <w:b/>
          <w:bCs/>
        </w:rPr>
        <w:t xml:space="preserve"> HCRU</w:t>
      </w:r>
      <w:r w:rsidR="00264A77" w:rsidRPr="00004D8A">
        <w:rPr>
          <w:b/>
          <w:bCs/>
        </w:rPr>
        <w:t xml:space="preserve"> </w:t>
      </w:r>
      <w:r w:rsidR="00814F7F" w:rsidRPr="00004D8A">
        <w:t>I</w:t>
      </w:r>
      <w:r w:rsidR="00BF4FB7" w:rsidRPr="00004D8A">
        <w:t xml:space="preserve">t was </w:t>
      </w:r>
      <w:r w:rsidR="00B46637" w:rsidRPr="00004D8A">
        <w:t>assumed</w:t>
      </w:r>
      <w:r w:rsidR="00BF4FB7" w:rsidRPr="00004D8A">
        <w:t xml:space="preserve"> </w:t>
      </w:r>
      <w:r w:rsidR="0043490C" w:rsidRPr="00004D8A">
        <w:t>that p</w:t>
      </w:r>
      <w:r w:rsidR="00A3318B" w:rsidRPr="00004D8A">
        <w:t>eople</w:t>
      </w:r>
      <w:r w:rsidR="0043490C" w:rsidRPr="00004D8A">
        <w:t xml:space="preserve"> remain within an obesity class over their lifetime</w:t>
      </w:r>
      <w:r w:rsidR="00123B5E" w:rsidRPr="00004D8A">
        <w:t xml:space="preserve"> (21,22)</w:t>
      </w:r>
      <w:r w:rsidR="00BF4FB7" w:rsidRPr="00004D8A">
        <w:t xml:space="preserve">. </w:t>
      </w:r>
      <w:r w:rsidR="000309F9" w:rsidRPr="00004D8A">
        <w:t>A</w:t>
      </w:r>
      <w:r w:rsidR="0043490C" w:rsidRPr="00004D8A">
        <w:t xml:space="preserve"> </w:t>
      </w:r>
      <w:r w:rsidR="009B6524" w:rsidRPr="00004D8A">
        <w:t xml:space="preserve">Lifetime </w:t>
      </w:r>
      <w:r w:rsidR="0043490C" w:rsidRPr="00004D8A">
        <w:t xml:space="preserve">HCRU </w:t>
      </w:r>
      <w:r w:rsidR="0059265A" w:rsidRPr="00004D8A">
        <w:t>wa</w:t>
      </w:r>
      <w:r w:rsidR="003E6435" w:rsidRPr="00004D8A">
        <w:t xml:space="preserve">s </w:t>
      </w:r>
      <w:r w:rsidR="00C50530" w:rsidRPr="00004D8A">
        <w:t>estimated</w:t>
      </w:r>
      <w:r w:rsidR="003E6435" w:rsidRPr="00004D8A">
        <w:t xml:space="preserve"> </w:t>
      </w:r>
      <w:r w:rsidR="000309F9" w:rsidRPr="00004D8A">
        <w:t xml:space="preserve">by taking the </w:t>
      </w:r>
      <w:r w:rsidR="003E6435" w:rsidRPr="00004D8A">
        <w:t xml:space="preserve">sum </w:t>
      </w:r>
      <w:r w:rsidR="0043490C" w:rsidRPr="00004D8A">
        <w:t xml:space="preserve">of the </w:t>
      </w:r>
      <w:r w:rsidR="00F01E33" w:rsidRPr="00004D8A">
        <w:t xml:space="preserve">annual </w:t>
      </w:r>
      <w:r w:rsidR="0043490C" w:rsidRPr="00004D8A">
        <w:t xml:space="preserve">HCRU over </w:t>
      </w:r>
      <w:r w:rsidR="00F01E33" w:rsidRPr="00004D8A">
        <w:t xml:space="preserve">each of the age </w:t>
      </w:r>
      <w:r w:rsidR="0043490C" w:rsidRPr="00004D8A">
        <w:t>years be</w:t>
      </w:r>
      <w:r w:rsidR="00947398" w:rsidRPr="00004D8A">
        <w:t>tween current age and a</w:t>
      </w:r>
      <w:r w:rsidR="0043490C" w:rsidRPr="00004D8A">
        <w:t>ge of death</w:t>
      </w:r>
      <w:r w:rsidR="00845BC8" w:rsidRPr="00004D8A">
        <w:t xml:space="preserve"> for each </w:t>
      </w:r>
      <w:r w:rsidR="00BB5EC0" w:rsidRPr="00004D8A">
        <w:lastRenderedPageBreak/>
        <w:t>cohort</w:t>
      </w:r>
      <w:r w:rsidR="0043490C" w:rsidRPr="00004D8A">
        <w:t>.</w:t>
      </w:r>
      <w:r w:rsidR="001B7905" w:rsidRPr="00004D8A">
        <w:t xml:space="preserve"> </w:t>
      </w:r>
      <w:r w:rsidR="00BB5EC0" w:rsidRPr="00004D8A">
        <w:t xml:space="preserve">The model had a maximum </w:t>
      </w:r>
      <w:r w:rsidR="00494588" w:rsidRPr="00004D8A">
        <w:t xml:space="preserve">age </w:t>
      </w:r>
      <w:r w:rsidR="00BB5EC0" w:rsidRPr="00004D8A">
        <w:t xml:space="preserve">of </w:t>
      </w:r>
      <w:r w:rsidR="00814F7F" w:rsidRPr="00004D8A">
        <w:t xml:space="preserve">90 years and </w:t>
      </w:r>
      <w:r w:rsidR="00BB5EC0" w:rsidRPr="00004D8A">
        <w:t xml:space="preserve">so </w:t>
      </w:r>
      <w:r w:rsidR="00494588" w:rsidRPr="00004D8A">
        <w:t xml:space="preserve">all </w:t>
      </w:r>
      <w:r w:rsidR="009B6524" w:rsidRPr="00004D8A">
        <w:t>future expected life years</w:t>
      </w:r>
      <w:r w:rsidR="00494588" w:rsidRPr="00004D8A">
        <w:t xml:space="preserve"> above 90 </w:t>
      </w:r>
      <w:r w:rsidR="00814F7F" w:rsidRPr="00004D8A">
        <w:t xml:space="preserve">years </w:t>
      </w:r>
      <w:r w:rsidR="00494588" w:rsidRPr="00004D8A">
        <w:t>were costed at the 90</w:t>
      </w:r>
      <w:r w:rsidR="00814F7F" w:rsidRPr="00004D8A">
        <w:t>-</w:t>
      </w:r>
      <w:r w:rsidR="00494588" w:rsidRPr="00004D8A">
        <w:t xml:space="preserve">year </w:t>
      </w:r>
      <w:r w:rsidR="00BB5EC0" w:rsidRPr="00004D8A">
        <w:t xml:space="preserve">HCRU </w:t>
      </w:r>
      <w:r w:rsidR="00494588" w:rsidRPr="00004D8A">
        <w:t>value</w:t>
      </w:r>
      <w:r w:rsidR="00ED5755" w:rsidRPr="00004D8A">
        <w:t>.</w:t>
      </w:r>
    </w:p>
    <w:p w14:paraId="6F0758A5" w14:textId="0DAC1A55" w:rsidR="003F0ED6" w:rsidRPr="00004D8A" w:rsidRDefault="00F86C23" w:rsidP="00A20B2E">
      <w:pPr>
        <w:pStyle w:val="Heading2"/>
        <w:rPr>
          <w:color w:val="auto"/>
        </w:rPr>
      </w:pPr>
      <w:r w:rsidRPr="00004D8A">
        <w:rPr>
          <w:color w:val="auto"/>
        </w:rPr>
        <w:t>C</w:t>
      </w:r>
      <w:r w:rsidR="00ED72D1" w:rsidRPr="00004D8A">
        <w:rPr>
          <w:color w:val="auto"/>
        </w:rPr>
        <w:t>ompar</w:t>
      </w:r>
      <w:r w:rsidR="0045405A" w:rsidRPr="00004D8A">
        <w:rPr>
          <w:color w:val="auto"/>
        </w:rPr>
        <w:t>ison Basis</w:t>
      </w:r>
    </w:p>
    <w:p w14:paraId="71291B73" w14:textId="054BB914" w:rsidR="007655C0" w:rsidRPr="00004D8A" w:rsidRDefault="00E077AF" w:rsidP="002F1D3C">
      <w:r w:rsidRPr="00004D8A">
        <w:t>To establish the impact of obesity</w:t>
      </w:r>
      <w:r w:rsidR="0059265A" w:rsidRPr="00004D8A">
        <w:t>,</w:t>
      </w:r>
      <w:r w:rsidRPr="00004D8A">
        <w:t xml:space="preserve"> a counterfactual scenario was evaluated where the value</w:t>
      </w:r>
      <w:r w:rsidR="004441FC" w:rsidRPr="00004D8A">
        <w:t xml:space="preserve">s </w:t>
      </w:r>
      <w:r w:rsidR="00C052DB" w:rsidRPr="00004D8A">
        <w:t xml:space="preserve">calculated </w:t>
      </w:r>
      <w:r w:rsidR="004441FC" w:rsidRPr="00004D8A">
        <w:t xml:space="preserve">for </w:t>
      </w:r>
      <w:r w:rsidRPr="00004D8A">
        <w:t xml:space="preserve">BMI &lt;25 </w:t>
      </w:r>
      <w:r w:rsidR="009C59F8" w:rsidRPr="00004D8A">
        <w:t>kg/m</w:t>
      </w:r>
      <w:r w:rsidR="009C59F8" w:rsidRPr="00004D8A">
        <w:rPr>
          <w:vertAlign w:val="superscript"/>
        </w:rPr>
        <w:t>2</w:t>
      </w:r>
      <w:r w:rsidR="009C59F8" w:rsidRPr="00004D8A">
        <w:t xml:space="preserve"> </w:t>
      </w:r>
      <w:r w:rsidRPr="00004D8A">
        <w:t>w</w:t>
      </w:r>
      <w:r w:rsidR="004441FC" w:rsidRPr="00004D8A">
        <w:t>ere</w:t>
      </w:r>
      <w:r w:rsidRPr="00004D8A">
        <w:t xml:space="preserve"> applied to </w:t>
      </w:r>
      <w:r w:rsidR="004441FC" w:rsidRPr="00004D8A">
        <w:t xml:space="preserve">both </w:t>
      </w:r>
      <w:r w:rsidR="008B6244" w:rsidRPr="00004D8A">
        <w:t xml:space="preserve">Class I/II obesity </w:t>
      </w:r>
      <w:r w:rsidR="004441FC" w:rsidRPr="00004D8A">
        <w:t>and</w:t>
      </w:r>
      <w:r w:rsidR="008B6244" w:rsidRPr="00004D8A">
        <w:t xml:space="preserve"> Class II</w:t>
      </w:r>
      <w:r w:rsidR="00072499" w:rsidRPr="00004D8A">
        <w:t>I</w:t>
      </w:r>
      <w:r w:rsidR="008B6244" w:rsidRPr="00004D8A">
        <w:t xml:space="preserve"> obesity. </w:t>
      </w:r>
    </w:p>
    <w:p w14:paraId="4F0DF1E1" w14:textId="11B55F3A" w:rsidR="00F86C23" w:rsidRPr="00004D8A" w:rsidRDefault="00C052DB" w:rsidP="002F1D3C">
      <w:r w:rsidRPr="00004D8A">
        <w:t xml:space="preserve">In lifetime HCRU </w:t>
      </w:r>
      <w:r w:rsidR="00BD3823" w:rsidRPr="00004D8A">
        <w:t xml:space="preserve">the impact of increased </w:t>
      </w:r>
      <w:r w:rsidRPr="00004D8A">
        <w:t xml:space="preserve">annual </w:t>
      </w:r>
      <w:r w:rsidR="00BD3823" w:rsidRPr="00004D8A">
        <w:t xml:space="preserve">HCRU </w:t>
      </w:r>
      <w:r w:rsidR="00A62D1F" w:rsidRPr="00004D8A">
        <w:t>is</w:t>
      </w:r>
      <w:r w:rsidR="00BD3823" w:rsidRPr="00004D8A">
        <w:t xml:space="preserve"> offset by increased mortality </w:t>
      </w:r>
      <w:r w:rsidR="00174699" w:rsidRPr="00004D8A">
        <w:t xml:space="preserve">leading to </w:t>
      </w:r>
      <w:r w:rsidRPr="00004D8A">
        <w:t>decreas</w:t>
      </w:r>
      <w:r w:rsidR="00A47A14" w:rsidRPr="00004D8A">
        <w:t>ed</w:t>
      </w:r>
      <w:r w:rsidRPr="00004D8A">
        <w:t xml:space="preserve"> </w:t>
      </w:r>
      <w:r w:rsidR="00A47A14" w:rsidRPr="00004D8A">
        <w:t xml:space="preserve">expected future </w:t>
      </w:r>
      <w:r w:rsidRPr="00004D8A">
        <w:t>life years</w:t>
      </w:r>
      <w:r w:rsidR="00A47A14" w:rsidRPr="00004D8A">
        <w:t>. A</w:t>
      </w:r>
      <w:r w:rsidR="0019075D" w:rsidRPr="00004D8A">
        <w:t xml:space="preserve"> further counterfactual was applied </w:t>
      </w:r>
      <w:r w:rsidR="00E82DC8" w:rsidRPr="00004D8A">
        <w:t xml:space="preserve">to Lifetime HCRU </w:t>
      </w:r>
      <w:r w:rsidR="00A47A14" w:rsidRPr="00004D8A">
        <w:t xml:space="preserve">scenario </w:t>
      </w:r>
      <w:r w:rsidR="00DE4A59" w:rsidRPr="00004D8A">
        <w:t>where cost</w:t>
      </w:r>
      <w:r w:rsidR="009C59F8" w:rsidRPr="00004D8A">
        <w:t>s</w:t>
      </w:r>
      <w:r w:rsidR="00DE4A59" w:rsidRPr="00004D8A">
        <w:t xml:space="preserve"> </w:t>
      </w:r>
      <w:r w:rsidR="00A47A14" w:rsidRPr="00004D8A">
        <w:t xml:space="preserve">by age </w:t>
      </w:r>
      <w:r w:rsidR="00DE4A59" w:rsidRPr="00004D8A">
        <w:t xml:space="preserve">were taken as expected for that </w:t>
      </w:r>
      <w:r w:rsidR="00596429" w:rsidRPr="00004D8A">
        <w:t>BMI class cohort</w:t>
      </w:r>
      <w:r w:rsidR="00BD62D6" w:rsidRPr="00004D8A">
        <w:t>,</w:t>
      </w:r>
      <w:r w:rsidR="00DE4A59" w:rsidRPr="00004D8A">
        <w:t xml:space="preserve"> but the </w:t>
      </w:r>
      <w:r w:rsidR="00C50530" w:rsidRPr="00004D8A">
        <w:t>Future Expected Life Years</w:t>
      </w:r>
      <w:r w:rsidR="00DE4A59" w:rsidRPr="00004D8A">
        <w:t xml:space="preserve"> was taken </w:t>
      </w:r>
      <w:r w:rsidR="00596429" w:rsidRPr="00004D8A">
        <w:t xml:space="preserve">as </w:t>
      </w:r>
      <w:r w:rsidR="00DE4A59" w:rsidRPr="00004D8A">
        <w:t>for BMI</w:t>
      </w:r>
      <w:r w:rsidR="00BD62D6" w:rsidRPr="00004D8A">
        <w:t xml:space="preserve"> </w:t>
      </w:r>
      <w:r w:rsidR="00DE4A59" w:rsidRPr="00004D8A">
        <w:t>&lt;</w:t>
      </w:r>
      <w:r w:rsidR="00BD62D6" w:rsidRPr="00004D8A">
        <w:t xml:space="preserve"> </w:t>
      </w:r>
      <w:r w:rsidR="00DE4A59" w:rsidRPr="00004D8A">
        <w:t>25</w:t>
      </w:r>
      <w:r w:rsidR="009C59F8" w:rsidRPr="00004D8A">
        <w:t xml:space="preserve"> kg/m</w:t>
      </w:r>
      <w:r w:rsidR="009C59F8" w:rsidRPr="00004D8A">
        <w:rPr>
          <w:vertAlign w:val="superscript"/>
        </w:rPr>
        <w:t>2</w:t>
      </w:r>
      <w:r w:rsidR="00C50530" w:rsidRPr="00004D8A">
        <w:t xml:space="preserve"> </w:t>
      </w:r>
      <w:r w:rsidR="00596429" w:rsidRPr="00004D8A">
        <w:t xml:space="preserve">class </w:t>
      </w:r>
      <w:r w:rsidR="00294258" w:rsidRPr="00004D8A">
        <w:t>i.e.,</w:t>
      </w:r>
      <w:r w:rsidR="008A0B18" w:rsidRPr="00004D8A">
        <w:t xml:space="preserve"> </w:t>
      </w:r>
      <w:r w:rsidR="00801F25" w:rsidRPr="00004D8A">
        <w:t>o</w:t>
      </w:r>
      <w:r w:rsidR="008A0B18" w:rsidRPr="00004D8A">
        <w:t xml:space="preserve">bese </w:t>
      </w:r>
      <w:r w:rsidR="009B3F67" w:rsidRPr="00004D8A">
        <w:t xml:space="preserve">cohort </w:t>
      </w:r>
      <w:r w:rsidR="00801F25" w:rsidRPr="00004D8A">
        <w:t xml:space="preserve">costs </w:t>
      </w:r>
      <w:r w:rsidR="00C50530" w:rsidRPr="00004D8A">
        <w:t>with</w:t>
      </w:r>
      <w:r w:rsidR="009B3F67" w:rsidRPr="00004D8A">
        <w:t xml:space="preserve"> the life </w:t>
      </w:r>
      <w:r w:rsidR="00C50530" w:rsidRPr="00004D8A">
        <w:t>expectancy</w:t>
      </w:r>
      <w:r w:rsidR="009B3F67" w:rsidRPr="00004D8A">
        <w:t xml:space="preserve"> of BMI&lt;25 </w:t>
      </w:r>
      <w:r w:rsidR="00801F25" w:rsidRPr="00004D8A">
        <w:t>class</w:t>
      </w:r>
      <w:r w:rsidR="009B3F67" w:rsidRPr="00004D8A">
        <w:t>.</w:t>
      </w:r>
      <w:r w:rsidR="00A62565" w:rsidRPr="00004D8A">
        <w:t xml:space="preserve"> </w:t>
      </w:r>
      <w:r w:rsidR="009C59F8" w:rsidRPr="00004D8A">
        <w:t>T</w:t>
      </w:r>
      <w:r w:rsidR="00A62565" w:rsidRPr="00004D8A">
        <w:t xml:space="preserve">his allowed the </w:t>
      </w:r>
      <w:r w:rsidR="00801F25" w:rsidRPr="00004D8A">
        <w:t>effect</w:t>
      </w:r>
      <w:r w:rsidR="00A62565" w:rsidRPr="00004D8A">
        <w:t xml:space="preserve"> of the increased costs</w:t>
      </w:r>
      <w:r w:rsidR="00B1104F" w:rsidRPr="00004D8A">
        <w:t>,</w:t>
      </w:r>
      <w:r w:rsidR="00030F66" w:rsidRPr="00004D8A">
        <w:t xml:space="preserve"> </w:t>
      </w:r>
      <w:r w:rsidR="00A62565" w:rsidRPr="00004D8A">
        <w:t>to be s</w:t>
      </w:r>
      <w:r w:rsidR="00B1104F" w:rsidRPr="00004D8A">
        <w:t>ep</w:t>
      </w:r>
      <w:r w:rsidR="00F53A14" w:rsidRPr="00004D8A">
        <w:t>a</w:t>
      </w:r>
      <w:r w:rsidR="00B1104F" w:rsidRPr="00004D8A">
        <w:t>rate</w:t>
      </w:r>
      <w:r w:rsidR="00801F25" w:rsidRPr="00004D8A">
        <w:t>d from the increased mortality</w:t>
      </w:r>
      <w:r w:rsidR="00F53A14" w:rsidRPr="00004D8A">
        <w:t>.</w:t>
      </w:r>
    </w:p>
    <w:p w14:paraId="1F33C8F1" w14:textId="67AC389C" w:rsidR="00F86C23" w:rsidRPr="00004D8A" w:rsidRDefault="00D17235" w:rsidP="00A20B2E">
      <w:pPr>
        <w:pStyle w:val="Heading2"/>
        <w:rPr>
          <w:color w:val="auto"/>
        </w:rPr>
      </w:pPr>
      <w:r w:rsidRPr="00004D8A">
        <w:rPr>
          <w:color w:val="auto"/>
        </w:rPr>
        <w:t>G</w:t>
      </w:r>
      <w:r w:rsidR="0045405A" w:rsidRPr="00004D8A">
        <w:rPr>
          <w:color w:val="auto"/>
        </w:rPr>
        <w:t>eographical Variation</w:t>
      </w:r>
    </w:p>
    <w:p w14:paraId="02FFF9DC" w14:textId="1EC732AF" w:rsidR="00D17235" w:rsidRPr="00004D8A" w:rsidRDefault="007020DB" w:rsidP="007A387C">
      <w:r w:rsidRPr="00004D8A">
        <w:t xml:space="preserve">The indicators and outcomes </w:t>
      </w:r>
      <w:r w:rsidR="0009346B" w:rsidRPr="00004D8A">
        <w:t xml:space="preserve">described above </w:t>
      </w:r>
      <w:r w:rsidRPr="00004D8A">
        <w:t xml:space="preserve">were calculated for each ICB </w:t>
      </w:r>
      <w:r w:rsidR="0045405A" w:rsidRPr="00004D8A">
        <w:t xml:space="preserve">by applying </w:t>
      </w:r>
      <w:r w:rsidR="003D08DE" w:rsidRPr="00004D8A">
        <w:t xml:space="preserve">the national </w:t>
      </w:r>
      <w:r w:rsidR="00D108A9" w:rsidRPr="00004D8A">
        <w:t xml:space="preserve">prevalences and risk ratios </w:t>
      </w:r>
      <w:r w:rsidR="005D28D1" w:rsidRPr="00004D8A">
        <w:t xml:space="preserve">for impact of obesity </w:t>
      </w:r>
      <w:r w:rsidR="00D108A9" w:rsidRPr="00004D8A">
        <w:t xml:space="preserve">to their </w:t>
      </w:r>
      <w:r w:rsidRPr="00004D8A">
        <w:t xml:space="preserve">population demographics and deprivation. </w:t>
      </w:r>
      <w:r w:rsidR="007D277D" w:rsidRPr="00004D8A">
        <w:t xml:space="preserve">The </w:t>
      </w:r>
      <w:r w:rsidR="00505AE3" w:rsidRPr="00004D8A">
        <w:t>ou</w:t>
      </w:r>
      <w:r w:rsidR="008A4D62" w:rsidRPr="00004D8A">
        <w:t>t</w:t>
      </w:r>
      <w:r w:rsidR="00505AE3" w:rsidRPr="00004D8A">
        <w:t xml:space="preserve">comes </w:t>
      </w:r>
      <w:r w:rsidR="008A4D62" w:rsidRPr="00004D8A">
        <w:t xml:space="preserve">calculated </w:t>
      </w:r>
      <w:r w:rsidR="00505AE3" w:rsidRPr="00004D8A">
        <w:t xml:space="preserve">for each ICB included </w:t>
      </w:r>
      <w:r w:rsidR="00BD23CA" w:rsidRPr="00004D8A">
        <w:t>percentage</w:t>
      </w:r>
      <w:r w:rsidR="003A0C6E" w:rsidRPr="00004D8A">
        <w:t xml:space="preserve"> </w:t>
      </w:r>
      <w:r w:rsidR="00BD23CA" w:rsidRPr="00004D8A">
        <w:t>with o</w:t>
      </w:r>
      <w:r w:rsidR="003A0C6E" w:rsidRPr="00004D8A">
        <w:t>bes</w:t>
      </w:r>
      <w:r w:rsidR="00BD23CA" w:rsidRPr="00004D8A">
        <w:t>ity</w:t>
      </w:r>
      <w:r w:rsidR="003A0C6E" w:rsidRPr="00004D8A">
        <w:t xml:space="preserve"> </w:t>
      </w:r>
      <w:r w:rsidR="00BD23CA" w:rsidRPr="00004D8A">
        <w:t xml:space="preserve">class </w:t>
      </w:r>
      <w:r w:rsidR="003A0C6E" w:rsidRPr="00004D8A">
        <w:t>I</w:t>
      </w:r>
      <w:r w:rsidR="00144F69" w:rsidRPr="00004D8A">
        <w:t xml:space="preserve"> </w:t>
      </w:r>
      <w:r w:rsidR="003A0C6E" w:rsidRPr="00004D8A">
        <w:t>&amp;</w:t>
      </w:r>
      <w:r w:rsidR="00144F69" w:rsidRPr="00004D8A">
        <w:t xml:space="preserve"> </w:t>
      </w:r>
      <w:r w:rsidR="003A0C6E" w:rsidRPr="00004D8A">
        <w:t>II</w:t>
      </w:r>
      <w:r w:rsidR="004D021E" w:rsidRPr="00004D8A">
        <w:t xml:space="preserve">, </w:t>
      </w:r>
      <w:r w:rsidR="00BD23CA" w:rsidRPr="00004D8A">
        <w:t>percentage</w:t>
      </w:r>
      <w:r w:rsidR="003A0C6E" w:rsidRPr="00004D8A">
        <w:t xml:space="preserve"> </w:t>
      </w:r>
      <w:r w:rsidR="00BD23CA" w:rsidRPr="00004D8A">
        <w:t>with o</w:t>
      </w:r>
      <w:r w:rsidR="003A0C6E" w:rsidRPr="00004D8A">
        <w:t>bes</w:t>
      </w:r>
      <w:r w:rsidR="00BD23CA" w:rsidRPr="00004D8A">
        <w:t>ity class</w:t>
      </w:r>
      <w:r w:rsidR="003A0C6E" w:rsidRPr="00004D8A">
        <w:t xml:space="preserve"> III</w:t>
      </w:r>
      <w:r w:rsidR="00846189" w:rsidRPr="00004D8A">
        <w:t xml:space="preserve">, </w:t>
      </w:r>
      <w:r w:rsidR="003A0C6E" w:rsidRPr="00004D8A">
        <w:t xml:space="preserve">BMI </w:t>
      </w:r>
      <w:r w:rsidR="00890532" w:rsidRPr="00004D8A">
        <w:t>a</w:t>
      </w:r>
      <w:r w:rsidR="003A0C6E" w:rsidRPr="00004D8A">
        <w:t>dd</w:t>
      </w:r>
      <w:r w:rsidR="004D021E" w:rsidRPr="00004D8A">
        <w:t>itional</w:t>
      </w:r>
      <w:r w:rsidR="003A0C6E" w:rsidRPr="00004D8A">
        <w:t xml:space="preserve"> </w:t>
      </w:r>
      <w:r w:rsidR="00890532" w:rsidRPr="00004D8A">
        <w:t>d</w:t>
      </w:r>
      <w:r w:rsidR="003A0C6E" w:rsidRPr="00004D8A">
        <w:t>eaths</w:t>
      </w:r>
      <w:r w:rsidR="00846189" w:rsidRPr="00004D8A">
        <w:t xml:space="preserve">, </w:t>
      </w:r>
      <w:r w:rsidR="003A0C6E" w:rsidRPr="00004D8A">
        <w:t xml:space="preserve">BMI </w:t>
      </w:r>
      <w:r w:rsidR="00DC6DC3" w:rsidRPr="00004D8A">
        <w:t>d</w:t>
      </w:r>
      <w:r w:rsidR="003A0C6E" w:rsidRPr="00004D8A">
        <w:t xml:space="preserve">eaths </w:t>
      </w:r>
      <w:r w:rsidR="00890532" w:rsidRPr="00004D8A">
        <w:t>as percentage</w:t>
      </w:r>
      <w:r w:rsidR="003A0C6E" w:rsidRPr="00004D8A">
        <w:t xml:space="preserve"> </w:t>
      </w:r>
      <w:r w:rsidR="00890532" w:rsidRPr="00004D8A">
        <w:t>e</w:t>
      </w:r>
      <w:r w:rsidR="003A0C6E" w:rsidRPr="00004D8A">
        <w:t>xpected</w:t>
      </w:r>
      <w:r w:rsidR="00846189" w:rsidRPr="00004D8A">
        <w:t xml:space="preserve">, </w:t>
      </w:r>
      <w:r w:rsidR="003A0C6E" w:rsidRPr="00004D8A">
        <w:t xml:space="preserve">Future Life </w:t>
      </w:r>
      <w:r w:rsidR="00846189" w:rsidRPr="00004D8A">
        <w:t>Y</w:t>
      </w:r>
      <w:r w:rsidR="003A0C6E" w:rsidRPr="00004D8A">
        <w:t xml:space="preserve">ears lost </w:t>
      </w:r>
      <w:r w:rsidR="00890532" w:rsidRPr="00004D8A">
        <w:t>as a percentage of</w:t>
      </w:r>
      <w:r w:rsidR="003A0C6E" w:rsidRPr="00004D8A">
        <w:t xml:space="preserve"> </w:t>
      </w:r>
      <w:r w:rsidR="00890532" w:rsidRPr="00004D8A">
        <w:t>e</w:t>
      </w:r>
      <w:r w:rsidR="003A0C6E" w:rsidRPr="00004D8A">
        <w:t xml:space="preserve">xpected </w:t>
      </w:r>
      <w:r w:rsidR="008B6244" w:rsidRPr="00004D8A">
        <w:t>life years lost</w:t>
      </w:r>
      <w:r w:rsidR="00C2370D" w:rsidRPr="00004D8A">
        <w:t xml:space="preserve">, </w:t>
      </w:r>
      <w:r w:rsidR="001B3635" w:rsidRPr="00004D8A">
        <w:t xml:space="preserve">additional </w:t>
      </w:r>
      <w:r w:rsidR="003A0C6E" w:rsidRPr="00004D8A">
        <w:t>HCRU/pop</w:t>
      </w:r>
      <w:r w:rsidR="001B3635" w:rsidRPr="00004D8A">
        <w:t xml:space="preserve"> compared to BMI&lt;25</w:t>
      </w:r>
      <w:r w:rsidR="00C2370D" w:rsidRPr="00004D8A">
        <w:t xml:space="preserve">, </w:t>
      </w:r>
      <w:r w:rsidR="003A0C6E" w:rsidRPr="00004D8A">
        <w:t>% HCRU linked to BMI</w:t>
      </w:r>
      <w:r w:rsidR="00C2370D" w:rsidRPr="00004D8A">
        <w:t xml:space="preserve">, </w:t>
      </w:r>
      <w:r w:rsidR="001B3635" w:rsidRPr="00004D8A">
        <w:t xml:space="preserve">Additional </w:t>
      </w:r>
      <w:r w:rsidR="003A0C6E" w:rsidRPr="00004D8A">
        <w:t xml:space="preserve">HCRU </w:t>
      </w:r>
      <w:r w:rsidR="001B3635" w:rsidRPr="00004D8A">
        <w:t xml:space="preserve">compared to BMI&lt;25 </w:t>
      </w:r>
      <w:r w:rsidR="003A0C6E" w:rsidRPr="00004D8A">
        <w:t xml:space="preserve">/Obese </w:t>
      </w:r>
      <w:r w:rsidR="003620D9" w:rsidRPr="00004D8A">
        <w:t>p</w:t>
      </w:r>
      <w:r w:rsidR="003A0C6E" w:rsidRPr="00004D8A">
        <w:t>op</w:t>
      </w:r>
      <w:r w:rsidR="003620D9" w:rsidRPr="00004D8A">
        <w:t>ulation</w:t>
      </w:r>
      <w:r w:rsidR="00C2370D" w:rsidRPr="00004D8A">
        <w:t xml:space="preserve"> and </w:t>
      </w:r>
      <w:r w:rsidR="009940CD" w:rsidRPr="00004D8A">
        <w:t>colour-scaled,</w:t>
      </w:r>
      <w:r w:rsidR="00C2370D" w:rsidRPr="00004D8A">
        <w:t xml:space="preserve"> to highlight </w:t>
      </w:r>
      <w:r w:rsidR="002D49DF" w:rsidRPr="00004D8A">
        <w:t xml:space="preserve">local </w:t>
      </w:r>
      <w:r w:rsidR="00C2370D" w:rsidRPr="00004D8A">
        <w:t xml:space="preserve">relative </w:t>
      </w:r>
      <w:r w:rsidR="002D49DF" w:rsidRPr="00004D8A">
        <w:t>challenges</w:t>
      </w:r>
      <w:r w:rsidR="009940CD" w:rsidRPr="00004D8A">
        <w:t>.</w:t>
      </w:r>
    </w:p>
    <w:p w14:paraId="61949A2D" w14:textId="3B75D621" w:rsidR="00B96A45" w:rsidRPr="00004D8A" w:rsidRDefault="00B96A45" w:rsidP="0095125A">
      <w:pPr>
        <w:pStyle w:val="Heading2"/>
        <w:rPr>
          <w:color w:val="auto"/>
        </w:rPr>
      </w:pPr>
      <w:r w:rsidRPr="00004D8A">
        <w:rPr>
          <w:color w:val="auto"/>
        </w:rPr>
        <w:t>Statistics</w:t>
      </w:r>
    </w:p>
    <w:p w14:paraId="754EB7C7" w14:textId="77777777" w:rsidR="00F5704D" w:rsidRPr="00004D8A" w:rsidRDefault="008758C2" w:rsidP="00F5704D">
      <w:r w:rsidRPr="00004D8A">
        <w:t xml:space="preserve">The data analysis consisted of consolidation of the datasets and odds ratios at local Integrated Care Board levels to derive a simple model showing the population prevalence and impacts on mortality and HCRU for populations at each age year, sex, </w:t>
      </w:r>
      <w:proofErr w:type="gramStart"/>
      <w:r w:rsidRPr="00004D8A">
        <w:t>deprivation</w:t>
      </w:r>
      <w:proofErr w:type="gramEnd"/>
      <w:r w:rsidRPr="00004D8A">
        <w:t xml:space="preserve"> and BMI class. The division by population numbers and comparison between BMI classes provided the scenarios considered and then upscaled to total population effects. This arithmetical analysis was carried out within power pivot in Microsoft Excel.</w:t>
      </w:r>
      <w:r w:rsidR="00940413" w:rsidRPr="00004D8A">
        <w:t xml:space="preserve"> </w:t>
      </w:r>
    </w:p>
    <w:p w14:paraId="0724D780" w14:textId="583B483A" w:rsidR="009C018E" w:rsidRPr="00004D8A" w:rsidRDefault="00B809F5" w:rsidP="001C71C1">
      <w:pPr>
        <w:pStyle w:val="Heading1"/>
      </w:pPr>
      <w:r w:rsidRPr="00004D8A">
        <w:lastRenderedPageBreak/>
        <w:t>R</w:t>
      </w:r>
      <w:r w:rsidR="00101F56" w:rsidRPr="00004D8A">
        <w:t>esults</w:t>
      </w:r>
      <w:r w:rsidR="001915B6" w:rsidRPr="00004D8A">
        <w:t xml:space="preserve"> </w:t>
      </w:r>
    </w:p>
    <w:p w14:paraId="1C453FBD" w14:textId="7A39A010" w:rsidR="00017B62" w:rsidRPr="00004D8A" w:rsidRDefault="001915B6" w:rsidP="00A20B2E">
      <w:pPr>
        <w:pStyle w:val="Heading2"/>
        <w:rPr>
          <w:color w:val="auto"/>
        </w:rPr>
      </w:pPr>
      <w:r w:rsidRPr="00004D8A">
        <w:rPr>
          <w:color w:val="auto"/>
        </w:rPr>
        <w:t>Prevalence</w:t>
      </w:r>
      <w:r w:rsidR="007E191A" w:rsidRPr="00004D8A">
        <w:rPr>
          <w:color w:val="auto"/>
        </w:rPr>
        <w:t xml:space="preserve"> of obesity</w:t>
      </w:r>
    </w:p>
    <w:p w14:paraId="71CCFC07" w14:textId="66ABAB7B" w:rsidR="00B2406D" w:rsidRPr="00004D8A" w:rsidRDefault="007D0D33" w:rsidP="007A387C">
      <w:r w:rsidRPr="00004D8A">
        <w:t>T</w:t>
      </w:r>
      <w:r w:rsidR="0078340F" w:rsidRPr="00004D8A">
        <w:t>he t</w:t>
      </w:r>
      <w:r w:rsidR="001915B6" w:rsidRPr="00004D8A">
        <w:t>otal</w:t>
      </w:r>
      <w:r w:rsidR="0078340F" w:rsidRPr="00004D8A">
        <w:t xml:space="preserve"> </w:t>
      </w:r>
      <w:r w:rsidR="009C018E" w:rsidRPr="00004D8A">
        <w:t>Engl</w:t>
      </w:r>
      <w:r w:rsidR="0078340F" w:rsidRPr="00004D8A">
        <w:t>ish</w:t>
      </w:r>
      <w:r w:rsidR="009C018E" w:rsidRPr="00004D8A">
        <w:t xml:space="preserve"> </w:t>
      </w:r>
      <w:r w:rsidR="001915B6" w:rsidRPr="00004D8A">
        <w:t>population age</w:t>
      </w:r>
      <w:r w:rsidR="00CD56A4" w:rsidRPr="00004D8A">
        <w:t>d</w:t>
      </w:r>
      <w:r w:rsidR="009940CD" w:rsidRPr="00004D8A">
        <w:t xml:space="preserve"> over</w:t>
      </w:r>
      <w:r w:rsidR="00CD56A4" w:rsidRPr="00004D8A">
        <w:t xml:space="preserve"> </w:t>
      </w:r>
      <w:r w:rsidR="001915B6" w:rsidRPr="00004D8A">
        <w:t xml:space="preserve">16 </w:t>
      </w:r>
      <w:r w:rsidR="0078340F" w:rsidRPr="00004D8A">
        <w:t>years</w:t>
      </w:r>
      <w:r w:rsidR="001915B6" w:rsidRPr="00004D8A">
        <w:t xml:space="preserve"> was 45.</w:t>
      </w:r>
      <w:r w:rsidR="00A55A29" w:rsidRPr="00004D8A">
        <w:t xml:space="preserve">5 </w:t>
      </w:r>
      <w:r w:rsidR="001915B6" w:rsidRPr="00004D8A">
        <w:t>million</w:t>
      </w:r>
      <w:r w:rsidR="009C018E" w:rsidRPr="00004D8A">
        <w:t xml:space="preserve"> </w:t>
      </w:r>
      <w:r w:rsidR="00A34D48" w:rsidRPr="00004D8A">
        <w:t xml:space="preserve">(m) </w:t>
      </w:r>
      <w:r w:rsidR="00311E73" w:rsidRPr="00004D8A">
        <w:t>(</w:t>
      </w:r>
      <w:r w:rsidR="0078340F" w:rsidRPr="00004D8A">
        <w:t xml:space="preserve">males </w:t>
      </w:r>
      <w:r w:rsidR="00311E73" w:rsidRPr="00004D8A">
        <w:t>22.3m (</w:t>
      </w:r>
      <w:r w:rsidR="000A48A0" w:rsidRPr="00004D8A">
        <w:t>49%)</w:t>
      </w:r>
      <w:r w:rsidR="00311E73" w:rsidRPr="00004D8A">
        <w:t xml:space="preserve"> </w:t>
      </w:r>
      <w:r w:rsidR="0078340F" w:rsidRPr="00004D8A">
        <w:t>and females</w:t>
      </w:r>
      <w:r w:rsidR="000A48A0" w:rsidRPr="00004D8A">
        <w:t xml:space="preserve"> 23.2m</w:t>
      </w:r>
      <w:r w:rsidR="0078340F" w:rsidRPr="00004D8A">
        <w:t>)</w:t>
      </w:r>
      <w:r w:rsidR="007E191A" w:rsidRPr="00004D8A">
        <w:t xml:space="preserve"> (Table 1)</w:t>
      </w:r>
      <w:r w:rsidR="00E3098C" w:rsidRPr="00004D8A">
        <w:t xml:space="preserve">. </w:t>
      </w:r>
      <w:r w:rsidR="00202FAC" w:rsidRPr="00004D8A">
        <w:t>C</w:t>
      </w:r>
      <w:r w:rsidR="001915B6" w:rsidRPr="00004D8A">
        <w:t xml:space="preserve">lass </w:t>
      </w:r>
      <w:r w:rsidR="00501E9E" w:rsidRPr="00004D8A">
        <w:t>III</w:t>
      </w:r>
      <w:r w:rsidR="001915B6" w:rsidRPr="00004D8A">
        <w:t xml:space="preserve"> obes</w:t>
      </w:r>
      <w:r w:rsidR="008307A6" w:rsidRPr="00004D8A">
        <w:t>ity</w:t>
      </w:r>
      <w:r w:rsidR="001915B6" w:rsidRPr="00004D8A">
        <w:t xml:space="preserve"> </w:t>
      </w:r>
      <w:r w:rsidR="008307A6" w:rsidRPr="00004D8A">
        <w:t>(</w:t>
      </w:r>
      <w:r w:rsidR="001915B6" w:rsidRPr="00004D8A">
        <w:t>BMI ≥</w:t>
      </w:r>
      <w:r w:rsidR="008307A6" w:rsidRPr="00004D8A">
        <w:t xml:space="preserve"> </w:t>
      </w:r>
      <w:r w:rsidR="001915B6" w:rsidRPr="00004D8A">
        <w:t>40</w:t>
      </w:r>
      <w:r w:rsidR="008307A6" w:rsidRPr="00004D8A">
        <w:t xml:space="preserve"> kg/m</w:t>
      </w:r>
      <w:r w:rsidR="008307A6" w:rsidRPr="00004D8A">
        <w:rPr>
          <w:vertAlign w:val="superscript"/>
        </w:rPr>
        <w:t>2</w:t>
      </w:r>
      <w:r w:rsidR="008307A6" w:rsidRPr="00004D8A">
        <w:t>)</w:t>
      </w:r>
      <w:r w:rsidR="001915B6" w:rsidRPr="00004D8A">
        <w:t xml:space="preserve"> were 1.50m </w:t>
      </w:r>
      <w:r w:rsidR="00ED5755" w:rsidRPr="00004D8A">
        <w:t>(</w:t>
      </w:r>
      <w:r w:rsidR="00461E40" w:rsidRPr="00004D8A">
        <w:t>3.3%</w:t>
      </w:r>
      <w:r w:rsidR="00ED5755" w:rsidRPr="00004D8A">
        <w:t>)</w:t>
      </w:r>
      <w:r w:rsidR="00461E40" w:rsidRPr="00004D8A">
        <w:t xml:space="preserve"> </w:t>
      </w:r>
      <w:r w:rsidR="001915B6" w:rsidRPr="00004D8A">
        <w:t>(</w:t>
      </w:r>
      <w:r w:rsidR="006674E5" w:rsidRPr="00004D8A">
        <w:t>males</w:t>
      </w:r>
      <w:r w:rsidR="007019BE" w:rsidRPr="00004D8A">
        <w:t xml:space="preserve"> </w:t>
      </w:r>
      <w:r w:rsidR="001915B6" w:rsidRPr="00004D8A">
        <w:t>0.49</w:t>
      </w:r>
      <w:r w:rsidR="009C018E" w:rsidRPr="00004D8A">
        <w:t>m</w:t>
      </w:r>
      <w:r w:rsidR="001915B6" w:rsidRPr="00004D8A">
        <w:t xml:space="preserve">; </w:t>
      </w:r>
      <w:r w:rsidR="006674E5" w:rsidRPr="00004D8A">
        <w:t>females</w:t>
      </w:r>
      <w:r w:rsidR="007019BE" w:rsidRPr="00004D8A">
        <w:t xml:space="preserve"> </w:t>
      </w:r>
      <w:r w:rsidR="001915B6" w:rsidRPr="00004D8A">
        <w:t>1.01m)</w:t>
      </w:r>
      <w:r w:rsidR="006674E5" w:rsidRPr="00004D8A">
        <w:t xml:space="preserve">. The </w:t>
      </w:r>
      <w:r w:rsidR="001915B6" w:rsidRPr="00004D8A">
        <w:t>younger (16-49</w:t>
      </w:r>
      <w:r w:rsidR="009C018E" w:rsidRPr="00004D8A">
        <w:t xml:space="preserve"> years</w:t>
      </w:r>
      <w:r w:rsidR="001915B6" w:rsidRPr="00004D8A">
        <w:t xml:space="preserve">) </w:t>
      </w:r>
      <w:r w:rsidR="006D0680" w:rsidRPr="00004D8A">
        <w:t xml:space="preserve">were </w:t>
      </w:r>
      <w:r w:rsidR="001915B6" w:rsidRPr="00004D8A">
        <w:t>0.86m (</w:t>
      </w:r>
      <w:r w:rsidR="006674E5" w:rsidRPr="00004D8A">
        <w:t>males</w:t>
      </w:r>
      <w:r w:rsidR="009C018E" w:rsidRPr="00004D8A">
        <w:t xml:space="preserve"> </w:t>
      </w:r>
      <w:r w:rsidR="001915B6" w:rsidRPr="00004D8A">
        <w:t xml:space="preserve">0.26m; </w:t>
      </w:r>
      <w:r w:rsidR="006674E5" w:rsidRPr="00004D8A">
        <w:t>females</w:t>
      </w:r>
      <w:r w:rsidR="007019BE" w:rsidRPr="00004D8A">
        <w:t xml:space="preserve"> </w:t>
      </w:r>
      <w:r w:rsidR="001915B6" w:rsidRPr="00004D8A">
        <w:t>0.60</w:t>
      </w:r>
      <w:r w:rsidR="00AA19C5" w:rsidRPr="00004D8A">
        <w:t>m</w:t>
      </w:r>
      <w:r w:rsidR="001915B6" w:rsidRPr="00004D8A">
        <w:t>); older (50-69</w:t>
      </w:r>
      <w:r w:rsidR="006674E5" w:rsidRPr="00004D8A">
        <w:t xml:space="preserve"> years</w:t>
      </w:r>
      <w:r w:rsidR="001915B6" w:rsidRPr="00004D8A">
        <w:t xml:space="preserve">) </w:t>
      </w:r>
      <w:r w:rsidR="006D0680" w:rsidRPr="00004D8A">
        <w:t xml:space="preserve">were </w:t>
      </w:r>
      <w:r w:rsidR="001915B6" w:rsidRPr="00004D8A">
        <w:t>0.47m (</w:t>
      </w:r>
      <w:r w:rsidR="003765C6" w:rsidRPr="00004D8A">
        <w:t>males</w:t>
      </w:r>
      <w:r w:rsidR="009C018E" w:rsidRPr="00004D8A">
        <w:t xml:space="preserve"> </w:t>
      </w:r>
      <w:r w:rsidR="001915B6" w:rsidRPr="00004D8A">
        <w:t xml:space="preserve">0.15m; </w:t>
      </w:r>
      <w:r w:rsidR="003765C6" w:rsidRPr="00004D8A">
        <w:t>females</w:t>
      </w:r>
      <w:r w:rsidR="001915B6" w:rsidRPr="00004D8A">
        <w:t xml:space="preserve"> 0.32m); </w:t>
      </w:r>
      <w:r w:rsidR="003765C6" w:rsidRPr="00004D8A">
        <w:t>a</w:t>
      </w:r>
      <w:r w:rsidR="001915B6" w:rsidRPr="00004D8A">
        <w:t>ge ≥70</w:t>
      </w:r>
      <w:r w:rsidR="003765C6" w:rsidRPr="00004D8A">
        <w:t xml:space="preserve"> years</w:t>
      </w:r>
      <w:r w:rsidR="001915B6" w:rsidRPr="00004D8A">
        <w:t xml:space="preserve"> </w:t>
      </w:r>
      <w:r w:rsidR="006D0680" w:rsidRPr="00004D8A">
        <w:t xml:space="preserve">were </w:t>
      </w:r>
      <w:r w:rsidR="001915B6" w:rsidRPr="00004D8A">
        <w:t>0.17million (</w:t>
      </w:r>
      <w:r w:rsidR="003765C6" w:rsidRPr="00004D8A">
        <w:t>males</w:t>
      </w:r>
      <w:r w:rsidR="007019BE" w:rsidRPr="00004D8A">
        <w:t xml:space="preserve"> </w:t>
      </w:r>
      <w:r w:rsidR="001915B6" w:rsidRPr="00004D8A">
        <w:t xml:space="preserve">0.07m; </w:t>
      </w:r>
      <w:r w:rsidR="003765C6" w:rsidRPr="00004D8A">
        <w:t>females</w:t>
      </w:r>
      <w:r w:rsidR="007019BE" w:rsidRPr="00004D8A">
        <w:t xml:space="preserve"> </w:t>
      </w:r>
      <w:r w:rsidR="001915B6" w:rsidRPr="00004D8A">
        <w:t>0.1</w:t>
      </w:r>
      <w:r w:rsidR="00AF763A" w:rsidRPr="00004D8A">
        <w:t>0</w:t>
      </w:r>
      <w:r w:rsidR="001915B6" w:rsidRPr="00004D8A">
        <w:t xml:space="preserve">m). </w:t>
      </w:r>
      <w:r w:rsidR="00E3098C" w:rsidRPr="00004D8A">
        <w:t xml:space="preserve"> </w:t>
      </w:r>
      <w:r w:rsidR="001915B6" w:rsidRPr="00004D8A">
        <w:t>Class I</w:t>
      </w:r>
      <w:r w:rsidR="003765C6" w:rsidRPr="00004D8A">
        <w:t xml:space="preserve"> </w:t>
      </w:r>
      <w:r w:rsidR="001915B6" w:rsidRPr="00004D8A">
        <w:t>&amp;</w:t>
      </w:r>
      <w:r w:rsidR="003765C6" w:rsidRPr="00004D8A">
        <w:t xml:space="preserve"> </w:t>
      </w:r>
      <w:r w:rsidR="001915B6" w:rsidRPr="00004D8A">
        <w:t>II Obes</w:t>
      </w:r>
      <w:r w:rsidR="003765C6" w:rsidRPr="00004D8A">
        <w:t>ity</w:t>
      </w:r>
      <w:r w:rsidR="001915B6" w:rsidRPr="00004D8A">
        <w:t xml:space="preserve"> (BMI 30</w:t>
      </w:r>
      <w:r w:rsidR="00A742C3" w:rsidRPr="00004D8A">
        <w:t>.0</w:t>
      </w:r>
      <w:r w:rsidR="001915B6" w:rsidRPr="00004D8A">
        <w:t>-39</w:t>
      </w:r>
      <w:r w:rsidR="00A742C3" w:rsidRPr="00004D8A">
        <w:t>.9</w:t>
      </w:r>
      <w:r w:rsidR="003765C6" w:rsidRPr="00004D8A">
        <w:t xml:space="preserve"> kg/m</w:t>
      </w:r>
      <w:r w:rsidR="003765C6" w:rsidRPr="00004D8A">
        <w:rPr>
          <w:vertAlign w:val="superscript"/>
        </w:rPr>
        <w:t>2</w:t>
      </w:r>
      <w:r w:rsidR="001915B6" w:rsidRPr="00004D8A">
        <w:t>) were 11.2</w:t>
      </w:r>
      <w:r w:rsidR="00ED5755" w:rsidRPr="00004D8A">
        <w:t>3</w:t>
      </w:r>
      <w:r w:rsidR="001915B6" w:rsidRPr="00004D8A">
        <w:t>m (</w:t>
      </w:r>
      <w:r w:rsidR="003765C6" w:rsidRPr="00004D8A">
        <w:t>males</w:t>
      </w:r>
      <w:r w:rsidR="007019BE" w:rsidRPr="00004D8A">
        <w:t xml:space="preserve"> </w:t>
      </w:r>
      <w:r w:rsidR="001915B6" w:rsidRPr="00004D8A">
        <w:t xml:space="preserve">5.50m; </w:t>
      </w:r>
      <w:r w:rsidR="003765C6" w:rsidRPr="00004D8A">
        <w:t>females</w:t>
      </w:r>
      <w:r w:rsidR="001915B6" w:rsidRPr="00004D8A">
        <w:t xml:space="preserve"> 5.73m). </w:t>
      </w:r>
      <w:r w:rsidR="00E3098C" w:rsidRPr="00004D8A">
        <w:t xml:space="preserve"> </w:t>
      </w:r>
      <w:r w:rsidR="001915B6" w:rsidRPr="00004D8A">
        <w:t>Overweight (BMI 25</w:t>
      </w:r>
      <w:r w:rsidR="00A742C3" w:rsidRPr="00004D8A">
        <w:t>.0</w:t>
      </w:r>
      <w:r w:rsidR="001915B6" w:rsidRPr="00004D8A">
        <w:t>-29</w:t>
      </w:r>
      <w:r w:rsidR="00A742C3" w:rsidRPr="00004D8A">
        <w:t>.9</w:t>
      </w:r>
      <w:r w:rsidR="003765C6" w:rsidRPr="00004D8A">
        <w:t xml:space="preserve"> kg/m</w:t>
      </w:r>
      <w:r w:rsidR="003765C6" w:rsidRPr="00004D8A">
        <w:rPr>
          <w:vertAlign w:val="superscript"/>
        </w:rPr>
        <w:t>2</w:t>
      </w:r>
      <w:r w:rsidR="001915B6" w:rsidRPr="00004D8A">
        <w:t xml:space="preserve">) </w:t>
      </w:r>
      <w:r w:rsidR="006D0680" w:rsidRPr="00004D8A">
        <w:t xml:space="preserve">were </w:t>
      </w:r>
      <w:r w:rsidR="001915B6" w:rsidRPr="00004D8A">
        <w:t>16.54</w:t>
      </w:r>
      <w:r w:rsidR="00A742C3" w:rsidRPr="00004D8A">
        <w:t>m</w:t>
      </w:r>
      <w:r w:rsidR="00ED5755" w:rsidRPr="00004D8A">
        <w:t xml:space="preserve"> </w:t>
      </w:r>
      <w:r w:rsidR="001915B6" w:rsidRPr="00004D8A">
        <w:t>(</w:t>
      </w:r>
      <w:r w:rsidR="003765C6" w:rsidRPr="00004D8A">
        <w:t>males</w:t>
      </w:r>
      <w:r w:rsidR="003F0F07" w:rsidRPr="00004D8A">
        <w:t xml:space="preserve"> 9.2</w:t>
      </w:r>
      <w:r w:rsidR="00ED5755" w:rsidRPr="00004D8A">
        <w:t>2</w:t>
      </w:r>
      <w:r w:rsidR="006C43D8" w:rsidRPr="00004D8A">
        <w:t>m</w:t>
      </w:r>
      <w:r w:rsidR="003E5A82" w:rsidRPr="00004D8A">
        <w:t>;</w:t>
      </w:r>
      <w:r w:rsidR="00A742C3" w:rsidRPr="00004D8A">
        <w:t xml:space="preserve"> </w:t>
      </w:r>
      <w:r w:rsidR="003765C6" w:rsidRPr="00004D8A">
        <w:t>females</w:t>
      </w:r>
      <w:r w:rsidR="003E5A82" w:rsidRPr="00004D8A">
        <w:t xml:space="preserve"> 7.32</w:t>
      </w:r>
      <w:r w:rsidR="006C43D8" w:rsidRPr="00004D8A">
        <w:t>m</w:t>
      </w:r>
      <w:r w:rsidR="00B315E6" w:rsidRPr="00004D8A">
        <w:t xml:space="preserve">). </w:t>
      </w:r>
    </w:p>
    <w:p w14:paraId="68683095" w14:textId="0EA05BA3" w:rsidR="00001449" w:rsidRPr="00004D8A" w:rsidRDefault="006D0680">
      <w:r w:rsidRPr="00004D8A">
        <w:t xml:space="preserve">A total of </w:t>
      </w:r>
      <w:r w:rsidR="00B315E6" w:rsidRPr="00004D8A">
        <w:t xml:space="preserve">35.1% </w:t>
      </w:r>
      <w:r w:rsidR="006C43D8" w:rsidRPr="00004D8A">
        <w:t>with</w:t>
      </w:r>
      <w:r w:rsidR="00B315E6" w:rsidRPr="00004D8A">
        <w:t xml:space="preserve"> Class II</w:t>
      </w:r>
      <w:r w:rsidR="00A742C3" w:rsidRPr="00004D8A">
        <w:t>I</w:t>
      </w:r>
      <w:r w:rsidR="00B315E6" w:rsidRPr="00004D8A">
        <w:t xml:space="preserve"> obes</w:t>
      </w:r>
      <w:r w:rsidR="006C43D8" w:rsidRPr="00004D8A">
        <w:t>ity</w:t>
      </w:r>
      <w:r w:rsidR="00B315E6" w:rsidRPr="00004D8A">
        <w:t xml:space="preserve"> were in the highest quintile of social disadvantage</w:t>
      </w:r>
      <w:r w:rsidR="006C43D8" w:rsidRPr="00004D8A">
        <w:t>,</w:t>
      </w:r>
      <w:r w:rsidR="00F82371" w:rsidRPr="00004D8A">
        <w:t xml:space="preserve"> compared to </w:t>
      </w:r>
      <w:r w:rsidR="00812E73" w:rsidRPr="00004D8A">
        <w:t>20% expected</w:t>
      </w:r>
      <w:r w:rsidR="00D22A8B" w:rsidRPr="00004D8A">
        <w:t xml:space="preserve"> (</w:t>
      </w:r>
      <w:r w:rsidR="00F82371" w:rsidRPr="00004D8A">
        <w:t>a</w:t>
      </w:r>
      <w:r w:rsidR="00AB07F4" w:rsidRPr="00004D8A">
        <w:t xml:space="preserve"> ratio of 1.75</w:t>
      </w:r>
      <w:r w:rsidR="00D22A8B" w:rsidRPr="00004D8A">
        <w:t>)</w:t>
      </w:r>
      <w:r w:rsidR="00A34D48" w:rsidRPr="00004D8A">
        <w:t>.</w:t>
      </w:r>
      <w:r w:rsidR="00871A19" w:rsidRPr="00004D8A">
        <w:t xml:space="preserve"> </w:t>
      </w:r>
      <w:r w:rsidR="00F82371" w:rsidRPr="00004D8A">
        <w:t xml:space="preserve">39.8% of </w:t>
      </w:r>
      <w:r w:rsidR="006115F7" w:rsidRPr="00004D8A">
        <w:t>women aged 16-50 were living with c</w:t>
      </w:r>
      <w:r w:rsidR="00F82371" w:rsidRPr="00004D8A">
        <w:t>lass III obes</w:t>
      </w:r>
      <w:r w:rsidR="003714C5" w:rsidRPr="00004D8A">
        <w:t>ity</w:t>
      </w:r>
      <w:r w:rsidR="006115F7" w:rsidRPr="00004D8A">
        <w:t>,</w:t>
      </w:r>
      <w:r w:rsidR="00F82371" w:rsidRPr="00004D8A">
        <w:t xml:space="preserve"> compared to 26.7%</w:t>
      </w:r>
      <w:r w:rsidR="003714C5" w:rsidRPr="00004D8A">
        <w:t xml:space="preserve"> </w:t>
      </w:r>
      <w:r w:rsidR="006115F7" w:rsidRPr="00004D8A">
        <w:t xml:space="preserve">of the </w:t>
      </w:r>
      <w:r w:rsidR="004236CC" w:rsidRPr="00004D8A">
        <w:t>total population</w:t>
      </w:r>
      <w:r w:rsidR="00F82371" w:rsidRPr="00004D8A">
        <w:t xml:space="preserve"> </w:t>
      </w:r>
      <w:r w:rsidR="004236CC" w:rsidRPr="00004D8A">
        <w:t>(</w:t>
      </w:r>
      <w:r w:rsidR="00AB07F4" w:rsidRPr="00004D8A">
        <w:t xml:space="preserve">a ratio of </w:t>
      </w:r>
      <w:r w:rsidR="00F82371" w:rsidRPr="00004D8A">
        <w:t>1.49</w:t>
      </w:r>
      <w:r w:rsidR="004236CC" w:rsidRPr="00004D8A">
        <w:t>)</w:t>
      </w:r>
      <w:r w:rsidR="00001449" w:rsidRPr="00004D8A">
        <w:t>.</w:t>
      </w:r>
      <w:r w:rsidR="00807B46" w:rsidRPr="00004D8A">
        <w:t xml:space="preserve"> </w:t>
      </w:r>
      <w:r w:rsidR="000C6A0D" w:rsidRPr="00004D8A">
        <w:t xml:space="preserve"> </w:t>
      </w:r>
    </w:p>
    <w:p w14:paraId="7A5F6B48" w14:textId="596D6E56" w:rsidR="00DA1D06" w:rsidRPr="00004D8A" w:rsidRDefault="00DA1D06" w:rsidP="007A387C">
      <w:r w:rsidRPr="00004D8A">
        <w:t xml:space="preserve">Women are more highly represented in </w:t>
      </w:r>
      <w:r w:rsidR="00C90120" w:rsidRPr="00004D8A">
        <w:t>obesity</w:t>
      </w:r>
      <w:r w:rsidRPr="00004D8A">
        <w:t xml:space="preserve"> class </w:t>
      </w:r>
      <w:r w:rsidR="00C90120" w:rsidRPr="00004D8A">
        <w:t>III. This was particularly eviden</w:t>
      </w:r>
      <w:r w:rsidR="00805980" w:rsidRPr="00004D8A">
        <w:t>t</w:t>
      </w:r>
      <w:r w:rsidR="00C90120" w:rsidRPr="00004D8A">
        <w:t xml:space="preserve"> in those</w:t>
      </w:r>
      <w:r w:rsidR="00A97603" w:rsidRPr="00004D8A">
        <w:t xml:space="preserve"> less than </w:t>
      </w:r>
      <w:r w:rsidRPr="00004D8A">
        <w:t>50 years old</w:t>
      </w:r>
      <w:r w:rsidR="00A4724A" w:rsidRPr="00004D8A">
        <w:t>,</w:t>
      </w:r>
      <w:r w:rsidRPr="00004D8A">
        <w:t xml:space="preserve"> w</w:t>
      </w:r>
      <w:r w:rsidR="00A4724A" w:rsidRPr="00004D8A">
        <w:t>ho constitute</w:t>
      </w:r>
      <w:r w:rsidRPr="00004D8A">
        <w:t xml:space="preserve"> 27% of the </w:t>
      </w:r>
      <w:r w:rsidR="00A4724A" w:rsidRPr="00004D8A">
        <w:t xml:space="preserve">total </w:t>
      </w:r>
      <w:r w:rsidRPr="00004D8A">
        <w:t xml:space="preserve">population but 39.8% of </w:t>
      </w:r>
      <w:r w:rsidR="00A4724A" w:rsidRPr="00004D8A">
        <w:t>obesity class III</w:t>
      </w:r>
      <w:r w:rsidRPr="00004D8A">
        <w:t>.</w:t>
      </w:r>
    </w:p>
    <w:p w14:paraId="7C5B48EA" w14:textId="55DB4B41" w:rsidR="00CB5B25" w:rsidRPr="00004D8A" w:rsidRDefault="001915B6" w:rsidP="00A20B2E">
      <w:pPr>
        <w:pStyle w:val="Heading2"/>
        <w:rPr>
          <w:color w:val="auto"/>
        </w:rPr>
      </w:pPr>
      <w:r w:rsidRPr="00004D8A">
        <w:rPr>
          <w:color w:val="auto"/>
        </w:rPr>
        <w:t>Mortality</w:t>
      </w:r>
      <w:r w:rsidR="00B55625" w:rsidRPr="00004D8A">
        <w:rPr>
          <w:color w:val="auto"/>
        </w:rPr>
        <w:t xml:space="preserve"> </w:t>
      </w:r>
    </w:p>
    <w:p w14:paraId="60940B46" w14:textId="670A6A1A" w:rsidR="001915B6" w:rsidRPr="00004D8A" w:rsidRDefault="00F638A1" w:rsidP="007A387C">
      <w:r w:rsidRPr="00004D8A">
        <w:t xml:space="preserve">The </w:t>
      </w:r>
      <w:r w:rsidR="00FA1E95" w:rsidRPr="00004D8A">
        <w:t>t</w:t>
      </w:r>
      <w:r w:rsidR="001915B6" w:rsidRPr="00004D8A">
        <w:t xml:space="preserve">otal </w:t>
      </w:r>
      <w:r w:rsidR="00FA1E95" w:rsidRPr="00004D8A">
        <w:t>e</w:t>
      </w:r>
      <w:r w:rsidR="001915B6" w:rsidRPr="00004D8A">
        <w:t xml:space="preserve">xpected </w:t>
      </w:r>
      <w:r w:rsidR="00FA1E95" w:rsidRPr="00004D8A">
        <w:t>d</w:t>
      </w:r>
      <w:r w:rsidR="001915B6" w:rsidRPr="00004D8A">
        <w:t>eaths</w:t>
      </w:r>
      <w:r w:rsidR="00553EC3" w:rsidRPr="00004D8A">
        <w:t>,</w:t>
      </w:r>
      <w:r w:rsidR="001915B6" w:rsidRPr="00004D8A">
        <w:t xml:space="preserve"> </w:t>
      </w:r>
      <w:r w:rsidRPr="00004D8A">
        <w:t>per year</w:t>
      </w:r>
      <w:r w:rsidR="00553EC3" w:rsidRPr="00004D8A">
        <w:t>,</w:t>
      </w:r>
      <w:r w:rsidRPr="00004D8A">
        <w:t xml:space="preserve"> </w:t>
      </w:r>
      <w:r w:rsidR="00166F16" w:rsidRPr="00004D8A">
        <w:t xml:space="preserve">for England </w:t>
      </w:r>
      <w:r w:rsidRPr="00004D8A">
        <w:t xml:space="preserve">was estimated at </w:t>
      </w:r>
      <w:r w:rsidR="001915B6" w:rsidRPr="00004D8A">
        <w:t>518k (</w:t>
      </w:r>
      <w:r w:rsidR="00553EC3" w:rsidRPr="00004D8A">
        <w:t xml:space="preserve">males </w:t>
      </w:r>
      <w:r w:rsidR="001915B6" w:rsidRPr="00004D8A">
        <w:t xml:space="preserve">262k; </w:t>
      </w:r>
      <w:r w:rsidR="00553EC3" w:rsidRPr="00004D8A">
        <w:t xml:space="preserve">females </w:t>
      </w:r>
      <w:r w:rsidR="001915B6" w:rsidRPr="00004D8A">
        <w:t>256k)</w:t>
      </w:r>
      <w:r w:rsidRPr="00004D8A">
        <w:t xml:space="preserve">. </w:t>
      </w:r>
      <w:r w:rsidR="00177ED4" w:rsidRPr="00004D8A">
        <w:t>Hypothetically</w:t>
      </w:r>
      <w:r w:rsidR="00177ED4">
        <w:t>,</w:t>
      </w:r>
      <w:r w:rsidR="00952EA2" w:rsidRPr="00004D8A">
        <w:t xml:space="preserve"> i</w:t>
      </w:r>
      <w:r w:rsidR="001915B6" w:rsidRPr="00004D8A">
        <w:t xml:space="preserve">f </w:t>
      </w:r>
      <w:r w:rsidRPr="00004D8A">
        <w:t xml:space="preserve">the </w:t>
      </w:r>
      <w:r w:rsidR="001915B6" w:rsidRPr="00004D8A">
        <w:t>population w</w:t>
      </w:r>
      <w:r w:rsidR="00D44BD0" w:rsidRPr="00004D8A">
        <w:t>ere</w:t>
      </w:r>
      <w:r w:rsidR="001915B6" w:rsidRPr="00004D8A">
        <w:t xml:space="preserve"> all BMI &lt;25</w:t>
      </w:r>
      <w:r w:rsidR="00952EA2" w:rsidRPr="00004D8A">
        <w:t xml:space="preserve"> kg/m</w:t>
      </w:r>
      <w:r w:rsidR="00952EA2" w:rsidRPr="00004D8A">
        <w:rPr>
          <w:vertAlign w:val="superscript"/>
        </w:rPr>
        <w:t>2</w:t>
      </w:r>
      <w:r w:rsidR="00A742C3" w:rsidRPr="00004D8A">
        <w:t>,</w:t>
      </w:r>
      <w:r w:rsidR="001915B6" w:rsidRPr="00004D8A">
        <w:t xml:space="preserve"> </w:t>
      </w:r>
      <w:r w:rsidR="00D44BD0" w:rsidRPr="00004D8A">
        <w:t xml:space="preserve">then </w:t>
      </w:r>
      <w:r w:rsidR="001915B6" w:rsidRPr="00004D8A">
        <w:t xml:space="preserve">deaths </w:t>
      </w:r>
      <w:r w:rsidR="00A742C3" w:rsidRPr="00004D8A">
        <w:t xml:space="preserve">per year </w:t>
      </w:r>
      <w:r w:rsidR="001915B6" w:rsidRPr="00004D8A">
        <w:t xml:space="preserve">would be </w:t>
      </w:r>
      <w:r w:rsidR="00952EA2" w:rsidRPr="00004D8A">
        <w:t xml:space="preserve">expected to be </w:t>
      </w:r>
      <w:r w:rsidR="001915B6" w:rsidRPr="00004D8A">
        <w:t>455k (</w:t>
      </w:r>
      <w:r w:rsidR="00952EA2" w:rsidRPr="00004D8A">
        <w:t xml:space="preserve">males </w:t>
      </w:r>
      <w:r w:rsidR="001915B6" w:rsidRPr="00004D8A">
        <w:t xml:space="preserve">224k; </w:t>
      </w:r>
      <w:r w:rsidR="00952EA2" w:rsidRPr="00004D8A">
        <w:t xml:space="preserve">females </w:t>
      </w:r>
      <w:r w:rsidR="001915B6" w:rsidRPr="00004D8A">
        <w:t>231k)</w:t>
      </w:r>
      <w:r w:rsidR="00FA1E95" w:rsidRPr="00004D8A">
        <w:t xml:space="preserve"> (Table 2)</w:t>
      </w:r>
      <w:r w:rsidRPr="00004D8A">
        <w:t>. The</w:t>
      </w:r>
      <w:r w:rsidR="001915B6" w:rsidRPr="00004D8A">
        <w:t xml:space="preserve"> 63k </w:t>
      </w:r>
      <w:r w:rsidR="00025DB9" w:rsidRPr="00004D8A">
        <w:t xml:space="preserve">difference </w:t>
      </w:r>
      <w:r w:rsidR="001915B6" w:rsidRPr="00004D8A">
        <w:t>(12</w:t>
      </w:r>
      <w:r w:rsidR="00975A35" w:rsidRPr="00004D8A">
        <w:t>.2</w:t>
      </w:r>
      <w:r w:rsidR="001915B6" w:rsidRPr="00004D8A">
        <w:t xml:space="preserve">% of </w:t>
      </w:r>
      <w:r w:rsidR="00166F16" w:rsidRPr="00004D8A">
        <w:t xml:space="preserve">the </w:t>
      </w:r>
      <w:r w:rsidR="00A742C3" w:rsidRPr="00004D8A">
        <w:t xml:space="preserve">518K </w:t>
      </w:r>
      <w:r w:rsidR="001915B6" w:rsidRPr="00004D8A">
        <w:t>expected</w:t>
      </w:r>
      <w:r w:rsidR="00166F16" w:rsidRPr="00004D8A">
        <w:t xml:space="preserve"> deaths</w:t>
      </w:r>
      <w:r w:rsidR="001915B6" w:rsidRPr="00004D8A">
        <w:t xml:space="preserve">) splits </w:t>
      </w:r>
      <w:r w:rsidR="00DC720B" w:rsidRPr="00004D8A">
        <w:t xml:space="preserve">into </w:t>
      </w:r>
      <w:r w:rsidR="001915B6" w:rsidRPr="00004D8A">
        <w:t>Class III 12k (5</w:t>
      </w:r>
      <w:r w:rsidR="00975A35" w:rsidRPr="00004D8A">
        <w:t>3.9</w:t>
      </w:r>
      <w:r w:rsidR="001915B6" w:rsidRPr="00004D8A">
        <w:t xml:space="preserve">% </w:t>
      </w:r>
      <w:r w:rsidR="00D44BD0" w:rsidRPr="00004D8A">
        <w:t xml:space="preserve">of expected </w:t>
      </w:r>
      <w:r w:rsidR="00566325" w:rsidRPr="00004D8A">
        <w:t>deaths</w:t>
      </w:r>
      <w:r w:rsidR="00166F16" w:rsidRPr="00004D8A">
        <w:t xml:space="preserve"> in that group</w:t>
      </w:r>
      <w:r w:rsidR="001915B6" w:rsidRPr="00004D8A">
        <w:t>), Class I</w:t>
      </w:r>
      <w:r w:rsidR="00050FBC" w:rsidRPr="00004D8A">
        <w:t xml:space="preserve"> and </w:t>
      </w:r>
      <w:r w:rsidR="001915B6" w:rsidRPr="00004D8A">
        <w:t>II 41k (25</w:t>
      </w:r>
      <w:r w:rsidR="00975A35" w:rsidRPr="00004D8A">
        <w:t>.4</w:t>
      </w:r>
      <w:r w:rsidR="001915B6" w:rsidRPr="00004D8A">
        <w:t>%</w:t>
      </w:r>
      <w:r w:rsidR="00566325" w:rsidRPr="00004D8A">
        <w:t xml:space="preserve"> </w:t>
      </w:r>
      <w:r w:rsidR="00805980" w:rsidRPr="00004D8A">
        <w:t xml:space="preserve">expected </w:t>
      </w:r>
      <w:r w:rsidR="00566325" w:rsidRPr="00004D8A">
        <w:t>excess deaths</w:t>
      </w:r>
      <w:r w:rsidR="001915B6" w:rsidRPr="00004D8A">
        <w:t>) and overweight 10k (</w:t>
      </w:r>
      <w:r w:rsidR="00975A35" w:rsidRPr="00004D8A">
        <w:t>4</w:t>
      </w:r>
      <w:r w:rsidR="00875C17" w:rsidRPr="00004D8A">
        <w:t>.</w:t>
      </w:r>
      <w:r w:rsidR="00975A35" w:rsidRPr="00004D8A">
        <w:t>7</w:t>
      </w:r>
      <w:r w:rsidR="001915B6" w:rsidRPr="00004D8A">
        <w:t>%</w:t>
      </w:r>
      <w:r w:rsidR="00805980" w:rsidRPr="00004D8A">
        <w:t xml:space="preserve"> expected</w:t>
      </w:r>
      <w:r w:rsidR="00566325" w:rsidRPr="00004D8A">
        <w:t xml:space="preserve"> excess deaths</w:t>
      </w:r>
      <w:r w:rsidR="001915B6" w:rsidRPr="00004D8A">
        <w:t>)</w:t>
      </w:r>
      <w:r w:rsidR="002F0077" w:rsidRPr="00004D8A">
        <w:t>. The 14.7% e</w:t>
      </w:r>
      <w:r w:rsidR="00C934C5" w:rsidRPr="00004D8A">
        <w:t xml:space="preserve">xcess deaths </w:t>
      </w:r>
      <w:r w:rsidR="002F0077" w:rsidRPr="00004D8A">
        <w:t xml:space="preserve">seen </w:t>
      </w:r>
      <w:r w:rsidR="00D8538A" w:rsidRPr="00004D8A">
        <w:t xml:space="preserve">in </w:t>
      </w:r>
      <w:r w:rsidR="00050FBC" w:rsidRPr="00004D8A">
        <w:t>m</w:t>
      </w:r>
      <w:r w:rsidR="00D8538A" w:rsidRPr="00004D8A">
        <w:t>ale</w:t>
      </w:r>
      <w:r w:rsidR="00050FBC" w:rsidRPr="00004D8A">
        <w:t>s</w:t>
      </w:r>
      <w:r w:rsidR="002F0077" w:rsidRPr="00004D8A">
        <w:t xml:space="preserve">, </w:t>
      </w:r>
      <w:r w:rsidR="00D8538A" w:rsidRPr="00004D8A">
        <w:t>were</w:t>
      </w:r>
      <w:r w:rsidR="00B832B8" w:rsidRPr="00004D8A">
        <w:t xml:space="preserve"> in </w:t>
      </w:r>
      <w:r w:rsidR="00025DB9" w:rsidRPr="00004D8A">
        <w:t>relative</w:t>
      </w:r>
      <w:r w:rsidR="00B832B8" w:rsidRPr="00004D8A">
        <w:t xml:space="preserve"> terms</w:t>
      </w:r>
      <w:r w:rsidR="00D5557D" w:rsidRPr="00004D8A">
        <w:t xml:space="preserve"> 50% higher than </w:t>
      </w:r>
      <w:r w:rsidR="002F0077" w:rsidRPr="00004D8A">
        <w:t xml:space="preserve">that seen in </w:t>
      </w:r>
      <w:r w:rsidR="00D5557D" w:rsidRPr="00004D8A">
        <w:t xml:space="preserve">females </w:t>
      </w:r>
      <w:r w:rsidR="00B832B8" w:rsidRPr="00004D8A">
        <w:t>(</w:t>
      </w:r>
      <w:r w:rsidR="00D5557D" w:rsidRPr="00004D8A">
        <w:t>9.7%</w:t>
      </w:r>
      <w:r w:rsidR="00B832B8" w:rsidRPr="00004D8A">
        <w:t xml:space="preserve"> excess deaths).</w:t>
      </w:r>
    </w:p>
    <w:p w14:paraId="430A58C6" w14:textId="15FDD207" w:rsidR="009D49A0" w:rsidRPr="00004D8A" w:rsidRDefault="009D49A0" w:rsidP="00A20B2E">
      <w:pPr>
        <w:pStyle w:val="Heading2"/>
        <w:rPr>
          <w:color w:val="auto"/>
        </w:rPr>
      </w:pPr>
      <w:r w:rsidRPr="00004D8A">
        <w:rPr>
          <w:color w:val="auto"/>
        </w:rPr>
        <w:t xml:space="preserve">Future Life Years </w:t>
      </w:r>
    </w:p>
    <w:p w14:paraId="1C582CCE" w14:textId="6E91586B" w:rsidR="00612631" w:rsidRPr="00004D8A" w:rsidRDefault="00612631" w:rsidP="007A387C">
      <w:r w:rsidRPr="00004D8A">
        <w:t xml:space="preserve">The </w:t>
      </w:r>
      <w:r w:rsidR="00DC720B" w:rsidRPr="00004D8A">
        <w:t xml:space="preserve">projected </w:t>
      </w:r>
      <w:r w:rsidRPr="00004D8A">
        <w:t xml:space="preserve">average age </w:t>
      </w:r>
      <w:r w:rsidR="001F4C8C" w:rsidRPr="00004D8A">
        <w:t xml:space="preserve">(as modelled) </w:t>
      </w:r>
      <w:r w:rsidRPr="00004D8A">
        <w:t xml:space="preserve">was 48.0 years and </w:t>
      </w:r>
      <w:r w:rsidR="0038447B" w:rsidRPr="00004D8A">
        <w:t xml:space="preserve">future </w:t>
      </w:r>
      <w:r w:rsidRPr="00004D8A">
        <w:t>life years was 36.6 years</w:t>
      </w:r>
      <w:r w:rsidR="005235F2" w:rsidRPr="00004D8A">
        <w:t xml:space="preserve"> (Table 3)</w:t>
      </w:r>
      <w:r w:rsidRPr="00004D8A">
        <w:t xml:space="preserve">. For Class III </w:t>
      </w:r>
      <w:r w:rsidR="00DC720B" w:rsidRPr="00004D8A">
        <w:t>obesity</w:t>
      </w:r>
      <w:r w:rsidR="005235F2" w:rsidRPr="00004D8A">
        <w:t>,</w:t>
      </w:r>
      <w:r w:rsidR="00DC720B" w:rsidRPr="00004D8A">
        <w:t xml:space="preserve"> </w:t>
      </w:r>
      <w:r w:rsidRPr="00004D8A">
        <w:t xml:space="preserve">age was 46.6 years and </w:t>
      </w:r>
      <w:r w:rsidR="00DC67CB" w:rsidRPr="00004D8A">
        <w:t>future life years</w:t>
      </w:r>
      <w:r w:rsidRPr="00004D8A">
        <w:t xml:space="preserve"> 32.0 years (</w:t>
      </w:r>
      <w:r w:rsidR="00851635" w:rsidRPr="00004D8A">
        <w:t xml:space="preserve">for matched individuals </w:t>
      </w:r>
      <w:r w:rsidRPr="00004D8A">
        <w:t>if BMI</w:t>
      </w:r>
      <w:r w:rsidR="00196420" w:rsidRPr="00004D8A">
        <w:t xml:space="preserve"> </w:t>
      </w:r>
      <w:r w:rsidRPr="00004D8A">
        <w:t>&lt;25 kg/m</w:t>
      </w:r>
      <w:r w:rsidRPr="00004D8A">
        <w:rPr>
          <w:vertAlign w:val="superscript"/>
        </w:rPr>
        <w:t>2</w:t>
      </w:r>
      <w:r w:rsidR="00403478" w:rsidRPr="00004D8A">
        <w:t xml:space="preserve">, </w:t>
      </w:r>
      <w:r w:rsidR="00DC67CB" w:rsidRPr="00004D8A">
        <w:t xml:space="preserve">future life years </w:t>
      </w:r>
      <w:r w:rsidR="00975A35" w:rsidRPr="00004D8A">
        <w:t xml:space="preserve">was </w:t>
      </w:r>
      <w:r w:rsidRPr="00004D8A">
        <w:t xml:space="preserve">38.7 </w:t>
      </w:r>
      <w:r w:rsidRPr="00004D8A">
        <w:lastRenderedPageBreak/>
        <w:t>years)</w:t>
      </w:r>
      <w:r w:rsidR="001857AE" w:rsidRPr="00004D8A">
        <w:t xml:space="preserve"> giving a </w:t>
      </w:r>
      <w:r w:rsidR="00177ED4" w:rsidRPr="00004D8A">
        <w:t>6.7-year</w:t>
      </w:r>
      <w:r w:rsidR="001857AE" w:rsidRPr="00004D8A">
        <w:t xml:space="preserve"> reduction in future life years. The future life years increased with decreasing BMI category (Table 3 and </w:t>
      </w:r>
      <w:r w:rsidR="00177ED4" w:rsidRPr="00004D8A">
        <w:t>Figure 3</w:t>
      </w:r>
      <w:r w:rsidR="001857AE" w:rsidRPr="00004D8A">
        <w:t xml:space="preserve">). </w:t>
      </w:r>
    </w:p>
    <w:p w14:paraId="3FE9998F" w14:textId="699F17AA" w:rsidR="009D49A0" w:rsidRPr="00004D8A" w:rsidRDefault="00306D90" w:rsidP="007A387C">
      <w:bookmarkStart w:id="12" w:name="_Hlk148285061"/>
      <w:r w:rsidRPr="00004D8A">
        <w:t xml:space="preserve">Attaching the future life years to the deaths </w:t>
      </w:r>
      <w:r w:rsidR="00403A11" w:rsidRPr="00004D8A">
        <w:t xml:space="preserve">gives us an estimate of </w:t>
      </w:r>
      <w:r w:rsidR="0083534C" w:rsidRPr="00004D8A">
        <w:t>‘f</w:t>
      </w:r>
      <w:r w:rsidR="00403A11" w:rsidRPr="00004D8A">
        <w:t xml:space="preserve">uture </w:t>
      </w:r>
      <w:r w:rsidR="0083534C" w:rsidRPr="00004D8A">
        <w:t>l</w:t>
      </w:r>
      <w:r w:rsidR="00403A11" w:rsidRPr="00004D8A">
        <w:t xml:space="preserve">ife </w:t>
      </w:r>
      <w:r w:rsidR="0083534C" w:rsidRPr="00004D8A">
        <w:t>y</w:t>
      </w:r>
      <w:r w:rsidR="00403A11" w:rsidRPr="00004D8A">
        <w:t xml:space="preserve">ears </w:t>
      </w:r>
      <w:r w:rsidR="0083534C" w:rsidRPr="00004D8A">
        <w:t>l</w:t>
      </w:r>
      <w:r w:rsidR="00403A11" w:rsidRPr="00004D8A">
        <w:t>ost</w:t>
      </w:r>
      <w:r w:rsidR="0083534C" w:rsidRPr="00004D8A">
        <w:t xml:space="preserve">’ occurring </w:t>
      </w:r>
      <w:r w:rsidR="00752254" w:rsidRPr="00004D8A">
        <w:t>each year</w:t>
      </w:r>
      <w:r w:rsidR="0083534C" w:rsidRPr="00004D8A">
        <w:t>,</w:t>
      </w:r>
      <w:r w:rsidR="00752254" w:rsidRPr="00004D8A">
        <w:t xml:space="preserve"> </w:t>
      </w:r>
      <w:r w:rsidR="00403A11" w:rsidRPr="00004D8A">
        <w:t>through early deaths</w:t>
      </w:r>
      <w:r w:rsidR="009D49A0" w:rsidRPr="00004D8A">
        <w:t xml:space="preserve">. </w:t>
      </w:r>
      <w:r w:rsidR="00C242A8" w:rsidRPr="00004D8A">
        <w:t xml:space="preserve">Overall, 13.1% of all </w:t>
      </w:r>
      <w:r w:rsidR="0094249C" w:rsidRPr="00004D8A">
        <w:t xml:space="preserve">791,689 </w:t>
      </w:r>
      <w:r w:rsidR="00C242A8" w:rsidRPr="00004D8A">
        <w:t xml:space="preserve">deaths </w:t>
      </w:r>
      <w:r w:rsidR="00DF0E70" w:rsidRPr="00004D8A">
        <w:t xml:space="preserve">in people with BMI ≥25 </w:t>
      </w:r>
      <w:r w:rsidR="000F69D6" w:rsidRPr="00004D8A">
        <w:t>kg/m</w:t>
      </w:r>
      <w:r w:rsidR="000F69D6" w:rsidRPr="00004D8A">
        <w:rPr>
          <w:vertAlign w:val="superscript"/>
        </w:rPr>
        <w:t>2</w:t>
      </w:r>
      <w:r w:rsidR="000F69D6" w:rsidRPr="00004D8A">
        <w:t xml:space="preserve"> </w:t>
      </w:r>
      <w:r w:rsidR="00DF0E70" w:rsidRPr="00004D8A">
        <w:t>were related to excess weight.</w:t>
      </w:r>
    </w:p>
    <w:p w14:paraId="5AF37DE1" w14:textId="377D63F9" w:rsidR="00714B05" w:rsidRPr="00004D8A" w:rsidRDefault="00714B05" w:rsidP="00714B05">
      <w:pPr>
        <w:jc w:val="both"/>
      </w:pPr>
      <w:r w:rsidRPr="00004D8A">
        <w:t>If the NICE £30,000</w:t>
      </w:r>
      <w:r w:rsidR="006F14A7" w:rsidRPr="00004D8A">
        <w:t xml:space="preserve"> per </w:t>
      </w:r>
      <w:r w:rsidRPr="00004D8A">
        <w:t xml:space="preserve">QALY value was applied to the </w:t>
      </w:r>
      <w:r w:rsidR="00BB13C5" w:rsidRPr="00004D8A">
        <w:t xml:space="preserve">estimated </w:t>
      </w:r>
      <w:r w:rsidRPr="00004D8A">
        <w:t xml:space="preserve">total 791,689 </w:t>
      </w:r>
      <w:r w:rsidR="007A0E22" w:rsidRPr="00004D8A">
        <w:t>future life years lost</w:t>
      </w:r>
      <w:r w:rsidR="00F705BE" w:rsidRPr="00004D8A">
        <w:t xml:space="preserve"> (assuming for simplicity at this stage that </w:t>
      </w:r>
      <w:r w:rsidR="00791FA6" w:rsidRPr="00004D8A">
        <w:t>each Life year lost has a quality life year utility factor = 1)</w:t>
      </w:r>
      <w:r w:rsidR="007A0E22" w:rsidRPr="00004D8A">
        <w:t>,</w:t>
      </w:r>
      <w:r w:rsidRPr="00004D8A">
        <w:t xml:space="preserve"> then the potential QALY value lost is equivalent to £24 billion/year or £522 </w:t>
      </w:r>
      <w:r w:rsidR="007E7676" w:rsidRPr="00004D8A">
        <w:t xml:space="preserve">per </w:t>
      </w:r>
      <w:r w:rsidRPr="00004D8A">
        <w:t xml:space="preserve">person population. </w:t>
      </w:r>
      <w:r w:rsidR="00BB13C5" w:rsidRPr="00004D8A">
        <w:t>For</w:t>
      </w:r>
      <w:r w:rsidRPr="00004D8A">
        <w:t xml:space="preserve"> morbidly obese men and women the potential QALY value lost is </w:t>
      </w:r>
      <w:r w:rsidR="006F14A7" w:rsidRPr="00004D8A">
        <w:t>£</w:t>
      </w:r>
      <w:r w:rsidRPr="00004D8A">
        <w:t>2864</w:t>
      </w:r>
      <w:r w:rsidR="006F14A7" w:rsidRPr="00004D8A">
        <w:t xml:space="preserve"> per </w:t>
      </w:r>
      <w:r w:rsidRPr="00004D8A">
        <w:t>person</w:t>
      </w:r>
      <w:r w:rsidR="007A51F5" w:rsidRPr="00004D8A">
        <w:t>,</w:t>
      </w:r>
      <w:r w:rsidR="006F14A7" w:rsidRPr="00004D8A">
        <w:t xml:space="preserve"> per </w:t>
      </w:r>
      <w:r w:rsidRPr="00004D8A">
        <w:t>year.</w:t>
      </w:r>
    </w:p>
    <w:bookmarkEnd w:id="12"/>
    <w:p w14:paraId="52CE1A42" w14:textId="350C3D24" w:rsidR="00566325" w:rsidRPr="00004D8A" w:rsidRDefault="003D6F5B" w:rsidP="00A20B2E">
      <w:pPr>
        <w:pStyle w:val="Heading2"/>
        <w:rPr>
          <w:color w:val="auto"/>
        </w:rPr>
      </w:pPr>
      <w:r w:rsidRPr="00004D8A">
        <w:rPr>
          <w:color w:val="auto"/>
        </w:rPr>
        <w:t>Health Care Resource Utilization</w:t>
      </w:r>
    </w:p>
    <w:p w14:paraId="51ED3D83" w14:textId="0B31EC64" w:rsidR="00714C2E" w:rsidRPr="00004D8A" w:rsidRDefault="00714C2E" w:rsidP="00BE2155">
      <w:pPr>
        <w:rPr>
          <w:rFonts w:eastAsiaTheme="minorEastAsia"/>
          <w:kern w:val="24"/>
        </w:rPr>
      </w:pPr>
      <w:r w:rsidRPr="00004D8A">
        <w:t>Table 4 show</w:t>
      </w:r>
      <w:r w:rsidR="00BF23D4" w:rsidRPr="00004D8A">
        <w:t>s</w:t>
      </w:r>
      <w:r w:rsidRPr="00004D8A">
        <w:t xml:space="preserve"> the difference between the modelled HCRU</w:t>
      </w:r>
      <w:r w:rsidR="00DE7C4C" w:rsidRPr="00004D8A">
        <w:t xml:space="preserve"> per </w:t>
      </w:r>
      <w:r w:rsidRPr="00004D8A">
        <w:t>person</w:t>
      </w:r>
      <w:r w:rsidR="00DE7C4C" w:rsidRPr="00004D8A">
        <w:t>,</w:t>
      </w:r>
      <w:r w:rsidRPr="00004D8A">
        <w:t xml:space="preserve"> by age group, </w:t>
      </w:r>
      <w:proofErr w:type="gramStart"/>
      <w:r w:rsidRPr="00004D8A">
        <w:t>sex</w:t>
      </w:r>
      <w:proofErr w:type="gramEnd"/>
      <w:r w:rsidRPr="00004D8A">
        <w:t xml:space="preserve"> and BMI class</w:t>
      </w:r>
      <w:r w:rsidR="0026615C" w:rsidRPr="00004D8A">
        <w:t>. We also show</w:t>
      </w:r>
      <w:r w:rsidRPr="00004D8A">
        <w:t xml:space="preserve"> the value of</w:t>
      </w:r>
      <w:r w:rsidR="0026615C" w:rsidRPr="00004D8A">
        <w:t xml:space="preserve"> a similar population,</w:t>
      </w:r>
      <w:r w:rsidRPr="00004D8A">
        <w:t xml:space="preserve"> but with BMI</w:t>
      </w:r>
      <w:r w:rsidR="0026615C" w:rsidRPr="00004D8A">
        <w:t xml:space="preserve"> </w:t>
      </w:r>
      <w:r w:rsidRPr="00004D8A">
        <w:t>&lt;25</w:t>
      </w:r>
      <w:r w:rsidR="0026615C" w:rsidRPr="00004D8A">
        <w:t xml:space="preserve"> kg/m</w:t>
      </w:r>
      <w:r w:rsidR="0026615C" w:rsidRPr="00004D8A">
        <w:rPr>
          <w:vertAlign w:val="superscript"/>
        </w:rPr>
        <w:t>2</w:t>
      </w:r>
      <w:r w:rsidRPr="00004D8A">
        <w:rPr>
          <w:rFonts w:eastAsiaTheme="minorEastAsia"/>
          <w:kern w:val="24"/>
        </w:rPr>
        <w:t>.</w:t>
      </w:r>
      <w:r w:rsidR="00392811" w:rsidRPr="00004D8A">
        <w:t xml:space="preserve"> </w:t>
      </w:r>
    </w:p>
    <w:p w14:paraId="1F155DB0" w14:textId="4CCAA7A6" w:rsidR="00C86B26" w:rsidRPr="00004D8A" w:rsidRDefault="00714C2E" w:rsidP="00BE2155">
      <w:pPr>
        <w:rPr>
          <w:rFonts w:eastAsiaTheme="minorEastAsia"/>
          <w:kern w:val="24"/>
        </w:rPr>
      </w:pPr>
      <w:r w:rsidRPr="00004D8A">
        <w:rPr>
          <w:rFonts w:eastAsiaTheme="minorEastAsia"/>
          <w:kern w:val="24"/>
        </w:rPr>
        <w:t>Across all ICBs the c</w:t>
      </w:r>
      <w:r w:rsidR="007B75BC" w:rsidRPr="00004D8A">
        <w:rPr>
          <w:rFonts w:eastAsiaTheme="minorEastAsia"/>
          <w:kern w:val="24"/>
        </w:rPr>
        <w:t xml:space="preserve">urrent </w:t>
      </w:r>
      <w:r w:rsidR="0026615C" w:rsidRPr="00004D8A">
        <w:rPr>
          <w:rFonts w:eastAsiaTheme="minorEastAsia"/>
          <w:kern w:val="24"/>
        </w:rPr>
        <w:t>t</w:t>
      </w:r>
      <w:r w:rsidR="007B75BC" w:rsidRPr="00004D8A">
        <w:rPr>
          <w:rFonts w:eastAsiaTheme="minorEastAsia"/>
          <w:kern w:val="24"/>
        </w:rPr>
        <w:t xml:space="preserve">otal HCRU/year in adults </w:t>
      </w:r>
      <w:r w:rsidR="0026615C" w:rsidRPr="00004D8A">
        <w:rPr>
          <w:rFonts w:eastAsiaTheme="minorEastAsia"/>
          <w:kern w:val="24"/>
        </w:rPr>
        <w:t>is</w:t>
      </w:r>
      <w:r w:rsidR="007B75BC" w:rsidRPr="00004D8A">
        <w:rPr>
          <w:rFonts w:eastAsiaTheme="minorEastAsia"/>
          <w:kern w:val="24"/>
        </w:rPr>
        <w:t xml:space="preserve"> £84.0 billion (£1,848/person)</w:t>
      </w:r>
      <w:r w:rsidRPr="00004D8A">
        <w:rPr>
          <w:rFonts w:eastAsiaTheme="minorEastAsia"/>
          <w:kern w:val="24"/>
        </w:rPr>
        <w:t xml:space="preserve">. </w:t>
      </w:r>
      <w:r w:rsidR="007B75BC" w:rsidRPr="00004D8A">
        <w:rPr>
          <w:rFonts w:eastAsiaTheme="minorEastAsia"/>
          <w:kern w:val="24"/>
        </w:rPr>
        <w:t xml:space="preserve">If </w:t>
      </w:r>
      <w:r w:rsidR="001D7334" w:rsidRPr="00004D8A">
        <w:rPr>
          <w:rFonts w:eastAsiaTheme="minorEastAsia"/>
          <w:kern w:val="24"/>
        </w:rPr>
        <w:t xml:space="preserve">the whole population had a </w:t>
      </w:r>
      <w:r w:rsidR="007B75BC" w:rsidRPr="00004D8A">
        <w:rPr>
          <w:rFonts w:eastAsiaTheme="minorEastAsia"/>
          <w:kern w:val="24"/>
        </w:rPr>
        <w:t>BMI</w:t>
      </w:r>
      <w:r w:rsidR="0026615C" w:rsidRPr="00004D8A">
        <w:rPr>
          <w:rFonts w:eastAsiaTheme="minorEastAsia"/>
          <w:kern w:val="24"/>
        </w:rPr>
        <w:t xml:space="preserve"> </w:t>
      </w:r>
      <w:r w:rsidR="007B75BC" w:rsidRPr="00004D8A">
        <w:rPr>
          <w:rFonts w:eastAsiaTheme="minorEastAsia"/>
          <w:kern w:val="24"/>
        </w:rPr>
        <w:t>&lt;25</w:t>
      </w:r>
      <w:r w:rsidR="0026615C" w:rsidRPr="00004D8A">
        <w:rPr>
          <w:rFonts w:eastAsiaTheme="minorEastAsia"/>
          <w:kern w:val="24"/>
        </w:rPr>
        <w:t xml:space="preserve"> kg/m</w:t>
      </w:r>
      <w:r w:rsidR="0026615C" w:rsidRPr="00004D8A">
        <w:rPr>
          <w:rFonts w:eastAsiaTheme="minorEastAsia"/>
          <w:kern w:val="24"/>
          <w:vertAlign w:val="superscript"/>
        </w:rPr>
        <w:t>2</w:t>
      </w:r>
      <w:r w:rsidR="007B75BC" w:rsidRPr="00004D8A">
        <w:rPr>
          <w:rFonts w:eastAsiaTheme="minorEastAsia"/>
          <w:kern w:val="24"/>
        </w:rPr>
        <w:t xml:space="preserve"> </w:t>
      </w:r>
      <w:r w:rsidR="001D7334" w:rsidRPr="00004D8A">
        <w:rPr>
          <w:rFonts w:eastAsiaTheme="minorEastAsia"/>
          <w:kern w:val="24"/>
        </w:rPr>
        <w:t xml:space="preserve">then </w:t>
      </w:r>
      <w:r w:rsidR="00C04096" w:rsidRPr="00004D8A">
        <w:rPr>
          <w:rFonts w:eastAsiaTheme="minorEastAsia"/>
          <w:kern w:val="24"/>
        </w:rPr>
        <w:t xml:space="preserve">the </w:t>
      </w:r>
      <w:r w:rsidR="001D7334" w:rsidRPr="00004D8A">
        <w:rPr>
          <w:rFonts w:eastAsiaTheme="minorEastAsia"/>
          <w:kern w:val="24"/>
        </w:rPr>
        <w:t>t</w:t>
      </w:r>
      <w:r w:rsidR="007B75BC" w:rsidRPr="00004D8A">
        <w:rPr>
          <w:rFonts w:eastAsiaTheme="minorEastAsia"/>
          <w:kern w:val="24"/>
        </w:rPr>
        <w:t xml:space="preserve">otal HCRU/year </w:t>
      </w:r>
      <w:r w:rsidR="00C04096" w:rsidRPr="00004D8A">
        <w:rPr>
          <w:rFonts w:eastAsiaTheme="minorEastAsia"/>
          <w:kern w:val="24"/>
        </w:rPr>
        <w:t>would equal</w:t>
      </w:r>
      <w:r w:rsidR="007B75BC" w:rsidRPr="00004D8A">
        <w:rPr>
          <w:rFonts w:eastAsiaTheme="minorEastAsia"/>
          <w:kern w:val="24"/>
        </w:rPr>
        <w:t xml:space="preserve"> £77.6 billion (£1,708/person)</w:t>
      </w:r>
      <w:r w:rsidRPr="00004D8A">
        <w:rPr>
          <w:rFonts w:eastAsiaTheme="minorEastAsia"/>
          <w:kern w:val="24"/>
        </w:rPr>
        <w:t>.</w:t>
      </w:r>
      <w:r w:rsidR="00C86B26" w:rsidRPr="00004D8A">
        <w:rPr>
          <w:rFonts w:eastAsiaTheme="minorEastAsia"/>
          <w:kern w:val="24"/>
        </w:rPr>
        <w:t xml:space="preserve"> </w:t>
      </w:r>
    </w:p>
    <w:p w14:paraId="4562B728" w14:textId="61C8898A" w:rsidR="00714C2E" w:rsidRPr="00004D8A" w:rsidRDefault="00392811" w:rsidP="00BE2155">
      <w:pPr>
        <w:rPr>
          <w:rFonts w:eastAsiaTheme="minorEastAsia"/>
          <w:kern w:val="24"/>
        </w:rPr>
      </w:pPr>
      <w:r w:rsidRPr="00004D8A">
        <w:t>The annual HCRU cost for women aged 16-49 years and with class III obesity is £1,930, a value double that of comparable males (£874).</w:t>
      </w:r>
      <w:r w:rsidR="00714C2E" w:rsidRPr="00004D8A">
        <w:rPr>
          <w:rFonts w:eastAsiaTheme="minorEastAsia"/>
          <w:kern w:val="24"/>
        </w:rPr>
        <w:t>The annual d</w:t>
      </w:r>
      <w:r w:rsidR="007B75BC" w:rsidRPr="00004D8A">
        <w:rPr>
          <w:rFonts w:eastAsiaTheme="minorEastAsia"/>
          <w:kern w:val="24"/>
        </w:rPr>
        <w:t xml:space="preserve">ifference </w:t>
      </w:r>
      <w:r w:rsidRPr="00004D8A">
        <w:rPr>
          <w:rFonts w:eastAsiaTheme="minorEastAsia"/>
          <w:kern w:val="24"/>
        </w:rPr>
        <w:t xml:space="preserve">in HCRU </w:t>
      </w:r>
      <w:r w:rsidR="00C86B26" w:rsidRPr="00004D8A">
        <w:rPr>
          <w:rFonts w:eastAsiaTheme="minorEastAsia"/>
          <w:kern w:val="24"/>
        </w:rPr>
        <w:t>for</w:t>
      </w:r>
      <w:r w:rsidR="00714C2E" w:rsidRPr="00004D8A">
        <w:rPr>
          <w:rFonts w:eastAsiaTheme="minorEastAsia"/>
          <w:kern w:val="24"/>
        </w:rPr>
        <w:t xml:space="preserve"> </w:t>
      </w:r>
      <w:r w:rsidR="00D0362E" w:rsidRPr="00004D8A">
        <w:rPr>
          <w:rFonts w:eastAsiaTheme="minorEastAsia"/>
          <w:kern w:val="24"/>
        </w:rPr>
        <w:t xml:space="preserve">the </w:t>
      </w:r>
      <w:r w:rsidR="007B75BC" w:rsidRPr="00004D8A">
        <w:rPr>
          <w:rFonts w:eastAsiaTheme="minorEastAsia"/>
          <w:kern w:val="24"/>
        </w:rPr>
        <w:t>1.5 million</w:t>
      </w:r>
      <w:r w:rsidR="00714C2E" w:rsidRPr="00004D8A">
        <w:rPr>
          <w:rFonts w:eastAsiaTheme="minorEastAsia"/>
          <w:kern w:val="24"/>
        </w:rPr>
        <w:t xml:space="preserve"> </w:t>
      </w:r>
      <w:r w:rsidR="00AC490D" w:rsidRPr="00004D8A">
        <w:rPr>
          <w:rFonts w:eastAsiaTheme="minorEastAsia"/>
          <w:kern w:val="24"/>
        </w:rPr>
        <w:t>population with</w:t>
      </w:r>
      <w:r w:rsidR="007B75BC" w:rsidRPr="00004D8A">
        <w:rPr>
          <w:rFonts w:eastAsiaTheme="minorEastAsia"/>
          <w:kern w:val="24"/>
        </w:rPr>
        <w:t xml:space="preserve"> BMI </w:t>
      </w:r>
      <w:r w:rsidR="00714C2E" w:rsidRPr="00004D8A">
        <w:rPr>
          <w:rFonts w:eastAsiaTheme="minorEastAsia"/>
          <w:kern w:val="24"/>
        </w:rPr>
        <w:t xml:space="preserve">≥40 </w:t>
      </w:r>
      <w:r w:rsidR="00D0362E" w:rsidRPr="00004D8A">
        <w:rPr>
          <w:rFonts w:eastAsiaTheme="minorEastAsia"/>
          <w:kern w:val="24"/>
        </w:rPr>
        <w:t>is £721 per person (add 31% to this if they achieved a full life expectancy o</w:t>
      </w:r>
      <w:r w:rsidR="00B75821" w:rsidRPr="00004D8A">
        <w:rPr>
          <w:rFonts w:eastAsiaTheme="minorEastAsia"/>
          <w:kern w:val="24"/>
        </w:rPr>
        <w:t>f someone with BMI &lt; 25 kg/m</w:t>
      </w:r>
      <w:r w:rsidR="00B75821" w:rsidRPr="00004D8A">
        <w:rPr>
          <w:rFonts w:eastAsiaTheme="minorEastAsia"/>
          <w:kern w:val="24"/>
          <w:vertAlign w:val="superscript"/>
        </w:rPr>
        <w:t>2</w:t>
      </w:r>
      <w:r w:rsidR="00B75821" w:rsidRPr="00004D8A">
        <w:rPr>
          <w:rFonts w:eastAsiaTheme="minorEastAsia"/>
          <w:kern w:val="24"/>
        </w:rPr>
        <w:t xml:space="preserve">); for the </w:t>
      </w:r>
      <w:r w:rsidR="007B75BC" w:rsidRPr="00004D8A">
        <w:rPr>
          <w:rFonts w:eastAsiaTheme="minorEastAsia"/>
          <w:kern w:val="24"/>
        </w:rPr>
        <w:t xml:space="preserve">11.2 </w:t>
      </w:r>
      <w:r w:rsidR="00AC490D" w:rsidRPr="00004D8A">
        <w:rPr>
          <w:rFonts w:eastAsiaTheme="minorEastAsia"/>
          <w:kern w:val="24"/>
        </w:rPr>
        <w:t>m</w:t>
      </w:r>
      <w:r w:rsidR="007B75BC" w:rsidRPr="00004D8A">
        <w:rPr>
          <w:rFonts w:eastAsiaTheme="minorEastAsia"/>
          <w:kern w:val="24"/>
        </w:rPr>
        <w:t xml:space="preserve">illion </w:t>
      </w:r>
      <w:r w:rsidR="00B75821" w:rsidRPr="00004D8A">
        <w:rPr>
          <w:rFonts w:eastAsiaTheme="minorEastAsia"/>
          <w:kern w:val="24"/>
        </w:rPr>
        <w:t xml:space="preserve">people with </w:t>
      </w:r>
      <w:r w:rsidR="007B75BC" w:rsidRPr="00004D8A">
        <w:rPr>
          <w:rFonts w:eastAsiaTheme="minorEastAsia"/>
          <w:kern w:val="24"/>
        </w:rPr>
        <w:t xml:space="preserve">BMI 30-39.9 </w:t>
      </w:r>
      <w:r w:rsidR="00B75821" w:rsidRPr="00004D8A">
        <w:rPr>
          <w:rFonts w:eastAsiaTheme="minorEastAsia"/>
          <w:kern w:val="24"/>
        </w:rPr>
        <w:t>is</w:t>
      </w:r>
      <w:r w:rsidR="007F2CEC" w:rsidRPr="00004D8A">
        <w:rPr>
          <w:rFonts w:eastAsiaTheme="minorEastAsia"/>
          <w:kern w:val="24"/>
        </w:rPr>
        <w:t xml:space="preserve"> </w:t>
      </w:r>
      <w:r w:rsidR="007B75BC" w:rsidRPr="00004D8A">
        <w:rPr>
          <w:rFonts w:eastAsiaTheme="minorEastAsia"/>
          <w:kern w:val="24"/>
        </w:rPr>
        <w:t>£379</w:t>
      </w:r>
      <w:r w:rsidR="00714C2E" w:rsidRPr="00004D8A">
        <w:rPr>
          <w:rFonts w:eastAsiaTheme="minorEastAsia"/>
          <w:kern w:val="24"/>
        </w:rPr>
        <w:t>/person</w:t>
      </w:r>
      <w:r w:rsidR="007B75BC" w:rsidRPr="00004D8A">
        <w:rPr>
          <w:rFonts w:eastAsiaTheme="minorEastAsia"/>
          <w:kern w:val="24"/>
        </w:rPr>
        <w:t xml:space="preserve"> </w:t>
      </w:r>
      <w:r w:rsidR="007F2CEC" w:rsidRPr="00004D8A">
        <w:rPr>
          <w:rFonts w:eastAsiaTheme="minorEastAsia"/>
          <w:kern w:val="24"/>
        </w:rPr>
        <w:t xml:space="preserve">(add </w:t>
      </w:r>
      <w:r w:rsidR="007B75BC" w:rsidRPr="00004D8A">
        <w:rPr>
          <w:rFonts w:eastAsiaTheme="minorEastAsia"/>
          <w:kern w:val="24"/>
        </w:rPr>
        <w:t>17%</w:t>
      </w:r>
      <w:r w:rsidR="007F2CEC" w:rsidRPr="00004D8A">
        <w:rPr>
          <w:rFonts w:eastAsiaTheme="minorEastAsia"/>
          <w:kern w:val="24"/>
        </w:rPr>
        <w:t xml:space="preserve"> to this if they achieved a full life expectancy of someone with BMI &lt; 25 kg/m</w:t>
      </w:r>
      <w:r w:rsidR="007F2CEC" w:rsidRPr="00004D8A">
        <w:rPr>
          <w:rFonts w:eastAsiaTheme="minorEastAsia"/>
          <w:kern w:val="24"/>
          <w:vertAlign w:val="superscript"/>
        </w:rPr>
        <w:t>2</w:t>
      </w:r>
      <w:r w:rsidR="007B75BC" w:rsidRPr="00004D8A">
        <w:rPr>
          <w:rFonts w:eastAsiaTheme="minorEastAsia"/>
          <w:kern w:val="24"/>
        </w:rPr>
        <w:t>)</w:t>
      </w:r>
      <w:r w:rsidR="00714C2E" w:rsidRPr="00004D8A">
        <w:rPr>
          <w:rFonts w:eastAsiaTheme="minorEastAsia"/>
          <w:kern w:val="24"/>
        </w:rPr>
        <w:t xml:space="preserve"> and </w:t>
      </w:r>
      <w:r w:rsidR="007F2CEC" w:rsidRPr="00004D8A">
        <w:rPr>
          <w:rFonts w:eastAsiaTheme="minorEastAsia"/>
          <w:kern w:val="24"/>
        </w:rPr>
        <w:t xml:space="preserve">for the </w:t>
      </w:r>
      <w:r w:rsidR="007B75BC" w:rsidRPr="00004D8A">
        <w:rPr>
          <w:rFonts w:eastAsiaTheme="minorEastAsia"/>
          <w:kern w:val="24"/>
        </w:rPr>
        <w:t xml:space="preserve">16.6 million </w:t>
      </w:r>
      <w:r w:rsidR="004F57AD" w:rsidRPr="00004D8A">
        <w:rPr>
          <w:rFonts w:eastAsiaTheme="minorEastAsia"/>
          <w:kern w:val="24"/>
        </w:rPr>
        <w:t xml:space="preserve">people with </w:t>
      </w:r>
      <w:r w:rsidR="007B75BC" w:rsidRPr="00004D8A">
        <w:rPr>
          <w:rFonts w:eastAsiaTheme="minorEastAsia"/>
          <w:kern w:val="24"/>
        </w:rPr>
        <w:t xml:space="preserve">BMI 25-29.9 </w:t>
      </w:r>
      <w:r w:rsidR="007F2CEC" w:rsidRPr="00004D8A">
        <w:rPr>
          <w:rFonts w:eastAsiaTheme="minorEastAsia"/>
          <w:kern w:val="24"/>
        </w:rPr>
        <w:t xml:space="preserve">the </w:t>
      </w:r>
      <w:r w:rsidR="00145E3D" w:rsidRPr="00004D8A">
        <w:rPr>
          <w:rFonts w:eastAsiaTheme="minorEastAsia"/>
          <w:kern w:val="24"/>
        </w:rPr>
        <w:t xml:space="preserve">cost is </w:t>
      </w:r>
      <w:r w:rsidR="007B75BC" w:rsidRPr="00004D8A">
        <w:rPr>
          <w:rFonts w:eastAsiaTheme="minorEastAsia"/>
          <w:kern w:val="24"/>
        </w:rPr>
        <w:t>£63</w:t>
      </w:r>
      <w:r w:rsidR="00714C2E" w:rsidRPr="00004D8A">
        <w:rPr>
          <w:rFonts w:eastAsiaTheme="minorEastAsia"/>
          <w:kern w:val="24"/>
        </w:rPr>
        <w:t xml:space="preserve">/person </w:t>
      </w:r>
      <w:r w:rsidR="00145E3D" w:rsidRPr="00004D8A">
        <w:rPr>
          <w:rFonts w:eastAsiaTheme="minorEastAsia"/>
          <w:kern w:val="24"/>
        </w:rPr>
        <w:t>(add 3% to this if they achieved a full life expectancy of someone with BMI &lt; 25 kg/m</w:t>
      </w:r>
      <w:r w:rsidR="00145E3D" w:rsidRPr="00004D8A">
        <w:rPr>
          <w:rFonts w:eastAsiaTheme="minorEastAsia"/>
          <w:kern w:val="24"/>
          <w:vertAlign w:val="superscript"/>
        </w:rPr>
        <w:t>2</w:t>
      </w:r>
      <w:r w:rsidR="007B75BC" w:rsidRPr="00004D8A">
        <w:rPr>
          <w:rFonts w:eastAsiaTheme="minorEastAsia"/>
          <w:kern w:val="24"/>
        </w:rPr>
        <w:t>)</w:t>
      </w:r>
      <w:r w:rsidR="00714C2E" w:rsidRPr="00004D8A">
        <w:rPr>
          <w:rFonts w:eastAsiaTheme="minorEastAsia"/>
          <w:kern w:val="24"/>
        </w:rPr>
        <w:t xml:space="preserve">. </w:t>
      </w:r>
    </w:p>
    <w:p w14:paraId="67715C4D" w14:textId="11ECC57A" w:rsidR="00AC5838" w:rsidRPr="000D2F96" w:rsidRDefault="00145E3D" w:rsidP="00BE2155">
      <w:pPr>
        <w:rPr>
          <w:rFonts w:eastAsiaTheme="minorEastAsia"/>
          <w:kern w:val="24"/>
        </w:rPr>
      </w:pPr>
      <w:bookmarkStart w:id="13" w:name="_Hlk148284789"/>
      <w:r w:rsidRPr="00004D8A">
        <w:rPr>
          <w:rFonts w:eastAsiaTheme="minorEastAsia"/>
          <w:kern w:val="24"/>
        </w:rPr>
        <w:t>Thus, f</w:t>
      </w:r>
      <w:r w:rsidR="007B75BC" w:rsidRPr="00004D8A">
        <w:rPr>
          <w:rFonts w:eastAsiaTheme="minorEastAsia"/>
          <w:kern w:val="24"/>
        </w:rPr>
        <w:t>or weight reduction</w:t>
      </w:r>
      <w:r w:rsidRPr="00004D8A">
        <w:rPr>
          <w:rFonts w:eastAsiaTheme="minorEastAsia"/>
          <w:kern w:val="24"/>
        </w:rPr>
        <w:t>,</w:t>
      </w:r>
      <w:r w:rsidR="007B75BC" w:rsidRPr="00004D8A">
        <w:rPr>
          <w:rFonts w:eastAsiaTheme="minorEastAsia"/>
          <w:kern w:val="24"/>
        </w:rPr>
        <w:t xml:space="preserve"> the annual HCRU</w:t>
      </w:r>
      <w:r w:rsidR="00714C2E" w:rsidRPr="00004D8A">
        <w:rPr>
          <w:rFonts w:eastAsiaTheme="minorEastAsia"/>
          <w:kern w:val="24"/>
        </w:rPr>
        <w:t xml:space="preserve"> </w:t>
      </w:r>
      <w:r w:rsidR="00844E91" w:rsidRPr="00004D8A">
        <w:rPr>
          <w:rFonts w:eastAsiaTheme="minorEastAsia"/>
          <w:kern w:val="24"/>
        </w:rPr>
        <w:t xml:space="preserve">decrease </w:t>
      </w:r>
      <w:r w:rsidR="00714C2E" w:rsidRPr="00004D8A">
        <w:rPr>
          <w:rFonts w:eastAsiaTheme="minorEastAsia"/>
          <w:kern w:val="24"/>
        </w:rPr>
        <w:t>i</w:t>
      </w:r>
      <w:r w:rsidR="00A67E53" w:rsidRPr="00004D8A">
        <w:rPr>
          <w:rFonts w:eastAsiaTheme="minorEastAsia"/>
          <w:kern w:val="24"/>
        </w:rPr>
        <w:t>n</w:t>
      </w:r>
      <w:r w:rsidR="00844E91" w:rsidRPr="00004D8A">
        <w:rPr>
          <w:rFonts w:eastAsiaTheme="minorEastAsia"/>
          <w:kern w:val="24"/>
        </w:rPr>
        <w:t xml:space="preserve"> going from</w:t>
      </w:r>
      <w:r w:rsidR="00714C2E" w:rsidRPr="00004D8A">
        <w:rPr>
          <w:rFonts w:eastAsiaTheme="minorEastAsia"/>
          <w:kern w:val="24"/>
        </w:rPr>
        <w:t xml:space="preserve"> </w:t>
      </w:r>
      <w:r w:rsidR="007B75BC" w:rsidRPr="00004D8A">
        <w:rPr>
          <w:rFonts w:eastAsiaTheme="minorEastAsia"/>
          <w:kern w:val="24"/>
        </w:rPr>
        <w:t xml:space="preserve">BMI </w:t>
      </w:r>
      <w:r w:rsidR="000D7BB1" w:rsidRPr="00004D8A">
        <w:rPr>
          <w:rFonts w:eastAsiaTheme="minorEastAsia"/>
          <w:kern w:val="24"/>
        </w:rPr>
        <w:t xml:space="preserve">≥ </w:t>
      </w:r>
      <w:r w:rsidR="007B75BC" w:rsidRPr="00004D8A">
        <w:rPr>
          <w:rFonts w:eastAsiaTheme="minorEastAsia"/>
          <w:kern w:val="24"/>
        </w:rPr>
        <w:t xml:space="preserve">40 </w:t>
      </w:r>
      <w:r w:rsidR="00A67E53" w:rsidRPr="00004D8A">
        <w:rPr>
          <w:rFonts w:eastAsiaTheme="minorEastAsia"/>
          <w:kern w:val="24"/>
        </w:rPr>
        <w:t>kg/m</w:t>
      </w:r>
      <w:r w:rsidR="00A67E53" w:rsidRPr="00004D8A">
        <w:rPr>
          <w:rFonts w:eastAsiaTheme="minorEastAsia"/>
          <w:kern w:val="24"/>
          <w:vertAlign w:val="superscript"/>
        </w:rPr>
        <w:t>2</w:t>
      </w:r>
      <w:r w:rsidR="007B75BC" w:rsidRPr="00004D8A">
        <w:rPr>
          <w:rFonts w:eastAsiaTheme="minorEastAsia"/>
          <w:kern w:val="24"/>
        </w:rPr>
        <w:t xml:space="preserve"> </w:t>
      </w:r>
      <w:r w:rsidR="00844E91" w:rsidRPr="00004D8A">
        <w:rPr>
          <w:rFonts w:eastAsiaTheme="minorEastAsia"/>
          <w:kern w:val="24"/>
        </w:rPr>
        <w:t>to</w:t>
      </w:r>
      <w:r w:rsidR="007B75BC" w:rsidRPr="00004D8A">
        <w:rPr>
          <w:rFonts w:eastAsiaTheme="minorEastAsia"/>
          <w:kern w:val="24"/>
        </w:rPr>
        <w:t xml:space="preserve"> BMI 30-39.9 </w:t>
      </w:r>
      <w:r w:rsidR="00A67E53" w:rsidRPr="00004D8A">
        <w:rPr>
          <w:rFonts w:eastAsiaTheme="minorEastAsia"/>
          <w:kern w:val="24"/>
        </w:rPr>
        <w:t>kg/m</w:t>
      </w:r>
      <w:r w:rsidR="00A67E53" w:rsidRPr="00004D8A">
        <w:rPr>
          <w:rFonts w:eastAsiaTheme="minorEastAsia"/>
          <w:kern w:val="24"/>
          <w:vertAlign w:val="superscript"/>
        </w:rPr>
        <w:t>2</w:t>
      </w:r>
      <w:r w:rsidR="00A67E53" w:rsidRPr="00004D8A">
        <w:rPr>
          <w:rFonts w:eastAsiaTheme="minorEastAsia"/>
          <w:kern w:val="24"/>
        </w:rPr>
        <w:t xml:space="preserve"> </w:t>
      </w:r>
      <w:r w:rsidR="00844E91" w:rsidRPr="00004D8A">
        <w:rPr>
          <w:rFonts w:eastAsiaTheme="minorEastAsia"/>
          <w:kern w:val="24"/>
        </w:rPr>
        <w:t>is</w:t>
      </w:r>
      <w:r w:rsidR="007B75BC" w:rsidRPr="00004D8A">
        <w:rPr>
          <w:rFonts w:eastAsiaTheme="minorEastAsia"/>
          <w:kern w:val="24"/>
        </w:rPr>
        <w:t xml:space="preserve"> £342</w:t>
      </w:r>
      <w:r w:rsidR="007A51F5" w:rsidRPr="00004D8A">
        <w:rPr>
          <w:rFonts w:eastAsiaTheme="minorEastAsia"/>
          <w:kern w:val="24"/>
        </w:rPr>
        <w:t xml:space="preserve"> per </w:t>
      </w:r>
      <w:r w:rsidR="00714C2E" w:rsidRPr="00004D8A">
        <w:rPr>
          <w:rFonts w:eastAsiaTheme="minorEastAsia"/>
          <w:kern w:val="24"/>
        </w:rPr>
        <w:t>person</w:t>
      </w:r>
      <w:r w:rsidR="00714C2E" w:rsidRPr="00004D8A">
        <w:t xml:space="preserve"> and </w:t>
      </w:r>
      <w:r w:rsidR="00ED32CE" w:rsidRPr="00004D8A">
        <w:t>going from</w:t>
      </w:r>
      <w:r w:rsidR="00714C2E" w:rsidRPr="00004D8A">
        <w:t xml:space="preserve"> </w:t>
      </w:r>
      <w:r w:rsidR="007B75BC" w:rsidRPr="000D2F96">
        <w:rPr>
          <w:rFonts w:eastAsiaTheme="minorEastAsia"/>
          <w:kern w:val="24"/>
        </w:rPr>
        <w:t>BMI</w:t>
      </w:r>
      <w:r w:rsidR="00A67E53" w:rsidRPr="000D2F96">
        <w:rPr>
          <w:rFonts w:eastAsiaTheme="minorEastAsia"/>
          <w:kern w:val="24"/>
        </w:rPr>
        <w:t xml:space="preserve"> </w:t>
      </w:r>
      <w:r w:rsidR="007B75BC" w:rsidRPr="000D2F96">
        <w:rPr>
          <w:rFonts w:eastAsiaTheme="minorEastAsia"/>
          <w:kern w:val="24"/>
        </w:rPr>
        <w:t xml:space="preserve">30-39.9 </w:t>
      </w:r>
      <w:r w:rsidR="000D7BB1" w:rsidRPr="000D2F96">
        <w:rPr>
          <w:rFonts w:eastAsiaTheme="minorEastAsia"/>
          <w:kern w:val="24"/>
        </w:rPr>
        <w:t>kg/m</w:t>
      </w:r>
      <w:r w:rsidR="000D7BB1" w:rsidRPr="000D2F96">
        <w:rPr>
          <w:rFonts w:eastAsiaTheme="minorEastAsia"/>
          <w:kern w:val="24"/>
          <w:vertAlign w:val="superscript"/>
        </w:rPr>
        <w:t>2</w:t>
      </w:r>
      <w:r w:rsidR="006840D9" w:rsidRPr="000D2F96">
        <w:rPr>
          <w:rFonts w:eastAsiaTheme="minorEastAsia"/>
          <w:kern w:val="24"/>
        </w:rPr>
        <w:t xml:space="preserve"> to</w:t>
      </w:r>
      <w:r w:rsidR="00BF1693" w:rsidRPr="000D2F96">
        <w:rPr>
          <w:rFonts w:eastAsiaTheme="minorEastAsia"/>
          <w:kern w:val="24"/>
        </w:rPr>
        <w:t xml:space="preserve"> BMI</w:t>
      </w:r>
      <w:r w:rsidR="007B75BC" w:rsidRPr="000D2F96">
        <w:rPr>
          <w:rFonts w:eastAsiaTheme="minorEastAsia"/>
          <w:kern w:val="24"/>
        </w:rPr>
        <w:t xml:space="preserve"> 25-29.9</w:t>
      </w:r>
      <w:r w:rsidR="00ED32CE" w:rsidRPr="000D2F96">
        <w:rPr>
          <w:rFonts w:eastAsiaTheme="minorEastAsia"/>
          <w:kern w:val="24"/>
        </w:rPr>
        <w:t xml:space="preserve"> kg/m</w:t>
      </w:r>
      <w:r w:rsidR="00ED32CE" w:rsidRPr="000D2F96">
        <w:rPr>
          <w:rFonts w:eastAsiaTheme="minorEastAsia"/>
          <w:kern w:val="24"/>
          <w:vertAlign w:val="superscript"/>
        </w:rPr>
        <w:t>2</w:t>
      </w:r>
      <w:r w:rsidR="00DC0CA1" w:rsidRPr="000D2F96">
        <w:rPr>
          <w:rFonts w:eastAsiaTheme="minorEastAsia"/>
          <w:kern w:val="24"/>
        </w:rPr>
        <w:t xml:space="preserve"> </w:t>
      </w:r>
      <w:r w:rsidR="006840D9" w:rsidRPr="000D2F96">
        <w:rPr>
          <w:rFonts w:eastAsiaTheme="minorEastAsia"/>
          <w:kern w:val="24"/>
        </w:rPr>
        <w:t xml:space="preserve">the </w:t>
      </w:r>
      <w:r w:rsidR="00ED32CE" w:rsidRPr="000D2F96">
        <w:rPr>
          <w:rFonts w:eastAsiaTheme="minorEastAsia"/>
          <w:kern w:val="24"/>
        </w:rPr>
        <w:t>reduction</w:t>
      </w:r>
      <w:r w:rsidR="006840D9" w:rsidRPr="000D2F96">
        <w:rPr>
          <w:rFonts w:eastAsiaTheme="minorEastAsia"/>
          <w:kern w:val="24"/>
        </w:rPr>
        <w:t xml:space="preserve"> is</w:t>
      </w:r>
      <w:r w:rsidR="007B75BC" w:rsidRPr="000D2F96">
        <w:rPr>
          <w:rFonts w:eastAsiaTheme="minorEastAsia"/>
          <w:kern w:val="24"/>
        </w:rPr>
        <w:t xml:space="preserve"> £3</w:t>
      </w:r>
      <w:r w:rsidR="00C83E2E" w:rsidRPr="000D2F96">
        <w:rPr>
          <w:rFonts w:eastAsiaTheme="minorEastAsia"/>
          <w:kern w:val="24"/>
        </w:rPr>
        <w:t>16</w:t>
      </w:r>
      <w:r w:rsidR="007A51F5" w:rsidRPr="000D2F96">
        <w:rPr>
          <w:rFonts w:eastAsiaTheme="minorEastAsia"/>
          <w:kern w:val="24"/>
        </w:rPr>
        <w:t xml:space="preserve"> per </w:t>
      </w:r>
      <w:r w:rsidR="00714C2E" w:rsidRPr="000D2F96">
        <w:rPr>
          <w:rFonts w:eastAsiaTheme="minorEastAsia"/>
          <w:kern w:val="24"/>
        </w:rPr>
        <w:t>person.</w:t>
      </w:r>
      <w:bookmarkEnd w:id="13"/>
    </w:p>
    <w:p w14:paraId="791BB71E" w14:textId="63892CBE" w:rsidR="00714C2E" w:rsidRPr="00004D8A" w:rsidRDefault="00566325" w:rsidP="00A20B2E">
      <w:pPr>
        <w:pStyle w:val="Heading2"/>
        <w:rPr>
          <w:color w:val="auto"/>
        </w:rPr>
      </w:pPr>
      <w:r w:rsidRPr="00004D8A">
        <w:rPr>
          <w:color w:val="auto"/>
        </w:rPr>
        <w:t xml:space="preserve">Lifetime </w:t>
      </w:r>
      <w:r w:rsidR="00A85C99" w:rsidRPr="00004D8A">
        <w:rPr>
          <w:color w:val="auto"/>
        </w:rPr>
        <w:t xml:space="preserve">health resource utilization cost </w:t>
      </w:r>
    </w:p>
    <w:p w14:paraId="63F80B5B" w14:textId="2359C647" w:rsidR="00F950A2" w:rsidRPr="00004D8A" w:rsidRDefault="00714C2E" w:rsidP="00714C2E">
      <w:pPr>
        <w:spacing w:after="0"/>
        <w:jc w:val="both"/>
        <w:rPr>
          <w:rFonts w:eastAsiaTheme="minorEastAsia"/>
          <w:kern w:val="24"/>
          <w:lang w:eastAsia="en-GB"/>
          <w14:ligatures w14:val="none"/>
        </w:rPr>
      </w:pPr>
      <w:r w:rsidRPr="00004D8A">
        <w:rPr>
          <w:rFonts w:eastAsiaTheme="minorEastAsia"/>
          <w:kern w:val="24"/>
          <w:lang w:eastAsia="en-GB"/>
          <w14:ligatures w14:val="none"/>
        </w:rPr>
        <w:t xml:space="preserve">Calculated using current life expectancies at current age and current HCRUs, the </w:t>
      </w:r>
      <w:r w:rsidR="000E0AA5" w:rsidRPr="00004D8A">
        <w:rPr>
          <w:rFonts w:eastAsiaTheme="minorEastAsia"/>
          <w:kern w:val="24"/>
          <w:lang w:eastAsia="en-GB"/>
          <w14:ligatures w14:val="none"/>
        </w:rPr>
        <w:t>t</w:t>
      </w:r>
      <w:r w:rsidR="00E96EE5" w:rsidRPr="00004D8A">
        <w:rPr>
          <w:rFonts w:eastAsiaTheme="minorEastAsia"/>
          <w:kern w:val="24"/>
          <w:lang w:eastAsia="en-GB"/>
          <w14:ligatures w14:val="none"/>
        </w:rPr>
        <w:t xml:space="preserve">otal </w:t>
      </w:r>
      <w:r w:rsidR="00D933EC" w:rsidRPr="00004D8A">
        <w:rPr>
          <w:rFonts w:eastAsiaTheme="minorEastAsia"/>
          <w:kern w:val="24"/>
          <w:lang w:eastAsia="en-GB"/>
          <w14:ligatures w14:val="none"/>
        </w:rPr>
        <w:t xml:space="preserve">lifetime </w:t>
      </w:r>
      <w:r w:rsidR="00E96EE5" w:rsidRPr="00004D8A">
        <w:rPr>
          <w:rFonts w:eastAsiaTheme="minorEastAsia"/>
          <w:kern w:val="24"/>
          <w:lang w:eastAsia="en-GB"/>
          <w14:ligatures w14:val="none"/>
        </w:rPr>
        <w:t>HCRU</w:t>
      </w:r>
      <w:r w:rsidR="000E0AA5" w:rsidRPr="00004D8A">
        <w:rPr>
          <w:rFonts w:eastAsiaTheme="minorEastAsia"/>
          <w:kern w:val="24"/>
          <w:lang w:eastAsia="en-GB"/>
          <w14:ligatures w14:val="none"/>
        </w:rPr>
        <w:t xml:space="preserve"> </w:t>
      </w:r>
      <w:r w:rsidR="00BD201D" w:rsidRPr="00004D8A">
        <w:rPr>
          <w:rFonts w:eastAsiaTheme="minorEastAsia"/>
          <w:kern w:val="24"/>
          <w:lang w:eastAsia="en-GB"/>
          <w14:ligatures w14:val="none"/>
        </w:rPr>
        <w:t xml:space="preserve">for </w:t>
      </w:r>
      <w:r w:rsidR="000664C0" w:rsidRPr="00004D8A">
        <w:rPr>
          <w:rFonts w:eastAsiaTheme="minorEastAsia"/>
          <w:kern w:val="24"/>
          <w:lang w:eastAsia="en-GB"/>
          <w14:ligatures w14:val="none"/>
        </w:rPr>
        <w:t xml:space="preserve">the current set of </w:t>
      </w:r>
      <w:r w:rsidR="00E96EE5" w:rsidRPr="00004D8A">
        <w:rPr>
          <w:rFonts w:eastAsiaTheme="minorEastAsia"/>
          <w:kern w:val="24"/>
          <w:lang w:eastAsia="en-GB"/>
          <w14:ligatures w14:val="none"/>
        </w:rPr>
        <w:t>adults</w:t>
      </w:r>
      <w:r w:rsidR="001857AE" w:rsidRPr="00004D8A">
        <w:rPr>
          <w:rFonts w:eastAsiaTheme="minorEastAsia"/>
          <w:kern w:val="24"/>
          <w:lang w:eastAsia="en-GB"/>
          <w14:ligatures w14:val="none"/>
        </w:rPr>
        <w:t xml:space="preserve"> (supplementary figure)</w:t>
      </w:r>
      <w:r w:rsidR="00E96EE5" w:rsidRPr="00004D8A">
        <w:rPr>
          <w:rFonts w:eastAsiaTheme="minorEastAsia"/>
          <w:kern w:val="24"/>
          <w:lang w:eastAsia="en-GB"/>
          <w14:ligatures w14:val="none"/>
        </w:rPr>
        <w:t xml:space="preserve"> </w:t>
      </w:r>
      <w:r w:rsidR="000E0AA5" w:rsidRPr="00004D8A">
        <w:rPr>
          <w:rFonts w:eastAsiaTheme="minorEastAsia"/>
          <w:kern w:val="24"/>
          <w:lang w:eastAsia="en-GB"/>
          <w14:ligatures w14:val="none"/>
        </w:rPr>
        <w:t>is</w:t>
      </w:r>
      <w:r w:rsidR="00E96EE5" w:rsidRPr="00004D8A">
        <w:rPr>
          <w:rFonts w:eastAsiaTheme="minorEastAsia"/>
          <w:kern w:val="24"/>
          <w:lang w:eastAsia="en-GB"/>
          <w14:ligatures w14:val="none"/>
        </w:rPr>
        <w:t xml:space="preserve"> £4,357 billion</w:t>
      </w:r>
      <w:r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lastRenderedPageBreak/>
        <w:t>(£95</w:t>
      </w:r>
      <w:r w:rsidR="0009052C" w:rsidRPr="00004D8A">
        <w:rPr>
          <w:rFonts w:eastAsiaTheme="minorEastAsia"/>
          <w:kern w:val="24"/>
          <w:lang w:eastAsia="en-GB"/>
          <w14:ligatures w14:val="none"/>
        </w:rPr>
        <w:t>,831</w:t>
      </w:r>
      <w:r w:rsidR="00E96EE5" w:rsidRPr="00004D8A">
        <w:rPr>
          <w:rFonts w:eastAsiaTheme="minorEastAsia"/>
          <w:kern w:val="24"/>
          <w:lang w:eastAsia="en-GB"/>
          <w14:ligatures w14:val="none"/>
        </w:rPr>
        <w:t>k</w:t>
      </w:r>
      <w:r w:rsidR="00C63607" w:rsidRPr="00004D8A">
        <w:rPr>
          <w:rFonts w:eastAsiaTheme="minorEastAsia"/>
          <w:kern w:val="24"/>
          <w:lang w:eastAsia="en-GB"/>
          <w14:ligatures w14:val="none"/>
        </w:rPr>
        <w:t xml:space="preserve"> per </w:t>
      </w:r>
      <w:r w:rsidRPr="00004D8A">
        <w:rPr>
          <w:rFonts w:eastAsiaTheme="minorEastAsia"/>
          <w:kern w:val="24"/>
          <w:lang w:eastAsia="en-GB"/>
          <w14:ligatures w14:val="none"/>
        </w:rPr>
        <w:t>person</w:t>
      </w:r>
      <w:r w:rsidR="00556314" w:rsidRPr="00004D8A">
        <w:rPr>
          <w:rFonts w:eastAsiaTheme="minorEastAsia"/>
          <w:kern w:val="24"/>
          <w:lang w:eastAsia="en-GB"/>
          <w14:ligatures w14:val="none"/>
        </w:rPr>
        <w:t>;</w:t>
      </w:r>
      <w:r w:rsidR="00EB305C" w:rsidRPr="00004D8A">
        <w:rPr>
          <w:rFonts w:eastAsiaTheme="minorEastAsia"/>
          <w:kern w:val="24"/>
          <w:lang w:eastAsia="en-GB"/>
          <w14:ligatures w14:val="none"/>
        </w:rPr>
        <w:t xml:space="preserve"> </w:t>
      </w:r>
      <w:r w:rsidR="004D758F" w:rsidRPr="00004D8A">
        <w:rPr>
          <w:rFonts w:eastAsiaTheme="minorEastAsia"/>
          <w:kern w:val="24"/>
          <w:lang w:eastAsia="en-GB"/>
          <w14:ligatures w14:val="none"/>
        </w:rPr>
        <w:t>Supplementary Table</w:t>
      </w:r>
      <w:r w:rsidR="00EB305C" w:rsidRPr="00004D8A">
        <w:rPr>
          <w:rFonts w:eastAsiaTheme="minorEastAsia"/>
          <w:kern w:val="24"/>
          <w:lang w:eastAsia="en-GB"/>
          <w14:ligatures w14:val="none"/>
        </w:rPr>
        <w:t>)</w:t>
      </w:r>
      <w:r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t xml:space="preserve">If </w:t>
      </w:r>
      <w:r w:rsidR="000664C0" w:rsidRPr="00004D8A">
        <w:rPr>
          <w:rFonts w:eastAsiaTheme="minorEastAsia"/>
          <w:kern w:val="24"/>
          <w:lang w:eastAsia="en-GB"/>
          <w14:ligatures w14:val="none"/>
        </w:rPr>
        <w:t xml:space="preserve">all adults </w:t>
      </w:r>
      <w:r w:rsidR="00433F97" w:rsidRPr="00004D8A">
        <w:rPr>
          <w:rFonts w:eastAsiaTheme="minorEastAsia"/>
          <w:kern w:val="24"/>
          <w:lang w:eastAsia="en-GB"/>
          <w14:ligatures w14:val="none"/>
        </w:rPr>
        <w:t xml:space="preserve">had </w:t>
      </w:r>
      <w:r w:rsidR="00E96EE5" w:rsidRPr="00004D8A">
        <w:rPr>
          <w:rFonts w:eastAsiaTheme="minorEastAsia"/>
          <w:kern w:val="24"/>
          <w:lang w:eastAsia="en-GB"/>
          <w14:ligatures w14:val="none"/>
        </w:rPr>
        <w:t>BMI</w:t>
      </w:r>
      <w:r w:rsidR="00556314"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t>&lt;25</w:t>
      </w:r>
      <w:r w:rsidR="00556314" w:rsidRPr="00004D8A">
        <w:rPr>
          <w:rFonts w:eastAsiaTheme="minorEastAsia"/>
          <w:kern w:val="24"/>
          <w:lang w:eastAsia="en-GB"/>
          <w14:ligatures w14:val="none"/>
        </w:rPr>
        <w:t xml:space="preserve"> kg/m</w:t>
      </w:r>
      <w:r w:rsidR="00556314" w:rsidRPr="00004D8A">
        <w:rPr>
          <w:rFonts w:eastAsiaTheme="minorEastAsia"/>
          <w:kern w:val="24"/>
          <w:vertAlign w:val="superscript"/>
          <w:lang w:eastAsia="en-GB"/>
          <w14:ligatures w14:val="none"/>
        </w:rPr>
        <w:t>2</w:t>
      </w:r>
      <w:r w:rsidR="00556314" w:rsidRPr="00004D8A">
        <w:rPr>
          <w:rFonts w:eastAsiaTheme="minorEastAsia"/>
          <w:kern w:val="24"/>
          <w:lang w:eastAsia="en-GB"/>
          <w14:ligatures w14:val="none"/>
        </w:rPr>
        <w:t>,</w:t>
      </w:r>
      <w:r w:rsidR="00E96EE5" w:rsidRPr="00004D8A">
        <w:rPr>
          <w:rFonts w:eastAsiaTheme="minorEastAsia"/>
          <w:kern w:val="24"/>
          <w:lang w:eastAsia="en-GB"/>
          <w14:ligatures w14:val="none"/>
        </w:rPr>
        <w:t xml:space="preserve"> </w:t>
      </w:r>
      <w:r w:rsidR="00433F97" w:rsidRPr="00004D8A">
        <w:rPr>
          <w:rFonts w:eastAsiaTheme="minorEastAsia"/>
          <w:kern w:val="24"/>
          <w:lang w:eastAsia="en-GB"/>
          <w14:ligatures w14:val="none"/>
        </w:rPr>
        <w:t xml:space="preserve">then the </w:t>
      </w:r>
      <w:r w:rsidR="00556314" w:rsidRPr="00004D8A">
        <w:rPr>
          <w:rFonts w:eastAsiaTheme="minorEastAsia"/>
          <w:kern w:val="24"/>
          <w:lang w:eastAsia="en-GB"/>
          <w14:ligatures w14:val="none"/>
        </w:rPr>
        <w:t>t</w:t>
      </w:r>
      <w:r w:rsidR="00E96EE5" w:rsidRPr="00004D8A">
        <w:rPr>
          <w:rFonts w:eastAsiaTheme="minorEastAsia"/>
          <w:kern w:val="24"/>
          <w:lang w:eastAsia="en-GB"/>
          <w14:ligatures w14:val="none"/>
        </w:rPr>
        <w:t xml:space="preserve">otal </w:t>
      </w:r>
      <w:r w:rsidR="00D933EC" w:rsidRPr="00004D8A">
        <w:rPr>
          <w:rFonts w:eastAsiaTheme="minorEastAsia"/>
          <w:kern w:val="24"/>
          <w:lang w:eastAsia="en-GB"/>
          <w14:ligatures w14:val="none"/>
        </w:rPr>
        <w:t>lifetime</w:t>
      </w:r>
      <w:r w:rsidR="00556314" w:rsidRPr="00004D8A">
        <w:rPr>
          <w:rFonts w:eastAsiaTheme="minorEastAsia"/>
          <w:kern w:val="24"/>
          <w:lang w:eastAsia="en-GB"/>
          <w14:ligatures w14:val="none"/>
        </w:rPr>
        <w:t>-</w:t>
      </w:r>
      <w:r w:rsidR="00E96EE5" w:rsidRPr="00004D8A">
        <w:rPr>
          <w:rFonts w:eastAsiaTheme="minorEastAsia"/>
          <w:kern w:val="24"/>
          <w:lang w:eastAsia="en-GB"/>
          <w14:ligatures w14:val="none"/>
        </w:rPr>
        <w:t>HCRU</w:t>
      </w:r>
      <w:r w:rsidR="00556314" w:rsidRPr="00004D8A">
        <w:rPr>
          <w:rFonts w:eastAsiaTheme="minorEastAsia"/>
          <w:kern w:val="24"/>
          <w:lang w:eastAsia="en-GB"/>
          <w14:ligatures w14:val="none"/>
        </w:rPr>
        <w:t xml:space="preserve"> per </w:t>
      </w:r>
      <w:r w:rsidR="00E96EE5" w:rsidRPr="00004D8A">
        <w:rPr>
          <w:rFonts w:eastAsiaTheme="minorEastAsia"/>
          <w:kern w:val="24"/>
          <w:lang w:eastAsia="en-GB"/>
          <w14:ligatures w14:val="none"/>
        </w:rPr>
        <w:t xml:space="preserve">year </w:t>
      </w:r>
      <w:r w:rsidR="00433F97" w:rsidRPr="00004D8A">
        <w:rPr>
          <w:rFonts w:eastAsiaTheme="minorEastAsia"/>
          <w:kern w:val="24"/>
          <w:lang w:eastAsia="en-GB"/>
          <w14:ligatures w14:val="none"/>
        </w:rPr>
        <w:t xml:space="preserve">would be </w:t>
      </w:r>
      <w:r w:rsidR="00E96EE5" w:rsidRPr="00004D8A">
        <w:rPr>
          <w:rFonts w:eastAsiaTheme="minorEastAsia"/>
          <w:kern w:val="24"/>
          <w:lang w:eastAsia="en-GB"/>
          <w14:ligatures w14:val="none"/>
        </w:rPr>
        <w:t>£4,333 billion (£95</w:t>
      </w:r>
      <w:r w:rsidR="0009052C" w:rsidRPr="00004D8A">
        <w:rPr>
          <w:rFonts w:eastAsiaTheme="minorEastAsia"/>
          <w:kern w:val="24"/>
          <w:lang w:eastAsia="en-GB"/>
          <w14:ligatures w14:val="none"/>
        </w:rPr>
        <w:t>,307</w:t>
      </w:r>
      <w:r w:rsidR="00E96EE5" w:rsidRPr="00004D8A">
        <w:rPr>
          <w:rFonts w:eastAsiaTheme="minorEastAsia"/>
          <w:kern w:val="24"/>
          <w:lang w:eastAsia="en-GB"/>
          <w14:ligatures w14:val="none"/>
        </w:rPr>
        <w:t>k</w:t>
      </w:r>
      <w:r w:rsidR="00C63607" w:rsidRPr="00004D8A">
        <w:rPr>
          <w:rFonts w:eastAsiaTheme="minorEastAsia"/>
          <w:kern w:val="24"/>
          <w:lang w:eastAsia="en-GB"/>
          <w14:ligatures w14:val="none"/>
        </w:rPr>
        <w:t xml:space="preserve"> per </w:t>
      </w:r>
      <w:r w:rsidRPr="00004D8A">
        <w:rPr>
          <w:rFonts w:eastAsiaTheme="minorEastAsia"/>
          <w:kern w:val="24"/>
          <w:lang w:eastAsia="en-GB"/>
          <w14:ligatures w14:val="none"/>
        </w:rPr>
        <w:t>person</w:t>
      </w:r>
      <w:r w:rsidR="00E96EE5" w:rsidRPr="00004D8A">
        <w:rPr>
          <w:rFonts w:eastAsiaTheme="minorEastAsia"/>
          <w:kern w:val="24"/>
          <w:lang w:eastAsia="en-GB"/>
          <w14:ligatures w14:val="none"/>
        </w:rPr>
        <w:t>)</w:t>
      </w:r>
      <w:r w:rsidRPr="00004D8A">
        <w:rPr>
          <w:rFonts w:eastAsiaTheme="minorEastAsia"/>
          <w:kern w:val="24"/>
          <w:lang w:eastAsia="en-GB"/>
          <w14:ligatures w14:val="none"/>
        </w:rPr>
        <w:t xml:space="preserve">. The difference </w:t>
      </w:r>
      <w:r w:rsidR="0009052C" w:rsidRPr="00004D8A">
        <w:rPr>
          <w:rFonts w:eastAsiaTheme="minorEastAsia"/>
          <w:kern w:val="24"/>
          <w:lang w:eastAsia="en-GB"/>
          <w14:ligatures w14:val="none"/>
        </w:rPr>
        <w:t>of £524</w:t>
      </w:r>
      <w:r w:rsidR="00E04751" w:rsidRPr="00004D8A">
        <w:rPr>
          <w:rFonts w:eastAsiaTheme="minorEastAsia"/>
          <w:kern w:val="24"/>
          <w:lang w:eastAsia="en-GB"/>
          <w14:ligatures w14:val="none"/>
        </w:rPr>
        <w:t xml:space="preserve"> per person</w:t>
      </w:r>
      <w:r w:rsidR="0009052C" w:rsidRPr="00004D8A">
        <w:rPr>
          <w:rFonts w:eastAsiaTheme="minorEastAsia"/>
          <w:kern w:val="24"/>
          <w:lang w:eastAsia="en-GB"/>
          <w14:ligatures w14:val="none"/>
        </w:rPr>
        <w:t xml:space="preserve"> </w:t>
      </w:r>
      <w:r w:rsidR="00433F97" w:rsidRPr="00004D8A">
        <w:rPr>
          <w:rFonts w:eastAsiaTheme="minorEastAsia"/>
          <w:kern w:val="24"/>
          <w:lang w:eastAsia="en-GB"/>
          <w14:ligatures w14:val="none"/>
        </w:rPr>
        <w:t xml:space="preserve">contains both </w:t>
      </w:r>
      <w:r w:rsidR="00843913" w:rsidRPr="00004D8A">
        <w:rPr>
          <w:rFonts w:eastAsiaTheme="minorEastAsia"/>
          <w:kern w:val="24"/>
          <w:lang w:eastAsia="en-GB"/>
          <w14:ligatures w14:val="none"/>
        </w:rPr>
        <w:t xml:space="preserve">the </w:t>
      </w:r>
      <w:r w:rsidRPr="00004D8A">
        <w:rPr>
          <w:rFonts w:eastAsiaTheme="minorEastAsia"/>
          <w:kern w:val="24"/>
          <w:lang w:eastAsia="en-GB"/>
          <w14:ligatures w14:val="none"/>
        </w:rPr>
        <w:t>increase</w:t>
      </w:r>
      <w:r w:rsidR="0009052C" w:rsidRPr="00004D8A">
        <w:rPr>
          <w:rFonts w:eastAsiaTheme="minorEastAsia"/>
          <w:kern w:val="24"/>
          <w:lang w:eastAsia="en-GB"/>
          <w14:ligatures w14:val="none"/>
        </w:rPr>
        <w:t>s in</w:t>
      </w:r>
      <w:r w:rsidRPr="00004D8A">
        <w:rPr>
          <w:rFonts w:eastAsiaTheme="minorEastAsia"/>
          <w:kern w:val="24"/>
          <w:lang w:eastAsia="en-GB"/>
          <w14:ligatures w14:val="none"/>
        </w:rPr>
        <w:t xml:space="preserve"> HCRU</w:t>
      </w:r>
      <w:r w:rsidR="00843913" w:rsidRPr="00004D8A">
        <w:rPr>
          <w:rFonts w:eastAsiaTheme="minorEastAsia"/>
          <w:kern w:val="24"/>
          <w:lang w:eastAsia="en-GB"/>
          <w14:ligatures w14:val="none"/>
        </w:rPr>
        <w:t xml:space="preserve"> per </w:t>
      </w:r>
      <w:r w:rsidRPr="00004D8A">
        <w:rPr>
          <w:rFonts w:eastAsiaTheme="minorEastAsia"/>
          <w:kern w:val="24"/>
          <w:lang w:eastAsia="en-GB"/>
          <w14:ligatures w14:val="none"/>
        </w:rPr>
        <w:t xml:space="preserve">year </w:t>
      </w:r>
      <w:r w:rsidR="00433F97" w:rsidRPr="00004D8A">
        <w:rPr>
          <w:rFonts w:eastAsiaTheme="minorEastAsia"/>
          <w:kern w:val="24"/>
          <w:lang w:eastAsia="en-GB"/>
          <w14:ligatures w14:val="none"/>
        </w:rPr>
        <w:t xml:space="preserve">and </w:t>
      </w:r>
      <w:r w:rsidRPr="00004D8A">
        <w:rPr>
          <w:rFonts w:eastAsiaTheme="minorEastAsia"/>
          <w:kern w:val="24"/>
          <w:lang w:eastAsia="en-GB"/>
          <w14:ligatures w14:val="none"/>
        </w:rPr>
        <w:t xml:space="preserve">increased mortality and so </w:t>
      </w:r>
      <w:r w:rsidR="00811C8E" w:rsidRPr="00004D8A">
        <w:rPr>
          <w:rFonts w:eastAsiaTheme="minorEastAsia"/>
          <w:kern w:val="24"/>
          <w:lang w:eastAsia="en-GB"/>
          <w14:ligatures w14:val="none"/>
        </w:rPr>
        <w:t>redu</w:t>
      </w:r>
      <w:r w:rsidR="00753C52" w:rsidRPr="00004D8A">
        <w:rPr>
          <w:rFonts w:eastAsiaTheme="minorEastAsia"/>
          <w:kern w:val="24"/>
          <w:lang w:eastAsia="en-GB"/>
          <w14:ligatures w14:val="none"/>
        </w:rPr>
        <w:t>ced</w:t>
      </w:r>
      <w:r w:rsidR="00811C8E" w:rsidRPr="00004D8A">
        <w:rPr>
          <w:rFonts w:eastAsiaTheme="minorEastAsia"/>
          <w:kern w:val="24"/>
          <w:lang w:eastAsia="en-GB"/>
          <w14:ligatures w14:val="none"/>
        </w:rPr>
        <w:t xml:space="preserve"> future </w:t>
      </w:r>
      <w:r w:rsidR="0009052C" w:rsidRPr="00004D8A">
        <w:rPr>
          <w:rFonts w:eastAsiaTheme="minorEastAsia"/>
          <w:kern w:val="24"/>
          <w:lang w:eastAsia="en-GB"/>
          <w14:ligatures w14:val="none"/>
        </w:rPr>
        <w:t xml:space="preserve">expected </w:t>
      </w:r>
      <w:r w:rsidRPr="00004D8A">
        <w:rPr>
          <w:rFonts w:eastAsiaTheme="minorEastAsia"/>
          <w:kern w:val="24"/>
          <w:lang w:eastAsia="en-GB"/>
          <w14:ligatures w14:val="none"/>
        </w:rPr>
        <w:t xml:space="preserve">life </w:t>
      </w:r>
      <w:r w:rsidR="0009052C" w:rsidRPr="00004D8A">
        <w:rPr>
          <w:rFonts w:eastAsiaTheme="minorEastAsia"/>
          <w:kern w:val="24"/>
          <w:lang w:eastAsia="en-GB"/>
          <w14:ligatures w14:val="none"/>
        </w:rPr>
        <w:t>years</w:t>
      </w:r>
      <w:r w:rsidRPr="00004D8A">
        <w:rPr>
          <w:rFonts w:eastAsiaTheme="minorEastAsia"/>
          <w:kern w:val="24"/>
          <w:lang w:eastAsia="en-GB"/>
          <w14:ligatures w14:val="none"/>
        </w:rPr>
        <w:t>.</w:t>
      </w:r>
      <w:r w:rsidR="00843913" w:rsidRPr="00004D8A">
        <w:rPr>
          <w:rFonts w:eastAsiaTheme="minorEastAsia"/>
          <w:kern w:val="24"/>
          <w:lang w:eastAsia="en-GB"/>
          <w14:ligatures w14:val="none"/>
        </w:rPr>
        <w:t xml:space="preserve"> </w:t>
      </w:r>
    </w:p>
    <w:p w14:paraId="374CF1C9" w14:textId="3FBDE9A4" w:rsidR="00E96EE5" w:rsidRPr="00004D8A" w:rsidRDefault="00F50D8E" w:rsidP="00714C2E">
      <w:pPr>
        <w:spacing w:after="0"/>
        <w:jc w:val="both"/>
        <w:rPr>
          <w:rFonts w:eastAsia="Times New Roman"/>
          <w:kern w:val="0"/>
          <w:lang w:eastAsia="en-GB"/>
          <w14:ligatures w14:val="none"/>
        </w:rPr>
      </w:pPr>
      <w:r w:rsidRPr="00004D8A">
        <w:rPr>
          <w:rFonts w:eastAsiaTheme="minorEastAsia"/>
          <w:kern w:val="24"/>
          <w:lang w:eastAsia="en-GB"/>
          <w14:ligatures w14:val="none"/>
        </w:rPr>
        <w:t xml:space="preserve">If </w:t>
      </w:r>
      <w:r w:rsidR="00811C8E" w:rsidRPr="00004D8A">
        <w:rPr>
          <w:rFonts w:eastAsiaTheme="minorEastAsia"/>
          <w:kern w:val="24"/>
          <w:lang w:eastAsia="en-GB"/>
          <w14:ligatures w14:val="none"/>
        </w:rPr>
        <w:t xml:space="preserve">future expected </w:t>
      </w:r>
      <w:r w:rsidR="00714C2E" w:rsidRPr="00004D8A">
        <w:rPr>
          <w:rFonts w:eastAsiaTheme="minorEastAsia"/>
          <w:kern w:val="24"/>
          <w:lang w:eastAsia="en-GB"/>
          <w14:ligatures w14:val="none"/>
        </w:rPr>
        <w:t xml:space="preserve">life </w:t>
      </w:r>
      <w:r w:rsidR="00811C8E" w:rsidRPr="00004D8A">
        <w:rPr>
          <w:rFonts w:eastAsiaTheme="minorEastAsia"/>
          <w:kern w:val="24"/>
          <w:lang w:eastAsia="en-GB"/>
          <w14:ligatures w14:val="none"/>
        </w:rPr>
        <w:t>y</w:t>
      </w:r>
      <w:r w:rsidR="00C31CE8" w:rsidRPr="00004D8A">
        <w:rPr>
          <w:rFonts w:eastAsiaTheme="minorEastAsia"/>
          <w:kern w:val="24"/>
          <w:lang w:eastAsia="en-GB"/>
          <w14:ligatures w14:val="none"/>
        </w:rPr>
        <w:t>ear</w:t>
      </w:r>
      <w:r w:rsidR="003E2B21" w:rsidRPr="00004D8A">
        <w:rPr>
          <w:rFonts w:eastAsiaTheme="minorEastAsia"/>
          <w:kern w:val="24"/>
          <w:lang w:eastAsia="en-GB"/>
          <w14:ligatures w14:val="none"/>
        </w:rPr>
        <w:t>s</w:t>
      </w:r>
      <w:r w:rsidR="00714C2E" w:rsidRPr="00004D8A">
        <w:rPr>
          <w:rFonts w:eastAsiaTheme="minorEastAsia"/>
          <w:kern w:val="24"/>
          <w:lang w:eastAsia="en-GB"/>
          <w14:ligatures w14:val="none"/>
        </w:rPr>
        <w:t xml:space="preserve"> </w:t>
      </w:r>
      <w:r w:rsidR="00821424" w:rsidRPr="00004D8A">
        <w:rPr>
          <w:rFonts w:eastAsiaTheme="minorEastAsia"/>
          <w:kern w:val="24"/>
          <w:lang w:eastAsia="en-GB"/>
          <w14:ligatures w14:val="none"/>
        </w:rPr>
        <w:t xml:space="preserve">taken from </w:t>
      </w:r>
      <w:r w:rsidR="001B3635" w:rsidRPr="00004D8A">
        <w:rPr>
          <w:rFonts w:eastAsiaTheme="minorEastAsia"/>
          <w:kern w:val="24"/>
          <w:lang w:eastAsia="en-GB"/>
          <w14:ligatures w14:val="none"/>
        </w:rPr>
        <w:t xml:space="preserve">for </w:t>
      </w:r>
      <w:r w:rsidR="00714C2E" w:rsidRPr="00004D8A">
        <w:rPr>
          <w:rFonts w:eastAsiaTheme="minorEastAsia"/>
          <w:kern w:val="24"/>
          <w:lang w:eastAsia="en-GB"/>
          <w14:ligatures w14:val="none"/>
        </w:rPr>
        <w:t>BMI</w:t>
      </w:r>
      <w:r w:rsidR="003E2B21" w:rsidRPr="00004D8A">
        <w:rPr>
          <w:rFonts w:eastAsiaTheme="minorEastAsia"/>
          <w:kern w:val="24"/>
          <w:lang w:eastAsia="en-GB"/>
          <w14:ligatures w14:val="none"/>
        </w:rPr>
        <w:t xml:space="preserve"> </w:t>
      </w:r>
      <w:r w:rsidR="00714C2E" w:rsidRPr="00004D8A">
        <w:rPr>
          <w:rFonts w:eastAsiaTheme="minorEastAsia"/>
          <w:kern w:val="24"/>
          <w:lang w:eastAsia="en-GB"/>
          <w14:ligatures w14:val="none"/>
        </w:rPr>
        <w:t xml:space="preserve">&lt;25 </w:t>
      </w:r>
      <w:r w:rsidR="003E2B21" w:rsidRPr="00004D8A">
        <w:rPr>
          <w:rFonts w:eastAsiaTheme="minorEastAsia"/>
          <w:kern w:val="24"/>
          <w:lang w:eastAsia="en-GB"/>
          <w14:ligatures w14:val="none"/>
        </w:rPr>
        <w:t>kg/m</w:t>
      </w:r>
      <w:r w:rsidR="003E2B21" w:rsidRPr="00004D8A">
        <w:rPr>
          <w:rFonts w:eastAsiaTheme="minorEastAsia"/>
          <w:kern w:val="24"/>
          <w:vertAlign w:val="superscript"/>
          <w:lang w:eastAsia="en-GB"/>
          <w14:ligatures w14:val="none"/>
        </w:rPr>
        <w:t>2</w:t>
      </w:r>
      <w:r w:rsidR="003E2B21" w:rsidRPr="00004D8A">
        <w:rPr>
          <w:rFonts w:eastAsiaTheme="minorEastAsia"/>
          <w:kern w:val="24"/>
          <w:lang w:eastAsia="en-GB"/>
          <w14:ligatures w14:val="none"/>
        </w:rPr>
        <w:t xml:space="preserve"> </w:t>
      </w:r>
      <w:r w:rsidR="00C31CE8" w:rsidRPr="00004D8A">
        <w:rPr>
          <w:rFonts w:eastAsiaTheme="minorEastAsia"/>
          <w:kern w:val="24"/>
          <w:lang w:eastAsia="en-GB"/>
          <w14:ligatures w14:val="none"/>
        </w:rPr>
        <w:t xml:space="preserve">were applied for all the </w:t>
      </w:r>
      <w:r w:rsidR="001B3635" w:rsidRPr="00004D8A">
        <w:rPr>
          <w:rFonts w:eastAsiaTheme="minorEastAsia"/>
          <w:kern w:val="24"/>
          <w:lang w:eastAsia="en-GB"/>
          <w14:ligatures w14:val="none"/>
        </w:rPr>
        <w:t xml:space="preserve">BMI </w:t>
      </w:r>
      <w:r w:rsidR="00C31CE8" w:rsidRPr="00004D8A">
        <w:rPr>
          <w:rFonts w:eastAsiaTheme="minorEastAsia"/>
          <w:kern w:val="24"/>
          <w:lang w:eastAsia="en-GB"/>
          <w14:ligatures w14:val="none"/>
        </w:rPr>
        <w:t>classes</w:t>
      </w:r>
      <w:r w:rsidR="00D40ABE" w:rsidRPr="00004D8A">
        <w:rPr>
          <w:rFonts w:eastAsiaTheme="minorEastAsia"/>
          <w:kern w:val="24"/>
          <w:lang w:eastAsia="en-GB"/>
          <w14:ligatures w14:val="none"/>
        </w:rPr>
        <w:t xml:space="preserve"> this </w:t>
      </w:r>
      <w:r w:rsidR="001857AE" w:rsidRPr="00004D8A">
        <w:rPr>
          <w:rFonts w:eastAsiaTheme="minorEastAsia"/>
          <w:kern w:val="24"/>
          <w:lang w:eastAsia="en-GB"/>
          <w14:ligatures w14:val="none"/>
        </w:rPr>
        <w:t>give</w:t>
      </w:r>
      <w:r w:rsidR="00D40ABE" w:rsidRPr="00004D8A">
        <w:rPr>
          <w:rFonts w:eastAsiaTheme="minorEastAsia"/>
          <w:kern w:val="24"/>
          <w:lang w:eastAsia="en-GB"/>
          <w14:ligatures w14:val="none"/>
        </w:rPr>
        <w:t>s</w:t>
      </w:r>
      <w:r w:rsidR="001857AE" w:rsidRPr="00004D8A">
        <w:rPr>
          <w:rFonts w:eastAsiaTheme="minorEastAsia"/>
          <w:kern w:val="24"/>
          <w:lang w:eastAsia="en-GB"/>
          <w14:ligatures w14:val="none"/>
        </w:rPr>
        <w:t xml:space="preserve"> a </w:t>
      </w:r>
      <w:r w:rsidR="001B3635" w:rsidRPr="00004D8A">
        <w:rPr>
          <w:rFonts w:eastAsiaTheme="minorEastAsia"/>
          <w:kern w:val="24"/>
          <w:lang w:eastAsia="en-GB"/>
          <w14:ligatures w14:val="none"/>
        </w:rPr>
        <w:t xml:space="preserve">total </w:t>
      </w:r>
      <w:r w:rsidR="00D933EC" w:rsidRPr="00004D8A">
        <w:rPr>
          <w:rFonts w:eastAsiaTheme="minorEastAsia"/>
          <w:kern w:val="24"/>
          <w:lang w:eastAsia="en-GB"/>
          <w14:ligatures w14:val="none"/>
        </w:rPr>
        <w:t>lifetime</w:t>
      </w:r>
      <w:r w:rsidR="00714C2E" w:rsidRPr="00004D8A">
        <w:rPr>
          <w:rFonts w:eastAsiaTheme="minorEastAsia"/>
          <w:kern w:val="24"/>
          <w:lang w:eastAsia="en-GB"/>
          <w14:ligatures w14:val="none"/>
        </w:rPr>
        <w:t xml:space="preserve">-HCRU excluding the </w:t>
      </w:r>
      <w:r w:rsidR="001B3635" w:rsidRPr="00004D8A">
        <w:rPr>
          <w:rFonts w:eastAsiaTheme="minorEastAsia"/>
          <w:kern w:val="24"/>
          <w:lang w:eastAsia="en-GB"/>
          <w14:ligatures w14:val="none"/>
        </w:rPr>
        <w:t xml:space="preserve">effect of </w:t>
      </w:r>
      <w:r w:rsidR="00C31CE8" w:rsidRPr="00004D8A">
        <w:rPr>
          <w:rFonts w:eastAsiaTheme="minorEastAsia"/>
          <w:kern w:val="24"/>
          <w:lang w:eastAsia="en-GB"/>
          <w14:ligatures w14:val="none"/>
        </w:rPr>
        <w:t xml:space="preserve">increased </w:t>
      </w:r>
      <w:r w:rsidR="00714C2E" w:rsidRPr="00004D8A">
        <w:rPr>
          <w:rFonts w:eastAsiaTheme="minorEastAsia"/>
          <w:kern w:val="24"/>
          <w:lang w:eastAsia="en-GB"/>
          <w14:ligatures w14:val="none"/>
        </w:rPr>
        <w:t xml:space="preserve">mortality </w:t>
      </w:r>
      <w:r w:rsidR="001857AE" w:rsidRPr="00004D8A">
        <w:rPr>
          <w:rFonts w:eastAsiaTheme="minorEastAsia"/>
          <w:kern w:val="24"/>
          <w:lang w:eastAsia="en-GB"/>
          <w14:ligatures w14:val="none"/>
        </w:rPr>
        <w:t xml:space="preserve">of </w:t>
      </w:r>
      <w:r w:rsidR="00714C2E" w:rsidRPr="00004D8A">
        <w:rPr>
          <w:rFonts w:eastAsiaTheme="minorEastAsia"/>
          <w:kern w:val="24"/>
          <w:lang w:eastAsia="en-GB"/>
          <w14:ligatures w14:val="none"/>
        </w:rPr>
        <w:t>£4,642 billion (£102</w:t>
      </w:r>
      <w:r w:rsidR="00C31CE8" w:rsidRPr="00004D8A">
        <w:rPr>
          <w:rFonts w:eastAsiaTheme="minorEastAsia"/>
          <w:kern w:val="24"/>
          <w:lang w:eastAsia="en-GB"/>
          <w14:ligatures w14:val="none"/>
        </w:rPr>
        <w:t>,125</w:t>
      </w:r>
      <w:r w:rsidR="00714C2E" w:rsidRPr="00004D8A">
        <w:rPr>
          <w:rFonts w:eastAsiaTheme="minorEastAsia"/>
          <w:kern w:val="24"/>
          <w:lang w:eastAsia="en-GB"/>
          <w14:ligatures w14:val="none"/>
        </w:rPr>
        <w:t>k</w:t>
      </w:r>
      <w:r w:rsidR="00BF1693" w:rsidRPr="00004D8A">
        <w:rPr>
          <w:rFonts w:eastAsiaTheme="minorEastAsia"/>
          <w:kern w:val="24"/>
          <w:lang w:eastAsia="en-GB"/>
          <w14:ligatures w14:val="none"/>
        </w:rPr>
        <w:t xml:space="preserve"> per </w:t>
      </w:r>
      <w:r w:rsidR="00714C2E" w:rsidRPr="00004D8A">
        <w:rPr>
          <w:rFonts w:eastAsiaTheme="minorEastAsia"/>
          <w:kern w:val="24"/>
          <w:lang w:eastAsia="en-GB"/>
          <w14:ligatures w14:val="none"/>
        </w:rPr>
        <w:t>person). Th</w:t>
      </w:r>
      <w:r w:rsidR="001B3635" w:rsidRPr="00004D8A">
        <w:rPr>
          <w:rFonts w:eastAsiaTheme="minorEastAsia"/>
          <w:kern w:val="24"/>
          <w:lang w:eastAsia="en-GB"/>
          <w14:ligatures w14:val="none"/>
        </w:rPr>
        <w:t xml:space="preserve">is </w:t>
      </w:r>
      <w:r w:rsidR="00714C2E" w:rsidRPr="00004D8A">
        <w:rPr>
          <w:rFonts w:eastAsiaTheme="minorEastAsia"/>
          <w:kern w:val="24"/>
          <w:lang w:eastAsia="en-GB"/>
          <w14:ligatures w14:val="none"/>
        </w:rPr>
        <w:t xml:space="preserve">difference </w:t>
      </w:r>
      <w:r w:rsidR="001B3635" w:rsidRPr="00004D8A">
        <w:rPr>
          <w:rFonts w:eastAsiaTheme="minorEastAsia"/>
          <w:kern w:val="24"/>
          <w:lang w:eastAsia="en-GB"/>
          <w14:ligatures w14:val="none"/>
        </w:rPr>
        <w:t>of</w:t>
      </w:r>
      <w:r w:rsidR="00714C2E" w:rsidRPr="00004D8A">
        <w:rPr>
          <w:rFonts w:eastAsiaTheme="minorEastAsia"/>
          <w:kern w:val="24"/>
          <w:lang w:eastAsia="en-GB"/>
          <w14:ligatures w14:val="none"/>
        </w:rPr>
        <w:t xml:space="preserve"> £28</w:t>
      </w:r>
      <w:r w:rsidR="00A05C6E" w:rsidRPr="00004D8A">
        <w:rPr>
          <w:rFonts w:eastAsiaTheme="minorEastAsia"/>
          <w:kern w:val="24"/>
          <w:lang w:eastAsia="en-GB"/>
          <w14:ligatures w14:val="none"/>
        </w:rPr>
        <w:t>6</w:t>
      </w:r>
      <w:r w:rsidR="00714C2E" w:rsidRPr="00004D8A">
        <w:rPr>
          <w:rFonts w:eastAsiaTheme="minorEastAsia"/>
          <w:kern w:val="24"/>
          <w:lang w:eastAsia="en-GB"/>
          <w14:ligatures w14:val="none"/>
        </w:rPr>
        <w:t xml:space="preserve"> billion </w:t>
      </w:r>
      <w:r w:rsidR="008B6494" w:rsidRPr="00004D8A">
        <w:rPr>
          <w:rFonts w:eastAsiaTheme="minorEastAsia"/>
          <w:kern w:val="24"/>
          <w:lang w:eastAsia="en-GB"/>
          <w14:ligatures w14:val="none"/>
        </w:rPr>
        <w:t>for</w:t>
      </w:r>
      <w:r w:rsidR="00BA7336" w:rsidRPr="00004D8A">
        <w:rPr>
          <w:rFonts w:eastAsia="Times New Roman"/>
          <w:kern w:val="0"/>
          <w:lang w:eastAsia="en-GB"/>
          <w14:ligatures w14:val="none"/>
        </w:rPr>
        <w:t xml:space="preserve"> </w:t>
      </w:r>
      <w:r w:rsidR="000D2B74" w:rsidRPr="00004D8A">
        <w:rPr>
          <w:rFonts w:eastAsia="Times New Roman"/>
          <w:kern w:val="0"/>
          <w:lang w:eastAsia="en-GB"/>
          <w14:ligatures w14:val="none"/>
        </w:rPr>
        <w:t xml:space="preserve">the effect of </w:t>
      </w:r>
      <w:r w:rsidR="008B6494" w:rsidRPr="00004D8A">
        <w:rPr>
          <w:rFonts w:eastAsia="Times New Roman"/>
          <w:kern w:val="0"/>
          <w:lang w:eastAsia="en-GB"/>
          <w14:ligatures w14:val="none"/>
        </w:rPr>
        <w:t xml:space="preserve">increased </w:t>
      </w:r>
      <w:r w:rsidR="000D2B74" w:rsidRPr="00004D8A">
        <w:rPr>
          <w:rFonts w:eastAsia="Times New Roman"/>
          <w:kern w:val="0"/>
          <w:lang w:eastAsia="en-GB"/>
          <w14:ligatures w14:val="none"/>
        </w:rPr>
        <w:t>HCRU</w:t>
      </w:r>
      <w:r w:rsidR="00BA7336" w:rsidRPr="00004D8A">
        <w:rPr>
          <w:rFonts w:eastAsia="Times New Roman"/>
          <w:kern w:val="0"/>
          <w:lang w:eastAsia="en-GB"/>
          <w14:ligatures w14:val="none"/>
        </w:rPr>
        <w:t xml:space="preserve"> </w:t>
      </w:r>
      <w:r w:rsidR="008B6494" w:rsidRPr="00004D8A">
        <w:rPr>
          <w:rFonts w:eastAsia="Times New Roman"/>
          <w:kern w:val="0"/>
          <w:lang w:eastAsia="en-GB"/>
          <w14:ligatures w14:val="none"/>
        </w:rPr>
        <w:t xml:space="preserve">with future life years for BMI&lt;25 </w:t>
      </w:r>
      <w:r w:rsidR="004F02F0" w:rsidRPr="00004D8A">
        <w:rPr>
          <w:rFonts w:eastAsia="Times New Roman"/>
          <w:kern w:val="0"/>
          <w:lang w:eastAsia="en-GB"/>
          <w14:ligatures w14:val="none"/>
        </w:rPr>
        <w:t>by</w:t>
      </w:r>
      <w:r w:rsidR="003B53AE" w:rsidRPr="00004D8A">
        <w:rPr>
          <w:rFonts w:eastAsiaTheme="minorEastAsia"/>
          <w:kern w:val="24"/>
          <w:lang w:eastAsia="en-GB"/>
          <w14:ligatures w14:val="none"/>
        </w:rPr>
        <w:t xml:space="preserve"> </w:t>
      </w:r>
      <w:r w:rsidR="003B53AE" w:rsidRPr="00004D8A">
        <w:rPr>
          <w:rFonts w:eastAsia="Times New Roman"/>
          <w:kern w:val="0"/>
          <w:lang w:eastAsia="en-GB"/>
          <w14:ligatures w14:val="none"/>
        </w:rPr>
        <w:t>BMI categor</w:t>
      </w:r>
      <w:r w:rsidR="004F02F0" w:rsidRPr="00004D8A">
        <w:rPr>
          <w:rFonts w:eastAsia="Times New Roman"/>
          <w:kern w:val="0"/>
          <w:lang w:eastAsia="en-GB"/>
          <w14:ligatures w14:val="none"/>
        </w:rPr>
        <w:t>y is</w:t>
      </w:r>
      <w:r w:rsidR="003B53AE" w:rsidRPr="00004D8A">
        <w:rPr>
          <w:rFonts w:eastAsia="Times New Roman"/>
          <w:kern w:val="0"/>
          <w:lang w:eastAsia="en-GB"/>
          <w14:ligatures w14:val="none"/>
        </w:rPr>
        <w:t xml:space="preserve"> </w:t>
      </w:r>
      <w:r w:rsidR="00E96EE5" w:rsidRPr="00004D8A">
        <w:rPr>
          <w:rFonts w:eastAsiaTheme="minorEastAsia"/>
          <w:kern w:val="24"/>
          <w:lang w:eastAsia="en-GB"/>
          <w14:ligatures w14:val="none"/>
        </w:rPr>
        <w:t>BMI</w:t>
      </w:r>
      <w:r w:rsidR="00BF1693" w:rsidRPr="00004D8A">
        <w:rPr>
          <w:rFonts w:eastAsiaTheme="minorEastAsia"/>
          <w:kern w:val="24"/>
          <w:lang w:eastAsia="en-GB"/>
          <w14:ligatures w14:val="none"/>
        </w:rPr>
        <w:t xml:space="preserve"> </w:t>
      </w:r>
      <w:r w:rsidR="00714C2E" w:rsidRPr="00004D8A">
        <w:rPr>
          <w:rFonts w:eastAsiaTheme="minorEastAsia"/>
          <w:kern w:val="24"/>
          <w:lang w:eastAsia="en-GB"/>
          <w14:ligatures w14:val="none"/>
        </w:rPr>
        <w:t>≥</w:t>
      </w:r>
      <w:r w:rsidR="00E96EE5" w:rsidRPr="00004D8A">
        <w:rPr>
          <w:rFonts w:eastAsiaTheme="minorEastAsia"/>
          <w:kern w:val="24"/>
          <w:lang w:eastAsia="en-GB"/>
          <w14:ligatures w14:val="none"/>
        </w:rPr>
        <w:t>40</w:t>
      </w:r>
      <w:r w:rsidR="00BF1693" w:rsidRPr="00004D8A">
        <w:rPr>
          <w:rFonts w:eastAsiaTheme="minorEastAsia"/>
          <w:kern w:val="24"/>
          <w:lang w:eastAsia="en-GB"/>
          <w14:ligatures w14:val="none"/>
        </w:rPr>
        <w:t xml:space="preserve"> kg/m</w:t>
      </w:r>
      <w:r w:rsidR="00BF1693" w:rsidRPr="00004D8A">
        <w:rPr>
          <w:rFonts w:eastAsiaTheme="minorEastAsia"/>
          <w:kern w:val="24"/>
          <w:vertAlign w:val="superscript"/>
          <w:lang w:eastAsia="en-GB"/>
          <w14:ligatures w14:val="none"/>
        </w:rPr>
        <w:t>2</w:t>
      </w:r>
      <w:r w:rsidR="00714C2E"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t>£6</w:t>
      </w:r>
      <w:r w:rsidR="00F12A01" w:rsidRPr="00004D8A">
        <w:rPr>
          <w:rFonts w:eastAsiaTheme="minorEastAsia"/>
          <w:kern w:val="24"/>
          <w:lang w:eastAsia="en-GB"/>
          <w14:ligatures w14:val="none"/>
        </w:rPr>
        <w:t>7</w:t>
      </w:r>
      <w:r w:rsidR="00E96EE5" w:rsidRPr="00004D8A">
        <w:rPr>
          <w:rFonts w:eastAsiaTheme="minorEastAsia"/>
          <w:kern w:val="24"/>
          <w:lang w:eastAsia="en-GB"/>
          <w14:ligatures w14:val="none"/>
        </w:rPr>
        <w:t xml:space="preserve"> billion </w:t>
      </w:r>
      <w:r w:rsidR="00961508" w:rsidRPr="00004D8A">
        <w:rPr>
          <w:rFonts w:eastAsiaTheme="minorEastAsia"/>
          <w:kern w:val="24"/>
          <w:lang w:eastAsia="en-GB"/>
          <w14:ligatures w14:val="none"/>
        </w:rPr>
        <w:t xml:space="preserve">or </w:t>
      </w:r>
      <w:r w:rsidR="00E96EE5" w:rsidRPr="00004D8A">
        <w:rPr>
          <w:rFonts w:eastAsiaTheme="minorEastAsia"/>
          <w:kern w:val="24"/>
          <w:lang w:eastAsia="en-GB"/>
          <w14:ligatures w14:val="none"/>
        </w:rPr>
        <w:t>+£45k</w:t>
      </w:r>
      <w:r w:rsidR="00CD1F8C" w:rsidRPr="00004D8A">
        <w:rPr>
          <w:rFonts w:eastAsiaTheme="minorEastAsia"/>
          <w:kern w:val="24"/>
          <w:lang w:eastAsia="en-GB"/>
          <w14:ligatures w14:val="none"/>
        </w:rPr>
        <w:t xml:space="preserve"> per </w:t>
      </w:r>
      <w:r w:rsidR="00714C2E" w:rsidRPr="00004D8A">
        <w:rPr>
          <w:rFonts w:eastAsiaTheme="minorEastAsia"/>
          <w:kern w:val="24"/>
          <w:lang w:eastAsia="en-GB"/>
          <w14:ligatures w14:val="none"/>
        </w:rPr>
        <w:t>person</w:t>
      </w:r>
      <w:r w:rsidR="00E96EE5" w:rsidRPr="00004D8A">
        <w:rPr>
          <w:rFonts w:eastAsiaTheme="minorEastAsia"/>
          <w:kern w:val="24"/>
          <w:lang w:eastAsia="en-GB"/>
          <w14:ligatures w14:val="none"/>
        </w:rPr>
        <w:t xml:space="preserve"> </w:t>
      </w:r>
      <w:r w:rsidR="00714C2E" w:rsidRPr="00004D8A">
        <w:rPr>
          <w:rFonts w:eastAsiaTheme="minorEastAsia"/>
          <w:kern w:val="24"/>
          <w:lang w:eastAsia="en-GB"/>
          <w14:ligatures w14:val="none"/>
        </w:rPr>
        <w:t>(+</w:t>
      </w:r>
      <w:r w:rsidR="00E96EE5" w:rsidRPr="00004D8A">
        <w:rPr>
          <w:rFonts w:eastAsiaTheme="minorEastAsia"/>
          <w:kern w:val="24"/>
          <w:lang w:eastAsia="en-GB"/>
          <w14:ligatures w14:val="none"/>
        </w:rPr>
        <w:t>31%</w:t>
      </w:r>
      <w:r w:rsidR="00961508" w:rsidRPr="00004D8A">
        <w:rPr>
          <w:rFonts w:eastAsiaTheme="minorEastAsia"/>
          <w:kern w:val="24"/>
          <w:lang w:eastAsia="en-GB"/>
          <w14:ligatures w14:val="none"/>
        </w:rPr>
        <w:t xml:space="preserve"> </w:t>
      </w:r>
      <w:r w:rsidR="00381280" w:rsidRPr="00004D8A">
        <w:rPr>
          <w:rFonts w:eastAsiaTheme="minorEastAsia"/>
          <w:kern w:val="24"/>
          <w:lang w:eastAsia="en-GB"/>
          <w14:ligatures w14:val="none"/>
        </w:rPr>
        <w:t>over</w:t>
      </w:r>
      <w:r w:rsidR="00961508" w:rsidRPr="00004D8A">
        <w:rPr>
          <w:rFonts w:eastAsiaTheme="minorEastAsia"/>
          <w:kern w:val="24"/>
          <w:lang w:eastAsia="en-GB"/>
          <w14:ligatures w14:val="none"/>
        </w:rPr>
        <w:t xml:space="preserve"> </w:t>
      </w:r>
      <w:r w:rsidR="00381280" w:rsidRPr="00004D8A">
        <w:rPr>
          <w:rFonts w:eastAsiaTheme="minorEastAsia"/>
          <w:kern w:val="24"/>
          <w:lang w:eastAsia="en-GB"/>
          <w14:ligatures w14:val="none"/>
        </w:rPr>
        <w:t>BMI</w:t>
      </w:r>
      <w:r w:rsidR="00CD1F8C" w:rsidRPr="00004D8A">
        <w:rPr>
          <w:rFonts w:eastAsiaTheme="minorEastAsia"/>
          <w:kern w:val="24"/>
          <w:lang w:eastAsia="en-GB"/>
          <w14:ligatures w14:val="none"/>
        </w:rPr>
        <w:t xml:space="preserve"> </w:t>
      </w:r>
      <w:r w:rsidR="00381280" w:rsidRPr="00004D8A">
        <w:rPr>
          <w:rFonts w:eastAsiaTheme="minorEastAsia"/>
          <w:kern w:val="24"/>
          <w:lang w:eastAsia="en-GB"/>
          <w14:ligatures w14:val="none"/>
        </w:rPr>
        <w:t>&lt;25</w:t>
      </w:r>
      <w:r w:rsidR="00CD1F8C" w:rsidRPr="00004D8A">
        <w:rPr>
          <w:rFonts w:eastAsiaTheme="minorEastAsia"/>
          <w:kern w:val="24"/>
          <w:lang w:eastAsia="en-GB"/>
          <w14:ligatures w14:val="none"/>
        </w:rPr>
        <w:t xml:space="preserve"> kg/m</w:t>
      </w:r>
      <w:r w:rsidR="00CD1F8C" w:rsidRPr="00004D8A">
        <w:rPr>
          <w:rFonts w:eastAsiaTheme="minorEastAsia"/>
          <w:kern w:val="24"/>
          <w:vertAlign w:val="superscript"/>
          <w:lang w:eastAsia="en-GB"/>
          <w14:ligatures w14:val="none"/>
        </w:rPr>
        <w:t>2</w:t>
      </w:r>
      <w:r w:rsidR="00381280" w:rsidRPr="00004D8A">
        <w:rPr>
          <w:rFonts w:eastAsiaTheme="minorEastAsia"/>
          <w:kern w:val="24"/>
          <w:lang w:eastAsia="en-GB"/>
          <w14:ligatures w14:val="none"/>
        </w:rPr>
        <w:t xml:space="preserve"> value</w:t>
      </w:r>
      <w:r w:rsidR="00714C2E"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t xml:space="preserve">BMI 30-39.9 </w:t>
      </w:r>
      <w:r w:rsidR="00CD1F8C" w:rsidRPr="00004D8A">
        <w:rPr>
          <w:rFonts w:eastAsiaTheme="minorEastAsia"/>
          <w:kern w:val="24"/>
          <w:lang w:eastAsia="en-GB"/>
          <w14:ligatures w14:val="none"/>
        </w:rPr>
        <w:t>kg/m</w:t>
      </w:r>
      <w:r w:rsidR="00CD1F8C" w:rsidRPr="00004D8A">
        <w:rPr>
          <w:rFonts w:eastAsiaTheme="minorEastAsia"/>
          <w:kern w:val="24"/>
          <w:vertAlign w:val="superscript"/>
          <w:lang w:eastAsia="en-GB"/>
          <w14:ligatures w14:val="none"/>
        </w:rPr>
        <w:t>2</w:t>
      </w:r>
      <w:r w:rsidR="00CD1F8C"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t>£17</w:t>
      </w:r>
      <w:r w:rsidR="00550152" w:rsidRPr="00004D8A">
        <w:rPr>
          <w:rFonts w:eastAsiaTheme="minorEastAsia"/>
          <w:kern w:val="24"/>
          <w:lang w:eastAsia="en-GB"/>
          <w14:ligatures w14:val="none"/>
        </w:rPr>
        <w:t>6</w:t>
      </w:r>
      <w:r w:rsidR="00E96EE5" w:rsidRPr="00004D8A">
        <w:rPr>
          <w:rFonts w:eastAsiaTheme="minorEastAsia"/>
          <w:kern w:val="24"/>
          <w:lang w:eastAsia="en-GB"/>
          <w14:ligatures w14:val="none"/>
        </w:rPr>
        <w:t>billion +£16k</w:t>
      </w:r>
      <w:r w:rsidR="00714C2E" w:rsidRPr="00004D8A">
        <w:rPr>
          <w:rFonts w:eastAsiaTheme="minorEastAsia"/>
          <w:kern w:val="24"/>
          <w:lang w:eastAsia="en-GB"/>
          <w14:ligatures w14:val="none"/>
        </w:rPr>
        <w:t>/person (+</w:t>
      </w:r>
      <w:r w:rsidR="00E96EE5" w:rsidRPr="00004D8A">
        <w:rPr>
          <w:rFonts w:eastAsiaTheme="minorEastAsia"/>
          <w:kern w:val="24"/>
          <w:lang w:eastAsia="en-GB"/>
          <w14:ligatures w14:val="none"/>
        </w:rPr>
        <w:t>14%</w:t>
      </w:r>
      <w:r w:rsidR="00E04751" w:rsidRPr="00004D8A">
        <w:rPr>
          <w:rFonts w:eastAsiaTheme="minorEastAsia"/>
          <w:kern w:val="24"/>
          <w:lang w:eastAsia="en-GB"/>
          <w14:ligatures w14:val="none"/>
        </w:rPr>
        <w:t xml:space="preserve"> over BMI &lt; 25</w:t>
      </w:r>
      <w:r w:rsidR="00714C2E" w:rsidRPr="00004D8A">
        <w:rPr>
          <w:rFonts w:eastAsiaTheme="minorEastAsia"/>
          <w:kern w:val="24"/>
          <w:lang w:eastAsia="en-GB"/>
          <w14:ligatures w14:val="none"/>
        </w:rPr>
        <w:t>)</w:t>
      </w:r>
      <w:r w:rsidR="00714C2E" w:rsidRPr="00004D8A">
        <w:rPr>
          <w:rFonts w:eastAsia="Times New Roman"/>
          <w:kern w:val="0"/>
          <w:lang w:eastAsia="en-GB"/>
          <w14:ligatures w14:val="none"/>
        </w:rPr>
        <w:t xml:space="preserve">; </w:t>
      </w:r>
      <w:r w:rsidR="00E96EE5" w:rsidRPr="00004D8A">
        <w:rPr>
          <w:rFonts w:eastAsiaTheme="minorEastAsia"/>
          <w:kern w:val="24"/>
          <w:lang w:eastAsia="en-GB"/>
          <w14:ligatures w14:val="none"/>
        </w:rPr>
        <w:t xml:space="preserve">BMI 25-29.9 </w:t>
      </w:r>
      <w:r w:rsidR="00CD1F8C" w:rsidRPr="00004D8A">
        <w:rPr>
          <w:rFonts w:eastAsiaTheme="minorEastAsia"/>
          <w:kern w:val="24"/>
          <w:lang w:eastAsia="en-GB"/>
          <w14:ligatures w14:val="none"/>
        </w:rPr>
        <w:t>kg/m</w:t>
      </w:r>
      <w:r w:rsidR="00CD1F8C" w:rsidRPr="00004D8A">
        <w:rPr>
          <w:rFonts w:eastAsiaTheme="minorEastAsia"/>
          <w:kern w:val="24"/>
          <w:vertAlign w:val="superscript"/>
          <w:lang w:eastAsia="en-GB"/>
          <w14:ligatures w14:val="none"/>
        </w:rPr>
        <w:t>2</w:t>
      </w:r>
      <w:r w:rsidR="00CD1F8C" w:rsidRPr="00004D8A">
        <w:rPr>
          <w:rFonts w:eastAsiaTheme="minorEastAsia"/>
          <w:kern w:val="24"/>
          <w:lang w:eastAsia="en-GB"/>
          <w14:ligatures w14:val="none"/>
        </w:rPr>
        <w:t xml:space="preserve"> </w:t>
      </w:r>
      <w:r w:rsidR="00E96EE5" w:rsidRPr="00004D8A">
        <w:rPr>
          <w:rFonts w:eastAsiaTheme="minorEastAsia"/>
          <w:kern w:val="24"/>
          <w:lang w:eastAsia="en-GB"/>
          <w14:ligatures w14:val="none"/>
        </w:rPr>
        <w:t>£43billion +£3k</w:t>
      </w:r>
      <w:r w:rsidR="00CD1F8C" w:rsidRPr="00004D8A">
        <w:rPr>
          <w:rFonts w:eastAsiaTheme="minorEastAsia"/>
          <w:kern w:val="24"/>
          <w:lang w:eastAsia="en-GB"/>
          <w14:ligatures w14:val="none"/>
        </w:rPr>
        <w:t xml:space="preserve"> per </w:t>
      </w:r>
      <w:r w:rsidR="00714C2E" w:rsidRPr="00004D8A">
        <w:rPr>
          <w:rFonts w:eastAsiaTheme="minorEastAsia"/>
          <w:kern w:val="24"/>
          <w:lang w:eastAsia="en-GB"/>
          <w14:ligatures w14:val="none"/>
        </w:rPr>
        <w:t>person</w:t>
      </w:r>
      <w:r w:rsidR="00E96EE5" w:rsidRPr="00004D8A">
        <w:rPr>
          <w:rFonts w:eastAsiaTheme="minorEastAsia"/>
          <w:kern w:val="24"/>
          <w:lang w:eastAsia="en-GB"/>
          <w14:ligatures w14:val="none"/>
        </w:rPr>
        <w:t xml:space="preserve"> </w:t>
      </w:r>
      <w:r w:rsidR="00714C2E" w:rsidRPr="00004D8A">
        <w:rPr>
          <w:rFonts w:eastAsiaTheme="minorEastAsia"/>
          <w:kern w:val="24"/>
          <w:lang w:eastAsia="en-GB"/>
          <w14:ligatures w14:val="none"/>
        </w:rPr>
        <w:t>(+</w:t>
      </w:r>
      <w:r w:rsidR="00E96EE5" w:rsidRPr="00004D8A">
        <w:rPr>
          <w:rFonts w:eastAsiaTheme="minorEastAsia"/>
          <w:kern w:val="24"/>
          <w:lang w:eastAsia="en-GB"/>
          <w14:ligatures w14:val="none"/>
        </w:rPr>
        <w:t>3%</w:t>
      </w:r>
      <w:r w:rsidR="00E04751" w:rsidRPr="00004D8A">
        <w:rPr>
          <w:rFonts w:eastAsiaTheme="minorEastAsia"/>
          <w:kern w:val="24"/>
          <w:lang w:eastAsia="en-GB"/>
          <w14:ligatures w14:val="none"/>
        </w:rPr>
        <w:t xml:space="preserve"> over BMI &lt;25</w:t>
      </w:r>
      <w:r w:rsidR="00714C2E" w:rsidRPr="00004D8A">
        <w:rPr>
          <w:rFonts w:eastAsiaTheme="minorEastAsia"/>
          <w:kern w:val="24"/>
          <w:lang w:eastAsia="en-GB"/>
          <w14:ligatures w14:val="none"/>
        </w:rPr>
        <w:t>)</w:t>
      </w:r>
      <w:r w:rsidR="00714C2E" w:rsidRPr="00004D8A">
        <w:rPr>
          <w:rFonts w:eastAsia="Times New Roman"/>
          <w:kern w:val="0"/>
          <w:lang w:eastAsia="en-GB"/>
          <w14:ligatures w14:val="none"/>
        </w:rPr>
        <w:t xml:space="preserve">. </w:t>
      </w:r>
    </w:p>
    <w:p w14:paraId="4421E77F" w14:textId="7C4D8362" w:rsidR="00714C2E" w:rsidRPr="00004D8A" w:rsidRDefault="009C3346" w:rsidP="00A20B2E">
      <w:pPr>
        <w:pStyle w:val="Heading2"/>
        <w:rPr>
          <w:color w:val="auto"/>
        </w:rPr>
      </w:pPr>
      <w:r w:rsidRPr="00004D8A">
        <w:rPr>
          <w:color w:val="auto"/>
        </w:rPr>
        <w:t>Geographical Variation</w:t>
      </w:r>
    </w:p>
    <w:p w14:paraId="77355CD9" w14:textId="3F67A5F3" w:rsidR="00EA1132" w:rsidRPr="00004D8A" w:rsidRDefault="00714C2E" w:rsidP="00A81DCA">
      <w:r w:rsidRPr="00004D8A">
        <w:t>Table 6 gives the outcomes as applied to populations at ICB level</w:t>
      </w:r>
      <w:r w:rsidR="00D00AED" w:rsidRPr="00004D8A">
        <w:t>, ranked by the proportion of the p</w:t>
      </w:r>
      <w:r w:rsidR="00536F0F" w:rsidRPr="00004D8A">
        <w:t>op</w:t>
      </w:r>
      <w:r w:rsidR="00D00AED" w:rsidRPr="00004D8A">
        <w:t xml:space="preserve">ulation with </w:t>
      </w:r>
      <w:r w:rsidR="00536F0F" w:rsidRPr="00004D8A">
        <w:t xml:space="preserve">Class III </w:t>
      </w:r>
      <w:r w:rsidR="00D00AED" w:rsidRPr="00004D8A">
        <w:t>obesity</w:t>
      </w:r>
      <w:r w:rsidR="002E5031" w:rsidRPr="00004D8A">
        <w:t>.</w:t>
      </w:r>
      <w:r w:rsidRPr="00004D8A">
        <w:t xml:space="preserve"> </w:t>
      </w:r>
      <w:r w:rsidR="00582704" w:rsidRPr="00004D8A">
        <w:t>Colour coding for eac</w:t>
      </w:r>
      <w:r w:rsidR="00C7407C" w:rsidRPr="00004D8A">
        <w:t xml:space="preserve">h column </w:t>
      </w:r>
      <w:r w:rsidR="00582704" w:rsidRPr="00004D8A">
        <w:t>highlight</w:t>
      </w:r>
      <w:r w:rsidR="00C7407C" w:rsidRPr="00004D8A">
        <w:t xml:space="preserve"> the </w:t>
      </w:r>
      <w:r w:rsidR="00582704" w:rsidRPr="00004D8A">
        <w:t>highest and lowest figures</w:t>
      </w:r>
      <w:r w:rsidR="00C7407C" w:rsidRPr="00004D8A">
        <w:t>,</w:t>
      </w:r>
      <w:r w:rsidR="006D628A" w:rsidRPr="00004D8A">
        <w:t xml:space="preserve"> indicate</w:t>
      </w:r>
      <w:r w:rsidR="00C7407C" w:rsidRPr="00004D8A">
        <w:t>s</w:t>
      </w:r>
      <w:r w:rsidR="006D628A" w:rsidRPr="00004D8A">
        <w:t xml:space="preserve"> the spread across ICBs </w:t>
      </w:r>
      <w:r w:rsidR="00C7407C" w:rsidRPr="00004D8A">
        <w:t>for</w:t>
      </w:r>
      <w:r w:rsidRPr="00004D8A">
        <w:t xml:space="preserve"> differences in </w:t>
      </w:r>
      <w:r w:rsidR="00484B1A" w:rsidRPr="00004D8A">
        <w:t>population</w:t>
      </w:r>
      <w:r w:rsidR="00D258A1" w:rsidRPr="00004D8A">
        <w:t xml:space="preserve"> size</w:t>
      </w:r>
      <w:r w:rsidR="00A81DCA" w:rsidRPr="00004D8A">
        <w:t xml:space="preserve">, </w:t>
      </w:r>
      <w:r w:rsidRPr="00004D8A">
        <w:t>numbers by age, sex, deprivation and annual HCRU spending</w:t>
      </w:r>
      <w:r w:rsidR="002E5031" w:rsidRPr="00004D8A">
        <w:t xml:space="preserve">, </w:t>
      </w:r>
      <w:r w:rsidR="007966FC" w:rsidRPr="00004D8A">
        <w:t xml:space="preserve">for each </w:t>
      </w:r>
      <w:r w:rsidR="000D2D2A" w:rsidRPr="00004D8A">
        <w:t>outcom</w:t>
      </w:r>
      <w:r w:rsidR="00324A2B" w:rsidRPr="00004D8A">
        <w:t>e</w:t>
      </w:r>
      <w:r w:rsidR="000D2D2A" w:rsidRPr="00004D8A">
        <w:t xml:space="preserve"> including deaths, </w:t>
      </w:r>
      <w:r w:rsidR="00D933EC" w:rsidRPr="00004D8A">
        <w:t>life years lost</w:t>
      </w:r>
      <w:r w:rsidR="003A543D" w:rsidRPr="00004D8A">
        <w:t xml:space="preserve"> and HCRU impact.</w:t>
      </w:r>
    </w:p>
    <w:p w14:paraId="7668693F" w14:textId="77777777" w:rsidR="00350336" w:rsidRPr="00004D8A" w:rsidRDefault="00305E26" w:rsidP="00350336">
      <w:pPr>
        <w:rPr>
          <w:b/>
          <w:bCs/>
          <w:smallCaps/>
        </w:rPr>
      </w:pPr>
      <w:r w:rsidRPr="00004D8A">
        <w:t>Deprivation varied considerabl</w:t>
      </w:r>
      <w:r w:rsidR="00AA40E1" w:rsidRPr="00004D8A">
        <w:t>y</w:t>
      </w:r>
      <w:r w:rsidRPr="00004D8A">
        <w:t xml:space="preserve"> </w:t>
      </w:r>
      <w:r w:rsidR="001C5906" w:rsidRPr="00004D8A">
        <w:t>with</w:t>
      </w:r>
      <w:r w:rsidRPr="00004D8A">
        <w:t xml:space="preserve"> 0.6% to </w:t>
      </w:r>
      <w:r w:rsidR="00F10011" w:rsidRPr="00004D8A">
        <w:t>51.4%</w:t>
      </w:r>
      <w:r w:rsidR="001C5906" w:rsidRPr="00004D8A">
        <w:t xml:space="preserve"> of individuals being</w:t>
      </w:r>
      <w:r w:rsidR="00F10011" w:rsidRPr="00004D8A">
        <w:t xml:space="preserve"> in the top </w:t>
      </w:r>
      <w:r w:rsidR="001C5906" w:rsidRPr="00004D8A">
        <w:t>(</w:t>
      </w:r>
      <w:r w:rsidR="004D758F" w:rsidRPr="00004D8A">
        <w:t xml:space="preserve">most </w:t>
      </w:r>
      <w:r w:rsidR="001C5906" w:rsidRPr="00004D8A">
        <w:t xml:space="preserve">deprived) </w:t>
      </w:r>
      <w:r w:rsidR="00F10011" w:rsidRPr="00004D8A">
        <w:t>IMD quintile</w:t>
      </w:r>
      <w:r w:rsidR="005C19E8" w:rsidRPr="00004D8A">
        <w:t>,</w:t>
      </w:r>
      <w:r w:rsidR="000A24C3" w:rsidRPr="00004D8A">
        <w:t xml:space="preserve"> </w:t>
      </w:r>
      <w:r w:rsidR="005C19E8" w:rsidRPr="00004D8A">
        <w:t>leading to a</w:t>
      </w:r>
      <w:r w:rsidR="000A24C3" w:rsidRPr="00004D8A">
        <w:t xml:space="preserve"> variation in </w:t>
      </w:r>
      <w:r w:rsidR="005C19E8" w:rsidRPr="00004D8A">
        <w:t xml:space="preserve">the </w:t>
      </w:r>
      <w:r w:rsidR="000A24C3" w:rsidRPr="00004D8A">
        <w:t>expected</w:t>
      </w:r>
      <w:r w:rsidR="00D00AED" w:rsidRPr="00004D8A">
        <w:t xml:space="preserve"> proportions</w:t>
      </w:r>
      <w:r w:rsidR="000A24C3" w:rsidRPr="00004D8A">
        <w:t xml:space="preserve"> with BMI Class III </w:t>
      </w:r>
      <w:r w:rsidR="005C19E8" w:rsidRPr="00004D8A">
        <w:t>(</w:t>
      </w:r>
      <w:r w:rsidR="000A24C3" w:rsidRPr="00004D8A">
        <w:t>across the 42 ICB</w:t>
      </w:r>
      <w:r w:rsidR="005C19E8" w:rsidRPr="00004D8A">
        <w:t>)</w:t>
      </w:r>
      <w:r w:rsidR="000A24C3" w:rsidRPr="00004D8A">
        <w:t xml:space="preserve"> </w:t>
      </w:r>
      <w:r w:rsidR="005C19E8" w:rsidRPr="00004D8A">
        <w:t>from</w:t>
      </w:r>
      <w:r w:rsidR="000A24C3" w:rsidRPr="00004D8A">
        <w:t xml:space="preserve"> 1.8</w:t>
      </w:r>
      <w:r w:rsidR="00796D97" w:rsidRPr="00004D8A">
        <w:t xml:space="preserve"> - </w:t>
      </w:r>
      <w:r w:rsidR="000A24C3" w:rsidRPr="00004D8A">
        <w:t>4.3% of population</w:t>
      </w:r>
      <w:r w:rsidR="00F10011" w:rsidRPr="00004D8A">
        <w:t>.</w:t>
      </w:r>
      <w:r w:rsidR="00714C2E" w:rsidRPr="00004D8A">
        <w:t xml:space="preserve"> </w:t>
      </w:r>
      <w:r w:rsidR="00C63607" w:rsidRPr="00004D8A">
        <w:t>A</w:t>
      </w:r>
      <w:r w:rsidR="0088467C" w:rsidRPr="00004D8A">
        <w:t>ccount</w:t>
      </w:r>
      <w:r w:rsidR="00C63607" w:rsidRPr="00004D8A">
        <w:t>ing for</w:t>
      </w:r>
      <w:r w:rsidR="0088467C" w:rsidRPr="00004D8A">
        <w:t xml:space="preserve"> </w:t>
      </w:r>
      <w:r w:rsidR="00714C2E" w:rsidRPr="00004D8A">
        <w:t>the number</w:t>
      </w:r>
      <w:r w:rsidR="006B355E" w:rsidRPr="00004D8A">
        <w:t>s</w:t>
      </w:r>
      <w:r w:rsidR="00714C2E" w:rsidRPr="00004D8A">
        <w:t xml:space="preserve"> </w:t>
      </w:r>
      <w:r w:rsidR="006B355E" w:rsidRPr="00004D8A">
        <w:t>living with</w:t>
      </w:r>
      <w:r w:rsidR="00714C2E" w:rsidRPr="00004D8A">
        <w:t xml:space="preserve"> obes</w:t>
      </w:r>
      <w:r w:rsidR="006B355E" w:rsidRPr="00004D8A">
        <w:t>ity</w:t>
      </w:r>
      <w:r w:rsidR="00714C2E" w:rsidRPr="00004D8A">
        <w:t xml:space="preserve"> in any ICB</w:t>
      </w:r>
      <w:r w:rsidR="00FB6CDE" w:rsidRPr="00004D8A">
        <w:t>, the excess HCRU</w:t>
      </w:r>
      <w:r w:rsidR="006B355E" w:rsidRPr="00004D8A">
        <w:t>,</w:t>
      </w:r>
      <w:r w:rsidR="00FB6CDE" w:rsidRPr="00004D8A">
        <w:t xml:space="preserve"> </w:t>
      </w:r>
      <w:r w:rsidR="0088467C" w:rsidRPr="00004D8A">
        <w:t>adjusted for obesity</w:t>
      </w:r>
      <w:r w:rsidR="006B355E" w:rsidRPr="00004D8A">
        <w:t>,</w:t>
      </w:r>
      <w:r w:rsidR="0088467C" w:rsidRPr="00004D8A">
        <w:t xml:space="preserve"> </w:t>
      </w:r>
      <w:r w:rsidR="00FB6CDE" w:rsidRPr="00004D8A">
        <w:t xml:space="preserve">varied </w:t>
      </w:r>
      <w:r w:rsidR="006B355E" w:rsidRPr="00004D8A">
        <w:t xml:space="preserve">from </w:t>
      </w:r>
      <w:r w:rsidR="005C6F47" w:rsidRPr="00004D8A">
        <w:t xml:space="preserve">£412 </w:t>
      </w:r>
      <w:r w:rsidR="006B355E" w:rsidRPr="00004D8A">
        <w:t>to</w:t>
      </w:r>
      <w:r w:rsidR="005C6F47" w:rsidRPr="00004D8A">
        <w:t xml:space="preserve"> £597</w:t>
      </w:r>
      <w:r w:rsidR="00000862" w:rsidRPr="00004D8A">
        <w:t xml:space="preserve"> per </w:t>
      </w:r>
      <w:r w:rsidR="005C6F47" w:rsidRPr="00004D8A">
        <w:t>head of pop</w:t>
      </w:r>
      <w:r w:rsidR="00324A2B" w:rsidRPr="00004D8A">
        <w:t>ulation</w:t>
      </w:r>
      <w:r w:rsidR="00000862" w:rsidRPr="00004D8A">
        <w:t xml:space="preserve"> with obesity.</w:t>
      </w:r>
      <w:r w:rsidR="008F053E" w:rsidRPr="00004D8A">
        <w:t xml:space="preserve"> This suggests that</w:t>
      </w:r>
      <w:r w:rsidR="000B1F6B" w:rsidRPr="00004D8A">
        <w:t>,</w:t>
      </w:r>
      <w:r w:rsidR="008F053E" w:rsidRPr="00004D8A">
        <w:t xml:space="preserve"> in terms of resources and outcomes</w:t>
      </w:r>
      <w:r w:rsidR="000B1F6B" w:rsidRPr="00004D8A">
        <w:t>,</w:t>
      </w:r>
      <w:r w:rsidR="008F053E" w:rsidRPr="00004D8A">
        <w:t xml:space="preserve"> th</w:t>
      </w:r>
      <w:r w:rsidR="00000862" w:rsidRPr="00004D8A">
        <w:t>e</w:t>
      </w:r>
      <w:r w:rsidR="008F053E" w:rsidRPr="00004D8A">
        <w:t xml:space="preserve"> ICBs in the North of England and parts of the Midlands of England face the largest challenges</w:t>
      </w:r>
      <w:r w:rsidR="0088467C" w:rsidRPr="00004D8A">
        <w:t xml:space="preserve"> in this area</w:t>
      </w:r>
      <w:r w:rsidR="000B1F6B" w:rsidRPr="00004D8A">
        <w:t>,</w:t>
      </w:r>
      <w:r w:rsidR="0088467C" w:rsidRPr="00004D8A">
        <w:t xml:space="preserve"> while the southeast </w:t>
      </w:r>
      <w:r w:rsidR="000B1F6B" w:rsidRPr="00004D8A">
        <w:t>is</w:t>
      </w:r>
      <w:r w:rsidR="0088467C" w:rsidRPr="00004D8A">
        <w:t xml:space="preserve"> less impacted</w:t>
      </w:r>
      <w:r w:rsidR="00714C2E" w:rsidRPr="00004D8A">
        <w:t>.</w:t>
      </w:r>
    </w:p>
    <w:p w14:paraId="5C59912E" w14:textId="6DE7F329" w:rsidR="007E6C27" w:rsidRPr="00004D8A" w:rsidRDefault="00EB6D75" w:rsidP="006A1DD9">
      <w:pPr>
        <w:pStyle w:val="Heading1"/>
      </w:pPr>
      <w:r w:rsidRPr="00004D8A">
        <w:t>Discussion</w:t>
      </w:r>
      <w:r w:rsidR="007E6C27" w:rsidRPr="00004D8A">
        <w:t xml:space="preserve"> </w:t>
      </w:r>
    </w:p>
    <w:p w14:paraId="3D547DE9" w14:textId="260143C2" w:rsidR="007A0ADC" w:rsidRPr="00004D8A" w:rsidRDefault="007A0ADC" w:rsidP="007A0ADC">
      <w:pPr>
        <w:pStyle w:val="pf0"/>
        <w:spacing w:line="360" w:lineRule="auto"/>
        <w:jc w:val="both"/>
        <w:rPr>
          <w:rFonts w:ascii="Arial" w:hAnsi="Arial" w:cs="Arial"/>
        </w:rPr>
      </w:pPr>
      <w:r w:rsidRPr="00004D8A">
        <w:rPr>
          <w:rFonts w:ascii="Arial" w:hAnsi="Arial" w:cs="Arial"/>
        </w:rPr>
        <w:t xml:space="preserve">Our aim here was </w:t>
      </w:r>
      <w:r w:rsidRPr="00004D8A">
        <w:rPr>
          <w:rStyle w:val="cf01"/>
          <w:rFonts w:ascii="Arial" w:hAnsi="Arial" w:cs="Arial"/>
          <w:sz w:val="24"/>
          <w:szCs w:val="24"/>
        </w:rPr>
        <w:t>firstly, to assess the long-term economic cost of obesity in England, relative to age and sex</w:t>
      </w:r>
      <w:r w:rsidR="00D00AED" w:rsidRPr="00004D8A">
        <w:rPr>
          <w:rStyle w:val="cf01"/>
          <w:rFonts w:ascii="Arial" w:hAnsi="Arial" w:cs="Arial"/>
          <w:sz w:val="24"/>
          <w:szCs w:val="24"/>
        </w:rPr>
        <w:t xml:space="preserve">; </w:t>
      </w:r>
      <w:r w:rsidRPr="00004D8A">
        <w:rPr>
          <w:rStyle w:val="cf01"/>
          <w:rFonts w:ascii="Arial" w:hAnsi="Arial" w:cs="Arial"/>
          <w:sz w:val="24"/>
          <w:szCs w:val="24"/>
        </w:rPr>
        <w:t>secondly, to evaluate the potential economic benefit from the treatment of obesity to normal BMI values</w:t>
      </w:r>
      <w:r w:rsidR="00D00AED" w:rsidRPr="00004D8A">
        <w:rPr>
          <w:rStyle w:val="cf01"/>
          <w:rFonts w:ascii="Arial" w:hAnsi="Arial" w:cs="Arial"/>
          <w:sz w:val="24"/>
          <w:szCs w:val="24"/>
        </w:rPr>
        <w:t xml:space="preserve">, </w:t>
      </w:r>
      <w:r w:rsidRPr="00004D8A">
        <w:rPr>
          <w:rStyle w:val="cf01"/>
          <w:rFonts w:ascii="Arial" w:hAnsi="Arial" w:cs="Arial"/>
          <w:sz w:val="24"/>
          <w:szCs w:val="24"/>
        </w:rPr>
        <w:t>through a hypothetical health intervention</w:t>
      </w:r>
      <w:r w:rsidR="00D00AED" w:rsidRPr="00004D8A">
        <w:rPr>
          <w:rStyle w:val="cf01"/>
          <w:rFonts w:ascii="Arial" w:hAnsi="Arial" w:cs="Arial"/>
          <w:sz w:val="24"/>
          <w:szCs w:val="24"/>
        </w:rPr>
        <w:t>;</w:t>
      </w:r>
      <w:r w:rsidRPr="00004D8A">
        <w:rPr>
          <w:rFonts w:ascii="Arial" w:hAnsi="Arial" w:cs="Arial"/>
        </w:rPr>
        <w:t xml:space="preserve"> and </w:t>
      </w:r>
      <w:r w:rsidRPr="00004D8A">
        <w:rPr>
          <w:rStyle w:val="cf01"/>
          <w:rFonts w:ascii="Arial" w:hAnsi="Arial" w:cs="Arial"/>
          <w:sz w:val="24"/>
          <w:szCs w:val="24"/>
        </w:rPr>
        <w:t>thirdly</w:t>
      </w:r>
      <w:r w:rsidR="00D00AED" w:rsidRPr="00004D8A">
        <w:rPr>
          <w:rStyle w:val="cf01"/>
          <w:rFonts w:ascii="Arial" w:hAnsi="Arial" w:cs="Arial"/>
          <w:sz w:val="24"/>
          <w:szCs w:val="24"/>
        </w:rPr>
        <w:t>,</w:t>
      </w:r>
      <w:r w:rsidRPr="00004D8A">
        <w:rPr>
          <w:rStyle w:val="cf01"/>
          <w:rFonts w:ascii="Arial" w:hAnsi="Arial" w:cs="Arial"/>
          <w:sz w:val="24"/>
          <w:szCs w:val="24"/>
        </w:rPr>
        <w:t xml:space="preserve"> to create a visual representation of the distribution of </w:t>
      </w:r>
      <w:r w:rsidR="00D00AED" w:rsidRPr="00004D8A">
        <w:rPr>
          <w:rStyle w:val="cf01"/>
          <w:rFonts w:ascii="Arial" w:hAnsi="Arial" w:cs="Arial"/>
          <w:sz w:val="24"/>
          <w:szCs w:val="24"/>
        </w:rPr>
        <w:t xml:space="preserve">health </w:t>
      </w:r>
      <w:r w:rsidRPr="00004D8A">
        <w:rPr>
          <w:rStyle w:val="cf01"/>
          <w:rFonts w:ascii="Arial" w:hAnsi="Arial" w:cs="Arial"/>
          <w:sz w:val="24"/>
          <w:szCs w:val="24"/>
        </w:rPr>
        <w:t>burdens across BMI groups in different regions of the UK</w:t>
      </w:r>
      <w:r w:rsidRPr="00004D8A">
        <w:rPr>
          <w:rStyle w:val="cf01"/>
        </w:rPr>
        <w:t>.</w:t>
      </w:r>
    </w:p>
    <w:p w14:paraId="39F4A00A" w14:textId="451A60B7" w:rsidR="00751BAE" w:rsidRPr="00004D8A" w:rsidRDefault="000928F0" w:rsidP="007A387C">
      <w:r w:rsidRPr="00004D8A">
        <w:lastRenderedPageBreak/>
        <w:t>Our data</w:t>
      </w:r>
      <w:r w:rsidR="00C11C01" w:rsidRPr="00004D8A">
        <w:t xml:space="preserve"> </w:t>
      </w:r>
      <w:r w:rsidR="00CB40E2" w:rsidRPr="00004D8A">
        <w:t>supports the premise that</w:t>
      </w:r>
      <w:r w:rsidR="00CE7CA1" w:rsidRPr="00004D8A">
        <w:t xml:space="preserve"> </w:t>
      </w:r>
      <w:r w:rsidRPr="00004D8A">
        <w:t>high healthcare economic cost</w:t>
      </w:r>
      <w:r w:rsidR="00CB40E2" w:rsidRPr="00004D8A">
        <w:t xml:space="preserve">s are </w:t>
      </w:r>
      <w:r w:rsidR="00D00AED" w:rsidRPr="00004D8A">
        <w:t>associated with</w:t>
      </w:r>
      <w:r w:rsidRPr="00004D8A">
        <w:t xml:space="preserve"> obesity</w:t>
      </w:r>
      <w:r w:rsidR="00C11C01" w:rsidRPr="00004D8A">
        <w:t>.</w:t>
      </w:r>
      <w:r w:rsidRPr="00004D8A">
        <w:t xml:space="preserve"> </w:t>
      </w:r>
      <w:r w:rsidR="00C11C01" w:rsidRPr="00004D8A">
        <w:t>We have shown that i</w:t>
      </w:r>
      <w:r w:rsidR="00CE7CA1" w:rsidRPr="00004D8A">
        <w:t>f the whole population had a BMI &lt;25 kg/m</w:t>
      </w:r>
      <w:r w:rsidR="00CE7CA1" w:rsidRPr="00004D8A">
        <w:rPr>
          <w:vertAlign w:val="superscript"/>
        </w:rPr>
        <w:t>2</w:t>
      </w:r>
      <w:r w:rsidR="00CE7CA1" w:rsidRPr="00004D8A">
        <w:t xml:space="preserve"> then the total HCRU/year </w:t>
      </w:r>
      <w:r w:rsidR="00D1325D" w:rsidRPr="00004D8A">
        <w:t>could be as low as</w:t>
      </w:r>
      <w:r w:rsidR="00CE7CA1" w:rsidRPr="00004D8A">
        <w:t xml:space="preserve"> £77.6 billion (£1,708/person)</w:t>
      </w:r>
      <w:r w:rsidR="00DD0D60" w:rsidRPr="00004D8A">
        <w:t xml:space="preserve"> compared to the £1,848/person that is spent, on average, at the current time.</w:t>
      </w:r>
      <w:r w:rsidR="00131074" w:rsidRPr="00004D8A">
        <w:t xml:space="preserve"> Th</w:t>
      </w:r>
      <w:r w:rsidR="00F86D2F" w:rsidRPr="00004D8A">
        <w:t xml:space="preserve">e </w:t>
      </w:r>
      <w:r w:rsidR="00131074" w:rsidRPr="00004D8A">
        <w:t xml:space="preserve">financial </w:t>
      </w:r>
      <w:r w:rsidR="004B4268" w:rsidRPr="00004D8A">
        <w:t xml:space="preserve">burden </w:t>
      </w:r>
      <w:r w:rsidR="00F86D2F" w:rsidRPr="00004D8A">
        <w:t xml:space="preserve">of living with obesity </w:t>
      </w:r>
      <w:r w:rsidR="004B4268" w:rsidRPr="00004D8A">
        <w:t>has been reported before</w:t>
      </w:r>
      <w:r w:rsidR="00E862A3" w:rsidRPr="00004D8A">
        <w:t xml:space="preserve"> (9,23,24)</w:t>
      </w:r>
      <w:r w:rsidR="004B4268" w:rsidRPr="00004D8A">
        <w:t xml:space="preserve"> but our analysis has also highlighted the </w:t>
      </w:r>
      <w:r w:rsidR="00BD5BDA" w:rsidRPr="00004D8A">
        <w:t xml:space="preserve">high prevalence of obesity in </w:t>
      </w:r>
      <w:r w:rsidR="00D1325D" w:rsidRPr="00004D8A">
        <w:t xml:space="preserve">younger </w:t>
      </w:r>
      <w:r w:rsidR="00BD5BDA" w:rsidRPr="00004D8A">
        <w:t>women</w:t>
      </w:r>
      <w:r w:rsidR="00D1325D" w:rsidRPr="00004D8A">
        <w:t xml:space="preserve"> </w:t>
      </w:r>
      <w:r w:rsidR="00B57DC2" w:rsidRPr="00004D8A">
        <w:t>– with this demographic comprising 43% of all individuals with class III obesity</w:t>
      </w:r>
      <w:r w:rsidR="00CC3667" w:rsidRPr="00004D8A">
        <w:t>.</w:t>
      </w:r>
      <w:r w:rsidR="00525703" w:rsidRPr="00004D8A">
        <w:t xml:space="preserve"> </w:t>
      </w:r>
      <w:bookmarkStart w:id="14" w:name="_Hlk149481678"/>
      <w:r w:rsidR="00525703" w:rsidRPr="00004D8A">
        <w:t>The annual HCRU cost for women</w:t>
      </w:r>
      <w:r w:rsidR="00681F10" w:rsidRPr="00004D8A">
        <w:t xml:space="preserve"> aged 16-49 years and with class III obesity is</w:t>
      </w:r>
      <w:r w:rsidR="00525703" w:rsidRPr="00004D8A">
        <w:t xml:space="preserve"> £1,930</w:t>
      </w:r>
      <w:r w:rsidR="00681F10" w:rsidRPr="00004D8A">
        <w:t>, a value double that of comparable males (£874).</w:t>
      </w:r>
      <w:r w:rsidR="008A53AE" w:rsidRPr="00004D8A">
        <w:t xml:space="preserve"> </w:t>
      </w:r>
      <w:bookmarkEnd w:id="14"/>
      <w:r w:rsidR="008A53AE" w:rsidRPr="00004D8A">
        <w:t>Furthermore, we found that t</w:t>
      </w:r>
      <w:r w:rsidR="00F83D16" w:rsidRPr="00004D8A">
        <w:t xml:space="preserve">he </w:t>
      </w:r>
      <w:r w:rsidR="00392811" w:rsidRPr="00004D8A">
        <w:t>future life years</w:t>
      </w:r>
      <w:r w:rsidR="00F83D16" w:rsidRPr="00004D8A">
        <w:t xml:space="preserve"> for the whole population</w:t>
      </w:r>
      <w:r w:rsidR="002022D8" w:rsidRPr="00004D8A">
        <w:t xml:space="preserve"> is</w:t>
      </w:r>
      <w:r w:rsidR="00F83D16" w:rsidRPr="00004D8A">
        <w:t xml:space="preserve"> decrease</w:t>
      </w:r>
      <w:r w:rsidR="002022D8" w:rsidRPr="00004D8A">
        <w:t>d</w:t>
      </w:r>
      <w:r w:rsidR="00F83D16" w:rsidRPr="00004D8A">
        <w:t xml:space="preserve"> by 1 year </w:t>
      </w:r>
      <w:r w:rsidR="00D1325D" w:rsidRPr="00004D8A">
        <w:t>in association with</w:t>
      </w:r>
      <w:r w:rsidR="00F83D16" w:rsidRPr="00004D8A">
        <w:t xml:space="preserve"> obesity</w:t>
      </w:r>
      <w:r w:rsidR="002022D8" w:rsidRPr="00004D8A">
        <w:t xml:space="preserve"> – but for those</w:t>
      </w:r>
      <w:r w:rsidR="00F83D16" w:rsidRPr="00004D8A">
        <w:t xml:space="preserve"> with Class III obesity</w:t>
      </w:r>
      <w:r w:rsidR="002022D8" w:rsidRPr="00004D8A">
        <w:t xml:space="preserve">, </w:t>
      </w:r>
      <w:r w:rsidR="00392811" w:rsidRPr="00004D8A">
        <w:t>the future life years</w:t>
      </w:r>
      <w:r w:rsidR="002022D8" w:rsidRPr="00004D8A">
        <w:t xml:space="preserve"> </w:t>
      </w:r>
      <w:r w:rsidR="002D5F5C" w:rsidRPr="00004D8A">
        <w:t>was</w:t>
      </w:r>
      <w:r w:rsidR="00F83D16" w:rsidRPr="00004D8A">
        <w:t xml:space="preserve"> 6.7 </w:t>
      </w:r>
      <w:r w:rsidR="00C31455" w:rsidRPr="00004D8A">
        <w:t>years</w:t>
      </w:r>
      <w:r w:rsidR="00D1325D" w:rsidRPr="00004D8A">
        <w:t xml:space="preserve"> lower</w:t>
      </w:r>
      <w:r w:rsidR="007E197A" w:rsidRPr="00004D8A">
        <w:t>. For</w:t>
      </w:r>
      <w:r w:rsidR="00F83D16" w:rsidRPr="00004D8A">
        <w:t xml:space="preserve"> men age</w:t>
      </w:r>
      <w:r w:rsidR="007E197A" w:rsidRPr="00004D8A">
        <w:t>d</w:t>
      </w:r>
      <w:r w:rsidR="00F83D16" w:rsidRPr="00004D8A">
        <w:t xml:space="preserve"> 16-49 </w:t>
      </w:r>
      <w:r w:rsidR="002D5F5C" w:rsidRPr="00004D8A">
        <w:t>future life years</w:t>
      </w:r>
      <w:r w:rsidR="007E197A" w:rsidRPr="00004D8A">
        <w:t xml:space="preserve"> </w:t>
      </w:r>
      <w:r w:rsidR="00D1325D" w:rsidRPr="00004D8A">
        <w:t xml:space="preserve">was </w:t>
      </w:r>
      <w:r w:rsidR="00F83D16" w:rsidRPr="00004D8A">
        <w:t xml:space="preserve">10 years </w:t>
      </w:r>
      <w:r w:rsidR="00D1325D" w:rsidRPr="00004D8A">
        <w:t xml:space="preserve">lower </w:t>
      </w:r>
      <w:r w:rsidR="00F83D16" w:rsidRPr="00004D8A">
        <w:t xml:space="preserve">while </w:t>
      </w:r>
      <w:r w:rsidR="00D1325D" w:rsidRPr="00004D8A">
        <w:t xml:space="preserve">in </w:t>
      </w:r>
      <w:r w:rsidR="00F83D16" w:rsidRPr="00004D8A">
        <w:t>women age</w:t>
      </w:r>
      <w:r w:rsidR="007E197A" w:rsidRPr="00004D8A">
        <w:t>d</w:t>
      </w:r>
      <w:r w:rsidR="00F83D16" w:rsidRPr="00004D8A">
        <w:t xml:space="preserve"> 16-49 </w:t>
      </w:r>
      <w:r w:rsidR="002D5F5C" w:rsidRPr="00004D8A">
        <w:t xml:space="preserve">future life years </w:t>
      </w:r>
      <w:r w:rsidR="00D1325D" w:rsidRPr="00004D8A">
        <w:t xml:space="preserve">was </w:t>
      </w:r>
      <w:r w:rsidR="00F83D16" w:rsidRPr="00004D8A">
        <w:t>7 years</w:t>
      </w:r>
      <w:r w:rsidR="00D1325D" w:rsidRPr="00004D8A">
        <w:t xml:space="preserve"> lower</w:t>
      </w:r>
      <w:r w:rsidR="00F83D16" w:rsidRPr="00004D8A">
        <w:t>.</w:t>
      </w:r>
      <w:r w:rsidR="00751BAE" w:rsidRPr="00004D8A">
        <w:t xml:space="preserve"> </w:t>
      </w:r>
      <w:r w:rsidR="008A53AE" w:rsidRPr="00004D8A">
        <w:t xml:space="preserve">Taken together, these data show that the costs </w:t>
      </w:r>
      <w:r w:rsidR="00D1325D" w:rsidRPr="00004D8A">
        <w:t>associated with</w:t>
      </w:r>
      <w:r w:rsidR="008A53AE" w:rsidRPr="00004D8A">
        <w:t xml:space="preserve"> obesity in </w:t>
      </w:r>
      <w:r w:rsidR="00D1325D" w:rsidRPr="00004D8A">
        <w:t xml:space="preserve">younger </w:t>
      </w:r>
      <w:r w:rsidR="008A53AE" w:rsidRPr="00004D8A">
        <w:t>women are</w:t>
      </w:r>
      <w:r w:rsidR="00F86CE0" w:rsidRPr="00004D8A">
        <w:t xml:space="preserve"> considerable</w:t>
      </w:r>
      <w:r w:rsidR="0024445D" w:rsidRPr="00004D8A">
        <w:t>,</w:t>
      </w:r>
      <w:r w:rsidR="00F86CE0" w:rsidRPr="00004D8A">
        <w:t xml:space="preserve"> and yet it is the males who have a greater mortality risk </w:t>
      </w:r>
      <w:r w:rsidR="00D1325D" w:rsidRPr="00004D8A">
        <w:t>associated with</w:t>
      </w:r>
      <w:r w:rsidR="00F86CE0" w:rsidRPr="00004D8A">
        <w:t xml:space="preserve"> living with the same degree of obesity.</w:t>
      </w:r>
      <w:r w:rsidR="001D3D35" w:rsidRPr="00004D8A">
        <w:t xml:space="preserve"> </w:t>
      </w:r>
      <w:r w:rsidR="0097629F" w:rsidRPr="00004D8A">
        <w:t>The cost differential will include</w:t>
      </w:r>
      <w:r w:rsidR="002A31F9" w:rsidRPr="00004D8A">
        <w:t xml:space="preserve"> management of menstrual cycle disorders and infertility associated with obesity</w:t>
      </w:r>
      <w:r w:rsidR="00E862A3" w:rsidRPr="00004D8A">
        <w:t xml:space="preserve"> (</w:t>
      </w:r>
      <w:r w:rsidR="00DD1EEB" w:rsidRPr="00004D8A">
        <w:t>25</w:t>
      </w:r>
      <w:r w:rsidR="00E862A3" w:rsidRPr="00004D8A">
        <w:t>)</w:t>
      </w:r>
      <w:r w:rsidR="002A31F9" w:rsidRPr="00004D8A">
        <w:t>, as well as</w:t>
      </w:r>
      <w:r w:rsidR="0097629F" w:rsidRPr="00004D8A">
        <w:t xml:space="preserve"> maternal costs </w:t>
      </w:r>
      <w:r w:rsidR="000826BE" w:rsidRPr="00004D8A">
        <w:t xml:space="preserve">- </w:t>
      </w:r>
      <w:r w:rsidR="0097629F" w:rsidRPr="00004D8A">
        <w:t>as w</w:t>
      </w:r>
      <w:r w:rsidR="001D3D35" w:rsidRPr="00004D8A">
        <w:t>omen</w:t>
      </w:r>
      <w:r w:rsidR="00F42233" w:rsidRPr="00004D8A">
        <w:t xml:space="preserve"> with obesity</w:t>
      </w:r>
      <w:r w:rsidR="0097629F" w:rsidRPr="00004D8A">
        <w:t xml:space="preserve"> have </w:t>
      </w:r>
      <w:r w:rsidR="00D23431" w:rsidRPr="00004D8A">
        <w:t>pregnancy related costs that are a third higher than healthy weight peers</w:t>
      </w:r>
      <w:r w:rsidR="00E862A3" w:rsidRPr="00004D8A">
        <w:t xml:space="preserve"> (2</w:t>
      </w:r>
      <w:r w:rsidR="00DD1EEB" w:rsidRPr="00004D8A">
        <w:t>6</w:t>
      </w:r>
      <w:r w:rsidR="00E862A3" w:rsidRPr="00004D8A">
        <w:t>).</w:t>
      </w:r>
    </w:p>
    <w:p w14:paraId="4C9AF075" w14:textId="77777777" w:rsidR="00977B01" w:rsidRPr="00004D8A" w:rsidRDefault="009A23B2" w:rsidP="00977B01">
      <w:pPr>
        <w:rPr>
          <w:rFonts w:asciiTheme="minorHAnsi" w:hAnsiTheme="minorHAnsi" w:cstheme="minorBidi"/>
          <w:i/>
          <w:iCs/>
          <w:sz w:val="22"/>
          <w:szCs w:val="22"/>
        </w:rPr>
      </w:pPr>
      <w:r w:rsidRPr="00004D8A">
        <w:t>We show that the mortality disadvantage of living with obesity is considerable</w:t>
      </w:r>
      <w:r w:rsidR="007C77B8" w:rsidRPr="00004D8A">
        <w:t>, with just over 63,000 deaths per annum being related to overweight or obesity. N</w:t>
      </w:r>
      <w:r w:rsidR="00D73F76" w:rsidRPr="00004D8A">
        <w:t xml:space="preserve">ormalising BMI with a hypothetical treatment </w:t>
      </w:r>
      <w:r w:rsidR="007A3284" w:rsidRPr="00004D8A">
        <w:t>c</w:t>
      </w:r>
      <w:r w:rsidR="00D73F76" w:rsidRPr="00004D8A">
        <w:t xml:space="preserve">ould </w:t>
      </w:r>
      <w:r w:rsidR="00C41AFF" w:rsidRPr="00004D8A">
        <w:t>have a profound impact on future life years saved.</w:t>
      </w:r>
      <w:r w:rsidR="00BE6FED" w:rsidRPr="00004D8A">
        <w:t xml:space="preserve"> Lowering elevated BMI levels could potentially result in decreased expenses associated with obesity-related illnesses. However, </w:t>
      </w:r>
      <w:r w:rsidR="00831B80" w:rsidRPr="00004D8A">
        <w:t xml:space="preserve">we must be mindful that </w:t>
      </w:r>
      <w:r w:rsidR="00BE6FED" w:rsidRPr="00004D8A">
        <w:t xml:space="preserve">these savings may be offset, at least in part, by increased healthcare expenditures for other conditions over the extended lifespan. </w:t>
      </w:r>
      <w:r w:rsidR="007A3284" w:rsidRPr="00004D8A">
        <w:t>Medical t</w:t>
      </w:r>
      <w:r w:rsidR="00585395" w:rsidRPr="00004D8A">
        <w:t>reatments t</w:t>
      </w:r>
      <w:r w:rsidR="007A3284" w:rsidRPr="00004D8A">
        <w:t>hat can</w:t>
      </w:r>
      <w:r w:rsidR="00585395" w:rsidRPr="00004D8A">
        <w:t xml:space="preserve"> normalise BMI are becoming a reality</w:t>
      </w:r>
      <w:r w:rsidR="00E862A3" w:rsidRPr="00004D8A">
        <w:t xml:space="preserve"> (27,28,</w:t>
      </w:r>
      <w:r w:rsidR="00642DB2" w:rsidRPr="00004D8A">
        <w:t xml:space="preserve"> 29</w:t>
      </w:r>
      <w:r w:rsidR="00E862A3" w:rsidRPr="00004D8A">
        <w:t>)</w:t>
      </w:r>
      <w:r w:rsidR="002B64A6" w:rsidRPr="00004D8A">
        <w:t xml:space="preserve">. </w:t>
      </w:r>
      <w:r w:rsidR="005B3BE8" w:rsidRPr="00004D8A">
        <w:t xml:space="preserve">The STEP-5 trial of </w:t>
      </w:r>
      <w:proofErr w:type="spellStart"/>
      <w:r w:rsidR="005B3BE8" w:rsidRPr="00004D8A">
        <w:t>semaglutide</w:t>
      </w:r>
      <w:proofErr w:type="spellEnd"/>
      <w:r w:rsidR="005B3BE8" w:rsidRPr="00004D8A">
        <w:t xml:space="preserve">, a weekly </w:t>
      </w:r>
      <w:r w:rsidR="00A501F5" w:rsidRPr="00004D8A">
        <w:t>GLP-1 agonist report</w:t>
      </w:r>
      <w:r w:rsidR="005B3BE8" w:rsidRPr="00004D8A">
        <w:t>ed</w:t>
      </w:r>
      <w:r w:rsidR="00A501F5" w:rsidRPr="00004D8A">
        <w:t xml:space="preserve"> </w:t>
      </w:r>
      <w:r w:rsidR="00D93FE2" w:rsidRPr="00004D8A">
        <w:t>15%</w:t>
      </w:r>
      <w:r w:rsidR="00DE42A3" w:rsidRPr="00004D8A">
        <w:t xml:space="preserve"> weight loss over 2 years</w:t>
      </w:r>
      <w:r w:rsidR="00642DB2" w:rsidRPr="00004D8A">
        <w:t xml:space="preserve"> (29,30)</w:t>
      </w:r>
      <w:r w:rsidR="00A13D3B" w:rsidRPr="00004D8A">
        <w:t xml:space="preserve">, </w:t>
      </w:r>
      <w:r w:rsidR="00887C4B" w:rsidRPr="00004D8A">
        <w:t xml:space="preserve">the SURMOUNT-4 trial of </w:t>
      </w:r>
      <w:proofErr w:type="spellStart"/>
      <w:r w:rsidR="00887C4B" w:rsidRPr="00004D8A">
        <w:t>tirzepatide</w:t>
      </w:r>
      <w:proofErr w:type="spellEnd"/>
      <w:r w:rsidR="00887C4B" w:rsidRPr="00004D8A">
        <w:t xml:space="preserve"> (</w:t>
      </w:r>
      <w:r w:rsidR="00841E72" w:rsidRPr="00004D8A">
        <w:t>GLP-1/GIP co-agonist</w:t>
      </w:r>
      <w:r w:rsidR="00887C4B" w:rsidRPr="00004D8A">
        <w:t>)</w:t>
      </w:r>
      <w:r w:rsidR="00841E72" w:rsidRPr="00004D8A">
        <w:t xml:space="preserve"> </w:t>
      </w:r>
      <w:r w:rsidR="00887C4B" w:rsidRPr="00004D8A">
        <w:t xml:space="preserve">reported mean </w:t>
      </w:r>
      <w:r w:rsidR="00841E72" w:rsidRPr="00004D8A">
        <w:t>21%</w:t>
      </w:r>
      <w:r w:rsidR="00DE42A3" w:rsidRPr="00004D8A">
        <w:t xml:space="preserve"> </w:t>
      </w:r>
      <w:r w:rsidR="00887C4B" w:rsidRPr="00004D8A">
        <w:t>weight loss</w:t>
      </w:r>
      <w:r w:rsidR="0058748C" w:rsidRPr="00004D8A">
        <w:t xml:space="preserve"> up to 88 weeks</w:t>
      </w:r>
      <w:r w:rsidR="00323589" w:rsidRPr="00004D8A">
        <w:t xml:space="preserve"> </w:t>
      </w:r>
      <w:r w:rsidR="00A13D3B" w:rsidRPr="00004D8A">
        <w:t>(3</w:t>
      </w:r>
      <w:r w:rsidR="00642DB2" w:rsidRPr="00004D8A">
        <w:t>1</w:t>
      </w:r>
      <w:r w:rsidR="00A13D3B" w:rsidRPr="00004D8A">
        <w:t xml:space="preserve">) </w:t>
      </w:r>
      <w:r w:rsidR="00323589" w:rsidRPr="00004D8A">
        <w:t xml:space="preserve">and phase 2 trials of </w:t>
      </w:r>
      <w:r w:rsidR="00DD6193" w:rsidRPr="00004D8A">
        <w:t xml:space="preserve">a once-weekly triple receptor (GIP/GLP-1/glucagon) agonist </w:t>
      </w:r>
      <w:proofErr w:type="spellStart"/>
      <w:r w:rsidR="00DD6193" w:rsidRPr="00004D8A">
        <w:t>retatrutide</w:t>
      </w:r>
      <w:proofErr w:type="spellEnd"/>
      <w:r w:rsidR="00DD6193" w:rsidRPr="00004D8A">
        <w:t xml:space="preserve"> (LY3437943)</w:t>
      </w:r>
      <w:r w:rsidR="00A93573" w:rsidRPr="00004D8A">
        <w:t>,</w:t>
      </w:r>
      <w:r w:rsidR="00DD6193" w:rsidRPr="00004D8A">
        <w:t xml:space="preserve"> </w:t>
      </w:r>
      <w:r w:rsidR="00A93573" w:rsidRPr="00004D8A">
        <w:t xml:space="preserve">at the 12mg dose, </w:t>
      </w:r>
      <w:r w:rsidR="00DD6193" w:rsidRPr="00004D8A">
        <w:t xml:space="preserve">reported </w:t>
      </w:r>
      <w:r w:rsidR="00A93573" w:rsidRPr="00004D8A">
        <w:t xml:space="preserve">24% weight loss by </w:t>
      </w:r>
      <w:r w:rsidR="00EE3911" w:rsidRPr="00004D8A">
        <w:t>48-weeks</w:t>
      </w:r>
      <w:r w:rsidR="00A13D3B" w:rsidRPr="00004D8A">
        <w:t xml:space="preserve"> (3</w:t>
      </w:r>
      <w:r w:rsidR="00642DB2" w:rsidRPr="00004D8A">
        <w:t>2</w:t>
      </w:r>
      <w:r w:rsidR="00A13D3B" w:rsidRPr="00004D8A">
        <w:t>).</w:t>
      </w:r>
      <w:r w:rsidR="00977B01" w:rsidRPr="00004D8A">
        <w:rPr>
          <w:rFonts w:asciiTheme="minorHAnsi" w:hAnsiTheme="minorHAnsi" w:cstheme="minorBidi"/>
          <w:i/>
          <w:iCs/>
          <w:sz w:val="22"/>
          <w:szCs w:val="22"/>
        </w:rPr>
        <w:t xml:space="preserve"> </w:t>
      </w:r>
    </w:p>
    <w:p w14:paraId="63D9EA7B" w14:textId="14FD1853" w:rsidR="00977B01" w:rsidRPr="00004D8A" w:rsidRDefault="00977B01" w:rsidP="00A930A9">
      <w:pPr>
        <w:jc w:val="both"/>
      </w:pPr>
      <w:r w:rsidRPr="00004D8A">
        <w:lastRenderedPageBreak/>
        <w:t xml:space="preserve">The prevalence of Obesity by age, sex and deprivation was taken from Health Survey for England (HSE) (16) is a series of annual surveys, of which the 2019 survey is the twenty ninth. The surveys provide regular information that cannot be obtained from other sources about the public’s health and associated factors. Each survey in the series includes core questions, and measurements such as age, sex, blood pressure, height and weight measurements and analysis of blood and saliva samples. The sample for HSE 2019 was designed to be representative of the population living in private households in England, it adopted a multi-stage stratified probability sampling design with sampling frame taken from the small user Postcode Address File (PAF). The sample consisted of 9,612 addresses selected at random in 534 postcode sectors. The HSE is a cross-sectional survey of the population. It examines associations between health states, personal </w:t>
      </w:r>
      <w:proofErr w:type="gramStart"/>
      <w:r w:rsidRPr="00004D8A">
        <w:t>characteristics</w:t>
      </w:r>
      <w:proofErr w:type="gramEnd"/>
      <w:r w:rsidRPr="00004D8A">
        <w:t xml:space="preserve"> and behaviour. </w:t>
      </w:r>
    </w:p>
    <w:p w14:paraId="21AB775B" w14:textId="02BEDEC7" w:rsidR="00977B01" w:rsidRPr="00004D8A" w:rsidRDefault="00977B01" w:rsidP="00A930A9">
      <w:pPr>
        <w:jc w:val="both"/>
      </w:pPr>
      <w:r w:rsidRPr="00004D8A">
        <w:t xml:space="preserve">The study linking mortality rate to obesity for age and sex, data was taken from the Clinical Practice Research Datalink (CPRD) (18) dataset which contains primary care records from general practitioners (GPs) covering around 9% of the UK population; with linkage to death registration data, including the date and causes of death, was available for 80% of GP clinics in England. CPRD data, including the linked subset, have been shown to be broadly representative of the general population in terms of age, sex, ethnicity, and BMI. </w:t>
      </w:r>
    </w:p>
    <w:p w14:paraId="49772B63" w14:textId="4738B1F9" w:rsidR="00D2133C" w:rsidRPr="00004D8A" w:rsidRDefault="00FB3964" w:rsidP="00181DB4">
      <w:r w:rsidRPr="00004D8A">
        <w:t xml:space="preserve">We accept that </w:t>
      </w:r>
      <w:r w:rsidR="00224FE3" w:rsidRPr="00004D8A">
        <w:t>we have not accounted for changes in BMI that may occur over time.</w:t>
      </w:r>
      <w:r w:rsidR="00D014D1" w:rsidRPr="00004D8A">
        <w:t xml:space="preserve"> There is limited date in this area.</w:t>
      </w:r>
      <w:r w:rsidR="00BF48DC" w:rsidRPr="00004D8A">
        <w:t xml:space="preserve"> It was </w:t>
      </w:r>
      <w:r w:rsidR="00224FE3" w:rsidRPr="00004D8A">
        <w:t>reported that for simple obesity (body mass index = 30.0–34.9 kg/m2)</w:t>
      </w:r>
      <w:r w:rsidR="00BF48DC" w:rsidRPr="00004D8A">
        <w:t xml:space="preserve"> (21)</w:t>
      </w:r>
      <w:r w:rsidR="00224FE3" w:rsidRPr="00004D8A">
        <w:t>, the annual probability of attaining normal weight was 1 in 210 for men and 1 in 124 for women, increasing to 1 in 1290 for men and 1 in 677 for women with morbid obesity (body mass index = 40.0–44.9 kg/m</w:t>
      </w:r>
      <w:r w:rsidR="00224FE3" w:rsidRPr="00004D8A">
        <w:rPr>
          <w:vertAlign w:val="superscript"/>
        </w:rPr>
        <w:t>2</w:t>
      </w:r>
      <w:r w:rsidR="00C92C84" w:rsidRPr="00004D8A">
        <w:t xml:space="preserve">. </w:t>
      </w:r>
      <w:r w:rsidR="00177ED4" w:rsidRPr="00004D8A">
        <w:t>Nevertheless,</w:t>
      </w:r>
      <w:r w:rsidR="00C92C84" w:rsidRPr="00004D8A">
        <w:t xml:space="preserve"> a</w:t>
      </w:r>
      <w:r w:rsidR="00224FE3" w:rsidRPr="00004D8A">
        <w:t xml:space="preserve">ccount must also be taken of those who increase weight. </w:t>
      </w:r>
      <w:r w:rsidR="00732A1D" w:rsidRPr="00004D8A">
        <w:t xml:space="preserve">In our next analyses we will take account of these factors. </w:t>
      </w:r>
    </w:p>
    <w:p w14:paraId="3FD47CD6" w14:textId="4CEB79D7" w:rsidR="00FB3964" w:rsidRPr="00004D8A" w:rsidRDefault="004E41AC" w:rsidP="00A930A9">
      <w:pPr>
        <w:jc w:val="both"/>
      </w:pPr>
      <w:r w:rsidRPr="00004D8A">
        <w:t xml:space="preserve">Regarding the geographical variations seen in HCRU, we speculate that these are underpinned by the combination of 1) factors that are not accounted for in the current modelling of socioeconomic disadvantage and 2) differences across England in policy regarding prevention of obesity and lifestyle interventions for obesity between different Clinical Commissiong Groups (CCGs) and local authorities, the latter having significant influence over matters from the provision of swimming pools and leisure </w:t>
      </w:r>
      <w:r w:rsidRPr="00004D8A">
        <w:lastRenderedPageBreak/>
        <w:t>centres to the planning regular concerning density of take-away outlets in a particular area</w:t>
      </w:r>
    </w:p>
    <w:p w14:paraId="7CBDC2CD" w14:textId="11069780" w:rsidR="00977B01" w:rsidRPr="00004D8A" w:rsidRDefault="00D2133C" w:rsidP="00A930A9">
      <w:pPr>
        <w:jc w:val="both"/>
      </w:pPr>
      <w:bookmarkStart w:id="15" w:name="_Hlk153311406"/>
      <w:r w:rsidRPr="00004D8A">
        <w:t xml:space="preserve">We have not here undertaken modelling around the precise consequences for reduction in the numbers of obese and morbidly obese individuals on associated comorbidities. </w:t>
      </w:r>
      <w:r w:rsidR="00754FEB" w:rsidRPr="00004D8A">
        <w:t>However,</w:t>
      </w:r>
      <w:r w:rsidRPr="00004D8A">
        <w:t xml:space="preserve"> there is good evidence that such reductions are associated with reduced rates of T2D (</w:t>
      </w:r>
      <w:r w:rsidRPr="00004D8A">
        <w:rPr>
          <w:shd w:val="clear" w:color="auto" w:fill="FFFFFF"/>
        </w:rPr>
        <w:t>36</w:t>
      </w:r>
      <w:r w:rsidR="00177ED4" w:rsidRPr="00004D8A">
        <w:rPr>
          <w:shd w:val="clear" w:color="auto" w:fill="FFFFFF"/>
        </w:rPr>
        <w:t xml:space="preserve">) </w:t>
      </w:r>
      <w:r w:rsidR="00177ED4" w:rsidRPr="00004D8A">
        <w:t>and</w:t>
      </w:r>
      <w:r w:rsidRPr="00004D8A">
        <w:t xml:space="preserve"> cardiovascular disease (37). Furthermore, stratification of interventions in relation towards at risk groups such as people with severe enduring mental illness (SMI) will have significant benefits in these groups in terms of improved life expectancy (</w:t>
      </w:r>
      <w:r w:rsidR="00936CDA" w:rsidRPr="00004D8A">
        <w:t>38</w:t>
      </w:r>
      <w:r w:rsidRPr="00004D8A">
        <w:t>) with the potential to improve quality of life</w:t>
      </w:r>
      <w:bookmarkEnd w:id="15"/>
      <w:r w:rsidR="00875011" w:rsidRPr="00004D8A">
        <w:t>.</w:t>
      </w:r>
    </w:p>
    <w:p w14:paraId="5E387BA1" w14:textId="17862CF8" w:rsidR="00420F5C" w:rsidRPr="00004D8A" w:rsidRDefault="00420F5C" w:rsidP="00A930A9">
      <w:pPr>
        <w:jc w:val="both"/>
      </w:pPr>
      <w:r w:rsidRPr="00004D8A">
        <w:t xml:space="preserve">The current model does not incorporate the changes in </w:t>
      </w:r>
      <w:r w:rsidR="00177ED4" w:rsidRPr="00004D8A">
        <w:t>quality-of-life</w:t>
      </w:r>
      <w:r w:rsidRPr="00004D8A">
        <w:t xml:space="preserve"> utility factor associated with aging or BMI, while this is planned as future work. </w:t>
      </w:r>
      <w:r w:rsidR="00177ED4" w:rsidRPr="00004D8A">
        <w:t>Therefore,</w:t>
      </w:r>
      <w:r w:rsidRPr="00004D8A">
        <w:t xml:space="preserve"> applying the NICE valuation for QALYs years directly to the Life Years Lost contains some degree of over valuation, which is not quantifiable at this stage.</w:t>
      </w:r>
    </w:p>
    <w:p w14:paraId="3541186D" w14:textId="77777777" w:rsidR="00D2133C" w:rsidRPr="00004D8A" w:rsidRDefault="00E42DE9" w:rsidP="00A0498E">
      <w:r w:rsidRPr="00004D8A">
        <w:t xml:space="preserve">Our data </w:t>
      </w:r>
      <w:r w:rsidR="00192ACF" w:rsidRPr="00004D8A">
        <w:t xml:space="preserve">may </w:t>
      </w:r>
      <w:r w:rsidRPr="00004D8A">
        <w:t xml:space="preserve">help </w:t>
      </w:r>
      <w:r w:rsidR="00192ACF" w:rsidRPr="00004D8A">
        <w:t xml:space="preserve">to </w:t>
      </w:r>
      <w:r w:rsidRPr="00004D8A">
        <w:t xml:space="preserve">inform policy makers regarding cost-modelling for the use of </w:t>
      </w:r>
      <w:r w:rsidR="00CD037D" w:rsidRPr="00004D8A">
        <w:t>medicines (</w:t>
      </w:r>
      <w:r w:rsidR="00A743F4" w:rsidRPr="00004D8A">
        <w:t xml:space="preserve">and/or dietary programmes or </w:t>
      </w:r>
      <w:r w:rsidR="00CD037D" w:rsidRPr="00004D8A">
        <w:t>surgery) for obesity.</w:t>
      </w:r>
      <w:r w:rsidR="001C3141" w:rsidRPr="00004D8A">
        <w:t xml:space="preserve"> </w:t>
      </w:r>
      <w:proofErr w:type="gramStart"/>
      <w:r w:rsidR="001C3141" w:rsidRPr="00004D8A">
        <w:t>In particular, our</w:t>
      </w:r>
      <w:proofErr w:type="gramEnd"/>
      <w:r w:rsidR="00883ABA" w:rsidRPr="00004D8A">
        <w:t xml:space="preserve"> baseline HCRU model could pro</w:t>
      </w:r>
      <w:r w:rsidR="00634201" w:rsidRPr="00004D8A">
        <w:t>vide</w:t>
      </w:r>
      <w:r w:rsidR="00883ABA" w:rsidRPr="00004D8A">
        <w:t xml:space="preserve"> </w:t>
      </w:r>
      <w:r w:rsidR="00192ACF" w:rsidRPr="00004D8A">
        <w:t>helpful date relating to the</w:t>
      </w:r>
      <w:r w:rsidR="00883ABA" w:rsidRPr="00004D8A">
        <w:t xml:space="preserve"> commissioning of specialist obesity services </w:t>
      </w:r>
      <w:r w:rsidR="001C3141" w:rsidRPr="00004D8A">
        <w:t xml:space="preserve">regionally, </w:t>
      </w:r>
      <w:r w:rsidR="00883ABA" w:rsidRPr="00004D8A">
        <w:t>across ICBs</w:t>
      </w:r>
      <w:r w:rsidR="00642DB2" w:rsidRPr="00004D8A">
        <w:t xml:space="preserve"> (33,34)</w:t>
      </w:r>
      <w:r w:rsidR="00A743F4" w:rsidRPr="00004D8A">
        <w:t>. Weight loss services</w:t>
      </w:r>
      <w:r w:rsidR="00883ABA" w:rsidRPr="00004D8A">
        <w:t xml:space="preserve"> c</w:t>
      </w:r>
      <w:r w:rsidR="00A743F4" w:rsidRPr="00004D8A">
        <w:t>ould</w:t>
      </w:r>
      <w:r w:rsidR="00883ABA" w:rsidRPr="00004D8A">
        <w:t xml:space="preserve"> be more HCRU cost-effective for selected patient groups including younger women (age 16-44 years) with Class III BMI. This HCRU reduction </w:t>
      </w:r>
      <w:r w:rsidR="00A015CA" w:rsidRPr="00004D8A">
        <w:t>may</w:t>
      </w:r>
      <w:r w:rsidR="00883ABA" w:rsidRPr="00004D8A">
        <w:t xml:space="preserve"> offset service provision costs</w:t>
      </w:r>
      <w:r w:rsidR="00B9783A" w:rsidRPr="00004D8A">
        <w:t>. However</w:t>
      </w:r>
      <w:r w:rsidR="005968F0" w:rsidRPr="00004D8A">
        <w:t>,</w:t>
      </w:r>
      <w:r w:rsidR="00B9783A" w:rsidRPr="00004D8A">
        <w:t xml:space="preserve"> there </w:t>
      </w:r>
      <w:r w:rsidR="005968F0" w:rsidRPr="00004D8A">
        <w:t>are</w:t>
      </w:r>
      <w:r w:rsidR="00B9783A" w:rsidRPr="00004D8A">
        <w:t xml:space="preserve"> limited data </w:t>
      </w:r>
      <w:r w:rsidR="005968F0" w:rsidRPr="00004D8A">
        <w:t>f</w:t>
      </w:r>
      <w:r w:rsidR="00B9783A" w:rsidRPr="00004D8A">
        <w:t>o</w:t>
      </w:r>
      <w:r w:rsidR="005968F0" w:rsidRPr="00004D8A">
        <w:t>r</w:t>
      </w:r>
      <w:r w:rsidR="00B9783A" w:rsidRPr="00004D8A">
        <w:t xml:space="preserve"> the longer</w:t>
      </w:r>
      <w:r w:rsidR="00F148F8" w:rsidRPr="00004D8A">
        <w:t>-</w:t>
      </w:r>
      <w:r w:rsidR="00B9783A" w:rsidRPr="00004D8A">
        <w:t xml:space="preserve">term cost outcomes of treatment under specialist weight management services in relation to bariatric surgery, medical </w:t>
      </w:r>
      <w:proofErr w:type="gramStart"/>
      <w:r w:rsidR="00B9783A" w:rsidRPr="00004D8A">
        <w:t>management</w:t>
      </w:r>
      <w:proofErr w:type="gramEnd"/>
      <w:r w:rsidR="00B9783A" w:rsidRPr="00004D8A">
        <w:t xml:space="preserve"> and psychological intervention.</w:t>
      </w:r>
      <w:r w:rsidR="00A0498E" w:rsidRPr="00004D8A">
        <w:t xml:space="preserve"> </w:t>
      </w:r>
    </w:p>
    <w:p w14:paraId="60942C68" w14:textId="7B3ED8AC" w:rsidR="0016490A" w:rsidRPr="00004D8A" w:rsidRDefault="00A0498E" w:rsidP="00A930A9">
      <w:pPr>
        <w:jc w:val="both"/>
      </w:pPr>
      <w:r w:rsidRPr="00004D8A">
        <w:t xml:space="preserve">There are major implications for healthcare policy and resource allocation in relation to our findings. </w:t>
      </w:r>
      <w:proofErr w:type="gramStart"/>
      <w:r w:rsidRPr="00004D8A">
        <w:t>In particular a</w:t>
      </w:r>
      <w:proofErr w:type="gramEnd"/>
      <w:r w:rsidRPr="00004D8A">
        <w:t xml:space="preserve"> balance has to be struck between healthcare expenditure and the potential benefits to individuals. The implications of our findings are that investment now and in the coming years in the new and emerging pharmacotherapies could improve life expectancy and the burden of comorbidity for many. </w:t>
      </w:r>
      <w:r w:rsidR="00177ED4" w:rsidRPr="00004D8A">
        <w:t>However,</w:t>
      </w:r>
      <w:r w:rsidRPr="00004D8A">
        <w:t xml:space="preserve"> it is important to consider not just years of life gained but also </w:t>
      </w:r>
      <w:proofErr w:type="gramStart"/>
      <w:r w:rsidRPr="00004D8A">
        <w:t>take into account</w:t>
      </w:r>
      <w:proofErr w:type="gramEnd"/>
      <w:r w:rsidRPr="00004D8A">
        <w:t xml:space="preserve"> quality adjusted life expectancy as recently described as the ‘QALE’ (35). This beyond the scope of this paper, the purpose of which is to set the scene for further discussion.</w:t>
      </w:r>
    </w:p>
    <w:p w14:paraId="65958B68" w14:textId="53852796" w:rsidR="00A0498E" w:rsidRPr="00004D8A" w:rsidRDefault="00D2133C" w:rsidP="00A930A9">
      <w:pPr>
        <w:jc w:val="both"/>
      </w:pPr>
      <w:r w:rsidRPr="00004D8A">
        <w:lastRenderedPageBreak/>
        <w:t xml:space="preserve">We have not here undertaken modelling around the precise consequences for reduction in the numbers of obese and morbidly obese individuals on associated comorbidities. </w:t>
      </w:r>
      <w:r w:rsidR="00177ED4" w:rsidRPr="00004D8A">
        <w:t>However,</w:t>
      </w:r>
      <w:r w:rsidRPr="00004D8A">
        <w:t xml:space="preserve"> there is good evidence that such reductions are associated with reduced rates of T2D (</w:t>
      </w:r>
      <w:r w:rsidR="00936CDA" w:rsidRPr="00004D8A">
        <w:rPr>
          <w:shd w:val="clear" w:color="auto" w:fill="FFFFFF"/>
        </w:rPr>
        <w:t>36</w:t>
      </w:r>
      <w:r w:rsidRPr="00004D8A">
        <w:rPr>
          <w:shd w:val="clear" w:color="auto" w:fill="FFFFFF"/>
        </w:rPr>
        <w:t xml:space="preserve">) </w:t>
      </w:r>
      <w:r w:rsidRPr="00004D8A">
        <w:t>and cardiovascular disease (</w:t>
      </w:r>
      <w:r w:rsidR="00936CDA" w:rsidRPr="00004D8A">
        <w:rPr>
          <w:shd w:val="clear" w:color="auto" w:fill="FFFFFF"/>
        </w:rPr>
        <w:t>37</w:t>
      </w:r>
      <w:r w:rsidRPr="00004D8A">
        <w:t>). Furthermore, stratification of interventions in relation towards at risk groups such as people with severe enduring mental illness (SMI) will have significant benefits in these groups in terms of improved life expectancy (</w:t>
      </w:r>
      <w:r w:rsidR="00936CDA" w:rsidRPr="00004D8A">
        <w:rPr>
          <w:shd w:val="clear" w:color="auto" w:fill="FFFFFF"/>
        </w:rPr>
        <w:t>38</w:t>
      </w:r>
      <w:r w:rsidRPr="00004D8A">
        <w:t xml:space="preserve">) with the potential to improve quality of </w:t>
      </w:r>
      <w:r w:rsidR="00177ED4" w:rsidRPr="00004D8A">
        <w:t>life.</w:t>
      </w:r>
    </w:p>
    <w:p w14:paraId="60E69FCB" w14:textId="77777777" w:rsidR="00875011" w:rsidRPr="00004D8A" w:rsidRDefault="00192ACF" w:rsidP="00181DB4">
      <w:r w:rsidRPr="00004D8A">
        <w:t xml:space="preserve">When the NICE £30,000 per QALY value was applied to the estimated total 791,689 Future Life Yeas Lost, then the potential QALY value lost was equivalent to £24 billion/year or £522/person in the obese population. For morbidly obese men and women the potential QALY value lost was £2864/person/year with the potential for these funds to be applied to intensive weight management programmes. This we believe is an important consideration going forward. </w:t>
      </w:r>
    </w:p>
    <w:p w14:paraId="10E3C004" w14:textId="1D74BBDF" w:rsidR="00192ACF" w:rsidRPr="00004D8A" w:rsidRDefault="00875011" w:rsidP="00A930A9">
      <w:pPr>
        <w:jc w:val="both"/>
      </w:pPr>
      <w:r w:rsidRPr="00004D8A">
        <w:t xml:space="preserve">A decrease in the incidence and prevalence of T2D and cardiovascular disease may reduce the attendant costs to any health care system. </w:t>
      </w:r>
      <w:proofErr w:type="gramStart"/>
      <w:r w:rsidRPr="00004D8A">
        <w:t>In order to</w:t>
      </w:r>
      <w:proofErr w:type="gramEnd"/>
      <w:r w:rsidRPr="00004D8A">
        <w:t xml:space="preserve"> have a significant impact, the interventions to reduce obesity rates would need to be at scale with the caveat that weight reducing strategies need to </w:t>
      </w:r>
      <w:r w:rsidR="00CD3A25">
        <w:t xml:space="preserve">be </w:t>
      </w:r>
      <w:r w:rsidR="00CD3A25" w:rsidRPr="00004D8A">
        <w:t>tailor</w:t>
      </w:r>
      <w:r w:rsidR="00CD3A25">
        <w:t>ed</w:t>
      </w:r>
      <w:r w:rsidRPr="00004D8A">
        <w:t xml:space="preserve"> to the social and cultural context of the individual while taking account of specific vulnerabilities such as learning disability or severe mental illness.</w:t>
      </w:r>
    </w:p>
    <w:p w14:paraId="7EBA12E6" w14:textId="22389086" w:rsidR="00875011" w:rsidRPr="00004D8A" w:rsidRDefault="00875011" w:rsidP="00A930A9">
      <w:pPr>
        <w:jc w:val="both"/>
      </w:pPr>
      <w:r w:rsidRPr="00004D8A">
        <w:t>Such interventions must by their nature be multidisciplinary and be flexible enough to take account of the complex interplay between obesity and comorbidities.</w:t>
      </w:r>
    </w:p>
    <w:p w14:paraId="58C860A1" w14:textId="1266D7BF" w:rsidR="00EB6D75" w:rsidRPr="00004D8A" w:rsidRDefault="00EB6D75" w:rsidP="007A387C">
      <w:r w:rsidRPr="00004D8A">
        <w:t>While the impact of obesity</w:t>
      </w:r>
      <w:r w:rsidR="005D4F4F" w:rsidRPr="00004D8A">
        <w:t xml:space="preserve"> in life expectancy and on HCRU</w:t>
      </w:r>
      <w:r w:rsidRPr="00004D8A">
        <w:t xml:space="preserve"> is the focus of this article</w:t>
      </w:r>
      <w:r w:rsidR="00440612" w:rsidRPr="00004D8A">
        <w:t>,</w:t>
      </w:r>
      <w:r w:rsidRPr="00004D8A">
        <w:t xml:space="preserve"> </w:t>
      </w:r>
      <w:r w:rsidR="00440612" w:rsidRPr="00004D8A">
        <w:t>consideration</w:t>
      </w:r>
      <w:r w:rsidRPr="00004D8A">
        <w:t xml:space="preserve"> must be </w:t>
      </w:r>
      <w:r w:rsidR="00440612" w:rsidRPr="00004D8A">
        <w:t>given to</w:t>
      </w:r>
      <w:r w:rsidRPr="00004D8A">
        <w:t xml:space="preserve"> the impact of obesity on quality of life. A recent study </w:t>
      </w:r>
      <w:bookmarkStart w:id="16" w:name="_Hlk147740433"/>
      <w:r w:rsidR="002A29F2" w:rsidRPr="00004D8A">
        <w:t xml:space="preserve">Harrison et al </w:t>
      </w:r>
      <w:r w:rsidRPr="00004D8A">
        <w:t>(</w:t>
      </w:r>
      <w:r w:rsidR="00A13D3B" w:rsidRPr="00004D8A">
        <w:t>34</w:t>
      </w:r>
      <w:r w:rsidRPr="00004D8A">
        <w:t xml:space="preserve">) </w:t>
      </w:r>
      <w:bookmarkEnd w:id="16"/>
      <w:r w:rsidRPr="00004D8A">
        <w:t>estimated that a single unit increase in BMI decreased QALYs by 0.65% of a QALY (95% confidence interval [CI]: 0.49% to 0.81%) per year and increased annual total healthcare costs by £42.23 (95% CI: £32.95 to £51.51) per person.</w:t>
      </w:r>
      <w:r w:rsidR="005D4F4F" w:rsidRPr="00004D8A">
        <w:t xml:space="preserve"> </w:t>
      </w:r>
      <w:proofErr w:type="gramStart"/>
      <w:r w:rsidR="005D4F4F" w:rsidRPr="00004D8A">
        <w:t>Thus</w:t>
      </w:r>
      <w:proofErr w:type="gramEnd"/>
      <w:r w:rsidR="005D4F4F" w:rsidRPr="00004D8A">
        <w:t xml:space="preserve"> any reduction in BMI that is achieved with a therapeutic intervention has the potential to improve quality of life.</w:t>
      </w:r>
    </w:p>
    <w:p w14:paraId="38777AD8" w14:textId="04702501" w:rsidR="00B43F32" w:rsidRPr="00004D8A" w:rsidRDefault="00B43F32" w:rsidP="006A1DD9">
      <w:pPr>
        <w:pStyle w:val="Heading1"/>
        <w:rPr>
          <w:sz w:val="24"/>
          <w:shd w:val="clear" w:color="auto" w:fill="FFFFFF"/>
        </w:rPr>
      </w:pPr>
      <w:r w:rsidRPr="00004D8A">
        <w:rPr>
          <w:sz w:val="24"/>
          <w:shd w:val="clear" w:color="auto" w:fill="FFFFFF"/>
        </w:rPr>
        <w:t>Limitations</w:t>
      </w:r>
    </w:p>
    <w:p w14:paraId="59F94C36" w14:textId="7407A7E8" w:rsidR="004E18EE" w:rsidRPr="00004D8A" w:rsidRDefault="00B43F32" w:rsidP="007A387C">
      <w:pPr>
        <w:rPr>
          <w:shd w:val="clear" w:color="auto" w:fill="FFFFFF"/>
        </w:rPr>
      </w:pPr>
      <w:r w:rsidRPr="00004D8A">
        <w:rPr>
          <w:shd w:val="clear" w:color="auto" w:fill="FFFFFF"/>
        </w:rPr>
        <w:t xml:space="preserve">All modelling is subject to inherent bias and cannot account for all </w:t>
      </w:r>
      <w:r w:rsidR="005D4F4F" w:rsidRPr="00004D8A">
        <w:rPr>
          <w:shd w:val="clear" w:color="auto" w:fill="FFFFFF"/>
        </w:rPr>
        <w:t xml:space="preserve">confounding </w:t>
      </w:r>
      <w:r w:rsidRPr="00004D8A">
        <w:rPr>
          <w:shd w:val="clear" w:color="auto" w:fill="FFFFFF"/>
        </w:rPr>
        <w:t xml:space="preserve">factors. </w:t>
      </w:r>
      <w:r w:rsidR="00EA37A6" w:rsidRPr="00004D8A">
        <w:rPr>
          <w:shd w:val="clear" w:color="auto" w:fill="FFFFFF"/>
        </w:rPr>
        <w:t xml:space="preserve">In this case we depend on the accuracy of the models we have obtained and </w:t>
      </w:r>
      <w:r w:rsidR="00EA37A6" w:rsidRPr="00004D8A">
        <w:rPr>
          <w:shd w:val="clear" w:color="auto" w:fill="FFFFFF"/>
        </w:rPr>
        <w:lastRenderedPageBreak/>
        <w:t xml:space="preserve">applied for prevalence, </w:t>
      </w:r>
      <w:r w:rsidR="00382084" w:rsidRPr="00004D8A">
        <w:rPr>
          <w:shd w:val="clear" w:color="auto" w:fill="FFFFFF"/>
        </w:rPr>
        <w:t>mortality, HCRU</w:t>
      </w:r>
      <w:r w:rsidR="002173FD" w:rsidRPr="00004D8A">
        <w:rPr>
          <w:shd w:val="clear" w:color="auto" w:fill="FFFFFF"/>
        </w:rPr>
        <w:t xml:space="preserve"> </w:t>
      </w:r>
      <w:r w:rsidR="00382084" w:rsidRPr="00004D8A">
        <w:rPr>
          <w:shd w:val="clear" w:color="auto" w:fill="FFFFFF"/>
        </w:rPr>
        <w:t>in linking to BMI and age and sex.</w:t>
      </w:r>
      <w:r w:rsidR="002173FD" w:rsidRPr="00004D8A">
        <w:rPr>
          <w:shd w:val="clear" w:color="auto" w:fill="FFFFFF"/>
        </w:rPr>
        <w:t xml:space="preserve"> </w:t>
      </w:r>
      <w:r w:rsidR="004E18EE" w:rsidRPr="00004D8A">
        <w:t>HCRU data taken from Ward et al (</w:t>
      </w:r>
      <w:r w:rsidR="00A13D3B" w:rsidRPr="00004D8A">
        <w:t>20</w:t>
      </w:r>
      <w:r w:rsidR="004E18EE" w:rsidRPr="00004D8A">
        <w:t>) where BMI-related health care expenditures in the USA was estimated using data from the Medical Expenditure Panel Survey (MEPS). This is such detailed stratified HCRU data is not available in the UK</w:t>
      </w:r>
      <w:r w:rsidR="00A13D3B" w:rsidRPr="00004D8A">
        <w:t xml:space="preserve"> (3</w:t>
      </w:r>
      <w:r w:rsidR="00642DB2" w:rsidRPr="00004D8A">
        <w:t>4</w:t>
      </w:r>
      <w:r w:rsidR="00A13D3B" w:rsidRPr="00004D8A">
        <w:t>)</w:t>
      </w:r>
      <w:r w:rsidR="004E18EE" w:rsidRPr="00004D8A">
        <w:t>.</w:t>
      </w:r>
    </w:p>
    <w:p w14:paraId="423A4821" w14:textId="30F48436" w:rsidR="008E2C60" w:rsidRPr="00004D8A" w:rsidRDefault="002173FD" w:rsidP="008E2C60">
      <w:pPr>
        <w:rPr>
          <w:rFonts w:asciiTheme="minorHAnsi" w:hAnsiTheme="minorHAnsi" w:cstheme="minorBidi"/>
          <w:i/>
          <w:iCs/>
          <w:sz w:val="22"/>
          <w:szCs w:val="22"/>
        </w:rPr>
      </w:pPr>
      <w:r w:rsidRPr="00004D8A">
        <w:rPr>
          <w:shd w:val="clear" w:color="auto" w:fill="FFFFFF"/>
        </w:rPr>
        <w:t xml:space="preserve">We accept </w:t>
      </w:r>
      <w:r w:rsidR="00911F3E" w:rsidRPr="00004D8A">
        <w:rPr>
          <w:shd w:val="clear" w:color="auto" w:fill="FFFFFF"/>
        </w:rPr>
        <w:t>a</w:t>
      </w:r>
      <w:r w:rsidR="00B43F32" w:rsidRPr="00004D8A">
        <w:rPr>
          <w:shd w:val="clear" w:color="auto" w:fill="FFFFFF"/>
        </w:rPr>
        <w:t xml:space="preserve"> limitation is that we have not </w:t>
      </w:r>
      <w:r w:rsidR="004755CD" w:rsidRPr="00004D8A">
        <w:rPr>
          <w:shd w:val="clear" w:color="auto" w:fill="FFFFFF"/>
        </w:rPr>
        <w:t xml:space="preserve">addressed </w:t>
      </w:r>
      <w:r w:rsidR="00911F3E" w:rsidRPr="00004D8A">
        <w:rPr>
          <w:shd w:val="clear" w:color="auto" w:fill="FFFFFF"/>
        </w:rPr>
        <w:t xml:space="preserve">is </w:t>
      </w:r>
      <w:r w:rsidR="004755CD" w:rsidRPr="00004D8A">
        <w:rPr>
          <w:shd w:val="clear" w:color="auto" w:fill="FFFFFF"/>
        </w:rPr>
        <w:t xml:space="preserve">third party factors – </w:t>
      </w:r>
      <w:r w:rsidR="00197BEE" w:rsidRPr="00004D8A">
        <w:rPr>
          <w:shd w:val="clear" w:color="auto" w:fill="FFFFFF"/>
        </w:rPr>
        <w:t>i.e.</w:t>
      </w:r>
      <w:r w:rsidR="004755CD" w:rsidRPr="00004D8A">
        <w:rPr>
          <w:shd w:val="clear" w:color="auto" w:fill="FFFFFF"/>
        </w:rPr>
        <w:t xml:space="preserve"> the cost to others.</w:t>
      </w:r>
      <w:r w:rsidR="00D46E90" w:rsidRPr="00004D8A">
        <w:rPr>
          <w:shd w:val="clear" w:color="auto" w:fill="FFFFFF"/>
        </w:rPr>
        <w:t xml:space="preserve"> One such person is the patient themselves.</w:t>
      </w:r>
      <w:r w:rsidR="004755CD" w:rsidRPr="00004D8A">
        <w:rPr>
          <w:shd w:val="clear" w:color="auto" w:fill="FFFFFF"/>
        </w:rPr>
        <w:t xml:space="preserve"> </w:t>
      </w:r>
      <w:r w:rsidR="00FC39A1" w:rsidRPr="00004D8A">
        <w:rPr>
          <w:shd w:val="clear" w:color="auto" w:fill="FFFFFF"/>
        </w:rPr>
        <w:t xml:space="preserve">One BMI point above 30 </w:t>
      </w:r>
      <w:r w:rsidR="00D46E90" w:rsidRPr="00004D8A">
        <w:rPr>
          <w:shd w:val="clear" w:color="auto" w:fill="FFFFFF"/>
        </w:rPr>
        <w:t>kg/m</w:t>
      </w:r>
      <w:r w:rsidR="00D46E90" w:rsidRPr="00004D8A">
        <w:rPr>
          <w:shd w:val="clear" w:color="auto" w:fill="FFFFFF"/>
          <w:vertAlign w:val="superscript"/>
        </w:rPr>
        <w:t>2</w:t>
      </w:r>
      <w:r w:rsidR="00D46E90" w:rsidRPr="00004D8A">
        <w:rPr>
          <w:shd w:val="clear" w:color="auto" w:fill="FFFFFF"/>
        </w:rPr>
        <w:t xml:space="preserve"> </w:t>
      </w:r>
      <w:r w:rsidR="00FC39A1" w:rsidRPr="00004D8A">
        <w:rPr>
          <w:shd w:val="clear" w:color="auto" w:fill="FFFFFF"/>
        </w:rPr>
        <w:t>has been associated with a 2% decrease in income</w:t>
      </w:r>
      <w:r w:rsidR="00A13D3B" w:rsidRPr="00004D8A">
        <w:rPr>
          <w:shd w:val="clear" w:color="auto" w:fill="FFFFFF"/>
        </w:rPr>
        <w:t xml:space="preserve"> (</w:t>
      </w:r>
      <w:r w:rsidR="00936CDA" w:rsidRPr="00004D8A">
        <w:rPr>
          <w:shd w:val="clear" w:color="auto" w:fill="FFFFFF"/>
        </w:rPr>
        <w:t>39,40</w:t>
      </w:r>
      <w:r w:rsidR="00A13D3B" w:rsidRPr="00004D8A">
        <w:rPr>
          <w:shd w:val="clear" w:color="auto" w:fill="FFFFFF"/>
        </w:rPr>
        <w:t>)</w:t>
      </w:r>
      <w:r w:rsidR="00D46E90" w:rsidRPr="00004D8A">
        <w:rPr>
          <w:shd w:val="clear" w:color="auto" w:fill="FFFFFF"/>
        </w:rPr>
        <w:t xml:space="preserve">. </w:t>
      </w:r>
      <w:r w:rsidR="00031A85" w:rsidRPr="00004D8A">
        <w:rPr>
          <w:shd w:val="clear" w:color="auto" w:fill="FFFFFF"/>
        </w:rPr>
        <w:t>Furthermore,</w:t>
      </w:r>
      <w:r w:rsidR="004755CD" w:rsidRPr="00004D8A">
        <w:rPr>
          <w:shd w:val="clear" w:color="auto" w:fill="FFFFFF"/>
        </w:rPr>
        <w:t xml:space="preserve"> BMI is inferior to waist circumference or waist</w:t>
      </w:r>
      <w:r w:rsidR="00E33ABF" w:rsidRPr="00004D8A">
        <w:rPr>
          <w:shd w:val="clear" w:color="auto" w:fill="FFFFFF"/>
        </w:rPr>
        <w:t xml:space="preserve"> to hip</w:t>
      </w:r>
      <w:r w:rsidR="004755CD" w:rsidRPr="00004D8A">
        <w:rPr>
          <w:shd w:val="clear" w:color="auto" w:fill="FFFFFF"/>
        </w:rPr>
        <w:t xml:space="preserve"> ratio </w:t>
      </w:r>
      <w:r w:rsidR="00E33ABF" w:rsidRPr="00004D8A">
        <w:rPr>
          <w:shd w:val="clear" w:color="auto" w:fill="FFFFFF"/>
        </w:rPr>
        <w:t xml:space="preserve">in discriminating for adverse cardiometabolic outcomes </w:t>
      </w:r>
      <w:r w:rsidR="000E547E" w:rsidRPr="00004D8A">
        <w:rPr>
          <w:shd w:val="clear" w:color="auto" w:fill="FFFFFF"/>
        </w:rPr>
        <w:t>(</w:t>
      </w:r>
      <w:r w:rsidR="00936CDA" w:rsidRPr="00004D8A">
        <w:rPr>
          <w:shd w:val="clear" w:color="auto" w:fill="FFFFFF"/>
        </w:rPr>
        <w:t>41,42</w:t>
      </w:r>
      <w:r w:rsidR="000E547E" w:rsidRPr="00004D8A">
        <w:rPr>
          <w:shd w:val="clear" w:color="auto" w:fill="FFFFFF"/>
        </w:rPr>
        <w:t>)</w:t>
      </w:r>
      <w:r w:rsidR="00E33ABF" w:rsidRPr="00004D8A">
        <w:rPr>
          <w:shd w:val="clear" w:color="auto" w:fill="FFFFFF"/>
        </w:rPr>
        <w:t xml:space="preserve">. </w:t>
      </w:r>
      <w:r w:rsidR="00487C0E" w:rsidRPr="00004D8A">
        <w:rPr>
          <w:shd w:val="clear" w:color="auto" w:fill="FFFFFF"/>
        </w:rPr>
        <w:t>The</w:t>
      </w:r>
      <w:r w:rsidR="009921EF" w:rsidRPr="00004D8A">
        <w:rPr>
          <w:shd w:val="clear" w:color="auto" w:fill="FFFFFF"/>
        </w:rPr>
        <w:t xml:space="preserve"> </w:t>
      </w:r>
      <w:r w:rsidR="00843992" w:rsidRPr="00004D8A">
        <w:rPr>
          <w:shd w:val="clear" w:color="auto" w:fill="FFFFFF"/>
        </w:rPr>
        <w:t xml:space="preserve">aggregated </w:t>
      </w:r>
      <w:r w:rsidR="009921EF" w:rsidRPr="00004D8A">
        <w:rPr>
          <w:shd w:val="clear" w:color="auto" w:fill="FFFFFF"/>
        </w:rPr>
        <w:t xml:space="preserve">public health data that we accessed did not include these measures. </w:t>
      </w:r>
      <w:r w:rsidR="009B6524" w:rsidRPr="00004D8A">
        <w:rPr>
          <w:shd w:val="clear" w:color="auto" w:fill="FFFFFF"/>
        </w:rPr>
        <w:t>A further point is that our</w:t>
      </w:r>
      <w:r w:rsidR="009B6524" w:rsidRPr="00004D8A">
        <w:t xml:space="preserve"> model had a maximum age of 90 years and so all future expected life years above 90 years were costed at the 90-year HCRU value.</w:t>
      </w:r>
      <w:r w:rsidR="008E2C60" w:rsidRPr="00004D8A">
        <w:rPr>
          <w:rFonts w:asciiTheme="minorHAnsi" w:hAnsiTheme="minorHAnsi" w:cstheme="minorBidi"/>
          <w:i/>
          <w:iCs/>
          <w:sz w:val="22"/>
          <w:szCs w:val="22"/>
        </w:rPr>
        <w:t xml:space="preserve"> </w:t>
      </w:r>
    </w:p>
    <w:p w14:paraId="72658939" w14:textId="6F194799" w:rsidR="008E2C60" w:rsidRPr="00004D8A" w:rsidRDefault="008E2C60" w:rsidP="00A930A9">
      <w:pPr>
        <w:jc w:val="both"/>
      </w:pPr>
      <w:r w:rsidRPr="00004D8A">
        <w:t>The main total HCRU use and split by age and sex was taken from NHS England data</w:t>
      </w:r>
      <w:r w:rsidR="00951E56" w:rsidRPr="00004D8A">
        <w:t xml:space="preserve">. The North </w:t>
      </w:r>
      <w:r w:rsidRPr="00004D8A">
        <w:t xml:space="preserve">American BMI data model results were used to split this English HCRU/person by age and sex across the chosen BMI classes by age and sex. </w:t>
      </w:r>
      <w:r w:rsidR="002B7390" w:rsidRPr="00004D8A">
        <w:t>Unfortunately,</w:t>
      </w:r>
      <w:r w:rsidRPr="00004D8A">
        <w:t xml:space="preserve"> there is no English or United Kingdom data that provides this level of detail; </w:t>
      </w:r>
      <w:r w:rsidR="00951E56" w:rsidRPr="00004D8A">
        <w:t xml:space="preserve">the </w:t>
      </w:r>
      <w:r w:rsidRPr="00004D8A">
        <w:t xml:space="preserve">closest we found was given </w:t>
      </w:r>
      <w:r w:rsidR="00951E56" w:rsidRPr="00004D8A">
        <w:t xml:space="preserve">by le Roux et al (18) </w:t>
      </w:r>
      <w:r w:rsidRPr="00004D8A">
        <w:t>which examined the HCRU through CPRD data impact of diabetes however it did not provide</w:t>
      </w:r>
      <w:r w:rsidR="002A2CBE" w:rsidRPr="00004D8A">
        <w:t xml:space="preserve"> the granularity of data detail that we needed for this paper. </w:t>
      </w:r>
    </w:p>
    <w:p w14:paraId="57581799" w14:textId="16E0DA43" w:rsidR="00C35292" w:rsidRPr="00004D8A" w:rsidRDefault="00C35292" w:rsidP="007A387C">
      <w:pPr>
        <w:rPr>
          <w:shd w:val="clear" w:color="auto" w:fill="FFFFFF"/>
        </w:rPr>
      </w:pPr>
      <w:r w:rsidRPr="00004D8A">
        <w:rPr>
          <w:rStyle w:val="cf01"/>
          <w:rFonts w:ascii="Arial" w:hAnsi="Arial" w:cs="Arial"/>
          <w:sz w:val="24"/>
          <w:szCs w:val="24"/>
        </w:rPr>
        <w:t xml:space="preserve">The statements about the effects of BMI intervention based on data derived from the counterfactual analysis is potentially flawed by confounding factors such as poor mental health, high </w:t>
      </w:r>
      <w:r w:rsidR="0012331A" w:rsidRPr="00004D8A">
        <w:rPr>
          <w:rStyle w:val="cf01"/>
          <w:rFonts w:ascii="Arial" w:hAnsi="Arial" w:cs="Arial"/>
          <w:sz w:val="24"/>
          <w:szCs w:val="24"/>
        </w:rPr>
        <w:t>cholesterol levels</w:t>
      </w:r>
      <w:r w:rsidR="00642DB2" w:rsidRPr="00004D8A">
        <w:rPr>
          <w:rStyle w:val="cf01"/>
          <w:rFonts w:ascii="Arial" w:hAnsi="Arial" w:cs="Arial"/>
          <w:sz w:val="24"/>
          <w:szCs w:val="24"/>
        </w:rPr>
        <w:t xml:space="preserve"> </w:t>
      </w:r>
      <w:r w:rsidRPr="00004D8A">
        <w:rPr>
          <w:rStyle w:val="cf01"/>
          <w:rFonts w:ascii="Arial" w:hAnsi="Arial" w:cs="Arial"/>
          <w:sz w:val="24"/>
          <w:szCs w:val="24"/>
        </w:rPr>
        <w:t>and smoking that are linked to obesity and adverse health outcomes such as mortality risk but not accounted for in the analysis. I would suggest adding a comment about this in the limitations section of the discussion.</w:t>
      </w:r>
    </w:p>
    <w:p w14:paraId="147BAB81" w14:textId="18711E4F" w:rsidR="008A13D7" w:rsidRPr="00004D8A" w:rsidRDefault="00E33ABF" w:rsidP="006A1DD9">
      <w:pPr>
        <w:pStyle w:val="Heading1"/>
      </w:pPr>
      <w:r w:rsidRPr="00004D8A">
        <w:rPr>
          <w:shd w:val="clear" w:color="auto" w:fill="FFFFFF"/>
        </w:rPr>
        <w:t>Conclusion</w:t>
      </w:r>
    </w:p>
    <w:p w14:paraId="6F46F4CF" w14:textId="1B4D68C1" w:rsidR="000D4964" w:rsidRPr="00004D8A" w:rsidRDefault="008A13D7" w:rsidP="00C82013">
      <w:pPr>
        <w:jc w:val="both"/>
      </w:pPr>
      <w:r w:rsidRPr="00004D8A">
        <w:t>We have shown a high relative prevalence in younger women (age 16-4</w:t>
      </w:r>
      <w:r w:rsidR="00624F55" w:rsidRPr="00004D8A">
        <w:t>9</w:t>
      </w:r>
      <w:r w:rsidRPr="00004D8A">
        <w:t xml:space="preserve">) of Class III obesity with national lifetime relative costs of obesity equating </w:t>
      </w:r>
      <w:r w:rsidR="00D801BC" w:rsidRPr="00004D8A">
        <w:t>to approximately 3.5</w:t>
      </w:r>
      <w:r w:rsidRPr="00004D8A">
        <w:t>% of the current National Health</w:t>
      </w:r>
      <w:r w:rsidR="008A32DB" w:rsidRPr="00004D8A">
        <w:t xml:space="preserve"> annual</w:t>
      </w:r>
      <w:r w:rsidRPr="00004D8A">
        <w:t xml:space="preserve"> total expenditure. Reductions in ongoing HCRU for morbidly obese patients treated with Tier 3 weight management services </w:t>
      </w:r>
      <w:r w:rsidR="0012331A" w:rsidRPr="00004D8A">
        <w:t>might</w:t>
      </w:r>
      <w:r w:rsidRPr="00004D8A">
        <w:t xml:space="preserve"> </w:t>
      </w:r>
      <w:r w:rsidRPr="00004D8A">
        <w:lastRenderedPageBreak/>
        <w:t>offer a significant offset to the longer</w:t>
      </w:r>
      <w:r w:rsidR="0002612A" w:rsidRPr="00004D8A">
        <w:t>-</w:t>
      </w:r>
      <w:r w:rsidRPr="00004D8A">
        <w:t xml:space="preserve">term health management costs as could the current and future developments in weight mitigating pharmacotherapy. </w:t>
      </w:r>
    </w:p>
    <w:p w14:paraId="17315BB9" w14:textId="77777777" w:rsidR="00780778" w:rsidRPr="00671714" w:rsidRDefault="00780778" w:rsidP="00671714">
      <w:pPr>
        <w:pStyle w:val="NoSpacing"/>
        <w:spacing w:after="120" w:line="360" w:lineRule="auto"/>
        <w:jc w:val="both"/>
        <w:rPr>
          <w:rFonts w:ascii="Arial" w:eastAsiaTheme="minorHAnsi" w:hAnsi="Arial" w:cs="Arial"/>
          <w:kern w:val="2"/>
          <w:sz w:val="24"/>
          <w:szCs w:val="24"/>
          <w14:ligatures w14:val="standardContextual"/>
        </w:rPr>
      </w:pPr>
      <w:r w:rsidRPr="00671714">
        <w:rPr>
          <w:rFonts w:ascii="Arial" w:eastAsiaTheme="minorHAnsi" w:hAnsi="Arial" w:cs="Arial"/>
          <w:kern w:val="2"/>
          <w:sz w:val="24"/>
          <w:szCs w:val="24"/>
          <w14:ligatures w14:val="standardContextual"/>
        </w:rPr>
        <w:t xml:space="preserve">Lifetime-HCRU are mitigated by the increased mortality of obese individuals. Our data suggest that simple short term HCRU reduction brought about through BMI reduction will be insufficient to fund additional specialist weight reduction interventions. </w:t>
      </w:r>
    </w:p>
    <w:p w14:paraId="6055382D" w14:textId="16D2E34D" w:rsidR="00002114" w:rsidRPr="00004D8A" w:rsidRDefault="002B7390" w:rsidP="00780778">
      <w:pPr>
        <w:jc w:val="both"/>
      </w:pPr>
      <w:r w:rsidRPr="00004D8A">
        <w:t>However,</w:t>
      </w:r>
      <w:r w:rsidR="00780778" w:rsidRPr="00004D8A">
        <w:t xml:space="preserve"> for morbidly obese men and women the potential QALY value lost was £2864/person/year with the potential for these funds to be applied to intensive weight management programmes including pharmacotherapy.</w:t>
      </w:r>
    </w:p>
    <w:p w14:paraId="7A927455" w14:textId="35E17219" w:rsidR="00624F55" w:rsidRPr="00004D8A" w:rsidRDefault="00624F55" w:rsidP="00C82013">
      <w:pPr>
        <w:jc w:val="both"/>
      </w:pPr>
      <w:r w:rsidRPr="00004D8A">
        <w:t xml:space="preserve">Younger people with obesity do not cost much must more at their current </w:t>
      </w:r>
      <w:r w:rsidR="002B7390" w:rsidRPr="00004D8A">
        <w:t>age but</w:t>
      </w:r>
      <w:r w:rsidRPr="00004D8A">
        <w:t xml:space="preserve"> will cost</w:t>
      </w:r>
      <w:r w:rsidR="00BD6C54" w:rsidRPr="00004D8A">
        <w:t xml:space="preserve"> much</w:t>
      </w:r>
      <w:r w:rsidRPr="00004D8A">
        <w:t xml:space="preserve"> more in the future</w:t>
      </w:r>
      <w:r w:rsidR="00BD6C54" w:rsidRPr="00004D8A">
        <w:t xml:space="preserve"> in terms of HCRU.</w:t>
      </w:r>
      <w:r w:rsidRPr="00004D8A">
        <w:t xml:space="preserve"> Effective weight reduction strategies have the potential significantly to reduce health </w:t>
      </w:r>
      <w:r w:rsidR="00823881" w:rsidRPr="00004D8A">
        <w:t>c</w:t>
      </w:r>
      <w:r w:rsidRPr="00004D8A">
        <w:t xml:space="preserve">are costs year on year while allowing people to achieve their full life years potential. </w:t>
      </w:r>
    </w:p>
    <w:p w14:paraId="067A2BC8" w14:textId="77777777" w:rsidR="00823881" w:rsidRPr="00004D8A" w:rsidRDefault="00823881" w:rsidP="00C82013">
      <w:pPr>
        <w:jc w:val="both"/>
      </w:pPr>
    </w:p>
    <w:p w14:paraId="6B4EEF07" w14:textId="3D58A156" w:rsidR="00711441" w:rsidRPr="00004D8A" w:rsidRDefault="00711441" w:rsidP="00711441">
      <w:pPr>
        <w:rPr>
          <w:b/>
        </w:rPr>
      </w:pPr>
      <w:r w:rsidRPr="00004D8A">
        <w:rPr>
          <w:b/>
        </w:rPr>
        <w:t>Figure Legends</w:t>
      </w:r>
    </w:p>
    <w:p w14:paraId="30E0ADA3" w14:textId="2B93EA10" w:rsidR="00A04C21" w:rsidRPr="00004D8A" w:rsidRDefault="00A04C21" w:rsidP="00A04C21">
      <w:r w:rsidRPr="00004D8A">
        <w:t xml:space="preserve">Figure 1: Data Sources and Integration. </w:t>
      </w:r>
    </w:p>
    <w:p w14:paraId="099F4189" w14:textId="7E910903" w:rsidR="00711441" w:rsidRPr="00004D8A" w:rsidRDefault="00A04C21" w:rsidP="00F10E7C">
      <w:pPr>
        <w:pStyle w:val="NoSpacing"/>
      </w:pPr>
      <w:r w:rsidRPr="00004D8A">
        <w:t xml:space="preserve">R = reference in figure (publication reference number) R1 = Population by Age &amp; Sex – ONS (10) / R2 = NHS England Integrated care board (ICB) core services target allocation </w:t>
      </w:r>
      <w:proofErr w:type="spellStart"/>
      <w:r w:rsidRPr="00004D8A">
        <w:t>incl</w:t>
      </w:r>
      <w:proofErr w:type="spellEnd"/>
      <w:r w:rsidRPr="00004D8A">
        <w:t xml:space="preserve"> Population by Deprivation analysis (11) / R3 = ONS Life tables 2017-2019 (12) / R4 = ONS numbers of deaths and age-standardised mortality rates by deprivation decile (13) / R5 = NHS England allocation of resources 2022/2023 (14) / R6 = Acute Patient Level Activity and Costing, 2019-2020 Experimental statistics by Age Group and Sex and Deprivation, (15) / R7 = NHS Digital Health of Nation 2019 Prevalence of Obesity by age and sex and Deprivation, (16) / R8 = Impact of Obesity on Mortality Association of BMI with overall and cause-specific mortality: a population-based cohort study of 3.6 million adults in the UK </w:t>
      </w:r>
      <w:proofErr w:type="spellStart"/>
      <w:r w:rsidRPr="00004D8A">
        <w:t>Bhaskaren</w:t>
      </w:r>
      <w:proofErr w:type="spellEnd"/>
      <w:r w:rsidRPr="00004D8A">
        <w:t xml:space="preserve"> et al, (19) / R9 = Association of body mass index with health care expenditures in the United States by age and sex Ward et al (2021) (20)</w:t>
      </w:r>
      <w:r w:rsidR="00BF6D09" w:rsidRPr="00004D8A">
        <w:t>.</w:t>
      </w:r>
    </w:p>
    <w:p w14:paraId="5117A54E" w14:textId="77777777" w:rsidR="00F10E7C" w:rsidRPr="00004D8A" w:rsidRDefault="00F10E7C" w:rsidP="00F10E7C">
      <w:pPr>
        <w:pStyle w:val="NoSpacing"/>
      </w:pPr>
    </w:p>
    <w:p w14:paraId="3DA1CDD5" w14:textId="4C67FC92" w:rsidR="00711441" w:rsidRPr="00004D8A" w:rsidRDefault="00711441" w:rsidP="00711441">
      <w:r w:rsidRPr="00004D8A">
        <w:t>Figure 2:  Distribution of Population within Obesity Class by Age and Sex</w:t>
      </w:r>
      <w:r w:rsidR="00BF6D09" w:rsidRPr="00004D8A">
        <w:t>.</w:t>
      </w:r>
    </w:p>
    <w:p w14:paraId="622D4776" w14:textId="6B48E2BC" w:rsidR="003C0C5B" w:rsidRPr="00004D8A" w:rsidRDefault="00711441" w:rsidP="007A387C">
      <w:r w:rsidRPr="00004D8A">
        <w:t xml:space="preserve">Figure 3: Expected Future Life Years lost / person compared to BMI &lt;25 </w:t>
      </w:r>
      <w:r w:rsidR="003C0C5B" w:rsidRPr="00004D8A">
        <w:t>kg/m</w:t>
      </w:r>
      <w:r w:rsidR="003C0C5B" w:rsidRPr="00004D8A">
        <w:rPr>
          <w:vertAlign w:val="superscript"/>
        </w:rPr>
        <w:t>2</w:t>
      </w:r>
      <w:r w:rsidR="003C0C5B" w:rsidRPr="00004D8A">
        <w:t xml:space="preserve"> </w:t>
      </w:r>
      <w:r w:rsidRPr="00004D8A">
        <w:t xml:space="preserve">split by sex, </w:t>
      </w:r>
      <w:proofErr w:type="gramStart"/>
      <w:r w:rsidRPr="00004D8A">
        <w:t>age</w:t>
      </w:r>
      <w:proofErr w:type="gramEnd"/>
      <w:r w:rsidRPr="00004D8A">
        <w:t xml:space="preserve"> and BMI. </w:t>
      </w:r>
    </w:p>
    <w:p w14:paraId="662F35A3" w14:textId="32211CDA" w:rsidR="00DC69C0" w:rsidRPr="00004D8A" w:rsidRDefault="00BC587E" w:rsidP="007A387C">
      <w:r w:rsidRPr="00004D8A">
        <w:t>Table Legends</w:t>
      </w:r>
    </w:p>
    <w:p w14:paraId="2531742E" w14:textId="3EE557A4" w:rsidR="00BC587E" w:rsidRPr="00004D8A" w:rsidRDefault="00BC587E" w:rsidP="007A387C">
      <w:r w:rsidRPr="00004D8A">
        <w:t xml:space="preserve">Table 1: Obesity Class Prevalence by age, </w:t>
      </w:r>
      <w:proofErr w:type="gramStart"/>
      <w:r w:rsidRPr="00004D8A">
        <w:t>sex</w:t>
      </w:r>
      <w:proofErr w:type="gramEnd"/>
      <w:r w:rsidRPr="00004D8A">
        <w:t xml:space="preserve"> and deprivation</w:t>
      </w:r>
    </w:p>
    <w:p w14:paraId="1B040859" w14:textId="25EBB8DA" w:rsidR="00BC587E" w:rsidRPr="00004D8A" w:rsidRDefault="00BC587E" w:rsidP="007A387C">
      <w:r w:rsidRPr="00004D8A">
        <w:t>Table 2: Impact of Obesity on Expected Deaths based ONS Life tables, split by age group, sex, and BMI Class</w:t>
      </w:r>
    </w:p>
    <w:p w14:paraId="4452D31D" w14:textId="18CF6F01" w:rsidR="00BC587E" w:rsidRPr="00004D8A" w:rsidRDefault="00BC587E" w:rsidP="007A387C">
      <w:r w:rsidRPr="00004D8A">
        <w:lastRenderedPageBreak/>
        <w:t xml:space="preserve">Table 3: Impact of Obesity on Expected Future Life </w:t>
      </w:r>
      <w:r w:rsidR="003B3C4F" w:rsidRPr="00004D8A">
        <w:t>Years /</w:t>
      </w:r>
      <w:r w:rsidRPr="00004D8A">
        <w:t xml:space="preserve"> person and Expected Future Life Years Lost overall through early </w:t>
      </w:r>
      <w:r w:rsidR="00754FEB" w:rsidRPr="00004D8A">
        <w:t>death.</w:t>
      </w:r>
    </w:p>
    <w:p w14:paraId="2E6317D1" w14:textId="319AC254" w:rsidR="00BC587E" w:rsidRPr="00004D8A" w:rsidRDefault="00BC587E" w:rsidP="00BC587E">
      <w:r w:rsidRPr="00004D8A">
        <w:t>Table 4: Annual Healthcare Resource Use per person of Obesity Class. Data are split by age and sex and compared to a value costed for BMI&lt;25 kg/</w:t>
      </w:r>
      <w:r w:rsidR="003B3C4F" w:rsidRPr="00004D8A">
        <w:t>m2.</w:t>
      </w:r>
    </w:p>
    <w:p w14:paraId="5D57CDBF" w14:textId="72F4090F" w:rsidR="00BC587E" w:rsidRPr="00004D8A" w:rsidRDefault="00BC587E" w:rsidP="007A387C">
      <w:r w:rsidRPr="00004D8A">
        <w:t>Table</w:t>
      </w:r>
      <w:r w:rsidR="00546907" w:rsidRPr="00004D8A">
        <w:t xml:space="preserve"> 5</w:t>
      </w:r>
      <w:r w:rsidRPr="00004D8A">
        <w:t xml:space="preserve">: Lifetime HCRU Total and / person split by sex and gender A) Model B) if both HCRU and Life years were for BMI&lt;25 C) HCRU Model and Life years based on age &amp; </w:t>
      </w:r>
      <w:r w:rsidR="003B3C4F" w:rsidRPr="00004D8A">
        <w:t>sex.</w:t>
      </w:r>
    </w:p>
    <w:p w14:paraId="296C26BA" w14:textId="2CD4CCDD" w:rsidR="00BC587E" w:rsidRPr="00004D8A" w:rsidRDefault="00BC587E" w:rsidP="007A387C">
      <w:r w:rsidRPr="00004D8A">
        <w:t xml:space="preserve">Table 6: Obese Indicators calculated at ICB level based on demographics and NHS 2022/23 HCRU allocation to </w:t>
      </w:r>
      <w:r w:rsidR="003B3C4F" w:rsidRPr="00004D8A">
        <w:t>ICBs.</w:t>
      </w:r>
    </w:p>
    <w:p w14:paraId="0E1028DC" w14:textId="01CA7DCA" w:rsidR="001C6D65" w:rsidRPr="00004D8A" w:rsidRDefault="001C6D65" w:rsidP="00A20B2E">
      <w:pPr>
        <w:pStyle w:val="Heading2"/>
        <w:rPr>
          <w:color w:val="auto"/>
        </w:rPr>
      </w:pPr>
      <w:r w:rsidRPr="00004D8A">
        <w:rPr>
          <w:color w:val="auto"/>
        </w:rPr>
        <w:t>Acknowledgement</w:t>
      </w:r>
      <w:r w:rsidR="003C0C5B" w:rsidRPr="00004D8A">
        <w:rPr>
          <w:color w:val="auto"/>
        </w:rPr>
        <w:t>s</w:t>
      </w:r>
    </w:p>
    <w:p w14:paraId="1CFC3CC4" w14:textId="18BC0969" w:rsidR="001C6D65" w:rsidRPr="00004D8A" w:rsidRDefault="006C3C7F" w:rsidP="001C6D65">
      <w:pPr>
        <w:spacing w:line="480" w:lineRule="auto"/>
      </w:pPr>
      <w:r w:rsidRPr="00004D8A">
        <w:t>This work was supported by the NIHR Manchester Biomedical Research Centre</w:t>
      </w:r>
    </w:p>
    <w:p w14:paraId="13B3F190" w14:textId="77777777" w:rsidR="001C6D65" w:rsidRPr="00004D8A" w:rsidRDefault="001C6D65" w:rsidP="00A20B2E">
      <w:pPr>
        <w:pStyle w:val="Heading2"/>
        <w:rPr>
          <w:color w:val="auto"/>
        </w:rPr>
      </w:pPr>
      <w:r w:rsidRPr="00004D8A">
        <w:rPr>
          <w:color w:val="auto"/>
        </w:rPr>
        <w:t>Conflict of interest</w:t>
      </w:r>
    </w:p>
    <w:p w14:paraId="309715F0" w14:textId="04FD3D39" w:rsidR="001C6D65" w:rsidRPr="00004D8A" w:rsidRDefault="001C6D65" w:rsidP="001C6D65">
      <w:pPr>
        <w:spacing w:line="480" w:lineRule="auto"/>
      </w:pPr>
      <w:r w:rsidRPr="00004D8A">
        <w:t xml:space="preserve">No author has any conflict of </w:t>
      </w:r>
      <w:r w:rsidR="003B3C4F" w:rsidRPr="00004D8A">
        <w:t>interest.</w:t>
      </w:r>
    </w:p>
    <w:p w14:paraId="6C581861" w14:textId="3A4F69D5" w:rsidR="001C6D65" w:rsidRPr="00004D8A" w:rsidRDefault="001C6D65" w:rsidP="00A20B2E">
      <w:pPr>
        <w:pStyle w:val="Heading2"/>
        <w:rPr>
          <w:color w:val="auto"/>
        </w:rPr>
      </w:pPr>
      <w:r w:rsidRPr="00004D8A">
        <w:rPr>
          <w:color w:val="auto"/>
        </w:rPr>
        <w:t>Funding</w:t>
      </w:r>
    </w:p>
    <w:p w14:paraId="5FAEC0E4" w14:textId="4D9A8EC4" w:rsidR="001C6D65" w:rsidRPr="00004D8A" w:rsidRDefault="001C6D65" w:rsidP="001C6D65">
      <w:pPr>
        <w:spacing w:line="480" w:lineRule="auto"/>
      </w:pPr>
      <w:r w:rsidRPr="00004D8A">
        <w:t xml:space="preserve">There was no external funding for the work reported </w:t>
      </w:r>
      <w:r w:rsidR="003B3C4F" w:rsidRPr="00004D8A">
        <w:t>here.</w:t>
      </w:r>
    </w:p>
    <w:p w14:paraId="2F31782C" w14:textId="77777777" w:rsidR="001C6D65" w:rsidRPr="00004D8A" w:rsidRDefault="001C6D65" w:rsidP="00A20B2E">
      <w:pPr>
        <w:pStyle w:val="Heading2"/>
        <w:rPr>
          <w:color w:val="auto"/>
        </w:rPr>
      </w:pPr>
      <w:r w:rsidRPr="00004D8A">
        <w:rPr>
          <w:color w:val="auto"/>
        </w:rPr>
        <w:t>Data availability</w:t>
      </w:r>
    </w:p>
    <w:p w14:paraId="17DBFD9D" w14:textId="4191796E" w:rsidR="001C6D65" w:rsidRPr="00004D8A" w:rsidRDefault="001C6D65" w:rsidP="001C6D65">
      <w:pPr>
        <w:spacing w:line="480" w:lineRule="auto"/>
      </w:pPr>
      <w:r w:rsidRPr="00004D8A">
        <w:t>The data used in the analysis is available from the corresponding author on request.</w:t>
      </w:r>
    </w:p>
    <w:p w14:paraId="3A48A01D" w14:textId="77777777" w:rsidR="0074374C" w:rsidRPr="00004D8A" w:rsidRDefault="0074374C" w:rsidP="0074374C">
      <w:pPr>
        <w:pStyle w:val="Heading1"/>
        <w:spacing w:line="240" w:lineRule="auto"/>
        <w:rPr>
          <w:sz w:val="24"/>
        </w:rPr>
      </w:pPr>
      <w:bookmarkStart w:id="17" w:name="_Hlk153311553"/>
      <w:r w:rsidRPr="00004D8A">
        <w:rPr>
          <w:sz w:val="24"/>
        </w:rPr>
        <w:t xml:space="preserve">References </w:t>
      </w:r>
    </w:p>
    <w:p w14:paraId="0F333D06" w14:textId="77777777" w:rsidR="0074374C" w:rsidRPr="00004D8A" w:rsidRDefault="0074374C" w:rsidP="0074374C">
      <w:pPr>
        <w:pStyle w:val="ListParagraph"/>
        <w:numPr>
          <w:ilvl w:val="0"/>
          <w:numId w:val="15"/>
        </w:numPr>
        <w:spacing w:after="0" w:line="240" w:lineRule="auto"/>
        <w:ind w:left="0" w:hanging="357"/>
        <w:contextualSpacing w:val="0"/>
      </w:pPr>
      <w:proofErr w:type="spellStart"/>
      <w:r w:rsidRPr="00004D8A">
        <w:rPr>
          <w:shd w:val="clear" w:color="auto" w:fill="FFFFFF"/>
        </w:rPr>
        <w:t>Blüher</w:t>
      </w:r>
      <w:proofErr w:type="spellEnd"/>
      <w:r w:rsidRPr="00004D8A">
        <w:rPr>
          <w:shd w:val="clear" w:color="auto" w:fill="FFFFFF"/>
        </w:rPr>
        <w:t xml:space="preserve"> M. Obesity: global epidemiology and pathogenesis. Nat Rev Endocrinol. 2019 May;15(5):288-298. </w:t>
      </w:r>
      <w:proofErr w:type="spellStart"/>
      <w:r w:rsidRPr="00004D8A">
        <w:rPr>
          <w:shd w:val="clear" w:color="auto" w:fill="FFFFFF"/>
        </w:rPr>
        <w:t>doi</w:t>
      </w:r>
      <w:proofErr w:type="spellEnd"/>
      <w:r w:rsidRPr="00004D8A">
        <w:rPr>
          <w:shd w:val="clear" w:color="auto" w:fill="FFFFFF"/>
        </w:rPr>
        <w:t xml:space="preserve">: 10.1038/s41574-019-0176-8. PMID: 30814686. </w:t>
      </w:r>
      <w:r w:rsidRPr="00004D8A">
        <w:t>288-298</w:t>
      </w:r>
      <w:r w:rsidRPr="00004D8A">
        <w:br/>
      </w:r>
    </w:p>
    <w:p w14:paraId="3BB8C368"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Kivimäki M, Strandberg T, Pentti J, Nyberg ST, Frank P, Jokela M, Ervasti J, Suominen SB, </w:t>
      </w:r>
      <w:proofErr w:type="spellStart"/>
      <w:r w:rsidRPr="00004D8A">
        <w:rPr>
          <w:shd w:val="clear" w:color="auto" w:fill="FFFFFF"/>
        </w:rPr>
        <w:t>Vahtera</w:t>
      </w:r>
      <w:proofErr w:type="spellEnd"/>
      <w:r w:rsidRPr="00004D8A">
        <w:rPr>
          <w:shd w:val="clear" w:color="auto" w:fill="FFFFFF"/>
        </w:rPr>
        <w:t xml:space="preserve"> J, Sipilä PN, </w:t>
      </w:r>
      <w:proofErr w:type="spellStart"/>
      <w:r w:rsidRPr="00004D8A">
        <w:rPr>
          <w:shd w:val="clear" w:color="auto" w:fill="FFFFFF"/>
        </w:rPr>
        <w:t>Lindbohm</w:t>
      </w:r>
      <w:proofErr w:type="spellEnd"/>
      <w:r w:rsidRPr="00004D8A">
        <w:rPr>
          <w:shd w:val="clear" w:color="auto" w:fill="FFFFFF"/>
        </w:rPr>
        <w:t xml:space="preserve"> JV, Ferrie JE. Body-mass index and risk of obesity-related complex multimorbidity: an observational multicohort study. Lancet Diabetes Endocrinol. 2022 Apr;10(4):253-263. </w:t>
      </w:r>
      <w:proofErr w:type="spellStart"/>
      <w:r w:rsidRPr="00004D8A">
        <w:rPr>
          <w:shd w:val="clear" w:color="auto" w:fill="FFFFFF"/>
        </w:rPr>
        <w:t>doi</w:t>
      </w:r>
      <w:proofErr w:type="spellEnd"/>
      <w:r w:rsidRPr="00004D8A">
        <w:rPr>
          <w:shd w:val="clear" w:color="auto" w:fill="FFFFFF"/>
        </w:rPr>
        <w:t xml:space="preserve">: 10.1016/S2213-8587(22)00033-X. </w:t>
      </w:r>
      <w:proofErr w:type="spellStart"/>
      <w:r w:rsidRPr="00004D8A">
        <w:rPr>
          <w:shd w:val="clear" w:color="auto" w:fill="FFFFFF"/>
        </w:rPr>
        <w:t>Epub</w:t>
      </w:r>
      <w:proofErr w:type="spellEnd"/>
      <w:r w:rsidRPr="00004D8A">
        <w:rPr>
          <w:shd w:val="clear" w:color="auto" w:fill="FFFFFF"/>
        </w:rPr>
        <w:t xml:space="preserve"> 2022 Mar 4. PMID: 35248171; PMCID: PMC8938400.</w:t>
      </w:r>
      <w:r w:rsidRPr="00004D8A">
        <w:rPr>
          <w:shd w:val="clear" w:color="auto" w:fill="FFFFFF"/>
        </w:rPr>
        <w:br/>
      </w:r>
    </w:p>
    <w:p w14:paraId="3A2D3769" w14:textId="77777777" w:rsidR="0074374C" w:rsidRPr="00004D8A" w:rsidRDefault="0074374C" w:rsidP="0074374C">
      <w:pPr>
        <w:pStyle w:val="ListParagraph"/>
        <w:numPr>
          <w:ilvl w:val="0"/>
          <w:numId w:val="15"/>
        </w:numPr>
        <w:spacing w:after="0" w:line="240" w:lineRule="auto"/>
        <w:ind w:left="0" w:hanging="357"/>
        <w:contextualSpacing w:val="0"/>
      </w:pPr>
      <w:r w:rsidRPr="00004D8A">
        <w:t>McKinsey Global Institute Overcoming obesity: An initial economic analysis Nov 2014. https://www.mckinsey.com/~/media/mckinsey/business%20functions/economic%20studies%20temp/our%20insights/how%20the%20world%20could%20better%20fight%20obesity/mgi_overcoming_obesity_full_report.ashx: accessed 19 May 2023</w:t>
      </w:r>
    </w:p>
    <w:p w14:paraId="73B38DAF" w14:textId="77777777" w:rsidR="0074374C" w:rsidRPr="00004D8A" w:rsidRDefault="0074374C" w:rsidP="0074374C">
      <w:pPr>
        <w:pStyle w:val="ListParagraph"/>
        <w:spacing w:after="0" w:line="240" w:lineRule="auto"/>
        <w:ind w:left="0"/>
        <w:contextualSpacing w:val="0"/>
      </w:pPr>
    </w:p>
    <w:p w14:paraId="4A4F6AE9"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lastRenderedPageBreak/>
        <w:t xml:space="preserve">Tremmel M, </w:t>
      </w:r>
      <w:proofErr w:type="spellStart"/>
      <w:r w:rsidRPr="00004D8A">
        <w:rPr>
          <w:shd w:val="clear" w:color="auto" w:fill="FFFFFF"/>
        </w:rPr>
        <w:t>Gerdtham</w:t>
      </w:r>
      <w:proofErr w:type="spellEnd"/>
      <w:r w:rsidRPr="00004D8A">
        <w:rPr>
          <w:shd w:val="clear" w:color="auto" w:fill="FFFFFF"/>
        </w:rPr>
        <w:t xml:space="preserve"> UG, Nilsson PM, Saha S. Economic Burden of Obesity: A Systematic Literature Review. Int J Environ Res Public Health. 2017 Apr 19;14(4):435. </w:t>
      </w:r>
      <w:proofErr w:type="spellStart"/>
      <w:r w:rsidRPr="00004D8A">
        <w:rPr>
          <w:shd w:val="clear" w:color="auto" w:fill="FFFFFF"/>
        </w:rPr>
        <w:t>doi</w:t>
      </w:r>
      <w:proofErr w:type="spellEnd"/>
      <w:r w:rsidRPr="00004D8A">
        <w:rPr>
          <w:shd w:val="clear" w:color="auto" w:fill="FFFFFF"/>
        </w:rPr>
        <w:t>: 10.3390/ijerph14040435. PMID: 28422077; PMCID: PMC5409636.</w:t>
      </w:r>
    </w:p>
    <w:p w14:paraId="63C53BB1" w14:textId="77777777" w:rsidR="0074374C" w:rsidRPr="00004D8A" w:rsidRDefault="0074374C" w:rsidP="0074374C">
      <w:pPr>
        <w:pStyle w:val="ListParagraph"/>
        <w:spacing w:line="240" w:lineRule="auto"/>
        <w:rPr>
          <w:shd w:val="clear" w:color="auto" w:fill="FFFFFF"/>
        </w:rPr>
      </w:pPr>
    </w:p>
    <w:p w14:paraId="208FE758"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Cawley J, Biener A, Meyerhoefer C, Ding Y, </w:t>
      </w:r>
      <w:proofErr w:type="spellStart"/>
      <w:r w:rsidRPr="00004D8A">
        <w:rPr>
          <w:shd w:val="clear" w:color="auto" w:fill="FFFFFF"/>
        </w:rPr>
        <w:t>Zvenyach</w:t>
      </w:r>
      <w:proofErr w:type="spellEnd"/>
      <w:r w:rsidRPr="00004D8A">
        <w:rPr>
          <w:shd w:val="clear" w:color="auto" w:fill="FFFFFF"/>
        </w:rPr>
        <w:t xml:space="preserve"> T, </w:t>
      </w:r>
      <w:proofErr w:type="spellStart"/>
      <w:r w:rsidRPr="00004D8A">
        <w:rPr>
          <w:shd w:val="clear" w:color="auto" w:fill="FFFFFF"/>
        </w:rPr>
        <w:t>Smolarz</w:t>
      </w:r>
      <w:proofErr w:type="spellEnd"/>
      <w:r w:rsidRPr="00004D8A">
        <w:rPr>
          <w:shd w:val="clear" w:color="auto" w:fill="FFFFFF"/>
        </w:rPr>
        <w:t xml:space="preserve"> BG, Ramasamy A. Direct medical costs of obesity in the United States and the most populous states. J Manag Care Spec Pharm. 2021 Mar;27(3):354-366. </w:t>
      </w:r>
      <w:proofErr w:type="spellStart"/>
      <w:r w:rsidRPr="00004D8A">
        <w:rPr>
          <w:shd w:val="clear" w:color="auto" w:fill="FFFFFF"/>
        </w:rPr>
        <w:t>doi</w:t>
      </w:r>
      <w:proofErr w:type="spellEnd"/>
      <w:r w:rsidRPr="00004D8A">
        <w:rPr>
          <w:shd w:val="clear" w:color="auto" w:fill="FFFFFF"/>
        </w:rPr>
        <w:t xml:space="preserve">: 10.18553/jmcp.2021.20410. </w:t>
      </w:r>
      <w:proofErr w:type="spellStart"/>
      <w:r w:rsidRPr="00004D8A">
        <w:rPr>
          <w:shd w:val="clear" w:color="auto" w:fill="FFFFFF"/>
        </w:rPr>
        <w:t>Epub</w:t>
      </w:r>
      <w:proofErr w:type="spellEnd"/>
      <w:r w:rsidRPr="00004D8A">
        <w:rPr>
          <w:shd w:val="clear" w:color="auto" w:fill="FFFFFF"/>
        </w:rPr>
        <w:t xml:space="preserve"> 2021 Jan 20. PMID: 33470881; PMCID: PMC10394178.</w:t>
      </w:r>
    </w:p>
    <w:p w14:paraId="4BAADFFA" w14:textId="77777777" w:rsidR="0074374C" w:rsidRPr="00004D8A" w:rsidRDefault="0074374C" w:rsidP="0074374C">
      <w:pPr>
        <w:pStyle w:val="ListParagraph"/>
        <w:spacing w:after="0" w:line="240" w:lineRule="auto"/>
        <w:ind w:left="0"/>
        <w:contextualSpacing w:val="0"/>
      </w:pPr>
    </w:p>
    <w:p w14:paraId="755F5ED2" w14:textId="77777777" w:rsidR="0074374C" w:rsidRPr="00004D8A" w:rsidRDefault="0074374C" w:rsidP="0074374C">
      <w:pPr>
        <w:pStyle w:val="ListParagraph"/>
        <w:numPr>
          <w:ilvl w:val="0"/>
          <w:numId w:val="15"/>
        </w:numPr>
        <w:spacing w:after="0" w:line="240" w:lineRule="auto"/>
        <w:ind w:left="0"/>
      </w:pPr>
      <w:r w:rsidRPr="00004D8A">
        <w:t>Evolution of Healthcare Costs for Obesity-related Complications over 10 Years in a UK Population: A Retrospective Open Cohort Study. Pearson–</w:t>
      </w:r>
      <w:proofErr w:type="spellStart"/>
      <w:r w:rsidRPr="00004D8A">
        <w:t>Stuttard</w:t>
      </w:r>
      <w:proofErr w:type="spellEnd"/>
      <w:r w:rsidRPr="00004D8A">
        <w:t xml:space="preserve">, J; Holloway, S; Sommer Matthiessen, </w:t>
      </w:r>
      <w:proofErr w:type="spellStart"/>
      <w:proofErr w:type="gramStart"/>
      <w:r w:rsidRPr="00004D8A">
        <w:t>K.;Thompson</w:t>
      </w:r>
      <w:proofErr w:type="spellEnd"/>
      <w:proofErr w:type="gramEnd"/>
      <w:r w:rsidRPr="00004D8A">
        <w:t>, A.; Capucci, S. Obesity Facts 2023; PO2.12</w:t>
      </w:r>
    </w:p>
    <w:p w14:paraId="66C598CB" w14:textId="77777777" w:rsidR="0074374C" w:rsidRPr="00004D8A" w:rsidRDefault="0074374C" w:rsidP="0074374C">
      <w:pPr>
        <w:pStyle w:val="ListParagraph"/>
        <w:spacing w:after="0" w:line="240" w:lineRule="auto"/>
        <w:ind w:left="0"/>
      </w:pPr>
    </w:p>
    <w:p w14:paraId="4583A359" w14:textId="4C77414C" w:rsidR="0074374C" w:rsidRPr="00004D8A" w:rsidRDefault="005810EE" w:rsidP="0074374C">
      <w:pPr>
        <w:pStyle w:val="ListParagraph"/>
        <w:numPr>
          <w:ilvl w:val="0"/>
          <w:numId w:val="15"/>
        </w:numPr>
        <w:spacing w:after="0" w:line="240" w:lineRule="auto"/>
        <w:ind w:left="0"/>
        <w:rPr>
          <w:rStyle w:val="cf01"/>
          <w:rFonts w:ascii="Arial" w:hAnsi="Arial" w:cs="Arial"/>
          <w:sz w:val="24"/>
          <w:szCs w:val="24"/>
        </w:rPr>
      </w:pPr>
      <w:r w:rsidRPr="00004D8A">
        <w:t xml:space="preserve">House of Commons Library Obesity Statistics </w:t>
      </w:r>
      <w:hyperlink r:id="rId9" w:history="1">
        <w:r w:rsidR="0074374C" w:rsidRPr="00004D8A">
          <w:rPr>
            <w:rStyle w:val="Hyperlink"/>
            <w:color w:val="auto"/>
          </w:rPr>
          <w:t>https://researchbriefings.files.parliament.uk/documents/SN03336/SN03336.pdf</w:t>
        </w:r>
      </w:hyperlink>
      <w:r w:rsidR="0074374C" w:rsidRPr="00004D8A">
        <w:rPr>
          <w:rStyle w:val="cf01"/>
          <w:rFonts w:ascii="Arial" w:hAnsi="Arial" w:cs="Arial"/>
          <w:sz w:val="24"/>
          <w:szCs w:val="24"/>
        </w:rPr>
        <w:t>: accessed 30 September 2023</w:t>
      </w:r>
    </w:p>
    <w:p w14:paraId="661E73FB" w14:textId="77777777" w:rsidR="0074374C" w:rsidRPr="00004D8A" w:rsidRDefault="0074374C" w:rsidP="0074374C">
      <w:pPr>
        <w:pStyle w:val="ListParagraph"/>
        <w:spacing w:after="0" w:line="240" w:lineRule="auto"/>
        <w:ind w:left="0"/>
      </w:pPr>
    </w:p>
    <w:p w14:paraId="39545E8B" w14:textId="0D824A8E" w:rsidR="0074374C" w:rsidRPr="00004D8A" w:rsidRDefault="006D6E3C" w:rsidP="0074374C">
      <w:pPr>
        <w:pStyle w:val="pf0"/>
        <w:numPr>
          <w:ilvl w:val="0"/>
          <w:numId w:val="15"/>
        </w:numPr>
        <w:spacing w:before="0" w:beforeAutospacing="0" w:after="0" w:afterAutospacing="0"/>
        <w:ind w:left="0"/>
        <w:rPr>
          <w:rFonts w:ascii="Arial" w:hAnsi="Arial" w:cs="Arial"/>
        </w:rPr>
      </w:pPr>
      <w:r w:rsidRPr="00004D8A">
        <w:t xml:space="preserve">Tackling obesity The role of the NHS in a whole-system approach Jonathon Holmes July 2021 </w:t>
      </w:r>
      <w:hyperlink r:id="rId10" w:history="1">
        <w:r w:rsidR="0074374C" w:rsidRPr="00004D8A">
          <w:rPr>
            <w:rStyle w:val="cf01"/>
            <w:rFonts w:ascii="Arial" w:hAnsi="Arial" w:cs="Arial"/>
            <w:sz w:val="24"/>
            <w:szCs w:val="24"/>
          </w:rPr>
          <w:t>https://www.kingsfund.org.uk/sites/default/files/2021-07/Tackling%20obesity.pdf</w:t>
        </w:r>
      </w:hyperlink>
      <w:r w:rsidR="0074374C" w:rsidRPr="00004D8A">
        <w:rPr>
          <w:rFonts w:ascii="Arial" w:hAnsi="Arial" w:cs="Arial"/>
        </w:rPr>
        <w:t>: accessed 30 September 2023</w:t>
      </w:r>
      <w:r w:rsidR="0074374C" w:rsidRPr="00004D8A">
        <w:rPr>
          <w:rFonts w:ascii="Arial" w:hAnsi="Arial" w:cs="Arial"/>
        </w:rPr>
        <w:br/>
      </w:r>
    </w:p>
    <w:p w14:paraId="74BBC5B9" w14:textId="77777777" w:rsidR="0074374C" w:rsidRPr="00004D8A" w:rsidRDefault="0074374C" w:rsidP="0074374C">
      <w:pPr>
        <w:pStyle w:val="pf0"/>
        <w:numPr>
          <w:ilvl w:val="0"/>
          <w:numId w:val="15"/>
        </w:numPr>
        <w:spacing w:before="0" w:beforeAutospacing="0" w:after="0" w:afterAutospacing="0"/>
        <w:ind w:left="0"/>
        <w:rPr>
          <w:rFonts w:ascii="Arial" w:hAnsi="Arial" w:cs="Arial"/>
        </w:rPr>
      </w:pPr>
      <w:r w:rsidRPr="00004D8A">
        <w:rPr>
          <w:rFonts w:ascii="Arial" w:hAnsi="Arial" w:cs="Arial"/>
          <w:shd w:val="clear" w:color="auto" w:fill="FFFFFF"/>
        </w:rPr>
        <w:t xml:space="preserve">Hoogendoorn M, </w:t>
      </w:r>
      <w:proofErr w:type="spellStart"/>
      <w:r w:rsidRPr="00004D8A">
        <w:rPr>
          <w:rFonts w:ascii="Arial" w:hAnsi="Arial" w:cs="Arial"/>
          <w:shd w:val="clear" w:color="auto" w:fill="FFFFFF"/>
        </w:rPr>
        <w:t>Galekop</w:t>
      </w:r>
      <w:proofErr w:type="spellEnd"/>
      <w:r w:rsidRPr="00004D8A">
        <w:rPr>
          <w:rFonts w:ascii="Arial" w:hAnsi="Arial" w:cs="Arial"/>
          <w:shd w:val="clear" w:color="auto" w:fill="FFFFFF"/>
        </w:rPr>
        <w:t xml:space="preserve"> M, van Baal P. The lifetime health and economic burden of obesity in five European countries: what is the potential impact of prevention? Diabetes </w:t>
      </w:r>
      <w:proofErr w:type="spellStart"/>
      <w:r w:rsidRPr="00004D8A">
        <w:rPr>
          <w:rFonts w:ascii="Arial" w:hAnsi="Arial" w:cs="Arial"/>
          <w:shd w:val="clear" w:color="auto" w:fill="FFFFFF"/>
        </w:rPr>
        <w:t>Obes</w:t>
      </w:r>
      <w:proofErr w:type="spellEnd"/>
      <w:r w:rsidRPr="00004D8A">
        <w:rPr>
          <w:rFonts w:ascii="Arial" w:hAnsi="Arial" w:cs="Arial"/>
          <w:shd w:val="clear" w:color="auto" w:fill="FFFFFF"/>
        </w:rPr>
        <w:t xml:space="preserve"> </w:t>
      </w:r>
      <w:proofErr w:type="spellStart"/>
      <w:r w:rsidRPr="00004D8A">
        <w:rPr>
          <w:rFonts w:ascii="Arial" w:hAnsi="Arial" w:cs="Arial"/>
          <w:shd w:val="clear" w:color="auto" w:fill="FFFFFF"/>
        </w:rPr>
        <w:t>Metab</w:t>
      </w:r>
      <w:proofErr w:type="spellEnd"/>
      <w:r w:rsidRPr="00004D8A">
        <w:rPr>
          <w:rFonts w:ascii="Arial" w:hAnsi="Arial" w:cs="Arial"/>
          <w:shd w:val="clear" w:color="auto" w:fill="FFFFFF"/>
        </w:rPr>
        <w:t xml:space="preserve">. 2023 Aug;25(8):2351-2361. </w:t>
      </w:r>
      <w:proofErr w:type="spellStart"/>
      <w:r w:rsidRPr="00004D8A">
        <w:rPr>
          <w:rFonts w:ascii="Arial" w:hAnsi="Arial" w:cs="Arial"/>
          <w:shd w:val="clear" w:color="auto" w:fill="FFFFFF"/>
        </w:rPr>
        <w:t>doi</w:t>
      </w:r>
      <w:proofErr w:type="spellEnd"/>
      <w:r w:rsidRPr="00004D8A">
        <w:rPr>
          <w:rFonts w:ascii="Arial" w:hAnsi="Arial" w:cs="Arial"/>
          <w:shd w:val="clear" w:color="auto" w:fill="FFFFFF"/>
        </w:rPr>
        <w:t xml:space="preserve">: 10.1111/dom.15116. </w:t>
      </w:r>
      <w:proofErr w:type="spellStart"/>
      <w:r w:rsidRPr="00004D8A">
        <w:rPr>
          <w:rFonts w:ascii="Arial" w:hAnsi="Arial" w:cs="Arial"/>
          <w:shd w:val="clear" w:color="auto" w:fill="FFFFFF"/>
        </w:rPr>
        <w:t>Epub</w:t>
      </w:r>
      <w:proofErr w:type="spellEnd"/>
      <w:r w:rsidRPr="00004D8A">
        <w:rPr>
          <w:rFonts w:ascii="Arial" w:hAnsi="Arial" w:cs="Arial"/>
          <w:shd w:val="clear" w:color="auto" w:fill="FFFFFF"/>
        </w:rPr>
        <w:t xml:space="preserve"> 2023 May 24. PMID: 37222003.</w:t>
      </w:r>
    </w:p>
    <w:p w14:paraId="629D3221" w14:textId="77777777" w:rsidR="0074374C" w:rsidRPr="00004D8A" w:rsidRDefault="0074374C" w:rsidP="0074374C">
      <w:pPr>
        <w:pStyle w:val="pf0"/>
        <w:spacing w:before="0" w:beforeAutospacing="0" w:after="0" w:afterAutospacing="0"/>
        <w:rPr>
          <w:rFonts w:ascii="Arial" w:hAnsi="Arial" w:cs="Arial"/>
        </w:rPr>
      </w:pPr>
    </w:p>
    <w:p w14:paraId="439919CB"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NHS England Table SAPE22DT6a: Mid-2019 Population Estimates for 2020 by NHS England (Region) by Sustainability Transformation Partnerships (STP) by Clinical Commissioning Group by Single Year of Age and Sex </w:t>
      </w:r>
      <w:proofErr w:type="gramStart"/>
      <w:r w:rsidRPr="00004D8A">
        <w:t>https://www.ons.gov.uk/peoplepopulationandcommunity/populationandmigration/populationestimates/datasets/clinicalcommissioninggroupmidyearpopulationestimates</w:t>
      </w:r>
      <w:proofErr w:type="gramEnd"/>
      <w:r w:rsidRPr="00004D8A">
        <w:t xml:space="preserve"> </w:t>
      </w:r>
    </w:p>
    <w:p w14:paraId="637F599C" w14:textId="77777777" w:rsidR="0074374C" w:rsidRPr="00004D8A" w:rsidRDefault="0074374C" w:rsidP="0074374C">
      <w:pPr>
        <w:pStyle w:val="ListParagraph"/>
        <w:spacing w:after="0" w:line="240" w:lineRule="auto"/>
        <w:ind w:left="0"/>
        <w:contextualSpacing w:val="0"/>
      </w:pPr>
    </w:p>
    <w:p w14:paraId="279D9FD9"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NHS England Change to integrated care board (ICB) core services target allocation (waterfalls) analysis v1.0 Index of Multiple Deprivation (IMD) by ICB </w:t>
      </w:r>
      <w:proofErr w:type="gramStart"/>
      <w:r w:rsidRPr="00004D8A">
        <w:t>tab  https://www.england.nhs.uk/publication/change-to-icb-core-services-target-allocation-waterfalls/#:~:text=Commissioning-,Change%20to%20integrated%20care%20board%20(ICB,core%20services%20target%20allocation%20(waterfalls)&amp;text=This%20excel%2Dbased%20tool%20allows,the%20impact%20on%20similar%20ICBs</w:t>
      </w:r>
      <w:proofErr w:type="gramEnd"/>
      <w:r w:rsidRPr="00004D8A">
        <w:t xml:space="preserve"> </w:t>
      </w:r>
    </w:p>
    <w:p w14:paraId="650A0A11" w14:textId="77777777" w:rsidR="0074374C" w:rsidRPr="00004D8A" w:rsidRDefault="0074374C" w:rsidP="0074374C">
      <w:pPr>
        <w:pStyle w:val="ListParagraph"/>
        <w:spacing w:after="0" w:line="240" w:lineRule="auto"/>
        <w:ind w:left="0"/>
        <w:contextualSpacing w:val="0"/>
      </w:pPr>
    </w:p>
    <w:p w14:paraId="4D311DE5"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ONS National life tables: England Period life expectancy by age and sex for England. Each national life table is based on population estimates, </w:t>
      </w:r>
      <w:proofErr w:type="gramStart"/>
      <w:r w:rsidRPr="00004D8A">
        <w:t>births</w:t>
      </w:r>
      <w:proofErr w:type="gramEnd"/>
      <w:r w:rsidRPr="00004D8A">
        <w:t xml:space="preserve"> and deaths for a period of three consecutive years. Tables are published annually. https://www.ons.gov.uk/peoplepopulationandcommunity/birthsdeathsandmarriages/lifeexpectancies/datasets/nationallifetablesenglandreferencetables/current </w:t>
      </w:r>
    </w:p>
    <w:p w14:paraId="7054AD5C" w14:textId="77777777" w:rsidR="0074374C" w:rsidRPr="00004D8A" w:rsidRDefault="0074374C" w:rsidP="0074374C">
      <w:pPr>
        <w:pStyle w:val="ListParagraph"/>
        <w:spacing w:after="0" w:line="240" w:lineRule="auto"/>
        <w:ind w:left="0"/>
        <w:contextualSpacing w:val="0"/>
      </w:pPr>
    </w:p>
    <w:p w14:paraId="7B8B9416"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ONS Numbers of deaths and age standardised mortality rates by deprivation decile, </w:t>
      </w:r>
      <w:proofErr w:type="gramStart"/>
      <w:r w:rsidRPr="00004D8A">
        <w:t>month</w:t>
      </w:r>
      <w:proofErr w:type="gramEnd"/>
      <w:r w:rsidRPr="00004D8A">
        <w:t xml:space="preserve"> and sex: 1 January 2019 to 30 June 2022 https://www.ons.gov.uk/peoplepopulationandcommunity/birthsdeathsandmarriages/d</w:t>
      </w:r>
      <w:r w:rsidRPr="00004D8A">
        <w:lastRenderedPageBreak/>
        <w:t>eaths/adhocs/15206numbersofdeathsandagestandardisedmortalityratesbydeprivationdecilemonthandsex1january2019to30june2022NHS England allocation of resources 2022/23 https://www.england.nhs.uk/publication/allocation-of-resources-2022-23/</w:t>
      </w:r>
    </w:p>
    <w:p w14:paraId="34BCFEF6" w14:textId="77777777" w:rsidR="0074374C" w:rsidRPr="00004D8A" w:rsidRDefault="0074374C" w:rsidP="0074374C">
      <w:pPr>
        <w:pStyle w:val="ListParagraph"/>
        <w:spacing w:after="0" w:line="240" w:lineRule="auto"/>
        <w:ind w:left="0"/>
        <w:contextualSpacing w:val="0"/>
      </w:pPr>
    </w:p>
    <w:p w14:paraId="518DFDA8" w14:textId="77777777" w:rsidR="0074374C" w:rsidRPr="00004D8A" w:rsidRDefault="0074374C" w:rsidP="0074374C">
      <w:pPr>
        <w:pStyle w:val="ListParagraph"/>
        <w:numPr>
          <w:ilvl w:val="0"/>
          <w:numId w:val="15"/>
        </w:numPr>
        <w:spacing w:after="0" w:line="240" w:lineRule="auto"/>
        <w:ind w:left="0" w:hanging="357"/>
        <w:contextualSpacing w:val="0"/>
      </w:pPr>
      <w:r w:rsidRPr="00004D8A">
        <w:t>NHS England Allocation of resources 2022/23 https://www.england.nhs.uk/publication/allocation-of-resources-2022-23/</w:t>
      </w:r>
    </w:p>
    <w:p w14:paraId="4F48EB26" w14:textId="77777777" w:rsidR="0074374C" w:rsidRPr="00004D8A" w:rsidRDefault="0074374C" w:rsidP="0074374C">
      <w:pPr>
        <w:pStyle w:val="ListParagraph"/>
        <w:spacing w:after="0" w:line="240" w:lineRule="auto"/>
        <w:ind w:left="0"/>
        <w:contextualSpacing w:val="0"/>
      </w:pPr>
    </w:p>
    <w:p w14:paraId="3B71F7D5"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NHS Digital - Acute Patient Level Activity and Costing, 2019-20 Experimental statistics by Age Group and Sex and Deprivation, Other </w:t>
      </w:r>
      <w:proofErr w:type="gramStart"/>
      <w:r w:rsidRPr="00004D8A">
        <w:t>reports</w:t>
      </w:r>
      <w:proofErr w:type="gramEnd"/>
      <w:r w:rsidRPr="00004D8A">
        <w:t xml:space="preserve"> and statistics</w:t>
      </w:r>
    </w:p>
    <w:p w14:paraId="1E3D76DB" w14:textId="77777777" w:rsidR="0074374C" w:rsidRPr="00004D8A" w:rsidRDefault="0074374C" w:rsidP="0074374C">
      <w:pPr>
        <w:pStyle w:val="ListParagraph"/>
        <w:spacing w:after="0" w:line="240" w:lineRule="auto"/>
        <w:ind w:left="0"/>
        <w:contextualSpacing w:val="0"/>
      </w:pPr>
    </w:p>
    <w:p w14:paraId="3705662F"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Obesity Prevalence by Age, sex and deprivation - NHS Digital Health Survey for England (HSE) </w:t>
      </w:r>
      <w:hyperlink r:id="rId11" w:history="1">
        <w:r w:rsidRPr="00004D8A">
          <w:rPr>
            <w:rStyle w:val="Hyperlink"/>
            <w:color w:val="auto"/>
          </w:rPr>
          <w:t>https://digital.nhs.uk/data-and-information/publications/statistical/health-survey-for-england/2019</w:t>
        </w:r>
      </w:hyperlink>
      <w:r w:rsidRPr="00004D8A">
        <w:t xml:space="preserve">. </w:t>
      </w:r>
    </w:p>
    <w:p w14:paraId="652DDC82" w14:textId="77777777" w:rsidR="0074374C" w:rsidRPr="00004D8A" w:rsidRDefault="0074374C" w:rsidP="0074374C">
      <w:pPr>
        <w:pStyle w:val="ListParagraph"/>
      </w:pPr>
    </w:p>
    <w:p w14:paraId="2B71535A" w14:textId="77777777" w:rsidR="0074374C" w:rsidRPr="00004D8A" w:rsidRDefault="0074374C" w:rsidP="0074374C">
      <w:pPr>
        <w:pStyle w:val="ListParagraph"/>
        <w:numPr>
          <w:ilvl w:val="0"/>
          <w:numId w:val="15"/>
        </w:numPr>
        <w:spacing w:after="0" w:line="240" w:lineRule="auto"/>
        <w:ind w:left="0" w:hanging="357"/>
        <w:contextualSpacing w:val="0"/>
      </w:pPr>
      <w:r w:rsidRPr="00004D8A">
        <w:t xml:space="preserve">Hospital costs in relation to body-mass index in 1·1 million women in England: a prospective cohort study. Kent et al Lancet Public Health 2017 </w:t>
      </w:r>
      <w:hyperlink r:id="rId12" w:history="1">
        <w:r w:rsidRPr="00004D8A">
          <w:rPr>
            <w:rStyle w:val="Hyperlink"/>
            <w:color w:val="auto"/>
          </w:rPr>
          <w:t>http://dx.doi.org/10.101</w:t>
        </w:r>
      </w:hyperlink>
    </w:p>
    <w:p w14:paraId="35975B4B" w14:textId="77777777" w:rsidR="0074374C" w:rsidRPr="00004D8A" w:rsidRDefault="0074374C" w:rsidP="0074374C">
      <w:pPr>
        <w:pStyle w:val="ListParagraph"/>
        <w:spacing w:line="240" w:lineRule="auto"/>
        <w:rPr>
          <w:shd w:val="clear" w:color="auto" w:fill="FFFFFF"/>
        </w:rPr>
      </w:pPr>
    </w:p>
    <w:p w14:paraId="0A961D8C"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le Roux CW, Chubb B, Nørtoft E, Borglykke A. </w:t>
      </w:r>
      <w:proofErr w:type="gramStart"/>
      <w:r w:rsidRPr="00004D8A">
        <w:rPr>
          <w:shd w:val="clear" w:color="auto" w:fill="FFFFFF"/>
        </w:rPr>
        <w:t>Obesity</w:t>
      </w:r>
      <w:proofErr w:type="gramEnd"/>
      <w:r w:rsidRPr="00004D8A">
        <w:rPr>
          <w:shd w:val="clear" w:color="auto" w:fill="FFFFFF"/>
        </w:rPr>
        <w:t xml:space="preserve"> and healthcare resource utilization: results from Clinical Practice Research Database (CPRD). </w:t>
      </w:r>
      <w:proofErr w:type="spellStart"/>
      <w:r w:rsidRPr="00004D8A">
        <w:rPr>
          <w:shd w:val="clear" w:color="auto" w:fill="FFFFFF"/>
        </w:rPr>
        <w:t>Obes</w:t>
      </w:r>
      <w:proofErr w:type="spellEnd"/>
      <w:r w:rsidRPr="00004D8A">
        <w:rPr>
          <w:shd w:val="clear" w:color="auto" w:fill="FFFFFF"/>
        </w:rPr>
        <w:t xml:space="preserve"> Sci </w:t>
      </w:r>
      <w:proofErr w:type="spellStart"/>
      <w:r w:rsidRPr="00004D8A">
        <w:rPr>
          <w:shd w:val="clear" w:color="auto" w:fill="FFFFFF"/>
        </w:rPr>
        <w:t>Pract</w:t>
      </w:r>
      <w:proofErr w:type="spellEnd"/>
      <w:r w:rsidRPr="00004D8A">
        <w:rPr>
          <w:shd w:val="clear" w:color="auto" w:fill="FFFFFF"/>
        </w:rPr>
        <w:t xml:space="preserve">. 2018 Aug 21;4(5):409-416. </w:t>
      </w:r>
      <w:proofErr w:type="spellStart"/>
      <w:r w:rsidRPr="00004D8A">
        <w:rPr>
          <w:shd w:val="clear" w:color="auto" w:fill="FFFFFF"/>
        </w:rPr>
        <w:t>doi</w:t>
      </w:r>
      <w:proofErr w:type="spellEnd"/>
      <w:r w:rsidRPr="00004D8A">
        <w:rPr>
          <w:shd w:val="clear" w:color="auto" w:fill="FFFFFF"/>
        </w:rPr>
        <w:t>: 10.1002/osp4.291. PMID: 30338111; PMCID: PMC6180713.</w:t>
      </w:r>
    </w:p>
    <w:p w14:paraId="3BF83A68" w14:textId="77777777" w:rsidR="0074374C" w:rsidRPr="00004D8A" w:rsidRDefault="0074374C" w:rsidP="0074374C">
      <w:pPr>
        <w:pStyle w:val="ListParagraph"/>
        <w:spacing w:line="240" w:lineRule="auto"/>
        <w:rPr>
          <w:shd w:val="clear" w:color="auto" w:fill="FFFFFF"/>
        </w:rPr>
      </w:pPr>
    </w:p>
    <w:p w14:paraId="3CE58A9D"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Bhaskaran K, Dos-Santos-Silva I, Leon DA, Douglas IJ, Smeeth L. Association of BMI with overall and cause-specific mortality: a population-based cohort study of 3·6 million adults in the UK. Lancet Diabetes Endocrinol. 2018 Dec;6(12):944-953. </w:t>
      </w:r>
      <w:proofErr w:type="spellStart"/>
      <w:r w:rsidRPr="00004D8A">
        <w:rPr>
          <w:shd w:val="clear" w:color="auto" w:fill="FFFFFF"/>
        </w:rPr>
        <w:t>doi</w:t>
      </w:r>
      <w:proofErr w:type="spellEnd"/>
      <w:r w:rsidRPr="00004D8A">
        <w:rPr>
          <w:shd w:val="clear" w:color="auto" w:fill="FFFFFF"/>
        </w:rPr>
        <w:t xml:space="preserve">: 10.1016/S2213-8587(18)30288-2. </w:t>
      </w:r>
      <w:proofErr w:type="spellStart"/>
      <w:r w:rsidRPr="00004D8A">
        <w:rPr>
          <w:shd w:val="clear" w:color="auto" w:fill="FFFFFF"/>
        </w:rPr>
        <w:t>Epub</w:t>
      </w:r>
      <w:proofErr w:type="spellEnd"/>
      <w:r w:rsidRPr="00004D8A">
        <w:rPr>
          <w:shd w:val="clear" w:color="auto" w:fill="FFFFFF"/>
        </w:rPr>
        <w:t xml:space="preserve"> 2018 Oct 30. PMID: 30389323; PMCID: PMC6249991.</w:t>
      </w:r>
      <w:r w:rsidRPr="00004D8A">
        <w:br/>
      </w:r>
    </w:p>
    <w:p w14:paraId="4D0372EA" w14:textId="77777777" w:rsidR="0074374C" w:rsidRPr="00004D8A" w:rsidRDefault="0074374C" w:rsidP="0074374C">
      <w:pPr>
        <w:pStyle w:val="ListParagraph"/>
        <w:spacing w:line="240" w:lineRule="auto"/>
        <w:rPr>
          <w:shd w:val="clear" w:color="auto" w:fill="FFFFFF"/>
        </w:rPr>
      </w:pPr>
    </w:p>
    <w:p w14:paraId="185C5899"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Ward ZJ, Bleich SN, Long MW, Gortmaker SL. Association of body mass index with health care expenditures in the United States by age and sex. </w:t>
      </w:r>
      <w:proofErr w:type="spellStart"/>
      <w:r w:rsidRPr="00004D8A">
        <w:rPr>
          <w:shd w:val="clear" w:color="auto" w:fill="FFFFFF"/>
        </w:rPr>
        <w:t>PLoS</w:t>
      </w:r>
      <w:proofErr w:type="spellEnd"/>
      <w:r w:rsidRPr="00004D8A">
        <w:rPr>
          <w:shd w:val="clear" w:color="auto" w:fill="FFFFFF"/>
        </w:rPr>
        <w:t xml:space="preserve"> One. 2021 Mar 24;16(3</w:t>
      </w:r>
      <w:proofErr w:type="gramStart"/>
      <w:r w:rsidRPr="00004D8A">
        <w:rPr>
          <w:shd w:val="clear" w:color="auto" w:fill="FFFFFF"/>
        </w:rPr>
        <w:t>):e</w:t>
      </w:r>
      <w:proofErr w:type="gramEnd"/>
      <w:r w:rsidRPr="00004D8A">
        <w:rPr>
          <w:shd w:val="clear" w:color="auto" w:fill="FFFFFF"/>
        </w:rPr>
        <w:t xml:space="preserve">0247307. </w:t>
      </w:r>
      <w:proofErr w:type="spellStart"/>
      <w:r w:rsidRPr="00004D8A">
        <w:rPr>
          <w:shd w:val="clear" w:color="auto" w:fill="FFFFFF"/>
        </w:rPr>
        <w:t>doi</w:t>
      </w:r>
      <w:proofErr w:type="spellEnd"/>
      <w:r w:rsidRPr="00004D8A">
        <w:rPr>
          <w:shd w:val="clear" w:color="auto" w:fill="FFFFFF"/>
        </w:rPr>
        <w:t>: 10.1371/journal.pone.0247307. PMID: 33760880; PMCID: PMC7990296.</w:t>
      </w:r>
    </w:p>
    <w:p w14:paraId="29BF940A" w14:textId="77777777" w:rsidR="0074374C" w:rsidRPr="00004D8A" w:rsidRDefault="0074374C" w:rsidP="0074374C">
      <w:pPr>
        <w:pStyle w:val="ListParagraph"/>
        <w:spacing w:line="240" w:lineRule="auto"/>
        <w:rPr>
          <w:shd w:val="clear" w:color="auto" w:fill="FFFFFF"/>
        </w:rPr>
      </w:pPr>
    </w:p>
    <w:p w14:paraId="359F0EC9"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Fildes A, Charlton J, Rudisill C, </w:t>
      </w:r>
      <w:proofErr w:type="spellStart"/>
      <w:r w:rsidRPr="00004D8A">
        <w:rPr>
          <w:shd w:val="clear" w:color="auto" w:fill="FFFFFF"/>
        </w:rPr>
        <w:t>Littlejohns</w:t>
      </w:r>
      <w:proofErr w:type="spellEnd"/>
      <w:r w:rsidRPr="00004D8A">
        <w:rPr>
          <w:shd w:val="clear" w:color="auto" w:fill="FFFFFF"/>
        </w:rPr>
        <w:t xml:space="preserve"> P, Prevost AT, Gulliford MC. Probability of an Obese Person Attaining Normal Body Weight: Cohort Study Using Electronic Health Records. Am J Public Health. 2015 Sep;105(9</w:t>
      </w:r>
      <w:proofErr w:type="gramStart"/>
      <w:r w:rsidRPr="00004D8A">
        <w:rPr>
          <w:shd w:val="clear" w:color="auto" w:fill="FFFFFF"/>
        </w:rPr>
        <w:t>):e</w:t>
      </w:r>
      <w:proofErr w:type="gramEnd"/>
      <w:r w:rsidRPr="00004D8A">
        <w:rPr>
          <w:shd w:val="clear" w:color="auto" w:fill="FFFFFF"/>
        </w:rPr>
        <w:t xml:space="preserve">54-9. </w:t>
      </w:r>
      <w:proofErr w:type="spellStart"/>
      <w:r w:rsidRPr="00004D8A">
        <w:rPr>
          <w:shd w:val="clear" w:color="auto" w:fill="FFFFFF"/>
        </w:rPr>
        <w:t>doi</w:t>
      </w:r>
      <w:proofErr w:type="spellEnd"/>
      <w:r w:rsidRPr="00004D8A">
        <w:rPr>
          <w:shd w:val="clear" w:color="auto" w:fill="FFFFFF"/>
        </w:rPr>
        <w:t xml:space="preserve">: 10.2105/AJPH.2015.302773. </w:t>
      </w:r>
      <w:proofErr w:type="spellStart"/>
      <w:r w:rsidRPr="00004D8A">
        <w:rPr>
          <w:shd w:val="clear" w:color="auto" w:fill="FFFFFF"/>
        </w:rPr>
        <w:t>Epub</w:t>
      </w:r>
      <w:proofErr w:type="spellEnd"/>
      <w:r w:rsidRPr="00004D8A">
        <w:rPr>
          <w:shd w:val="clear" w:color="auto" w:fill="FFFFFF"/>
        </w:rPr>
        <w:t xml:space="preserve"> 2015 Jul 16. PMID: 26180980; PMCID: PMC4539812.</w:t>
      </w:r>
    </w:p>
    <w:p w14:paraId="320715FA" w14:textId="77777777" w:rsidR="0074374C" w:rsidRPr="00004D8A" w:rsidRDefault="0074374C" w:rsidP="0074374C">
      <w:pPr>
        <w:pStyle w:val="ListParagraph"/>
        <w:spacing w:line="240" w:lineRule="auto"/>
        <w:rPr>
          <w:shd w:val="clear" w:color="auto" w:fill="FFFFFF"/>
        </w:rPr>
      </w:pPr>
    </w:p>
    <w:p w14:paraId="54E2F34F"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Gray LA, Breeze PR, Williams EA. BMI trajectories, morbidity, and mortality in England: a two-step approach to estimating consequences of changes in BMI. Obesity (Silver Spring). 2022 Sep;30(9):1898-1907. </w:t>
      </w:r>
      <w:proofErr w:type="spellStart"/>
      <w:r w:rsidRPr="00004D8A">
        <w:rPr>
          <w:shd w:val="clear" w:color="auto" w:fill="FFFFFF"/>
        </w:rPr>
        <w:t>doi</w:t>
      </w:r>
      <w:proofErr w:type="spellEnd"/>
      <w:r w:rsidRPr="00004D8A">
        <w:rPr>
          <w:shd w:val="clear" w:color="auto" w:fill="FFFFFF"/>
        </w:rPr>
        <w:t xml:space="preserve">: 10.1002/oby.23510. </w:t>
      </w:r>
      <w:proofErr w:type="spellStart"/>
      <w:r w:rsidRPr="00004D8A">
        <w:rPr>
          <w:shd w:val="clear" w:color="auto" w:fill="FFFFFF"/>
        </w:rPr>
        <w:t>Epub</w:t>
      </w:r>
      <w:proofErr w:type="spellEnd"/>
      <w:r w:rsidRPr="00004D8A">
        <w:rPr>
          <w:shd w:val="clear" w:color="auto" w:fill="FFFFFF"/>
        </w:rPr>
        <w:t xml:space="preserve"> 2022 Aug 3. PMID: 35920148; PMCID: PMC9546036.</w:t>
      </w:r>
    </w:p>
    <w:p w14:paraId="219CEF39" w14:textId="77777777" w:rsidR="0074374C" w:rsidRPr="00004D8A" w:rsidRDefault="0074374C" w:rsidP="0074374C">
      <w:pPr>
        <w:pStyle w:val="ListParagraph"/>
        <w:spacing w:line="240" w:lineRule="auto"/>
      </w:pPr>
    </w:p>
    <w:p w14:paraId="1C92292A"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Tremmel M, </w:t>
      </w:r>
      <w:proofErr w:type="spellStart"/>
      <w:r w:rsidRPr="00004D8A">
        <w:rPr>
          <w:shd w:val="clear" w:color="auto" w:fill="FFFFFF"/>
        </w:rPr>
        <w:t>Gerdtham</w:t>
      </w:r>
      <w:proofErr w:type="spellEnd"/>
      <w:r w:rsidRPr="00004D8A">
        <w:rPr>
          <w:shd w:val="clear" w:color="auto" w:fill="FFFFFF"/>
        </w:rPr>
        <w:t xml:space="preserve"> UG, Nilsson PM, Saha S. Economic Burden of Obesity: A Systematic Literature Review. Int J Environ Res Public Health. 2017 Apr </w:t>
      </w:r>
      <w:r w:rsidRPr="00004D8A">
        <w:rPr>
          <w:shd w:val="clear" w:color="auto" w:fill="FFFFFF"/>
        </w:rPr>
        <w:lastRenderedPageBreak/>
        <w:t xml:space="preserve">19;14(4):435. </w:t>
      </w:r>
      <w:proofErr w:type="spellStart"/>
      <w:r w:rsidRPr="00004D8A">
        <w:rPr>
          <w:shd w:val="clear" w:color="auto" w:fill="FFFFFF"/>
        </w:rPr>
        <w:t>doi</w:t>
      </w:r>
      <w:proofErr w:type="spellEnd"/>
      <w:r w:rsidRPr="00004D8A">
        <w:rPr>
          <w:shd w:val="clear" w:color="auto" w:fill="FFFFFF"/>
        </w:rPr>
        <w:t>: 10.3390/ijerph14040435. PMID: 28422077; PMCID: PMC5409636.</w:t>
      </w:r>
    </w:p>
    <w:p w14:paraId="2E41E05D" w14:textId="77777777" w:rsidR="0074374C" w:rsidRPr="00004D8A" w:rsidRDefault="0074374C" w:rsidP="0074374C">
      <w:pPr>
        <w:pStyle w:val="ListParagraph"/>
        <w:spacing w:line="240" w:lineRule="auto"/>
        <w:rPr>
          <w:shd w:val="clear" w:color="auto" w:fill="FFFFFF"/>
        </w:rPr>
      </w:pPr>
    </w:p>
    <w:p w14:paraId="30491ACA"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Cawley J, Biener A, Meyerhoefer C, Ding Y, </w:t>
      </w:r>
      <w:proofErr w:type="spellStart"/>
      <w:r w:rsidRPr="00004D8A">
        <w:rPr>
          <w:shd w:val="clear" w:color="auto" w:fill="FFFFFF"/>
        </w:rPr>
        <w:t>Zvenyach</w:t>
      </w:r>
      <w:proofErr w:type="spellEnd"/>
      <w:r w:rsidRPr="00004D8A">
        <w:rPr>
          <w:shd w:val="clear" w:color="auto" w:fill="FFFFFF"/>
        </w:rPr>
        <w:t xml:space="preserve"> T, </w:t>
      </w:r>
      <w:proofErr w:type="spellStart"/>
      <w:r w:rsidRPr="00004D8A">
        <w:rPr>
          <w:shd w:val="clear" w:color="auto" w:fill="FFFFFF"/>
        </w:rPr>
        <w:t>Smolarz</w:t>
      </w:r>
      <w:proofErr w:type="spellEnd"/>
      <w:r w:rsidRPr="00004D8A">
        <w:rPr>
          <w:shd w:val="clear" w:color="auto" w:fill="FFFFFF"/>
        </w:rPr>
        <w:t xml:space="preserve"> BG, Ramasamy A. Direct medical costs of obesity in the United States and the most populous states. J Manag Care Spec Pharm. 2021 Mar;27(3):354-366. </w:t>
      </w:r>
      <w:proofErr w:type="spellStart"/>
      <w:r w:rsidRPr="00004D8A">
        <w:rPr>
          <w:shd w:val="clear" w:color="auto" w:fill="FFFFFF"/>
        </w:rPr>
        <w:t>doi</w:t>
      </w:r>
      <w:proofErr w:type="spellEnd"/>
      <w:r w:rsidRPr="00004D8A">
        <w:rPr>
          <w:shd w:val="clear" w:color="auto" w:fill="FFFFFF"/>
        </w:rPr>
        <w:t xml:space="preserve">: 10.18553/jmcp.2021.20410. </w:t>
      </w:r>
      <w:proofErr w:type="spellStart"/>
      <w:r w:rsidRPr="00004D8A">
        <w:rPr>
          <w:shd w:val="clear" w:color="auto" w:fill="FFFFFF"/>
        </w:rPr>
        <w:t>Epub</w:t>
      </w:r>
      <w:proofErr w:type="spellEnd"/>
      <w:r w:rsidRPr="00004D8A">
        <w:rPr>
          <w:shd w:val="clear" w:color="auto" w:fill="FFFFFF"/>
        </w:rPr>
        <w:t xml:space="preserve"> 2021 Jan 20. PMID: 33470881; PMCID: PMC10394178.</w:t>
      </w:r>
    </w:p>
    <w:p w14:paraId="7F958A66" w14:textId="77777777" w:rsidR="0074374C" w:rsidRPr="00004D8A" w:rsidRDefault="0074374C" w:rsidP="0074374C">
      <w:pPr>
        <w:pStyle w:val="ListParagraph"/>
        <w:spacing w:line="240" w:lineRule="auto"/>
        <w:rPr>
          <w:shd w:val="clear" w:color="auto" w:fill="FFFFFF"/>
        </w:rPr>
      </w:pPr>
    </w:p>
    <w:p w14:paraId="26EB7526"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Pearson-</w:t>
      </w:r>
      <w:proofErr w:type="spellStart"/>
      <w:r w:rsidRPr="00004D8A">
        <w:rPr>
          <w:shd w:val="clear" w:color="auto" w:fill="FFFFFF"/>
        </w:rPr>
        <w:t>Stuttard</w:t>
      </w:r>
      <w:proofErr w:type="spellEnd"/>
      <w:r w:rsidRPr="00004D8A">
        <w:rPr>
          <w:shd w:val="clear" w:color="auto" w:fill="FFFFFF"/>
        </w:rPr>
        <w:t xml:space="preserve"> J, Banerji T, Capucci S, de </w:t>
      </w:r>
      <w:proofErr w:type="spellStart"/>
      <w:r w:rsidRPr="00004D8A">
        <w:rPr>
          <w:shd w:val="clear" w:color="auto" w:fill="FFFFFF"/>
        </w:rPr>
        <w:t>Laguiche</w:t>
      </w:r>
      <w:proofErr w:type="spellEnd"/>
      <w:r w:rsidRPr="00004D8A">
        <w:rPr>
          <w:shd w:val="clear" w:color="auto" w:fill="FFFFFF"/>
        </w:rPr>
        <w:t xml:space="preserve"> E, Faurby MD, Haase CL, Sommer Matthiessen K, Near AM, </w:t>
      </w:r>
      <w:proofErr w:type="spellStart"/>
      <w:r w:rsidRPr="00004D8A">
        <w:rPr>
          <w:shd w:val="clear" w:color="auto" w:fill="FFFFFF"/>
        </w:rPr>
        <w:t>Tse</w:t>
      </w:r>
      <w:proofErr w:type="spellEnd"/>
      <w:r w:rsidRPr="00004D8A">
        <w:rPr>
          <w:shd w:val="clear" w:color="auto" w:fill="FFFFFF"/>
        </w:rPr>
        <w:t xml:space="preserve"> J, Zhao X, Evans M. Real-world costs of obesity-related complications over eight years: a US retrospective cohort study in 28,500 individuals. Int J </w:t>
      </w:r>
      <w:proofErr w:type="spellStart"/>
      <w:r w:rsidRPr="00004D8A">
        <w:rPr>
          <w:shd w:val="clear" w:color="auto" w:fill="FFFFFF"/>
        </w:rPr>
        <w:t>Obes</w:t>
      </w:r>
      <w:proofErr w:type="spellEnd"/>
      <w:r w:rsidRPr="00004D8A">
        <w:rPr>
          <w:shd w:val="clear" w:color="auto" w:fill="FFFFFF"/>
        </w:rPr>
        <w:t xml:space="preserve"> (Lond). 2023 Sep 18. </w:t>
      </w:r>
      <w:proofErr w:type="spellStart"/>
      <w:r w:rsidRPr="00004D8A">
        <w:rPr>
          <w:shd w:val="clear" w:color="auto" w:fill="FFFFFF"/>
        </w:rPr>
        <w:t>doi</w:t>
      </w:r>
      <w:proofErr w:type="spellEnd"/>
      <w:r w:rsidRPr="00004D8A">
        <w:rPr>
          <w:shd w:val="clear" w:color="auto" w:fill="FFFFFF"/>
        </w:rPr>
        <w:t xml:space="preserve">: 10.1038/s41366-023-01376-4. </w:t>
      </w:r>
      <w:proofErr w:type="spellStart"/>
      <w:r w:rsidRPr="00004D8A">
        <w:rPr>
          <w:shd w:val="clear" w:color="auto" w:fill="FFFFFF"/>
        </w:rPr>
        <w:t>Epub</w:t>
      </w:r>
      <w:proofErr w:type="spellEnd"/>
      <w:r w:rsidRPr="00004D8A">
        <w:rPr>
          <w:shd w:val="clear" w:color="auto" w:fill="FFFFFF"/>
        </w:rPr>
        <w:t xml:space="preserve"> ahead of print. PMID: 37723273.</w:t>
      </w:r>
    </w:p>
    <w:p w14:paraId="31FA03A7" w14:textId="77777777" w:rsidR="0074374C" w:rsidRPr="00004D8A" w:rsidRDefault="0074374C" w:rsidP="0074374C">
      <w:pPr>
        <w:pStyle w:val="ListParagraph"/>
        <w:spacing w:line="240" w:lineRule="auto"/>
        <w:rPr>
          <w:shd w:val="clear" w:color="auto" w:fill="FFFFFF"/>
        </w:rPr>
      </w:pPr>
    </w:p>
    <w:p w14:paraId="5F6AF721"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Xu H, Li PH, Barrow TM, </w:t>
      </w:r>
      <w:proofErr w:type="spellStart"/>
      <w:r w:rsidRPr="00004D8A">
        <w:rPr>
          <w:shd w:val="clear" w:color="auto" w:fill="FFFFFF"/>
        </w:rPr>
        <w:t>Colicino</w:t>
      </w:r>
      <w:proofErr w:type="spellEnd"/>
      <w:r w:rsidRPr="00004D8A">
        <w:rPr>
          <w:shd w:val="clear" w:color="auto" w:fill="FFFFFF"/>
        </w:rPr>
        <w:t xml:space="preserve"> E, Li C, Song R, Liu H, Tang NJ, Liu S, Guo L, Byun HM. Obesity as an effect modifier of the association between menstrual abnormalities and hypertension in young adult women: Results from Project ELEFANT. </w:t>
      </w:r>
      <w:proofErr w:type="spellStart"/>
      <w:r w:rsidRPr="00004D8A">
        <w:rPr>
          <w:shd w:val="clear" w:color="auto" w:fill="FFFFFF"/>
        </w:rPr>
        <w:t>PLoS</w:t>
      </w:r>
      <w:proofErr w:type="spellEnd"/>
      <w:r w:rsidRPr="00004D8A">
        <w:rPr>
          <w:shd w:val="clear" w:color="auto" w:fill="FFFFFF"/>
        </w:rPr>
        <w:t xml:space="preserve"> One. 2018 Nov 28;13(11</w:t>
      </w:r>
      <w:proofErr w:type="gramStart"/>
      <w:r w:rsidRPr="00004D8A">
        <w:rPr>
          <w:shd w:val="clear" w:color="auto" w:fill="FFFFFF"/>
        </w:rPr>
        <w:t>):e</w:t>
      </w:r>
      <w:proofErr w:type="gramEnd"/>
      <w:r w:rsidRPr="00004D8A">
        <w:rPr>
          <w:shd w:val="clear" w:color="auto" w:fill="FFFFFF"/>
        </w:rPr>
        <w:t xml:space="preserve">0207929. </w:t>
      </w:r>
      <w:proofErr w:type="spellStart"/>
      <w:r w:rsidRPr="00004D8A">
        <w:rPr>
          <w:shd w:val="clear" w:color="auto" w:fill="FFFFFF"/>
        </w:rPr>
        <w:t>doi</w:t>
      </w:r>
      <w:proofErr w:type="spellEnd"/>
      <w:r w:rsidRPr="00004D8A">
        <w:rPr>
          <w:shd w:val="clear" w:color="auto" w:fill="FFFFFF"/>
        </w:rPr>
        <w:t>: 10.1371/journal.pone.0207929. PMID: 30485368; PMCID: PMC6261602.</w:t>
      </w:r>
    </w:p>
    <w:p w14:paraId="2597A88C" w14:textId="77777777" w:rsidR="0074374C" w:rsidRPr="00004D8A" w:rsidRDefault="0074374C" w:rsidP="0074374C">
      <w:pPr>
        <w:pStyle w:val="ListParagraph"/>
        <w:spacing w:line="240" w:lineRule="auto"/>
        <w:rPr>
          <w:shd w:val="clear" w:color="auto" w:fill="FFFFFF"/>
        </w:rPr>
      </w:pPr>
    </w:p>
    <w:p w14:paraId="4629CA7E"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Morgan KL, Rahman MA, Macey S, Atkinson MD, Hill RA, Khanom A, </w:t>
      </w:r>
      <w:proofErr w:type="spellStart"/>
      <w:r w:rsidRPr="00004D8A">
        <w:rPr>
          <w:shd w:val="clear" w:color="auto" w:fill="FFFFFF"/>
        </w:rPr>
        <w:t>Paranjothy</w:t>
      </w:r>
      <w:proofErr w:type="spellEnd"/>
      <w:r w:rsidRPr="00004D8A">
        <w:rPr>
          <w:shd w:val="clear" w:color="auto" w:fill="FFFFFF"/>
        </w:rPr>
        <w:t xml:space="preserve"> S, Husain MJ, Brophy ST. Obesity in pregnancy: a retrospective prevalence-based study on health service utilisation and costs on the NHS. BMJ Open. 2014 Feb 27;4(2</w:t>
      </w:r>
      <w:proofErr w:type="gramStart"/>
      <w:r w:rsidRPr="00004D8A">
        <w:rPr>
          <w:shd w:val="clear" w:color="auto" w:fill="FFFFFF"/>
        </w:rPr>
        <w:t>):e</w:t>
      </w:r>
      <w:proofErr w:type="gramEnd"/>
      <w:r w:rsidRPr="00004D8A">
        <w:rPr>
          <w:shd w:val="clear" w:color="auto" w:fill="FFFFFF"/>
        </w:rPr>
        <w:t xml:space="preserve">003983. </w:t>
      </w:r>
      <w:proofErr w:type="spellStart"/>
      <w:r w:rsidRPr="00004D8A">
        <w:rPr>
          <w:shd w:val="clear" w:color="auto" w:fill="FFFFFF"/>
        </w:rPr>
        <w:t>doi</w:t>
      </w:r>
      <w:proofErr w:type="spellEnd"/>
      <w:r w:rsidRPr="00004D8A">
        <w:rPr>
          <w:shd w:val="clear" w:color="auto" w:fill="FFFFFF"/>
        </w:rPr>
        <w:t>: 10.1136/bmjopen-2013-003983. PMID: 24578535; PMCID: PMC3939655.</w:t>
      </w:r>
    </w:p>
    <w:p w14:paraId="4C4A1020" w14:textId="77777777" w:rsidR="0074374C" w:rsidRPr="00004D8A" w:rsidRDefault="0074374C" w:rsidP="0074374C">
      <w:pPr>
        <w:pStyle w:val="ListParagraph"/>
        <w:spacing w:line="240" w:lineRule="auto"/>
        <w:rPr>
          <w:shd w:val="clear" w:color="auto" w:fill="FFFFFF"/>
        </w:rPr>
      </w:pPr>
    </w:p>
    <w:p w14:paraId="505978FC"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Tak YJ, Lee SY. Long-Term Efficacy and Safety of Anti-Obesity Treatment: Where Do We Stand? Curr </w:t>
      </w:r>
      <w:proofErr w:type="spellStart"/>
      <w:r w:rsidRPr="00004D8A">
        <w:rPr>
          <w:shd w:val="clear" w:color="auto" w:fill="FFFFFF"/>
        </w:rPr>
        <w:t>Obes</w:t>
      </w:r>
      <w:proofErr w:type="spellEnd"/>
      <w:r w:rsidRPr="00004D8A">
        <w:rPr>
          <w:shd w:val="clear" w:color="auto" w:fill="FFFFFF"/>
        </w:rPr>
        <w:t xml:space="preserve"> Rep. 2021 Mar;10(1):14-30. </w:t>
      </w:r>
      <w:proofErr w:type="spellStart"/>
      <w:r w:rsidRPr="00004D8A">
        <w:rPr>
          <w:shd w:val="clear" w:color="auto" w:fill="FFFFFF"/>
        </w:rPr>
        <w:t>doi</w:t>
      </w:r>
      <w:proofErr w:type="spellEnd"/>
      <w:r w:rsidRPr="00004D8A">
        <w:rPr>
          <w:shd w:val="clear" w:color="auto" w:fill="FFFFFF"/>
        </w:rPr>
        <w:t xml:space="preserve">: 10.1007/s13679-020-00422-w. </w:t>
      </w:r>
      <w:proofErr w:type="spellStart"/>
      <w:r w:rsidRPr="00004D8A">
        <w:rPr>
          <w:shd w:val="clear" w:color="auto" w:fill="FFFFFF"/>
        </w:rPr>
        <w:t>Epub</w:t>
      </w:r>
      <w:proofErr w:type="spellEnd"/>
      <w:r w:rsidRPr="00004D8A">
        <w:rPr>
          <w:shd w:val="clear" w:color="auto" w:fill="FFFFFF"/>
        </w:rPr>
        <w:t xml:space="preserve"> 2021 Jan 6. PMID: 33410104; PMCID: PMC7787121.</w:t>
      </w:r>
    </w:p>
    <w:p w14:paraId="138341D4" w14:textId="77777777" w:rsidR="0074374C" w:rsidRPr="00004D8A" w:rsidRDefault="0074374C" w:rsidP="0074374C">
      <w:pPr>
        <w:pStyle w:val="ListParagraph"/>
        <w:spacing w:line="240" w:lineRule="auto"/>
        <w:rPr>
          <w:shd w:val="clear" w:color="auto" w:fill="FFFFFF"/>
        </w:rPr>
      </w:pPr>
    </w:p>
    <w:p w14:paraId="2D81132C"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Wilding JPH, </w:t>
      </w:r>
      <w:proofErr w:type="spellStart"/>
      <w:r w:rsidRPr="00004D8A">
        <w:rPr>
          <w:shd w:val="clear" w:color="auto" w:fill="FFFFFF"/>
        </w:rPr>
        <w:t>Batterham</w:t>
      </w:r>
      <w:proofErr w:type="spellEnd"/>
      <w:r w:rsidRPr="00004D8A">
        <w:rPr>
          <w:shd w:val="clear" w:color="auto" w:fill="FFFFFF"/>
        </w:rPr>
        <w:t xml:space="preserve"> RL, </w:t>
      </w:r>
      <w:proofErr w:type="spellStart"/>
      <w:r w:rsidRPr="00004D8A">
        <w:rPr>
          <w:shd w:val="clear" w:color="auto" w:fill="FFFFFF"/>
        </w:rPr>
        <w:t>Calanna</w:t>
      </w:r>
      <w:proofErr w:type="spellEnd"/>
      <w:r w:rsidRPr="00004D8A">
        <w:rPr>
          <w:shd w:val="clear" w:color="auto" w:fill="FFFFFF"/>
        </w:rPr>
        <w:t xml:space="preserve"> S, Davies M, Van Gaal LF, </w:t>
      </w:r>
      <w:proofErr w:type="spellStart"/>
      <w:r w:rsidRPr="00004D8A">
        <w:rPr>
          <w:shd w:val="clear" w:color="auto" w:fill="FFFFFF"/>
        </w:rPr>
        <w:t>Lingvay</w:t>
      </w:r>
      <w:proofErr w:type="spellEnd"/>
      <w:r w:rsidRPr="00004D8A">
        <w:rPr>
          <w:shd w:val="clear" w:color="auto" w:fill="FFFFFF"/>
        </w:rPr>
        <w:t xml:space="preserve"> I, McGowan BM, Rosenstock J, Tran MTD, Wadden TA, Wharton S, Yokote K, Zeuthen N, Kushner RF; STEP 1 Study Group. Once-Weekly </w:t>
      </w:r>
      <w:proofErr w:type="spellStart"/>
      <w:r w:rsidRPr="00004D8A">
        <w:rPr>
          <w:shd w:val="clear" w:color="auto" w:fill="FFFFFF"/>
        </w:rPr>
        <w:t>Semaglutide</w:t>
      </w:r>
      <w:proofErr w:type="spellEnd"/>
      <w:r w:rsidRPr="00004D8A">
        <w:rPr>
          <w:shd w:val="clear" w:color="auto" w:fill="FFFFFF"/>
        </w:rPr>
        <w:t xml:space="preserve"> in Adults with Overweight or Obesity. N Engl J Med. 2021 Mar 18;384(11):989-1002. </w:t>
      </w:r>
      <w:proofErr w:type="spellStart"/>
      <w:r w:rsidRPr="00004D8A">
        <w:rPr>
          <w:shd w:val="clear" w:color="auto" w:fill="FFFFFF"/>
        </w:rPr>
        <w:t>doi</w:t>
      </w:r>
      <w:proofErr w:type="spellEnd"/>
      <w:r w:rsidRPr="00004D8A">
        <w:rPr>
          <w:shd w:val="clear" w:color="auto" w:fill="FFFFFF"/>
        </w:rPr>
        <w:t xml:space="preserve">: 10.1056/NEJMoa2032183. </w:t>
      </w:r>
      <w:proofErr w:type="spellStart"/>
      <w:r w:rsidRPr="00004D8A">
        <w:rPr>
          <w:shd w:val="clear" w:color="auto" w:fill="FFFFFF"/>
        </w:rPr>
        <w:t>Epub</w:t>
      </w:r>
      <w:proofErr w:type="spellEnd"/>
      <w:r w:rsidRPr="00004D8A">
        <w:rPr>
          <w:shd w:val="clear" w:color="auto" w:fill="FFFFFF"/>
        </w:rPr>
        <w:t xml:space="preserve"> 2021 Feb 10. PMID: 33567185.</w:t>
      </w:r>
    </w:p>
    <w:p w14:paraId="4BC93874" w14:textId="77777777" w:rsidR="0074374C" w:rsidRPr="00004D8A" w:rsidRDefault="0074374C" w:rsidP="0074374C">
      <w:pPr>
        <w:pStyle w:val="ListParagraph"/>
        <w:spacing w:after="0" w:line="240" w:lineRule="auto"/>
        <w:ind w:left="0"/>
        <w:contextualSpacing w:val="0"/>
      </w:pPr>
    </w:p>
    <w:p w14:paraId="0187A032" w14:textId="46A1145F" w:rsidR="0074374C" w:rsidRPr="00004D8A" w:rsidRDefault="00506736" w:rsidP="0074374C">
      <w:pPr>
        <w:pStyle w:val="ListParagraph"/>
        <w:numPr>
          <w:ilvl w:val="0"/>
          <w:numId w:val="15"/>
        </w:numPr>
        <w:spacing w:after="0" w:line="240" w:lineRule="auto"/>
        <w:ind w:left="0" w:hanging="357"/>
        <w:contextualSpacing w:val="0"/>
      </w:pPr>
      <w:proofErr w:type="spellStart"/>
      <w:r w:rsidRPr="00004D8A">
        <w:t>Semaglutide</w:t>
      </w:r>
      <w:proofErr w:type="spellEnd"/>
      <w:r w:rsidRPr="00004D8A">
        <w:t xml:space="preserve"> for managing overweight and obesity Technology appraisal guidance [TA</w:t>
      </w:r>
      <w:proofErr w:type="gramStart"/>
      <w:r w:rsidRPr="00004D8A">
        <w:t>875]Published</w:t>
      </w:r>
      <w:proofErr w:type="gramEnd"/>
      <w:r w:rsidRPr="00004D8A">
        <w:t xml:space="preserve">: 08 March 2023 Last updated: 04 September 2023 </w:t>
      </w:r>
      <w:r w:rsidR="0074374C" w:rsidRPr="00004D8A">
        <w:t>(https://www.nice.org.uk/guidance/ta875: accessed 28 July 2023</w:t>
      </w:r>
    </w:p>
    <w:p w14:paraId="4B1960C6" w14:textId="77777777" w:rsidR="0074374C" w:rsidRPr="00004D8A" w:rsidRDefault="0074374C" w:rsidP="0074374C">
      <w:pPr>
        <w:pStyle w:val="ListParagraph"/>
        <w:spacing w:after="0" w:line="240" w:lineRule="auto"/>
        <w:ind w:left="0"/>
        <w:contextualSpacing w:val="0"/>
      </w:pPr>
    </w:p>
    <w:p w14:paraId="27A27821" w14:textId="04DC5F3B" w:rsidR="0074374C" w:rsidRPr="00004D8A" w:rsidRDefault="005E6E9C" w:rsidP="0074374C">
      <w:pPr>
        <w:pStyle w:val="ListParagraph"/>
        <w:numPr>
          <w:ilvl w:val="0"/>
          <w:numId w:val="15"/>
        </w:numPr>
        <w:spacing w:after="0" w:line="240" w:lineRule="auto"/>
        <w:ind w:left="0" w:hanging="357"/>
        <w:contextualSpacing w:val="0"/>
        <w:rPr>
          <w:rStyle w:val="cf21"/>
          <w:rFonts w:ascii="Arial" w:hAnsi="Arial" w:cs="Arial"/>
          <w:color w:val="auto"/>
          <w:sz w:val="24"/>
          <w:szCs w:val="24"/>
        </w:rPr>
      </w:pPr>
      <w:r w:rsidRPr="00004D8A">
        <w:rPr>
          <w:rStyle w:val="cf21"/>
          <w:rFonts w:ascii="Arial" w:hAnsi="Arial" w:cs="Arial"/>
          <w:color w:val="auto"/>
          <w:sz w:val="24"/>
          <w:szCs w:val="24"/>
        </w:rPr>
        <w:t xml:space="preserve">Garvey, W.T., </w:t>
      </w:r>
      <w:proofErr w:type="spellStart"/>
      <w:r w:rsidRPr="00004D8A">
        <w:rPr>
          <w:rStyle w:val="cf21"/>
          <w:rFonts w:ascii="Arial" w:hAnsi="Arial" w:cs="Arial"/>
          <w:color w:val="auto"/>
          <w:sz w:val="24"/>
          <w:szCs w:val="24"/>
        </w:rPr>
        <w:t>Batterham</w:t>
      </w:r>
      <w:proofErr w:type="spellEnd"/>
      <w:r w:rsidRPr="00004D8A">
        <w:rPr>
          <w:rStyle w:val="cf21"/>
          <w:rFonts w:ascii="Arial" w:hAnsi="Arial" w:cs="Arial"/>
          <w:color w:val="auto"/>
          <w:sz w:val="24"/>
          <w:szCs w:val="24"/>
        </w:rPr>
        <w:t xml:space="preserve">, R.L., Bhatta, M. et al. Two-year effects of </w:t>
      </w:r>
      <w:proofErr w:type="spellStart"/>
      <w:r w:rsidRPr="00004D8A">
        <w:rPr>
          <w:rStyle w:val="cf21"/>
          <w:rFonts w:ascii="Arial" w:hAnsi="Arial" w:cs="Arial"/>
          <w:color w:val="auto"/>
          <w:sz w:val="24"/>
          <w:szCs w:val="24"/>
        </w:rPr>
        <w:t>semaglutide</w:t>
      </w:r>
      <w:proofErr w:type="spellEnd"/>
      <w:r w:rsidRPr="00004D8A">
        <w:rPr>
          <w:rStyle w:val="cf21"/>
          <w:rFonts w:ascii="Arial" w:hAnsi="Arial" w:cs="Arial"/>
          <w:color w:val="auto"/>
          <w:sz w:val="24"/>
          <w:szCs w:val="24"/>
        </w:rPr>
        <w:t xml:space="preserve"> in adults with overweight or obesity: the STEP 5 trial. Nat Med 28, 2083–2091 (2022). https://doi.org/10.1038/s41591-022-02026-4</w:t>
      </w:r>
    </w:p>
    <w:p w14:paraId="1EE75405" w14:textId="77777777" w:rsidR="0074374C" w:rsidRPr="00004D8A" w:rsidRDefault="0074374C" w:rsidP="0074374C">
      <w:pPr>
        <w:pStyle w:val="ListParagraph"/>
        <w:spacing w:after="0" w:line="240" w:lineRule="auto"/>
        <w:ind w:left="0"/>
        <w:contextualSpacing w:val="0"/>
      </w:pPr>
    </w:p>
    <w:p w14:paraId="2B8F08FA" w14:textId="64872FFF" w:rsidR="0074374C" w:rsidRPr="00004D8A" w:rsidRDefault="006E22EC" w:rsidP="0074374C">
      <w:pPr>
        <w:pStyle w:val="ListParagraph"/>
        <w:numPr>
          <w:ilvl w:val="0"/>
          <w:numId w:val="15"/>
        </w:numPr>
        <w:spacing w:after="0" w:line="240" w:lineRule="auto"/>
        <w:ind w:left="0" w:hanging="357"/>
        <w:contextualSpacing w:val="0"/>
        <w:rPr>
          <w:rStyle w:val="cf01"/>
          <w:rFonts w:ascii="Arial" w:hAnsi="Arial" w:cs="Arial"/>
          <w:sz w:val="24"/>
          <w:szCs w:val="24"/>
        </w:rPr>
      </w:pPr>
      <w:proofErr w:type="spellStart"/>
      <w:r w:rsidRPr="00004D8A">
        <w:t>Tirzepatide</w:t>
      </w:r>
      <w:proofErr w:type="spellEnd"/>
      <w:r w:rsidRPr="00004D8A">
        <w:t xml:space="preserve"> demonstrated significant and superior weight loss compared to placebo in two pivotal studies July 27, 2023 </w:t>
      </w:r>
      <w:hyperlink r:id="rId13" w:history="1">
        <w:r w:rsidRPr="00004D8A">
          <w:rPr>
            <w:rStyle w:val="Hyperlink"/>
            <w:color w:val="auto"/>
          </w:rPr>
          <w:t>https://investor.lilly.com/news-releases/news-release-details/tirzepatide-demonstrated-significant-and-superior-weight-loss</w:t>
        </w:r>
      </w:hyperlink>
      <w:r w:rsidR="0074374C" w:rsidRPr="00004D8A">
        <w:rPr>
          <w:rStyle w:val="cf01"/>
          <w:rFonts w:ascii="Arial" w:hAnsi="Arial" w:cs="Arial"/>
          <w:sz w:val="24"/>
          <w:szCs w:val="24"/>
        </w:rPr>
        <w:t>: Accessed 28 July 2023</w:t>
      </w:r>
    </w:p>
    <w:p w14:paraId="29582B66" w14:textId="77777777" w:rsidR="0074374C" w:rsidRPr="00004D8A" w:rsidRDefault="0074374C" w:rsidP="0074374C">
      <w:pPr>
        <w:pStyle w:val="ListParagraph"/>
        <w:spacing w:after="0" w:line="240" w:lineRule="auto"/>
        <w:ind w:left="0"/>
        <w:contextualSpacing w:val="0"/>
      </w:pPr>
    </w:p>
    <w:p w14:paraId="3685B3F5" w14:textId="6CB773B7" w:rsidR="0074374C" w:rsidRPr="00004D8A" w:rsidRDefault="00EE7A5F" w:rsidP="0074374C">
      <w:pPr>
        <w:pStyle w:val="ListParagraph"/>
        <w:numPr>
          <w:ilvl w:val="0"/>
          <w:numId w:val="15"/>
        </w:numPr>
        <w:spacing w:after="0" w:line="240" w:lineRule="auto"/>
        <w:ind w:left="0" w:hanging="357"/>
        <w:contextualSpacing w:val="0"/>
        <w:rPr>
          <w:rStyle w:val="cf01"/>
          <w:rFonts w:ascii="Arial" w:hAnsi="Arial" w:cs="Arial"/>
          <w:sz w:val="24"/>
          <w:szCs w:val="24"/>
        </w:rPr>
      </w:pPr>
      <w:r w:rsidRPr="00004D8A">
        <w:lastRenderedPageBreak/>
        <w:t xml:space="preserve">Triple–Hormone-Receptor Agonist </w:t>
      </w:r>
      <w:proofErr w:type="spellStart"/>
      <w:r w:rsidRPr="00004D8A">
        <w:t>Retatrutide</w:t>
      </w:r>
      <w:proofErr w:type="spellEnd"/>
      <w:r w:rsidRPr="00004D8A">
        <w:t xml:space="preserve"> for Obesity — A Phase 2 Trial Ania M. </w:t>
      </w:r>
      <w:proofErr w:type="spellStart"/>
      <w:r w:rsidRPr="00004D8A">
        <w:t>Jastreboff</w:t>
      </w:r>
      <w:proofErr w:type="spellEnd"/>
      <w:r w:rsidRPr="00004D8A">
        <w:t xml:space="preserve">, M.D., Ph.D., Lee M. Kaplan, M.D., Ph.D., Juan P. </w:t>
      </w:r>
      <w:proofErr w:type="spellStart"/>
      <w:r w:rsidRPr="00004D8A">
        <w:t>Frías</w:t>
      </w:r>
      <w:proofErr w:type="spellEnd"/>
      <w:r w:rsidRPr="00004D8A">
        <w:t xml:space="preserve">, M.D., </w:t>
      </w:r>
      <w:proofErr w:type="spellStart"/>
      <w:r w:rsidRPr="00004D8A">
        <w:t>Qiwei</w:t>
      </w:r>
      <w:proofErr w:type="spellEnd"/>
      <w:r w:rsidRPr="00004D8A">
        <w:t xml:space="preserve"> Wu, Ph.D., Yu Du, Ph.D., Sirel </w:t>
      </w:r>
      <w:proofErr w:type="spellStart"/>
      <w:r w:rsidRPr="00004D8A">
        <w:t>Gurbuz</w:t>
      </w:r>
      <w:proofErr w:type="spellEnd"/>
      <w:r w:rsidRPr="00004D8A">
        <w:t xml:space="preserve">, M.D., Tamer Coskun, M.D., Ph.D., Axel Haupt, M.D., Ph.D., Zvonko Milicevic, M.D., and Mark L. Hartman, M.D. for the </w:t>
      </w:r>
      <w:proofErr w:type="spellStart"/>
      <w:r w:rsidRPr="00004D8A">
        <w:t>Retatrutide</w:t>
      </w:r>
      <w:proofErr w:type="spellEnd"/>
      <w:r w:rsidRPr="00004D8A">
        <w:t xml:space="preserve"> Phase 2 Obesity Trial Investigators</w:t>
      </w:r>
      <w:r w:rsidR="00E402C2" w:rsidRPr="00004D8A">
        <w:t xml:space="preserve"> </w:t>
      </w:r>
      <w:hyperlink r:id="rId14" w:history="1">
        <w:r w:rsidR="0074374C" w:rsidRPr="00004D8A">
          <w:rPr>
            <w:rStyle w:val="cf01"/>
            <w:rFonts w:ascii="Arial" w:hAnsi="Arial" w:cs="Arial"/>
            <w:sz w:val="24"/>
            <w:szCs w:val="24"/>
          </w:rPr>
          <w:t>https://www.nejm.org/doi/10.1056/NEJMoa23019</w:t>
        </w:r>
      </w:hyperlink>
      <w:r w:rsidR="0074374C" w:rsidRPr="00004D8A">
        <w:rPr>
          <w:rStyle w:val="cf01"/>
          <w:rFonts w:ascii="Arial" w:hAnsi="Arial" w:cs="Arial"/>
          <w:sz w:val="24"/>
          <w:szCs w:val="24"/>
        </w:rPr>
        <w:t>: Accessed 28 July 2023</w:t>
      </w:r>
    </w:p>
    <w:p w14:paraId="425597EB" w14:textId="77777777" w:rsidR="0074374C" w:rsidRPr="00004D8A" w:rsidRDefault="0074374C" w:rsidP="0074374C">
      <w:pPr>
        <w:pStyle w:val="ListParagraph"/>
        <w:spacing w:line="240" w:lineRule="auto"/>
        <w:rPr>
          <w:shd w:val="clear" w:color="auto" w:fill="FFFFFF"/>
        </w:rPr>
      </w:pPr>
    </w:p>
    <w:p w14:paraId="01924925" w14:textId="77777777" w:rsidR="00A0498E"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Harrison S, Dixon P, Jones HE, Davies AR, Howe LD, Davies NM. Long-term cost-effectiveness of interventions for obesity: A mendelian randomisation study. </w:t>
      </w:r>
      <w:proofErr w:type="spellStart"/>
      <w:r w:rsidRPr="00004D8A">
        <w:rPr>
          <w:shd w:val="clear" w:color="auto" w:fill="FFFFFF"/>
        </w:rPr>
        <w:t>PLoS</w:t>
      </w:r>
      <w:proofErr w:type="spellEnd"/>
      <w:r w:rsidRPr="00004D8A">
        <w:rPr>
          <w:shd w:val="clear" w:color="auto" w:fill="FFFFFF"/>
        </w:rPr>
        <w:t xml:space="preserve"> Med. 2021 Aug 27;18(8</w:t>
      </w:r>
      <w:proofErr w:type="gramStart"/>
      <w:r w:rsidRPr="00004D8A">
        <w:rPr>
          <w:shd w:val="clear" w:color="auto" w:fill="FFFFFF"/>
        </w:rPr>
        <w:t>):e</w:t>
      </w:r>
      <w:proofErr w:type="gramEnd"/>
      <w:r w:rsidRPr="00004D8A">
        <w:rPr>
          <w:shd w:val="clear" w:color="auto" w:fill="FFFFFF"/>
        </w:rPr>
        <w:t xml:space="preserve">1003725. </w:t>
      </w:r>
      <w:proofErr w:type="spellStart"/>
      <w:r w:rsidRPr="00004D8A">
        <w:rPr>
          <w:shd w:val="clear" w:color="auto" w:fill="FFFFFF"/>
        </w:rPr>
        <w:t>doi</w:t>
      </w:r>
      <w:proofErr w:type="spellEnd"/>
      <w:r w:rsidRPr="00004D8A">
        <w:rPr>
          <w:shd w:val="clear" w:color="auto" w:fill="FFFFFF"/>
        </w:rPr>
        <w:t>: 10.1371/journal.pmed.1003725. PMID: 34449774; PMCID: PMC8437285.</w:t>
      </w:r>
    </w:p>
    <w:p w14:paraId="640CC351" w14:textId="77777777" w:rsidR="00A0498E" w:rsidRPr="00004D8A" w:rsidRDefault="00A0498E" w:rsidP="00A930A9">
      <w:pPr>
        <w:pStyle w:val="ListParagraph"/>
      </w:pPr>
    </w:p>
    <w:p w14:paraId="68B1EB02" w14:textId="6431AFE9" w:rsidR="0074374C" w:rsidRPr="00004D8A" w:rsidRDefault="0074374C" w:rsidP="0074374C">
      <w:pPr>
        <w:pStyle w:val="ListParagraph"/>
        <w:numPr>
          <w:ilvl w:val="0"/>
          <w:numId w:val="15"/>
        </w:numPr>
        <w:spacing w:after="0" w:line="240" w:lineRule="auto"/>
        <w:ind w:left="0" w:hanging="357"/>
        <w:contextualSpacing w:val="0"/>
      </w:pPr>
      <w:r w:rsidRPr="00004D8A">
        <w:t xml:space="preserve"> </w:t>
      </w:r>
      <w:r w:rsidR="00A0498E" w:rsidRPr="00004D8A">
        <w:rPr>
          <w:shd w:val="clear" w:color="auto" w:fill="FFFFFF"/>
        </w:rPr>
        <w:t xml:space="preserve">McNamara S, Schneider PP, Love-Koh J, Doran T, </w:t>
      </w:r>
      <w:proofErr w:type="spellStart"/>
      <w:r w:rsidR="00A0498E" w:rsidRPr="00004D8A">
        <w:rPr>
          <w:shd w:val="clear" w:color="auto" w:fill="FFFFFF"/>
        </w:rPr>
        <w:t>Gutacker</w:t>
      </w:r>
      <w:proofErr w:type="spellEnd"/>
      <w:r w:rsidR="00A0498E" w:rsidRPr="00004D8A">
        <w:rPr>
          <w:shd w:val="clear" w:color="auto" w:fill="FFFFFF"/>
        </w:rPr>
        <w:t xml:space="preserve"> N. Quality-Adjusted Life Expectancy Norms for the English Population. Value Health. 2023 Feb;26(2):163-169</w:t>
      </w:r>
      <w:r w:rsidR="00030C12" w:rsidRPr="00004D8A">
        <w:rPr>
          <w:rFonts w:asciiTheme="minorHAnsi" w:hAnsiTheme="minorHAnsi" w:cstheme="minorHAnsi"/>
          <w:sz w:val="28"/>
          <w:szCs w:val="28"/>
          <w:shd w:val="clear" w:color="auto" w:fill="FFFFFF"/>
        </w:rPr>
        <w:t xml:space="preserve"> </w:t>
      </w:r>
    </w:p>
    <w:p w14:paraId="57E0B6E9" w14:textId="77777777" w:rsidR="00A0498E" w:rsidRPr="00004D8A" w:rsidRDefault="00A0498E" w:rsidP="00A930A9">
      <w:pPr>
        <w:pStyle w:val="ListParagraph"/>
        <w:spacing w:after="0" w:line="240" w:lineRule="auto"/>
        <w:ind w:left="0"/>
        <w:contextualSpacing w:val="0"/>
      </w:pPr>
    </w:p>
    <w:p w14:paraId="4ACE4305"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Schell RC, Just DR, Levitsky DA. Methodological Challenges in Estimating the Lifetime Medical Care Cost Externality of Obesity. J Benefit Cost Anal. 2021 Fall;12(3):441-465. </w:t>
      </w:r>
      <w:proofErr w:type="spellStart"/>
      <w:r w:rsidRPr="00004D8A">
        <w:rPr>
          <w:shd w:val="clear" w:color="auto" w:fill="FFFFFF"/>
        </w:rPr>
        <w:t>doi</w:t>
      </w:r>
      <w:proofErr w:type="spellEnd"/>
      <w:r w:rsidRPr="00004D8A">
        <w:rPr>
          <w:shd w:val="clear" w:color="auto" w:fill="FFFFFF"/>
        </w:rPr>
        <w:t xml:space="preserve">: 10.1017/bca.2021.6. </w:t>
      </w:r>
      <w:proofErr w:type="spellStart"/>
      <w:r w:rsidRPr="00004D8A">
        <w:rPr>
          <w:shd w:val="clear" w:color="auto" w:fill="FFFFFF"/>
        </w:rPr>
        <w:t>Epub</w:t>
      </w:r>
      <w:proofErr w:type="spellEnd"/>
      <w:r w:rsidRPr="00004D8A">
        <w:rPr>
          <w:shd w:val="clear" w:color="auto" w:fill="FFFFFF"/>
        </w:rPr>
        <w:t xml:space="preserve"> 2021 Jul 27. PMID: 35419252; PMCID: PMC9004795.</w:t>
      </w:r>
    </w:p>
    <w:p w14:paraId="65EE0569" w14:textId="77777777" w:rsidR="0074374C" w:rsidRPr="00004D8A" w:rsidRDefault="0074374C" w:rsidP="0074374C">
      <w:pPr>
        <w:pStyle w:val="ListParagraph"/>
        <w:spacing w:line="240" w:lineRule="auto"/>
        <w:rPr>
          <w:shd w:val="clear" w:color="auto" w:fill="FFFFFF"/>
        </w:rPr>
      </w:pPr>
    </w:p>
    <w:p w14:paraId="77526AE0"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Kjellberg J, Tange Larsen A, Ibsen R, Højgaard B. The Socioeconomic Burden of Obesity. </w:t>
      </w:r>
      <w:proofErr w:type="spellStart"/>
      <w:r w:rsidRPr="00004D8A">
        <w:rPr>
          <w:shd w:val="clear" w:color="auto" w:fill="FFFFFF"/>
        </w:rPr>
        <w:t>Obes</w:t>
      </w:r>
      <w:proofErr w:type="spellEnd"/>
      <w:r w:rsidRPr="00004D8A">
        <w:rPr>
          <w:shd w:val="clear" w:color="auto" w:fill="FFFFFF"/>
        </w:rPr>
        <w:t xml:space="preserve"> Facts. 2017;10(5):493-502. </w:t>
      </w:r>
      <w:proofErr w:type="spellStart"/>
      <w:r w:rsidRPr="00004D8A">
        <w:rPr>
          <w:shd w:val="clear" w:color="auto" w:fill="FFFFFF"/>
        </w:rPr>
        <w:t>doi</w:t>
      </w:r>
      <w:proofErr w:type="spellEnd"/>
      <w:r w:rsidRPr="00004D8A">
        <w:rPr>
          <w:shd w:val="clear" w:color="auto" w:fill="FFFFFF"/>
        </w:rPr>
        <w:t xml:space="preserve">: 10.1159/000480404. </w:t>
      </w:r>
      <w:proofErr w:type="spellStart"/>
      <w:r w:rsidRPr="00004D8A">
        <w:rPr>
          <w:shd w:val="clear" w:color="auto" w:fill="FFFFFF"/>
        </w:rPr>
        <w:t>Epub</w:t>
      </w:r>
      <w:proofErr w:type="spellEnd"/>
      <w:r w:rsidRPr="00004D8A">
        <w:rPr>
          <w:shd w:val="clear" w:color="auto" w:fill="FFFFFF"/>
        </w:rPr>
        <w:t xml:space="preserve"> 2017 Oct 12. PMID: 29020681; PMCID: PMC5741162.</w:t>
      </w:r>
    </w:p>
    <w:p w14:paraId="2FDB1C7F" w14:textId="77777777" w:rsidR="0074374C" w:rsidRPr="00004D8A" w:rsidRDefault="0074374C" w:rsidP="0074374C">
      <w:pPr>
        <w:pStyle w:val="ListParagraph"/>
        <w:spacing w:line="240" w:lineRule="auto"/>
        <w:rPr>
          <w:shd w:val="clear" w:color="auto" w:fill="FFFFFF"/>
        </w:rPr>
      </w:pPr>
    </w:p>
    <w:p w14:paraId="03E0F734"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Williams PT, Wood PD. The effects of changing exercise levels on weight and age-related weight gain. Int J </w:t>
      </w:r>
      <w:proofErr w:type="spellStart"/>
      <w:r w:rsidRPr="00004D8A">
        <w:rPr>
          <w:shd w:val="clear" w:color="auto" w:fill="FFFFFF"/>
        </w:rPr>
        <w:t>Obes</w:t>
      </w:r>
      <w:proofErr w:type="spellEnd"/>
      <w:r w:rsidRPr="00004D8A">
        <w:rPr>
          <w:shd w:val="clear" w:color="auto" w:fill="FFFFFF"/>
        </w:rPr>
        <w:t xml:space="preserve"> (Lond). 2006 Mar;30(3):543-51. </w:t>
      </w:r>
      <w:proofErr w:type="spellStart"/>
      <w:r w:rsidRPr="00004D8A">
        <w:rPr>
          <w:shd w:val="clear" w:color="auto" w:fill="FFFFFF"/>
        </w:rPr>
        <w:t>doi</w:t>
      </w:r>
      <w:proofErr w:type="spellEnd"/>
      <w:r w:rsidRPr="00004D8A">
        <w:rPr>
          <w:shd w:val="clear" w:color="auto" w:fill="FFFFFF"/>
        </w:rPr>
        <w:t>: 10.1038/sj.ijo.0803172. PMID: 16314878; PMCID: PMC2864590.</w:t>
      </w:r>
    </w:p>
    <w:p w14:paraId="687828CE" w14:textId="77777777" w:rsidR="0074374C" w:rsidRPr="00004D8A" w:rsidRDefault="0074374C" w:rsidP="0074374C">
      <w:pPr>
        <w:pStyle w:val="ListParagraph"/>
        <w:spacing w:line="240" w:lineRule="auto"/>
        <w:rPr>
          <w:shd w:val="clear" w:color="auto" w:fill="FFFFFF"/>
        </w:rPr>
      </w:pPr>
    </w:p>
    <w:p w14:paraId="64C25966" w14:textId="77777777" w:rsidR="0074374C" w:rsidRPr="00004D8A" w:rsidRDefault="0074374C" w:rsidP="0074374C">
      <w:pPr>
        <w:pStyle w:val="ListParagraph"/>
        <w:numPr>
          <w:ilvl w:val="0"/>
          <w:numId w:val="15"/>
        </w:numPr>
        <w:spacing w:after="0" w:line="240" w:lineRule="auto"/>
        <w:ind w:left="0" w:hanging="357"/>
        <w:contextualSpacing w:val="0"/>
      </w:pPr>
      <w:r w:rsidRPr="00004D8A">
        <w:rPr>
          <w:shd w:val="clear" w:color="auto" w:fill="FFFFFF"/>
        </w:rPr>
        <w:t xml:space="preserve">Ashwell M, Gunn P, Gibson S. Waist-to-height ratio is a better screening tool than waist circumference and BMI for adult cardiometabolic risk factors: systematic review and meta-analysis. </w:t>
      </w:r>
      <w:proofErr w:type="spellStart"/>
      <w:r w:rsidRPr="00004D8A">
        <w:rPr>
          <w:shd w:val="clear" w:color="auto" w:fill="FFFFFF"/>
        </w:rPr>
        <w:t>Obes</w:t>
      </w:r>
      <w:proofErr w:type="spellEnd"/>
      <w:r w:rsidRPr="00004D8A">
        <w:rPr>
          <w:shd w:val="clear" w:color="auto" w:fill="FFFFFF"/>
        </w:rPr>
        <w:t xml:space="preserve"> Rev. 2012 Mar;13(3):275-86. </w:t>
      </w:r>
      <w:proofErr w:type="spellStart"/>
      <w:r w:rsidRPr="00004D8A">
        <w:rPr>
          <w:shd w:val="clear" w:color="auto" w:fill="FFFFFF"/>
        </w:rPr>
        <w:t>doi</w:t>
      </w:r>
      <w:proofErr w:type="spellEnd"/>
      <w:r w:rsidRPr="00004D8A">
        <w:rPr>
          <w:shd w:val="clear" w:color="auto" w:fill="FFFFFF"/>
        </w:rPr>
        <w:t>: 10.1111/j.1467-789X.2011.</w:t>
      </w:r>
      <w:proofErr w:type="gramStart"/>
      <w:r w:rsidRPr="00004D8A">
        <w:rPr>
          <w:shd w:val="clear" w:color="auto" w:fill="FFFFFF"/>
        </w:rPr>
        <w:t>00952.x.</w:t>
      </w:r>
      <w:proofErr w:type="gramEnd"/>
      <w:r w:rsidRPr="00004D8A">
        <w:rPr>
          <w:shd w:val="clear" w:color="auto" w:fill="FFFFFF"/>
        </w:rPr>
        <w:t xml:space="preserve"> </w:t>
      </w:r>
      <w:proofErr w:type="spellStart"/>
      <w:r w:rsidRPr="00004D8A">
        <w:rPr>
          <w:shd w:val="clear" w:color="auto" w:fill="FFFFFF"/>
        </w:rPr>
        <w:t>Epub</w:t>
      </w:r>
      <w:proofErr w:type="spellEnd"/>
      <w:r w:rsidRPr="00004D8A">
        <w:rPr>
          <w:shd w:val="clear" w:color="auto" w:fill="FFFFFF"/>
        </w:rPr>
        <w:t xml:space="preserve"> 2011 Nov 23. PMID: 22106927.</w:t>
      </w:r>
    </w:p>
    <w:bookmarkEnd w:id="17"/>
    <w:bookmarkEnd w:id="1"/>
    <w:p w14:paraId="37428B9C" w14:textId="560A891C" w:rsidR="00427543" w:rsidRPr="00004D8A" w:rsidRDefault="00427543">
      <w:pPr>
        <w:spacing w:after="0" w:line="240" w:lineRule="auto"/>
      </w:pPr>
    </w:p>
    <w:sectPr w:rsidR="00427543" w:rsidRPr="00004D8A" w:rsidSect="00403FE8">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B499" w14:textId="77777777" w:rsidR="0056575F" w:rsidRDefault="0056575F" w:rsidP="004C3BBF">
      <w:pPr>
        <w:spacing w:after="0" w:line="240" w:lineRule="auto"/>
      </w:pPr>
      <w:r>
        <w:separator/>
      </w:r>
    </w:p>
  </w:endnote>
  <w:endnote w:type="continuationSeparator" w:id="0">
    <w:p w14:paraId="76777771" w14:textId="77777777" w:rsidR="0056575F" w:rsidRDefault="0056575F" w:rsidP="004C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370080"/>
      <w:docPartObj>
        <w:docPartGallery w:val="Page Numbers (Bottom of Page)"/>
        <w:docPartUnique/>
      </w:docPartObj>
    </w:sdtPr>
    <w:sdtEndPr>
      <w:rPr>
        <w:noProof/>
      </w:rPr>
    </w:sdtEndPr>
    <w:sdtContent>
      <w:p w14:paraId="10374369" w14:textId="294C5C92" w:rsidR="004C3BBF" w:rsidRDefault="004C3BB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CC00" w14:textId="77777777" w:rsidR="0056575F" w:rsidRDefault="0056575F" w:rsidP="004C3BBF">
      <w:pPr>
        <w:spacing w:after="0" w:line="240" w:lineRule="auto"/>
      </w:pPr>
      <w:r>
        <w:separator/>
      </w:r>
    </w:p>
  </w:footnote>
  <w:footnote w:type="continuationSeparator" w:id="0">
    <w:p w14:paraId="384266F9" w14:textId="77777777" w:rsidR="0056575F" w:rsidRDefault="0056575F" w:rsidP="004C3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F7B"/>
    <w:multiLevelType w:val="hybridMultilevel"/>
    <w:tmpl w:val="390615C4"/>
    <w:lvl w:ilvl="0" w:tplc="6DF26282">
      <w:start w:val="1"/>
      <w:numFmt w:val="bullet"/>
      <w:lvlText w:val="•"/>
      <w:lvlJc w:val="left"/>
      <w:pPr>
        <w:tabs>
          <w:tab w:val="num" w:pos="720"/>
        </w:tabs>
        <w:ind w:left="720" w:hanging="360"/>
      </w:pPr>
      <w:rPr>
        <w:rFonts w:ascii="Arial" w:hAnsi="Arial" w:hint="default"/>
      </w:rPr>
    </w:lvl>
    <w:lvl w:ilvl="1" w:tplc="7E087968" w:tentative="1">
      <w:start w:val="1"/>
      <w:numFmt w:val="bullet"/>
      <w:lvlText w:val="•"/>
      <w:lvlJc w:val="left"/>
      <w:pPr>
        <w:tabs>
          <w:tab w:val="num" w:pos="1440"/>
        </w:tabs>
        <w:ind w:left="1440" w:hanging="360"/>
      </w:pPr>
      <w:rPr>
        <w:rFonts w:ascii="Arial" w:hAnsi="Arial" w:hint="default"/>
      </w:rPr>
    </w:lvl>
    <w:lvl w:ilvl="2" w:tplc="28CC9316" w:tentative="1">
      <w:start w:val="1"/>
      <w:numFmt w:val="bullet"/>
      <w:lvlText w:val="•"/>
      <w:lvlJc w:val="left"/>
      <w:pPr>
        <w:tabs>
          <w:tab w:val="num" w:pos="2160"/>
        </w:tabs>
        <w:ind w:left="2160" w:hanging="360"/>
      </w:pPr>
      <w:rPr>
        <w:rFonts w:ascii="Arial" w:hAnsi="Arial" w:hint="default"/>
      </w:rPr>
    </w:lvl>
    <w:lvl w:ilvl="3" w:tplc="5DAE3664" w:tentative="1">
      <w:start w:val="1"/>
      <w:numFmt w:val="bullet"/>
      <w:lvlText w:val="•"/>
      <w:lvlJc w:val="left"/>
      <w:pPr>
        <w:tabs>
          <w:tab w:val="num" w:pos="2880"/>
        </w:tabs>
        <w:ind w:left="2880" w:hanging="360"/>
      </w:pPr>
      <w:rPr>
        <w:rFonts w:ascii="Arial" w:hAnsi="Arial" w:hint="default"/>
      </w:rPr>
    </w:lvl>
    <w:lvl w:ilvl="4" w:tplc="EEF8252C" w:tentative="1">
      <w:start w:val="1"/>
      <w:numFmt w:val="bullet"/>
      <w:lvlText w:val="•"/>
      <w:lvlJc w:val="left"/>
      <w:pPr>
        <w:tabs>
          <w:tab w:val="num" w:pos="3600"/>
        </w:tabs>
        <w:ind w:left="3600" w:hanging="360"/>
      </w:pPr>
      <w:rPr>
        <w:rFonts w:ascii="Arial" w:hAnsi="Arial" w:hint="default"/>
      </w:rPr>
    </w:lvl>
    <w:lvl w:ilvl="5" w:tplc="55C25132" w:tentative="1">
      <w:start w:val="1"/>
      <w:numFmt w:val="bullet"/>
      <w:lvlText w:val="•"/>
      <w:lvlJc w:val="left"/>
      <w:pPr>
        <w:tabs>
          <w:tab w:val="num" w:pos="4320"/>
        </w:tabs>
        <w:ind w:left="4320" w:hanging="360"/>
      </w:pPr>
      <w:rPr>
        <w:rFonts w:ascii="Arial" w:hAnsi="Arial" w:hint="default"/>
      </w:rPr>
    </w:lvl>
    <w:lvl w:ilvl="6" w:tplc="6504DBF4" w:tentative="1">
      <w:start w:val="1"/>
      <w:numFmt w:val="bullet"/>
      <w:lvlText w:val="•"/>
      <w:lvlJc w:val="left"/>
      <w:pPr>
        <w:tabs>
          <w:tab w:val="num" w:pos="5040"/>
        </w:tabs>
        <w:ind w:left="5040" w:hanging="360"/>
      </w:pPr>
      <w:rPr>
        <w:rFonts w:ascii="Arial" w:hAnsi="Arial" w:hint="default"/>
      </w:rPr>
    </w:lvl>
    <w:lvl w:ilvl="7" w:tplc="C6ECD048" w:tentative="1">
      <w:start w:val="1"/>
      <w:numFmt w:val="bullet"/>
      <w:lvlText w:val="•"/>
      <w:lvlJc w:val="left"/>
      <w:pPr>
        <w:tabs>
          <w:tab w:val="num" w:pos="5760"/>
        </w:tabs>
        <w:ind w:left="5760" w:hanging="360"/>
      </w:pPr>
      <w:rPr>
        <w:rFonts w:ascii="Arial" w:hAnsi="Arial" w:hint="default"/>
      </w:rPr>
    </w:lvl>
    <w:lvl w:ilvl="8" w:tplc="D1CAD5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57151B"/>
    <w:multiLevelType w:val="hybridMultilevel"/>
    <w:tmpl w:val="E690B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85E0E"/>
    <w:multiLevelType w:val="hybridMultilevel"/>
    <w:tmpl w:val="A282D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BE459A"/>
    <w:multiLevelType w:val="hybridMultilevel"/>
    <w:tmpl w:val="D1E87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86866"/>
    <w:multiLevelType w:val="hybridMultilevel"/>
    <w:tmpl w:val="C292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53220"/>
    <w:multiLevelType w:val="hybridMultilevel"/>
    <w:tmpl w:val="5BA07FAA"/>
    <w:lvl w:ilvl="0" w:tplc="133E7386">
      <w:start w:val="1"/>
      <w:numFmt w:val="bullet"/>
      <w:lvlText w:val="•"/>
      <w:lvlJc w:val="left"/>
      <w:pPr>
        <w:tabs>
          <w:tab w:val="num" w:pos="720"/>
        </w:tabs>
        <w:ind w:left="720" w:hanging="360"/>
      </w:pPr>
      <w:rPr>
        <w:rFonts w:ascii="Arial" w:hAnsi="Arial" w:hint="default"/>
      </w:rPr>
    </w:lvl>
    <w:lvl w:ilvl="1" w:tplc="61C661F6" w:tentative="1">
      <w:start w:val="1"/>
      <w:numFmt w:val="bullet"/>
      <w:lvlText w:val="•"/>
      <w:lvlJc w:val="left"/>
      <w:pPr>
        <w:tabs>
          <w:tab w:val="num" w:pos="1440"/>
        </w:tabs>
        <w:ind w:left="1440" w:hanging="360"/>
      </w:pPr>
      <w:rPr>
        <w:rFonts w:ascii="Arial" w:hAnsi="Arial" w:hint="default"/>
      </w:rPr>
    </w:lvl>
    <w:lvl w:ilvl="2" w:tplc="9E6C0570" w:tentative="1">
      <w:start w:val="1"/>
      <w:numFmt w:val="bullet"/>
      <w:lvlText w:val="•"/>
      <w:lvlJc w:val="left"/>
      <w:pPr>
        <w:tabs>
          <w:tab w:val="num" w:pos="2160"/>
        </w:tabs>
        <w:ind w:left="2160" w:hanging="360"/>
      </w:pPr>
      <w:rPr>
        <w:rFonts w:ascii="Arial" w:hAnsi="Arial" w:hint="default"/>
      </w:rPr>
    </w:lvl>
    <w:lvl w:ilvl="3" w:tplc="F244DF7E" w:tentative="1">
      <w:start w:val="1"/>
      <w:numFmt w:val="bullet"/>
      <w:lvlText w:val="•"/>
      <w:lvlJc w:val="left"/>
      <w:pPr>
        <w:tabs>
          <w:tab w:val="num" w:pos="2880"/>
        </w:tabs>
        <w:ind w:left="2880" w:hanging="360"/>
      </w:pPr>
      <w:rPr>
        <w:rFonts w:ascii="Arial" w:hAnsi="Arial" w:hint="default"/>
      </w:rPr>
    </w:lvl>
    <w:lvl w:ilvl="4" w:tplc="8AEE30DC" w:tentative="1">
      <w:start w:val="1"/>
      <w:numFmt w:val="bullet"/>
      <w:lvlText w:val="•"/>
      <w:lvlJc w:val="left"/>
      <w:pPr>
        <w:tabs>
          <w:tab w:val="num" w:pos="3600"/>
        </w:tabs>
        <w:ind w:left="3600" w:hanging="360"/>
      </w:pPr>
      <w:rPr>
        <w:rFonts w:ascii="Arial" w:hAnsi="Arial" w:hint="default"/>
      </w:rPr>
    </w:lvl>
    <w:lvl w:ilvl="5" w:tplc="E0D28A0C" w:tentative="1">
      <w:start w:val="1"/>
      <w:numFmt w:val="bullet"/>
      <w:lvlText w:val="•"/>
      <w:lvlJc w:val="left"/>
      <w:pPr>
        <w:tabs>
          <w:tab w:val="num" w:pos="4320"/>
        </w:tabs>
        <w:ind w:left="4320" w:hanging="360"/>
      </w:pPr>
      <w:rPr>
        <w:rFonts w:ascii="Arial" w:hAnsi="Arial" w:hint="default"/>
      </w:rPr>
    </w:lvl>
    <w:lvl w:ilvl="6" w:tplc="6D0CBC2A" w:tentative="1">
      <w:start w:val="1"/>
      <w:numFmt w:val="bullet"/>
      <w:lvlText w:val="•"/>
      <w:lvlJc w:val="left"/>
      <w:pPr>
        <w:tabs>
          <w:tab w:val="num" w:pos="5040"/>
        </w:tabs>
        <w:ind w:left="5040" w:hanging="360"/>
      </w:pPr>
      <w:rPr>
        <w:rFonts w:ascii="Arial" w:hAnsi="Arial" w:hint="default"/>
      </w:rPr>
    </w:lvl>
    <w:lvl w:ilvl="7" w:tplc="4C4C51C8" w:tentative="1">
      <w:start w:val="1"/>
      <w:numFmt w:val="bullet"/>
      <w:lvlText w:val="•"/>
      <w:lvlJc w:val="left"/>
      <w:pPr>
        <w:tabs>
          <w:tab w:val="num" w:pos="5760"/>
        </w:tabs>
        <w:ind w:left="5760" w:hanging="360"/>
      </w:pPr>
      <w:rPr>
        <w:rFonts w:ascii="Arial" w:hAnsi="Arial" w:hint="default"/>
      </w:rPr>
    </w:lvl>
    <w:lvl w:ilvl="8" w:tplc="D604E7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CD2B54"/>
    <w:multiLevelType w:val="hybridMultilevel"/>
    <w:tmpl w:val="CF9AFFFA"/>
    <w:lvl w:ilvl="0" w:tplc="C88AE7D2">
      <w:start w:val="1"/>
      <w:numFmt w:val="bullet"/>
      <w:lvlText w:val="•"/>
      <w:lvlJc w:val="left"/>
      <w:pPr>
        <w:tabs>
          <w:tab w:val="num" w:pos="720"/>
        </w:tabs>
        <w:ind w:left="720" w:hanging="360"/>
      </w:pPr>
      <w:rPr>
        <w:rFonts w:ascii="Arial" w:hAnsi="Arial" w:hint="default"/>
      </w:rPr>
    </w:lvl>
    <w:lvl w:ilvl="1" w:tplc="2264C132" w:tentative="1">
      <w:start w:val="1"/>
      <w:numFmt w:val="bullet"/>
      <w:lvlText w:val="•"/>
      <w:lvlJc w:val="left"/>
      <w:pPr>
        <w:tabs>
          <w:tab w:val="num" w:pos="1440"/>
        </w:tabs>
        <w:ind w:left="1440" w:hanging="360"/>
      </w:pPr>
      <w:rPr>
        <w:rFonts w:ascii="Arial" w:hAnsi="Arial" w:hint="default"/>
      </w:rPr>
    </w:lvl>
    <w:lvl w:ilvl="2" w:tplc="1DCA52A8" w:tentative="1">
      <w:start w:val="1"/>
      <w:numFmt w:val="bullet"/>
      <w:lvlText w:val="•"/>
      <w:lvlJc w:val="left"/>
      <w:pPr>
        <w:tabs>
          <w:tab w:val="num" w:pos="2160"/>
        </w:tabs>
        <w:ind w:left="2160" w:hanging="360"/>
      </w:pPr>
      <w:rPr>
        <w:rFonts w:ascii="Arial" w:hAnsi="Arial" w:hint="default"/>
      </w:rPr>
    </w:lvl>
    <w:lvl w:ilvl="3" w:tplc="6EBCAB16" w:tentative="1">
      <w:start w:val="1"/>
      <w:numFmt w:val="bullet"/>
      <w:lvlText w:val="•"/>
      <w:lvlJc w:val="left"/>
      <w:pPr>
        <w:tabs>
          <w:tab w:val="num" w:pos="2880"/>
        </w:tabs>
        <w:ind w:left="2880" w:hanging="360"/>
      </w:pPr>
      <w:rPr>
        <w:rFonts w:ascii="Arial" w:hAnsi="Arial" w:hint="default"/>
      </w:rPr>
    </w:lvl>
    <w:lvl w:ilvl="4" w:tplc="0FF447E6" w:tentative="1">
      <w:start w:val="1"/>
      <w:numFmt w:val="bullet"/>
      <w:lvlText w:val="•"/>
      <w:lvlJc w:val="left"/>
      <w:pPr>
        <w:tabs>
          <w:tab w:val="num" w:pos="3600"/>
        </w:tabs>
        <w:ind w:left="3600" w:hanging="360"/>
      </w:pPr>
      <w:rPr>
        <w:rFonts w:ascii="Arial" w:hAnsi="Arial" w:hint="default"/>
      </w:rPr>
    </w:lvl>
    <w:lvl w:ilvl="5" w:tplc="C8E20D1A" w:tentative="1">
      <w:start w:val="1"/>
      <w:numFmt w:val="bullet"/>
      <w:lvlText w:val="•"/>
      <w:lvlJc w:val="left"/>
      <w:pPr>
        <w:tabs>
          <w:tab w:val="num" w:pos="4320"/>
        </w:tabs>
        <w:ind w:left="4320" w:hanging="360"/>
      </w:pPr>
      <w:rPr>
        <w:rFonts w:ascii="Arial" w:hAnsi="Arial" w:hint="default"/>
      </w:rPr>
    </w:lvl>
    <w:lvl w:ilvl="6" w:tplc="1B480FB6" w:tentative="1">
      <w:start w:val="1"/>
      <w:numFmt w:val="bullet"/>
      <w:lvlText w:val="•"/>
      <w:lvlJc w:val="left"/>
      <w:pPr>
        <w:tabs>
          <w:tab w:val="num" w:pos="5040"/>
        </w:tabs>
        <w:ind w:left="5040" w:hanging="360"/>
      </w:pPr>
      <w:rPr>
        <w:rFonts w:ascii="Arial" w:hAnsi="Arial" w:hint="default"/>
      </w:rPr>
    </w:lvl>
    <w:lvl w:ilvl="7" w:tplc="F8E86D2C" w:tentative="1">
      <w:start w:val="1"/>
      <w:numFmt w:val="bullet"/>
      <w:lvlText w:val="•"/>
      <w:lvlJc w:val="left"/>
      <w:pPr>
        <w:tabs>
          <w:tab w:val="num" w:pos="5760"/>
        </w:tabs>
        <w:ind w:left="5760" w:hanging="360"/>
      </w:pPr>
      <w:rPr>
        <w:rFonts w:ascii="Arial" w:hAnsi="Arial" w:hint="default"/>
      </w:rPr>
    </w:lvl>
    <w:lvl w:ilvl="8" w:tplc="C400EE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295CEA"/>
    <w:multiLevelType w:val="hybridMultilevel"/>
    <w:tmpl w:val="4FBAF8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1526"/>
    <w:multiLevelType w:val="hybridMultilevel"/>
    <w:tmpl w:val="50B8FDC4"/>
    <w:lvl w:ilvl="0" w:tplc="763EC77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F870BA"/>
    <w:multiLevelType w:val="hybridMultilevel"/>
    <w:tmpl w:val="B1DC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749DD"/>
    <w:multiLevelType w:val="hybridMultilevel"/>
    <w:tmpl w:val="A16A0DC4"/>
    <w:lvl w:ilvl="0" w:tplc="DE8650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253E1"/>
    <w:multiLevelType w:val="hybridMultilevel"/>
    <w:tmpl w:val="C106B310"/>
    <w:lvl w:ilvl="0" w:tplc="763EC77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A5900"/>
    <w:multiLevelType w:val="hybridMultilevel"/>
    <w:tmpl w:val="16564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856AB"/>
    <w:multiLevelType w:val="hybridMultilevel"/>
    <w:tmpl w:val="5FC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57B42"/>
    <w:multiLevelType w:val="hybridMultilevel"/>
    <w:tmpl w:val="BFE4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778B2"/>
    <w:multiLevelType w:val="hybridMultilevel"/>
    <w:tmpl w:val="163E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92914"/>
    <w:multiLevelType w:val="hybridMultilevel"/>
    <w:tmpl w:val="E4764958"/>
    <w:lvl w:ilvl="0" w:tplc="4300C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EB238D"/>
    <w:multiLevelType w:val="hybridMultilevel"/>
    <w:tmpl w:val="40E269B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E7BE5"/>
    <w:multiLevelType w:val="hybridMultilevel"/>
    <w:tmpl w:val="4E5CB5E2"/>
    <w:lvl w:ilvl="0" w:tplc="12F48D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50046"/>
    <w:multiLevelType w:val="hybridMultilevel"/>
    <w:tmpl w:val="3BA20118"/>
    <w:lvl w:ilvl="0" w:tplc="5638F8CE">
      <w:start w:val="1"/>
      <w:numFmt w:val="bullet"/>
      <w:lvlText w:val="•"/>
      <w:lvlJc w:val="left"/>
      <w:pPr>
        <w:tabs>
          <w:tab w:val="num" w:pos="720"/>
        </w:tabs>
        <w:ind w:left="720" w:hanging="360"/>
      </w:pPr>
      <w:rPr>
        <w:rFonts w:ascii="Arial" w:hAnsi="Arial" w:hint="default"/>
      </w:rPr>
    </w:lvl>
    <w:lvl w:ilvl="1" w:tplc="B5BC9712" w:tentative="1">
      <w:start w:val="1"/>
      <w:numFmt w:val="bullet"/>
      <w:lvlText w:val="•"/>
      <w:lvlJc w:val="left"/>
      <w:pPr>
        <w:tabs>
          <w:tab w:val="num" w:pos="1440"/>
        </w:tabs>
        <w:ind w:left="1440" w:hanging="360"/>
      </w:pPr>
      <w:rPr>
        <w:rFonts w:ascii="Arial" w:hAnsi="Arial" w:hint="default"/>
      </w:rPr>
    </w:lvl>
    <w:lvl w:ilvl="2" w:tplc="FEBC1764" w:tentative="1">
      <w:start w:val="1"/>
      <w:numFmt w:val="bullet"/>
      <w:lvlText w:val="•"/>
      <w:lvlJc w:val="left"/>
      <w:pPr>
        <w:tabs>
          <w:tab w:val="num" w:pos="2160"/>
        </w:tabs>
        <w:ind w:left="2160" w:hanging="360"/>
      </w:pPr>
      <w:rPr>
        <w:rFonts w:ascii="Arial" w:hAnsi="Arial" w:hint="default"/>
      </w:rPr>
    </w:lvl>
    <w:lvl w:ilvl="3" w:tplc="B8925CA0" w:tentative="1">
      <w:start w:val="1"/>
      <w:numFmt w:val="bullet"/>
      <w:lvlText w:val="•"/>
      <w:lvlJc w:val="left"/>
      <w:pPr>
        <w:tabs>
          <w:tab w:val="num" w:pos="2880"/>
        </w:tabs>
        <w:ind w:left="2880" w:hanging="360"/>
      </w:pPr>
      <w:rPr>
        <w:rFonts w:ascii="Arial" w:hAnsi="Arial" w:hint="default"/>
      </w:rPr>
    </w:lvl>
    <w:lvl w:ilvl="4" w:tplc="D236050A" w:tentative="1">
      <w:start w:val="1"/>
      <w:numFmt w:val="bullet"/>
      <w:lvlText w:val="•"/>
      <w:lvlJc w:val="left"/>
      <w:pPr>
        <w:tabs>
          <w:tab w:val="num" w:pos="3600"/>
        </w:tabs>
        <w:ind w:left="3600" w:hanging="360"/>
      </w:pPr>
      <w:rPr>
        <w:rFonts w:ascii="Arial" w:hAnsi="Arial" w:hint="default"/>
      </w:rPr>
    </w:lvl>
    <w:lvl w:ilvl="5" w:tplc="C242F786" w:tentative="1">
      <w:start w:val="1"/>
      <w:numFmt w:val="bullet"/>
      <w:lvlText w:val="•"/>
      <w:lvlJc w:val="left"/>
      <w:pPr>
        <w:tabs>
          <w:tab w:val="num" w:pos="4320"/>
        </w:tabs>
        <w:ind w:left="4320" w:hanging="360"/>
      </w:pPr>
      <w:rPr>
        <w:rFonts w:ascii="Arial" w:hAnsi="Arial" w:hint="default"/>
      </w:rPr>
    </w:lvl>
    <w:lvl w:ilvl="6" w:tplc="53D68BCC" w:tentative="1">
      <w:start w:val="1"/>
      <w:numFmt w:val="bullet"/>
      <w:lvlText w:val="•"/>
      <w:lvlJc w:val="left"/>
      <w:pPr>
        <w:tabs>
          <w:tab w:val="num" w:pos="5040"/>
        </w:tabs>
        <w:ind w:left="5040" w:hanging="360"/>
      </w:pPr>
      <w:rPr>
        <w:rFonts w:ascii="Arial" w:hAnsi="Arial" w:hint="default"/>
      </w:rPr>
    </w:lvl>
    <w:lvl w:ilvl="7" w:tplc="8D94E8E8" w:tentative="1">
      <w:start w:val="1"/>
      <w:numFmt w:val="bullet"/>
      <w:lvlText w:val="•"/>
      <w:lvlJc w:val="left"/>
      <w:pPr>
        <w:tabs>
          <w:tab w:val="num" w:pos="5760"/>
        </w:tabs>
        <w:ind w:left="5760" w:hanging="360"/>
      </w:pPr>
      <w:rPr>
        <w:rFonts w:ascii="Arial" w:hAnsi="Arial" w:hint="default"/>
      </w:rPr>
    </w:lvl>
    <w:lvl w:ilvl="8" w:tplc="8E2234B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6F3677"/>
    <w:multiLevelType w:val="hybridMultilevel"/>
    <w:tmpl w:val="F15040B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984CEE"/>
    <w:multiLevelType w:val="hybridMultilevel"/>
    <w:tmpl w:val="75081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2D3547"/>
    <w:multiLevelType w:val="hybridMultilevel"/>
    <w:tmpl w:val="BDE0BC80"/>
    <w:lvl w:ilvl="0" w:tplc="35A460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876148">
    <w:abstractNumId w:val="8"/>
  </w:num>
  <w:num w:numId="2" w16cid:durableId="688333921">
    <w:abstractNumId w:val="11"/>
  </w:num>
  <w:num w:numId="3" w16cid:durableId="318852018">
    <w:abstractNumId w:val="14"/>
  </w:num>
  <w:num w:numId="4" w16cid:durableId="1263807562">
    <w:abstractNumId w:val="4"/>
  </w:num>
  <w:num w:numId="5" w16cid:durableId="1011418274">
    <w:abstractNumId w:val="9"/>
  </w:num>
  <w:num w:numId="6" w16cid:durableId="1831942978">
    <w:abstractNumId w:val="22"/>
  </w:num>
  <w:num w:numId="7" w16cid:durableId="730733895">
    <w:abstractNumId w:val="16"/>
  </w:num>
  <w:num w:numId="8" w16cid:durableId="1184052926">
    <w:abstractNumId w:val="20"/>
  </w:num>
  <w:num w:numId="9" w16cid:durableId="1466434908">
    <w:abstractNumId w:val="3"/>
  </w:num>
  <w:num w:numId="10" w16cid:durableId="1266770824">
    <w:abstractNumId w:val="10"/>
  </w:num>
  <w:num w:numId="11" w16cid:durableId="451556848">
    <w:abstractNumId w:val="17"/>
  </w:num>
  <w:num w:numId="12" w16cid:durableId="270211407">
    <w:abstractNumId w:val="12"/>
  </w:num>
  <w:num w:numId="13" w16cid:durableId="481502703">
    <w:abstractNumId w:val="7"/>
  </w:num>
  <w:num w:numId="14" w16cid:durableId="373115336">
    <w:abstractNumId w:val="6"/>
  </w:num>
  <w:num w:numId="15" w16cid:durableId="480122381">
    <w:abstractNumId w:val="2"/>
  </w:num>
  <w:num w:numId="16" w16cid:durableId="1312829040">
    <w:abstractNumId w:val="19"/>
  </w:num>
  <w:num w:numId="17" w16cid:durableId="1743289414">
    <w:abstractNumId w:val="0"/>
  </w:num>
  <w:num w:numId="18" w16cid:durableId="1180504597">
    <w:abstractNumId w:val="5"/>
  </w:num>
  <w:num w:numId="19" w16cid:durableId="982538033">
    <w:abstractNumId w:val="18"/>
  </w:num>
  <w:num w:numId="20" w16cid:durableId="1214850255">
    <w:abstractNumId w:val="15"/>
  </w:num>
  <w:num w:numId="21" w16cid:durableId="281229349">
    <w:abstractNumId w:val="13"/>
  </w:num>
  <w:num w:numId="22" w16cid:durableId="1426003237">
    <w:abstractNumId w:val="1"/>
  </w:num>
  <w:num w:numId="23" w16cid:durableId="20997170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yMDQxNTMwNjAwNjdX0lEKTi0uzszPAykwqgUAD84KECwAAAA="/>
  </w:docVars>
  <w:rsids>
    <w:rsidRoot w:val="00EB3273"/>
    <w:rsid w:val="00000862"/>
    <w:rsid w:val="00001449"/>
    <w:rsid w:val="00001A7F"/>
    <w:rsid w:val="00001F16"/>
    <w:rsid w:val="00002114"/>
    <w:rsid w:val="000032AF"/>
    <w:rsid w:val="00004CBD"/>
    <w:rsid w:val="00004D8A"/>
    <w:rsid w:val="000052AA"/>
    <w:rsid w:val="000105E4"/>
    <w:rsid w:val="00010D65"/>
    <w:rsid w:val="000152F8"/>
    <w:rsid w:val="00017B62"/>
    <w:rsid w:val="00017E42"/>
    <w:rsid w:val="000220F6"/>
    <w:rsid w:val="00023746"/>
    <w:rsid w:val="00025D91"/>
    <w:rsid w:val="00025DB9"/>
    <w:rsid w:val="0002612A"/>
    <w:rsid w:val="000309F9"/>
    <w:rsid w:val="00030C12"/>
    <w:rsid w:val="00030F66"/>
    <w:rsid w:val="0003114F"/>
    <w:rsid w:val="00031A43"/>
    <w:rsid w:val="00031A85"/>
    <w:rsid w:val="00035EF1"/>
    <w:rsid w:val="00036127"/>
    <w:rsid w:val="0004349B"/>
    <w:rsid w:val="00043D30"/>
    <w:rsid w:val="00045EEC"/>
    <w:rsid w:val="00046755"/>
    <w:rsid w:val="00050FBC"/>
    <w:rsid w:val="0005259C"/>
    <w:rsid w:val="00053354"/>
    <w:rsid w:val="00056987"/>
    <w:rsid w:val="00061862"/>
    <w:rsid w:val="00061997"/>
    <w:rsid w:val="0006281A"/>
    <w:rsid w:val="00064D88"/>
    <w:rsid w:val="000664C0"/>
    <w:rsid w:val="00067264"/>
    <w:rsid w:val="0007191D"/>
    <w:rsid w:val="00072499"/>
    <w:rsid w:val="0007409A"/>
    <w:rsid w:val="00075CC0"/>
    <w:rsid w:val="00077FF7"/>
    <w:rsid w:val="00081F49"/>
    <w:rsid w:val="000823E4"/>
    <w:rsid w:val="000826BE"/>
    <w:rsid w:val="00083C1D"/>
    <w:rsid w:val="00084067"/>
    <w:rsid w:val="000849D7"/>
    <w:rsid w:val="00084DB0"/>
    <w:rsid w:val="00084FE4"/>
    <w:rsid w:val="00085962"/>
    <w:rsid w:val="000869EA"/>
    <w:rsid w:val="0009052C"/>
    <w:rsid w:val="000928F0"/>
    <w:rsid w:val="0009346B"/>
    <w:rsid w:val="00095227"/>
    <w:rsid w:val="00096383"/>
    <w:rsid w:val="000A0CFD"/>
    <w:rsid w:val="000A24C3"/>
    <w:rsid w:val="000A4815"/>
    <w:rsid w:val="000A48A0"/>
    <w:rsid w:val="000B02C7"/>
    <w:rsid w:val="000B1F6B"/>
    <w:rsid w:val="000B7B0A"/>
    <w:rsid w:val="000C0DA8"/>
    <w:rsid w:val="000C4C34"/>
    <w:rsid w:val="000C6A0D"/>
    <w:rsid w:val="000C746C"/>
    <w:rsid w:val="000C7E18"/>
    <w:rsid w:val="000D2B74"/>
    <w:rsid w:val="000D2D2A"/>
    <w:rsid w:val="000D2DC8"/>
    <w:rsid w:val="000D2F96"/>
    <w:rsid w:val="000D42C1"/>
    <w:rsid w:val="000D4964"/>
    <w:rsid w:val="000D5C2E"/>
    <w:rsid w:val="000D717D"/>
    <w:rsid w:val="000D7517"/>
    <w:rsid w:val="000D7BB1"/>
    <w:rsid w:val="000E0AA5"/>
    <w:rsid w:val="000E0B15"/>
    <w:rsid w:val="000E23F1"/>
    <w:rsid w:val="000E4247"/>
    <w:rsid w:val="000E547E"/>
    <w:rsid w:val="000F01E2"/>
    <w:rsid w:val="000F3A53"/>
    <w:rsid w:val="000F3B85"/>
    <w:rsid w:val="000F3D3B"/>
    <w:rsid w:val="000F69D0"/>
    <w:rsid w:val="000F69D6"/>
    <w:rsid w:val="00101F56"/>
    <w:rsid w:val="00102E8E"/>
    <w:rsid w:val="001046C8"/>
    <w:rsid w:val="00106817"/>
    <w:rsid w:val="0011069C"/>
    <w:rsid w:val="0011154B"/>
    <w:rsid w:val="001135FB"/>
    <w:rsid w:val="001143E4"/>
    <w:rsid w:val="001161D8"/>
    <w:rsid w:val="00117111"/>
    <w:rsid w:val="00120BF4"/>
    <w:rsid w:val="0012165A"/>
    <w:rsid w:val="00121766"/>
    <w:rsid w:val="0012331A"/>
    <w:rsid w:val="00123B5E"/>
    <w:rsid w:val="0012719C"/>
    <w:rsid w:val="00131074"/>
    <w:rsid w:val="00136F9B"/>
    <w:rsid w:val="00136FAF"/>
    <w:rsid w:val="001373DE"/>
    <w:rsid w:val="00142A32"/>
    <w:rsid w:val="00143CAD"/>
    <w:rsid w:val="00144EE6"/>
    <w:rsid w:val="00144F69"/>
    <w:rsid w:val="0014504E"/>
    <w:rsid w:val="0014552B"/>
    <w:rsid w:val="00145E3D"/>
    <w:rsid w:val="00146A7E"/>
    <w:rsid w:val="001478AA"/>
    <w:rsid w:val="00147C39"/>
    <w:rsid w:val="001602F2"/>
    <w:rsid w:val="00162501"/>
    <w:rsid w:val="00163DF4"/>
    <w:rsid w:val="0016490A"/>
    <w:rsid w:val="001655BD"/>
    <w:rsid w:val="001656F6"/>
    <w:rsid w:val="00165A1A"/>
    <w:rsid w:val="00166F16"/>
    <w:rsid w:val="00167FC0"/>
    <w:rsid w:val="0017187C"/>
    <w:rsid w:val="00173688"/>
    <w:rsid w:val="00174699"/>
    <w:rsid w:val="00177ED4"/>
    <w:rsid w:val="0018112D"/>
    <w:rsid w:val="0018142B"/>
    <w:rsid w:val="00181DB4"/>
    <w:rsid w:val="00182201"/>
    <w:rsid w:val="00182F1E"/>
    <w:rsid w:val="00183018"/>
    <w:rsid w:val="001857AE"/>
    <w:rsid w:val="00186276"/>
    <w:rsid w:val="001877D6"/>
    <w:rsid w:val="0019075D"/>
    <w:rsid w:val="00190C5C"/>
    <w:rsid w:val="0019127D"/>
    <w:rsid w:val="001915B6"/>
    <w:rsid w:val="00192ACF"/>
    <w:rsid w:val="00193320"/>
    <w:rsid w:val="001938ED"/>
    <w:rsid w:val="00193E3F"/>
    <w:rsid w:val="00194B13"/>
    <w:rsid w:val="00196420"/>
    <w:rsid w:val="00196AB3"/>
    <w:rsid w:val="00197BEE"/>
    <w:rsid w:val="001A0877"/>
    <w:rsid w:val="001A4CC1"/>
    <w:rsid w:val="001B07F8"/>
    <w:rsid w:val="001B3635"/>
    <w:rsid w:val="001B3643"/>
    <w:rsid w:val="001B3AAC"/>
    <w:rsid w:val="001B412E"/>
    <w:rsid w:val="001B50AC"/>
    <w:rsid w:val="001B6A8D"/>
    <w:rsid w:val="001B7905"/>
    <w:rsid w:val="001B7CB6"/>
    <w:rsid w:val="001C3141"/>
    <w:rsid w:val="001C5906"/>
    <w:rsid w:val="001C5A4C"/>
    <w:rsid w:val="001C65F2"/>
    <w:rsid w:val="001C6B00"/>
    <w:rsid w:val="001C6D14"/>
    <w:rsid w:val="001C6D65"/>
    <w:rsid w:val="001C71C1"/>
    <w:rsid w:val="001C7967"/>
    <w:rsid w:val="001C7B4A"/>
    <w:rsid w:val="001D3D35"/>
    <w:rsid w:val="001D7334"/>
    <w:rsid w:val="001D7382"/>
    <w:rsid w:val="001E1896"/>
    <w:rsid w:val="001E1D34"/>
    <w:rsid w:val="001E2C98"/>
    <w:rsid w:val="001E561D"/>
    <w:rsid w:val="001F2932"/>
    <w:rsid w:val="001F2E31"/>
    <w:rsid w:val="001F38DF"/>
    <w:rsid w:val="001F49BF"/>
    <w:rsid w:val="001F4C8C"/>
    <w:rsid w:val="001F7B1C"/>
    <w:rsid w:val="00201027"/>
    <w:rsid w:val="00201F3C"/>
    <w:rsid w:val="002022D8"/>
    <w:rsid w:val="00202FAC"/>
    <w:rsid w:val="00205B66"/>
    <w:rsid w:val="00205E8A"/>
    <w:rsid w:val="002072F3"/>
    <w:rsid w:val="002075AB"/>
    <w:rsid w:val="00210460"/>
    <w:rsid w:val="00211D48"/>
    <w:rsid w:val="00212D4F"/>
    <w:rsid w:val="002166AE"/>
    <w:rsid w:val="002173FD"/>
    <w:rsid w:val="00221253"/>
    <w:rsid w:val="00221CA2"/>
    <w:rsid w:val="00224FE3"/>
    <w:rsid w:val="0022641F"/>
    <w:rsid w:val="00231384"/>
    <w:rsid w:val="00233BAB"/>
    <w:rsid w:val="00234626"/>
    <w:rsid w:val="00236822"/>
    <w:rsid w:val="0024296D"/>
    <w:rsid w:val="0024365B"/>
    <w:rsid w:val="0024445D"/>
    <w:rsid w:val="002448B3"/>
    <w:rsid w:val="00245468"/>
    <w:rsid w:val="00245829"/>
    <w:rsid w:val="002503DE"/>
    <w:rsid w:val="00250800"/>
    <w:rsid w:val="00250D26"/>
    <w:rsid w:val="00251680"/>
    <w:rsid w:val="00252666"/>
    <w:rsid w:val="00252EEB"/>
    <w:rsid w:val="00261870"/>
    <w:rsid w:val="00264A77"/>
    <w:rsid w:val="00264A90"/>
    <w:rsid w:val="0026615C"/>
    <w:rsid w:val="00273B86"/>
    <w:rsid w:val="00273DEF"/>
    <w:rsid w:val="0027517F"/>
    <w:rsid w:val="002776DA"/>
    <w:rsid w:val="0028010B"/>
    <w:rsid w:val="002804AE"/>
    <w:rsid w:val="0028085B"/>
    <w:rsid w:val="00285232"/>
    <w:rsid w:val="0028531E"/>
    <w:rsid w:val="00287EF0"/>
    <w:rsid w:val="00294258"/>
    <w:rsid w:val="0029628B"/>
    <w:rsid w:val="00296F79"/>
    <w:rsid w:val="002A07E8"/>
    <w:rsid w:val="002A0B89"/>
    <w:rsid w:val="002A22FE"/>
    <w:rsid w:val="002A29F2"/>
    <w:rsid w:val="002A2C7E"/>
    <w:rsid w:val="002A2CBE"/>
    <w:rsid w:val="002A31F9"/>
    <w:rsid w:val="002A37BD"/>
    <w:rsid w:val="002A41A2"/>
    <w:rsid w:val="002A50E1"/>
    <w:rsid w:val="002A5B35"/>
    <w:rsid w:val="002A6957"/>
    <w:rsid w:val="002B0BD1"/>
    <w:rsid w:val="002B19D2"/>
    <w:rsid w:val="002B1E24"/>
    <w:rsid w:val="002B260A"/>
    <w:rsid w:val="002B2D52"/>
    <w:rsid w:val="002B380F"/>
    <w:rsid w:val="002B3F77"/>
    <w:rsid w:val="002B480C"/>
    <w:rsid w:val="002B64A6"/>
    <w:rsid w:val="002B7390"/>
    <w:rsid w:val="002B7D9D"/>
    <w:rsid w:val="002C13D9"/>
    <w:rsid w:val="002C1843"/>
    <w:rsid w:val="002C43C9"/>
    <w:rsid w:val="002C4E50"/>
    <w:rsid w:val="002C73A0"/>
    <w:rsid w:val="002D466C"/>
    <w:rsid w:val="002D49DF"/>
    <w:rsid w:val="002D5F5C"/>
    <w:rsid w:val="002D6F25"/>
    <w:rsid w:val="002E04E8"/>
    <w:rsid w:val="002E0FF5"/>
    <w:rsid w:val="002E4694"/>
    <w:rsid w:val="002E5031"/>
    <w:rsid w:val="002E521D"/>
    <w:rsid w:val="002E6C84"/>
    <w:rsid w:val="002E6E11"/>
    <w:rsid w:val="002E6FAF"/>
    <w:rsid w:val="002F0077"/>
    <w:rsid w:val="002F0DAC"/>
    <w:rsid w:val="002F181B"/>
    <w:rsid w:val="002F1D3C"/>
    <w:rsid w:val="002F2358"/>
    <w:rsid w:val="002F39AC"/>
    <w:rsid w:val="002F4D16"/>
    <w:rsid w:val="002F4D64"/>
    <w:rsid w:val="002F55D6"/>
    <w:rsid w:val="002F6671"/>
    <w:rsid w:val="003012CC"/>
    <w:rsid w:val="003024E9"/>
    <w:rsid w:val="003027AE"/>
    <w:rsid w:val="003046D4"/>
    <w:rsid w:val="00305726"/>
    <w:rsid w:val="00305E26"/>
    <w:rsid w:val="00306D90"/>
    <w:rsid w:val="003102F1"/>
    <w:rsid w:val="00310DFB"/>
    <w:rsid w:val="0031110F"/>
    <w:rsid w:val="00311A2A"/>
    <w:rsid w:val="00311D17"/>
    <w:rsid w:val="00311E73"/>
    <w:rsid w:val="003123E1"/>
    <w:rsid w:val="00317462"/>
    <w:rsid w:val="003221D4"/>
    <w:rsid w:val="00322A3E"/>
    <w:rsid w:val="00323589"/>
    <w:rsid w:val="00324065"/>
    <w:rsid w:val="003245E4"/>
    <w:rsid w:val="00324A2B"/>
    <w:rsid w:val="00324FE8"/>
    <w:rsid w:val="00325D1E"/>
    <w:rsid w:val="00330C09"/>
    <w:rsid w:val="0033119D"/>
    <w:rsid w:val="00332734"/>
    <w:rsid w:val="00333874"/>
    <w:rsid w:val="00333F19"/>
    <w:rsid w:val="003346B0"/>
    <w:rsid w:val="00334AF8"/>
    <w:rsid w:val="00335343"/>
    <w:rsid w:val="00337344"/>
    <w:rsid w:val="003377B4"/>
    <w:rsid w:val="00341BEE"/>
    <w:rsid w:val="00343200"/>
    <w:rsid w:val="00343516"/>
    <w:rsid w:val="0034466F"/>
    <w:rsid w:val="00344780"/>
    <w:rsid w:val="00344F2F"/>
    <w:rsid w:val="00344F8F"/>
    <w:rsid w:val="00345188"/>
    <w:rsid w:val="00346D04"/>
    <w:rsid w:val="00350336"/>
    <w:rsid w:val="003503B1"/>
    <w:rsid w:val="0035369E"/>
    <w:rsid w:val="00354BBD"/>
    <w:rsid w:val="00354BC6"/>
    <w:rsid w:val="0035680E"/>
    <w:rsid w:val="003570E0"/>
    <w:rsid w:val="003577DA"/>
    <w:rsid w:val="00360264"/>
    <w:rsid w:val="00360DDC"/>
    <w:rsid w:val="003620D9"/>
    <w:rsid w:val="003637A4"/>
    <w:rsid w:val="00365379"/>
    <w:rsid w:val="003711A7"/>
    <w:rsid w:val="003714C5"/>
    <w:rsid w:val="00371870"/>
    <w:rsid w:val="00374DBC"/>
    <w:rsid w:val="00374FA8"/>
    <w:rsid w:val="00375350"/>
    <w:rsid w:val="003765C6"/>
    <w:rsid w:val="00376CF0"/>
    <w:rsid w:val="0038100F"/>
    <w:rsid w:val="00381280"/>
    <w:rsid w:val="00381A13"/>
    <w:rsid w:val="00382084"/>
    <w:rsid w:val="0038447B"/>
    <w:rsid w:val="003918E7"/>
    <w:rsid w:val="00392811"/>
    <w:rsid w:val="00393DB5"/>
    <w:rsid w:val="00394C85"/>
    <w:rsid w:val="0039589F"/>
    <w:rsid w:val="003963E1"/>
    <w:rsid w:val="00396FE2"/>
    <w:rsid w:val="00397359"/>
    <w:rsid w:val="003A0BE7"/>
    <w:rsid w:val="003A0C6E"/>
    <w:rsid w:val="003A16B4"/>
    <w:rsid w:val="003A543D"/>
    <w:rsid w:val="003A5778"/>
    <w:rsid w:val="003A5CBE"/>
    <w:rsid w:val="003B14C7"/>
    <w:rsid w:val="003B1FA0"/>
    <w:rsid w:val="003B3C4F"/>
    <w:rsid w:val="003B521D"/>
    <w:rsid w:val="003B53AE"/>
    <w:rsid w:val="003B61A8"/>
    <w:rsid w:val="003B724A"/>
    <w:rsid w:val="003C06F7"/>
    <w:rsid w:val="003C08F4"/>
    <w:rsid w:val="003C0BCD"/>
    <w:rsid w:val="003C0C5B"/>
    <w:rsid w:val="003C0D7F"/>
    <w:rsid w:val="003C369C"/>
    <w:rsid w:val="003C4232"/>
    <w:rsid w:val="003C5080"/>
    <w:rsid w:val="003C6681"/>
    <w:rsid w:val="003C75C8"/>
    <w:rsid w:val="003D0114"/>
    <w:rsid w:val="003D08DE"/>
    <w:rsid w:val="003D11C9"/>
    <w:rsid w:val="003D1C42"/>
    <w:rsid w:val="003D1C82"/>
    <w:rsid w:val="003D1D54"/>
    <w:rsid w:val="003D1D60"/>
    <w:rsid w:val="003D2C32"/>
    <w:rsid w:val="003D4888"/>
    <w:rsid w:val="003D6051"/>
    <w:rsid w:val="003D6F5B"/>
    <w:rsid w:val="003E2B21"/>
    <w:rsid w:val="003E5A82"/>
    <w:rsid w:val="003E6435"/>
    <w:rsid w:val="003E796D"/>
    <w:rsid w:val="003F0ED6"/>
    <w:rsid w:val="003F0F07"/>
    <w:rsid w:val="003F122C"/>
    <w:rsid w:val="003F1474"/>
    <w:rsid w:val="003F14A8"/>
    <w:rsid w:val="003F1777"/>
    <w:rsid w:val="003F1D1B"/>
    <w:rsid w:val="003F3A46"/>
    <w:rsid w:val="003F4B59"/>
    <w:rsid w:val="003F4D70"/>
    <w:rsid w:val="003F5392"/>
    <w:rsid w:val="00403478"/>
    <w:rsid w:val="00403A11"/>
    <w:rsid w:val="00403FE8"/>
    <w:rsid w:val="0040472A"/>
    <w:rsid w:val="0041534F"/>
    <w:rsid w:val="00416FF9"/>
    <w:rsid w:val="0042062A"/>
    <w:rsid w:val="00420F5C"/>
    <w:rsid w:val="0042148D"/>
    <w:rsid w:val="004236CC"/>
    <w:rsid w:val="00425BA7"/>
    <w:rsid w:val="00426296"/>
    <w:rsid w:val="00427543"/>
    <w:rsid w:val="0042795A"/>
    <w:rsid w:val="00427BFD"/>
    <w:rsid w:val="00430862"/>
    <w:rsid w:val="00430D1E"/>
    <w:rsid w:val="004322BA"/>
    <w:rsid w:val="00432A5A"/>
    <w:rsid w:val="00433283"/>
    <w:rsid w:val="00433B41"/>
    <w:rsid w:val="00433F97"/>
    <w:rsid w:val="0043475B"/>
    <w:rsid w:val="0043490C"/>
    <w:rsid w:val="00434B8C"/>
    <w:rsid w:val="00435908"/>
    <w:rsid w:val="00440612"/>
    <w:rsid w:val="00441F9D"/>
    <w:rsid w:val="004435E4"/>
    <w:rsid w:val="00443815"/>
    <w:rsid w:val="0044417B"/>
    <w:rsid w:val="004441FC"/>
    <w:rsid w:val="00447794"/>
    <w:rsid w:val="00450415"/>
    <w:rsid w:val="00451A19"/>
    <w:rsid w:val="0045405A"/>
    <w:rsid w:val="00457686"/>
    <w:rsid w:val="00457A7A"/>
    <w:rsid w:val="00461970"/>
    <w:rsid w:val="00461D87"/>
    <w:rsid w:val="00461E40"/>
    <w:rsid w:val="00464D3E"/>
    <w:rsid w:val="004653E2"/>
    <w:rsid w:val="00465FF4"/>
    <w:rsid w:val="0046783F"/>
    <w:rsid w:val="00471FFC"/>
    <w:rsid w:val="00472C1F"/>
    <w:rsid w:val="00473C9B"/>
    <w:rsid w:val="00473F79"/>
    <w:rsid w:val="00474E3E"/>
    <w:rsid w:val="004755CD"/>
    <w:rsid w:val="0047671C"/>
    <w:rsid w:val="00476B44"/>
    <w:rsid w:val="0048288E"/>
    <w:rsid w:val="00484B1A"/>
    <w:rsid w:val="004853E1"/>
    <w:rsid w:val="00487C0E"/>
    <w:rsid w:val="004917B4"/>
    <w:rsid w:val="00492C9E"/>
    <w:rsid w:val="00493BCC"/>
    <w:rsid w:val="00494588"/>
    <w:rsid w:val="004946F3"/>
    <w:rsid w:val="00495937"/>
    <w:rsid w:val="004A2956"/>
    <w:rsid w:val="004A2C8D"/>
    <w:rsid w:val="004A45A2"/>
    <w:rsid w:val="004A4A32"/>
    <w:rsid w:val="004B0B6D"/>
    <w:rsid w:val="004B4268"/>
    <w:rsid w:val="004B43B1"/>
    <w:rsid w:val="004B4D76"/>
    <w:rsid w:val="004B6A7C"/>
    <w:rsid w:val="004B6AE2"/>
    <w:rsid w:val="004B7738"/>
    <w:rsid w:val="004B7D57"/>
    <w:rsid w:val="004C2A0A"/>
    <w:rsid w:val="004C2F79"/>
    <w:rsid w:val="004C3BBF"/>
    <w:rsid w:val="004C4CAE"/>
    <w:rsid w:val="004C52A9"/>
    <w:rsid w:val="004C60B6"/>
    <w:rsid w:val="004C69E0"/>
    <w:rsid w:val="004C7CFE"/>
    <w:rsid w:val="004D0089"/>
    <w:rsid w:val="004D021E"/>
    <w:rsid w:val="004D1455"/>
    <w:rsid w:val="004D1BA7"/>
    <w:rsid w:val="004D3AA8"/>
    <w:rsid w:val="004D758F"/>
    <w:rsid w:val="004E05F8"/>
    <w:rsid w:val="004E1761"/>
    <w:rsid w:val="004E18EE"/>
    <w:rsid w:val="004E2391"/>
    <w:rsid w:val="004E3DA7"/>
    <w:rsid w:val="004E41AC"/>
    <w:rsid w:val="004E425E"/>
    <w:rsid w:val="004E71FA"/>
    <w:rsid w:val="004F02F0"/>
    <w:rsid w:val="004F036D"/>
    <w:rsid w:val="004F061D"/>
    <w:rsid w:val="004F1024"/>
    <w:rsid w:val="004F11E6"/>
    <w:rsid w:val="004F2EEF"/>
    <w:rsid w:val="004F57AD"/>
    <w:rsid w:val="004F5D90"/>
    <w:rsid w:val="004F6554"/>
    <w:rsid w:val="00500A57"/>
    <w:rsid w:val="00501576"/>
    <w:rsid w:val="00501E9E"/>
    <w:rsid w:val="005044E9"/>
    <w:rsid w:val="00505316"/>
    <w:rsid w:val="00505AE3"/>
    <w:rsid w:val="00506736"/>
    <w:rsid w:val="00507BAC"/>
    <w:rsid w:val="0051248D"/>
    <w:rsid w:val="00512E82"/>
    <w:rsid w:val="00515EE0"/>
    <w:rsid w:val="00520B4C"/>
    <w:rsid w:val="005235F2"/>
    <w:rsid w:val="005235F8"/>
    <w:rsid w:val="005256B0"/>
    <w:rsid w:val="00525703"/>
    <w:rsid w:val="00527684"/>
    <w:rsid w:val="00527E46"/>
    <w:rsid w:val="005319F3"/>
    <w:rsid w:val="00531CA8"/>
    <w:rsid w:val="00532CC8"/>
    <w:rsid w:val="00534845"/>
    <w:rsid w:val="00535BE1"/>
    <w:rsid w:val="00536F0F"/>
    <w:rsid w:val="00546907"/>
    <w:rsid w:val="005478FF"/>
    <w:rsid w:val="00547DEE"/>
    <w:rsid w:val="00550152"/>
    <w:rsid w:val="00553A6D"/>
    <w:rsid w:val="00553EC3"/>
    <w:rsid w:val="00556314"/>
    <w:rsid w:val="005572C0"/>
    <w:rsid w:val="00561AD8"/>
    <w:rsid w:val="005634D3"/>
    <w:rsid w:val="005635F9"/>
    <w:rsid w:val="00564A07"/>
    <w:rsid w:val="0056575F"/>
    <w:rsid w:val="005657FF"/>
    <w:rsid w:val="00566325"/>
    <w:rsid w:val="0057095C"/>
    <w:rsid w:val="00571467"/>
    <w:rsid w:val="00571BBD"/>
    <w:rsid w:val="00575043"/>
    <w:rsid w:val="005810EE"/>
    <w:rsid w:val="00582704"/>
    <w:rsid w:val="00585395"/>
    <w:rsid w:val="00586799"/>
    <w:rsid w:val="0058748C"/>
    <w:rsid w:val="00590295"/>
    <w:rsid w:val="00591302"/>
    <w:rsid w:val="0059265A"/>
    <w:rsid w:val="00593B95"/>
    <w:rsid w:val="00596393"/>
    <w:rsid w:val="00596429"/>
    <w:rsid w:val="005968F0"/>
    <w:rsid w:val="005A1CE3"/>
    <w:rsid w:val="005A2E1A"/>
    <w:rsid w:val="005A6468"/>
    <w:rsid w:val="005A7DBD"/>
    <w:rsid w:val="005B04F6"/>
    <w:rsid w:val="005B1997"/>
    <w:rsid w:val="005B3BE8"/>
    <w:rsid w:val="005B5152"/>
    <w:rsid w:val="005B6970"/>
    <w:rsid w:val="005C0A43"/>
    <w:rsid w:val="005C0CD4"/>
    <w:rsid w:val="005C19E8"/>
    <w:rsid w:val="005C1E8C"/>
    <w:rsid w:val="005C2C83"/>
    <w:rsid w:val="005C3948"/>
    <w:rsid w:val="005C3BAA"/>
    <w:rsid w:val="005C44E3"/>
    <w:rsid w:val="005C610C"/>
    <w:rsid w:val="005C6F47"/>
    <w:rsid w:val="005C7D8D"/>
    <w:rsid w:val="005D06A1"/>
    <w:rsid w:val="005D1328"/>
    <w:rsid w:val="005D16CE"/>
    <w:rsid w:val="005D2674"/>
    <w:rsid w:val="005D28D1"/>
    <w:rsid w:val="005D4271"/>
    <w:rsid w:val="005D4F4F"/>
    <w:rsid w:val="005D54C1"/>
    <w:rsid w:val="005D5DB6"/>
    <w:rsid w:val="005D5F58"/>
    <w:rsid w:val="005D6D37"/>
    <w:rsid w:val="005D7177"/>
    <w:rsid w:val="005E10D0"/>
    <w:rsid w:val="005E2EC3"/>
    <w:rsid w:val="005E3A84"/>
    <w:rsid w:val="005E67D9"/>
    <w:rsid w:val="005E6E9C"/>
    <w:rsid w:val="005E7FE4"/>
    <w:rsid w:val="005F2F8B"/>
    <w:rsid w:val="005F3A2F"/>
    <w:rsid w:val="005F3EB5"/>
    <w:rsid w:val="005F41E6"/>
    <w:rsid w:val="005F5422"/>
    <w:rsid w:val="005F5FFC"/>
    <w:rsid w:val="005F6195"/>
    <w:rsid w:val="005F67AC"/>
    <w:rsid w:val="005F776A"/>
    <w:rsid w:val="00601B2A"/>
    <w:rsid w:val="00602352"/>
    <w:rsid w:val="0060399A"/>
    <w:rsid w:val="00605E8B"/>
    <w:rsid w:val="006110BB"/>
    <w:rsid w:val="006115F7"/>
    <w:rsid w:val="00612267"/>
    <w:rsid w:val="00612631"/>
    <w:rsid w:val="00612B42"/>
    <w:rsid w:val="00613766"/>
    <w:rsid w:val="00614FE6"/>
    <w:rsid w:val="00617C13"/>
    <w:rsid w:val="006201A2"/>
    <w:rsid w:val="0062070A"/>
    <w:rsid w:val="006210AB"/>
    <w:rsid w:val="006229C8"/>
    <w:rsid w:val="00622E9B"/>
    <w:rsid w:val="00624F55"/>
    <w:rsid w:val="0062603D"/>
    <w:rsid w:val="0063099E"/>
    <w:rsid w:val="006312C8"/>
    <w:rsid w:val="00632458"/>
    <w:rsid w:val="00634201"/>
    <w:rsid w:val="00637204"/>
    <w:rsid w:val="00637460"/>
    <w:rsid w:val="00637C19"/>
    <w:rsid w:val="0064169A"/>
    <w:rsid w:val="0064230F"/>
    <w:rsid w:val="00642DB2"/>
    <w:rsid w:val="00644A41"/>
    <w:rsid w:val="0064500B"/>
    <w:rsid w:val="00645678"/>
    <w:rsid w:val="00646185"/>
    <w:rsid w:val="0064663D"/>
    <w:rsid w:val="00647889"/>
    <w:rsid w:val="00657214"/>
    <w:rsid w:val="00661DCE"/>
    <w:rsid w:val="006674E5"/>
    <w:rsid w:val="00670542"/>
    <w:rsid w:val="00670BAD"/>
    <w:rsid w:val="00671714"/>
    <w:rsid w:val="00673BA9"/>
    <w:rsid w:val="00675AB1"/>
    <w:rsid w:val="00676B0A"/>
    <w:rsid w:val="00681F10"/>
    <w:rsid w:val="00682B7C"/>
    <w:rsid w:val="006840D9"/>
    <w:rsid w:val="00687D1E"/>
    <w:rsid w:val="00696512"/>
    <w:rsid w:val="006A0DFF"/>
    <w:rsid w:val="006A1DD9"/>
    <w:rsid w:val="006A2EA0"/>
    <w:rsid w:val="006A48EF"/>
    <w:rsid w:val="006A5F13"/>
    <w:rsid w:val="006B09A9"/>
    <w:rsid w:val="006B355E"/>
    <w:rsid w:val="006B5FBC"/>
    <w:rsid w:val="006B5FE5"/>
    <w:rsid w:val="006C11C7"/>
    <w:rsid w:val="006C3C7F"/>
    <w:rsid w:val="006C43D8"/>
    <w:rsid w:val="006C4546"/>
    <w:rsid w:val="006C45DB"/>
    <w:rsid w:val="006C55EB"/>
    <w:rsid w:val="006D0680"/>
    <w:rsid w:val="006D3850"/>
    <w:rsid w:val="006D628A"/>
    <w:rsid w:val="006D6E3C"/>
    <w:rsid w:val="006D7A2F"/>
    <w:rsid w:val="006E1048"/>
    <w:rsid w:val="006E202B"/>
    <w:rsid w:val="006E22EC"/>
    <w:rsid w:val="006E38F9"/>
    <w:rsid w:val="006E5C55"/>
    <w:rsid w:val="006E614D"/>
    <w:rsid w:val="006E727E"/>
    <w:rsid w:val="006F14A7"/>
    <w:rsid w:val="006F25A3"/>
    <w:rsid w:val="006F784B"/>
    <w:rsid w:val="0070009C"/>
    <w:rsid w:val="00700B55"/>
    <w:rsid w:val="00700FA5"/>
    <w:rsid w:val="007019BE"/>
    <w:rsid w:val="007020DB"/>
    <w:rsid w:val="007042B6"/>
    <w:rsid w:val="0070586E"/>
    <w:rsid w:val="00705AF4"/>
    <w:rsid w:val="00706448"/>
    <w:rsid w:val="00706638"/>
    <w:rsid w:val="0070759E"/>
    <w:rsid w:val="007109E0"/>
    <w:rsid w:val="00711441"/>
    <w:rsid w:val="00712EA7"/>
    <w:rsid w:val="00713619"/>
    <w:rsid w:val="00714B05"/>
    <w:rsid w:val="00714C2E"/>
    <w:rsid w:val="00721726"/>
    <w:rsid w:val="0072251B"/>
    <w:rsid w:val="00725CBB"/>
    <w:rsid w:val="00726959"/>
    <w:rsid w:val="00726F77"/>
    <w:rsid w:val="0072710B"/>
    <w:rsid w:val="00732A1D"/>
    <w:rsid w:val="00732CA7"/>
    <w:rsid w:val="00733ADC"/>
    <w:rsid w:val="00733BC7"/>
    <w:rsid w:val="00733E94"/>
    <w:rsid w:val="0073421B"/>
    <w:rsid w:val="0073479A"/>
    <w:rsid w:val="00734EEA"/>
    <w:rsid w:val="007428F5"/>
    <w:rsid w:val="00742A00"/>
    <w:rsid w:val="0074374C"/>
    <w:rsid w:val="00751BAE"/>
    <w:rsid w:val="00752254"/>
    <w:rsid w:val="00753C52"/>
    <w:rsid w:val="00754FEB"/>
    <w:rsid w:val="00756853"/>
    <w:rsid w:val="007568FD"/>
    <w:rsid w:val="0075731D"/>
    <w:rsid w:val="00761641"/>
    <w:rsid w:val="007655C0"/>
    <w:rsid w:val="007660C7"/>
    <w:rsid w:val="00767358"/>
    <w:rsid w:val="00771E60"/>
    <w:rsid w:val="00773250"/>
    <w:rsid w:val="00775831"/>
    <w:rsid w:val="007777E2"/>
    <w:rsid w:val="00777DA5"/>
    <w:rsid w:val="00780778"/>
    <w:rsid w:val="00782FEA"/>
    <w:rsid w:val="0078340F"/>
    <w:rsid w:val="007836D2"/>
    <w:rsid w:val="00784BC7"/>
    <w:rsid w:val="00784F00"/>
    <w:rsid w:val="00790BF9"/>
    <w:rsid w:val="00791FA6"/>
    <w:rsid w:val="00795284"/>
    <w:rsid w:val="00796641"/>
    <w:rsid w:val="007966FC"/>
    <w:rsid w:val="007967A3"/>
    <w:rsid w:val="00796D97"/>
    <w:rsid w:val="007A0ADC"/>
    <w:rsid w:val="007A0E22"/>
    <w:rsid w:val="007A3284"/>
    <w:rsid w:val="007A387C"/>
    <w:rsid w:val="007A3A64"/>
    <w:rsid w:val="007A51F5"/>
    <w:rsid w:val="007A7419"/>
    <w:rsid w:val="007B08B2"/>
    <w:rsid w:val="007B0C45"/>
    <w:rsid w:val="007B75BC"/>
    <w:rsid w:val="007B7743"/>
    <w:rsid w:val="007C036D"/>
    <w:rsid w:val="007C1AF1"/>
    <w:rsid w:val="007C2167"/>
    <w:rsid w:val="007C3D1C"/>
    <w:rsid w:val="007C6E33"/>
    <w:rsid w:val="007C6FC6"/>
    <w:rsid w:val="007C77B8"/>
    <w:rsid w:val="007D0611"/>
    <w:rsid w:val="007D0D33"/>
    <w:rsid w:val="007D277D"/>
    <w:rsid w:val="007D5B85"/>
    <w:rsid w:val="007E191A"/>
    <w:rsid w:val="007E197A"/>
    <w:rsid w:val="007E1FC1"/>
    <w:rsid w:val="007E32D2"/>
    <w:rsid w:val="007E3F2B"/>
    <w:rsid w:val="007E43BE"/>
    <w:rsid w:val="007E5721"/>
    <w:rsid w:val="007E6052"/>
    <w:rsid w:val="007E6C27"/>
    <w:rsid w:val="007E72A4"/>
    <w:rsid w:val="007E7676"/>
    <w:rsid w:val="007E7BC1"/>
    <w:rsid w:val="007F020B"/>
    <w:rsid w:val="007F0C8D"/>
    <w:rsid w:val="007F2CEC"/>
    <w:rsid w:val="007F43F3"/>
    <w:rsid w:val="007F6F14"/>
    <w:rsid w:val="008003E9"/>
    <w:rsid w:val="00801F25"/>
    <w:rsid w:val="00801F4E"/>
    <w:rsid w:val="008029B2"/>
    <w:rsid w:val="00803665"/>
    <w:rsid w:val="00803FCF"/>
    <w:rsid w:val="00805980"/>
    <w:rsid w:val="00806F88"/>
    <w:rsid w:val="00807B46"/>
    <w:rsid w:val="00807F1F"/>
    <w:rsid w:val="00810799"/>
    <w:rsid w:val="00811C8E"/>
    <w:rsid w:val="008127C8"/>
    <w:rsid w:val="00812935"/>
    <w:rsid w:val="00812E73"/>
    <w:rsid w:val="00813261"/>
    <w:rsid w:val="00814A3A"/>
    <w:rsid w:val="00814F7F"/>
    <w:rsid w:val="0081548A"/>
    <w:rsid w:val="00817A09"/>
    <w:rsid w:val="00820630"/>
    <w:rsid w:val="00821424"/>
    <w:rsid w:val="00823881"/>
    <w:rsid w:val="00824496"/>
    <w:rsid w:val="008307A6"/>
    <w:rsid w:val="00831B80"/>
    <w:rsid w:val="00835082"/>
    <w:rsid w:val="0083534C"/>
    <w:rsid w:val="00835BAD"/>
    <w:rsid w:val="00836A2E"/>
    <w:rsid w:val="00836C71"/>
    <w:rsid w:val="008371CF"/>
    <w:rsid w:val="00837A71"/>
    <w:rsid w:val="00840481"/>
    <w:rsid w:val="0084049C"/>
    <w:rsid w:val="00841E72"/>
    <w:rsid w:val="00843913"/>
    <w:rsid w:val="00843992"/>
    <w:rsid w:val="00844E91"/>
    <w:rsid w:val="00845BC8"/>
    <w:rsid w:val="00846189"/>
    <w:rsid w:val="00846CE5"/>
    <w:rsid w:val="008478FD"/>
    <w:rsid w:val="00850C65"/>
    <w:rsid w:val="00851635"/>
    <w:rsid w:val="0085266A"/>
    <w:rsid w:val="00852DD8"/>
    <w:rsid w:val="008530F6"/>
    <w:rsid w:val="00855F03"/>
    <w:rsid w:val="0086007F"/>
    <w:rsid w:val="008616BA"/>
    <w:rsid w:val="008627D6"/>
    <w:rsid w:val="00862BC2"/>
    <w:rsid w:val="00864523"/>
    <w:rsid w:val="00866D3C"/>
    <w:rsid w:val="00870BB8"/>
    <w:rsid w:val="00871A19"/>
    <w:rsid w:val="00871F5A"/>
    <w:rsid w:val="00872E39"/>
    <w:rsid w:val="00875011"/>
    <w:rsid w:val="00875231"/>
    <w:rsid w:val="008758C2"/>
    <w:rsid w:val="00875C17"/>
    <w:rsid w:val="008770C1"/>
    <w:rsid w:val="00881512"/>
    <w:rsid w:val="00882418"/>
    <w:rsid w:val="00883ABA"/>
    <w:rsid w:val="0088467C"/>
    <w:rsid w:val="008864F9"/>
    <w:rsid w:val="00887454"/>
    <w:rsid w:val="00887C4B"/>
    <w:rsid w:val="00890532"/>
    <w:rsid w:val="00890830"/>
    <w:rsid w:val="00891B57"/>
    <w:rsid w:val="00892FB1"/>
    <w:rsid w:val="00895FB7"/>
    <w:rsid w:val="00896E04"/>
    <w:rsid w:val="008A0578"/>
    <w:rsid w:val="008A0B18"/>
    <w:rsid w:val="008A13D7"/>
    <w:rsid w:val="008A2F00"/>
    <w:rsid w:val="008A32DB"/>
    <w:rsid w:val="008A4D62"/>
    <w:rsid w:val="008A53AE"/>
    <w:rsid w:val="008A617B"/>
    <w:rsid w:val="008B1507"/>
    <w:rsid w:val="008B4B59"/>
    <w:rsid w:val="008B6244"/>
    <w:rsid w:val="008B6494"/>
    <w:rsid w:val="008C3173"/>
    <w:rsid w:val="008C31DB"/>
    <w:rsid w:val="008C393D"/>
    <w:rsid w:val="008C65B3"/>
    <w:rsid w:val="008D15BD"/>
    <w:rsid w:val="008D1629"/>
    <w:rsid w:val="008D51CB"/>
    <w:rsid w:val="008E0019"/>
    <w:rsid w:val="008E22F3"/>
    <w:rsid w:val="008E2C60"/>
    <w:rsid w:val="008E480B"/>
    <w:rsid w:val="008E51CA"/>
    <w:rsid w:val="008E545C"/>
    <w:rsid w:val="008E5B10"/>
    <w:rsid w:val="008E7184"/>
    <w:rsid w:val="008F053E"/>
    <w:rsid w:val="008F321A"/>
    <w:rsid w:val="008F3F09"/>
    <w:rsid w:val="008F5E7B"/>
    <w:rsid w:val="008F6295"/>
    <w:rsid w:val="008F78A8"/>
    <w:rsid w:val="008F7B36"/>
    <w:rsid w:val="00900848"/>
    <w:rsid w:val="00900939"/>
    <w:rsid w:val="009028FA"/>
    <w:rsid w:val="009074A5"/>
    <w:rsid w:val="0091095C"/>
    <w:rsid w:val="00911F3E"/>
    <w:rsid w:val="00911F98"/>
    <w:rsid w:val="00912ECC"/>
    <w:rsid w:val="0091302A"/>
    <w:rsid w:val="00915B8C"/>
    <w:rsid w:val="00917B77"/>
    <w:rsid w:val="00920AFF"/>
    <w:rsid w:val="0092153E"/>
    <w:rsid w:val="009306E5"/>
    <w:rsid w:val="00936CDA"/>
    <w:rsid w:val="00940413"/>
    <w:rsid w:val="00941854"/>
    <w:rsid w:val="0094231A"/>
    <w:rsid w:val="0094249C"/>
    <w:rsid w:val="00942C87"/>
    <w:rsid w:val="009459E0"/>
    <w:rsid w:val="00947398"/>
    <w:rsid w:val="009505B2"/>
    <w:rsid w:val="0095125A"/>
    <w:rsid w:val="00951E56"/>
    <w:rsid w:val="00952EA2"/>
    <w:rsid w:val="00953122"/>
    <w:rsid w:val="009567C6"/>
    <w:rsid w:val="00961508"/>
    <w:rsid w:val="00964794"/>
    <w:rsid w:val="00965A4A"/>
    <w:rsid w:val="00967FC9"/>
    <w:rsid w:val="009702D3"/>
    <w:rsid w:val="00970547"/>
    <w:rsid w:val="009708AA"/>
    <w:rsid w:val="00971456"/>
    <w:rsid w:val="0097194A"/>
    <w:rsid w:val="0097291E"/>
    <w:rsid w:val="0097391E"/>
    <w:rsid w:val="00975A35"/>
    <w:rsid w:val="0097629F"/>
    <w:rsid w:val="0097699F"/>
    <w:rsid w:val="00977B01"/>
    <w:rsid w:val="00980304"/>
    <w:rsid w:val="00984FA8"/>
    <w:rsid w:val="00986054"/>
    <w:rsid w:val="00986998"/>
    <w:rsid w:val="00986C1D"/>
    <w:rsid w:val="009915C7"/>
    <w:rsid w:val="009921EF"/>
    <w:rsid w:val="009932D0"/>
    <w:rsid w:val="009940CD"/>
    <w:rsid w:val="009966F3"/>
    <w:rsid w:val="00997B65"/>
    <w:rsid w:val="009A0734"/>
    <w:rsid w:val="009A23B2"/>
    <w:rsid w:val="009A28FF"/>
    <w:rsid w:val="009A3B97"/>
    <w:rsid w:val="009A3ED7"/>
    <w:rsid w:val="009A442D"/>
    <w:rsid w:val="009A5489"/>
    <w:rsid w:val="009A6795"/>
    <w:rsid w:val="009A6CDF"/>
    <w:rsid w:val="009B397B"/>
    <w:rsid w:val="009B3F67"/>
    <w:rsid w:val="009B445A"/>
    <w:rsid w:val="009B5B9C"/>
    <w:rsid w:val="009B5EF5"/>
    <w:rsid w:val="009B6524"/>
    <w:rsid w:val="009C018E"/>
    <w:rsid w:val="009C318A"/>
    <w:rsid w:val="009C31E9"/>
    <w:rsid w:val="009C3346"/>
    <w:rsid w:val="009C410C"/>
    <w:rsid w:val="009C4235"/>
    <w:rsid w:val="009C59F8"/>
    <w:rsid w:val="009C6A3D"/>
    <w:rsid w:val="009D01EE"/>
    <w:rsid w:val="009D2E74"/>
    <w:rsid w:val="009D49A0"/>
    <w:rsid w:val="009D6B27"/>
    <w:rsid w:val="009E2C46"/>
    <w:rsid w:val="009E4468"/>
    <w:rsid w:val="009E5280"/>
    <w:rsid w:val="009E5F37"/>
    <w:rsid w:val="009F1C21"/>
    <w:rsid w:val="009F3C94"/>
    <w:rsid w:val="009F6127"/>
    <w:rsid w:val="009F76D9"/>
    <w:rsid w:val="00A00FC7"/>
    <w:rsid w:val="00A015CA"/>
    <w:rsid w:val="00A01AD6"/>
    <w:rsid w:val="00A0498E"/>
    <w:rsid w:val="00A04C21"/>
    <w:rsid w:val="00A04F50"/>
    <w:rsid w:val="00A05C6E"/>
    <w:rsid w:val="00A05F27"/>
    <w:rsid w:val="00A06BF1"/>
    <w:rsid w:val="00A13D3B"/>
    <w:rsid w:val="00A16473"/>
    <w:rsid w:val="00A16B6B"/>
    <w:rsid w:val="00A20B2E"/>
    <w:rsid w:val="00A25325"/>
    <w:rsid w:val="00A25C1D"/>
    <w:rsid w:val="00A261E1"/>
    <w:rsid w:val="00A3215C"/>
    <w:rsid w:val="00A32813"/>
    <w:rsid w:val="00A32E30"/>
    <w:rsid w:val="00A3318B"/>
    <w:rsid w:val="00A345E1"/>
    <w:rsid w:val="00A34D48"/>
    <w:rsid w:val="00A365F5"/>
    <w:rsid w:val="00A36D43"/>
    <w:rsid w:val="00A37C9B"/>
    <w:rsid w:val="00A40286"/>
    <w:rsid w:val="00A40C39"/>
    <w:rsid w:val="00A411B2"/>
    <w:rsid w:val="00A4181C"/>
    <w:rsid w:val="00A44649"/>
    <w:rsid w:val="00A45367"/>
    <w:rsid w:val="00A466DE"/>
    <w:rsid w:val="00A4724A"/>
    <w:rsid w:val="00A47920"/>
    <w:rsid w:val="00A47A14"/>
    <w:rsid w:val="00A501F5"/>
    <w:rsid w:val="00A50AEE"/>
    <w:rsid w:val="00A5164D"/>
    <w:rsid w:val="00A51C5C"/>
    <w:rsid w:val="00A5500A"/>
    <w:rsid w:val="00A55A29"/>
    <w:rsid w:val="00A56B8F"/>
    <w:rsid w:val="00A60438"/>
    <w:rsid w:val="00A62291"/>
    <w:rsid w:val="00A62565"/>
    <w:rsid w:val="00A62D1F"/>
    <w:rsid w:val="00A63E15"/>
    <w:rsid w:val="00A63E58"/>
    <w:rsid w:val="00A67E53"/>
    <w:rsid w:val="00A71CAD"/>
    <w:rsid w:val="00A742C3"/>
    <w:rsid w:val="00A743F4"/>
    <w:rsid w:val="00A74F01"/>
    <w:rsid w:val="00A76118"/>
    <w:rsid w:val="00A769E6"/>
    <w:rsid w:val="00A77363"/>
    <w:rsid w:val="00A81DCA"/>
    <w:rsid w:val="00A82C92"/>
    <w:rsid w:val="00A83AE4"/>
    <w:rsid w:val="00A85C99"/>
    <w:rsid w:val="00A87B92"/>
    <w:rsid w:val="00A917CF"/>
    <w:rsid w:val="00A91BE4"/>
    <w:rsid w:val="00A92BE9"/>
    <w:rsid w:val="00A930A9"/>
    <w:rsid w:val="00A93498"/>
    <w:rsid w:val="00A93573"/>
    <w:rsid w:val="00A9473D"/>
    <w:rsid w:val="00A94765"/>
    <w:rsid w:val="00A95C43"/>
    <w:rsid w:val="00A95FA8"/>
    <w:rsid w:val="00A972DB"/>
    <w:rsid w:val="00A97603"/>
    <w:rsid w:val="00AA0A85"/>
    <w:rsid w:val="00AA1216"/>
    <w:rsid w:val="00AA15AD"/>
    <w:rsid w:val="00AA19C5"/>
    <w:rsid w:val="00AA1FEC"/>
    <w:rsid w:val="00AA21F2"/>
    <w:rsid w:val="00AA40E1"/>
    <w:rsid w:val="00AA4533"/>
    <w:rsid w:val="00AA6B22"/>
    <w:rsid w:val="00AA7B17"/>
    <w:rsid w:val="00AB0692"/>
    <w:rsid w:val="00AB07F4"/>
    <w:rsid w:val="00AB2D72"/>
    <w:rsid w:val="00AC1268"/>
    <w:rsid w:val="00AC1C75"/>
    <w:rsid w:val="00AC24D4"/>
    <w:rsid w:val="00AC2633"/>
    <w:rsid w:val="00AC3E1B"/>
    <w:rsid w:val="00AC490D"/>
    <w:rsid w:val="00AC56AE"/>
    <w:rsid w:val="00AC5838"/>
    <w:rsid w:val="00AC5D2E"/>
    <w:rsid w:val="00AC5F49"/>
    <w:rsid w:val="00AC5FD4"/>
    <w:rsid w:val="00AD1AAE"/>
    <w:rsid w:val="00AD38AF"/>
    <w:rsid w:val="00AD43FE"/>
    <w:rsid w:val="00AD48D9"/>
    <w:rsid w:val="00AD58B0"/>
    <w:rsid w:val="00AE522E"/>
    <w:rsid w:val="00AE5BC6"/>
    <w:rsid w:val="00AE5E38"/>
    <w:rsid w:val="00AF0597"/>
    <w:rsid w:val="00AF1BB4"/>
    <w:rsid w:val="00AF320B"/>
    <w:rsid w:val="00AF763A"/>
    <w:rsid w:val="00AF7776"/>
    <w:rsid w:val="00B1104F"/>
    <w:rsid w:val="00B12594"/>
    <w:rsid w:val="00B126E2"/>
    <w:rsid w:val="00B14FAB"/>
    <w:rsid w:val="00B17E66"/>
    <w:rsid w:val="00B20BAB"/>
    <w:rsid w:val="00B215FD"/>
    <w:rsid w:val="00B21B90"/>
    <w:rsid w:val="00B22706"/>
    <w:rsid w:val="00B23300"/>
    <w:rsid w:val="00B23824"/>
    <w:rsid w:val="00B2406D"/>
    <w:rsid w:val="00B2471B"/>
    <w:rsid w:val="00B249B8"/>
    <w:rsid w:val="00B253B4"/>
    <w:rsid w:val="00B315E6"/>
    <w:rsid w:val="00B34755"/>
    <w:rsid w:val="00B34E9D"/>
    <w:rsid w:val="00B350FA"/>
    <w:rsid w:val="00B43F32"/>
    <w:rsid w:val="00B46637"/>
    <w:rsid w:val="00B46D5D"/>
    <w:rsid w:val="00B47BC3"/>
    <w:rsid w:val="00B47F63"/>
    <w:rsid w:val="00B511F3"/>
    <w:rsid w:val="00B515B1"/>
    <w:rsid w:val="00B51FCD"/>
    <w:rsid w:val="00B52A86"/>
    <w:rsid w:val="00B52B62"/>
    <w:rsid w:val="00B53F3C"/>
    <w:rsid w:val="00B54501"/>
    <w:rsid w:val="00B55625"/>
    <w:rsid w:val="00B57C6C"/>
    <w:rsid w:val="00B57DC2"/>
    <w:rsid w:val="00B60E1E"/>
    <w:rsid w:val="00B61DBE"/>
    <w:rsid w:val="00B62FEA"/>
    <w:rsid w:val="00B6319C"/>
    <w:rsid w:val="00B650B8"/>
    <w:rsid w:val="00B66571"/>
    <w:rsid w:val="00B70863"/>
    <w:rsid w:val="00B70EF2"/>
    <w:rsid w:val="00B75821"/>
    <w:rsid w:val="00B75FBE"/>
    <w:rsid w:val="00B763C5"/>
    <w:rsid w:val="00B76E75"/>
    <w:rsid w:val="00B803B1"/>
    <w:rsid w:val="00B809F5"/>
    <w:rsid w:val="00B80DC7"/>
    <w:rsid w:val="00B832B8"/>
    <w:rsid w:val="00B842B8"/>
    <w:rsid w:val="00B862B5"/>
    <w:rsid w:val="00B86C62"/>
    <w:rsid w:val="00B873CD"/>
    <w:rsid w:val="00B9137A"/>
    <w:rsid w:val="00B94741"/>
    <w:rsid w:val="00B94E2B"/>
    <w:rsid w:val="00B95E93"/>
    <w:rsid w:val="00B96A45"/>
    <w:rsid w:val="00B971C3"/>
    <w:rsid w:val="00B9783A"/>
    <w:rsid w:val="00BA2387"/>
    <w:rsid w:val="00BA3705"/>
    <w:rsid w:val="00BA4CE9"/>
    <w:rsid w:val="00BA7336"/>
    <w:rsid w:val="00BB01BD"/>
    <w:rsid w:val="00BB0E9A"/>
    <w:rsid w:val="00BB13C5"/>
    <w:rsid w:val="00BB166D"/>
    <w:rsid w:val="00BB1FCF"/>
    <w:rsid w:val="00BB4B77"/>
    <w:rsid w:val="00BB5EC0"/>
    <w:rsid w:val="00BC0619"/>
    <w:rsid w:val="00BC0E5A"/>
    <w:rsid w:val="00BC2803"/>
    <w:rsid w:val="00BC4B91"/>
    <w:rsid w:val="00BC587E"/>
    <w:rsid w:val="00BC7681"/>
    <w:rsid w:val="00BC7E6E"/>
    <w:rsid w:val="00BD201D"/>
    <w:rsid w:val="00BD2143"/>
    <w:rsid w:val="00BD23CA"/>
    <w:rsid w:val="00BD29ED"/>
    <w:rsid w:val="00BD3823"/>
    <w:rsid w:val="00BD47E7"/>
    <w:rsid w:val="00BD4A81"/>
    <w:rsid w:val="00BD5BDA"/>
    <w:rsid w:val="00BD62D6"/>
    <w:rsid w:val="00BD6C54"/>
    <w:rsid w:val="00BD7A7C"/>
    <w:rsid w:val="00BE0260"/>
    <w:rsid w:val="00BE2155"/>
    <w:rsid w:val="00BE2574"/>
    <w:rsid w:val="00BE5094"/>
    <w:rsid w:val="00BE6FED"/>
    <w:rsid w:val="00BE72E1"/>
    <w:rsid w:val="00BF1693"/>
    <w:rsid w:val="00BF226E"/>
    <w:rsid w:val="00BF23D4"/>
    <w:rsid w:val="00BF48DC"/>
    <w:rsid w:val="00BF4FB7"/>
    <w:rsid w:val="00BF6D09"/>
    <w:rsid w:val="00BF7474"/>
    <w:rsid w:val="00C0005C"/>
    <w:rsid w:val="00C0329C"/>
    <w:rsid w:val="00C04096"/>
    <w:rsid w:val="00C052DB"/>
    <w:rsid w:val="00C06418"/>
    <w:rsid w:val="00C065D9"/>
    <w:rsid w:val="00C117A5"/>
    <w:rsid w:val="00C11C01"/>
    <w:rsid w:val="00C11E8C"/>
    <w:rsid w:val="00C152F5"/>
    <w:rsid w:val="00C15396"/>
    <w:rsid w:val="00C15A09"/>
    <w:rsid w:val="00C205F1"/>
    <w:rsid w:val="00C214C4"/>
    <w:rsid w:val="00C21919"/>
    <w:rsid w:val="00C22EEA"/>
    <w:rsid w:val="00C2370D"/>
    <w:rsid w:val="00C242A8"/>
    <w:rsid w:val="00C277BA"/>
    <w:rsid w:val="00C30C44"/>
    <w:rsid w:val="00C31455"/>
    <w:rsid w:val="00C3180E"/>
    <w:rsid w:val="00C31A2C"/>
    <w:rsid w:val="00C31CE8"/>
    <w:rsid w:val="00C324F8"/>
    <w:rsid w:val="00C33D85"/>
    <w:rsid w:val="00C33E67"/>
    <w:rsid w:val="00C35292"/>
    <w:rsid w:val="00C36BE5"/>
    <w:rsid w:val="00C41079"/>
    <w:rsid w:val="00C41AFF"/>
    <w:rsid w:val="00C50530"/>
    <w:rsid w:val="00C54CE6"/>
    <w:rsid w:val="00C56884"/>
    <w:rsid w:val="00C57533"/>
    <w:rsid w:val="00C63607"/>
    <w:rsid w:val="00C640E9"/>
    <w:rsid w:val="00C652CE"/>
    <w:rsid w:val="00C65C92"/>
    <w:rsid w:val="00C66150"/>
    <w:rsid w:val="00C666F3"/>
    <w:rsid w:val="00C7407C"/>
    <w:rsid w:val="00C7581D"/>
    <w:rsid w:val="00C7679F"/>
    <w:rsid w:val="00C8157A"/>
    <w:rsid w:val="00C82013"/>
    <w:rsid w:val="00C83E2E"/>
    <w:rsid w:val="00C854B1"/>
    <w:rsid w:val="00C856F3"/>
    <w:rsid w:val="00C86B26"/>
    <w:rsid w:val="00C90120"/>
    <w:rsid w:val="00C91876"/>
    <w:rsid w:val="00C923B4"/>
    <w:rsid w:val="00C927C6"/>
    <w:rsid w:val="00C92C84"/>
    <w:rsid w:val="00C934C5"/>
    <w:rsid w:val="00C938E9"/>
    <w:rsid w:val="00C97E61"/>
    <w:rsid w:val="00CA03E2"/>
    <w:rsid w:val="00CA07DF"/>
    <w:rsid w:val="00CA0F54"/>
    <w:rsid w:val="00CA1BD3"/>
    <w:rsid w:val="00CA46EE"/>
    <w:rsid w:val="00CB3991"/>
    <w:rsid w:val="00CB3EE1"/>
    <w:rsid w:val="00CB40E2"/>
    <w:rsid w:val="00CB42AC"/>
    <w:rsid w:val="00CB5B25"/>
    <w:rsid w:val="00CB7969"/>
    <w:rsid w:val="00CB7FE7"/>
    <w:rsid w:val="00CC10E0"/>
    <w:rsid w:val="00CC125C"/>
    <w:rsid w:val="00CC3358"/>
    <w:rsid w:val="00CC3667"/>
    <w:rsid w:val="00CC698A"/>
    <w:rsid w:val="00CC6D0D"/>
    <w:rsid w:val="00CC73C2"/>
    <w:rsid w:val="00CD037D"/>
    <w:rsid w:val="00CD1F8C"/>
    <w:rsid w:val="00CD1F95"/>
    <w:rsid w:val="00CD34E1"/>
    <w:rsid w:val="00CD38F3"/>
    <w:rsid w:val="00CD3A25"/>
    <w:rsid w:val="00CD3C10"/>
    <w:rsid w:val="00CD56A4"/>
    <w:rsid w:val="00CD6CF0"/>
    <w:rsid w:val="00CD702C"/>
    <w:rsid w:val="00CE0007"/>
    <w:rsid w:val="00CE16A9"/>
    <w:rsid w:val="00CE1E3C"/>
    <w:rsid w:val="00CE309C"/>
    <w:rsid w:val="00CE4086"/>
    <w:rsid w:val="00CE5632"/>
    <w:rsid w:val="00CE7222"/>
    <w:rsid w:val="00CE7941"/>
    <w:rsid w:val="00CE7CA1"/>
    <w:rsid w:val="00CF020F"/>
    <w:rsid w:val="00CF12B0"/>
    <w:rsid w:val="00CF5390"/>
    <w:rsid w:val="00D000B3"/>
    <w:rsid w:val="00D00AED"/>
    <w:rsid w:val="00D014D1"/>
    <w:rsid w:val="00D01757"/>
    <w:rsid w:val="00D019F3"/>
    <w:rsid w:val="00D0240E"/>
    <w:rsid w:val="00D02861"/>
    <w:rsid w:val="00D0362E"/>
    <w:rsid w:val="00D04512"/>
    <w:rsid w:val="00D0702C"/>
    <w:rsid w:val="00D108A9"/>
    <w:rsid w:val="00D1325D"/>
    <w:rsid w:val="00D15FF2"/>
    <w:rsid w:val="00D162F1"/>
    <w:rsid w:val="00D167E7"/>
    <w:rsid w:val="00D17235"/>
    <w:rsid w:val="00D172DE"/>
    <w:rsid w:val="00D2133C"/>
    <w:rsid w:val="00D22A8B"/>
    <w:rsid w:val="00D23431"/>
    <w:rsid w:val="00D240C2"/>
    <w:rsid w:val="00D24A2F"/>
    <w:rsid w:val="00D258A1"/>
    <w:rsid w:val="00D31BB0"/>
    <w:rsid w:val="00D3309E"/>
    <w:rsid w:val="00D36E28"/>
    <w:rsid w:val="00D40724"/>
    <w:rsid w:val="00D40ABE"/>
    <w:rsid w:val="00D40C20"/>
    <w:rsid w:val="00D42443"/>
    <w:rsid w:val="00D42640"/>
    <w:rsid w:val="00D43A1D"/>
    <w:rsid w:val="00D44BD0"/>
    <w:rsid w:val="00D4516F"/>
    <w:rsid w:val="00D46E90"/>
    <w:rsid w:val="00D46F51"/>
    <w:rsid w:val="00D515ED"/>
    <w:rsid w:val="00D53AC9"/>
    <w:rsid w:val="00D5557D"/>
    <w:rsid w:val="00D56A7B"/>
    <w:rsid w:val="00D576AF"/>
    <w:rsid w:val="00D60FEE"/>
    <w:rsid w:val="00D617F4"/>
    <w:rsid w:val="00D65C50"/>
    <w:rsid w:val="00D70872"/>
    <w:rsid w:val="00D719A1"/>
    <w:rsid w:val="00D71A0A"/>
    <w:rsid w:val="00D72279"/>
    <w:rsid w:val="00D73332"/>
    <w:rsid w:val="00D73F76"/>
    <w:rsid w:val="00D7505C"/>
    <w:rsid w:val="00D75A8C"/>
    <w:rsid w:val="00D7684F"/>
    <w:rsid w:val="00D772E1"/>
    <w:rsid w:val="00D801BC"/>
    <w:rsid w:val="00D807F7"/>
    <w:rsid w:val="00D81FDE"/>
    <w:rsid w:val="00D82249"/>
    <w:rsid w:val="00D83307"/>
    <w:rsid w:val="00D8538A"/>
    <w:rsid w:val="00D864AF"/>
    <w:rsid w:val="00D878A1"/>
    <w:rsid w:val="00D878A8"/>
    <w:rsid w:val="00D90CCE"/>
    <w:rsid w:val="00D90DD2"/>
    <w:rsid w:val="00D91FCA"/>
    <w:rsid w:val="00D933EC"/>
    <w:rsid w:val="00D93FE2"/>
    <w:rsid w:val="00D96859"/>
    <w:rsid w:val="00DA087F"/>
    <w:rsid w:val="00DA1D06"/>
    <w:rsid w:val="00DA2032"/>
    <w:rsid w:val="00DA3792"/>
    <w:rsid w:val="00DA4711"/>
    <w:rsid w:val="00DB0A75"/>
    <w:rsid w:val="00DB3BE0"/>
    <w:rsid w:val="00DB3ED7"/>
    <w:rsid w:val="00DB4971"/>
    <w:rsid w:val="00DB537D"/>
    <w:rsid w:val="00DB595A"/>
    <w:rsid w:val="00DB6173"/>
    <w:rsid w:val="00DB6A8B"/>
    <w:rsid w:val="00DC05AA"/>
    <w:rsid w:val="00DC0CA1"/>
    <w:rsid w:val="00DC0CE8"/>
    <w:rsid w:val="00DC1C03"/>
    <w:rsid w:val="00DC2533"/>
    <w:rsid w:val="00DC2E97"/>
    <w:rsid w:val="00DC3948"/>
    <w:rsid w:val="00DC6578"/>
    <w:rsid w:val="00DC67CB"/>
    <w:rsid w:val="00DC69C0"/>
    <w:rsid w:val="00DC6DC3"/>
    <w:rsid w:val="00DC720B"/>
    <w:rsid w:val="00DD0588"/>
    <w:rsid w:val="00DD0D60"/>
    <w:rsid w:val="00DD0EA8"/>
    <w:rsid w:val="00DD0F2E"/>
    <w:rsid w:val="00DD1EEB"/>
    <w:rsid w:val="00DD2E6E"/>
    <w:rsid w:val="00DD5755"/>
    <w:rsid w:val="00DD610B"/>
    <w:rsid w:val="00DD6193"/>
    <w:rsid w:val="00DE0881"/>
    <w:rsid w:val="00DE0DAF"/>
    <w:rsid w:val="00DE140E"/>
    <w:rsid w:val="00DE1477"/>
    <w:rsid w:val="00DE1E5E"/>
    <w:rsid w:val="00DE2C35"/>
    <w:rsid w:val="00DE42A3"/>
    <w:rsid w:val="00DE4A59"/>
    <w:rsid w:val="00DE7885"/>
    <w:rsid w:val="00DE7C4C"/>
    <w:rsid w:val="00DF0E70"/>
    <w:rsid w:val="00DF0E89"/>
    <w:rsid w:val="00DF26F9"/>
    <w:rsid w:val="00DF64B1"/>
    <w:rsid w:val="00E01C12"/>
    <w:rsid w:val="00E020D9"/>
    <w:rsid w:val="00E02A44"/>
    <w:rsid w:val="00E04751"/>
    <w:rsid w:val="00E04C2F"/>
    <w:rsid w:val="00E077AF"/>
    <w:rsid w:val="00E10D38"/>
    <w:rsid w:val="00E175EA"/>
    <w:rsid w:val="00E20B97"/>
    <w:rsid w:val="00E21DE3"/>
    <w:rsid w:val="00E2313D"/>
    <w:rsid w:val="00E2462A"/>
    <w:rsid w:val="00E2465C"/>
    <w:rsid w:val="00E26446"/>
    <w:rsid w:val="00E3098C"/>
    <w:rsid w:val="00E30B30"/>
    <w:rsid w:val="00E33ABF"/>
    <w:rsid w:val="00E3442B"/>
    <w:rsid w:val="00E345DC"/>
    <w:rsid w:val="00E366E6"/>
    <w:rsid w:val="00E36B59"/>
    <w:rsid w:val="00E402C2"/>
    <w:rsid w:val="00E4185B"/>
    <w:rsid w:val="00E42DE9"/>
    <w:rsid w:val="00E56D2D"/>
    <w:rsid w:val="00E57453"/>
    <w:rsid w:val="00E6140E"/>
    <w:rsid w:val="00E6362E"/>
    <w:rsid w:val="00E64C3D"/>
    <w:rsid w:val="00E66481"/>
    <w:rsid w:val="00E667B7"/>
    <w:rsid w:val="00E67292"/>
    <w:rsid w:val="00E70138"/>
    <w:rsid w:val="00E70D40"/>
    <w:rsid w:val="00E727FA"/>
    <w:rsid w:val="00E729F5"/>
    <w:rsid w:val="00E72EEF"/>
    <w:rsid w:val="00E73F18"/>
    <w:rsid w:val="00E76871"/>
    <w:rsid w:val="00E76D07"/>
    <w:rsid w:val="00E77A5B"/>
    <w:rsid w:val="00E803E8"/>
    <w:rsid w:val="00E81F2B"/>
    <w:rsid w:val="00E82380"/>
    <w:rsid w:val="00E82A1F"/>
    <w:rsid w:val="00E82DC8"/>
    <w:rsid w:val="00E83879"/>
    <w:rsid w:val="00E842FA"/>
    <w:rsid w:val="00E8531E"/>
    <w:rsid w:val="00E85E9B"/>
    <w:rsid w:val="00E862A3"/>
    <w:rsid w:val="00E9106B"/>
    <w:rsid w:val="00E966B2"/>
    <w:rsid w:val="00E96EE5"/>
    <w:rsid w:val="00E971F7"/>
    <w:rsid w:val="00EA03AF"/>
    <w:rsid w:val="00EA1132"/>
    <w:rsid w:val="00EA1D81"/>
    <w:rsid w:val="00EA37A6"/>
    <w:rsid w:val="00EA46BC"/>
    <w:rsid w:val="00EA4FD3"/>
    <w:rsid w:val="00EA7A10"/>
    <w:rsid w:val="00EB07C7"/>
    <w:rsid w:val="00EB0961"/>
    <w:rsid w:val="00EB2262"/>
    <w:rsid w:val="00EB2700"/>
    <w:rsid w:val="00EB305C"/>
    <w:rsid w:val="00EB3273"/>
    <w:rsid w:val="00EB33A9"/>
    <w:rsid w:val="00EB363C"/>
    <w:rsid w:val="00EB3ABC"/>
    <w:rsid w:val="00EB46B6"/>
    <w:rsid w:val="00EB6636"/>
    <w:rsid w:val="00EB69C1"/>
    <w:rsid w:val="00EB6D75"/>
    <w:rsid w:val="00EC141A"/>
    <w:rsid w:val="00EC446C"/>
    <w:rsid w:val="00EC57CE"/>
    <w:rsid w:val="00EC68F6"/>
    <w:rsid w:val="00EC7CA2"/>
    <w:rsid w:val="00ED3035"/>
    <w:rsid w:val="00ED32CE"/>
    <w:rsid w:val="00ED5573"/>
    <w:rsid w:val="00ED5755"/>
    <w:rsid w:val="00ED5EA0"/>
    <w:rsid w:val="00ED66CA"/>
    <w:rsid w:val="00ED6C2A"/>
    <w:rsid w:val="00ED72D1"/>
    <w:rsid w:val="00EE0DB6"/>
    <w:rsid w:val="00EE10A2"/>
    <w:rsid w:val="00EE23ED"/>
    <w:rsid w:val="00EE34C1"/>
    <w:rsid w:val="00EE3911"/>
    <w:rsid w:val="00EE48C9"/>
    <w:rsid w:val="00EE5356"/>
    <w:rsid w:val="00EE7A5F"/>
    <w:rsid w:val="00EF011A"/>
    <w:rsid w:val="00EF3209"/>
    <w:rsid w:val="00EF72E8"/>
    <w:rsid w:val="00EF7B14"/>
    <w:rsid w:val="00F01A16"/>
    <w:rsid w:val="00F01E33"/>
    <w:rsid w:val="00F0334A"/>
    <w:rsid w:val="00F040B3"/>
    <w:rsid w:val="00F04B0E"/>
    <w:rsid w:val="00F04C86"/>
    <w:rsid w:val="00F07E48"/>
    <w:rsid w:val="00F10011"/>
    <w:rsid w:val="00F1075B"/>
    <w:rsid w:val="00F10E7C"/>
    <w:rsid w:val="00F12A01"/>
    <w:rsid w:val="00F12FCD"/>
    <w:rsid w:val="00F13838"/>
    <w:rsid w:val="00F148F8"/>
    <w:rsid w:val="00F14A07"/>
    <w:rsid w:val="00F16EF3"/>
    <w:rsid w:val="00F1735C"/>
    <w:rsid w:val="00F17611"/>
    <w:rsid w:val="00F17C8F"/>
    <w:rsid w:val="00F17D5E"/>
    <w:rsid w:val="00F2001A"/>
    <w:rsid w:val="00F24525"/>
    <w:rsid w:val="00F2626C"/>
    <w:rsid w:val="00F34C8B"/>
    <w:rsid w:val="00F42233"/>
    <w:rsid w:val="00F45B2C"/>
    <w:rsid w:val="00F478ED"/>
    <w:rsid w:val="00F50D8E"/>
    <w:rsid w:val="00F51837"/>
    <w:rsid w:val="00F52D2C"/>
    <w:rsid w:val="00F53A14"/>
    <w:rsid w:val="00F5596B"/>
    <w:rsid w:val="00F55F5A"/>
    <w:rsid w:val="00F5704D"/>
    <w:rsid w:val="00F5762D"/>
    <w:rsid w:val="00F57DD3"/>
    <w:rsid w:val="00F6371C"/>
    <w:rsid w:val="00F638A1"/>
    <w:rsid w:val="00F641E1"/>
    <w:rsid w:val="00F642EF"/>
    <w:rsid w:val="00F705BE"/>
    <w:rsid w:val="00F723A7"/>
    <w:rsid w:val="00F73030"/>
    <w:rsid w:val="00F73DCF"/>
    <w:rsid w:val="00F763C7"/>
    <w:rsid w:val="00F77EA0"/>
    <w:rsid w:val="00F82371"/>
    <w:rsid w:val="00F836E7"/>
    <w:rsid w:val="00F83CEC"/>
    <w:rsid w:val="00F83D16"/>
    <w:rsid w:val="00F85042"/>
    <w:rsid w:val="00F86C23"/>
    <w:rsid w:val="00F86CE0"/>
    <w:rsid w:val="00F86D2F"/>
    <w:rsid w:val="00F87267"/>
    <w:rsid w:val="00F878C8"/>
    <w:rsid w:val="00F9320F"/>
    <w:rsid w:val="00F9390E"/>
    <w:rsid w:val="00F93C09"/>
    <w:rsid w:val="00F93FE8"/>
    <w:rsid w:val="00F950A2"/>
    <w:rsid w:val="00F951CB"/>
    <w:rsid w:val="00F96426"/>
    <w:rsid w:val="00F97E47"/>
    <w:rsid w:val="00FA0651"/>
    <w:rsid w:val="00FA189B"/>
    <w:rsid w:val="00FA1E95"/>
    <w:rsid w:val="00FA3B3A"/>
    <w:rsid w:val="00FA512A"/>
    <w:rsid w:val="00FA58C3"/>
    <w:rsid w:val="00FA6189"/>
    <w:rsid w:val="00FB03B0"/>
    <w:rsid w:val="00FB05CE"/>
    <w:rsid w:val="00FB1719"/>
    <w:rsid w:val="00FB2A5C"/>
    <w:rsid w:val="00FB3964"/>
    <w:rsid w:val="00FB420C"/>
    <w:rsid w:val="00FB4938"/>
    <w:rsid w:val="00FB4C0B"/>
    <w:rsid w:val="00FB5163"/>
    <w:rsid w:val="00FB5AF3"/>
    <w:rsid w:val="00FB5DA0"/>
    <w:rsid w:val="00FB6CDE"/>
    <w:rsid w:val="00FB7D16"/>
    <w:rsid w:val="00FC0A50"/>
    <w:rsid w:val="00FC1668"/>
    <w:rsid w:val="00FC2BF0"/>
    <w:rsid w:val="00FC2EAE"/>
    <w:rsid w:val="00FC392F"/>
    <w:rsid w:val="00FC39A1"/>
    <w:rsid w:val="00FC402A"/>
    <w:rsid w:val="00FC6D88"/>
    <w:rsid w:val="00FC6EDF"/>
    <w:rsid w:val="00FD09EF"/>
    <w:rsid w:val="00FD5949"/>
    <w:rsid w:val="00FD5FDB"/>
    <w:rsid w:val="00FE1F44"/>
    <w:rsid w:val="00FE44CA"/>
    <w:rsid w:val="00FE561E"/>
    <w:rsid w:val="00FE737F"/>
    <w:rsid w:val="00FF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73A6"/>
  <w15:docId w15:val="{B9795725-0A7A-4747-A27C-C8915BBC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AF"/>
    <w:pPr>
      <w:spacing w:after="160" w:line="360" w:lineRule="auto"/>
    </w:pPr>
    <w:rPr>
      <w:rFonts w:ascii="Arial" w:hAnsi="Arial" w:cs="Arial"/>
      <w:kern w:val="2"/>
      <w14:ligatures w14:val="standardContextual"/>
    </w:rPr>
  </w:style>
  <w:style w:type="paragraph" w:styleId="Heading1">
    <w:name w:val="heading 1"/>
    <w:basedOn w:val="Normal"/>
    <w:next w:val="Normal"/>
    <w:link w:val="Heading1Char"/>
    <w:uiPriority w:val="9"/>
    <w:qFormat/>
    <w:rsid w:val="00101F56"/>
    <w:pPr>
      <w:keepNext/>
      <w:spacing w:before="480" w:after="120"/>
      <w:jc w:val="both"/>
      <w:outlineLvl w:val="0"/>
    </w:pPr>
    <w:rPr>
      <w:rFonts w:eastAsiaTheme="minorEastAsia"/>
      <w:b/>
      <w:bCs/>
      <w:smallCaps/>
      <w:kern w:val="0"/>
      <w:sz w:val="28"/>
      <w14:ligatures w14:val="none"/>
    </w:rPr>
  </w:style>
  <w:style w:type="paragraph" w:styleId="Heading2">
    <w:name w:val="heading 2"/>
    <w:basedOn w:val="Normal"/>
    <w:next w:val="Normal"/>
    <w:link w:val="Heading2Char"/>
    <w:uiPriority w:val="9"/>
    <w:unhideWhenUsed/>
    <w:qFormat/>
    <w:rsid w:val="00046755"/>
    <w:pPr>
      <w:keepNext/>
      <w:keepLines/>
      <w:spacing w:before="12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D5949"/>
    <w:pPr>
      <w:keepNext/>
      <w:spacing w:before="240" w:after="0" w:line="240" w:lineRule="auto"/>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rcss-1q0x1qg-paragraph">
    <w:name w:val="ssrcss-1q0x1qg-paragraph"/>
    <w:basedOn w:val="Normal"/>
    <w:rsid w:val="00EB3273"/>
    <w:pPr>
      <w:spacing w:before="100" w:beforeAutospacing="1" w:after="100" w:afterAutospacing="1"/>
    </w:pPr>
    <w:rPr>
      <w:rFonts w:ascii="Times New Roman" w:eastAsia="Times New Roman" w:hAnsi="Times New Roman" w:cs="Times New Roman"/>
    </w:rPr>
  </w:style>
  <w:style w:type="paragraph" w:customStyle="1" w:styleId="dcr-n6w1lc">
    <w:name w:val="dcr-n6w1lc"/>
    <w:basedOn w:val="Normal"/>
    <w:rsid w:val="00084F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84FE4"/>
    <w:rPr>
      <w:color w:val="0000FF"/>
      <w:u w:val="single"/>
    </w:rPr>
  </w:style>
  <w:style w:type="character" w:styleId="Strong">
    <w:name w:val="Strong"/>
    <w:basedOn w:val="DefaultParagraphFont"/>
    <w:uiPriority w:val="22"/>
    <w:qFormat/>
    <w:rsid w:val="00EB6D75"/>
    <w:rPr>
      <w:b/>
      <w:bCs/>
    </w:rPr>
  </w:style>
  <w:style w:type="character" w:styleId="CommentReference">
    <w:name w:val="annotation reference"/>
    <w:basedOn w:val="DefaultParagraphFont"/>
    <w:uiPriority w:val="99"/>
    <w:semiHidden/>
    <w:unhideWhenUsed/>
    <w:rsid w:val="00EB6D75"/>
    <w:rPr>
      <w:sz w:val="16"/>
      <w:szCs w:val="16"/>
    </w:rPr>
  </w:style>
  <w:style w:type="paragraph" w:styleId="CommentText">
    <w:name w:val="annotation text"/>
    <w:basedOn w:val="Normal"/>
    <w:link w:val="CommentTextChar"/>
    <w:uiPriority w:val="99"/>
    <w:unhideWhenUsed/>
    <w:rsid w:val="00EB6D75"/>
    <w:rPr>
      <w:sz w:val="20"/>
      <w:szCs w:val="20"/>
    </w:rPr>
  </w:style>
  <w:style w:type="character" w:customStyle="1" w:styleId="CommentTextChar">
    <w:name w:val="Comment Text Char"/>
    <w:basedOn w:val="DefaultParagraphFont"/>
    <w:link w:val="CommentText"/>
    <w:uiPriority w:val="99"/>
    <w:rsid w:val="00EB6D75"/>
    <w:rPr>
      <w:sz w:val="20"/>
      <w:szCs w:val="20"/>
    </w:rPr>
  </w:style>
  <w:style w:type="paragraph" w:styleId="CommentSubject">
    <w:name w:val="annotation subject"/>
    <w:basedOn w:val="CommentText"/>
    <w:next w:val="CommentText"/>
    <w:link w:val="CommentSubjectChar"/>
    <w:uiPriority w:val="99"/>
    <w:semiHidden/>
    <w:unhideWhenUsed/>
    <w:rsid w:val="00EB6D75"/>
    <w:rPr>
      <w:b/>
      <w:bCs/>
    </w:rPr>
  </w:style>
  <w:style w:type="character" w:customStyle="1" w:styleId="CommentSubjectChar">
    <w:name w:val="Comment Subject Char"/>
    <w:basedOn w:val="CommentTextChar"/>
    <w:link w:val="CommentSubject"/>
    <w:uiPriority w:val="99"/>
    <w:semiHidden/>
    <w:rsid w:val="00EB6D75"/>
    <w:rPr>
      <w:b/>
      <w:bCs/>
      <w:sz w:val="20"/>
      <w:szCs w:val="20"/>
    </w:rPr>
  </w:style>
  <w:style w:type="paragraph" w:styleId="BalloonText">
    <w:name w:val="Balloon Text"/>
    <w:basedOn w:val="Normal"/>
    <w:link w:val="BalloonTextChar"/>
    <w:uiPriority w:val="99"/>
    <w:semiHidden/>
    <w:unhideWhenUsed/>
    <w:rsid w:val="00EB6D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6D7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702D3"/>
    <w:rPr>
      <w:color w:val="605E5C"/>
      <w:shd w:val="clear" w:color="auto" w:fill="E1DFDD"/>
    </w:rPr>
  </w:style>
  <w:style w:type="character" w:styleId="FollowedHyperlink">
    <w:name w:val="FollowedHyperlink"/>
    <w:basedOn w:val="DefaultParagraphFont"/>
    <w:uiPriority w:val="99"/>
    <w:semiHidden/>
    <w:unhideWhenUsed/>
    <w:rsid w:val="00471FFC"/>
    <w:rPr>
      <w:color w:val="954F72" w:themeColor="followedHyperlink"/>
      <w:u w:val="single"/>
    </w:rPr>
  </w:style>
  <w:style w:type="paragraph" w:styleId="NoSpacing">
    <w:name w:val="No Spacing"/>
    <w:uiPriority w:val="1"/>
    <w:qFormat/>
    <w:rsid w:val="00F040B3"/>
    <w:rPr>
      <w:rFonts w:ascii="Calibri" w:eastAsia="Times New Roman" w:hAnsi="Calibri" w:cs="Times New Roman"/>
      <w:sz w:val="22"/>
      <w:szCs w:val="22"/>
    </w:rPr>
  </w:style>
  <w:style w:type="character" w:styleId="Emphasis">
    <w:name w:val="Emphasis"/>
    <w:basedOn w:val="DefaultParagraphFont"/>
    <w:uiPriority w:val="20"/>
    <w:qFormat/>
    <w:rsid w:val="00F040B3"/>
    <w:rPr>
      <w:i/>
      <w:iCs/>
    </w:rPr>
  </w:style>
  <w:style w:type="character" w:styleId="LineNumber">
    <w:name w:val="line number"/>
    <w:basedOn w:val="DefaultParagraphFont"/>
    <w:uiPriority w:val="99"/>
    <w:semiHidden/>
    <w:unhideWhenUsed/>
    <w:rsid w:val="000E0B15"/>
  </w:style>
  <w:style w:type="paragraph" w:styleId="Revision">
    <w:name w:val="Revision"/>
    <w:hidden/>
    <w:uiPriority w:val="99"/>
    <w:semiHidden/>
    <w:rsid w:val="00F641E1"/>
  </w:style>
  <w:style w:type="table" w:styleId="GridTable5Dark-Accent5">
    <w:name w:val="Grid Table 5 Dark Accent 5"/>
    <w:basedOn w:val="TableNormal"/>
    <w:uiPriority w:val="50"/>
    <w:rsid w:val="00A37C9B"/>
    <w:rPr>
      <w:kern w:val="2"/>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Paragraph">
    <w:name w:val="List Paragraph"/>
    <w:basedOn w:val="Normal"/>
    <w:uiPriority w:val="34"/>
    <w:qFormat/>
    <w:rsid w:val="007E6052"/>
    <w:pPr>
      <w:ind w:left="720"/>
      <w:contextualSpacing/>
    </w:pPr>
  </w:style>
  <w:style w:type="paragraph" w:styleId="NormalWeb">
    <w:name w:val="Normal (Web)"/>
    <w:basedOn w:val="Normal"/>
    <w:uiPriority w:val="99"/>
    <w:unhideWhenUsed/>
    <w:rsid w:val="00E56D2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GridTable5Dark-Accent1">
    <w:name w:val="Grid Table 5 Dark Accent 1"/>
    <w:basedOn w:val="TableNormal"/>
    <w:uiPriority w:val="50"/>
    <w:rsid w:val="00E56D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E56D2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7E3F2B"/>
    <w:pPr>
      <w:numPr>
        <w:ilvl w:val="1"/>
      </w:numPr>
      <w:spacing w:before="120" w:after="120"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3F2B"/>
    <w:rPr>
      <w:rFonts w:eastAsiaTheme="minorEastAsia"/>
      <w:color w:val="5A5A5A" w:themeColor="text1" w:themeTint="A5"/>
      <w:spacing w:val="15"/>
      <w:kern w:val="2"/>
      <w:sz w:val="22"/>
      <w:szCs w:val="22"/>
      <w14:ligatures w14:val="standardContextual"/>
    </w:rPr>
  </w:style>
  <w:style w:type="character" w:customStyle="1" w:styleId="Heading1Char">
    <w:name w:val="Heading 1 Char"/>
    <w:basedOn w:val="DefaultParagraphFont"/>
    <w:link w:val="Heading1"/>
    <w:uiPriority w:val="9"/>
    <w:rsid w:val="00101F56"/>
    <w:rPr>
      <w:rFonts w:ascii="Arial" w:eastAsiaTheme="minorEastAsia" w:hAnsi="Arial" w:cs="Arial"/>
      <w:b/>
      <w:bCs/>
      <w:smallCaps/>
      <w:sz w:val="28"/>
    </w:rPr>
  </w:style>
  <w:style w:type="character" w:customStyle="1" w:styleId="Heading2Char">
    <w:name w:val="Heading 2 Char"/>
    <w:basedOn w:val="DefaultParagraphFont"/>
    <w:link w:val="Heading2"/>
    <w:uiPriority w:val="9"/>
    <w:rsid w:val="00046755"/>
    <w:rPr>
      <w:rFonts w:ascii="Arial" w:eastAsiaTheme="majorEastAsia" w:hAnsi="Arial" w:cstheme="majorBidi"/>
      <w:b/>
      <w:color w:val="000000" w:themeColor="text1"/>
      <w:kern w:val="2"/>
      <w:sz w:val="26"/>
      <w:szCs w:val="26"/>
      <w14:ligatures w14:val="standardContextual"/>
    </w:rPr>
  </w:style>
  <w:style w:type="character" w:customStyle="1" w:styleId="Heading3Char">
    <w:name w:val="Heading 3 Char"/>
    <w:basedOn w:val="DefaultParagraphFont"/>
    <w:link w:val="Heading3"/>
    <w:uiPriority w:val="9"/>
    <w:rsid w:val="00FD5949"/>
    <w:rPr>
      <w:rFonts w:asciiTheme="majorHAnsi" w:eastAsiaTheme="majorEastAsia" w:hAnsiTheme="majorHAnsi" w:cstheme="majorBidi"/>
      <w:b/>
      <w:kern w:val="2"/>
      <w14:ligatures w14:val="standardContextual"/>
    </w:rPr>
  </w:style>
  <w:style w:type="paragraph" w:customStyle="1" w:styleId="pf0">
    <w:name w:val="pf0"/>
    <w:basedOn w:val="Normal"/>
    <w:rsid w:val="007A0A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7A0ADC"/>
    <w:rPr>
      <w:rFonts w:ascii="Segoe UI" w:hAnsi="Segoe UI" w:cs="Segoe UI" w:hint="default"/>
      <w:sz w:val="18"/>
      <w:szCs w:val="18"/>
    </w:rPr>
  </w:style>
  <w:style w:type="paragraph" w:styleId="Header">
    <w:name w:val="header"/>
    <w:basedOn w:val="Normal"/>
    <w:link w:val="HeaderChar"/>
    <w:uiPriority w:val="99"/>
    <w:unhideWhenUsed/>
    <w:rsid w:val="004C3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BBF"/>
    <w:rPr>
      <w:rFonts w:ascii="Arial" w:hAnsi="Arial" w:cs="Arial"/>
      <w:kern w:val="2"/>
      <w14:ligatures w14:val="standardContextual"/>
    </w:rPr>
  </w:style>
  <w:style w:type="paragraph" w:styleId="Footer">
    <w:name w:val="footer"/>
    <w:basedOn w:val="Normal"/>
    <w:link w:val="FooterChar"/>
    <w:uiPriority w:val="99"/>
    <w:unhideWhenUsed/>
    <w:rsid w:val="004C3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BBF"/>
    <w:rPr>
      <w:rFonts w:ascii="Arial" w:hAnsi="Arial" w:cs="Arial"/>
      <w:kern w:val="2"/>
      <w14:ligatures w14:val="standardContextual"/>
    </w:rPr>
  </w:style>
  <w:style w:type="character" w:customStyle="1" w:styleId="cf11">
    <w:name w:val="cf11"/>
    <w:basedOn w:val="DefaultParagraphFont"/>
    <w:rsid w:val="00E862A3"/>
    <w:rPr>
      <w:rFonts w:ascii="Segoe UI" w:hAnsi="Segoe UI" w:cs="Segoe UI" w:hint="default"/>
      <w:i/>
      <w:iCs/>
      <w:sz w:val="18"/>
      <w:szCs w:val="18"/>
    </w:rPr>
  </w:style>
  <w:style w:type="character" w:customStyle="1" w:styleId="cf21">
    <w:name w:val="cf21"/>
    <w:basedOn w:val="DefaultParagraphFont"/>
    <w:rsid w:val="00E862A3"/>
    <w:rPr>
      <w:rFonts w:ascii="Segoe UI" w:hAnsi="Segoe UI" w:cs="Segoe UI" w:hint="default"/>
      <w:color w:val="222222"/>
      <w:sz w:val="18"/>
      <w:szCs w:val="18"/>
      <w:shd w:val="clear" w:color="auto" w:fill="FFFFFF"/>
    </w:rPr>
  </w:style>
  <w:style w:type="character" w:customStyle="1" w:styleId="cf31">
    <w:name w:val="cf31"/>
    <w:basedOn w:val="DefaultParagraphFont"/>
    <w:rsid w:val="00E862A3"/>
    <w:rPr>
      <w:rFonts w:ascii="Segoe UI" w:hAnsi="Segoe UI" w:cs="Segoe UI" w:hint="default"/>
      <w:b/>
      <w:bCs/>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59651">
      <w:bodyDiv w:val="1"/>
      <w:marLeft w:val="0"/>
      <w:marRight w:val="0"/>
      <w:marTop w:val="0"/>
      <w:marBottom w:val="0"/>
      <w:divBdr>
        <w:top w:val="none" w:sz="0" w:space="0" w:color="auto"/>
        <w:left w:val="none" w:sz="0" w:space="0" w:color="auto"/>
        <w:bottom w:val="none" w:sz="0" w:space="0" w:color="auto"/>
        <w:right w:val="none" w:sz="0" w:space="0" w:color="auto"/>
      </w:divBdr>
    </w:div>
    <w:div w:id="416361715">
      <w:bodyDiv w:val="1"/>
      <w:marLeft w:val="0"/>
      <w:marRight w:val="0"/>
      <w:marTop w:val="0"/>
      <w:marBottom w:val="0"/>
      <w:divBdr>
        <w:top w:val="none" w:sz="0" w:space="0" w:color="auto"/>
        <w:left w:val="none" w:sz="0" w:space="0" w:color="auto"/>
        <w:bottom w:val="none" w:sz="0" w:space="0" w:color="auto"/>
        <w:right w:val="none" w:sz="0" w:space="0" w:color="auto"/>
      </w:divBdr>
      <w:divsChild>
        <w:div w:id="67651023">
          <w:marLeft w:val="446"/>
          <w:marRight w:val="0"/>
          <w:marTop w:val="0"/>
          <w:marBottom w:val="0"/>
          <w:divBdr>
            <w:top w:val="none" w:sz="0" w:space="0" w:color="auto"/>
            <w:left w:val="none" w:sz="0" w:space="0" w:color="auto"/>
            <w:bottom w:val="none" w:sz="0" w:space="0" w:color="auto"/>
            <w:right w:val="none" w:sz="0" w:space="0" w:color="auto"/>
          </w:divBdr>
        </w:div>
        <w:div w:id="162480829">
          <w:marLeft w:val="446"/>
          <w:marRight w:val="0"/>
          <w:marTop w:val="0"/>
          <w:marBottom w:val="0"/>
          <w:divBdr>
            <w:top w:val="none" w:sz="0" w:space="0" w:color="auto"/>
            <w:left w:val="none" w:sz="0" w:space="0" w:color="auto"/>
            <w:bottom w:val="none" w:sz="0" w:space="0" w:color="auto"/>
            <w:right w:val="none" w:sz="0" w:space="0" w:color="auto"/>
          </w:divBdr>
        </w:div>
        <w:div w:id="536160176">
          <w:marLeft w:val="1166"/>
          <w:marRight w:val="0"/>
          <w:marTop w:val="0"/>
          <w:marBottom w:val="0"/>
          <w:divBdr>
            <w:top w:val="none" w:sz="0" w:space="0" w:color="auto"/>
            <w:left w:val="none" w:sz="0" w:space="0" w:color="auto"/>
            <w:bottom w:val="none" w:sz="0" w:space="0" w:color="auto"/>
            <w:right w:val="none" w:sz="0" w:space="0" w:color="auto"/>
          </w:divBdr>
        </w:div>
        <w:div w:id="723987077">
          <w:marLeft w:val="1166"/>
          <w:marRight w:val="0"/>
          <w:marTop w:val="0"/>
          <w:marBottom w:val="0"/>
          <w:divBdr>
            <w:top w:val="none" w:sz="0" w:space="0" w:color="auto"/>
            <w:left w:val="none" w:sz="0" w:space="0" w:color="auto"/>
            <w:bottom w:val="none" w:sz="0" w:space="0" w:color="auto"/>
            <w:right w:val="none" w:sz="0" w:space="0" w:color="auto"/>
          </w:divBdr>
        </w:div>
        <w:div w:id="846404740">
          <w:marLeft w:val="446"/>
          <w:marRight w:val="0"/>
          <w:marTop w:val="0"/>
          <w:marBottom w:val="0"/>
          <w:divBdr>
            <w:top w:val="none" w:sz="0" w:space="0" w:color="auto"/>
            <w:left w:val="none" w:sz="0" w:space="0" w:color="auto"/>
            <w:bottom w:val="none" w:sz="0" w:space="0" w:color="auto"/>
            <w:right w:val="none" w:sz="0" w:space="0" w:color="auto"/>
          </w:divBdr>
        </w:div>
        <w:div w:id="1080181364">
          <w:marLeft w:val="446"/>
          <w:marRight w:val="0"/>
          <w:marTop w:val="0"/>
          <w:marBottom w:val="0"/>
          <w:divBdr>
            <w:top w:val="none" w:sz="0" w:space="0" w:color="auto"/>
            <w:left w:val="none" w:sz="0" w:space="0" w:color="auto"/>
            <w:bottom w:val="none" w:sz="0" w:space="0" w:color="auto"/>
            <w:right w:val="none" w:sz="0" w:space="0" w:color="auto"/>
          </w:divBdr>
        </w:div>
        <w:div w:id="1280844443">
          <w:marLeft w:val="1166"/>
          <w:marRight w:val="0"/>
          <w:marTop w:val="0"/>
          <w:marBottom w:val="0"/>
          <w:divBdr>
            <w:top w:val="none" w:sz="0" w:space="0" w:color="auto"/>
            <w:left w:val="none" w:sz="0" w:space="0" w:color="auto"/>
            <w:bottom w:val="none" w:sz="0" w:space="0" w:color="auto"/>
            <w:right w:val="none" w:sz="0" w:space="0" w:color="auto"/>
          </w:divBdr>
        </w:div>
        <w:div w:id="1398742227">
          <w:marLeft w:val="1166"/>
          <w:marRight w:val="0"/>
          <w:marTop w:val="0"/>
          <w:marBottom w:val="0"/>
          <w:divBdr>
            <w:top w:val="none" w:sz="0" w:space="0" w:color="auto"/>
            <w:left w:val="none" w:sz="0" w:space="0" w:color="auto"/>
            <w:bottom w:val="none" w:sz="0" w:space="0" w:color="auto"/>
            <w:right w:val="none" w:sz="0" w:space="0" w:color="auto"/>
          </w:divBdr>
        </w:div>
        <w:div w:id="1818917291">
          <w:marLeft w:val="1166"/>
          <w:marRight w:val="0"/>
          <w:marTop w:val="0"/>
          <w:marBottom w:val="0"/>
          <w:divBdr>
            <w:top w:val="none" w:sz="0" w:space="0" w:color="auto"/>
            <w:left w:val="none" w:sz="0" w:space="0" w:color="auto"/>
            <w:bottom w:val="none" w:sz="0" w:space="0" w:color="auto"/>
            <w:right w:val="none" w:sz="0" w:space="0" w:color="auto"/>
          </w:divBdr>
        </w:div>
      </w:divsChild>
    </w:div>
    <w:div w:id="419378196">
      <w:bodyDiv w:val="1"/>
      <w:marLeft w:val="0"/>
      <w:marRight w:val="0"/>
      <w:marTop w:val="0"/>
      <w:marBottom w:val="0"/>
      <w:divBdr>
        <w:top w:val="none" w:sz="0" w:space="0" w:color="auto"/>
        <w:left w:val="none" w:sz="0" w:space="0" w:color="auto"/>
        <w:bottom w:val="none" w:sz="0" w:space="0" w:color="auto"/>
        <w:right w:val="none" w:sz="0" w:space="0" w:color="auto"/>
      </w:divBdr>
    </w:div>
    <w:div w:id="517963069">
      <w:bodyDiv w:val="1"/>
      <w:marLeft w:val="0"/>
      <w:marRight w:val="0"/>
      <w:marTop w:val="0"/>
      <w:marBottom w:val="0"/>
      <w:divBdr>
        <w:top w:val="none" w:sz="0" w:space="0" w:color="auto"/>
        <w:left w:val="none" w:sz="0" w:space="0" w:color="auto"/>
        <w:bottom w:val="none" w:sz="0" w:space="0" w:color="auto"/>
        <w:right w:val="none" w:sz="0" w:space="0" w:color="auto"/>
      </w:divBdr>
    </w:div>
    <w:div w:id="551188209">
      <w:bodyDiv w:val="1"/>
      <w:marLeft w:val="0"/>
      <w:marRight w:val="0"/>
      <w:marTop w:val="0"/>
      <w:marBottom w:val="0"/>
      <w:divBdr>
        <w:top w:val="none" w:sz="0" w:space="0" w:color="auto"/>
        <w:left w:val="none" w:sz="0" w:space="0" w:color="auto"/>
        <w:bottom w:val="none" w:sz="0" w:space="0" w:color="auto"/>
        <w:right w:val="none" w:sz="0" w:space="0" w:color="auto"/>
      </w:divBdr>
    </w:div>
    <w:div w:id="590359489">
      <w:bodyDiv w:val="1"/>
      <w:marLeft w:val="0"/>
      <w:marRight w:val="0"/>
      <w:marTop w:val="0"/>
      <w:marBottom w:val="0"/>
      <w:divBdr>
        <w:top w:val="none" w:sz="0" w:space="0" w:color="auto"/>
        <w:left w:val="none" w:sz="0" w:space="0" w:color="auto"/>
        <w:bottom w:val="none" w:sz="0" w:space="0" w:color="auto"/>
        <w:right w:val="none" w:sz="0" w:space="0" w:color="auto"/>
      </w:divBdr>
      <w:divsChild>
        <w:div w:id="812871108">
          <w:marLeft w:val="360"/>
          <w:marRight w:val="0"/>
          <w:marTop w:val="200"/>
          <w:marBottom w:val="0"/>
          <w:divBdr>
            <w:top w:val="none" w:sz="0" w:space="0" w:color="auto"/>
            <w:left w:val="none" w:sz="0" w:space="0" w:color="auto"/>
            <w:bottom w:val="none" w:sz="0" w:space="0" w:color="auto"/>
            <w:right w:val="none" w:sz="0" w:space="0" w:color="auto"/>
          </w:divBdr>
        </w:div>
      </w:divsChild>
    </w:div>
    <w:div w:id="663242614">
      <w:bodyDiv w:val="1"/>
      <w:marLeft w:val="0"/>
      <w:marRight w:val="0"/>
      <w:marTop w:val="0"/>
      <w:marBottom w:val="0"/>
      <w:divBdr>
        <w:top w:val="none" w:sz="0" w:space="0" w:color="auto"/>
        <w:left w:val="none" w:sz="0" w:space="0" w:color="auto"/>
        <w:bottom w:val="none" w:sz="0" w:space="0" w:color="auto"/>
        <w:right w:val="none" w:sz="0" w:space="0" w:color="auto"/>
      </w:divBdr>
    </w:div>
    <w:div w:id="776027283">
      <w:bodyDiv w:val="1"/>
      <w:marLeft w:val="0"/>
      <w:marRight w:val="0"/>
      <w:marTop w:val="0"/>
      <w:marBottom w:val="0"/>
      <w:divBdr>
        <w:top w:val="none" w:sz="0" w:space="0" w:color="auto"/>
        <w:left w:val="none" w:sz="0" w:space="0" w:color="auto"/>
        <w:bottom w:val="none" w:sz="0" w:space="0" w:color="auto"/>
        <w:right w:val="none" w:sz="0" w:space="0" w:color="auto"/>
      </w:divBdr>
    </w:div>
    <w:div w:id="780951280">
      <w:bodyDiv w:val="1"/>
      <w:marLeft w:val="0"/>
      <w:marRight w:val="0"/>
      <w:marTop w:val="0"/>
      <w:marBottom w:val="0"/>
      <w:divBdr>
        <w:top w:val="none" w:sz="0" w:space="0" w:color="auto"/>
        <w:left w:val="none" w:sz="0" w:space="0" w:color="auto"/>
        <w:bottom w:val="none" w:sz="0" w:space="0" w:color="auto"/>
        <w:right w:val="none" w:sz="0" w:space="0" w:color="auto"/>
      </w:divBdr>
    </w:div>
    <w:div w:id="923148958">
      <w:bodyDiv w:val="1"/>
      <w:marLeft w:val="0"/>
      <w:marRight w:val="0"/>
      <w:marTop w:val="0"/>
      <w:marBottom w:val="0"/>
      <w:divBdr>
        <w:top w:val="none" w:sz="0" w:space="0" w:color="auto"/>
        <w:left w:val="none" w:sz="0" w:space="0" w:color="auto"/>
        <w:bottom w:val="none" w:sz="0" w:space="0" w:color="auto"/>
        <w:right w:val="none" w:sz="0" w:space="0" w:color="auto"/>
      </w:divBdr>
    </w:div>
    <w:div w:id="926304706">
      <w:bodyDiv w:val="1"/>
      <w:marLeft w:val="0"/>
      <w:marRight w:val="0"/>
      <w:marTop w:val="0"/>
      <w:marBottom w:val="0"/>
      <w:divBdr>
        <w:top w:val="none" w:sz="0" w:space="0" w:color="auto"/>
        <w:left w:val="none" w:sz="0" w:space="0" w:color="auto"/>
        <w:bottom w:val="none" w:sz="0" w:space="0" w:color="auto"/>
        <w:right w:val="none" w:sz="0" w:space="0" w:color="auto"/>
      </w:divBdr>
    </w:div>
    <w:div w:id="932511980">
      <w:bodyDiv w:val="1"/>
      <w:marLeft w:val="0"/>
      <w:marRight w:val="0"/>
      <w:marTop w:val="0"/>
      <w:marBottom w:val="0"/>
      <w:divBdr>
        <w:top w:val="none" w:sz="0" w:space="0" w:color="auto"/>
        <w:left w:val="none" w:sz="0" w:space="0" w:color="auto"/>
        <w:bottom w:val="none" w:sz="0" w:space="0" w:color="auto"/>
        <w:right w:val="none" w:sz="0" w:space="0" w:color="auto"/>
      </w:divBdr>
    </w:div>
    <w:div w:id="966353387">
      <w:bodyDiv w:val="1"/>
      <w:marLeft w:val="0"/>
      <w:marRight w:val="0"/>
      <w:marTop w:val="0"/>
      <w:marBottom w:val="0"/>
      <w:divBdr>
        <w:top w:val="none" w:sz="0" w:space="0" w:color="auto"/>
        <w:left w:val="none" w:sz="0" w:space="0" w:color="auto"/>
        <w:bottom w:val="none" w:sz="0" w:space="0" w:color="auto"/>
        <w:right w:val="none" w:sz="0" w:space="0" w:color="auto"/>
      </w:divBdr>
    </w:div>
    <w:div w:id="1033381206">
      <w:bodyDiv w:val="1"/>
      <w:marLeft w:val="0"/>
      <w:marRight w:val="0"/>
      <w:marTop w:val="0"/>
      <w:marBottom w:val="0"/>
      <w:divBdr>
        <w:top w:val="none" w:sz="0" w:space="0" w:color="auto"/>
        <w:left w:val="none" w:sz="0" w:space="0" w:color="auto"/>
        <w:bottom w:val="none" w:sz="0" w:space="0" w:color="auto"/>
        <w:right w:val="none" w:sz="0" w:space="0" w:color="auto"/>
      </w:divBdr>
    </w:div>
    <w:div w:id="1043552448">
      <w:bodyDiv w:val="1"/>
      <w:marLeft w:val="0"/>
      <w:marRight w:val="0"/>
      <w:marTop w:val="0"/>
      <w:marBottom w:val="0"/>
      <w:divBdr>
        <w:top w:val="none" w:sz="0" w:space="0" w:color="auto"/>
        <w:left w:val="none" w:sz="0" w:space="0" w:color="auto"/>
        <w:bottom w:val="none" w:sz="0" w:space="0" w:color="auto"/>
        <w:right w:val="none" w:sz="0" w:space="0" w:color="auto"/>
      </w:divBdr>
    </w:div>
    <w:div w:id="1050299811">
      <w:bodyDiv w:val="1"/>
      <w:marLeft w:val="0"/>
      <w:marRight w:val="0"/>
      <w:marTop w:val="0"/>
      <w:marBottom w:val="0"/>
      <w:divBdr>
        <w:top w:val="none" w:sz="0" w:space="0" w:color="auto"/>
        <w:left w:val="none" w:sz="0" w:space="0" w:color="auto"/>
        <w:bottom w:val="none" w:sz="0" w:space="0" w:color="auto"/>
        <w:right w:val="none" w:sz="0" w:space="0" w:color="auto"/>
      </w:divBdr>
    </w:div>
    <w:div w:id="1270773336">
      <w:bodyDiv w:val="1"/>
      <w:marLeft w:val="0"/>
      <w:marRight w:val="0"/>
      <w:marTop w:val="0"/>
      <w:marBottom w:val="0"/>
      <w:divBdr>
        <w:top w:val="none" w:sz="0" w:space="0" w:color="auto"/>
        <w:left w:val="none" w:sz="0" w:space="0" w:color="auto"/>
        <w:bottom w:val="none" w:sz="0" w:space="0" w:color="auto"/>
        <w:right w:val="none" w:sz="0" w:space="0" w:color="auto"/>
      </w:divBdr>
      <w:divsChild>
        <w:div w:id="283848411">
          <w:marLeft w:val="1800"/>
          <w:marRight w:val="0"/>
          <w:marTop w:val="100"/>
          <w:marBottom w:val="0"/>
          <w:divBdr>
            <w:top w:val="none" w:sz="0" w:space="0" w:color="auto"/>
            <w:left w:val="none" w:sz="0" w:space="0" w:color="auto"/>
            <w:bottom w:val="none" w:sz="0" w:space="0" w:color="auto"/>
            <w:right w:val="none" w:sz="0" w:space="0" w:color="auto"/>
          </w:divBdr>
        </w:div>
        <w:div w:id="478497246">
          <w:marLeft w:val="1800"/>
          <w:marRight w:val="0"/>
          <w:marTop w:val="100"/>
          <w:marBottom w:val="0"/>
          <w:divBdr>
            <w:top w:val="none" w:sz="0" w:space="0" w:color="auto"/>
            <w:left w:val="none" w:sz="0" w:space="0" w:color="auto"/>
            <w:bottom w:val="none" w:sz="0" w:space="0" w:color="auto"/>
            <w:right w:val="none" w:sz="0" w:space="0" w:color="auto"/>
          </w:divBdr>
        </w:div>
        <w:div w:id="891575994">
          <w:marLeft w:val="1080"/>
          <w:marRight w:val="0"/>
          <w:marTop w:val="100"/>
          <w:marBottom w:val="0"/>
          <w:divBdr>
            <w:top w:val="none" w:sz="0" w:space="0" w:color="auto"/>
            <w:left w:val="none" w:sz="0" w:space="0" w:color="auto"/>
            <w:bottom w:val="none" w:sz="0" w:space="0" w:color="auto"/>
            <w:right w:val="none" w:sz="0" w:space="0" w:color="auto"/>
          </w:divBdr>
        </w:div>
        <w:div w:id="1074400664">
          <w:marLeft w:val="1080"/>
          <w:marRight w:val="0"/>
          <w:marTop w:val="100"/>
          <w:marBottom w:val="0"/>
          <w:divBdr>
            <w:top w:val="none" w:sz="0" w:space="0" w:color="auto"/>
            <w:left w:val="none" w:sz="0" w:space="0" w:color="auto"/>
            <w:bottom w:val="none" w:sz="0" w:space="0" w:color="auto"/>
            <w:right w:val="none" w:sz="0" w:space="0" w:color="auto"/>
          </w:divBdr>
        </w:div>
        <w:div w:id="1227182034">
          <w:marLeft w:val="1800"/>
          <w:marRight w:val="0"/>
          <w:marTop w:val="100"/>
          <w:marBottom w:val="0"/>
          <w:divBdr>
            <w:top w:val="none" w:sz="0" w:space="0" w:color="auto"/>
            <w:left w:val="none" w:sz="0" w:space="0" w:color="auto"/>
            <w:bottom w:val="none" w:sz="0" w:space="0" w:color="auto"/>
            <w:right w:val="none" w:sz="0" w:space="0" w:color="auto"/>
          </w:divBdr>
        </w:div>
        <w:div w:id="1752390707">
          <w:marLeft w:val="1080"/>
          <w:marRight w:val="0"/>
          <w:marTop w:val="100"/>
          <w:marBottom w:val="0"/>
          <w:divBdr>
            <w:top w:val="none" w:sz="0" w:space="0" w:color="auto"/>
            <w:left w:val="none" w:sz="0" w:space="0" w:color="auto"/>
            <w:bottom w:val="none" w:sz="0" w:space="0" w:color="auto"/>
            <w:right w:val="none" w:sz="0" w:space="0" w:color="auto"/>
          </w:divBdr>
        </w:div>
        <w:div w:id="1865047598">
          <w:marLeft w:val="1800"/>
          <w:marRight w:val="0"/>
          <w:marTop w:val="100"/>
          <w:marBottom w:val="0"/>
          <w:divBdr>
            <w:top w:val="none" w:sz="0" w:space="0" w:color="auto"/>
            <w:left w:val="none" w:sz="0" w:space="0" w:color="auto"/>
            <w:bottom w:val="none" w:sz="0" w:space="0" w:color="auto"/>
            <w:right w:val="none" w:sz="0" w:space="0" w:color="auto"/>
          </w:divBdr>
        </w:div>
      </w:divsChild>
    </w:div>
    <w:div w:id="1302230572">
      <w:bodyDiv w:val="1"/>
      <w:marLeft w:val="0"/>
      <w:marRight w:val="0"/>
      <w:marTop w:val="0"/>
      <w:marBottom w:val="0"/>
      <w:divBdr>
        <w:top w:val="none" w:sz="0" w:space="0" w:color="auto"/>
        <w:left w:val="none" w:sz="0" w:space="0" w:color="auto"/>
        <w:bottom w:val="none" w:sz="0" w:space="0" w:color="auto"/>
        <w:right w:val="none" w:sz="0" w:space="0" w:color="auto"/>
      </w:divBdr>
    </w:div>
    <w:div w:id="1340737602">
      <w:bodyDiv w:val="1"/>
      <w:marLeft w:val="0"/>
      <w:marRight w:val="0"/>
      <w:marTop w:val="0"/>
      <w:marBottom w:val="0"/>
      <w:divBdr>
        <w:top w:val="none" w:sz="0" w:space="0" w:color="auto"/>
        <w:left w:val="none" w:sz="0" w:space="0" w:color="auto"/>
        <w:bottom w:val="none" w:sz="0" w:space="0" w:color="auto"/>
        <w:right w:val="none" w:sz="0" w:space="0" w:color="auto"/>
      </w:divBdr>
    </w:div>
    <w:div w:id="1586300918">
      <w:bodyDiv w:val="1"/>
      <w:marLeft w:val="0"/>
      <w:marRight w:val="0"/>
      <w:marTop w:val="0"/>
      <w:marBottom w:val="0"/>
      <w:divBdr>
        <w:top w:val="none" w:sz="0" w:space="0" w:color="auto"/>
        <w:left w:val="none" w:sz="0" w:space="0" w:color="auto"/>
        <w:bottom w:val="none" w:sz="0" w:space="0" w:color="auto"/>
        <w:right w:val="none" w:sz="0" w:space="0" w:color="auto"/>
      </w:divBdr>
    </w:div>
    <w:div w:id="1684084650">
      <w:bodyDiv w:val="1"/>
      <w:marLeft w:val="0"/>
      <w:marRight w:val="0"/>
      <w:marTop w:val="0"/>
      <w:marBottom w:val="0"/>
      <w:divBdr>
        <w:top w:val="none" w:sz="0" w:space="0" w:color="auto"/>
        <w:left w:val="none" w:sz="0" w:space="0" w:color="auto"/>
        <w:bottom w:val="none" w:sz="0" w:space="0" w:color="auto"/>
        <w:right w:val="none" w:sz="0" w:space="0" w:color="auto"/>
      </w:divBdr>
    </w:div>
    <w:div w:id="1861552778">
      <w:bodyDiv w:val="1"/>
      <w:marLeft w:val="0"/>
      <w:marRight w:val="0"/>
      <w:marTop w:val="0"/>
      <w:marBottom w:val="0"/>
      <w:divBdr>
        <w:top w:val="none" w:sz="0" w:space="0" w:color="auto"/>
        <w:left w:val="none" w:sz="0" w:space="0" w:color="auto"/>
        <w:bottom w:val="none" w:sz="0" w:space="0" w:color="auto"/>
        <w:right w:val="none" w:sz="0" w:space="0" w:color="auto"/>
      </w:divBdr>
    </w:div>
    <w:div w:id="1863931835">
      <w:bodyDiv w:val="1"/>
      <w:marLeft w:val="0"/>
      <w:marRight w:val="0"/>
      <w:marTop w:val="0"/>
      <w:marBottom w:val="0"/>
      <w:divBdr>
        <w:top w:val="none" w:sz="0" w:space="0" w:color="auto"/>
        <w:left w:val="none" w:sz="0" w:space="0" w:color="auto"/>
        <w:bottom w:val="none" w:sz="0" w:space="0" w:color="auto"/>
        <w:right w:val="none" w:sz="0" w:space="0" w:color="auto"/>
      </w:divBdr>
    </w:div>
    <w:div w:id="1909264872">
      <w:bodyDiv w:val="1"/>
      <w:marLeft w:val="0"/>
      <w:marRight w:val="0"/>
      <w:marTop w:val="0"/>
      <w:marBottom w:val="0"/>
      <w:divBdr>
        <w:top w:val="none" w:sz="0" w:space="0" w:color="auto"/>
        <w:left w:val="none" w:sz="0" w:space="0" w:color="auto"/>
        <w:bottom w:val="none" w:sz="0" w:space="0" w:color="auto"/>
        <w:right w:val="none" w:sz="0" w:space="0" w:color="auto"/>
      </w:divBdr>
    </w:div>
    <w:div w:id="1912738564">
      <w:bodyDiv w:val="1"/>
      <w:marLeft w:val="0"/>
      <w:marRight w:val="0"/>
      <w:marTop w:val="0"/>
      <w:marBottom w:val="0"/>
      <w:divBdr>
        <w:top w:val="none" w:sz="0" w:space="0" w:color="auto"/>
        <w:left w:val="none" w:sz="0" w:space="0" w:color="auto"/>
        <w:bottom w:val="none" w:sz="0" w:space="0" w:color="auto"/>
        <w:right w:val="none" w:sz="0" w:space="0" w:color="auto"/>
      </w:divBdr>
      <w:divsChild>
        <w:div w:id="693649629">
          <w:marLeft w:val="360"/>
          <w:marRight w:val="0"/>
          <w:marTop w:val="200"/>
          <w:marBottom w:val="0"/>
          <w:divBdr>
            <w:top w:val="none" w:sz="0" w:space="0" w:color="auto"/>
            <w:left w:val="none" w:sz="0" w:space="0" w:color="auto"/>
            <w:bottom w:val="none" w:sz="0" w:space="0" w:color="auto"/>
            <w:right w:val="none" w:sz="0" w:space="0" w:color="auto"/>
          </w:divBdr>
        </w:div>
      </w:divsChild>
    </w:div>
    <w:div w:id="1928616608">
      <w:bodyDiv w:val="1"/>
      <w:marLeft w:val="0"/>
      <w:marRight w:val="0"/>
      <w:marTop w:val="0"/>
      <w:marBottom w:val="0"/>
      <w:divBdr>
        <w:top w:val="none" w:sz="0" w:space="0" w:color="auto"/>
        <w:left w:val="none" w:sz="0" w:space="0" w:color="auto"/>
        <w:bottom w:val="none" w:sz="0" w:space="0" w:color="auto"/>
        <w:right w:val="none" w:sz="0" w:space="0" w:color="auto"/>
      </w:divBdr>
    </w:div>
    <w:div w:id="1956280044">
      <w:bodyDiv w:val="1"/>
      <w:marLeft w:val="0"/>
      <w:marRight w:val="0"/>
      <w:marTop w:val="0"/>
      <w:marBottom w:val="0"/>
      <w:divBdr>
        <w:top w:val="none" w:sz="0" w:space="0" w:color="auto"/>
        <w:left w:val="none" w:sz="0" w:space="0" w:color="auto"/>
        <w:bottom w:val="none" w:sz="0" w:space="0" w:color="auto"/>
        <w:right w:val="none" w:sz="0" w:space="0" w:color="auto"/>
      </w:divBdr>
      <w:divsChild>
        <w:div w:id="127095167">
          <w:marLeft w:val="446"/>
          <w:marRight w:val="0"/>
          <w:marTop w:val="0"/>
          <w:marBottom w:val="0"/>
          <w:divBdr>
            <w:top w:val="none" w:sz="0" w:space="0" w:color="auto"/>
            <w:left w:val="none" w:sz="0" w:space="0" w:color="auto"/>
            <w:bottom w:val="none" w:sz="0" w:space="0" w:color="auto"/>
            <w:right w:val="none" w:sz="0" w:space="0" w:color="auto"/>
          </w:divBdr>
        </w:div>
        <w:div w:id="272712608">
          <w:marLeft w:val="446"/>
          <w:marRight w:val="0"/>
          <w:marTop w:val="0"/>
          <w:marBottom w:val="0"/>
          <w:divBdr>
            <w:top w:val="none" w:sz="0" w:space="0" w:color="auto"/>
            <w:left w:val="none" w:sz="0" w:space="0" w:color="auto"/>
            <w:bottom w:val="none" w:sz="0" w:space="0" w:color="auto"/>
            <w:right w:val="none" w:sz="0" w:space="0" w:color="auto"/>
          </w:divBdr>
        </w:div>
        <w:div w:id="347219511">
          <w:marLeft w:val="446"/>
          <w:marRight w:val="0"/>
          <w:marTop w:val="0"/>
          <w:marBottom w:val="0"/>
          <w:divBdr>
            <w:top w:val="none" w:sz="0" w:space="0" w:color="auto"/>
            <w:left w:val="none" w:sz="0" w:space="0" w:color="auto"/>
            <w:bottom w:val="none" w:sz="0" w:space="0" w:color="auto"/>
            <w:right w:val="none" w:sz="0" w:space="0" w:color="auto"/>
          </w:divBdr>
        </w:div>
        <w:div w:id="583346444">
          <w:marLeft w:val="446"/>
          <w:marRight w:val="0"/>
          <w:marTop w:val="0"/>
          <w:marBottom w:val="0"/>
          <w:divBdr>
            <w:top w:val="none" w:sz="0" w:space="0" w:color="auto"/>
            <w:left w:val="none" w:sz="0" w:space="0" w:color="auto"/>
            <w:bottom w:val="none" w:sz="0" w:space="0" w:color="auto"/>
            <w:right w:val="none" w:sz="0" w:space="0" w:color="auto"/>
          </w:divBdr>
        </w:div>
        <w:div w:id="1034581337">
          <w:marLeft w:val="446"/>
          <w:marRight w:val="0"/>
          <w:marTop w:val="0"/>
          <w:marBottom w:val="0"/>
          <w:divBdr>
            <w:top w:val="none" w:sz="0" w:space="0" w:color="auto"/>
            <w:left w:val="none" w:sz="0" w:space="0" w:color="auto"/>
            <w:bottom w:val="none" w:sz="0" w:space="0" w:color="auto"/>
            <w:right w:val="none" w:sz="0" w:space="0" w:color="auto"/>
          </w:divBdr>
        </w:div>
        <w:div w:id="1213075053">
          <w:marLeft w:val="446"/>
          <w:marRight w:val="0"/>
          <w:marTop w:val="0"/>
          <w:marBottom w:val="0"/>
          <w:divBdr>
            <w:top w:val="none" w:sz="0" w:space="0" w:color="auto"/>
            <w:left w:val="none" w:sz="0" w:space="0" w:color="auto"/>
            <w:bottom w:val="none" w:sz="0" w:space="0" w:color="auto"/>
            <w:right w:val="none" w:sz="0" w:space="0" w:color="auto"/>
          </w:divBdr>
        </w:div>
        <w:div w:id="1289581360">
          <w:marLeft w:val="446"/>
          <w:marRight w:val="0"/>
          <w:marTop w:val="0"/>
          <w:marBottom w:val="0"/>
          <w:divBdr>
            <w:top w:val="none" w:sz="0" w:space="0" w:color="auto"/>
            <w:left w:val="none" w:sz="0" w:space="0" w:color="auto"/>
            <w:bottom w:val="none" w:sz="0" w:space="0" w:color="auto"/>
            <w:right w:val="none" w:sz="0" w:space="0" w:color="auto"/>
          </w:divBdr>
        </w:div>
        <w:div w:id="1302155203">
          <w:marLeft w:val="446"/>
          <w:marRight w:val="0"/>
          <w:marTop w:val="0"/>
          <w:marBottom w:val="0"/>
          <w:divBdr>
            <w:top w:val="none" w:sz="0" w:space="0" w:color="auto"/>
            <w:left w:val="none" w:sz="0" w:space="0" w:color="auto"/>
            <w:bottom w:val="none" w:sz="0" w:space="0" w:color="auto"/>
            <w:right w:val="none" w:sz="0" w:space="0" w:color="auto"/>
          </w:divBdr>
        </w:div>
      </w:divsChild>
    </w:div>
    <w:div w:id="2052605880">
      <w:bodyDiv w:val="1"/>
      <w:marLeft w:val="0"/>
      <w:marRight w:val="0"/>
      <w:marTop w:val="0"/>
      <w:marBottom w:val="0"/>
      <w:divBdr>
        <w:top w:val="none" w:sz="0" w:space="0" w:color="auto"/>
        <w:left w:val="none" w:sz="0" w:space="0" w:color="auto"/>
        <w:bottom w:val="none" w:sz="0" w:space="0" w:color="auto"/>
        <w:right w:val="none" w:sz="0" w:space="0" w:color="auto"/>
      </w:divBdr>
      <w:divsChild>
        <w:div w:id="828405301">
          <w:marLeft w:val="0"/>
          <w:marRight w:val="0"/>
          <w:marTop w:val="180"/>
          <w:marBottom w:val="180"/>
          <w:divBdr>
            <w:top w:val="none" w:sz="0" w:space="0" w:color="auto"/>
            <w:left w:val="none" w:sz="0" w:space="0" w:color="auto"/>
            <w:bottom w:val="none" w:sz="0" w:space="0" w:color="auto"/>
            <w:right w:val="none" w:sz="0" w:space="0" w:color="auto"/>
          </w:divBdr>
        </w:div>
      </w:divsChild>
    </w:div>
    <w:div w:id="212002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rian.heald@manchester.ac.uk" TargetMode="External"/><Relationship Id="rId13" Type="http://schemas.openxmlformats.org/officeDocument/2006/relationships/hyperlink" Target="https://investor.lilly.com/news-releases/news-release-details/tirzepatide-demonstrated-significant-and-superior-weight-lo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publications/statistical/health-survey-for-england/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ingsfund.org.uk/sites/default/files/2021-07/Tackling%20obesity.pdf" TargetMode="External"/><Relationship Id="rId4" Type="http://schemas.openxmlformats.org/officeDocument/2006/relationships/settings" Target="settings.xml"/><Relationship Id="rId9" Type="http://schemas.openxmlformats.org/officeDocument/2006/relationships/hyperlink" Target="https://researchbriefings.files.parliament.uk/documents/SN03336/SN03336.pdf" TargetMode="External"/><Relationship Id="rId14" Type="http://schemas.openxmlformats.org/officeDocument/2006/relationships/hyperlink" Target="https://www.nejm.org/doi/10.1056/NEJMoa2301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C6AE-59C1-4214-B070-2458A4DB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7549</Words>
  <Characters>43034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Heald</dc:creator>
  <cp:keywords/>
  <dc:description/>
  <cp:lastModifiedBy>Tony Fryer</cp:lastModifiedBy>
  <cp:revision>2</cp:revision>
  <dcterms:created xsi:type="dcterms:W3CDTF">2024-01-03T11:05:00Z</dcterms:created>
  <dcterms:modified xsi:type="dcterms:W3CDTF">2024-01-03T11:05:00Z</dcterms:modified>
</cp:coreProperties>
</file>