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E652" w14:textId="166CE51B" w:rsidR="00BD7054" w:rsidRDefault="006B598A" w:rsidP="006B598A">
      <w:pPr>
        <w:rPr>
          <w:rFonts w:ascii="Arial" w:hAnsi="Arial" w:cs="Arial"/>
        </w:rPr>
      </w:pPr>
      <w:r>
        <w:rPr>
          <w:rFonts w:ascii="Arial" w:hAnsi="Arial" w:cs="Arial"/>
        </w:rPr>
        <w:t>Characterising Cellular Components of Bone Marrow Aspirate Concentrate – A One-Step Cell Therapy for Ankle Cartilage Defect</w:t>
      </w:r>
      <w:r w:rsidR="00233DD5">
        <w:rPr>
          <w:rFonts w:ascii="Arial" w:hAnsi="Arial" w:cs="Arial"/>
        </w:rPr>
        <w:t>s</w:t>
      </w:r>
    </w:p>
    <w:p w14:paraId="320A6026" w14:textId="77777777" w:rsidR="006B598A" w:rsidRPr="00483336" w:rsidRDefault="006B598A" w:rsidP="006B598A">
      <w:pPr>
        <w:rPr>
          <w:rFonts w:ascii="Arial" w:hAnsi="Arial" w:cs="Arial"/>
          <w:u w:val="single"/>
        </w:rPr>
      </w:pPr>
    </w:p>
    <w:p w14:paraId="790DF4B5" w14:textId="472632C7" w:rsidR="00BD7054" w:rsidRPr="00483336" w:rsidRDefault="00BD7054" w:rsidP="00BD7054">
      <w:pPr>
        <w:spacing w:line="360" w:lineRule="auto"/>
        <w:rPr>
          <w:rFonts w:ascii="Arial" w:hAnsi="Arial" w:cs="Arial"/>
          <w:vertAlign w:val="superscript"/>
        </w:rPr>
      </w:pPr>
      <w:r w:rsidRPr="00483336">
        <w:rPr>
          <w:rFonts w:ascii="Arial" w:hAnsi="Arial" w:cs="Arial"/>
          <w:u w:val="single"/>
        </w:rPr>
        <w:t>Tian Lan</w:t>
      </w:r>
      <w:r w:rsidRPr="00483336">
        <w:rPr>
          <w:rFonts w:ascii="Arial" w:hAnsi="Arial" w:cs="Arial"/>
          <w:u w:val="single"/>
          <w:vertAlign w:val="superscript"/>
        </w:rPr>
        <w:t>1,2</w:t>
      </w:r>
      <w:r w:rsidRPr="00483336">
        <w:rPr>
          <w:rFonts w:ascii="Arial" w:hAnsi="Arial" w:cs="Arial"/>
        </w:rPr>
        <w:t>, Karina T Wright</w:t>
      </w:r>
      <w:r w:rsidRPr="00483336">
        <w:rPr>
          <w:rFonts w:ascii="Arial" w:hAnsi="Arial" w:cs="Arial"/>
          <w:vertAlign w:val="superscript"/>
        </w:rPr>
        <w:t>1,2</w:t>
      </w:r>
      <w:r w:rsidRPr="00483336">
        <w:rPr>
          <w:rFonts w:ascii="Arial" w:hAnsi="Arial" w:cs="Arial"/>
        </w:rPr>
        <w:t>, Nilesh Makwana</w:t>
      </w:r>
      <w:r w:rsidRPr="00483336">
        <w:rPr>
          <w:rFonts w:ascii="Arial" w:hAnsi="Arial" w:cs="Arial"/>
          <w:vertAlign w:val="superscript"/>
        </w:rPr>
        <w:t>1</w:t>
      </w:r>
      <w:r w:rsidRPr="00483336">
        <w:rPr>
          <w:rFonts w:ascii="Arial" w:hAnsi="Arial" w:cs="Arial"/>
        </w:rPr>
        <w:t>, Andrew Bing</w:t>
      </w:r>
      <w:r w:rsidRPr="00483336">
        <w:rPr>
          <w:rFonts w:ascii="Arial" w:hAnsi="Arial" w:cs="Arial"/>
          <w:vertAlign w:val="superscript"/>
        </w:rPr>
        <w:t>1</w:t>
      </w:r>
      <w:r w:rsidRPr="00483336">
        <w:rPr>
          <w:rFonts w:ascii="Arial" w:hAnsi="Arial" w:cs="Arial"/>
        </w:rPr>
        <w:t>, Charlotte H Hulme</w:t>
      </w:r>
      <w:r w:rsidRPr="00483336">
        <w:rPr>
          <w:rFonts w:ascii="Arial" w:hAnsi="Arial" w:cs="Arial"/>
          <w:vertAlign w:val="superscript"/>
        </w:rPr>
        <w:t>1,2*</w:t>
      </w:r>
      <w:r w:rsidRPr="00483336">
        <w:rPr>
          <w:rFonts w:ascii="Arial" w:hAnsi="Arial" w:cs="Arial"/>
        </w:rPr>
        <w:t>, Helen S McCarthy</w:t>
      </w:r>
      <w:r w:rsidRPr="00483336">
        <w:rPr>
          <w:rFonts w:ascii="Arial" w:hAnsi="Arial" w:cs="Arial"/>
          <w:vertAlign w:val="superscript"/>
        </w:rPr>
        <w:t>1,2*</w:t>
      </w:r>
    </w:p>
    <w:p w14:paraId="2771B499" w14:textId="77777777" w:rsidR="00BD7054" w:rsidRPr="00483336" w:rsidRDefault="00BD7054" w:rsidP="00BD7054">
      <w:pPr>
        <w:spacing w:line="360" w:lineRule="auto"/>
        <w:rPr>
          <w:rFonts w:ascii="Arial" w:hAnsi="Arial" w:cs="Arial"/>
        </w:rPr>
      </w:pPr>
    </w:p>
    <w:p w14:paraId="502A1A56" w14:textId="77777777" w:rsidR="00BD7054" w:rsidRPr="00483336" w:rsidRDefault="00BD7054" w:rsidP="00BD7054">
      <w:pPr>
        <w:spacing w:line="360" w:lineRule="auto"/>
        <w:rPr>
          <w:rFonts w:ascii="Arial" w:hAnsi="Arial" w:cs="Arial"/>
        </w:rPr>
      </w:pPr>
      <w:r w:rsidRPr="00483336">
        <w:rPr>
          <w:rFonts w:ascii="Arial" w:hAnsi="Arial" w:cs="Arial"/>
        </w:rPr>
        <w:t xml:space="preserve">*Joint last author </w:t>
      </w:r>
    </w:p>
    <w:p w14:paraId="7A413D64" w14:textId="11178F8B" w:rsidR="00BD7054" w:rsidRPr="00483336" w:rsidRDefault="00BD7054" w:rsidP="00BD7054">
      <w:pPr>
        <w:pStyle w:val="NoSpacing"/>
        <w:spacing w:line="360" w:lineRule="auto"/>
        <w:rPr>
          <w:rFonts w:cs="Arial"/>
          <w:sz w:val="24"/>
          <w:szCs w:val="24"/>
        </w:rPr>
      </w:pPr>
      <w:r w:rsidRPr="00483336">
        <w:rPr>
          <w:rFonts w:cs="Arial"/>
          <w:sz w:val="24"/>
          <w:szCs w:val="24"/>
          <w:vertAlign w:val="superscript"/>
        </w:rPr>
        <w:t>1.</w:t>
      </w:r>
      <w:r w:rsidRPr="00483336">
        <w:rPr>
          <w:rFonts w:cs="Arial"/>
          <w:sz w:val="24"/>
          <w:szCs w:val="24"/>
        </w:rPr>
        <w:t>Robert Jones and Agnes Hunt Orthopaedic Hospital Foundation Trust, Oswestry, Shropshire, SY10 7AG</w:t>
      </w:r>
    </w:p>
    <w:p w14:paraId="33DD119A" w14:textId="77777777" w:rsidR="00BD7054" w:rsidRPr="00046C63" w:rsidRDefault="00BD7054" w:rsidP="00BD7054">
      <w:pPr>
        <w:spacing w:line="360" w:lineRule="auto"/>
        <w:rPr>
          <w:rFonts w:ascii="Arial" w:hAnsi="Arial" w:cs="Arial"/>
        </w:rPr>
      </w:pPr>
    </w:p>
    <w:p w14:paraId="4FB212D8" w14:textId="6F4590C1" w:rsidR="00BD7054" w:rsidRDefault="00BD7054" w:rsidP="00BD7054">
      <w:pPr>
        <w:rPr>
          <w:rFonts w:ascii="Arial" w:hAnsi="Arial" w:cs="Arial"/>
        </w:rPr>
      </w:pPr>
      <w:r w:rsidRPr="41649384">
        <w:rPr>
          <w:rFonts w:cs="Arial"/>
          <w:vertAlign w:val="superscript"/>
        </w:rPr>
        <w:t>2.</w:t>
      </w:r>
      <w:r w:rsidRPr="00BD7054">
        <w:rPr>
          <w:rFonts w:ascii="Arial" w:hAnsi="Arial" w:cs="Arial"/>
        </w:rPr>
        <w:t>Centre for Regenerative Medicine</w:t>
      </w:r>
      <w:r w:rsidR="00C42ABE">
        <w:rPr>
          <w:rFonts w:ascii="Arial" w:hAnsi="Arial" w:cs="Arial"/>
        </w:rPr>
        <w:t xml:space="preserve"> Research</w:t>
      </w:r>
      <w:r w:rsidRPr="00BD7054">
        <w:rPr>
          <w:rFonts w:ascii="Arial" w:hAnsi="Arial" w:cs="Arial"/>
        </w:rPr>
        <w:t xml:space="preserve">, School of Pharmacy and Bioengineering, </w:t>
      </w:r>
      <w:proofErr w:type="spellStart"/>
      <w:r w:rsidRPr="00BD7054">
        <w:rPr>
          <w:rFonts w:ascii="Arial" w:hAnsi="Arial" w:cs="Arial"/>
        </w:rPr>
        <w:t>Keele</w:t>
      </w:r>
      <w:proofErr w:type="spellEnd"/>
      <w:r w:rsidRPr="00BD7054">
        <w:rPr>
          <w:rFonts w:ascii="Arial" w:hAnsi="Arial" w:cs="Arial"/>
        </w:rPr>
        <w:t xml:space="preserve"> University, Staffordshire, ST5 5BG</w:t>
      </w:r>
    </w:p>
    <w:p w14:paraId="6EE44B35" w14:textId="77777777" w:rsidR="00BD7054" w:rsidRDefault="00BD7054">
      <w:pPr>
        <w:rPr>
          <w:rFonts w:ascii="Arial" w:hAnsi="Arial" w:cs="Arial"/>
        </w:rPr>
      </w:pPr>
    </w:p>
    <w:p w14:paraId="7C40748C" w14:textId="3A689F4F" w:rsidR="00F9292A" w:rsidRPr="00BD7054" w:rsidRDefault="006B598A">
      <w:pPr>
        <w:rPr>
          <w:rFonts w:ascii="Arial" w:hAnsi="Arial" w:cs="Arial"/>
        </w:rPr>
      </w:pPr>
      <w:r>
        <w:rPr>
          <w:rFonts w:ascii="Arial" w:hAnsi="Arial" w:cs="Arial"/>
        </w:rPr>
        <w:t>Objectives</w:t>
      </w:r>
    </w:p>
    <w:p w14:paraId="70EEB37A" w14:textId="77777777" w:rsidR="006B598A" w:rsidRDefault="006B598A" w:rsidP="009D2D9E">
      <w:pPr>
        <w:spacing w:line="360" w:lineRule="auto"/>
        <w:jc w:val="both"/>
        <w:rPr>
          <w:rFonts w:ascii="Arial" w:hAnsi="Arial" w:cs="Arial"/>
        </w:rPr>
      </w:pPr>
    </w:p>
    <w:p w14:paraId="21DD2133" w14:textId="5010D338" w:rsidR="009D2D9E" w:rsidRPr="00210476" w:rsidRDefault="006B598A" w:rsidP="009D2D9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Bone marrow aspirate concentrate (BMAC), together with fibrin glue (</w:t>
      </w:r>
      <w:proofErr w:type="spellStart"/>
      <w:r>
        <w:rPr>
          <w:rFonts w:ascii="Arial" w:hAnsi="Arial" w:cs="Arial"/>
        </w:rPr>
        <w:t>Tisseel</w:t>
      </w:r>
      <w:proofErr w:type="spellEnd"/>
      <w:r>
        <w:rPr>
          <w:rFonts w:ascii="Arial" w:hAnsi="Arial" w:cs="Arial"/>
        </w:rPr>
        <w:t>, Baxter, UK) and Hyaluronic acid (HA) were</w:t>
      </w:r>
      <w:r w:rsidR="00233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used as a one-step cell therapy treating patients with ankle cartilage defects in our hospital. This</w:t>
      </w:r>
      <w:r w:rsidR="009516C4" w:rsidRPr="36CAC290">
        <w:rPr>
          <w:rFonts w:ascii="Arial" w:hAnsi="Arial" w:cs="Arial"/>
        </w:rPr>
        <w:t xml:space="preserve"> </w:t>
      </w:r>
      <w:r w:rsidR="00483336" w:rsidRPr="36CAC290">
        <w:rPr>
          <w:rFonts w:ascii="Arial" w:hAnsi="Arial" w:cs="Arial"/>
        </w:rPr>
        <w:t>therapy</w:t>
      </w:r>
      <w:r w:rsidR="3FB286A9" w:rsidRPr="36CAC2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was </w:t>
      </w:r>
      <w:r w:rsidR="3FB286A9" w:rsidRPr="36CAC290">
        <w:rPr>
          <w:rFonts w:ascii="Arial" w:hAnsi="Arial" w:cs="Arial"/>
        </w:rPr>
        <w:t>proven to be safe</w:t>
      </w:r>
      <w:r w:rsidR="00EE336C">
        <w:rPr>
          <w:rFonts w:ascii="Arial" w:hAnsi="Arial" w:cs="Arial"/>
        </w:rPr>
        <w:t xml:space="preserve">, </w:t>
      </w:r>
      <w:r w:rsidR="3FB286A9" w:rsidRPr="36CAC290">
        <w:rPr>
          <w:rFonts w:ascii="Arial" w:hAnsi="Arial" w:cs="Arial"/>
        </w:rPr>
        <w:t>with patients demonstrating a significant improvement 12</w:t>
      </w:r>
      <w:r w:rsidR="128D6387" w:rsidRPr="36CAC290">
        <w:rPr>
          <w:rFonts w:ascii="Arial" w:hAnsi="Arial" w:cs="Arial"/>
        </w:rPr>
        <w:t xml:space="preserve"> </w:t>
      </w:r>
      <w:r w:rsidR="3FB286A9" w:rsidRPr="36CAC290">
        <w:rPr>
          <w:rFonts w:ascii="Arial" w:hAnsi="Arial" w:cs="Arial"/>
        </w:rPr>
        <w:t>months post-treatment.</w:t>
      </w:r>
      <w:r w:rsidR="00993831" w:rsidRPr="36CAC290">
        <w:rPr>
          <w:rFonts w:ascii="Arial" w:hAnsi="Arial" w:cs="Arial"/>
        </w:rPr>
        <w:t xml:space="preserve"> </w:t>
      </w:r>
      <w:r w:rsidR="00085AEC" w:rsidRPr="00FD5EB2">
        <w:rPr>
          <w:rFonts w:ascii="Arial" w:hAnsi="Arial" w:cs="Arial"/>
          <w:color w:val="000000" w:themeColor="text1"/>
        </w:rPr>
        <w:t>Enriched m</w:t>
      </w:r>
      <w:r w:rsidR="00993831" w:rsidRPr="00FD5EB2">
        <w:rPr>
          <w:rFonts w:ascii="Arial" w:hAnsi="Arial" w:cs="Arial"/>
          <w:color w:val="000000" w:themeColor="text1"/>
        </w:rPr>
        <w:t>esenchymal stem cells</w:t>
      </w:r>
      <w:r w:rsidR="00085AEC" w:rsidRPr="00FD5EB2">
        <w:rPr>
          <w:rFonts w:ascii="Arial" w:hAnsi="Arial" w:cs="Arial"/>
          <w:color w:val="000000" w:themeColor="text1"/>
        </w:rPr>
        <w:t xml:space="preserve"> (MSCs)</w:t>
      </w:r>
      <w:r w:rsidR="00993831" w:rsidRPr="00FD5EB2">
        <w:rPr>
          <w:rFonts w:ascii="Arial" w:hAnsi="Arial" w:cs="Arial"/>
          <w:color w:val="000000" w:themeColor="text1"/>
        </w:rPr>
        <w:t xml:space="preserve"> in BMAC are</w:t>
      </w:r>
      <w:r w:rsidR="00085AEC" w:rsidRPr="00FD5EB2">
        <w:rPr>
          <w:rFonts w:ascii="Arial" w:hAnsi="Arial" w:cs="Arial"/>
          <w:color w:val="000000" w:themeColor="text1"/>
        </w:rPr>
        <w:t xml:space="preserve"> </w:t>
      </w:r>
      <w:r w:rsidR="00993831" w:rsidRPr="00FD5EB2">
        <w:rPr>
          <w:rFonts w:ascii="Arial" w:hAnsi="Arial" w:cs="Arial"/>
          <w:color w:val="000000" w:themeColor="text1"/>
        </w:rPr>
        <w:t>suggested</w:t>
      </w:r>
      <w:r w:rsidR="00085AEC" w:rsidRPr="00FD5EB2">
        <w:rPr>
          <w:rFonts w:ascii="Arial" w:hAnsi="Arial" w:cs="Arial"/>
          <w:color w:val="000000" w:themeColor="text1"/>
        </w:rPr>
        <w:t xml:space="preserve"> </w:t>
      </w:r>
      <w:r w:rsidR="00BC7B3E" w:rsidRPr="00FD5EB2">
        <w:rPr>
          <w:rFonts w:ascii="Arial" w:hAnsi="Arial" w:cs="Arial"/>
          <w:color w:val="000000" w:themeColor="text1"/>
        </w:rPr>
        <w:t>inducers of</w:t>
      </w:r>
      <w:r w:rsidR="00085AEC" w:rsidRPr="00FD5EB2">
        <w:rPr>
          <w:rFonts w:ascii="Arial" w:hAnsi="Arial" w:cs="Arial"/>
          <w:color w:val="000000" w:themeColor="text1"/>
        </w:rPr>
        <w:t xml:space="preserve"> cartilage regeneration, however, currently there is no point-of-care assessment for BMAC quality; especially </w:t>
      </w:r>
      <w:r w:rsidR="00BC7B3E" w:rsidRPr="00FD5EB2">
        <w:rPr>
          <w:rFonts w:ascii="Arial" w:hAnsi="Arial" w:cs="Arial"/>
          <w:color w:val="000000" w:themeColor="text1"/>
        </w:rPr>
        <w:t xml:space="preserve">regarding </w:t>
      </w:r>
      <w:r w:rsidR="00085AEC" w:rsidRPr="00FD5EB2">
        <w:rPr>
          <w:rFonts w:ascii="Arial" w:hAnsi="Arial" w:cs="Arial"/>
          <w:color w:val="000000" w:themeColor="text1"/>
        </w:rPr>
        <w:t xml:space="preserve">the proportion of MSCs </w:t>
      </w:r>
      <w:r w:rsidR="00BC7B3E" w:rsidRPr="00FD5EB2">
        <w:rPr>
          <w:rFonts w:ascii="Arial" w:hAnsi="Arial" w:cs="Arial"/>
          <w:color w:val="000000" w:themeColor="text1"/>
        </w:rPr>
        <w:t>within</w:t>
      </w:r>
      <w:r w:rsidR="00085AEC" w:rsidRPr="00FD5EB2">
        <w:rPr>
          <w:rFonts w:ascii="Arial" w:hAnsi="Arial" w:cs="Arial"/>
          <w:color w:val="000000" w:themeColor="text1"/>
        </w:rPr>
        <w:t xml:space="preserve">. </w:t>
      </w:r>
      <w:r w:rsidR="275CEFA4" w:rsidRPr="00FD5EB2">
        <w:rPr>
          <w:rFonts w:ascii="Arial" w:hAnsi="Arial" w:cs="Arial"/>
          <w:color w:val="000000" w:themeColor="text1"/>
          <w:lang w:eastAsia="ja-JP"/>
        </w:rPr>
        <w:t xml:space="preserve">This study aims to characterise the cellular component of </w:t>
      </w:r>
      <w:r w:rsidR="00483336" w:rsidRPr="00FD5EB2">
        <w:rPr>
          <w:rFonts w:ascii="Arial" w:hAnsi="Arial" w:cs="Arial"/>
          <w:color w:val="000000" w:themeColor="text1"/>
          <w:lang w:eastAsia="ja-JP"/>
        </w:rPr>
        <w:t>CCR</w:t>
      </w:r>
      <w:r w:rsidR="0063520C" w:rsidRPr="00FD5EB2">
        <w:rPr>
          <w:rFonts w:ascii="Arial" w:hAnsi="Arial" w:cs="Arial"/>
          <w:color w:val="000000" w:themeColor="text1"/>
          <w:lang w:eastAsia="ja-JP"/>
        </w:rPr>
        <w:t>-generated</w:t>
      </w:r>
      <w:r w:rsidR="00483336" w:rsidRPr="00FD5EB2">
        <w:rPr>
          <w:rFonts w:ascii="Arial" w:hAnsi="Arial" w:cs="Arial"/>
          <w:color w:val="000000" w:themeColor="text1"/>
          <w:lang w:eastAsia="ja-JP"/>
        </w:rPr>
        <w:t xml:space="preserve"> </w:t>
      </w:r>
      <w:r w:rsidR="275CEFA4" w:rsidRPr="00FD5EB2">
        <w:rPr>
          <w:rFonts w:ascii="Arial" w:hAnsi="Arial" w:cs="Arial"/>
          <w:color w:val="000000" w:themeColor="text1"/>
          <w:lang w:eastAsia="ja-JP"/>
        </w:rPr>
        <w:t>BMAC</w:t>
      </w:r>
      <w:r w:rsidR="00085AEC" w:rsidRPr="00FD5EB2">
        <w:rPr>
          <w:rFonts w:ascii="Arial" w:hAnsi="Arial" w:cs="Arial"/>
          <w:color w:val="000000" w:themeColor="text1"/>
          <w:lang w:eastAsia="ja-JP"/>
        </w:rPr>
        <w:t xml:space="preserve"> using a point-of-care device</w:t>
      </w:r>
      <w:r w:rsidR="275CEFA4" w:rsidRPr="00FD5EB2">
        <w:rPr>
          <w:rFonts w:ascii="Arial" w:hAnsi="Arial" w:cs="Arial"/>
          <w:color w:val="000000" w:themeColor="text1"/>
          <w:lang w:eastAsia="ja-JP"/>
        </w:rPr>
        <w:t xml:space="preserve">, and </w:t>
      </w:r>
      <w:r w:rsidR="0D1E560B" w:rsidRPr="00FD5EB2">
        <w:rPr>
          <w:rFonts w:ascii="Arial" w:hAnsi="Arial" w:cs="Arial"/>
          <w:color w:val="000000" w:themeColor="text1"/>
          <w:lang w:eastAsia="ja-JP"/>
        </w:rPr>
        <w:t xml:space="preserve">to </w:t>
      </w:r>
      <w:r w:rsidR="275CEFA4" w:rsidRPr="00FD5EB2">
        <w:rPr>
          <w:rFonts w:ascii="Arial" w:hAnsi="Arial" w:cs="Arial"/>
          <w:color w:val="000000" w:themeColor="text1"/>
          <w:lang w:eastAsia="ja-JP"/>
        </w:rPr>
        <w:t>investigate if the total nucleated cell</w:t>
      </w:r>
      <w:r w:rsidR="00085AEC" w:rsidRPr="00FD5EB2">
        <w:rPr>
          <w:rFonts w:ascii="Arial" w:hAnsi="Arial" w:cs="Arial"/>
          <w:color w:val="000000" w:themeColor="text1"/>
          <w:lang w:eastAsia="ja-JP"/>
        </w:rPr>
        <w:t xml:space="preserve"> (TNC)</w:t>
      </w:r>
      <w:r w:rsidR="5B04F586" w:rsidRPr="00FD5EB2">
        <w:rPr>
          <w:rFonts w:ascii="Arial" w:hAnsi="Arial" w:cs="Arial"/>
          <w:color w:val="000000" w:themeColor="text1"/>
          <w:lang w:eastAsia="ja-JP"/>
        </w:rPr>
        <w:t xml:space="preserve"> count</w:t>
      </w:r>
      <w:r w:rsidR="001437ED" w:rsidRPr="00FD5EB2">
        <w:rPr>
          <w:rFonts w:ascii="Arial" w:hAnsi="Arial" w:cs="Arial"/>
          <w:color w:val="000000" w:themeColor="text1"/>
          <w:lang w:eastAsia="ja-JP"/>
        </w:rPr>
        <w:t xml:space="preserve"> and patient age</w:t>
      </w:r>
      <w:r w:rsidR="00085AEC" w:rsidRPr="00FD5EB2">
        <w:rPr>
          <w:rFonts w:ascii="Arial" w:hAnsi="Arial" w:cs="Arial"/>
          <w:color w:val="000000" w:themeColor="text1"/>
          <w:lang w:eastAsia="ja-JP"/>
        </w:rPr>
        <w:t xml:space="preserve"> </w:t>
      </w:r>
      <w:r w:rsidR="001437ED" w:rsidRPr="00FD5EB2">
        <w:rPr>
          <w:rFonts w:ascii="Arial" w:hAnsi="Arial" w:cs="Arial"/>
          <w:color w:val="000000" w:themeColor="text1"/>
          <w:lang w:eastAsia="ja-JP"/>
        </w:rPr>
        <w:t xml:space="preserve">are </w:t>
      </w:r>
      <w:r w:rsidR="003F6C9B" w:rsidRPr="00FD5EB2">
        <w:rPr>
          <w:rFonts w:ascii="Arial" w:hAnsi="Arial" w:cs="Arial"/>
          <w:color w:val="000000" w:themeColor="text1"/>
          <w:lang w:eastAsia="ja-JP"/>
        </w:rPr>
        <w:t>predictive of MSC concentration</w:t>
      </w:r>
      <w:r w:rsidR="275CEFA4" w:rsidRPr="00FD5EB2">
        <w:rPr>
          <w:rFonts w:ascii="Arial" w:hAnsi="Arial" w:cs="Arial"/>
          <w:color w:val="000000" w:themeColor="text1"/>
          <w:lang w:eastAsia="ja-JP"/>
        </w:rPr>
        <w:t>.</w:t>
      </w:r>
    </w:p>
    <w:p w14:paraId="28BB2163" w14:textId="77777777" w:rsidR="009D2D9E" w:rsidRDefault="009D2D9E">
      <w:pPr>
        <w:rPr>
          <w:rFonts w:ascii="Arial" w:hAnsi="Arial" w:cs="Arial"/>
        </w:rPr>
      </w:pPr>
    </w:p>
    <w:p w14:paraId="663681DF" w14:textId="0F5FF14C" w:rsidR="00E9342A" w:rsidRPr="009D2D9E" w:rsidRDefault="00E9342A">
      <w:pPr>
        <w:rPr>
          <w:rFonts w:ascii="Arial" w:hAnsi="Arial" w:cs="Arial"/>
        </w:rPr>
      </w:pPr>
      <w:r w:rsidRPr="009D2D9E">
        <w:rPr>
          <w:rFonts w:ascii="Arial" w:hAnsi="Arial" w:cs="Arial"/>
        </w:rPr>
        <w:t>Methods</w:t>
      </w:r>
    </w:p>
    <w:p w14:paraId="39357FB1" w14:textId="77777777" w:rsidR="002F14E5" w:rsidRDefault="002F14E5" w:rsidP="002F14E5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14E65D05" w14:textId="6FE5164C" w:rsidR="006B598A" w:rsidRDefault="00EE336C" w:rsidP="002F14E5">
      <w:pPr>
        <w:spacing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During surgery</w:t>
      </w:r>
      <w:r w:rsidR="006B598A">
        <w:rPr>
          <w:rFonts w:ascii="Arial" w:hAnsi="Arial" w:cs="Arial"/>
          <w:lang w:eastAsia="ja-JP"/>
        </w:rPr>
        <w:t>, 35ml</w:t>
      </w:r>
      <w:r>
        <w:rPr>
          <w:rFonts w:ascii="Arial" w:hAnsi="Arial" w:cs="Arial"/>
          <w:lang w:eastAsia="ja-JP"/>
        </w:rPr>
        <w:t xml:space="preserve"> of</w:t>
      </w:r>
      <w:r w:rsidR="006B598A">
        <w:rPr>
          <w:rFonts w:ascii="Arial" w:hAnsi="Arial" w:cs="Arial"/>
          <w:lang w:eastAsia="ja-JP"/>
        </w:rPr>
        <w:t xml:space="preserve"> bone marrow aspirate (BMA) w</w:t>
      </w:r>
      <w:r>
        <w:rPr>
          <w:rFonts w:ascii="Arial" w:hAnsi="Arial" w:cs="Arial"/>
          <w:lang w:eastAsia="ja-JP"/>
        </w:rPr>
        <w:t>as</w:t>
      </w:r>
      <w:r w:rsidR="006B598A">
        <w:rPr>
          <w:rFonts w:ascii="Arial" w:hAnsi="Arial" w:cs="Arial"/>
          <w:lang w:eastAsia="ja-JP"/>
        </w:rPr>
        <w:t xml:space="preserve"> collected from</w:t>
      </w:r>
      <w:r>
        <w:rPr>
          <w:rFonts w:ascii="Arial" w:hAnsi="Arial" w:cs="Arial"/>
          <w:lang w:eastAsia="ja-JP"/>
        </w:rPr>
        <w:t xml:space="preserve"> each</w:t>
      </w:r>
      <w:r w:rsidR="006B598A">
        <w:rPr>
          <w:rFonts w:ascii="Arial" w:hAnsi="Arial" w:cs="Arial"/>
          <w:lang w:eastAsia="ja-JP"/>
        </w:rPr>
        <w:t xml:space="preserve"> patients’ iliac crest under anaesthesia, and BMAC w</w:t>
      </w:r>
      <w:r>
        <w:rPr>
          <w:rFonts w:ascii="Arial" w:hAnsi="Arial" w:cs="Arial"/>
          <w:lang w:eastAsia="ja-JP"/>
        </w:rPr>
        <w:t>as</w:t>
      </w:r>
      <w:r w:rsidR="006B598A">
        <w:rPr>
          <w:rFonts w:ascii="Arial" w:hAnsi="Arial" w:cs="Arial"/>
          <w:lang w:eastAsia="ja-JP"/>
        </w:rPr>
        <w:t xml:space="preserve"> obtained via a commercial kit (Cartilage Regeneration kit, CCR, </w:t>
      </w:r>
      <w:proofErr w:type="spellStart"/>
      <w:r w:rsidR="006B598A">
        <w:rPr>
          <w:rFonts w:ascii="Arial" w:hAnsi="Arial" w:cs="Arial"/>
          <w:lang w:eastAsia="ja-JP"/>
        </w:rPr>
        <w:t>Innotec</w:t>
      </w:r>
      <w:proofErr w:type="spellEnd"/>
      <w:r w:rsidR="006B598A" w:rsidRPr="006B598A">
        <w:rPr>
          <w:rFonts w:ascii="Arial" w:hAnsi="Arial" w:cs="Arial"/>
          <w:vertAlign w:val="superscript"/>
          <w:lang w:eastAsia="ja-JP"/>
        </w:rPr>
        <w:sym w:font="Symbol" w:char="F0E2"/>
      </w:r>
      <w:r w:rsidR="006B598A">
        <w:rPr>
          <w:rFonts w:ascii="Arial" w:hAnsi="Arial" w:cs="Arial"/>
          <w:lang w:eastAsia="ja-JP"/>
        </w:rPr>
        <w:t>, UK). BMAC w</w:t>
      </w:r>
      <w:r>
        <w:rPr>
          <w:rFonts w:ascii="Arial" w:hAnsi="Arial" w:cs="Arial"/>
          <w:lang w:eastAsia="ja-JP"/>
        </w:rPr>
        <w:t xml:space="preserve">as </w:t>
      </w:r>
      <w:r w:rsidR="006B598A">
        <w:rPr>
          <w:rFonts w:ascii="Arial" w:hAnsi="Arial" w:cs="Arial"/>
          <w:lang w:eastAsia="ja-JP"/>
        </w:rPr>
        <w:t>then mixed with thrombin (B+T) for injection with HA and fibrinogen.</w:t>
      </w:r>
    </w:p>
    <w:p w14:paraId="0581BA44" w14:textId="5DE14660" w:rsidR="002F14E5" w:rsidRDefault="006B598A" w:rsidP="002F14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ja-JP"/>
        </w:rPr>
        <w:t xml:space="preserve">In our study, </w:t>
      </w:r>
      <w:r w:rsidR="00B74C55">
        <w:rPr>
          <w:rFonts w:ascii="Arial" w:hAnsi="Arial" w:cs="Arial"/>
          <w:lang w:eastAsia="ja-JP"/>
        </w:rPr>
        <w:t>d</w:t>
      </w:r>
      <w:r w:rsidR="0419F8F2" w:rsidRPr="7B5AC5CB">
        <w:rPr>
          <w:rFonts w:ascii="Arial" w:hAnsi="Arial" w:cs="Arial"/>
          <w:lang w:eastAsia="ja-JP"/>
        </w:rPr>
        <w:t>onor</w:t>
      </w:r>
      <w:r w:rsidR="00273644" w:rsidRPr="7B5AC5CB">
        <w:rPr>
          <w:rFonts w:ascii="Arial" w:hAnsi="Arial" w:cs="Arial"/>
          <w:lang w:eastAsia="ja-JP"/>
        </w:rPr>
        <w:t>-</w:t>
      </w:r>
      <w:r w:rsidR="0419F8F2" w:rsidRPr="7B5AC5CB">
        <w:rPr>
          <w:rFonts w:ascii="Arial" w:hAnsi="Arial" w:cs="Arial"/>
          <w:lang w:eastAsia="ja-JP"/>
        </w:rPr>
        <w:t xml:space="preserve">matched </w:t>
      </w:r>
      <w:r w:rsidR="0419F8F2" w:rsidRPr="7B5AC5CB">
        <w:rPr>
          <w:rFonts w:ascii="Arial" w:hAnsi="Arial" w:cs="Arial"/>
        </w:rPr>
        <w:t>BMA</w:t>
      </w:r>
      <w:r w:rsidR="00AE5AEF" w:rsidRPr="7B5AC5CB">
        <w:rPr>
          <w:rFonts w:ascii="Arial" w:hAnsi="Arial" w:cs="Arial"/>
        </w:rPr>
        <w:t>,</w:t>
      </w:r>
      <w:r w:rsidR="0419F8F2" w:rsidRPr="7B5AC5CB">
        <w:rPr>
          <w:rFonts w:ascii="Arial" w:hAnsi="Arial" w:cs="Arial"/>
        </w:rPr>
        <w:t xml:space="preserve"> BMAC</w:t>
      </w:r>
      <w:r w:rsidR="00AE5AEF" w:rsidRPr="7B5AC5CB">
        <w:rPr>
          <w:rFonts w:ascii="Arial" w:hAnsi="Arial" w:cs="Arial"/>
        </w:rPr>
        <w:t xml:space="preserve"> and</w:t>
      </w:r>
      <w:r w:rsidR="0419F8F2" w:rsidRPr="7B5AC5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B+T </w:t>
      </w:r>
      <w:r w:rsidR="0419F8F2" w:rsidRPr="7B5AC5CB">
        <w:rPr>
          <w:rFonts w:ascii="Arial" w:hAnsi="Arial" w:cs="Arial"/>
        </w:rPr>
        <w:t>w</w:t>
      </w:r>
      <w:r w:rsidR="00EE336C">
        <w:rPr>
          <w:rFonts w:ascii="Arial" w:hAnsi="Arial" w:cs="Arial"/>
        </w:rPr>
        <w:t xml:space="preserve">ere </w:t>
      </w:r>
      <w:r w:rsidR="0419F8F2" w:rsidRPr="7B5AC5CB">
        <w:rPr>
          <w:rFonts w:ascii="Arial" w:hAnsi="Arial" w:cs="Arial"/>
        </w:rPr>
        <w:t xml:space="preserve">obtained </w:t>
      </w:r>
      <w:r w:rsidR="00B04ADE" w:rsidRPr="7B5AC5CB">
        <w:rPr>
          <w:rFonts w:ascii="Arial" w:hAnsi="Arial" w:cs="Arial"/>
        </w:rPr>
        <w:t>from consented patients (n=1</w:t>
      </w:r>
      <w:r w:rsidR="00210476">
        <w:rPr>
          <w:rFonts w:ascii="Arial" w:hAnsi="Arial" w:cs="Arial"/>
        </w:rPr>
        <w:t>2</w:t>
      </w:r>
      <w:r w:rsidR="00B04ADE" w:rsidRPr="7B5AC5CB">
        <w:rPr>
          <w:rFonts w:ascii="Arial" w:hAnsi="Arial" w:cs="Arial"/>
        </w:rPr>
        <w:t>, age</w:t>
      </w:r>
      <w:r w:rsidR="00B04ADE" w:rsidRPr="7B5AC5CB">
        <w:rPr>
          <w:rFonts w:ascii="Arial" w:hAnsi="Arial" w:cs="Arial"/>
          <w:color w:val="FF0000"/>
        </w:rPr>
        <w:t xml:space="preserve"> </w:t>
      </w:r>
      <w:r w:rsidR="00B04ADE" w:rsidRPr="7B5AC5CB">
        <w:rPr>
          <w:rFonts w:ascii="Arial" w:hAnsi="Arial" w:cs="Arial"/>
          <w:color w:val="000000" w:themeColor="text1"/>
        </w:rPr>
        <w:t>4</w:t>
      </w:r>
      <w:r w:rsidR="00210476">
        <w:rPr>
          <w:rFonts w:ascii="Arial" w:hAnsi="Arial" w:cs="Arial"/>
          <w:color w:val="000000" w:themeColor="text1"/>
        </w:rPr>
        <w:t>1</w:t>
      </w:r>
      <w:r w:rsidR="005D75B0">
        <w:rPr>
          <w:rFonts w:ascii="Arial" w:hAnsi="Arial" w:cs="Arial"/>
          <w:color w:val="000000" w:themeColor="text1"/>
        </w:rPr>
        <w:t xml:space="preserve"> </w:t>
      </w:r>
      <w:r w:rsidR="00B04ADE" w:rsidRPr="7B5AC5CB">
        <w:rPr>
          <w:rFonts w:ascii="Arial" w:hAnsi="Arial" w:cs="Arial"/>
          <w:color w:val="000000" w:themeColor="text1"/>
        </w:rPr>
        <w:t>±</w:t>
      </w:r>
      <w:r w:rsidR="005D75B0">
        <w:rPr>
          <w:rFonts w:ascii="Arial" w:hAnsi="Arial" w:cs="Arial"/>
          <w:color w:val="000000" w:themeColor="text1"/>
        </w:rPr>
        <w:t xml:space="preserve"> </w:t>
      </w:r>
      <w:r w:rsidR="00B04ADE" w:rsidRPr="7B5AC5CB">
        <w:rPr>
          <w:rFonts w:ascii="Arial" w:hAnsi="Arial" w:cs="Arial"/>
          <w:color w:val="000000" w:themeColor="text1"/>
        </w:rPr>
        <w:t>1</w:t>
      </w:r>
      <w:r w:rsidR="00210476">
        <w:rPr>
          <w:rFonts w:ascii="Arial" w:hAnsi="Arial" w:cs="Arial"/>
          <w:color w:val="000000" w:themeColor="text1"/>
        </w:rPr>
        <w:t>6</w:t>
      </w:r>
      <w:r w:rsidR="00B04ADE" w:rsidRPr="7B5AC5CB">
        <w:rPr>
          <w:rFonts w:ascii="Arial" w:hAnsi="Arial" w:cs="Arial"/>
          <w:color w:val="000000" w:themeColor="text1"/>
        </w:rPr>
        <w:t>years)</w:t>
      </w:r>
      <w:r w:rsidR="00B04ADE" w:rsidRPr="7B5AC5CB">
        <w:rPr>
          <w:rFonts w:ascii="Arial" w:hAnsi="Arial" w:cs="Arial"/>
        </w:rPr>
        <w:t xml:space="preserve"> undergoing surgery with </w:t>
      </w:r>
      <w:r>
        <w:rPr>
          <w:rFonts w:ascii="Arial" w:hAnsi="Arial" w:cs="Arial"/>
        </w:rPr>
        <w:t>BMAC therapy</w:t>
      </w:r>
      <w:r w:rsidR="00483336" w:rsidRPr="7B5AC5CB">
        <w:rPr>
          <w:rFonts w:ascii="Arial" w:hAnsi="Arial" w:cs="Arial"/>
        </w:rPr>
        <w:t xml:space="preserve">. </w:t>
      </w:r>
      <w:r w:rsidR="0419F8F2" w:rsidRPr="7B5AC5CB">
        <w:rPr>
          <w:rFonts w:ascii="Arial" w:hAnsi="Arial" w:cs="Arial"/>
        </w:rPr>
        <w:t xml:space="preserve">TNC, </w:t>
      </w:r>
      <w:r w:rsidR="56E59D4A" w:rsidRPr="7B5AC5CB">
        <w:rPr>
          <w:rFonts w:ascii="Arial" w:hAnsi="Arial" w:cs="Arial"/>
        </w:rPr>
        <w:t>r</w:t>
      </w:r>
      <w:r w:rsidR="0419F8F2" w:rsidRPr="7B5AC5CB">
        <w:rPr>
          <w:rFonts w:ascii="Arial" w:hAnsi="Arial" w:cs="Arial"/>
        </w:rPr>
        <w:t>ed blood cell (RBC) and platelet</w:t>
      </w:r>
      <w:r w:rsidR="56E59D4A" w:rsidRPr="7B5AC5CB">
        <w:rPr>
          <w:rFonts w:ascii="Arial" w:hAnsi="Arial" w:cs="Arial"/>
        </w:rPr>
        <w:t xml:space="preserve"> (PLT)</w:t>
      </w:r>
      <w:r w:rsidR="0419F8F2" w:rsidRPr="7B5AC5CB">
        <w:rPr>
          <w:rFonts w:ascii="Arial" w:hAnsi="Arial" w:cs="Arial"/>
        </w:rPr>
        <w:t xml:space="preserve"> counts were measured</w:t>
      </w:r>
      <w:r>
        <w:rPr>
          <w:rFonts w:ascii="Arial" w:hAnsi="Arial" w:cs="Arial"/>
        </w:rPr>
        <w:t xml:space="preserve"> via a haematology analyser</w:t>
      </w:r>
      <w:r w:rsidR="0419F8F2" w:rsidRPr="7B5AC5C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ABX</w:t>
      </w:r>
      <w:r w:rsidRPr="006B598A">
        <w:rPr>
          <w:rFonts w:ascii="Arial" w:hAnsi="Arial" w:cs="Arial"/>
        </w:rPr>
        <w:t xml:space="preserve"> </w:t>
      </w:r>
      <w:r w:rsidRPr="7B5AC5CB">
        <w:rPr>
          <w:rFonts w:ascii="Arial" w:hAnsi="Arial" w:cs="Arial"/>
        </w:rPr>
        <w:t>Micros</w:t>
      </w:r>
      <w:r>
        <w:rPr>
          <w:rFonts w:ascii="Arial" w:hAnsi="Arial" w:cs="Arial"/>
        </w:rPr>
        <w:t xml:space="preserve"> </w:t>
      </w:r>
      <w:r w:rsidR="0419F8F2" w:rsidRPr="7B5AC5CB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419F8F2" w:rsidRPr="7B5AC5CB">
        <w:rPr>
          <w:rFonts w:ascii="Arial" w:hAnsi="Arial" w:cs="Arial"/>
        </w:rPr>
        <w:t>60</w:t>
      </w:r>
      <w:r>
        <w:rPr>
          <w:rFonts w:ascii="Arial" w:hAnsi="Arial" w:cs="Arial"/>
        </w:rPr>
        <w:t>, Horiba, UK</w:t>
      </w:r>
      <w:r w:rsidR="0419F8F2" w:rsidRPr="7B5AC5CB">
        <w:rPr>
          <w:rFonts w:ascii="Arial" w:hAnsi="Arial" w:cs="Arial"/>
        </w:rPr>
        <w:t>)</w:t>
      </w:r>
      <w:r w:rsidR="00CD37F4">
        <w:rPr>
          <w:rFonts w:ascii="Arial" w:hAnsi="Arial" w:cs="Arial"/>
        </w:rPr>
        <w:t>,</w:t>
      </w:r>
      <w:r w:rsidR="00BD35CC">
        <w:rPr>
          <w:rFonts w:ascii="Arial" w:hAnsi="Arial" w:cs="Arial"/>
        </w:rPr>
        <w:t xml:space="preserve"> and </w:t>
      </w:r>
      <w:r w:rsidR="00BD35CC" w:rsidRPr="7B5AC5CB">
        <w:rPr>
          <w:rFonts w:ascii="Arial" w:hAnsi="Arial" w:cs="Arial"/>
        </w:rPr>
        <w:t>the proportion of MSCs in BMA, BMAC and B+</w:t>
      </w:r>
      <w:r w:rsidR="00BD35CC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lastRenderedPageBreak/>
        <w:t>were assessed</w:t>
      </w:r>
      <w:r w:rsidR="00BD35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via </w:t>
      </w:r>
      <w:r w:rsidR="00BD35CC">
        <w:rPr>
          <w:rFonts w:ascii="Arial" w:hAnsi="Arial" w:cs="Arial"/>
        </w:rPr>
        <w:t>c</w:t>
      </w:r>
      <w:r w:rsidR="0419F8F2" w:rsidRPr="7B5AC5CB">
        <w:rPr>
          <w:rFonts w:ascii="Arial" w:hAnsi="Arial" w:cs="Arial"/>
        </w:rPr>
        <w:t>olony forming unit-fibroblast (CFU-F) assays</w:t>
      </w:r>
      <w:r w:rsidR="56E59D4A" w:rsidRPr="7B5AC5CB">
        <w:rPr>
          <w:rFonts w:ascii="Arial" w:hAnsi="Arial" w:cs="Arial"/>
        </w:rPr>
        <w:t xml:space="preserve">. </w:t>
      </w:r>
      <w:r w:rsidR="00820887" w:rsidRPr="7B5AC5CB">
        <w:rPr>
          <w:rFonts w:ascii="Arial" w:hAnsi="Arial" w:cs="Arial"/>
        </w:rPr>
        <w:t xml:space="preserve">Significant differences data </w:t>
      </w:r>
      <w:r w:rsidR="00273644" w:rsidRPr="7B5AC5CB">
        <w:rPr>
          <w:rFonts w:ascii="Arial" w:hAnsi="Arial" w:cs="Arial"/>
        </w:rPr>
        <w:t xml:space="preserve">in matched donors </w:t>
      </w:r>
      <w:r w:rsidR="00820887" w:rsidRPr="7B5AC5CB">
        <w:rPr>
          <w:rFonts w:ascii="Arial" w:hAnsi="Arial" w:cs="Arial"/>
        </w:rPr>
        <w:t>were tested using Friedman test.</w:t>
      </w:r>
      <w:r w:rsidR="005D75B0">
        <w:rPr>
          <w:rFonts w:ascii="Arial" w:hAnsi="Arial" w:cs="Arial"/>
        </w:rPr>
        <w:t xml:space="preserve"> All data were shown as mean </w:t>
      </w:r>
      <w:r w:rsidR="005D75B0" w:rsidRPr="7B5AC5CB">
        <w:rPr>
          <w:rFonts w:ascii="Arial" w:hAnsi="Arial" w:cs="Arial"/>
          <w:color w:val="000000" w:themeColor="text1"/>
        </w:rPr>
        <w:t>±</w:t>
      </w:r>
      <w:r w:rsidR="005D75B0">
        <w:rPr>
          <w:rFonts w:ascii="Arial" w:hAnsi="Arial" w:cs="Arial"/>
          <w:color w:val="000000" w:themeColor="text1"/>
        </w:rPr>
        <w:t xml:space="preserve"> SD.</w:t>
      </w:r>
    </w:p>
    <w:p w14:paraId="7D962E78" w14:textId="77777777" w:rsidR="002F14E5" w:rsidRDefault="002F14E5"/>
    <w:p w14:paraId="29B7AB7B" w14:textId="77777777" w:rsidR="00B14279" w:rsidRDefault="00B14279">
      <w:pPr>
        <w:rPr>
          <w:rFonts w:ascii="Arial" w:hAnsi="Arial" w:cs="Arial"/>
        </w:rPr>
      </w:pPr>
    </w:p>
    <w:p w14:paraId="4F4AF04C" w14:textId="4C1055C8" w:rsidR="00E9342A" w:rsidRPr="00BD7054" w:rsidRDefault="00E9342A">
      <w:pPr>
        <w:rPr>
          <w:rFonts w:ascii="Arial" w:hAnsi="Arial" w:cs="Arial"/>
        </w:rPr>
      </w:pPr>
      <w:r w:rsidRPr="00BD7054">
        <w:rPr>
          <w:rFonts w:ascii="Arial" w:hAnsi="Arial" w:cs="Arial"/>
        </w:rPr>
        <w:t>Results</w:t>
      </w:r>
    </w:p>
    <w:p w14:paraId="33BBFCC6" w14:textId="77777777" w:rsidR="00276A8A" w:rsidRDefault="00276A8A"/>
    <w:p w14:paraId="2243CE5A" w14:textId="0E4BE5D8" w:rsidR="00B74C55" w:rsidRDefault="003F6C9B" w:rsidP="009247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Mean </w:t>
      </w:r>
      <w:r w:rsidR="5C127597" w:rsidRPr="3FD29F72">
        <w:rPr>
          <w:rFonts w:ascii="Arial" w:hAnsi="Arial" w:cs="Arial"/>
        </w:rPr>
        <w:t xml:space="preserve">TNC counts in BMA </w:t>
      </w:r>
      <w:r>
        <w:rPr>
          <w:rFonts w:ascii="Arial" w:hAnsi="Arial" w:cs="Arial"/>
        </w:rPr>
        <w:t xml:space="preserve">and </w:t>
      </w:r>
      <w:r w:rsidR="5C127597" w:rsidRPr="3FD29F72">
        <w:rPr>
          <w:rFonts w:ascii="Arial" w:hAnsi="Arial" w:cs="Arial"/>
        </w:rPr>
        <w:t>BMA</w:t>
      </w:r>
      <w:r w:rsidR="0021047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were </w:t>
      </w:r>
      <w:r w:rsidR="00820887">
        <w:rPr>
          <w:rFonts w:ascii="Arial" w:hAnsi="Arial" w:cs="Arial"/>
        </w:rPr>
        <w:t>not significant</w:t>
      </w:r>
      <w:r>
        <w:rPr>
          <w:rFonts w:ascii="Arial" w:hAnsi="Arial" w:cs="Arial"/>
        </w:rPr>
        <w:t>ly different</w:t>
      </w:r>
      <w:r w:rsidR="005D23DD">
        <w:rPr>
          <w:rFonts w:ascii="Arial" w:hAnsi="Arial" w:cs="Arial"/>
        </w:rPr>
        <w:t xml:space="preserve"> </w:t>
      </w:r>
      <w:r w:rsidR="005D23DD" w:rsidRPr="3FD29F72">
        <w:rPr>
          <w:rFonts w:ascii="Arial" w:hAnsi="Arial" w:cs="Arial"/>
        </w:rPr>
        <w:t>(</w:t>
      </w:r>
      <w:r w:rsidR="00B74C55" w:rsidRPr="00B74C55">
        <w:rPr>
          <w:rFonts w:ascii="Arial" w:hAnsi="Arial" w:cs="Arial"/>
        </w:rPr>
        <w:t>14.</w:t>
      </w:r>
      <w:r w:rsidR="00210476">
        <w:rPr>
          <w:rFonts w:ascii="Arial" w:hAnsi="Arial" w:cs="Arial"/>
        </w:rPr>
        <w:t>0</w:t>
      </w:r>
      <w:r w:rsidR="00B74C55" w:rsidRPr="00B74C55">
        <w:rPr>
          <w:rFonts w:ascii="Arial" w:hAnsi="Arial" w:cs="Arial"/>
        </w:rPr>
        <w:t xml:space="preserve"> ± </w:t>
      </w:r>
      <w:r w:rsidR="00210476">
        <w:rPr>
          <w:rFonts w:ascii="Arial" w:hAnsi="Arial" w:cs="Arial"/>
        </w:rPr>
        <w:t>4.4</w:t>
      </w:r>
      <w:r w:rsidR="00B74C55">
        <w:rPr>
          <w:rFonts w:ascii="Arial" w:hAnsi="Arial" w:cs="Arial"/>
        </w:rPr>
        <w:t xml:space="preserve"> million/ml</w:t>
      </w:r>
      <w:r w:rsidR="00210476">
        <w:rPr>
          <w:rFonts w:ascii="Arial" w:hAnsi="Arial" w:cs="Arial"/>
        </w:rPr>
        <w:t xml:space="preserve"> and 19.4</w:t>
      </w:r>
      <w:r w:rsidR="00B74C55" w:rsidRPr="00B74C55">
        <w:rPr>
          <w:rFonts w:ascii="Arial" w:hAnsi="Arial" w:cs="Arial"/>
        </w:rPr>
        <w:t xml:space="preserve"> ± 3</w:t>
      </w:r>
      <w:r w:rsidR="00BA0C0B">
        <w:rPr>
          <w:rFonts w:ascii="Arial" w:hAnsi="Arial" w:cs="Arial"/>
        </w:rPr>
        <w:t>2</w:t>
      </w:r>
      <w:r w:rsidR="00B74C55" w:rsidRPr="00B74C55">
        <w:rPr>
          <w:rFonts w:ascii="Arial" w:hAnsi="Arial" w:cs="Arial"/>
        </w:rPr>
        <w:t>.</w:t>
      </w:r>
      <w:r w:rsidR="00210476">
        <w:rPr>
          <w:rFonts w:ascii="Arial" w:hAnsi="Arial" w:cs="Arial"/>
        </w:rPr>
        <w:t>9</w:t>
      </w:r>
      <w:r w:rsidR="00B74C55">
        <w:rPr>
          <w:rFonts w:ascii="Arial" w:hAnsi="Arial" w:cs="Arial"/>
        </w:rPr>
        <w:t xml:space="preserve"> million/ml</w:t>
      </w:r>
      <w:r w:rsidR="00271C5C">
        <w:rPr>
          <w:rFonts w:ascii="Arial" w:hAnsi="Arial" w:cs="Arial"/>
        </w:rPr>
        <w:t xml:space="preserve">, </w:t>
      </w:r>
      <w:r w:rsidR="00210476">
        <w:rPr>
          <w:rFonts w:ascii="Arial" w:hAnsi="Arial" w:cs="Arial"/>
        </w:rPr>
        <w:t xml:space="preserve">respectively, </w:t>
      </w:r>
      <w:r w:rsidR="00271C5C" w:rsidRPr="00271C5C">
        <w:rPr>
          <w:rFonts w:ascii="Arial" w:hAnsi="Arial" w:cs="Arial"/>
          <w:i/>
          <w:iCs/>
        </w:rPr>
        <w:t>P</w:t>
      </w:r>
      <w:r w:rsidR="00271C5C">
        <w:rPr>
          <w:rFonts w:ascii="Arial" w:hAnsi="Arial" w:cs="Arial"/>
        </w:rPr>
        <w:t>&gt;0.9999</w:t>
      </w:r>
      <w:r w:rsidR="00210476">
        <w:rPr>
          <w:rFonts w:ascii="Arial" w:hAnsi="Arial" w:cs="Arial"/>
        </w:rPr>
        <w:t>)</w:t>
      </w:r>
      <w:r w:rsidR="00820887">
        <w:rPr>
          <w:rFonts w:ascii="Arial" w:hAnsi="Arial" w:cs="Arial"/>
        </w:rPr>
        <w:t>.</w:t>
      </w:r>
      <w:r w:rsidR="5C127597" w:rsidRPr="3FD29F72">
        <w:rPr>
          <w:rFonts w:ascii="Arial" w:hAnsi="Arial" w:cs="Arial"/>
        </w:rPr>
        <w:t xml:space="preserve"> </w:t>
      </w:r>
      <w:r w:rsidR="00820887">
        <w:rPr>
          <w:rFonts w:ascii="Arial" w:hAnsi="Arial" w:cs="Arial"/>
        </w:rPr>
        <w:t>H</w:t>
      </w:r>
      <w:r w:rsidR="5C127597" w:rsidRPr="3FD29F72">
        <w:rPr>
          <w:rFonts w:ascii="Arial" w:hAnsi="Arial" w:cs="Arial"/>
        </w:rPr>
        <w:t xml:space="preserve">owever, TNC counts </w:t>
      </w:r>
      <w:r w:rsidR="58AC4132" w:rsidRPr="3FD29F72">
        <w:rPr>
          <w:rFonts w:ascii="Arial" w:hAnsi="Arial" w:cs="Arial"/>
        </w:rPr>
        <w:t xml:space="preserve">were </w:t>
      </w:r>
      <w:r w:rsidR="00820887">
        <w:rPr>
          <w:rFonts w:ascii="Arial" w:hAnsi="Arial" w:cs="Arial"/>
        </w:rPr>
        <w:t>significantly lower</w:t>
      </w:r>
      <w:r w:rsidR="58AC4132" w:rsidRPr="3FD29F72">
        <w:rPr>
          <w:rFonts w:ascii="Arial" w:hAnsi="Arial" w:cs="Arial"/>
        </w:rPr>
        <w:t xml:space="preserve"> in</w:t>
      </w:r>
      <w:r w:rsidR="5C127597" w:rsidRPr="3FD29F72">
        <w:rPr>
          <w:rFonts w:ascii="Arial" w:hAnsi="Arial" w:cs="Arial"/>
        </w:rPr>
        <w:t xml:space="preserve"> </w:t>
      </w:r>
      <w:bookmarkStart w:id="0" w:name="_Hlk130214724"/>
      <w:r w:rsidR="542899AA" w:rsidRPr="3FD29F72">
        <w:rPr>
          <w:rFonts w:ascii="Arial" w:hAnsi="Arial" w:cs="Arial"/>
        </w:rPr>
        <w:t>B+T</w:t>
      </w:r>
      <w:r w:rsidR="58AC4132" w:rsidRPr="3FD29F72">
        <w:rPr>
          <w:rFonts w:ascii="Arial" w:hAnsi="Arial" w:cs="Arial"/>
        </w:rPr>
        <w:t xml:space="preserve"> </w:t>
      </w:r>
      <w:r w:rsidR="00210476">
        <w:rPr>
          <w:rFonts w:ascii="Arial" w:hAnsi="Arial" w:cs="Arial"/>
        </w:rPr>
        <w:t>compared to</w:t>
      </w:r>
      <w:r w:rsidR="58AC4132" w:rsidRPr="3FD29F72">
        <w:rPr>
          <w:rFonts w:ascii="Arial" w:hAnsi="Arial" w:cs="Arial"/>
        </w:rPr>
        <w:t xml:space="preserve"> BMAC</w:t>
      </w:r>
      <w:r w:rsidR="00273644">
        <w:rPr>
          <w:rFonts w:ascii="Arial" w:hAnsi="Arial" w:cs="Arial"/>
        </w:rPr>
        <w:t xml:space="preserve"> (</w:t>
      </w:r>
      <w:r w:rsidR="00B74C55" w:rsidRPr="00B74C55">
        <w:rPr>
          <w:rFonts w:ascii="Arial" w:hAnsi="Arial" w:cs="Arial"/>
        </w:rPr>
        <w:t>9.</w:t>
      </w:r>
      <w:r w:rsidR="00210476">
        <w:rPr>
          <w:rFonts w:ascii="Arial" w:hAnsi="Arial" w:cs="Arial"/>
        </w:rPr>
        <w:t>7</w:t>
      </w:r>
      <w:r w:rsidR="00B74C55" w:rsidRPr="00B74C55">
        <w:rPr>
          <w:rFonts w:ascii="Arial" w:hAnsi="Arial" w:cs="Arial"/>
        </w:rPr>
        <w:t xml:space="preserve"> ± 2</w:t>
      </w:r>
      <w:r w:rsidR="00210476">
        <w:rPr>
          <w:rFonts w:ascii="Arial" w:hAnsi="Arial" w:cs="Arial"/>
        </w:rPr>
        <w:t>4</w:t>
      </w:r>
      <w:r w:rsidR="00B74C55" w:rsidRPr="00B74C55">
        <w:rPr>
          <w:rFonts w:ascii="Arial" w:hAnsi="Arial" w:cs="Arial"/>
        </w:rPr>
        <w:t>.</w:t>
      </w:r>
      <w:r w:rsidR="00210476">
        <w:rPr>
          <w:rFonts w:ascii="Arial" w:hAnsi="Arial" w:cs="Arial"/>
        </w:rPr>
        <w:t>5</w:t>
      </w:r>
      <w:r w:rsidR="00B74C55">
        <w:rPr>
          <w:rFonts w:ascii="Arial" w:hAnsi="Arial" w:cs="Arial"/>
        </w:rPr>
        <w:t xml:space="preserve"> million/ml</w:t>
      </w:r>
      <w:r w:rsidR="00210476">
        <w:rPr>
          <w:rFonts w:ascii="Arial" w:hAnsi="Arial" w:cs="Arial"/>
        </w:rPr>
        <w:t xml:space="preserve"> and 19.4</w:t>
      </w:r>
      <w:r w:rsidR="00210476" w:rsidRPr="00B74C55">
        <w:rPr>
          <w:rFonts w:ascii="Arial" w:hAnsi="Arial" w:cs="Arial"/>
        </w:rPr>
        <w:t xml:space="preserve"> ± 3</w:t>
      </w:r>
      <w:r w:rsidR="00210476">
        <w:rPr>
          <w:rFonts w:ascii="Arial" w:hAnsi="Arial" w:cs="Arial"/>
        </w:rPr>
        <w:t>2</w:t>
      </w:r>
      <w:r w:rsidR="00210476" w:rsidRPr="00B74C55">
        <w:rPr>
          <w:rFonts w:ascii="Arial" w:hAnsi="Arial" w:cs="Arial"/>
        </w:rPr>
        <w:t>.</w:t>
      </w:r>
      <w:r w:rsidR="00210476">
        <w:rPr>
          <w:rFonts w:ascii="Arial" w:hAnsi="Arial" w:cs="Arial"/>
        </w:rPr>
        <w:t xml:space="preserve">9 </w:t>
      </w:r>
      <w:r w:rsidR="00B74C55">
        <w:rPr>
          <w:rFonts w:ascii="Arial" w:hAnsi="Arial" w:cs="Arial"/>
        </w:rPr>
        <w:t>million/ml,</w:t>
      </w:r>
      <w:r w:rsidR="00210476">
        <w:rPr>
          <w:rFonts w:ascii="Arial" w:hAnsi="Arial" w:cs="Arial"/>
        </w:rPr>
        <w:t xml:space="preserve"> respectively,</w:t>
      </w:r>
      <w:r w:rsidR="00B74C55">
        <w:rPr>
          <w:rFonts w:ascii="Arial" w:hAnsi="Arial" w:cs="Arial"/>
        </w:rPr>
        <w:t xml:space="preserve"> </w:t>
      </w:r>
      <w:r w:rsidR="00507643" w:rsidRPr="005E2055">
        <w:rPr>
          <w:rFonts w:ascii="Arial" w:hAnsi="Arial" w:cs="Arial"/>
          <w:i/>
          <w:iCs/>
        </w:rPr>
        <w:t>P</w:t>
      </w:r>
      <w:r w:rsidR="00BD35CC" w:rsidRPr="00085AEC">
        <w:rPr>
          <w:rFonts w:ascii="Arial" w:hAnsi="Arial" w:cs="Arial"/>
        </w:rPr>
        <w:t>=</w:t>
      </w:r>
      <w:r w:rsidR="00507643" w:rsidRPr="00085AEC">
        <w:rPr>
          <w:rFonts w:ascii="Arial" w:hAnsi="Arial" w:cs="Arial"/>
        </w:rPr>
        <w:t>0.0167</w:t>
      </w:r>
      <w:r w:rsidR="00085AEC">
        <w:rPr>
          <w:rFonts w:ascii="Arial" w:hAnsi="Arial" w:cs="Arial"/>
        </w:rPr>
        <w:t>)</w:t>
      </w:r>
      <w:bookmarkEnd w:id="0"/>
      <w:r w:rsidR="5C127597" w:rsidRPr="3FD29F72">
        <w:rPr>
          <w:rFonts w:ascii="Arial" w:hAnsi="Arial" w:cs="Arial"/>
        </w:rPr>
        <w:t xml:space="preserve">. </w:t>
      </w:r>
      <w:r w:rsidR="00210476">
        <w:rPr>
          <w:rFonts w:ascii="Arial" w:hAnsi="Arial" w:cs="Arial"/>
        </w:rPr>
        <w:t xml:space="preserve">Similarly, PLT counts were decreased in B+T compared to BMAC (40.7 </w:t>
      </w:r>
      <w:r w:rsidR="00210476" w:rsidRPr="00B74C55">
        <w:rPr>
          <w:rFonts w:ascii="Arial" w:hAnsi="Arial" w:cs="Arial"/>
        </w:rPr>
        <w:t>±</w:t>
      </w:r>
      <w:r w:rsidR="00210476">
        <w:rPr>
          <w:rFonts w:ascii="Arial" w:hAnsi="Arial" w:cs="Arial"/>
        </w:rPr>
        <w:t xml:space="preserve"> 30.7 million/ml and 417.5 </w:t>
      </w:r>
      <w:r w:rsidR="00210476" w:rsidRPr="00B74C55">
        <w:rPr>
          <w:rFonts w:ascii="Arial" w:hAnsi="Arial" w:cs="Arial"/>
        </w:rPr>
        <w:t>±</w:t>
      </w:r>
      <w:r w:rsidR="00210476">
        <w:rPr>
          <w:rFonts w:ascii="Arial" w:hAnsi="Arial" w:cs="Arial"/>
        </w:rPr>
        <w:t xml:space="preserve"> 365.5 million/ml, respectively, </w:t>
      </w:r>
      <w:r w:rsidR="00210476" w:rsidRPr="005E2055">
        <w:rPr>
          <w:rFonts w:ascii="Arial" w:hAnsi="Arial" w:cs="Arial"/>
          <w:i/>
          <w:iCs/>
        </w:rPr>
        <w:t>P</w:t>
      </w:r>
      <w:r w:rsidR="00210476">
        <w:rPr>
          <w:rFonts w:ascii="Arial" w:hAnsi="Arial" w:cs="Arial"/>
        </w:rPr>
        <w:t xml:space="preserve">&lt;0.0001), however, PLTs were significantly concentrated in BMAC compared to BMA (417.5 </w:t>
      </w:r>
      <w:r w:rsidR="00210476" w:rsidRPr="00B74C55">
        <w:rPr>
          <w:rFonts w:ascii="Arial" w:hAnsi="Arial" w:cs="Arial"/>
        </w:rPr>
        <w:t>±</w:t>
      </w:r>
      <w:r w:rsidR="00210476">
        <w:rPr>
          <w:rFonts w:ascii="Arial" w:hAnsi="Arial" w:cs="Arial"/>
        </w:rPr>
        <w:t xml:space="preserve"> 365.5 million/ml and 114.8 </w:t>
      </w:r>
      <w:r w:rsidR="00210476" w:rsidRPr="00B74C55">
        <w:rPr>
          <w:rFonts w:ascii="Arial" w:hAnsi="Arial" w:cs="Arial"/>
        </w:rPr>
        <w:t>±</w:t>
      </w:r>
      <w:r w:rsidR="00210476">
        <w:rPr>
          <w:rFonts w:ascii="Arial" w:hAnsi="Arial" w:cs="Arial"/>
        </w:rPr>
        <w:t xml:space="preserve"> 61.6 million/ml, respectively, </w:t>
      </w:r>
      <w:r w:rsidR="00210476" w:rsidRPr="005E2055">
        <w:rPr>
          <w:rFonts w:ascii="Arial" w:hAnsi="Arial" w:cs="Arial"/>
          <w:i/>
          <w:iCs/>
        </w:rPr>
        <w:t>P</w:t>
      </w:r>
      <w:r w:rsidR="00210476" w:rsidRPr="00085AEC">
        <w:rPr>
          <w:rFonts w:ascii="Arial" w:hAnsi="Arial" w:cs="Arial"/>
        </w:rPr>
        <w:t>=</w:t>
      </w:r>
      <w:r w:rsidR="00210476">
        <w:rPr>
          <w:rFonts w:ascii="Arial" w:hAnsi="Arial" w:cs="Arial"/>
        </w:rPr>
        <w:t xml:space="preserve">0.0429). </w:t>
      </w:r>
    </w:p>
    <w:p w14:paraId="454D7BE4" w14:textId="54681352" w:rsidR="0092475D" w:rsidRDefault="5C127597" w:rsidP="0092475D">
      <w:pPr>
        <w:spacing w:line="360" w:lineRule="auto"/>
        <w:jc w:val="both"/>
        <w:rPr>
          <w:rFonts w:ascii="Arial" w:hAnsi="Arial" w:cs="Arial"/>
        </w:rPr>
      </w:pPr>
      <w:r w:rsidRPr="3FD29F72">
        <w:rPr>
          <w:rFonts w:ascii="Arial" w:hAnsi="Arial" w:cs="Arial"/>
        </w:rPr>
        <w:t xml:space="preserve">RBC counts were significantly decreased </w:t>
      </w:r>
      <w:r w:rsidR="58AC4132" w:rsidRPr="3FD29F72">
        <w:rPr>
          <w:rFonts w:ascii="Arial" w:hAnsi="Arial" w:cs="Arial"/>
        </w:rPr>
        <w:t xml:space="preserve">in BMAC and B+T </w:t>
      </w:r>
      <w:r w:rsidR="001437ED">
        <w:rPr>
          <w:rFonts w:ascii="Arial" w:hAnsi="Arial" w:cs="Arial"/>
        </w:rPr>
        <w:t>compared to</w:t>
      </w:r>
      <w:r w:rsidR="58AC4132" w:rsidRPr="3FD29F72">
        <w:rPr>
          <w:rFonts w:ascii="Arial" w:hAnsi="Arial" w:cs="Arial"/>
        </w:rPr>
        <w:t xml:space="preserve"> BMA</w:t>
      </w:r>
      <w:r w:rsidRPr="3FD29F72">
        <w:rPr>
          <w:rFonts w:ascii="Arial" w:hAnsi="Arial" w:cs="Arial"/>
        </w:rPr>
        <w:t xml:space="preserve"> (</w:t>
      </w:r>
      <w:r w:rsidR="00507643" w:rsidRPr="005E2055">
        <w:rPr>
          <w:rFonts w:ascii="Arial" w:hAnsi="Arial" w:cs="Arial"/>
          <w:i/>
          <w:iCs/>
        </w:rPr>
        <w:t>P</w:t>
      </w:r>
      <w:r w:rsidR="00BD35CC" w:rsidRPr="00085AEC">
        <w:rPr>
          <w:rFonts w:ascii="Arial" w:hAnsi="Arial" w:cs="Arial"/>
        </w:rPr>
        <w:t>=</w:t>
      </w:r>
      <w:r w:rsidR="00507643" w:rsidRPr="00085AEC">
        <w:rPr>
          <w:rFonts w:ascii="Arial" w:hAnsi="Arial" w:cs="Arial"/>
        </w:rPr>
        <w:t>0.0</w:t>
      </w:r>
      <w:r w:rsidR="001437ED">
        <w:rPr>
          <w:rFonts w:ascii="Arial" w:hAnsi="Arial" w:cs="Arial"/>
        </w:rPr>
        <w:t>322</w:t>
      </w:r>
      <w:r w:rsidR="00273644">
        <w:rPr>
          <w:rFonts w:ascii="Arial" w:hAnsi="Arial" w:cs="Arial"/>
        </w:rPr>
        <w:t xml:space="preserve"> and </w:t>
      </w:r>
      <w:r w:rsidR="00507643" w:rsidRPr="005E2055">
        <w:rPr>
          <w:rFonts w:ascii="Arial" w:hAnsi="Arial" w:cs="Arial"/>
          <w:i/>
          <w:iCs/>
        </w:rPr>
        <w:t>P</w:t>
      </w:r>
      <w:r w:rsidR="00507643" w:rsidRPr="00085AEC">
        <w:rPr>
          <w:rFonts w:ascii="Arial" w:hAnsi="Arial" w:cs="Arial"/>
        </w:rPr>
        <w:t>&lt;0.0001</w:t>
      </w:r>
      <w:r w:rsidRPr="3FD29F72">
        <w:rPr>
          <w:rFonts w:ascii="Arial" w:hAnsi="Arial" w:cs="Arial"/>
        </w:rPr>
        <w:t xml:space="preserve">, </w:t>
      </w:r>
      <w:r w:rsidR="00273644">
        <w:rPr>
          <w:rFonts w:ascii="Arial" w:hAnsi="Arial" w:cs="Arial"/>
        </w:rPr>
        <w:t>respectively</w:t>
      </w:r>
      <w:r w:rsidRPr="3FD29F72">
        <w:rPr>
          <w:rFonts w:ascii="Arial" w:hAnsi="Arial" w:cs="Arial"/>
        </w:rPr>
        <w:t xml:space="preserve">). </w:t>
      </w:r>
      <w:r w:rsidR="001437ED">
        <w:rPr>
          <w:rFonts w:ascii="Arial" w:hAnsi="Arial" w:cs="Arial"/>
        </w:rPr>
        <w:t>H</w:t>
      </w:r>
      <w:r w:rsidR="00BD35CC" w:rsidRPr="3FD29F72">
        <w:rPr>
          <w:rFonts w:ascii="Arial" w:hAnsi="Arial" w:cs="Arial"/>
        </w:rPr>
        <w:t>igher concentration of MSCs</w:t>
      </w:r>
      <w:r w:rsidR="00BD35CC">
        <w:rPr>
          <w:rFonts w:ascii="Arial" w:hAnsi="Arial" w:cs="Arial"/>
        </w:rPr>
        <w:t xml:space="preserve"> </w:t>
      </w:r>
      <w:r w:rsidR="001437ED">
        <w:rPr>
          <w:rFonts w:ascii="Arial" w:hAnsi="Arial" w:cs="Arial"/>
        </w:rPr>
        <w:t xml:space="preserve">were observed </w:t>
      </w:r>
      <w:r w:rsidR="00BD35CC">
        <w:rPr>
          <w:rFonts w:ascii="Arial" w:hAnsi="Arial" w:cs="Arial"/>
        </w:rPr>
        <w:t xml:space="preserve">in BMAC </w:t>
      </w:r>
      <w:r w:rsidR="001437ED">
        <w:rPr>
          <w:rFonts w:ascii="Arial" w:hAnsi="Arial" w:cs="Arial"/>
        </w:rPr>
        <w:t>compared to</w:t>
      </w:r>
      <w:r w:rsidR="00BD35CC" w:rsidRPr="3FD29F72">
        <w:rPr>
          <w:rFonts w:ascii="Arial" w:hAnsi="Arial" w:cs="Arial"/>
        </w:rPr>
        <w:t xml:space="preserve"> </w:t>
      </w:r>
      <w:r w:rsidRPr="3FD29F72">
        <w:rPr>
          <w:rFonts w:ascii="Arial" w:hAnsi="Arial" w:cs="Arial"/>
        </w:rPr>
        <w:t>BMA</w:t>
      </w:r>
      <w:r w:rsidR="542899AA" w:rsidRPr="3FD29F72">
        <w:rPr>
          <w:rFonts w:ascii="Arial" w:hAnsi="Arial" w:cs="Arial"/>
        </w:rPr>
        <w:t xml:space="preserve"> (</w:t>
      </w:r>
      <w:r w:rsidR="00AD417F">
        <w:rPr>
          <w:rFonts w:ascii="Arial" w:hAnsi="Arial" w:cs="Arial"/>
        </w:rPr>
        <w:t>0.00</w:t>
      </w:r>
      <w:r w:rsidR="001437ED">
        <w:rPr>
          <w:rFonts w:ascii="Arial" w:hAnsi="Arial" w:cs="Arial"/>
        </w:rPr>
        <w:t>6</w:t>
      </w:r>
      <w:r w:rsidR="00AD417F">
        <w:rPr>
          <w:rFonts w:ascii="Arial" w:hAnsi="Arial" w:cs="Arial"/>
        </w:rPr>
        <w:t xml:space="preserve">% </w:t>
      </w:r>
      <w:r w:rsidR="00AD417F" w:rsidRPr="00B74C55">
        <w:rPr>
          <w:rFonts w:ascii="Arial" w:hAnsi="Arial" w:cs="Arial"/>
        </w:rPr>
        <w:t>±</w:t>
      </w:r>
      <w:r w:rsidR="00AD417F">
        <w:rPr>
          <w:rFonts w:ascii="Arial" w:hAnsi="Arial" w:cs="Arial"/>
        </w:rPr>
        <w:t xml:space="preserve"> 0.01%</w:t>
      </w:r>
      <w:r w:rsidR="001437ED">
        <w:rPr>
          <w:rFonts w:ascii="Arial" w:hAnsi="Arial" w:cs="Arial"/>
        </w:rPr>
        <w:t xml:space="preserve"> and </w:t>
      </w:r>
      <w:r w:rsidR="00AD417F">
        <w:rPr>
          <w:rFonts w:ascii="Arial" w:hAnsi="Arial" w:cs="Arial"/>
        </w:rPr>
        <w:t>0.0000</w:t>
      </w:r>
      <w:r w:rsidR="001437ED">
        <w:rPr>
          <w:rFonts w:ascii="Arial" w:hAnsi="Arial" w:cs="Arial"/>
        </w:rPr>
        <w:t>7</w:t>
      </w:r>
      <w:r w:rsidR="00AD417F">
        <w:rPr>
          <w:rFonts w:ascii="Arial" w:hAnsi="Arial" w:cs="Arial"/>
        </w:rPr>
        <w:t xml:space="preserve">% </w:t>
      </w:r>
      <w:r w:rsidR="00AD417F" w:rsidRPr="00B74C55">
        <w:rPr>
          <w:rFonts w:ascii="Arial" w:hAnsi="Arial" w:cs="Arial"/>
        </w:rPr>
        <w:t>±</w:t>
      </w:r>
      <w:r w:rsidR="00AD417F">
        <w:rPr>
          <w:rFonts w:ascii="Arial" w:hAnsi="Arial" w:cs="Arial"/>
        </w:rPr>
        <w:t xml:space="preserve"> 0.0001%</w:t>
      </w:r>
      <w:r w:rsidR="001437ED">
        <w:rPr>
          <w:rFonts w:ascii="Arial" w:hAnsi="Arial" w:cs="Arial"/>
        </w:rPr>
        <w:t xml:space="preserve">, respectively, </w:t>
      </w:r>
      <w:r w:rsidR="00507643" w:rsidRPr="005E2055">
        <w:rPr>
          <w:rFonts w:ascii="Arial" w:hAnsi="Arial" w:cs="Arial"/>
          <w:i/>
          <w:iCs/>
        </w:rPr>
        <w:t>P</w:t>
      </w:r>
      <w:r w:rsidR="00507643">
        <w:rPr>
          <w:rFonts w:ascii="Arial" w:hAnsi="Arial" w:cs="Arial"/>
        </w:rPr>
        <w:t>=0.0</w:t>
      </w:r>
      <w:r w:rsidR="001437ED">
        <w:rPr>
          <w:rFonts w:ascii="Arial" w:hAnsi="Arial" w:cs="Arial"/>
        </w:rPr>
        <w:t>176</w:t>
      </w:r>
      <w:r w:rsidR="542899AA" w:rsidRPr="3FD29F72">
        <w:rPr>
          <w:rFonts w:ascii="Arial" w:hAnsi="Arial" w:cs="Arial"/>
        </w:rPr>
        <w:t>)</w:t>
      </w:r>
      <w:r w:rsidR="00EE336C">
        <w:rPr>
          <w:rFonts w:ascii="Arial" w:hAnsi="Arial" w:cs="Arial"/>
        </w:rPr>
        <w:t>.</w:t>
      </w:r>
      <w:r w:rsidR="542899AA" w:rsidRPr="3FD29F72">
        <w:rPr>
          <w:rFonts w:ascii="Arial" w:hAnsi="Arial" w:cs="Arial"/>
        </w:rPr>
        <w:t xml:space="preserve"> </w:t>
      </w:r>
      <w:proofErr w:type="gramStart"/>
      <w:r w:rsidR="00EE336C">
        <w:rPr>
          <w:rFonts w:ascii="Arial" w:hAnsi="Arial" w:cs="Arial"/>
        </w:rPr>
        <w:t>S</w:t>
      </w:r>
      <w:r w:rsidR="001437ED">
        <w:rPr>
          <w:rFonts w:ascii="Arial" w:hAnsi="Arial" w:cs="Arial"/>
        </w:rPr>
        <w:t>imilar to</w:t>
      </w:r>
      <w:proofErr w:type="gramEnd"/>
      <w:r w:rsidR="001437ED">
        <w:rPr>
          <w:rFonts w:ascii="Arial" w:hAnsi="Arial" w:cs="Arial"/>
        </w:rPr>
        <w:t xml:space="preserve"> TNCs and PLTs</w:t>
      </w:r>
      <w:r w:rsidR="542899AA" w:rsidRPr="3FD29F72">
        <w:rPr>
          <w:rFonts w:ascii="Arial" w:hAnsi="Arial" w:cs="Arial"/>
        </w:rPr>
        <w:t xml:space="preserve">, the proportion of MSCs significantly </w:t>
      </w:r>
      <w:r w:rsidR="00BD35CC">
        <w:rPr>
          <w:rFonts w:ascii="Arial" w:hAnsi="Arial" w:cs="Arial"/>
        </w:rPr>
        <w:t xml:space="preserve">decreased </w:t>
      </w:r>
      <w:r w:rsidR="542899AA" w:rsidRPr="3FD29F72">
        <w:rPr>
          <w:rFonts w:ascii="Arial" w:hAnsi="Arial" w:cs="Arial"/>
        </w:rPr>
        <w:t xml:space="preserve">in B+T </w:t>
      </w:r>
      <w:r w:rsidR="001437ED">
        <w:rPr>
          <w:rFonts w:ascii="Arial" w:hAnsi="Arial" w:cs="Arial"/>
        </w:rPr>
        <w:t xml:space="preserve">compared to </w:t>
      </w:r>
      <w:r w:rsidR="00271C5C">
        <w:rPr>
          <w:rFonts w:ascii="Arial" w:hAnsi="Arial" w:cs="Arial"/>
        </w:rPr>
        <w:t xml:space="preserve">BMAC </w:t>
      </w:r>
      <w:r w:rsidR="542899AA" w:rsidRPr="3FD29F72">
        <w:rPr>
          <w:rFonts w:ascii="Arial" w:hAnsi="Arial" w:cs="Arial"/>
        </w:rPr>
        <w:t>(</w:t>
      </w:r>
      <w:r w:rsidR="00271C5C">
        <w:rPr>
          <w:rFonts w:ascii="Arial" w:hAnsi="Arial" w:cs="Arial"/>
        </w:rPr>
        <w:t>B+T: 0.000</w:t>
      </w:r>
      <w:r w:rsidR="001437ED">
        <w:rPr>
          <w:rFonts w:ascii="Arial" w:hAnsi="Arial" w:cs="Arial"/>
        </w:rPr>
        <w:t>4</w:t>
      </w:r>
      <w:r w:rsidR="00271C5C">
        <w:rPr>
          <w:rFonts w:ascii="Arial" w:hAnsi="Arial" w:cs="Arial"/>
        </w:rPr>
        <w:t xml:space="preserve">% </w:t>
      </w:r>
      <w:r w:rsidR="00271C5C" w:rsidRPr="00B74C55">
        <w:rPr>
          <w:rFonts w:ascii="Arial" w:hAnsi="Arial" w:cs="Arial"/>
        </w:rPr>
        <w:t>±</w:t>
      </w:r>
      <w:r w:rsidR="00271C5C">
        <w:rPr>
          <w:rFonts w:ascii="Arial" w:hAnsi="Arial" w:cs="Arial"/>
        </w:rPr>
        <w:t xml:space="preserve"> 0.001%</w:t>
      </w:r>
      <w:r w:rsidR="00590FD5">
        <w:rPr>
          <w:rFonts w:ascii="Arial" w:hAnsi="Arial" w:cs="Arial"/>
        </w:rPr>
        <w:t xml:space="preserve">, </w:t>
      </w:r>
      <w:r w:rsidR="00507643" w:rsidRPr="005E2055">
        <w:rPr>
          <w:rFonts w:ascii="Arial" w:hAnsi="Arial" w:cs="Arial"/>
          <w:i/>
          <w:iCs/>
        </w:rPr>
        <w:t>P</w:t>
      </w:r>
      <w:r w:rsidR="00507643">
        <w:rPr>
          <w:rFonts w:ascii="Arial" w:hAnsi="Arial" w:cs="Arial"/>
        </w:rPr>
        <w:t>=0.00</w:t>
      </w:r>
      <w:r w:rsidR="00271C5C">
        <w:rPr>
          <w:rFonts w:ascii="Arial" w:hAnsi="Arial" w:cs="Arial"/>
        </w:rPr>
        <w:t>2</w:t>
      </w:r>
      <w:r w:rsidR="001437ED">
        <w:rPr>
          <w:rFonts w:ascii="Arial" w:hAnsi="Arial" w:cs="Arial"/>
        </w:rPr>
        <w:t>3</w:t>
      </w:r>
      <w:r w:rsidR="542899AA" w:rsidRPr="3FD29F72">
        <w:rPr>
          <w:rFonts w:ascii="Arial" w:hAnsi="Arial" w:cs="Arial"/>
        </w:rPr>
        <w:t>). Further</w:t>
      </w:r>
      <w:r w:rsidR="00EE336C">
        <w:rPr>
          <w:rFonts w:ascii="Arial" w:hAnsi="Arial" w:cs="Arial"/>
        </w:rPr>
        <w:t>more</w:t>
      </w:r>
      <w:r w:rsidR="542899AA" w:rsidRPr="3FD29F72">
        <w:rPr>
          <w:rFonts w:ascii="Arial" w:hAnsi="Arial" w:cs="Arial"/>
        </w:rPr>
        <w:t>,</w:t>
      </w:r>
      <w:r w:rsidRPr="3FD29F72">
        <w:rPr>
          <w:rFonts w:ascii="Arial" w:hAnsi="Arial" w:cs="Arial"/>
        </w:rPr>
        <w:t xml:space="preserve"> </w:t>
      </w:r>
      <w:r w:rsidR="001437ED">
        <w:rPr>
          <w:rFonts w:ascii="Arial" w:hAnsi="Arial" w:cs="Arial"/>
        </w:rPr>
        <w:t xml:space="preserve">patient age and TNC counts </w:t>
      </w:r>
      <w:r w:rsidR="0063520C">
        <w:rPr>
          <w:rFonts w:ascii="Arial" w:hAnsi="Arial" w:cs="Arial"/>
        </w:rPr>
        <w:t xml:space="preserve">did not </w:t>
      </w:r>
      <w:r w:rsidR="00273644">
        <w:rPr>
          <w:rFonts w:ascii="Arial" w:hAnsi="Arial" w:cs="Arial"/>
        </w:rPr>
        <w:t>correlat</w:t>
      </w:r>
      <w:r w:rsidR="0063520C">
        <w:rPr>
          <w:rFonts w:ascii="Arial" w:hAnsi="Arial" w:cs="Arial"/>
        </w:rPr>
        <w:t>e with MSC concentration</w:t>
      </w:r>
      <w:r w:rsidR="00507643">
        <w:rPr>
          <w:rFonts w:ascii="Arial" w:hAnsi="Arial" w:cs="Arial"/>
        </w:rPr>
        <w:t xml:space="preserve"> (</w:t>
      </w:r>
      <w:r w:rsidR="00210476" w:rsidRPr="7B5AC5CB">
        <w:rPr>
          <w:rFonts w:ascii="Arial" w:hAnsi="Arial" w:cs="Arial"/>
        </w:rPr>
        <w:t>Spearman’s Rank test</w:t>
      </w:r>
      <w:r w:rsidR="00210476">
        <w:rPr>
          <w:rFonts w:ascii="Arial" w:hAnsi="Arial" w:cs="Arial"/>
          <w:i/>
          <w:iCs/>
        </w:rPr>
        <w:t xml:space="preserve">, </w:t>
      </w:r>
      <w:r w:rsidR="00507643" w:rsidRPr="005E2055">
        <w:rPr>
          <w:rFonts w:ascii="Arial" w:hAnsi="Arial" w:cs="Arial"/>
          <w:i/>
          <w:iCs/>
        </w:rPr>
        <w:t>P</w:t>
      </w:r>
      <w:r w:rsidR="00507643">
        <w:rPr>
          <w:rFonts w:ascii="Arial" w:hAnsi="Arial" w:cs="Arial"/>
        </w:rPr>
        <w:t>=0.3266</w:t>
      </w:r>
      <w:r w:rsidR="001437ED">
        <w:rPr>
          <w:rFonts w:ascii="Arial" w:hAnsi="Arial" w:cs="Arial"/>
        </w:rPr>
        <w:t xml:space="preserve"> and </w:t>
      </w:r>
      <w:r w:rsidR="001437ED" w:rsidRPr="001437ED">
        <w:rPr>
          <w:rFonts w:ascii="Arial" w:hAnsi="Arial" w:cs="Arial"/>
          <w:i/>
          <w:iCs/>
        </w:rPr>
        <w:t>P</w:t>
      </w:r>
      <w:r w:rsidR="001437ED">
        <w:rPr>
          <w:rFonts w:ascii="Arial" w:hAnsi="Arial" w:cs="Arial"/>
        </w:rPr>
        <w:t>=0.4880, respectively</w:t>
      </w:r>
      <w:r w:rsidR="00507643">
        <w:rPr>
          <w:rFonts w:ascii="Arial" w:hAnsi="Arial" w:cs="Arial"/>
        </w:rPr>
        <w:t>)</w:t>
      </w:r>
      <w:r w:rsidR="00273644">
        <w:rPr>
          <w:rFonts w:ascii="Arial" w:hAnsi="Arial" w:cs="Arial"/>
        </w:rPr>
        <w:t xml:space="preserve">. </w:t>
      </w:r>
      <w:r w:rsidRPr="3FD29F72">
        <w:rPr>
          <w:rFonts w:ascii="Arial" w:hAnsi="Arial" w:cs="Arial"/>
        </w:rPr>
        <w:t xml:space="preserve"> </w:t>
      </w:r>
    </w:p>
    <w:p w14:paraId="641B3DDC" w14:textId="77777777" w:rsidR="0092475D" w:rsidRPr="00A10DA8" w:rsidRDefault="0092475D">
      <w:pPr>
        <w:rPr>
          <w:rFonts w:ascii="Arial" w:hAnsi="Arial" w:cs="Arial"/>
        </w:rPr>
      </w:pPr>
    </w:p>
    <w:p w14:paraId="22635115" w14:textId="7687D581" w:rsidR="00E9342A" w:rsidRPr="00A10DA8" w:rsidRDefault="00E9342A">
      <w:pPr>
        <w:rPr>
          <w:rFonts w:ascii="Arial" w:hAnsi="Arial" w:cs="Arial"/>
        </w:rPr>
      </w:pPr>
      <w:r w:rsidRPr="00A10DA8">
        <w:rPr>
          <w:rFonts w:ascii="Arial" w:hAnsi="Arial" w:cs="Arial"/>
        </w:rPr>
        <w:t>Conclusion</w:t>
      </w:r>
      <w:r w:rsidR="0035185A">
        <w:rPr>
          <w:rFonts w:ascii="Arial" w:hAnsi="Arial" w:cs="Arial"/>
        </w:rPr>
        <w:t>s</w:t>
      </w:r>
    </w:p>
    <w:p w14:paraId="7A405327" w14:textId="77777777" w:rsidR="00A10DA8" w:rsidRDefault="00A10DA8" w:rsidP="00A10DA8">
      <w:pPr>
        <w:spacing w:line="360" w:lineRule="auto"/>
        <w:jc w:val="both"/>
        <w:rPr>
          <w:rFonts w:ascii="Arial" w:hAnsi="Arial" w:cs="Arial"/>
        </w:rPr>
      </w:pPr>
    </w:p>
    <w:p w14:paraId="66E55730" w14:textId="7EA1833E" w:rsidR="0092475D" w:rsidRDefault="008D4E80" w:rsidP="00A10DA8">
      <w:pPr>
        <w:spacing w:line="360" w:lineRule="auto"/>
        <w:jc w:val="both"/>
        <w:rPr>
          <w:rFonts w:ascii="Arial" w:hAnsi="Arial" w:cs="Arial"/>
        </w:rPr>
      </w:pPr>
      <w:bookmarkStart w:id="1" w:name="_Hlk130287857"/>
      <w:r>
        <w:rPr>
          <w:rFonts w:ascii="Arial" w:hAnsi="Arial" w:cs="Arial"/>
        </w:rPr>
        <w:t xml:space="preserve">BMAC </w:t>
      </w:r>
      <w:r w:rsidR="00FD5EB2">
        <w:rPr>
          <w:rFonts w:ascii="Arial" w:hAnsi="Arial" w:cs="Arial"/>
        </w:rPr>
        <w:t xml:space="preserve">successfully concentrated PLTs, but BMAC </w:t>
      </w:r>
      <w:r w:rsidR="00A10DA8" w:rsidRPr="41649384">
        <w:rPr>
          <w:rFonts w:ascii="Arial" w:hAnsi="Arial" w:cs="Arial"/>
        </w:rPr>
        <w:t>preparations</w:t>
      </w:r>
      <w:r w:rsidR="00A10DA8">
        <w:rPr>
          <w:rFonts w:ascii="Arial" w:hAnsi="Arial" w:cs="Arial"/>
        </w:rPr>
        <w:t xml:space="preserve"> </w:t>
      </w:r>
      <w:r w:rsidR="00AE5AEF">
        <w:rPr>
          <w:rFonts w:ascii="Arial" w:hAnsi="Arial" w:cs="Arial"/>
        </w:rPr>
        <w:t>were highly variable.</w:t>
      </w:r>
      <w:r w:rsidR="00A10D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A10DA8">
        <w:rPr>
          <w:rFonts w:ascii="Arial" w:hAnsi="Arial" w:cs="Arial"/>
        </w:rPr>
        <w:t>ixing BMAC and thrombin</w:t>
      </w:r>
      <w:r>
        <w:rPr>
          <w:rFonts w:ascii="Arial" w:hAnsi="Arial" w:cs="Arial"/>
        </w:rPr>
        <w:t xml:space="preserve"> </w:t>
      </w:r>
      <w:r w:rsidR="00AE5AEF">
        <w:rPr>
          <w:rFonts w:ascii="Arial" w:hAnsi="Arial" w:cs="Arial"/>
        </w:rPr>
        <w:t xml:space="preserve">however, as described </w:t>
      </w:r>
      <w:r>
        <w:rPr>
          <w:rFonts w:ascii="Arial" w:hAnsi="Arial" w:cs="Arial"/>
        </w:rPr>
        <w:t>in the CCR protocol</w:t>
      </w:r>
      <w:r w:rsidR="00AE5A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resulted in a dramatic reduction in TNC</w:t>
      </w:r>
      <w:r w:rsidR="00507643">
        <w:rPr>
          <w:rFonts w:ascii="Arial" w:hAnsi="Arial" w:cs="Arial"/>
        </w:rPr>
        <w:t>s</w:t>
      </w:r>
      <w:r>
        <w:rPr>
          <w:rFonts w:ascii="Arial" w:hAnsi="Arial" w:cs="Arial"/>
        </w:rPr>
        <w:t>, PLTs and MSCs</w:t>
      </w:r>
      <w:r w:rsidR="00A10DA8">
        <w:rPr>
          <w:rFonts w:ascii="Arial" w:hAnsi="Arial" w:cs="Arial"/>
        </w:rPr>
        <w:t>.</w:t>
      </w:r>
      <w:r w:rsidR="00AE5AEF">
        <w:rPr>
          <w:rFonts w:ascii="Arial" w:hAnsi="Arial" w:cs="Arial"/>
        </w:rPr>
        <w:t xml:space="preserve"> </w:t>
      </w:r>
      <w:r w:rsidR="00085AEC">
        <w:rPr>
          <w:rFonts w:ascii="Arial" w:hAnsi="Arial" w:cs="Arial"/>
        </w:rPr>
        <w:t xml:space="preserve">TNC counts </w:t>
      </w:r>
      <w:r w:rsidR="00FD5EB2">
        <w:rPr>
          <w:rFonts w:ascii="Arial" w:hAnsi="Arial" w:cs="Arial"/>
        </w:rPr>
        <w:t xml:space="preserve">and patient age </w:t>
      </w:r>
      <w:r w:rsidR="00085AEC">
        <w:rPr>
          <w:rFonts w:ascii="Arial" w:hAnsi="Arial" w:cs="Arial"/>
        </w:rPr>
        <w:t xml:space="preserve">could not be used to </w:t>
      </w:r>
      <w:r w:rsidR="003441CE">
        <w:rPr>
          <w:rFonts w:ascii="Arial" w:hAnsi="Arial" w:cs="Arial"/>
        </w:rPr>
        <w:t>predict</w:t>
      </w:r>
      <w:r w:rsidR="00085AEC">
        <w:rPr>
          <w:rFonts w:ascii="Arial" w:hAnsi="Arial" w:cs="Arial"/>
        </w:rPr>
        <w:t xml:space="preserve"> the MSC proportion in the BMAC</w:t>
      </w:r>
      <w:r w:rsidR="00FE2301">
        <w:rPr>
          <w:rFonts w:ascii="Arial" w:hAnsi="Arial" w:cs="Arial"/>
        </w:rPr>
        <w:t xml:space="preserve"> based on current data</w:t>
      </w:r>
      <w:r w:rsidR="003441CE">
        <w:rPr>
          <w:rFonts w:ascii="Arial" w:hAnsi="Arial" w:cs="Arial"/>
        </w:rPr>
        <w:t>.</w:t>
      </w:r>
      <w:r w:rsidR="00B74C55">
        <w:rPr>
          <w:rFonts w:ascii="Arial" w:hAnsi="Arial" w:cs="Arial"/>
        </w:rPr>
        <w:t xml:space="preserve"> Future work </w:t>
      </w:r>
      <w:r w:rsidR="00521920">
        <w:rPr>
          <w:rFonts w:ascii="Arial" w:hAnsi="Arial" w:cs="Arial"/>
        </w:rPr>
        <w:t xml:space="preserve">aims to look at the biomolecule profile of BMAC plasma, and </w:t>
      </w:r>
      <w:r w:rsidR="00590FD5">
        <w:rPr>
          <w:rFonts w:ascii="Arial" w:hAnsi="Arial" w:cs="Arial"/>
        </w:rPr>
        <w:t xml:space="preserve">to </w:t>
      </w:r>
      <w:r w:rsidR="00521920">
        <w:rPr>
          <w:rFonts w:ascii="Arial" w:hAnsi="Arial" w:cs="Arial"/>
        </w:rPr>
        <w:t>correlate them to patient clinical outcomes.</w:t>
      </w:r>
    </w:p>
    <w:bookmarkEnd w:id="1"/>
    <w:p w14:paraId="7D95B2ED" w14:textId="72FE2395" w:rsidR="00333D76" w:rsidRDefault="00333D76" w:rsidP="00A10DA8">
      <w:pPr>
        <w:spacing w:line="360" w:lineRule="auto"/>
        <w:jc w:val="both"/>
        <w:rPr>
          <w:rFonts w:ascii="Arial" w:hAnsi="Arial" w:cs="Arial"/>
        </w:rPr>
      </w:pPr>
    </w:p>
    <w:p w14:paraId="1AA80424" w14:textId="1C627EAC" w:rsidR="00333D76" w:rsidRDefault="00333D76" w:rsidP="00A10DA8">
      <w:pPr>
        <w:spacing w:line="360" w:lineRule="auto"/>
        <w:jc w:val="both"/>
        <w:rPr>
          <w:rFonts w:ascii="Arial" w:hAnsi="Arial" w:cs="Arial"/>
        </w:rPr>
      </w:pPr>
    </w:p>
    <w:p w14:paraId="77D2D87C" w14:textId="070BD13B" w:rsidR="00333D76" w:rsidRPr="005E2055" w:rsidRDefault="006E3940" w:rsidP="00A10D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6B6674FC" wp14:editId="3D49431D">
            <wp:extent cx="5727700" cy="3660140"/>
            <wp:effectExtent l="0" t="0" r="0" b="0"/>
            <wp:docPr id="1803224005" name="Picture 1" descr="A diagram of a ce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224005" name="Picture 1" descr="A diagram of a cell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E2047" w14:textId="77777777" w:rsidR="00F036ED" w:rsidRDefault="00F036ED" w:rsidP="00A10DA8">
      <w:pPr>
        <w:spacing w:line="360" w:lineRule="auto"/>
        <w:jc w:val="both"/>
        <w:rPr>
          <w:rFonts w:ascii="Arial" w:hAnsi="Arial" w:cs="Arial"/>
        </w:rPr>
      </w:pPr>
    </w:p>
    <w:p w14:paraId="16F22A44" w14:textId="37BA06E2" w:rsidR="00F526D9" w:rsidRPr="00483336" w:rsidRDefault="00F526D9" w:rsidP="00483336">
      <w:pPr>
        <w:spacing w:line="360" w:lineRule="auto"/>
        <w:jc w:val="both"/>
        <w:rPr>
          <w:rFonts w:ascii="Arial" w:hAnsi="Arial" w:cs="Arial"/>
          <w:noProof/>
          <w:lang w:val="en-US" w:eastAsia="en-US"/>
        </w:rPr>
      </w:pPr>
    </w:p>
    <w:sectPr w:rsidR="00F526D9" w:rsidRPr="00483336" w:rsidSect="00DB1A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0F"/>
    <w:rsid w:val="000334C7"/>
    <w:rsid w:val="00085AEC"/>
    <w:rsid w:val="001070EC"/>
    <w:rsid w:val="001437ED"/>
    <w:rsid w:val="00210476"/>
    <w:rsid w:val="00233DD5"/>
    <w:rsid w:val="002405E1"/>
    <w:rsid w:val="00271C5C"/>
    <w:rsid w:val="00273644"/>
    <w:rsid w:val="00276A8A"/>
    <w:rsid w:val="002779BC"/>
    <w:rsid w:val="00284C66"/>
    <w:rsid w:val="002B4FA5"/>
    <w:rsid w:val="002F14E5"/>
    <w:rsid w:val="00300684"/>
    <w:rsid w:val="00333D76"/>
    <w:rsid w:val="003441CE"/>
    <w:rsid w:val="0035185A"/>
    <w:rsid w:val="00356E48"/>
    <w:rsid w:val="003F6C9B"/>
    <w:rsid w:val="00443F96"/>
    <w:rsid w:val="00483336"/>
    <w:rsid w:val="004B305D"/>
    <w:rsid w:val="004D58B2"/>
    <w:rsid w:val="004E1B19"/>
    <w:rsid w:val="00507643"/>
    <w:rsid w:val="00521920"/>
    <w:rsid w:val="00580BF0"/>
    <w:rsid w:val="00590FD5"/>
    <w:rsid w:val="005A28B7"/>
    <w:rsid w:val="005D23DD"/>
    <w:rsid w:val="005D75B0"/>
    <w:rsid w:val="005E2055"/>
    <w:rsid w:val="005E34D0"/>
    <w:rsid w:val="0063520C"/>
    <w:rsid w:val="00661609"/>
    <w:rsid w:val="006B598A"/>
    <w:rsid w:val="006B5DCA"/>
    <w:rsid w:val="006C7229"/>
    <w:rsid w:val="006E3940"/>
    <w:rsid w:val="00722719"/>
    <w:rsid w:val="007C575D"/>
    <w:rsid w:val="00820887"/>
    <w:rsid w:val="00821292"/>
    <w:rsid w:val="008471FD"/>
    <w:rsid w:val="00851B2A"/>
    <w:rsid w:val="008D4E80"/>
    <w:rsid w:val="008E0B29"/>
    <w:rsid w:val="00904FA9"/>
    <w:rsid w:val="009121AC"/>
    <w:rsid w:val="0092475D"/>
    <w:rsid w:val="009516C4"/>
    <w:rsid w:val="00993831"/>
    <w:rsid w:val="009D2D9E"/>
    <w:rsid w:val="00A10DA8"/>
    <w:rsid w:val="00A56DBF"/>
    <w:rsid w:val="00AA233D"/>
    <w:rsid w:val="00AD417F"/>
    <w:rsid w:val="00AE5AEF"/>
    <w:rsid w:val="00B04ADE"/>
    <w:rsid w:val="00B14279"/>
    <w:rsid w:val="00B312FB"/>
    <w:rsid w:val="00B577D1"/>
    <w:rsid w:val="00B74C55"/>
    <w:rsid w:val="00B90075"/>
    <w:rsid w:val="00BA0C0B"/>
    <w:rsid w:val="00BB61F0"/>
    <w:rsid w:val="00BC7B3E"/>
    <w:rsid w:val="00BD35CC"/>
    <w:rsid w:val="00BD7054"/>
    <w:rsid w:val="00BE603B"/>
    <w:rsid w:val="00C42ABE"/>
    <w:rsid w:val="00CA604D"/>
    <w:rsid w:val="00CD37F4"/>
    <w:rsid w:val="00CD7E2D"/>
    <w:rsid w:val="00D45230"/>
    <w:rsid w:val="00D47620"/>
    <w:rsid w:val="00DA0DED"/>
    <w:rsid w:val="00DB1A97"/>
    <w:rsid w:val="00E13DC2"/>
    <w:rsid w:val="00E9342A"/>
    <w:rsid w:val="00EC57BB"/>
    <w:rsid w:val="00EE336C"/>
    <w:rsid w:val="00F036ED"/>
    <w:rsid w:val="00F327E3"/>
    <w:rsid w:val="00F526D9"/>
    <w:rsid w:val="00F9292A"/>
    <w:rsid w:val="00F9630F"/>
    <w:rsid w:val="00FB49FD"/>
    <w:rsid w:val="00FD5EB2"/>
    <w:rsid w:val="00FE2301"/>
    <w:rsid w:val="0419F8F2"/>
    <w:rsid w:val="0D1E560B"/>
    <w:rsid w:val="128D6387"/>
    <w:rsid w:val="1E8A612A"/>
    <w:rsid w:val="24014B35"/>
    <w:rsid w:val="275CEFA4"/>
    <w:rsid w:val="27BCF4BF"/>
    <w:rsid w:val="2E0FB5B7"/>
    <w:rsid w:val="30BFB30A"/>
    <w:rsid w:val="32E50793"/>
    <w:rsid w:val="35984130"/>
    <w:rsid w:val="36CAC290"/>
    <w:rsid w:val="3EF824AE"/>
    <w:rsid w:val="3FB286A9"/>
    <w:rsid w:val="3FD29F72"/>
    <w:rsid w:val="421686A0"/>
    <w:rsid w:val="43A170C3"/>
    <w:rsid w:val="47B38C81"/>
    <w:rsid w:val="4F209D05"/>
    <w:rsid w:val="5179150D"/>
    <w:rsid w:val="542899AA"/>
    <w:rsid w:val="56E59D4A"/>
    <w:rsid w:val="58AC4132"/>
    <w:rsid w:val="5A0C4AF2"/>
    <w:rsid w:val="5B04F586"/>
    <w:rsid w:val="5BB244FF"/>
    <w:rsid w:val="5C127597"/>
    <w:rsid w:val="5F988D58"/>
    <w:rsid w:val="63347A3B"/>
    <w:rsid w:val="66BBF278"/>
    <w:rsid w:val="675DE096"/>
    <w:rsid w:val="7A7C44CB"/>
    <w:rsid w:val="7B5AC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5E29BF"/>
  <w15:docId w15:val="{C1B2B1C2-ABC0-6449-B42C-E1E4EA5D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054"/>
    <w:rPr>
      <w:rFonts w:ascii="Arial" w:eastAsiaTheme="minorHAnsi" w:hAnsi="Arial"/>
      <w:sz w:val="20"/>
      <w:szCs w:val="22"/>
      <w:lang w:eastAsia="ja-JP"/>
    </w:rPr>
  </w:style>
  <w:style w:type="table" w:styleId="TableGrid">
    <w:name w:val="Table Grid"/>
    <w:basedOn w:val="TableNormal"/>
    <w:uiPriority w:val="39"/>
    <w:rsid w:val="0033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42ABE"/>
  </w:style>
  <w:style w:type="character" w:styleId="CommentReference">
    <w:name w:val="annotation reference"/>
    <w:basedOn w:val="DefaultParagraphFont"/>
    <w:uiPriority w:val="99"/>
    <w:semiHidden/>
    <w:unhideWhenUsed/>
    <w:rsid w:val="004B3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0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0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7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7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39e5af-7712-4a96-9c49-6750862d3a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FA0AC7398944A81C2B38F597E841F" ma:contentTypeVersion="14" ma:contentTypeDescription="Create a new document." ma:contentTypeScope="" ma:versionID="cb901d0964ddad333bb1768fa3a51def">
  <xsd:schema xmlns:xsd="http://www.w3.org/2001/XMLSchema" xmlns:xs="http://www.w3.org/2001/XMLSchema" xmlns:p="http://schemas.microsoft.com/office/2006/metadata/properties" xmlns:ns3="c91442bd-646f-44c4-8f62-19716a08ea33" xmlns:ns4="6039e5af-7712-4a96-9c49-6750862d3ad1" targetNamespace="http://schemas.microsoft.com/office/2006/metadata/properties" ma:root="true" ma:fieldsID="05d613f5d7b1768d64cf365c63d0cb14" ns3:_="" ns4:_="">
    <xsd:import namespace="c91442bd-646f-44c4-8f62-19716a08ea33"/>
    <xsd:import namespace="6039e5af-7712-4a96-9c49-6750862d3a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442bd-646f-44c4-8f62-19716a08ea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9e5af-7712-4a96-9c49-6750862d3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1575F-1402-4D3E-8BE5-58EACF118A55}">
  <ds:schemaRefs>
    <ds:schemaRef ds:uri="http://schemas.microsoft.com/office/2006/metadata/properties"/>
    <ds:schemaRef ds:uri="http://schemas.microsoft.com/office/infopath/2007/PartnerControls"/>
    <ds:schemaRef ds:uri="6039e5af-7712-4a96-9c49-6750862d3ad1"/>
  </ds:schemaRefs>
</ds:datastoreItem>
</file>

<file path=customXml/itemProps2.xml><?xml version="1.0" encoding="utf-8"?>
<ds:datastoreItem xmlns:ds="http://schemas.openxmlformats.org/officeDocument/2006/customXml" ds:itemID="{E91D97A3-A7CD-F34A-AA49-4D5865E29F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1AE36E-9AC2-4CF9-A465-D0C534F488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C44F31-3565-4A32-A911-1C1AC1E87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442bd-646f-44c4-8f62-19716a08ea33"/>
    <ds:schemaRef ds:uri="6039e5af-7712-4a96-9c49-6750862d3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Lan</dc:creator>
  <cp:keywords/>
  <dc:description/>
  <cp:lastModifiedBy>Tian Lan</cp:lastModifiedBy>
  <cp:revision>3</cp:revision>
  <dcterms:created xsi:type="dcterms:W3CDTF">2023-06-05T20:28:00Z</dcterms:created>
  <dcterms:modified xsi:type="dcterms:W3CDTF">2024-02-15T14:20:00Z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0x010100518FA0AC7398944A81C2B38F597E841F</vt:lpwstr>
  </property>
</Properties>
</file>