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9D83B" w14:textId="146E768A" w:rsidR="005E49C1" w:rsidRPr="00D00379" w:rsidRDefault="005E49C1" w:rsidP="003639A4">
      <w:pPr>
        <w:spacing w:line="360" w:lineRule="auto"/>
        <w:rPr>
          <w:u w:val="single"/>
        </w:rPr>
      </w:pPr>
      <w:r w:rsidRPr="00D00379">
        <w:rPr>
          <w:u w:val="single"/>
        </w:rPr>
        <w:t>Clinical vignette</w:t>
      </w:r>
    </w:p>
    <w:p w14:paraId="18F0F3E9" w14:textId="7E4AE2F0" w:rsidR="005E49C1" w:rsidRPr="00D00379" w:rsidRDefault="00C33DDF" w:rsidP="003639A4">
      <w:pPr>
        <w:spacing w:line="360" w:lineRule="auto"/>
      </w:pPr>
      <w:r w:rsidRPr="00D00379">
        <w:t xml:space="preserve">In </w:t>
      </w:r>
      <w:r w:rsidR="00F40AB1" w:rsidRPr="00D00379">
        <w:t>a usual morning surgery</w:t>
      </w:r>
      <w:r w:rsidRPr="00D00379">
        <w:t>, a</w:t>
      </w:r>
      <w:r w:rsidR="005E49C1" w:rsidRPr="00D00379">
        <w:t xml:space="preserve"> </w:t>
      </w:r>
      <w:r w:rsidR="00952950" w:rsidRPr="00D00379">
        <w:t>2</w:t>
      </w:r>
      <w:r w:rsidRPr="00D00379">
        <w:t>-</w:t>
      </w:r>
      <w:r w:rsidR="005E49C1" w:rsidRPr="00D00379">
        <w:t>year</w:t>
      </w:r>
      <w:r w:rsidRPr="00D00379">
        <w:t>-</w:t>
      </w:r>
      <w:r w:rsidR="005E49C1" w:rsidRPr="00D00379">
        <w:t xml:space="preserve">old </w:t>
      </w:r>
      <w:r w:rsidRPr="00D00379">
        <w:t xml:space="preserve">child presents </w:t>
      </w:r>
      <w:r w:rsidR="005E49C1" w:rsidRPr="00D00379">
        <w:t>with a two</w:t>
      </w:r>
      <w:r w:rsidR="0071005E" w:rsidRPr="00D00379">
        <w:t>-</w:t>
      </w:r>
      <w:r w:rsidR="005E49C1" w:rsidRPr="00D00379">
        <w:t xml:space="preserve">week history of reduced oral intake. </w:t>
      </w:r>
      <w:r w:rsidR="0071005E" w:rsidRPr="00D00379">
        <w:t xml:space="preserve">He has </w:t>
      </w:r>
      <w:r w:rsidR="00262DA9" w:rsidRPr="00D00379">
        <w:t xml:space="preserve">recently </w:t>
      </w:r>
      <w:r w:rsidR="0071005E" w:rsidRPr="00D00379">
        <w:t>completed a one-week course of antibiotics for tonsillitis</w:t>
      </w:r>
      <w:r w:rsidR="00262DA9" w:rsidRPr="00D00379">
        <w:t>, prescribed</w:t>
      </w:r>
      <w:r w:rsidR="0071005E" w:rsidRPr="00D00379">
        <w:t xml:space="preserve"> by</w:t>
      </w:r>
      <w:r w:rsidR="00F40AB1" w:rsidRPr="00D00379">
        <w:t xml:space="preserve"> a GP</w:t>
      </w:r>
      <w:r w:rsidR="0071005E" w:rsidRPr="00D00379">
        <w:t xml:space="preserve"> colleague. </w:t>
      </w:r>
      <w:r w:rsidR="00846F6D" w:rsidRPr="00D00379">
        <w:t>Whilst t</w:t>
      </w:r>
      <w:r w:rsidRPr="00D00379">
        <w:t xml:space="preserve">he </w:t>
      </w:r>
      <w:r w:rsidR="005E49C1" w:rsidRPr="00D00379">
        <w:t xml:space="preserve">child </w:t>
      </w:r>
      <w:r w:rsidR="00262DA9" w:rsidRPr="00D00379">
        <w:t xml:space="preserve">is </w:t>
      </w:r>
      <w:r w:rsidR="005E49C1" w:rsidRPr="00D00379">
        <w:t>systemically well</w:t>
      </w:r>
      <w:r w:rsidR="00846F6D" w:rsidRPr="00D00379">
        <w:t>,</w:t>
      </w:r>
      <w:r w:rsidR="00262DA9" w:rsidRPr="00D00379">
        <w:t xml:space="preserve"> </w:t>
      </w:r>
      <w:r w:rsidR="00846F6D" w:rsidRPr="00D00379">
        <w:t>y</w:t>
      </w:r>
      <w:r w:rsidRPr="00D00379">
        <w:t xml:space="preserve">ou </w:t>
      </w:r>
      <w:r w:rsidR="005E49C1" w:rsidRPr="00D00379">
        <w:t>not</w:t>
      </w:r>
      <w:r w:rsidRPr="00D00379">
        <w:t>ice</w:t>
      </w:r>
      <w:r w:rsidR="005E49C1" w:rsidRPr="00D00379">
        <w:t xml:space="preserve"> </w:t>
      </w:r>
      <w:r w:rsidRPr="00D00379">
        <w:t xml:space="preserve">a </w:t>
      </w:r>
      <w:r w:rsidR="00846F6D" w:rsidRPr="00D00379">
        <w:t>striking</w:t>
      </w:r>
      <w:r w:rsidRPr="00D00379">
        <w:t xml:space="preserve"> enlargement of </w:t>
      </w:r>
      <w:r w:rsidR="005E49C1" w:rsidRPr="00D00379">
        <w:t xml:space="preserve">the right </w:t>
      </w:r>
      <w:r w:rsidR="006477A3" w:rsidRPr="00D00379">
        <w:t xml:space="preserve">palatine </w:t>
      </w:r>
      <w:r w:rsidR="005E49C1" w:rsidRPr="00D00379">
        <w:t xml:space="preserve">tonsil. </w:t>
      </w:r>
      <w:r w:rsidRPr="00D00379">
        <w:t>C</w:t>
      </w:r>
      <w:r w:rsidR="005E49C1" w:rsidRPr="00D00379">
        <w:t xml:space="preserve">oncerned about the possibility of quinsy and </w:t>
      </w:r>
      <w:r w:rsidR="00780234" w:rsidRPr="00D00379">
        <w:t>impending</w:t>
      </w:r>
      <w:r w:rsidR="005E49C1" w:rsidRPr="00D00379">
        <w:t xml:space="preserve"> airway obstruction</w:t>
      </w:r>
      <w:r w:rsidRPr="00D00379">
        <w:t>,</w:t>
      </w:r>
      <w:r w:rsidR="006D2254" w:rsidRPr="00D00379">
        <w:t xml:space="preserve"> </w:t>
      </w:r>
      <w:r w:rsidRPr="00D00379">
        <w:t>y</w:t>
      </w:r>
      <w:r w:rsidR="006D2254" w:rsidRPr="00D00379">
        <w:t xml:space="preserve">ou decide to </w:t>
      </w:r>
      <w:r w:rsidRPr="00D00379">
        <w:t xml:space="preserve">refer </w:t>
      </w:r>
      <w:r w:rsidR="005E49C1" w:rsidRPr="00D00379">
        <w:t>the child to the emergency department for further assessment and management by the E</w:t>
      </w:r>
      <w:r w:rsidR="00B43B58" w:rsidRPr="00D00379">
        <w:t xml:space="preserve">ar, </w:t>
      </w:r>
      <w:r w:rsidR="005E49C1" w:rsidRPr="00D00379">
        <w:t>N</w:t>
      </w:r>
      <w:r w:rsidR="00B43B58" w:rsidRPr="00D00379">
        <w:t xml:space="preserve">ose, and </w:t>
      </w:r>
      <w:r w:rsidR="005E49C1" w:rsidRPr="00D00379">
        <w:t>T</w:t>
      </w:r>
      <w:r w:rsidR="00B43B58" w:rsidRPr="00D00379">
        <w:t>hroat</w:t>
      </w:r>
      <w:r w:rsidR="005E49C1" w:rsidRPr="00D00379">
        <w:t xml:space="preserve"> </w:t>
      </w:r>
      <w:r w:rsidR="00962DB9" w:rsidRPr="00D00379">
        <w:t xml:space="preserve">(ENT) </w:t>
      </w:r>
      <w:r w:rsidR="005E49C1" w:rsidRPr="00D00379">
        <w:t xml:space="preserve">team. </w:t>
      </w:r>
    </w:p>
    <w:p w14:paraId="528186C5" w14:textId="77777777" w:rsidR="005E49C1" w:rsidRPr="00D00379" w:rsidRDefault="005E49C1" w:rsidP="003639A4">
      <w:pPr>
        <w:spacing w:line="360" w:lineRule="auto"/>
      </w:pPr>
    </w:p>
    <w:p w14:paraId="3758073F" w14:textId="2B5FCF1C" w:rsidR="005E49C1" w:rsidRPr="00D00379" w:rsidRDefault="00E257D6" w:rsidP="003639A4">
      <w:pPr>
        <w:spacing w:line="360" w:lineRule="auto"/>
        <w:rPr>
          <w:u w:val="single"/>
        </w:rPr>
      </w:pPr>
      <w:r w:rsidRPr="00D00379">
        <w:rPr>
          <w:u w:val="single"/>
        </w:rPr>
        <w:t xml:space="preserve">Could this child have a </w:t>
      </w:r>
      <w:r w:rsidR="00651C73" w:rsidRPr="00D00379">
        <w:rPr>
          <w:u w:val="single"/>
        </w:rPr>
        <w:t>quinsy</w:t>
      </w:r>
      <w:r w:rsidR="005E49C1" w:rsidRPr="00D00379">
        <w:rPr>
          <w:u w:val="single"/>
        </w:rPr>
        <w:t>?</w:t>
      </w:r>
    </w:p>
    <w:p w14:paraId="65FF853C" w14:textId="579C988C" w:rsidR="005E49C1" w:rsidRPr="00D00379" w:rsidRDefault="005E49C1" w:rsidP="003639A4">
      <w:pPr>
        <w:spacing w:line="360" w:lineRule="auto"/>
        <w:rPr>
          <w:u w:val="single"/>
        </w:rPr>
      </w:pPr>
    </w:p>
    <w:p w14:paraId="74E0032B" w14:textId="26767A33" w:rsidR="00695CE8" w:rsidRPr="00D00379" w:rsidRDefault="005157CF" w:rsidP="003639A4">
      <w:pPr>
        <w:spacing w:line="360" w:lineRule="auto"/>
      </w:pPr>
      <w:r w:rsidRPr="00D00379">
        <w:t>Q</w:t>
      </w:r>
      <w:r w:rsidR="005E49C1" w:rsidRPr="00D00379">
        <w:t>uinsy</w:t>
      </w:r>
      <w:r w:rsidR="00C71CCB" w:rsidRPr="00D00379">
        <w:t xml:space="preserve">, characterised by the accumulation of </w:t>
      </w:r>
      <w:r w:rsidR="008B02FD" w:rsidRPr="00D00379">
        <w:t>pus between the tonsil capsule and pharyngeal constrictor muscle</w:t>
      </w:r>
      <w:r w:rsidR="00C71CCB" w:rsidRPr="00D00379">
        <w:t>, typically</w:t>
      </w:r>
      <w:r w:rsidR="005E49C1" w:rsidRPr="00D00379">
        <w:t xml:space="preserve"> present</w:t>
      </w:r>
      <w:r w:rsidR="00C71CCB" w:rsidRPr="00D00379">
        <w:t>s</w:t>
      </w:r>
      <w:r w:rsidR="005E49C1" w:rsidRPr="00D00379">
        <w:t xml:space="preserve"> with unilateral </w:t>
      </w:r>
      <w:r w:rsidR="00C71CCB" w:rsidRPr="00D00379">
        <w:t xml:space="preserve">sore </w:t>
      </w:r>
      <w:r w:rsidR="005E49C1" w:rsidRPr="00D00379">
        <w:t>throat, odynophagia</w:t>
      </w:r>
      <w:r w:rsidR="008828EC" w:rsidRPr="00D00379">
        <w:t xml:space="preserve"> (pain on swallowing)</w:t>
      </w:r>
      <w:r w:rsidR="005E49C1" w:rsidRPr="00D00379">
        <w:t xml:space="preserve"> and systemic upset. </w:t>
      </w:r>
      <w:r w:rsidR="00C71CCB" w:rsidRPr="00D00379">
        <w:t>K</w:t>
      </w:r>
      <w:r w:rsidR="00F80979" w:rsidRPr="00D00379">
        <w:t xml:space="preserve">ey </w:t>
      </w:r>
      <w:r w:rsidR="005E49C1" w:rsidRPr="00D00379">
        <w:t xml:space="preserve">examination </w:t>
      </w:r>
      <w:r w:rsidR="00F43ACB" w:rsidRPr="00D00379">
        <w:t>signs</w:t>
      </w:r>
      <w:r w:rsidR="005E49C1" w:rsidRPr="00D00379">
        <w:t xml:space="preserve"> include </w:t>
      </w:r>
      <w:r w:rsidR="008B02FD" w:rsidRPr="00D00379">
        <w:t>trismus</w:t>
      </w:r>
      <w:r w:rsidR="004B3557" w:rsidRPr="00D00379">
        <w:t xml:space="preserve"> and</w:t>
      </w:r>
      <w:r w:rsidR="008B02FD" w:rsidRPr="00D00379">
        <w:t xml:space="preserve"> unilateral palatal swelling with uvula</w:t>
      </w:r>
      <w:r w:rsidR="00DA785F" w:rsidRPr="00D00379">
        <w:t>r</w:t>
      </w:r>
      <w:r w:rsidR="008B02FD" w:rsidRPr="00D00379">
        <w:t xml:space="preserve"> deviation to the </w:t>
      </w:r>
      <w:r w:rsidR="00C71CCB" w:rsidRPr="00D00379">
        <w:t xml:space="preserve">opposite </w:t>
      </w:r>
      <w:r w:rsidR="008B02FD" w:rsidRPr="00D00379">
        <w:t>side</w:t>
      </w:r>
      <w:r w:rsidR="005E49C1" w:rsidRPr="00D00379">
        <w:t xml:space="preserve">. </w:t>
      </w:r>
      <w:r w:rsidR="00BB561B" w:rsidRPr="00D00379">
        <w:t>It’s important to note that an enlarged tonsil causing d</w:t>
      </w:r>
      <w:r w:rsidR="003C3401" w:rsidRPr="00D00379">
        <w:t xml:space="preserve">istortion of the soft palate can </w:t>
      </w:r>
      <w:r w:rsidR="00BB561B" w:rsidRPr="00D00379">
        <w:t xml:space="preserve">resemble </w:t>
      </w:r>
      <w:r w:rsidR="003C3401" w:rsidRPr="00D00379">
        <w:t xml:space="preserve">a quinsy, but the </w:t>
      </w:r>
      <w:r w:rsidR="00BB561B" w:rsidRPr="00D00379">
        <w:t xml:space="preserve">absence </w:t>
      </w:r>
      <w:r w:rsidR="003C3401" w:rsidRPr="00D00379">
        <w:t>of pain</w:t>
      </w:r>
      <w:r w:rsidR="00391554" w:rsidRPr="00D00379">
        <w:t xml:space="preserve">, </w:t>
      </w:r>
      <w:r w:rsidR="003C3401" w:rsidRPr="00D00379">
        <w:t xml:space="preserve">trismus </w:t>
      </w:r>
      <w:r w:rsidR="00391554" w:rsidRPr="00D00379">
        <w:t xml:space="preserve">and features of sepsis </w:t>
      </w:r>
      <w:r w:rsidR="003C3401" w:rsidRPr="00D00379">
        <w:t xml:space="preserve">in this case indicate an alternative diagnosis for unilateral tonsil enlargement. </w:t>
      </w:r>
      <w:r w:rsidR="005E49C1" w:rsidRPr="00D00379">
        <w:t>Whil</w:t>
      </w:r>
      <w:r w:rsidR="00C71CCB" w:rsidRPr="00D00379">
        <w:t>e</w:t>
      </w:r>
      <w:r w:rsidR="005E49C1" w:rsidRPr="00D00379">
        <w:t xml:space="preserve"> </w:t>
      </w:r>
      <w:r w:rsidR="00BB561B" w:rsidRPr="00D00379">
        <w:t xml:space="preserve">maintaining a heightened awareness of potential </w:t>
      </w:r>
      <w:r w:rsidR="005E49C1" w:rsidRPr="00D00379">
        <w:t xml:space="preserve">airway obstruction is </w:t>
      </w:r>
      <w:r w:rsidR="00C71CCB" w:rsidRPr="00D00379">
        <w:t>crucial</w:t>
      </w:r>
      <w:r w:rsidR="005E49C1" w:rsidRPr="00D00379">
        <w:t xml:space="preserve">, </w:t>
      </w:r>
      <w:r w:rsidR="00BB561B" w:rsidRPr="00D00379">
        <w:t xml:space="preserve">the lack of </w:t>
      </w:r>
      <w:r w:rsidRPr="00D00379">
        <w:t xml:space="preserve">stertor </w:t>
      </w:r>
      <w:r w:rsidR="00233465" w:rsidRPr="00D00379">
        <w:t>(</w:t>
      </w:r>
      <w:r w:rsidR="00697166" w:rsidRPr="00D00379">
        <w:t xml:space="preserve">low-pitch inspiratory noise </w:t>
      </w:r>
      <w:r w:rsidR="00233465" w:rsidRPr="00D00379">
        <w:t xml:space="preserve">caused by partial </w:t>
      </w:r>
      <w:r w:rsidR="00697166" w:rsidRPr="00D00379">
        <w:t xml:space="preserve">pharyngeal </w:t>
      </w:r>
      <w:r w:rsidR="00233465" w:rsidRPr="00D00379">
        <w:t>obstruction</w:t>
      </w:r>
      <w:r w:rsidR="00697166" w:rsidRPr="00D00379">
        <w:t>)</w:t>
      </w:r>
      <w:r w:rsidR="00233465" w:rsidRPr="00D00379">
        <w:t xml:space="preserve"> </w:t>
      </w:r>
      <w:r w:rsidR="00C71CCB" w:rsidRPr="00D00379">
        <w:t xml:space="preserve">and </w:t>
      </w:r>
      <w:r w:rsidR="003C3401" w:rsidRPr="00D00379">
        <w:t>respiratory distress</w:t>
      </w:r>
      <w:r w:rsidRPr="00D00379">
        <w:t xml:space="preserve"> </w:t>
      </w:r>
      <w:r w:rsidR="00BB561B" w:rsidRPr="00D00379">
        <w:t xml:space="preserve">in </w:t>
      </w:r>
      <w:r w:rsidR="004D735E" w:rsidRPr="00D00379">
        <w:t>this case</w:t>
      </w:r>
      <w:r w:rsidR="00BB561B" w:rsidRPr="00D00379">
        <w:t xml:space="preserve"> negates the necessity for immediate </w:t>
      </w:r>
      <w:r w:rsidR="00C74CE1" w:rsidRPr="00D00379">
        <w:t>emergency care</w:t>
      </w:r>
      <w:r w:rsidR="004D735E" w:rsidRPr="00D00379">
        <w:t xml:space="preserve">. </w:t>
      </w:r>
    </w:p>
    <w:p w14:paraId="37B151AD" w14:textId="04E4F2CA" w:rsidR="00695CE8" w:rsidRPr="00D00379" w:rsidRDefault="00695CE8" w:rsidP="003639A4">
      <w:pPr>
        <w:spacing w:line="360" w:lineRule="auto"/>
      </w:pPr>
    </w:p>
    <w:p w14:paraId="7FB34F2A" w14:textId="4542C877" w:rsidR="005157CF" w:rsidRPr="00D00379" w:rsidRDefault="005157CF" w:rsidP="003639A4">
      <w:pPr>
        <w:spacing w:line="360" w:lineRule="auto"/>
        <w:rPr>
          <w:u w:val="single"/>
        </w:rPr>
      </w:pPr>
      <w:r w:rsidRPr="00D00379">
        <w:rPr>
          <w:u w:val="single"/>
        </w:rPr>
        <w:t>Why should tonsil asymmetry raise concern?</w:t>
      </w:r>
    </w:p>
    <w:p w14:paraId="3398FBF7" w14:textId="0F06F246" w:rsidR="005157CF" w:rsidRPr="00D00379" w:rsidRDefault="005157CF" w:rsidP="003639A4">
      <w:pPr>
        <w:spacing w:line="360" w:lineRule="auto"/>
        <w:rPr>
          <w:u w:val="single"/>
        </w:rPr>
      </w:pPr>
    </w:p>
    <w:p w14:paraId="18891C1B" w14:textId="7EED1760" w:rsidR="005157CF" w:rsidRPr="00D00379" w:rsidRDefault="00417190" w:rsidP="003639A4">
      <w:pPr>
        <w:spacing w:line="360" w:lineRule="auto"/>
      </w:pPr>
      <w:r w:rsidRPr="00D00379">
        <w:t xml:space="preserve">Unilateral tonsillar enlargement is the </w:t>
      </w:r>
      <w:r w:rsidR="00B65AC1" w:rsidRPr="00D00379">
        <w:t xml:space="preserve">most common </w:t>
      </w:r>
      <w:r w:rsidR="009F0EF6" w:rsidRPr="00D00379">
        <w:t xml:space="preserve">clinical </w:t>
      </w:r>
      <w:r w:rsidR="00B65AC1" w:rsidRPr="00D00379">
        <w:t>manifestation</w:t>
      </w:r>
      <w:r w:rsidR="00922D47" w:rsidRPr="00D00379">
        <w:t xml:space="preserve"> of </w:t>
      </w:r>
      <w:r w:rsidR="009F0EF6" w:rsidRPr="00D00379">
        <w:t xml:space="preserve">palatine tonsil </w:t>
      </w:r>
      <w:r w:rsidR="00922D47" w:rsidRPr="00D00379">
        <w:t>lymphoma</w:t>
      </w:r>
      <w:r w:rsidRPr="00D00379">
        <w:t>, with approximately</w:t>
      </w:r>
      <w:r w:rsidR="00B65AC1" w:rsidRPr="00D00379">
        <w:t xml:space="preserve"> 7</w:t>
      </w:r>
      <w:r w:rsidR="00DA785F" w:rsidRPr="00D00379">
        <w:t>3</w:t>
      </w:r>
      <w:r w:rsidR="00B65AC1" w:rsidRPr="00D00379">
        <w:t xml:space="preserve">% </w:t>
      </w:r>
      <w:r w:rsidR="00922D47" w:rsidRPr="00D00379">
        <w:t>of</w:t>
      </w:r>
      <w:r w:rsidR="00B65AC1" w:rsidRPr="00D00379">
        <w:t xml:space="preserve"> </w:t>
      </w:r>
      <w:r w:rsidR="00922D47" w:rsidRPr="00D00379">
        <w:t xml:space="preserve">cases </w:t>
      </w:r>
      <w:r w:rsidRPr="00D00379">
        <w:t>presenting</w:t>
      </w:r>
      <w:r w:rsidR="00922D47" w:rsidRPr="00D00379">
        <w:t xml:space="preserve"> in</w:t>
      </w:r>
      <w:r w:rsidRPr="00D00379">
        <w:t xml:space="preserve"> this way</w:t>
      </w:r>
      <w:r w:rsidR="00A0488F" w:rsidRPr="00D00379">
        <w:t xml:space="preserve"> in paediatric population</w:t>
      </w:r>
      <w:r w:rsidR="00B65AC1" w:rsidRPr="00D00379">
        <w:t>.</w:t>
      </w:r>
      <w:r w:rsidR="00E44A76" w:rsidRPr="00D00379">
        <w:rPr>
          <w:vertAlign w:val="superscript"/>
        </w:rPr>
        <w:t>1</w:t>
      </w:r>
      <w:r w:rsidR="00B65AC1" w:rsidRPr="00D00379">
        <w:t xml:space="preserve"> </w:t>
      </w:r>
      <w:r w:rsidR="00110247" w:rsidRPr="00D00379">
        <w:t>Tonsils are the most frequent site of involvement for extra-nodal non-Hodgkin</w:t>
      </w:r>
      <w:r w:rsidR="00902C83" w:rsidRPr="00D00379">
        <w:t xml:space="preserve"> </w:t>
      </w:r>
      <w:r w:rsidR="00110247" w:rsidRPr="00D00379">
        <w:t>lymphoma</w:t>
      </w:r>
      <w:r w:rsidR="00780234" w:rsidRPr="00D00379">
        <w:t xml:space="preserve"> in the head and neck region</w:t>
      </w:r>
      <w:r w:rsidR="00902C83" w:rsidRPr="00D00379">
        <w:t>, typically</w:t>
      </w:r>
      <w:r w:rsidR="009F0EF6" w:rsidRPr="00D00379">
        <w:t xml:space="preserve"> </w:t>
      </w:r>
      <w:r w:rsidR="006477A3" w:rsidRPr="00D00379">
        <w:t>present</w:t>
      </w:r>
      <w:r w:rsidR="00902C83" w:rsidRPr="00D00379">
        <w:t>ing</w:t>
      </w:r>
      <w:r w:rsidR="009F0EF6" w:rsidRPr="00D00379">
        <w:t xml:space="preserve"> </w:t>
      </w:r>
      <w:r w:rsidR="00902C83" w:rsidRPr="00D00379">
        <w:t xml:space="preserve">with </w:t>
      </w:r>
      <w:r w:rsidR="009F0EF6" w:rsidRPr="00D00379">
        <w:t>dysphagia, snoring/ap</w:t>
      </w:r>
      <w:bookmarkStart w:id="0" w:name="_GoBack"/>
      <w:bookmarkEnd w:id="0"/>
      <w:r w:rsidR="009F0EF6" w:rsidRPr="00D00379">
        <w:t xml:space="preserve">noea, </w:t>
      </w:r>
      <w:r w:rsidR="006477A3" w:rsidRPr="00D00379">
        <w:t>cervical lymphadenopathy,</w:t>
      </w:r>
      <w:r w:rsidR="009F0EF6" w:rsidRPr="00D00379">
        <w:t xml:space="preserve"> and a visible lesion </w:t>
      </w:r>
      <w:r w:rsidR="00E53130" w:rsidRPr="00D00379">
        <w:t>o</w:t>
      </w:r>
      <w:r w:rsidR="009F0EF6" w:rsidRPr="00D00379">
        <w:t>n the tonsil.</w:t>
      </w:r>
      <w:r w:rsidR="00E44A76" w:rsidRPr="00D00379">
        <w:rPr>
          <w:vertAlign w:val="superscript"/>
        </w:rPr>
        <w:t>1</w:t>
      </w:r>
      <w:r w:rsidR="00E44A76" w:rsidRPr="00D00379">
        <w:t xml:space="preserve"> </w:t>
      </w:r>
      <w:r w:rsidR="00922D47" w:rsidRPr="00D00379">
        <w:t>However, t</w:t>
      </w:r>
      <w:r w:rsidR="00551EA1" w:rsidRPr="00D00379">
        <w:t xml:space="preserve">he vast majority of tonsil asymmetry </w:t>
      </w:r>
      <w:r w:rsidR="00482A0B" w:rsidRPr="00D00379">
        <w:t xml:space="preserve">identified during </w:t>
      </w:r>
      <w:r w:rsidR="002B6266" w:rsidRPr="00D00379">
        <w:t xml:space="preserve">oropharyngeal examination </w:t>
      </w:r>
      <w:r w:rsidR="00304658" w:rsidRPr="00D00379">
        <w:t>are not</w:t>
      </w:r>
      <w:r w:rsidR="00482A0B" w:rsidRPr="00D00379">
        <w:t xml:space="preserve"> clinical</w:t>
      </w:r>
      <w:r w:rsidR="00304658" w:rsidRPr="00D00379">
        <w:t>ly</w:t>
      </w:r>
      <w:r w:rsidR="00482A0B" w:rsidRPr="00D00379">
        <w:t xml:space="preserve"> </w:t>
      </w:r>
      <w:r w:rsidR="002B6266" w:rsidRPr="00D00379">
        <w:t>significan</w:t>
      </w:r>
      <w:r w:rsidR="00482A0B" w:rsidRPr="00D00379">
        <w:t>ce</w:t>
      </w:r>
      <w:r w:rsidR="002B6266" w:rsidRPr="00D00379">
        <w:t xml:space="preserve"> </w:t>
      </w:r>
      <w:r w:rsidR="00602EE7" w:rsidRPr="00D00379">
        <w:t xml:space="preserve">when subjected to </w:t>
      </w:r>
      <w:r w:rsidR="00D52566" w:rsidRPr="00D00379">
        <w:t>volume</w:t>
      </w:r>
      <w:r w:rsidR="00482A0B" w:rsidRPr="00D00379">
        <w:t>tric analysis</w:t>
      </w:r>
      <w:r w:rsidR="002B6266" w:rsidRPr="00D00379">
        <w:t xml:space="preserve"> </w:t>
      </w:r>
      <w:r w:rsidR="00780234" w:rsidRPr="00D00379">
        <w:t xml:space="preserve">after </w:t>
      </w:r>
      <w:r w:rsidR="00602EE7" w:rsidRPr="00D00379">
        <w:t>tonsillectomy</w:t>
      </w:r>
      <w:r w:rsidR="00551EA1" w:rsidRPr="00D00379">
        <w:t>.</w:t>
      </w:r>
      <w:r w:rsidR="00E44A76" w:rsidRPr="00D00379">
        <w:rPr>
          <w:vertAlign w:val="superscript"/>
        </w:rPr>
        <w:t>2</w:t>
      </w:r>
      <w:r w:rsidR="00551EA1" w:rsidRPr="00D00379">
        <w:t xml:space="preserve"> This </w:t>
      </w:r>
      <w:r w:rsidR="0000011C" w:rsidRPr="00D00379">
        <w:t xml:space="preserve">apparent asymmetry </w:t>
      </w:r>
      <w:r w:rsidR="00482A0B" w:rsidRPr="00D00379">
        <w:t>is the</w:t>
      </w:r>
      <w:r w:rsidR="0000011C" w:rsidRPr="00D00379">
        <w:t xml:space="preserve"> </w:t>
      </w:r>
      <w:r w:rsidR="00205B2D" w:rsidRPr="00D00379">
        <w:t xml:space="preserve">result </w:t>
      </w:r>
      <w:r w:rsidR="00482A0B" w:rsidRPr="00D00379">
        <w:t xml:space="preserve">of </w:t>
      </w:r>
      <w:r w:rsidR="00205B2D" w:rsidRPr="00D00379">
        <w:t xml:space="preserve">variation </w:t>
      </w:r>
      <w:r w:rsidR="00551EA1" w:rsidRPr="00D00379">
        <w:t xml:space="preserve">in </w:t>
      </w:r>
      <w:r w:rsidR="00205B2D" w:rsidRPr="00D00379">
        <w:t xml:space="preserve">tonsil fossa </w:t>
      </w:r>
      <w:r w:rsidR="00551EA1" w:rsidRPr="00D00379">
        <w:t>depth</w:t>
      </w:r>
      <w:r w:rsidR="00CE69AB" w:rsidRPr="00D00379">
        <w:t xml:space="preserve">, </w:t>
      </w:r>
      <w:r w:rsidR="00D52566" w:rsidRPr="00D00379">
        <w:t>recurrent tonsillitis,</w:t>
      </w:r>
      <w:r w:rsidR="006B55B2" w:rsidRPr="00D00379">
        <w:t xml:space="preserve"> or </w:t>
      </w:r>
      <w:r w:rsidR="00B64FEA" w:rsidRPr="00D00379">
        <w:t>benign lymphoid hyperplasia</w:t>
      </w:r>
      <w:r w:rsidR="00A84004" w:rsidRPr="00D00379">
        <w:t>,</w:t>
      </w:r>
      <w:r w:rsidR="00A84004" w:rsidRPr="00D00379">
        <w:rPr>
          <w:vertAlign w:val="superscript"/>
        </w:rPr>
        <w:t>3,4</w:t>
      </w:r>
      <w:r w:rsidR="00A84004" w:rsidRPr="00D00379">
        <w:t xml:space="preserve"> accounting for </w:t>
      </w:r>
      <w:r w:rsidR="00A31E05" w:rsidRPr="00D00379">
        <w:t>approximately</w:t>
      </w:r>
      <w:r w:rsidR="00A84004" w:rsidRPr="00D00379">
        <w:t xml:space="preserve"> </w:t>
      </w:r>
      <w:r w:rsidR="00A41B26" w:rsidRPr="00D00379">
        <w:t>82</w:t>
      </w:r>
      <w:r w:rsidR="00A84004" w:rsidRPr="00D00379">
        <w:t>% of cases</w:t>
      </w:r>
      <w:r w:rsidR="00F625C3" w:rsidRPr="00D00379">
        <w:t>.</w:t>
      </w:r>
      <w:r w:rsidR="00A41B26" w:rsidRPr="00D00379">
        <w:rPr>
          <w:vertAlign w:val="superscript"/>
        </w:rPr>
        <w:t>5</w:t>
      </w:r>
      <w:r w:rsidR="00A84004" w:rsidRPr="00D00379">
        <w:rPr>
          <w:vertAlign w:val="superscript"/>
        </w:rPr>
        <w:t>,</w:t>
      </w:r>
      <w:r w:rsidR="00F625C3" w:rsidRPr="00D00379">
        <w:t xml:space="preserve"> </w:t>
      </w:r>
      <w:r w:rsidR="00A84004" w:rsidRPr="00D00379">
        <w:t xml:space="preserve">Lymphoma </w:t>
      </w:r>
      <w:r w:rsidR="00A84004" w:rsidRPr="00D00379">
        <w:lastRenderedPageBreak/>
        <w:t>was the cause of tonsillar asymmetry in 18% of children.</w:t>
      </w:r>
      <w:r w:rsidR="00A41B26" w:rsidRPr="00D00379">
        <w:rPr>
          <w:vertAlign w:val="superscript"/>
        </w:rPr>
        <w:t>5</w:t>
      </w:r>
      <w:r w:rsidR="00A84004" w:rsidRPr="00D00379">
        <w:t xml:space="preserve"> However, </w:t>
      </w:r>
      <w:r w:rsidR="00A31E05" w:rsidRPr="00D00379">
        <w:t xml:space="preserve">it is essential to be </w:t>
      </w:r>
      <w:r w:rsidR="009C317C" w:rsidRPr="00D00379">
        <w:t xml:space="preserve">aware </w:t>
      </w:r>
      <w:r w:rsidR="00A31E05" w:rsidRPr="00D00379">
        <w:t xml:space="preserve">that </w:t>
      </w:r>
      <w:r w:rsidR="00A84004" w:rsidRPr="00D00379">
        <w:t xml:space="preserve">lymphoma is an </w:t>
      </w:r>
      <w:r w:rsidR="003A42A4" w:rsidRPr="00D00379">
        <w:t>exceedingly</w:t>
      </w:r>
      <w:r w:rsidR="006B55B2" w:rsidRPr="00D00379">
        <w:t xml:space="preserve"> </w:t>
      </w:r>
      <w:r w:rsidR="00A84004" w:rsidRPr="00D00379">
        <w:t xml:space="preserve">rare </w:t>
      </w:r>
      <w:r w:rsidR="00A31E05" w:rsidRPr="00D00379">
        <w:t>culprit for</w:t>
      </w:r>
      <w:r w:rsidR="00A84004" w:rsidRPr="00D00379">
        <w:t xml:space="preserve"> </w:t>
      </w:r>
      <w:r w:rsidR="00B65AC1" w:rsidRPr="00D00379">
        <w:t>clinically asymmetric</w:t>
      </w:r>
      <w:r w:rsidR="00D15006" w:rsidRPr="00D00379">
        <w:t>al</w:t>
      </w:r>
      <w:r w:rsidR="00B65AC1" w:rsidRPr="00D00379">
        <w:t xml:space="preserve"> tonsils</w:t>
      </w:r>
      <w:r w:rsidR="00E27518" w:rsidRPr="00D00379">
        <w:t xml:space="preserve"> </w:t>
      </w:r>
      <w:r w:rsidR="00482A0B" w:rsidRPr="00D00379">
        <w:t>in the absence of</w:t>
      </w:r>
      <w:r w:rsidR="00221CE6" w:rsidRPr="00D00379">
        <w:t xml:space="preserve"> concerning </w:t>
      </w:r>
      <w:r w:rsidR="00B425F9" w:rsidRPr="00D00379">
        <w:t xml:space="preserve">clinical </w:t>
      </w:r>
      <w:r w:rsidR="00221CE6" w:rsidRPr="00D00379">
        <w:t>feature</w:t>
      </w:r>
      <w:r w:rsidR="00527078" w:rsidRPr="00D00379">
        <w:t>s</w:t>
      </w:r>
      <w:r w:rsidR="00A31E05" w:rsidRPr="00D00379">
        <w:t>.</w:t>
      </w:r>
      <w:r w:rsidR="006E0F00" w:rsidRPr="00D00379">
        <w:t xml:space="preserve"> </w:t>
      </w:r>
      <w:r w:rsidR="00A31E05" w:rsidRPr="00D00379">
        <w:t>Several case series</w:t>
      </w:r>
      <w:r w:rsidR="00A31E05" w:rsidRPr="00D00379">
        <w:rPr>
          <w:vertAlign w:val="superscript"/>
        </w:rPr>
        <w:t>1,3,</w:t>
      </w:r>
      <w:r w:rsidR="00A41B26" w:rsidRPr="00D00379">
        <w:rPr>
          <w:vertAlign w:val="superscript"/>
        </w:rPr>
        <w:t>6</w:t>
      </w:r>
      <w:r w:rsidR="00A31E05" w:rsidRPr="00D00379">
        <w:t xml:space="preserve"> have </w:t>
      </w:r>
      <w:r w:rsidR="006E0F00" w:rsidRPr="00D00379">
        <w:t>no</w:t>
      </w:r>
      <w:r w:rsidR="00A31E05" w:rsidRPr="00D00379">
        <w:t>t reported any</w:t>
      </w:r>
      <w:r w:rsidR="006E0F00" w:rsidRPr="00D00379">
        <w:t xml:space="preserve"> cases of lymphoma within this group</w:t>
      </w:r>
      <w:r w:rsidR="00A31E05" w:rsidRPr="00D00379">
        <w:t>.</w:t>
      </w:r>
      <w:r w:rsidR="00B65AC1" w:rsidRPr="00D00379">
        <w:t xml:space="preserve"> </w:t>
      </w:r>
      <w:r w:rsidR="00602EE7" w:rsidRPr="00D00379">
        <w:t xml:space="preserve">In order to accurately identify the red flags in children with asymmetrical tonsils, a comprehensive clinical assessment is </w:t>
      </w:r>
      <w:r w:rsidR="00962DB9" w:rsidRPr="00D00379">
        <w:t>crucial</w:t>
      </w:r>
      <w:r w:rsidR="00602EE7" w:rsidRPr="00D00379">
        <w:t xml:space="preserve">. </w:t>
      </w:r>
    </w:p>
    <w:p w14:paraId="51D69348" w14:textId="77777777" w:rsidR="005157CF" w:rsidRPr="00D00379" w:rsidRDefault="005157CF" w:rsidP="003639A4">
      <w:pPr>
        <w:spacing w:line="360" w:lineRule="auto"/>
      </w:pPr>
    </w:p>
    <w:p w14:paraId="45AFD2FC" w14:textId="2BD91903" w:rsidR="00FC697A" w:rsidRPr="00D00379" w:rsidRDefault="00E257D6" w:rsidP="003639A4">
      <w:pPr>
        <w:spacing w:line="360" w:lineRule="auto"/>
        <w:rPr>
          <w:u w:val="single"/>
        </w:rPr>
      </w:pPr>
      <w:r w:rsidRPr="00D00379">
        <w:rPr>
          <w:u w:val="single"/>
        </w:rPr>
        <w:t xml:space="preserve">How </w:t>
      </w:r>
      <w:r w:rsidR="00026C62" w:rsidRPr="00D00379">
        <w:rPr>
          <w:u w:val="single"/>
        </w:rPr>
        <w:t>should</w:t>
      </w:r>
      <w:r w:rsidRPr="00D00379">
        <w:rPr>
          <w:u w:val="single"/>
        </w:rPr>
        <w:t xml:space="preserve"> </w:t>
      </w:r>
      <w:r w:rsidR="005D0816" w:rsidRPr="00D00379">
        <w:rPr>
          <w:u w:val="single"/>
        </w:rPr>
        <w:t xml:space="preserve">a </w:t>
      </w:r>
      <w:r w:rsidR="00EA273A" w:rsidRPr="00D00379">
        <w:rPr>
          <w:u w:val="single"/>
        </w:rPr>
        <w:t xml:space="preserve">child with </w:t>
      </w:r>
      <w:r w:rsidR="00FC697A" w:rsidRPr="00D00379">
        <w:rPr>
          <w:u w:val="single"/>
        </w:rPr>
        <w:t>unilateral tonsil enlargement</w:t>
      </w:r>
      <w:r w:rsidR="00026C62" w:rsidRPr="00D00379">
        <w:rPr>
          <w:u w:val="single"/>
        </w:rPr>
        <w:t xml:space="preserve"> be assessed</w:t>
      </w:r>
      <w:r w:rsidRPr="00D00379">
        <w:rPr>
          <w:u w:val="single"/>
        </w:rPr>
        <w:t>?</w:t>
      </w:r>
    </w:p>
    <w:p w14:paraId="5E42D9F1" w14:textId="77777777" w:rsidR="00FC697A" w:rsidRPr="00D00379" w:rsidRDefault="00FC697A" w:rsidP="003639A4">
      <w:pPr>
        <w:spacing w:line="360" w:lineRule="auto"/>
      </w:pPr>
    </w:p>
    <w:p w14:paraId="547E1BB7" w14:textId="17ED7C97" w:rsidR="00504742" w:rsidRPr="00D00379" w:rsidRDefault="00D340E8" w:rsidP="003639A4">
      <w:pPr>
        <w:spacing w:line="360" w:lineRule="auto"/>
      </w:pPr>
      <w:r w:rsidRPr="00D00379">
        <w:t>A</w:t>
      </w:r>
      <w:r w:rsidR="00B10164" w:rsidRPr="00D00379">
        <w:t xml:space="preserve"> comprehensive assessment begins with a</w:t>
      </w:r>
      <w:r w:rsidR="005F34BA" w:rsidRPr="00D00379">
        <w:t xml:space="preserve"> </w:t>
      </w:r>
      <w:r w:rsidR="00E50738" w:rsidRPr="00D00379">
        <w:t xml:space="preserve">focused </w:t>
      </w:r>
      <w:r w:rsidR="005F34BA" w:rsidRPr="00D00379">
        <w:t>history</w:t>
      </w:r>
      <w:r w:rsidR="00B10164" w:rsidRPr="00D00379">
        <w:t xml:space="preserve">, paying </w:t>
      </w:r>
      <w:r w:rsidR="00697D2D" w:rsidRPr="00D00379">
        <w:t xml:space="preserve">special </w:t>
      </w:r>
      <w:r w:rsidR="00B10164" w:rsidRPr="00D00379">
        <w:t xml:space="preserve">attention to </w:t>
      </w:r>
      <w:r w:rsidR="005F34BA" w:rsidRPr="00D00379">
        <w:t xml:space="preserve">rapid </w:t>
      </w:r>
      <w:r w:rsidR="00E53130" w:rsidRPr="00D00379">
        <w:t xml:space="preserve">tonsillar </w:t>
      </w:r>
      <w:r w:rsidR="005F34BA" w:rsidRPr="00D00379">
        <w:t xml:space="preserve">enlargement. </w:t>
      </w:r>
      <w:r w:rsidR="0004433E" w:rsidRPr="00D00379">
        <w:t xml:space="preserve">Non-Hodgkins lymphoma is the </w:t>
      </w:r>
      <w:r w:rsidR="00E53130" w:rsidRPr="00D00379">
        <w:t>primary concern</w:t>
      </w:r>
      <w:r w:rsidR="0004433E" w:rsidRPr="00D00379">
        <w:t xml:space="preserve">, </w:t>
      </w:r>
      <w:r w:rsidR="00697D2D" w:rsidRPr="00D00379">
        <w:t xml:space="preserve">making it crucial to inquire about </w:t>
      </w:r>
      <w:r w:rsidR="00E53130" w:rsidRPr="00D00379">
        <w:t>B symptoms (fever &gt;38 degrees, weight loss &gt;10%, and night sweats)</w:t>
      </w:r>
      <w:r w:rsidR="00504742" w:rsidRPr="00D00379">
        <w:t>.</w:t>
      </w:r>
      <w:r w:rsidR="00E53130" w:rsidRPr="00D00379">
        <w:t xml:space="preserve"> </w:t>
      </w:r>
      <w:r w:rsidR="00504742" w:rsidRPr="00D00379">
        <w:t xml:space="preserve">However, it is worth noting that </w:t>
      </w:r>
      <w:r w:rsidR="00E53130" w:rsidRPr="00D00379">
        <w:t xml:space="preserve">these </w:t>
      </w:r>
      <w:r w:rsidR="00504742" w:rsidRPr="00D00379">
        <w:t xml:space="preserve">B symptoms </w:t>
      </w:r>
      <w:r w:rsidR="00B45624" w:rsidRPr="00D00379">
        <w:t xml:space="preserve">are reported less frequently </w:t>
      </w:r>
      <w:r w:rsidR="00504742" w:rsidRPr="00D00379">
        <w:t xml:space="preserve">in the paediatric population, who present more often with </w:t>
      </w:r>
      <w:r w:rsidR="00E53130" w:rsidRPr="00D00379">
        <w:t xml:space="preserve">obstructive symptoms </w:t>
      </w:r>
      <w:r w:rsidR="00B45624" w:rsidRPr="00D00379">
        <w:t xml:space="preserve">such as </w:t>
      </w:r>
      <w:r w:rsidR="00E53130" w:rsidRPr="00D00379">
        <w:t xml:space="preserve">dysphagia and </w:t>
      </w:r>
      <w:r w:rsidR="008D0168" w:rsidRPr="00D00379">
        <w:t>snoring/</w:t>
      </w:r>
      <w:r w:rsidR="00E53130" w:rsidRPr="00D00379">
        <w:t>apnoea.</w:t>
      </w:r>
      <w:r w:rsidR="00E44A76" w:rsidRPr="00D00379">
        <w:rPr>
          <w:vertAlign w:val="superscript"/>
        </w:rPr>
        <w:t>1</w:t>
      </w:r>
      <w:r w:rsidR="003F3211" w:rsidRPr="00D00379">
        <w:t xml:space="preserve"> </w:t>
      </w:r>
    </w:p>
    <w:p w14:paraId="096F9832" w14:textId="77777777" w:rsidR="00504742" w:rsidRPr="00D00379" w:rsidRDefault="00504742" w:rsidP="003639A4">
      <w:pPr>
        <w:spacing w:line="360" w:lineRule="auto"/>
      </w:pPr>
    </w:p>
    <w:p w14:paraId="6CA35798" w14:textId="7F67C93A" w:rsidR="003F3211" w:rsidRPr="00D00379" w:rsidRDefault="003F3211" w:rsidP="003639A4">
      <w:pPr>
        <w:spacing w:line="360" w:lineRule="auto"/>
      </w:pPr>
      <w:r w:rsidRPr="00D00379">
        <w:t xml:space="preserve">It is important to consider the possibility </w:t>
      </w:r>
      <w:r w:rsidR="009D42CE" w:rsidRPr="00D00379">
        <w:t xml:space="preserve">of a </w:t>
      </w:r>
      <w:r w:rsidRPr="00D00379">
        <w:t>parapharyngeal mass</w:t>
      </w:r>
      <w:r w:rsidR="00E642D0" w:rsidRPr="00D00379">
        <w:t xml:space="preserve"> (</w:t>
      </w:r>
      <w:r w:rsidRPr="00D00379">
        <w:t>such as a parotid deep lobe tumour, paraganglioma or neurofibroma</w:t>
      </w:r>
      <w:r w:rsidR="00E642D0" w:rsidRPr="00D00379">
        <w:t>)</w:t>
      </w:r>
      <w:r w:rsidRPr="00D00379">
        <w:t xml:space="preserve"> </w:t>
      </w:r>
      <w:r w:rsidR="00E642D0" w:rsidRPr="00D00379">
        <w:t>caus</w:t>
      </w:r>
      <w:r w:rsidR="009D42CE" w:rsidRPr="00D00379">
        <w:t>ing</w:t>
      </w:r>
      <w:r w:rsidR="00E642D0" w:rsidRPr="00D00379">
        <w:t xml:space="preserve"> medial displacement </w:t>
      </w:r>
      <w:r w:rsidRPr="00D00379">
        <w:t xml:space="preserve">of a tonsil. A high index of suspicion is required, given that significant tonsillar asymmetry may be the only </w:t>
      </w:r>
      <w:r w:rsidR="00D801DC" w:rsidRPr="00D00379">
        <w:t xml:space="preserve">early </w:t>
      </w:r>
      <w:r w:rsidRPr="00D00379">
        <w:t>clinical sign</w:t>
      </w:r>
      <w:r w:rsidR="00504742" w:rsidRPr="00D00379">
        <w:t>.</w:t>
      </w:r>
      <w:r w:rsidR="00F227A0" w:rsidRPr="00D00379">
        <w:t xml:space="preserve"> </w:t>
      </w:r>
      <w:r w:rsidR="00504742" w:rsidRPr="00D00379">
        <w:t xml:space="preserve">In advanced disease, </w:t>
      </w:r>
      <w:r w:rsidR="00D801DC" w:rsidRPr="00D00379">
        <w:t xml:space="preserve">parapharyngeal masses </w:t>
      </w:r>
      <w:r w:rsidR="00504742" w:rsidRPr="00D00379">
        <w:t xml:space="preserve">may </w:t>
      </w:r>
      <w:r w:rsidR="00D801DC" w:rsidRPr="00D00379">
        <w:t xml:space="preserve">present with a </w:t>
      </w:r>
      <w:r w:rsidR="00E642D0" w:rsidRPr="00D00379">
        <w:t xml:space="preserve">palpable </w:t>
      </w:r>
      <w:r w:rsidR="00F227A0" w:rsidRPr="00D00379">
        <w:t xml:space="preserve">neck lump and </w:t>
      </w:r>
      <w:r w:rsidR="00E642D0" w:rsidRPr="00D00379">
        <w:t xml:space="preserve">dysfunction of the lower </w:t>
      </w:r>
      <w:r w:rsidR="00F227A0" w:rsidRPr="00D00379">
        <w:t>cranial nerve</w:t>
      </w:r>
      <w:r w:rsidR="00E642D0" w:rsidRPr="00D00379">
        <w:t>s</w:t>
      </w:r>
      <w:r w:rsidR="00F227A0" w:rsidRPr="00D00379">
        <w:t xml:space="preserve"> IX</w:t>
      </w:r>
      <w:r w:rsidR="00E642D0" w:rsidRPr="00D00379">
        <w:t>-XII</w:t>
      </w:r>
      <w:r w:rsidRPr="00D00379">
        <w:t>.</w:t>
      </w:r>
    </w:p>
    <w:p w14:paraId="6D21783B" w14:textId="77777777" w:rsidR="0004433E" w:rsidRPr="00D00379" w:rsidRDefault="0004433E" w:rsidP="003639A4">
      <w:pPr>
        <w:spacing w:line="360" w:lineRule="auto"/>
      </w:pPr>
    </w:p>
    <w:p w14:paraId="6D92BB84" w14:textId="434023AC" w:rsidR="00213247" w:rsidRPr="00D00379" w:rsidRDefault="005F34BA" w:rsidP="003639A4">
      <w:pPr>
        <w:spacing w:line="360" w:lineRule="auto"/>
      </w:pPr>
      <w:r w:rsidRPr="00D00379">
        <w:t>A general examination</w:t>
      </w:r>
      <w:r w:rsidR="00C42D69" w:rsidRPr="00D00379">
        <w:t>,</w:t>
      </w:r>
      <w:r w:rsidRPr="00D00379">
        <w:t xml:space="preserve"> including </w:t>
      </w:r>
      <w:r w:rsidR="00C42D69" w:rsidRPr="00D00379">
        <w:t xml:space="preserve">assessment of </w:t>
      </w:r>
      <w:r w:rsidRPr="00D00379">
        <w:t>the work of breathing, audible stertor, lymphoreticular examination</w:t>
      </w:r>
      <w:r w:rsidR="00C42D69" w:rsidRPr="00D00379">
        <w:t>,</w:t>
      </w:r>
      <w:r w:rsidRPr="00D00379">
        <w:t xml:space="preserve"> and a </w:t>
      </w:r>
      <w:r w:rsidR="00C42D69" w:rsidRPr="00D00379">
        <w:t xml:space="preserve">complete </w:t>
      </w:r>
      <w:r w:rsidRPr="00D00379">
        <w:t xml:space="preserve">ENT examination is </w:t>
      </w:r>
      <w:r w:rsidR="00C42D69" w:rsidRPr="00D00379">
        <w:t>essential</w:t>
      </w:r>
      <w:r w:rsidRPr="00D00379">
        <w:t xml:space="preserve">. The oropharyngeal examination </w:t>
      </w:r>
      <w:r w:rsidR="00153FD9" w:rsidRPr="00D00379">
        <w:t xml:space="preserve">should </w:t>
      </w:r>
      <w:r w:rsidRPr="00D00379">
        <w:t>include inspecti</w:t>
      </w:r>
      <w:r w:rsidR="00153FD9" w:rsidRPr="00D00379">
        <w:t>on of</w:t>
      </w:r>
      <w:r w:rsidRPr="00D00379">
        <w:t xml:space="preserve"> the tonsil</w:t>
      </w:r>
      <w:r w:rsidR="00153FD9" w:rsidRPr="00D00379">
        <w:t>s</w:t>
      </w:r>
      <w:r w:rsidRPr="00D00379">
        <w:t xml:space="preserve"> for </w:t>
      </w:r>
      <w:r w:rsidR="00020656" w:rsidRPr="00D00379">
        <w:t xml:space="preserve">mucosal </w:t>
      </w:r>
      <w:r w:rsidRPr="00D00379">
        <w:t>irregularity, ulceratio</w:t>
      </w:r>
      <w:r w:rsidR="00292191" w:rsidRPr="00D00379">
        <w:t>n</w:t>
      </w:r>
      <w:r w:rsidR="00153FD9" w:rsidRPr="00D00379">
        <w:t>,</w:t>
      </w:r>
      <w:r w:rsidRPr="00D00379">
        <w:t xml:space="preserve"> and </w:t>
      </w:r>
      <w:r w:rsidR="00153FD9" w:rsidRPr="00D00379">
        <w:t xml:space="preserve">a </w:t>
      </w:r>
      <w:r w:rsidRPr="00D00379">
        <w:t>compari</w:t>
      </w:r>
      <w:r w:rsidR="00153FD9" w:rsidRPr="00D00379">
        <w:t xml:space="preserve">son with </w:t>
      </w:r>
      <w:r w:rsidRPr="00D00379">
        <w:t>the contralateral tonsil</w:t>
      </w:r>
      <w:r w:rsidR="0019507E" w:rsidRPr="00D00379">
        <w:t>.</w:t>
      </w:r>
      <w:r w:rsidRPr="00D00379">
        <w:t xml:space="preserve"> </w:t>
      </w:r>
      <w:r w:rsidR="00AF1C84" w:rsidRPr="00D00379">
        <w:t xml:space="preserve">The </w:t>
      </w:r>
      <w:r w:rsidR="00153FD9" w:rsidRPr="00D00379">
        <w:t xml:space="preserve">use of the </w:t>
      </w:r>
      <w:r w:rsidR="00020656" w:rsidRPr="00D00379">
        <w:t>Brodsky scale</w:t>
      </w:r>
      <w:r w:rsidR="00E44A76" w:rsidRPr="00D00379">
        <w:t>,</w:t>
      </w:r>
      <w:r w:rsidR="00E44A76" w:rsidRPr="00D00379">
        <w:rPr>
          <w:vertAlign w:val="superscript"/>
        </w:rPr>
        <w:t>6</w:t>
      </w:r>
      <w:r w:rsidR="00153FD9" w:rsidRPr="00D00379">
        <w:t xml:space="preserve"> as illustrated in Figure </w:t>
      </w:r>
      <w:r w:rsidR="00DB67D6" w:rsidRPr="00D00379">
        <w:t>1</w:t>
      </w:r>
      <w:r w:rsidR="00153FD9" w:rsidRPr="00D00379">
        <w:t>,</w:t>
      </w:r>
      <w:r w:rsidR="005249EF" w:rsidRPr="00D00379">
        <w:t xml:space="preserve"> </w:t>
      </w:r>
      <w:r w:rsidR="00153FD9" w:rsidRPr="00D00379">
        <w:t xml:space="preserve">provides a standardised method for documenting </w:t>
      </w:r>
      <w:r w:rsidR="00486969" w:rsidRPr="00D00379">
        <w:t xml:space="preserve">and monitoring </w:t>
      </w:r>
      <w:r w:rsidR="00020656" w:rsidRPr="00D00379">
        <w:t>tonsil size</w:t>
      </w:r>
      <w:r w:rsidR="001A16EC" w:rsidRPr="00D00379">
        <w:t xml:space="preserve">. </w:t>
      </w:r>
      <w:r w:rsidR="00B537F7" w:rsidRPr="00D00379">
        <w:t>P</w:t>
      </w:r>
      <w:r w:rsidR="00580CCC" w:rsidRPr="00D00379">
        <w:t>alpat</w:t>
      </w:r>
      <w:r w:rsidR="00B537F7" w:rsidRPr="00D00379">
        <w:t>ion of the neck</w:t>
      </w:r>
      <w:r w:rsidR="00580CCC" w:rsidRPr="00D00379">
        <w:t xml:space="preserve"> </w:t>
      </w:r>
      <w:r w:rsidR="0024025B" w:rsidRPr="00D00379">
        <w:t>to identify</w:t>
      </w:r>
      <w:r w:rsidR="00580CCC" w:rsidRPr="00D00379">
        <w:t xml:space="preserve"> cervical lymphadenopathy and masses</w:t>
      </w:r>
      <w:r w:rsidR="00B537F7" w:rsidRPr="00D00379">
        <w:t xml:space="preserve"> is </w:t>
      </w:r>
      <w:r w:rsidR="00962DB9" w:rsidRPr="00D00379">
        <w:t>obligatory</w:t>
      </w:r>
      <w:r w:rsidR="00580CCC" w:rsidRPr="00D00379">
        <w:t xml:space="preserve">. </w:t>
      </w:r>
    </w:p>
    <w:p w14:paraId="0CDB2399" w14:textId="77777777" w:rsidR="005E49C1" w:rsidRPr="00D00379" w:rsidRDefault="005E49C1" w:rsidP="003639A4">
      <w:pPr>
        <w:spacing w:line="360" w:lineRule="auto"/>
        <w:rPr>
          <w:u w:val="single"/>
        </w:rPr>
      </w:pPr>
    </w:p>
    <w:p w14:paraId="18717002" w14:textId="7F9A32C2" w:rsidR="005E49C1" w:rsidRPr="00D00379" w:rsidRDefault="005B78E8" w:rsidP="003639A4">
      <w:pPr>
        <w:spacing w:line="360" w:lineRule="auto"/>
        <w:rPr>
          <w:u w:val="single"/>
        </w:rPr>
      </w:pPr>
      <w:r w:rsidRPr="00D00379">
        <w:rPr>
          <w:u w:val="single"/>
        </w:rPr>
        <w:t>What are the indications for referral to secondary care</w:t>
      </w:r>
      <w:r w:rsidR="00371B50" w:rsidRPr="00D00379">
        <w:rPr>
          <w:u w:val="single"/>
        </w:rPr>
        <w:t>?</w:t>
      </w:r>
    </w:p>
    <w:p w14:paraId="1A4DBDAE" w14:textId="4C341CDA" w:rsidR="005E49C1" w:rsidRPr="00D00379" w:rsidRDefault="005B78E8" w:rsidP="003639A4">
      <w:pPr>
        <w:tabs>
          <w:tab w:val="left" w:pos="1229"/>
        </w:tabs>
        <w:spacing w:line="360" w:lineRule="auto"/>
      </w:pPr>
      <w:r w:rsidRPr="00D00379">
        <w:tab/>
      </w:r>
    </w:p>
    <w:p w14:paraId="454F10D3" w14:textId="2FB3014A" w:rsidR="007E56AB" w:rsidRPr="00D00379" w:rsidRDefault="00E95E97" w:rsidP="003639A4">
      <w:pPr>
        <w:spacing w:line="360" w:lineRule="auto"/>
      </w:pPr>
      <w:r w:rsidRPr="00D00379">
        <w:lastRenderedPageBreak/>
        <w:t>A</w:t>
      </w:r>
      <w:r w:rsidR="00B26BCF" w:rsidRPr="00D00379">
        <w:t>ccording to the</w:t>
      </w:r>
      <w:r w:rsidRPr="00D00379">
        <w:t xml:space="preserve"> </w:t>
      </w:r>
      <w:proofErr w:type="spellStart"/>
      <w:r w:rsidRPr="00D00379">
        <w:t>Triological</w:t>
      </w:r>
      <w:proofErr w:type="spellEnd"/>
      <w:r w:rsidRPr="00D00379">
        <w:t xml:space="preserve"> Society Best Practice guideline</w:t>
      </w:r>
      <w:r w:rsidR="00B26BCF" w:rsidRPr="00D00379">
        <w:t>,</w:t>
      </w:r>
      <w:r w:rsidR="00A41B26" w:rsidRPr="00D00379">
        <w:rPr>
          <w:vertAlign w:val="superscript"/>
        </w:rPr>
        <w:t>8</w:t>
      </w:r>
      <w:r w:rsidR="00E44A76" w:rsidRPr="00D00379">
        <w:t xml:space="preserve"> </w:t>
      </w:r>
      <w:r w:rsidR="00F33024" w:rsidRPr="00D00379">
        <w:t>the incidental</w:t>
      </w:r>
      <w:r w:rsidRPr="00D00379">
        <w:t xml:space="preserve"> finding of </w:t>
      </w:r>
      <w:r w:rsidR="00F33024" w:rsidRPr="00D00379">
        <w:t xml:space="preserve">isolated tonsil </w:t>
      </w:r>
      <w:r w:rsidRPr="00D00379">
        <w:t>asymmetry</w:t>
      </w:r>
      <w:r w:rsidR="008828EC" w:rsidRPr="00D00379">
        <w:t xml:space="preserve">, </w:t>
      </w:r>
      <w:r w:rsidRPr="00D00379">
        <w:t>with</w:t>
      </w:r>
      <w:r w:rsidR="00F33024" w:rsidRPr="00D00379">
        <w:t>out accompanying</w:t>
      </w:r>
      <w:r w:rsidRPr="00D00379">
        <w:t xml:space="preserve"> lymphadenopathy or associated symptoms</w:t>
      </w:r>
      <w:r w:rsidR="00F33024" w:rsidRPr="00D00379">
        <w:t xml:space="preserve">, </w:t>
      </w:r>
      <w:r w:rsidRPr="00D00379">
        <w:t xml:space="preserve">can be monitored closely in primary care </w:t>
      </w:r>
      <w:r w:rsidR="00CE7E1B" w:rsidRPr="00D00379">
        <w:t>for at least 6 months</w:t>
      </w:r>
      <w:r w:rsidR="00763776" w:rsidRPr="00D00379">
        <w:t>.</w:t>
      </w:r>
      <w:r w:rsidR="00CE7E1B" w:rsidRPr="00D00379">
        <w:t xml:space="preserve"> </w:t>
      </w:r>
      <w:r w:rsidR="00763776" w:rsidRPr="00D00379">
        <w:t>I</w:t>
      </w:r>
      <w:r w:rsidR="00CE7E1B" w:rsidRPr="00D00379">
        <w:t>nitially</w:t>
      </w:r>
      <w:r w:rsidR="00763776" w:rsidRPr="00D00379">
        <w:t>,</w:t>
      </w:r>
      <w:r w:rsidR="00CE7E1B" w:rsidRPr="00D00379">
        <w:t xml:space="preserve"> </w:t>
      </w:r>
      <w:r w:rsidR="00763776" w:rsidRPr="00D00379">
        <w:t xml:space="preserve">assessments </w:t>
      </w:r>
      <w:r w:rsidR="00CE7E1B" w:rsidRPr="00D00379">
        <w:t xml:space="preserve">every 4 weeks for </w:t>
      </w:r>
      <w:r w:rsidR="00763776" w:rsidRPr="00D00379">
        <w:t xml:space="preserve">the first </w:t>
      </w:r>
      <w:r w:rsidR="00CE7E1B" w:rsidRPr="00D00379">
        <w:t>3 months</w:t>
      </w:r>
      <w:r w:rsidR="006077B6" w:rsidRPr="00D00379">
        <w:t xml:space="preserve"> are </w:t>
      </w:r>
      <w:r w:rsidR="00763776" w:rsidRPr="00D00379">
        <w:t>advisable</w:t>
      </w:r>
      <w:r w:rsidRPr="00D00379">
        <w:t xml:space="preserve">. </w:t>
      </w:r>
      <w:r w:rsidR="00854E37" w:rsidRPr="00D00379">
        <w:t xml:space="preserve">However, </w:t>
      </w:r>
      <w:r w:rsidR="00B21CDB" w:rsidRPr="00D00379">
        <w:t>primary care practitioner</w:t>
      </w:r>
      <w:r w:rsidR="00503035" w:rsidRPr="00D00379">
        <w:t xml:space="preserve"> </w:t>
      </w:r>
      <w:r w:rsidR="00F33024" w:rsidRPr="00D00379">
        <w:t xml:space="preserve">must </w:t>
      </w:r>
      <w:r w:rsidR="00787A60" w:rsidRPr="00D00379">
        <w:t>remain vigilant</w:t>
      </w:r>
      <w:r w:rsidR="00503035" w:rsidRPr="00D00379">
        <w:t xml:space="preserve"> </w:t>
      </w:r>
      <w:r w:rsidR="00787A60" w:rsidRPr="00D00379">
        <w:t xml:space="preserve">for the development of </w:t>
      </w:r>
      <w:r w:rsidR="00503035" w:rsidRPr="00D00379">
        <w:t>red flag</w:t>
      </w:r>
      <w:r w:rsidR="00787A60" w:rsidRPr="00D00379">
        <w:t>s</w:t>
      </w:r>
      <w:r w:rsidR="00503035" w:rsidRPr="00D00379">
        <w:t>,</w:t>
      </w:r>
      <w:r w:rsidR="00E44A76" w:rsidRPr="00D00379">
        <w:rPr>
          <w:vertAlign w:val="superscript"/>
        </w:rPr>
        <w:t>1,</w:t>
      </w:r>
      <w:r w:rsidR="00A41B26" w:rsidRPr="00D00379">
        <w:rPr>
          <w:vertAlign w:val="superscript"/>
        </w:rPr>
        <w:t>9</w:t>
      </w:r>
      <w:r w:rsidR="00503035" w:rsidRPr="00D00379">
        <w:t xml:space="preserve"> </w:t>
      </w:r>
      <w:r w:rsidR="00787A60" w:rsidRPr="00D00379">
        <w:t xml:space="preserve">as </w:t>
      </w:r>
      <w:r w:rsidR="00B21CDB" w:rsidRPr="00D00379">
        <w:t xml:space="preserve">listed </w:t>
      </w:r>
      <w:r w:rsidR="00503035" w:rsidRPr="00D00379">
        <w:t xml:space="preserve">in </w:t>
      </w:r>
      <w:r w:rsidR="00B21CDB" w:rsidRPr="00D00379">
        <w:t>T</w:t>
      </w:r>
      <w:r w:rsidR="00503035" w:rsidRPr="00D00379">
        <w:t>able 1</w:t>
      </w:r>
      <w:r w:rsidR="00530A31" w:rsidRPr="00D00379">
        <w:t xml:space="preserve">. </w:t>
      </w:r>
      <w:r w:rsidR="00845345" w:rsidRPr="00D00379">
        <w:t xml:space="preserve">In </w:t>
      </w:r>
      <w:r w:rsidR="002C1350" w:rsidRPr="00D00379">
        <w:t>confirmed</w:t>
      </w:r>
      <w:r w:rsidR="00845345" w:rsidRPr="00D00379">
        <w:t xml:space="preserve"> cases of </w:t>
      </w:r>
      <w:r w:rsidR="00C8176B" w:rsidRPr="00D00379">
        <w:t xml:space="preserve">paediatric </w:t>
      </w:r>
      <w:r w:rsidR="00845345" w:rsidRPr="00D00379">
        <w:t>tonsil lymphoma,</w:t>
      </w:r>
      <w:r w:rsidR="00F44335" w:rsidRPr="00D00379">
        <w:t xml:space="preserve"> </w:t>
      </w:r>
      <w:r w:rsidR="00F33024" w:rsidRPr="00D00379">
        <w:t xml:space="preserve">red flags </w:t>
      </w:r>
      <w:r w:rsidR="00F44335" w:rsidRPr="00D00379">
        <w:t>were</w:t>
      </w:r>
      <w:r w:rsidR="00F33024" w:rsidRPr="00D00379">
        <w:t xml:space="preserve"> observed </w:t>
      </w:r>
      <w:r w:rsidR="00F44335" w:rsidRPr="00D00379">
        <w:t xml:space="preserve">in the following </w:t>
      </w:r>
      <w:r w:rsidR="00F33024" w:rsidRPr="00D00379">
        <w:t>frequenc</w:t>
      </w:r>
      <w:r w:rsidR="00F44335" w:rsidRPr="00D00379">
        <w:t>ies:</w:t>
      </w:r>
      <w:r w:rsidR="00F33024" w:rsidRPr="00D00379">
        <w:t xml:space="preserve"> </w:t>
      </w:r>
      <w:r w:rsidR="00845345" w:rsidRPr="00D00379">
        <w:t>alternation in mucosal appearance (45%), cervical lymphadenopathy (30%), and B symptoms (16%).</w:t>
      </w:r>
      <w:r w:rsidR="00845345" w:rsidRPr="00D00379">
        <w:rPr>
          <w:vertAlign w:val="superscript"/>
        </w:rPr>
        <w:t>1</w:t>
      </w:r>
      <w:r w:rsidR="00845345" w:rsidRPr="00D00379">
        <w:t xml:space="preserve"> </w:t>
      </w:r>
      <w:r w:rsidR="00F44335" w:rsidRPr="00D00379">
        <w:t xml:space="preserve">The identification </w:t>
      </w:r>
      <w:r w:rsidR="00787A60" w:rsidRPr="00D00379">
        <w:t>of red flags</w:t>
      </w:r>
      <w:r w:rsidR="00AE3F5F" w:rsidRPr="00D00379">
        <w:t xml:space="preserve"> </w:t>
      </w:r>
      <w:r w:rsidR="006D6B5D" w:rsidRPr="00D00379">
        <w:t xml:space="preserve">should </w:t>
      </w:r>
      <w:r w:rsidR="00F33024" w:rsidRPr="00D00379">
        <w:t xml:space="preserve">prompt </w:t>
      </w:r>
      <w:r w:rsidR="006D6B5D" w:rsidRPr="00D00379">
        <w:t xml:space="preserve">a </w:t>
      </w:r>
      <w:r w:rsidR="00AE3F5F" w:rsidRPr="00D00379">
        <w:t>fast</w:t>
      </w:r>
      <w:r w:rsidR="006D6B5D" w:rsidRPr="00D00379">
        <w:t>-</w:t>
      </w:r>
      <w:r w:rsidR="00AE3F5F" w:rsidRPr="00D00379">
        <w:t>track referral to ENT on a suspected head and neck cancer pathway</w:t>
      </w:r>
      <w:r w:rsidR="005157CF" w:rsidRPr="00D00379">
        <w:t>.</w:t>
      </w:r>
      <w:r w:rsidR="006C7FB0" w:rsidRPr="00D00379">
        <w:t xml:space="preserve"> </w:t>
      </w:r>
      <w:r w:rsidR="008828EC" w:rsidRPr="00D00379">
        <w:t xml:space="preserve">It is important to note that </w:t>
      </w:r>
      <w:r w:rsidR="00F44335" w:rsidRPr="00D00379">
        <w:t>unilateral tonsillar enlargement caused by an</w:t>
      </w:r>
      <w:r w:rsidR="008828EC" w:rsidRPr="00D00379">
        <w:t xml:space="preserve"> upper respiratory tract infection, coupled with reactive cervical lymphadenopathy</w:t>
      </w:r>
      <w:r w:rsidR="00F44335" w:rsidRPr="00D00379">
        <w:t>,</w:t>
      </w:r>
      <w:r w:rsidR="008828EC" w:rsidRPr="00D00379">
        <w:t xml:space="preserve"> may </w:t>
      </w:r>
      <w:r w:rsidR="00B278E6" w:rsidRPr="00D00379">
        <w:t xml:space="preserve">inadvertently activate a </w:t>
      </w:r>
      <w:r w:rsidR="00236D33" w:rsidRPr="00D00379">
        <w:t>fast-tract referral</w:t>
      </w:r>
      <w:r w:rsidR="008828EC" w:rsidRPr="00D00379">
        <w:t xml:space="preserve">. </w:t>
      </w:r>
      <w:r w:rsidR="00F33024" w:rsidRPr="00D00379">
        <w:t>T</w:t>
      </w:r>
      <w:r w:rsidR="008828EC" w:rsidRPr="00D00379">
        <w:t>he Best Practice guideline</w:t>
      </w:r>
      <w:r w:rsidR="00A41B26" w:rsidRPr="00D00379">
        <w:rPr>
          <w:vertAlign w:val="superscript"/>
        </w:rPr>
        <w:t>8</w:t>
      </w:r>
      <w:r w:rsidR="008828EC" w:rsidRPr="00D00379">
        <w:t xml:space="preserve"> </w:t>
      </w:r>
      <w:r w:rsidR="00B87FB4" w:rsidRPr="00D00379">
        <w:t xml:space="preserve">anticipates this particular </w:t>
      </w:r>
      <w:r w:rsidR="00F44335" w:rsidRPr="00D00379">
        <w:t xml:space="preserve">scenario, </w:t>
      </w:r>
      <w:r w:rsidR="00F33024" w:rsidRPr="00D00379">
        <w:t xml:space="preserve">and </w:t>
      </w:r>
      <w:r w:rsidR="00236D33" w:rsidRPr="00D00379">
        <w:t>recommends monitoring for these patients</w:t>
      </w:r>
      <w:r w:rsidR="008828EC" w:rsidRPr="00D00379">
        <w:t xml:space="preserve">. </w:t>
      </w:r>
      <w:r w:rsidR="00F33024" w:rsidRPr="00D00379">
        <w:t>If concerns remain, a</w:t>
      </w:r>
      <w:r w:rsidR="008828EC" w:rsidRPr="00D00379">
        <w:t>n ultrasound doppler can</w:t>
      </w:r>
      <w:r w:rsidR="00F33024" w:rsidRPr="00D00379">
        <w:t xml:space="preserve"> serve as a valuable</w:t>
      </w:r>
      <w:r w:rsidR="008828EC" w:rsidRPr="00D00379">
        <w:t xml:space="preserve"> </w:t>
      </w:r>
      <w:r w:rsidR="00C8176B" w:rsidRPr="00D00379">
        <w:t>diagnostic tool</w:t>
      </w:r>
      <w:r w:rsidR="008828EC" w:rsidRPr="00D00379">
        <w:t xml:space="preserve"> </w:t>
      </w:r>
      <w:r w:rsidR="00F33024" w:rsidRPr="00D00379">
        <w:t xml:space="preserve">to differentiate between </w:t>
      </w:r>
      <w:r w:rsidR="008828EC" w:rsidRPr="00D00379">
        <w:t xml:space="preserve">reactive and malignant </w:t>
      </w:r>
      <w:r w:rsidR="00F44335" w:rsidRPr="00D00379">
        <w:t>cervical lymph</w:t>
      </w:r>
      <w:r w:rsidR="008828EC" w:rsidRPr="00D00379">
        <w:t>adenopathy.</w:t>
      </w:r>
      <w:r w:rsidR="00A41B26" w:rsidRPr="00D00379">
        <w:rPr>
          <w:vertAlign w:val="superscript"/>
        </w:rPr>
        <w:t>8</w:t>
      </w:r>
      <w:r w:rsidR="008828EC" w:rsidRPr="00D00379">
        <w:t xml:space="preserve"> </w:t>
      </w:r>
    </w:p>
    <w:p w14:paraId="4D2BE4C2" w14:textId="77777777" w:rsidR="007E56AB" w:rsidRPr="00D00379" w:rsidRDefault="007E56AB" w:rsidP="003639A4">
      <w:pPr>
        <w:spacing w:line="360" w:lineRule="auto"/>
      </w:pPr>
    </w:p>
    <w:p w14:paraId="15D11AEE" w14:textId="5C1EB2EB" w:rsidR="00BF1AD0" w:rsidRPr="00D00379" w:rsidRDefault="00BF1AD0" w:rsidP="003639A4">
      <w:pPr>
        <w:spacing w:line="360" w:lineRule="auto"/>
        <w:rPr>
          <w:u w:val="single"/>
        </w:rPr>
      </w:pPr>
      <w:r w:rsidRPr="00D00379">
        <w:rPr>
          <w:u w:val="single"/>
        </w:rPr>
        <w:t>Conclusion</w:t>
      </w:r>
    </w:p>
    <w:p w14:paraId="20C2D091" w14:textId="0F5E4F9B" w:rsidR="00BF1AD0" w:rsidRPr="00D00379" w:rsidRDefault="00BF1AD0" w:rsidP="003639A4">
      <w:pPr>
        <w:spacing w:line="360" w:lineRule="auto"/>
      </w:pPr>
    </w:p>
    <w:p w14:paraId="37849597" w14:textId="1FC942DA" w:rsidR="005E7167" w:rsidRPr="00D00379" w:rsidRDefault="00BC5C60" w:rsidP="003639A4">
      <w:pPr>
        <w:spacing w:line="360" w:lineRule="auto"/>
      </w:pPr>
      <w:r w:rsidRPr="00D00379">
        <w:t xml:space="preserve">Unilateral tonsil enlargement in children can pose diagnostic challenges. While many cases reveal benign underlying causes, an astute clinical approach and vigilant monitoring of red flags are essential in </w:t>
      </w:r>
      <w:r w:rsidR="002735CC" w:rsidRPr="00D00379">
        <w:t xml:space="preserve">the management of </w:t>
      </w:r>
      <w:r w:rsidRPr="00D00379">
        <w:t>unilateral tonsil asymmetry</w:t>
      </w:r>
      <w:r w:rsidR="002735CC" w:rsidRPr="00D00379">
        <w:t xml:space="preserve"> in a young person</w:t>
      </w:r>
      <w:r w:rsidRPr="00D00379">
        <w:t>.</w:t>
      </w:r>
    </w:p>
    <w:p w14:paraId="391204FE" w14:textId="77777777" w:rsidR="005E7167" w:rsidRPr="00D00379" w:rsidRDefault="005E7167" w:rsidP="003639A4">
      <w:pPr>
        <w:spacing w:line="360" w:lineRule="auto"/>
        <w:rPr>
          <w:u w:val="single"/>
        </w:rPr>
      </w:pPr>
    </w:p>
    <w:p w14:paraId="529E4B1C" w14:textId="41489BC0" w:rsidR="00BF1AD0" w:rsidRPr="00D00379" w:rsidRDefault="00C66B71" w:rsidP="003639A4">
      <w:pPr>
        <w:spacing w:line="360" w:lineRule="auto"/>
        <w:rPr>
          <w:u w:val="single"/>
        </w:rPr>
      </w:pPr>
      <w:r w:rsidRPr="00D00379">
        <w:rPr>
          <w:u w:val="single"/>
        </w:rPr>
        <w:t>Funding</w:t>
      </w:r>
    </w:p>
    <w:p w14:paraId="25338C39" w14:textId="77777777" w:rsidR="005E7167" w:rsidRPr="00D00379" w:rsidRDefault="005E7167" w:rsidP="003639A4">
      <w:pPr>
        <w:spacing w:line="360" w:lineRule="auto"/>
        <w:rPr>
          <w:u w:val="single"/>
        </w:rPr>
      </w:pPr>
    </w:p>
    <w:p w14:paraId="547D6496" w14:textId="7C88BFD2" w:rsidR="005E7167" w:rsidRPr="00D00379" w:rsidRDefault="005E7167" w:rsidP="003639A4">
      <w:pPr>
        <w:spacing w:line="360" w:lineRule="auto"/>
      </w:pPr>
      <w:r w:rsidRPr="00D00379">
        <w:t>FM, Doctoral Fellow 300957, is funded by NIHR.</w:t>
      </w:r>
    </w:p>
    <w:p w14:paraId="13290955" w14:textId="77777777" w:rsidR="005E7167" w:rsidRPr="00D00379" w:rsidRDefault="005E7167" w:rsidP="003639A4">
      <w:pPr>
        <w:spacing w:line="360" w:lineRule="auto"/>
        <w:rPr>
          <w:u w:val="single"/>
        </w:rPr>
      </w:pPr>
    </w:p>
    <w:p w14:paraId="3958924F" w14:textId="49B4AE45" w:rsidR="005E7167" w:rsidRPr="00D00379" w:rsidRDefault="00C66B71" w:rsidP="003639A4">
      <w:pPr>
        <w:spacing w:line="360" w:lineRule="auto"/>
      </w:pPr>
      <w:r w:rsidRPr="00D00379">
        <w:rPr>
          <w:u w:val="single"/>
        </w:rPr>
        <w:t>Competing interests</w:t>
      </w:r>
    </w:p>
    <w:p w14:paraId="76F561A3" w14:textId="77777777" w:rsidR="005E7167" w:rsidRPr="00D00379" w:rsidRDefault="005E7167" w:rsidP="003639A4">
      <w:pPr>
        <w:spacing w:line="360" w:lineRule="auto"/>
      </w:pPr>
    </w:p>
    <w:p w14:paraId="23EC3995" w14:textId="65578231" w:rsidR="00DC5431" w:rsidRPr="00D00379" w:rsidRDefault="005E7167" w:rsidP="003639A4">
      <w:pPr>
        <w:spacing w:line="360" w:lineRule="auto"/>
      </w:pPr>
      <w:r w:rsidRPr="00D00379">
        <w:t>FM is a member of the RCGP Adolescent Health Special Interest Group</w:t>
      </w:r>
      <w:r w:rsidR="00962E76" w:rsidRPr="00D00379">
        <w:t>.</w:t>
      </w:r>
    </w:p>
    <w:p w14:paraId="4E6F15B5" w14:textId="48B8CEAF" w:rsidR="00DC5431" w:rsidRPr="00D00379" w:rsidRDefault="00DC5431" w:rsidP="003639A4">
      <w:pPr>
        <w:spacing w:line="360" w:lineRule="auto"/>
        <w:rPr>
          <w:b/>
          <w:bCs/>
        </w:rPr>
      </w:pPr>
    </w:p>
    <w:p w14:paraId="020DE523" w14:textId="0820355A" w:rsidR="00A5236C" w:rsidRPr="00D00379" w:rsidRDefault="00A5236C" w:rsidP="003639A4">
      <w:pPr>
        <w:spacing w:line="360" w:lineRule="auto"/>
        <w:rPr>
          <w:b/>
          <w:bCs/>
        </w:rPr>
      </w:pPr>
      <w:r w:rsidRPr="00D00379">
        <w:rPr>
          <w:b/>
          <w:bCs/>
        </w:rPr>
        <w:t xml:space="preserve">Table 1: </w:t>
      </w:r>
      <w:r w:rsidR="00577E1D" w:rsidRPr="00D00379">
        <w:t>Red flags in a patient with asymmetrical tonsils</w:t>
      </w:r>
    </w:p>
    <w:p w14:paraId="4FF05B76" w14:textId="77777777" w:rsidR="00683C1D" w:rsidRPr="00D00379" w:rsidRDefault="00683C1D" w:rsidP="003639A4">
      <w:pPr>
        <w:spacing w:line="360" w:lineRule="auto"/>
        <w:rPr>
          <w:b/>
          <w:bCs/>
        </w:rPr>
      </w:pPr>
    </w:p>
    <w:p w14:paraId="0B677C9E" w14:textId="508B3732" w:rsidR="00104481" w:rsidRPr="00D00379" w:rsidRDefault="00104481" w:rsidP="003639A4">
      <w:pPr>
        <w:spacing w:line="360" w:lineRule="auto"/>
      </w:pPr>
      <w:r w:rsidRPr="00D00379">
        <w:rPr>
          <w:b/>
          <w:bCs/>
        </w:rPr>
        <w:lastRenderedPageBreak/>
        <w:t xml:space="preserve">Figure </w:t>
      </w:r>
      <w:r w:rsidR="00DB67D6" w:rsidRPr="00D00379">
        <w:rPr>
          <w:b/>
          <w:bCs/>
        </w:rPr>
        <w:t>1</w:t>
      </w:r>
      <w:r w:rsidRPr="00D00379">
        <w:rPr>
          <w:b/>
          <w:bCs/>
        </w:rPr>
        <w:t>:</w:t>
      </w:r>
      <w:r w:rsidRPr="00D00379">
        <w:t xml:space="preserve"> The Brodsky classification system </w:t>
      </w:r>
      <w:r w:rsidR="00D30853" w:rsidRPr="00D00379">
        <w:t>characterises</w:t>
      </w:r>
      <w:r w:rsidRPr="00D00379">
        <w:t xml:space="preserve"> tonsil</w:t>
      </w:r>
      <w:r w:rsidR="00D30853" w:rsidRPr="00D00379">
        <w:t xml:space="preserve"> size based on the portion of the oropharyngeal space they obstruct with reference to an imaginary line drawn from the anterior pillar to the midline</w:t>
      </w:r>
      <w:r w:rsidRPr="00D00379">
        <w:t xml:space="preserve">. </w:t>
      </w:r>
      <w:r w:rsidR="00D30853" w:rsidRPr="00D00379">
        <w:t xml:space="preserve">A) Grade </w:t>
      </w:r>
      <w:r w:rsidRPr="00D00379">
        <w:t xml:space="preserve">1 corresponds </w:t>
      </w:r>
      <w:r w:rsidR="00D30853" w:rsidRPr="00D00379">
        <w:t>to a tonsil obstructing</w:t>
      </w:r>
      <w:r w:rsidRPr="00D00379">
        <w:t xml:space="preserve"> ≤25% </w:t>
      </w:r>
      <w:r w:rsidR="00D30853" w:rsidRPr="00D00379">
        <w:t xml:space="preserve">of the </w:t>
      </w:r>
      <w:r w:rsidRPr="00D00379">
        <w:t xml:space="preserve">oropharyngeal </w:t>
      </w:r>
      <w:r w:rsidR="00D30853" w:rsidRPr="00D00379">
        <w:t>space; B)</w:t>
      </w:r>
      <w:r w:rsidRPr="00D00379">
        <w:t xml:space="preserve"> </w:t>
      </w:r>
      <w:r w:rsidR="00D30853" w:rsidRPr="00D00379">
        <w:t>Grade 2</w:t>
      </w:r>
      <w:r w:rsidRPr="00D00379">
        <w:t xml:space="preserve"> </w:t>
      </w:r>
      <w:r w:rsidR="00D30853" w:rsidRPr="00D00379">
        <w:t>indicates</w:t>
      </w:r>
      <w:r w:rsidRPr="00D00379">
        <w:t xml:space="preserve"> </w:t>
      </w:r>
      <w:r w:rsidR="00D30853" w:rsidRPr="00D00379">
        <w:t>25-</w:t>
      </w:r>
      <w:r w:rsidRPr="00D00379">
        <w:t xml:space="preserve">50% </w:t>
      </w:r>
      <w:r w:rsidR="00D30853" w:rsidRPr="00D00379">
        <w:t xml:space="preserve">obstruction </w:t>
      </w:r>
      <w:r w:rsidRPr="00D00379">
        <w:t>of the airway</w:t>
      </w:r>
      <w:r w:rsidR="00D30853" w:rsidRPr="00D00379">
        <w:t>; C) Grade 3</w:t>
      </w:r>
      <w:r w:rsidRPr="00D00379">
        <w:t xml:space="preserve"> represents </w:t>
      </w:r>
      <w:r w:rsidR="00D30853" w:rsidRPr="00D00379">
        <w:t>50-</w:t>
      </w:r>
      <w:r w:rsidRPr="00D00379">
        <w:t>75% obstruction</w:t>
      </w:r>
      <w:r w:rsidR="00D30853" w:rsidRPr="00D00379">
        <w:t>;</w:t>
      </w:r>
      <w:r w:rsidRPr="00D00379">
        <w:t xml:space="preserve"> </w:t>
      </w:r>
      <w:r w:rsidR="00D30853" w:rsidRPr="00D00379">
        <w:t>and D) G</w:t>
      </w:r>
      <w:r w:rsidRPr="00D00379">
        <w:t>rade 4</w:t>
      </w:r>
      <w:r w:rsidR="00D30853" w:rsidRPr="00D00379">
        <w:t xml:space="preserve"> denotes</w:t>
      </w:r>
      <w:r w:rsidRPr="00D00379">
        <w:t xml:space="preserve"> </w:t>
      </w:r>
      <w:r w:rsidR="00D30853" w:rsidRPr="00D00379">
        <w:t>75-100%</w:t>
      </w:r>
      <w:r w:rsidRPr="00D00379">
        <w:t xml:space="preserve"> </w:t>
      </w:r>
      <w:r w:rsidR="00D30853" w:rsidRPr="00D00379">
        <w:t>airway obstruction</w:t>
      </w:r>
      <w:r w:rsidRPr="00D00379">
        <w:t>.</w:t>
      </w:r>
    </w:p>
    <w:p w14:paraId="0CADF94D" w14:textId="77777777" w:rsidR="00577E1D" w:rsidRPr="00D00379" w:rsidRDefault="00577E1D" w:rsidP="003639A4">
      <w:pPr>
        <w:spacing w:line="360" w:lineRule="auto"/>
        <w:rPr>
          <w:b/>
          <w:bCs/>
          <w:u w:val="single"/>
        </w:rPr>
        <w:sectPr w:rsidR="00577E1D" w:rsidRPr="00D00379" w:rsidSect="00386F86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16674B4E" w14:textId="56AB822E" w:rsidR="0032103F" w:rsidRPr="00D00379" w:rsidRDefault="0032103F" w:rsidP="003639A4">
      <w:pPr>
        <w:spacing w:line="360" w:lineRule="auto"/>
        <w:rPr>
          <w:b/>
          <w:bCs/>
        </w:rPr>
      </w:pPr>
      <w:r w:rsidRPr="00D00379">
        <w:rPr>
          <w:b/>
          <w:bCs/>
          <w:u w:val="single"/>
        </w:rPr>
        <w:lastRenderedPageBreak/>
        <w:t>References:</w:t>
      </w:r>
    </w:p>
    <w:p w14:paraId="42D04CDD" w14:textId="4C2182F7" w:rsidR="0032103F" w:rsidRPr="00D00379" w:rsidRDefault="0032103F" w:rsidP="003639A4">
      <w:pPr>
        <w:spacing w:line="360" w:lineRule="auto"/>
      </w:pPr>
    </w:p>
    <w:p w14:paraId="0401D606" w14:textId="71D71D2A" w:rsidR="00C603CF" w:rsidRPr="00D00379" w:rsidRDefault="00C603CF" w:rsidP="00C603CF">
      <w:pPr>
        <w:widowControl w:val="0"/>
        <w:autoSpaceDE w:val="0"/>
        <w:autoSpaceDN w:val="0"/>
        <w:adjustRightInd w:val="0"/>
        <w:spacing w:line="360" w:lineRule="auto"/>
        <w:ind w:left="640" w:hanging="640"/>
      </w:pPr>
      <w:r w:rsidRPr="00D00379">
        <w:t xml:space="preserve">1. </w:t>
      </w:r>
      <w:r w:rsidRPr="00D00379">
        <w:tab/>
      </w:r>
      <w:proofErr w:type="spellStart"/>
      <w:r w:rsidRPr="00D00379">
        <w:t>Guimarães</w:t>
      </w:r>
      <w:proofErr w:type="spellEnd"/>
      <w:r w:rsidRPr="00D00379">
        <w:t xml:space="preserve"> AC, de Carvalho GM, Bento LR, et al. (2014) Clinical manifestations in children with tonsillar lymphoma: a systematic review. </w:t>
      </w:r>
      <w:proofErr w:type="spellStart"/>
      <w:r w:rsidRPr="00D00379">
        <w:rPr>
          <w:i/>
          <w:iCs/>
        </w:rPr>
        <w:t>Crit</w:t>
      </w:r>
      <w:proofErr w:type="spellEnd"/>
      <w:r w:rsidRPr="00D00379">
        <w:rPr>
          <w:i/>
          <w:iCs/>
        </w:rPr>
        <w:t xml:space="preserve"> Rev Oncol </w:t>
      </w:r>
      <w:proofErr w:type="spellStart"/>
      <w:r w:rsidRPr="00D00379">
        <w:rPr>
          <w:i/>
          <w:iCs/>
        </w:rPr>
        <w:t>Hematol</w:t>
      </w:r>
      <w:proofErr w:type="spellEnd"/>
      <w:r w:rsidRPr="00D00379">
        <w:t xml:space="preserve"> </w:t>
      </w:r>
      <w:r w:rsidRPr="00D00379">
        <w:rPr>
          <w:b/>
          <w:bCs/>
        </w:rPr>
        <w:t>90</w:t>
      </w:r>
      <w:r w:rsidRPr="00D00379">
        <w:t xml:space="preserve">, 2, 146–151. </w:t>
      </w:r>
    </w:p>
    <w:p w14:paraId="557C43A6" w14:textId="5D2DB6D2" w:rsidR="00C603CF" w:rsidRPr="00D00379" w:rsidRDefault="00C603CF" w:rsidP="00C603CF">
      <w:pPr>
        <w:widowControl w:val="0"/>
        <w:autoSpaceDE w:val="0"/>
        <w:autoSpaceDN w:val="0"/>
        <w:adjustRightInd w:val="0"/>
        <w:spacing w:line="360" w:lineRule="auto"/>
        <w:ind w:left="640" w:hanging="640"/>
      </w:pPr>
      <w:r w:rsidRPr="00D00379">
        <w:t xml:space="preserve">2. </w:t>
      </w:r>
      <w:r w:rsidRPr="00D00379">
        <w:tab/>
        <w:t xml:space="preserve">Van </w:t>
      </w:r>
      <w:proofErr w:type="spellStart"/>
      <w:r w:rsidRPr="00D00379">
        <w:t>Lierop</w:t>
      </w:r>
      <w:proofErr w:type="spellEnd"/>
      <w:r w:rsidRPr="00D00379">
        <w:t xml:space="preserve"> AC, Prescott CA</w:t>
      </w:r>
      <w:r w:rsidR="00BA0732" w:rsidRPr="00D00379">
        <w:t>J</w:t>
      </w:r>
      <w:r w:rsidRPr="00D00379">
        <w:t xml:space="preserve">, Fagan JJ, </w:t>
      </w:r>
      <w:r w:rsidR="00B23F98" w:rsidRPr="00D00379">
        <w:t>et al</w:t>
      </w:r>
      <w:r w:rsidRPr="00D00379">
        <w:t>.</w:t>
      </w:r>
      <w:r w:rsidR="00B23F98" w:rsidRPr="00D00379">
        <w:t xml:space="preserve"> (2007)</w:t>
      </w:r>
      <w:r w:rsidRPr="00D00379">
        <w:t xml:space="preserve"> Is diagnostic tonsillectomy indicated in all children with asymmetrically enlarged tonsils? </w:t>
      </w:r>
      <w:r w:rsidRPr="00D00379">
        <w:rPr>
          <w:i/>
          <w:iCs/>
        </w:rPr>
        <w:t>S Af</w:t>
      </w:r>
      <w:r w:rsidR="00BA0732" w:rsidRPr="00D00379">
        <w:rPr>
          <w:i/>
          <w:iCs/>
        </w:rPr>
        <w:t>r</w:t>
      </w:r>
      <w:r w:rsidRPr="00D00379">
        <w:rPr>
          <w:i/>
          <w:iCs/>
        </w:rPr>
        <w:t xml:space="preserve"> Med J</w:t>
      </w:r>
      <w:r w:rsidRPr="00D00379">
        <w:t xml:space="preserve"> </w:t>
      </w:r>
      <w:r w:rsidRPr="00D00379">
        <w:rPr>
          <w:b/>
          <w:bCs/>
        </w:rPr>
        <w:t>97</w:t>
      </w:r>
      <w:r w:rsidR="00B23F98" w:rsidRPr="00D00379">
        <w:t xml:space="preserve">, </w:t>
      </w:r>
      <w:r w:rsidRPr="00D00379">
        <w:t>5</w:t>
      </w:r>
      <w:r w:rsidR="00B23F98" w:rsidRPr="00D00379">
        <w:t xml:space="preserve">, </w:t>
      </w:r>
      <w:r w:rsidRPr="00D00379">
        <w:t>367–</w:t>
      </w:r>
      <w:r w:rsidR="00B23F98" w:rsidRPr="00D00379">
        <w:t>3</w:t>
      </w:r>
      <w:r w:rsidRPr="00D00379">
        <w:t xml:space="preserve">70. </w:t>
      </w:r>
    </w:p>
    <w:p w14:paraId="1B3C1C3C" w14:textId="3999B86B" w:rsidR="00C603CF" w:rsidRPr="00D00379" w:rsidRDefault="00C603CF" w:rsidP="00C603CF">
      <w:pPr>
        <w:widowControl w:val="0"/>
        <w:autoSpaceDE w:val="0"/>
        <w:autoSpaceDN w:val="0"/>
        <w:adjustRightInd w:val="0"/>
        <w:spacing w:line="360" w:lineRule="auto"/>
        <w:ind w:left="640" w:hanging="640"/>
      </w:pPr>
      <w:r w:rsidRPr="00D00379">
        <w:t xml:space="preserve">3. </w:t>
      </w:r>
      <w:r w:rsidRPr="00D00379">
        <w:tab/>
        <w:t xml:space="preserve">Harley EH. </w:t>
      </w:r>
      <w:r w:rsidR="00196B85" w:rsidRPr="00D00379">
        <w:t xml:space="preserve">(2002) </w:t>
      </w:r>
      <w:r w:rsidRPr="00D00379">
        <w:t xml:space="preserve">Asymmetric tonsil size in children. </w:t>
      </w:r>
      <w:r w:rsidRPr="00D00379">
        <w:rPr>
          <w:i/>
          <w:iCs/>
        </w:rPr>
        <w:t xml:space="preserve">Arch </w:t>
      </w:r>
      <w:proofErr w:type="spellStart"/>
      <w:r w:rsidRPr="00D00379">
        <w:rPr>
          <w:i/>
          <w:iCs/>
        </w:rPr>
        <w:t>Otolaryngol</w:t>
      </w:r>
      <w:proofErr w:type="spellEnd"/>
      <w:r w:rsidRPr="00D00379">
        <w:rPr>
          <w:i/>
          <w:iCs/>
        </w:rPr>
        <w:t xml:space="preserve"> </w:t>
      </w:r>
      <w:r w:rsidR="00BA0732" w:rsidRPr="00D00379">
        <w:rPr>
          <w:i/>
          <w:iCs/>
        </w:rPr>
        <w:t xml:space="preserve">Head </w:t>
      </w:r>
      <w:r w:rsidRPr="00D00379">
        <w:rPr>
          <w:i/>
          <w:iCs/>
        </w:rPr>
        <w:t xml:space="preserve">Neck </w:t>
      </w:r>
      <w:proofErr w:type="spellStart"/>
      <w:r w:rsidRPr="00D00379">
        <w:rPr>
          <w:i/>
          <w:iCs/>
        </w:rPr>
        <w:t>Surg</w:t>
      </w:r>
      <w:proofErr w:type="spellEnd"/>
      <w:r w:rsidRPr="00D00379">
        <w:t xml:space="preserve"> </w:t>
      </w:r>
      <w:r w:rsidRPr="00D00379">
        <w:rPr>
          <w:b/>
          <w:bCs/>
        </w:rPr>
        <w:t>128</w:t>
      </w:r>
      <w:r w:rsidR="00196B85" w:rsidRPr="00D00379">
        <w:t xml:space="preserve">, </w:t>
      </w:r>
      <w:r w:rsidRPr="00D00379">
        <w:t>7</w:t>
      </w:r>
      <w:r w:rsidR="00196B85" w:rsidRPr="00D00379">
        <w:t xml:space="preserve">, </w:t>
      </w:r>
      <w:r w:rsidRPr="00D00379">
        <w:t>767–</w:t>
      </w:r>
      <w:r w:rsidR="00196B85" w:rsidRPr="00D00379">
        <w:t>76</w:t>
      </w:r>
      <w:r w:rsidRPr="00D00379">
        <w:t xml:space="preserve">9. </w:t>
      </w:r>
    </w:p>
    <w:p w14:paraId="6C13F6F8" w14:textId="0145336D" w:rsidR="00C603CF" w:rsidRPr="00D00379" w:rsidRDefault="00C603CF" w:rsidP="00C603CF">
      <w:pPr>
        <w:widowControl w:val="0"/>
        <w:autoSpaceDE w:val="0"/>
        <w:autoSpaceDN w:val="0"/>
        <w:adjustRightInd w:val="0"/>
        <w:spacing w:line="360" w:lineRule="auto"/>
        <w:ind w:left="640" w:hanging="640"/>
      </w:pPr>
      <w:r w:rsidRPr="00D00379">
        <w:t xml:space="preserve">4. </w:t>
      </w:r>
      <w:r w:rsidRPr="00D00379">
        <w:tab/>
        <w:t xml:space="preserve">Webb CJ, Osman E, Ghosh SK, </w:t>
      </w:r>
      <w:r w:rsidR="008B490A" w:rsidRPr="00D00379">
        <w:t>et al</w:t>
      </w:r>
      <w:r w:rsidRPr="00D00379">
        <w:t>.</w:t>
      </w:r>
      <w:r w:rsidR="008B490A" w:rsidRPr="00D00379">
        <w:t xml:space="preserve"> (2004)</w:t>
      </w:r>
      <w:r w:rsidRPr="00D00379">
        <w:t xml:space="preserve"> Tonsillar size is an important indicator of recurrent acute tonsillitis. </w:t>
      </w:r>
      <w:r w:rsidRPr="00D00379">
        <w:rPr>
          <w:i/>
          <w:iCs/>
        </w:rPr>
        <w:t xml:space="preserve">Clin </w:t>
      </w:r>
      <w:proofErr w:type="spellStart"/>
      <w:r w:rsidRPr="00D00379">
        <w:rPr>
          <w:i/>
          <w:iCs/>
        </w:rPr>
        <w:t>Otolaryngol</w:t>
      </w:r>
      <w:proofErr w:type="spellEnd"/>
      <w:r w:rsidRPr="00D00379">
        <w:rPr>
          <w:i/>
          <w:iCs/>
        </w:rPr>
        <w:t xml:space="preserve"> Allied Sci</w:t>
      </w:r>
      <w:r w:rsidR="008B490A" w:rsidRPr="00D00379">
        <w:rPr>
          <w:i/>
          <w:iCs/>
        </w:rPr>
        <w:t xml:space="preserve"> </w:t>
      </w:r>
      <w:r w:rsidRPr="00D00379">
        <w:rPr>
          <w:b/>
          <w:bCs/>
        </w:rPr>
        <w:t>29</w:t>
      </w:r>
      <w:r w:rsidR="008B490A" w:rsidRPr="00D00379">
        <w:t xml:space="preserve">, </w:t>
      </w:r>
      <w:r w:rsidRPr="00D00379">
        <w:t>4</w:t>
      </w:r>
      <w:r w:rsidR="008B490A" w:rsidRPr="00D00379">
        <w:t xml:space="preserve">, </w:t>
      </w:r>
      <w:r w:rsidRPr="00D00379">
        <w:t>369–</w:t>
      </w:r>
      <w:r w:rsidR="008B490A" w:rsidRPr="00D00379">
        <w:t>3</w:t>
      </w:r>
      <w:r w:rsidRPr="00D00379">
        <w:t xml:space="preserve">71. </w:t>
      </w:r>
    </w:p>
    <w:p w14:paraId="56D29145" w14:textId="74842EAB" w:rsidR="00A41B26" w:rsidRPr="00D00379" w:rsidRDefault="00A41B26" w:rsidP="001802B5">
      <w:pPr>
        <w:widowControl w:val="0"/>
        <w:autoSpaceDE w:val="0"/>
        <w:autoSpaceDN w:val="0"/>
        <w:adjustRightInd w:val="0"/>
        <w:spacing w:line="360" w:lineRule="auto"/>
        <w:ind w:left="640" w:hanging="640"/>
        <w:rPr>
          <w:i/>
          <w:iCs/>
        </w:rPr>
      </w:pPr>
      <w:r w:rsidRPr="00D00379">
        <w:t xml:space="preserve">5. </w:t>
      </w:r>
      <w:r w:rsidRPr="00D00379">
        <w:tab/>
      </w:r>
      <w:proofErr w:type="spellStart"/>
      <w:r w:rsidRPr="00D00379">
        <w:t>Guimarães</w:t>
      </w:r>
      <w:proofErr w:type="spellEnd"/>
      <w:r w:rsidRPr="00D00379">
        <w:t xml:space="preserve"> AC, de Carvalho GM, Correa CRS., &amp; </w:t>
      </w:r>
      <w:r w:rsidR="001802B5" w:rsidRPr="00D00379">
        <w:t>et al</w:t>
      </w:r>
      <w:r w:rsidRPr="00D00379">
        <w:t>. (2015). Association between unilateral tonsillar enlargement and lymphoma in children: a systematic review and meta-analysis. </w:t>
      </w:r>
      <w:proofErr w:type="spellStart"/>
      <w:r w:rsidR="001802B5" w:rsidRPr="00D00379">
        <w:rPr>
          <w:i/>
          <w:iCs/>
        </w:rPr>
        <w:t>Crit</w:t>
      </w:r>
      <w:proofErr w:type="spellEnd"/>
      <w:r w:rsidR="001802B5" w:rsidRPr="00D00379">
        <w:rPr>
          <w:i/>
          <w:iCs/>
        </w:rPr>
        <w:t xml:space="preserve"> Rev Oncol </w:t>
      </w:r>
      <w:proofErr w:type="spellStart"/>
      <w:r w:rsidR="001802B5" w:rsidRPr="00D00379">
        <w:rPr>
          <w:i/>
          <w:iCs/>
        </w:rPr>
        <w:t>Hematol</w:t>
      </w:r>
      <w:proofErr w:type="spellEnd"/>
      <w:r w:rsidRPr="00D00379">
        <w:t> </w:t>
      </w:r>
      <w:r w:rsidRPr="00D00379">
        <w:rPr>
          <w:b/>
          <w:bCs/>
        </w:rPr>
        <w:t>93</w:t>
      </w:r>
      <w:r w:rsidR="001802B5" w:rsidRPr="00D00379">
        <w:t xml:space="preserve">, </w:t>
      </w:r>
      <w:r w:rsidRPr="00D00379">
        <w:t>3, 304-311.</w:t>
      </w:r>
    </w:p>
    <w:p w14:paraId="54F68BBE" w14:textId="37195C82" w:rsidR="00C603CF" w:rsidRPr="00D00379" w:rsidRDefault="00A41B26" w:rsidP="00C603CF">
      <w:pPr>
        <w:widowControl w:val="0"/>
        <w:autoSpaceDE w:val="0"/>
        <w:autoSpaceDN w:val="0"/>
        <w:adjustRightInd w:val="0"/>
        <w:spacing w:line="360" w:lineRule="auto"/>
        <w:ind w:left="640" w:hanging="640"/>
      </w:pPr>
      <w:r w:rsidRPr="00D00379">
        <w:t>6</w:t>
      </w:r>
      <w:r w:rsidR="00C603CF" w:rsidRPr="00D00379">
        <w:t xml:space="preserve">. </w:t>
      </w:r>
      <w:r w:rsidR="00C603CF" w:rsidRPr="00D00379">
        <w:tab/>
        <w:t xml:space="preserve">Jones GH, Burnside G, McPartland J, </w:t>
      </w:r>
      <w:r w:rsidR="0063642C" w:rsidRPr="00D00379">
        <w:t>et al</w:t>
      </w:r>
      <w:r w:rsidR="00C603CF" w:rsidRPr="00D00379">
        <w:t>.</w:t>
      </w:r>
      <w:r w:rsidR="0063642C" w:rsidRPr="00D00379">
        <w:t xml:space="preserve"> (2018)</w:t>
      </w:r>
      <w:r w:rsidR="00C603CF" w:rsidRPr="00D00379">
        <w:t xml:space="preserve"> Is tonsillectomy mandatory for asymmetric tonsils in children? A review of our diagnostic tonsillectomy practice and the literature. </w:t>
      </w:r>
      <w:r w:rsidR="00C603CF" w:rsidRPr="00D00379">
        <w:rPr>
          <w:i/>
          <w:iCs/>
        </w:rPr>
        <w:t xml:space="preserve">Int J </w:t>
      </w:r>
      <w:proofErr w:type="spellStart"/>
      <w:r w:rsidR="00C603CF" w:rsidRPr="00D00379">
        <w:rPr>
          <w:i/>
          <w:iCs/>
        </w:rPr>
        <w:t>Pediatr</w:t>
      </w:r>
      <w:proofErr w:type="spellEnd"/>
      <w:r w:rsidR="00C603CF" w:rsidRPr="00D00379">
        <w:rPr>
          <w:i/>
          <w:iCs/>
        </w:rPr>
        <w:t xml:space="preserve"> </w:t>
      </w:r>
      <w:proofErr w:type="spellStart"/>
      <w:r w:rsidR="00C603CF" w:rsidRPr="00D00379">
        <w:rPr>
          <w:i/>
          <w:iCs/>
        </w:rPr>
        <w:t>Otorhinolaryngol</w:t>
      </w:r>
      <w:proofErr w:type="spellEnd"/>
      <w:r w:rsidR="00C603CF" w:rsidRPr="00D00379">
        <w:t xml:space="preserve"> </w:t>
      </w:r>
      <w:r w:rsidR="00C603CF" w:rsidRPr="00D00379">
        <w:rPr>
          <w:b/>
          <w:bCs/>
        </w:rPr>
        <w:t>110</w:t>
      </w:r>
      <w:r w:rsidR="009B1B49" w:rsidRPr="00D00379">
        <w:t xml:space="preserve">, </w:t>
      </w:r>
      <w:r w:rsidR="00C603CF" w:rsidRPr="00D00379">
        <w:t xml:space="preserve">57–60. </w:t>
      </w:r>
    </w:p>
    <w:p w14:paraId="115BD769" w14:textId="60365262" w:rsidR="00C603CF" w:rsidRPr="00D00379" w:rsidRDefault="00A41B26" w:rsidP="00C603CF">
      <w:pPr>
        <w:widowControl w:val="0"/>
        <w:autoSpaceDE w:val="0"/>
        <w:autoSpaceDN w:val="0"/>
        <w:adjustRightInd w:val="0"/>
        <w:spacing w:line="360" w:lineRule="auto"/>
        <w:ind w:left="640" w:hanging="640"/>
      </w:pPr>
      <w:r w:rsidRPr="00D00379">
        <w:t>7</w:t>
      </w:r>
      <w:r w:rsidR="00C603CF" w:rsidRPr="00D00379">
        <w:t xml:space="preserve">. </w:t>
      </w:r>
      <w:r w:rsidR="00C603CF" w:rsidRPr="00D00379">
        <w:tab/>
        <w:t xml:space="preserve">Brodsky L. </w:t>
      </w:r>
      <w:r w:rsidR="009B1B49" w:rsidRPr="00D00379">
        <w:t xml:space="preserve">(1989) </w:t>
      </w:r>
      <w:r w:rsidR="00C603CF" w:rsidRPr="00D00379">
        <w:t xml:space="preserve">Modern Assessment of Tonsils and Adenoids. </w:t>
      </w:r>
      <w:proofErr w:type="spellStart"/>
      <w:r w:rsidR="00C603CF" w:rsidRPr="00D00379">
        <w:rPr>
          <w:i/>
          <w:iCs/>
        </w:rPr>
        <w:t>Pediatr</w:t>
      </w:r>
      <w:proofErr w:type="spellEnd"/>
      <w:r w:rsidR="00C603CF" w:rsidRPr="00D00379">
        <w:rPr>
          <w:i/>
          <w:iCs/>
        </w:rPr>
        <w:t xml:space="preserve"> Clin North Am</w:t>
      </w:r>
      <w:r w:rsidR="00C603CF" w:rsidRPr="00D00379">
        <w:t xml:space="preserve"> </w:t>
      </w:r>
      <w:r w:rsidR="00C603CF" w:rsidRPr="00D00379">
        <w:rPr>
          <w:b/>
          <w:bCs/>
        </w:rPr>
        <w:t>36</w:t>
      </w:r>
      <w:r w:rsidR="009B1B49" w:rsidRPr="00D00379">
        <w:t xml:space="preserve">, </w:t>
      </w:r>
      <w:r w:rsidR="00C603CF" w:rsidRPr="00D00379">
        <w:t>6</w:t>
      </w:r>
      <w:r w:rsidR="009B1B49" w:rsidRPr="00D00379">
        <w:t xml:space="preserve">, </w:t>
      </w:r>
      <w:r w:rsidR="00C603CF" w:rsidRPr="00D00379">
        <w:t>1551–</w:t>
      </w:r>
      <w:r w:rsidR="009B1B49" w:rsidRPr="00D00379">
        <w:t>15</w:t>
      </w:r>
      <w:r w:rsidR="00C603CF" w:rsidRPr="00D00379">
        <w:t xml:space="preserve">69. </w:t>
      </w:r>
    </w:p>
    <w:p w14:paraId="21CB3762" w14:textId="60BE4407" w:rsidR="00966FF3" w:rsidRPr="00D00379" w:rsidRDefault="00A41B26" w:rsidP="00966FF3">
      <w:pPr>
        <w:widowControl w:val="0"/>
        <w:autoSpaceDE w:val="0"/>
        <w:autoSpaceDN w:val="0"/>
        <w:adjustRightInd w:val="0"/>
        <w:spacing w:line="360" w:lineRule="auto"/>
        <w:ind w:left="640" w:hanging="640"/>
      </w:pPr>
      <w:r w:rsidRPr="00D00379">
        <w:t>8</w:t>
      </w:r>
      <w:r w:rsidR="00C603CF" w:rsidRPr="00D00379">
        <w:t xml:space="preserve">. </w:t>
      </w:r>
      <w:r w:rsidR="00C603CF" w:rsidRPr="00D00379">
        <w:tab/>
        <w:t xml:space="preserve">Hwang MS, Kaye KE, Waxman JA, </w:t>
      </w:r>
      <w:r w:rsidR="006E2509" w:rsidRPr="00D00379">
        <w:t>et al</w:t>
      </w:r>
      <w:r w:rsidR="00C603CF" w:rsidRPr="00D00379">
        <w:t>.</w:t>
      </w:r>
      <w:r w:rsidR="006E2509" w:rsidRPr="00D00379">
        <w:t xml:space="preserve"> (2015)</w:t>
      </w:r>
      <w:r w:rsidR="00C603CF" w:rsidRPr="00D00379">
        <w:t xml:space="preserve"> What is the best management of asymptomatic unilateral tonsillar enlargement? </w:t>
      </w:r>
      <w:r w:rsidR="00C603CF" w:rsidRPr="00D00379">
        <w:rPr>
          <w:i/>
          <w:iCs/>
        </w:rPr>
        <w:t>Laryngoscope</w:t>
      </w:r>
      <w:r w:rsidR="00C603CF" w:rsidRPr="00D00379">
        <w:t xml:space="preserve"> </w:t>
      </w:r>
      <w:r w:rsidR="00C603CF" w:rsidRPr="00D00379">
        <w:rPr>
          <w:b/>
          <w:bCs/>
        </w:rPr>
        <w:t>125</w:t>
      </w:r>
      <w:r w:rsidR="006E2509" w:rsidRPr="00D00379">
        <w:t xml:space="preserve">, </w:t>
      </w:r>
      <w:r w:rsidR="00C603CF" w:rsidRPr="00D00379">
        <w:t>11</w:t>
      </w:r>
      <w:r w:rsidR="006E2509" w:rsidRPr="00D00379">
        <w:t xml:space="preserve">, </w:t>
      </w:r>
      <w:r w:rsidR="00C603CF" w:rsidRPr="00D00379">
        <w:t>2438–</w:t>
      </w:r>
      <w:r w:rsidR="006E2509" w:rsidRPr="00D00379">
        <w:t>24</w:t>
      </w:r>
      <w:r w:rsidR="00C603CF" w:rsidRPr="00D00379">
        <w:t xml:space="preserve">40. </w:t>
      </w:r>
    </w:p>
    <w:p w14:paraId="6A330F76" w14:textId="2AD79CC6" w:rsidR="00966FF3" w:rsidRPr="00D00379" w:rsidRDefault="00A41B26" w:rsidP="00966FF3">
      <w:pPr>
        <w:widowControl w:val="0"/>
        <w:autoSpaceDE w:val="0"/>
        <w:autoSpaceDN w:val="0"/>
        <w:adjustRightInd w:val="0"/>
        <w:spacing w:line="360" w:lineRule="auto"/>
        <w:ind w:left="640" w:hanging="640"/>
      </w:pPr>
      <w:r w:rsidRPr="00D00379">
        <w:t>9</w:t>
      </w:r>
      <w:r w:rsidR="00966FF3" w:rsidRPr="00D00379">
        <w:t>.</w:t>
      </w:r>
      <w:r w:rsidR="00966FF3" w:rsidRPr="00D00379">
        <w:tab/>
        <w:t xml:space="preserve">Adil EA, Medina G, Cunningham, MJ. (2018) </w:t>
      </w:r>
      <w:proofErr w:type="spellStart"/>
      <w:r w:rsidR="00966FF3" w:rsidRPr="00D00379">
        <w:t>Pediatric</w:t>
      </w:r>
      <w:proofErr w:type="spellEnd"/>
      <w:r w:rsidR="00966FF3" w:rsidRPr="00D00379">
        <w:t xml:space="preserve"> Tonsil Cancer: A National and Institutional Perspective. </w:t>
      </w:r>
      <w:r w:rsidR="00966FF3" w:rsidRPr="00D00379">
        <w:rPr>
          <w:i/>
          <w:iCs/>
        </w:rPr>
        <w:t xml:space="preserve">J </w:t>
      </w:r>
      <w:proofErr w:type="spellStart"/>
      <w:r w:rsidR="00966FF3" w:rsidRPr="00D00379">
        <w:rPr>
          <w:i/>
          <w:iCs/>
        </w:rPr>
        <w:t>Pediatr</w:t>
      </w:r>
      <w:proofErr w:type="spellEnd"/>
      <w:r w:rsidR="00966FF3" w:rsidRPr="00D00379">
        <w:t xml:space="preserve"> </w:t>
      </w:r>
      <w:r w:rsidR="00966FF3" w:rsidRPr="00D00379">
        <w:rPr>
          <w:b/>
          <w:bCs/>
        </w:rPr>
        <w:t>197</w:t>
      </w:r>
      <w:r w:rsidR="00966FF3" w:rsidRPr="00D00379">
        <w:t>, 255-261.e1.</w:t>
      </w:r>
    </w:p>
    <w:sectPr w:rsidR="00966FF3" w:rsidRPr="00D00379" w:rsidSect="00386F8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A1E04"/>
    <w:multiLevelType w:val="multilevel"/>
    <w:tmpl w:val="6D783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443591"/>
    <w:multiLevelType w:val="hybridMultilevel"/>
    <w:tmpl w:val="76762A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C1"/>
    <w:rsid w:val="0000011C"/>
    <w:rsid w:val="00013255"/>
    <w:rsid w:val="00020656"/>
    <w:rsid w:val="00020817"/>
    <w:rsid w:val="00021080"/>
    <w:rsid w:val="00026C62"/>
    <w:rsid w:val="00037FDB"/>
    <w:rsid w:val="0004433E"/>
    <w:rsid w:val="00060BDB"/>
    <w:rsid w:val="00081E33"/>
    <w:rsid w:val="00085591"/>
    <w:rsid w:val="0009120A"/>
    <w:rsid w:val="000A45D5"/>
    <w:rsid w:val="000A6BBB"/>
    <w:rsid w:val="000C2B36"/>
    <w:rsid w:val="000E079D"/>
    <w:rsid w:val="000E4EBE"/>
    <w:rsid w:val="000E58F1"/>
    <w:rsid w:val="000E7902"/>
    <w:rsid w:val="0010347E"/>
    <w:rsid w:val="00104481"/>
    <w:rsid w:val="00110247"/>
    <w:rsid w:val="00110CD6"/>
    <w:rsid w:val="00153FD9"/>
    <w:rsid w:val="0015455C"/>
    <w:rsid w:val="001602B6"/>
    <w:rsid w:val="001754D4"/>
    <w:rsid w:val="001802B5"/>
    <w:rsid w:val="0019507E"/>
    <w:rsid w:val="0019516A"/>
    <w:rsid w:val="00196B85"/>
    <w:rsid w:val="001A16EC"/>
    <w:rsid w:val="001A602E"/>
    <w:rsid w:val="001B3217"/>
    <w:rsid w:val="001F3D2F"/>
    <w:rsid w:val="00205B2D"/>
    <w:rsid w:val="00213247"/>
    <w:rsid w:val="00221CE6"/>
    <w:rsid w:val="002264FF"/>
    <w:rsid w:val="002276EA"/>
    <w:rsid w:val="00233465"/>
    <w:rsid w:val="0023688E"/>
    <w:rsid w:val="00236D33"/>
    <w:rsid w:val="0024025B"/>
    <w:rsid w:val="00242F35"/>
    <w:rsid w:val="00245352"/>
    <w:rsid w:val="002477EF"/>
    <w:rsid w:val="002526DB"/>
    <w:rsid w:val="00262DA9"/>
    <w:rsid w:val="002735CC"/>
    <w:rsid w:val="002844EF"/>
    <w:rsid w:val="00292191"/>
    <w:rsid w:val="002935A7"/>
    <w:rsid w:val="00296EA7"/>
    <w:rsid w:val="0029737C"/>
    <w:rsid w:val="002A3138"/>
    <w:rsid w:val="002A7BF5"/>
    <w:rsid w:val="002B0838"/>
    <w:rsid w:val="002B1C7E"/>
    <w:rsid w:val="002B6266"/>
    <w:rsid w:val="002C1350"/>
    <w:rsid w:val="002F3FE4"/>
    <w:rsid w:val="00304658"/>
    <w:rsid w:val="0030773B"/>
    <w:rsid w:val="0032103F"/>
    <w:rsid w:val="00326FB7"/>
    <w:rsid w:val="00331E4C"/>
    <w:rsid w:val="00334F0F"/>
    <w:rsid w:val="00335917"/>
    <w:rsid w:val="00335948"/>
    <w:rsid w:val="00355158"/>
    <w:rsid w:val="003639A4"/>
    <w:rsid w:val="00371B50"/>
    <w:rsid w:val="00386F86"/>
    <w:rsid w:val="00391554"/>
    <w:rsid w:val="003A42A4"/>
    <w:rsid w:val="003A5D9C"/>
    <w:rsid w:val="003A6C34"/>
    <w:rsid w:val="003C3401"/>
    <w:rsid w:val="003C6D38"/>
    <w:rsid w:val="003D48E9"/>
    <w:rsid w:val="003E2475"/>
    <w:rsid w:val="003F3211"/>
    <w:rsid w:val="004047BE"/>
    <w:rsid w:val="00411470"/>
    <w:rsid w:val="00417190"/>
    <w:rsid w:val="00417EEA"/>
    <w:rsid w:val="004212C3"/>
    <w:rsid w:val="00421F93"/>
    <w:rsid w:val="00435741"/>
    <w:rsid w:val="00442E02"/>
    <w:rsid w:val="00443858"/>
    <w:rsid w:val="00476535"/>
    <w:rsid w:val="00482A0B"/>
    <w:rsid w:val="00486969"/>
    <w:rsid w:val="00487F12"/>
    <w:rsid w:val="00496134"/>
    <w:rsid w:val="00496AA3"/>
    <w:rsid w:val="004B11A5"/>
    <w:rsid w:val="004B3557"/>
    <w:rsid w:val="004D5924"/>
    <w:rsid w:val="004D735E"/>
    <w:rsid w:val="004F59A8"/>
    <w:rsid w:val="00503035"/>
    <w:rsid w:val="00504742"/>
    <w:rsid w:val="005157CF"/>
    <w:rsid w:val="00521AF9"/>
    <w:rsid w:val="005249EF"/>
    <w:rsid w:val="00527078"/>
    <w:rsid w:val="00530A31"/>
    <w:rsid w:val="00551EA1"/>
    <w:rsid w:val="00557DCA"/>
    <w:rsid w:val="005635B0"/>
    <w:rsid w:val="00566D8D"/>
    <w:rsid w:val="005714E3"/>
    <w:rsid w:val="00577E1D"/>
    <w:rsid w:val="00580CCC"/>
    <w:rsid w:val="005A711F"/>
    <w:rsid w:val="005B78E8"/>
    <w:rsid w:val="005D0816"/>
    <w:rsid w:val="005E1B77"/>
    <w:rsid w:val="005E49C1"/>
    <w:rsid w:val="005E7167"/>
    <w:rsid w:val="005F34BA"/>
    <w:rsid w:val="00601577"/>
    <w:rsid w:val="00602EE7"/>
    <w:rsid w:val="00606404"/>
    <w:rsid w:val="006077B6"/>
    <w:rsid w:val="00620044"/>
    <w:rsid w:val="00623D0F"/>
    <w:rsid w:val="00627C44"/>
    <w:rsid w:val="00632257"/>
    <w:rsid w:val="0063642C"/>
    <w:rsid w:val="00637465"/>
    <w:rsid w:val="006477A3"/>
    <w:rsid w:val="00651C73"/>
    <w:rsid w:val="00657AC4"/>
    <w:rsid w:val="00673BFB"/>
    <w:rsid w:val="0067687A"/>
    <w:rsid w:val="00681370"/>
    <w:rsid w:val="00683C1D"/>
    <w:rsid w:val="00695CE8"/>
    <w:rsid w:val="00697166"/>
    <w:rsid w:val="00697D2D"/>
    <w:rsid w:val="006B2172"/>
    <w:rsid w:val="006B55B2"/>
    <w:rsid w:val="006B77D3"/>
    <w:rsid w:val="006C7FB0"/>
    <w:rsid w:val="006D2254"/>
    <w:rsid w:val="006D6B5D"/>
    <w:rsid w:val="006E0032"/>
    <w:rsid w:val="006E0F00"/>
    <w:rsid w:val="006E2509"/>
    <w:rsid w:val="006F288A"/>
    <w:rsid w:val="00701E04"/>
    <w:rsid w:val="0071005E"/>
    <w:rsid w:val="007225F2"/>
    <w:rsid w:val="00727D60"/>
    <w:rsid w:val="00741242"/>
    <w:rsid w:val="0075274A"/>
    <w:rsid w:val="007559AD"/>
    <w:rsid w:val="00760CB5"/>
    <w:rsid w:val="00763776"/>
    <w:rsid w:val="007701C9"/>
    <w:rsid w:val="00777575"/>
    <w:rsid w:val="00780234"/>
    <w:rsid w:val="00787A60"/>
    <w:rsid w:val="007C0E09"/>
    <w:rsid w:val="007D5FFB"/>
    <w:rsid w:val="007E56AB"/>
    <w:rsid w:val="007F0B41"/>
    <w:rsid w:val="007F3408"/>
    <w:rsid w:val="00801601"/>
    <w:rsid w:val="00815B9E"/>
    <w:rsid w:val="00840B87"/>
    <w:rsid w:val="00845345"/>
    <w:rsid w:val="00846F6D"/>
    <w:rsid w:val="00854E37"/>
    <w:rsid w:val="00855738"/>
    <w:rsid w:val="008719B9"/>
    <w:rsid w:val="00882540"/>
    <w:rsid w:val="008828EC"/>
    <w:rsid w:val="008930C2"/>
    <w:rsid w:val="008A2D42"/>
    <w:rsid w:val="008A58B2"/>
    <w:rsid w:val="008B02FD"/>
    <w:rsid w:val="008B490A"/>
    <w:rsid w:val="008D0168"/>
    <w:rsid w:val="008D18A0"/>
    <w:rsid w:val="008D3AA2"/>
    <w:rsid w:val="008E0345"/>
    <w:rsid w:val="008F3755"/>
    <w:rsid w:val="0090134A"/>
    <w:rsid w:val="00902C83"/>
    <w:rsid w:val="0090735E"/>
    <w:rsid w:val="00922D47"/>
    <w:rsid w:val="00937723"/>
    <w:rsid w:val="0094260A"/>
    <w:rsid w:val="00952950"/>
    <w:rsid w:val="00961284"/>
    <w:rsid w:val="0096289C"/>
    <w:rsid w:val="00962DB9"/>
    <w:rsid w:val="00962E76"/>
    <w:rsid w:val="00964270"/>
    <w:rsid w:val="0096490F"/>
    <w:rsid w:val="00966FF3"/>
    <w:rsid w:val="0097331F"/>
    <w:rsid w:val="009839EF"/>
    <w:rsid w:val="00987F5A"/>
    <w:rsid w:val="00993B79"/>
    <w:rsid w:val="009A3645"/>
    <w:rsid w:val="009B1B49"/>
    <w:rsid w:val="009C317C"/>
    <w:rsid w:val="009C6D2D"/>
    <w:rsid w:val="009D42CE"/>
    <w:rsid w:val="009E04EB"/>
    <w:rsid w:val="009F0EF6"/>
    <w:rsid w:val="009F44AA"/>
    <w:rsid w:val="00A0488F"/>
    <w:rsid w:val="00A11A34"/>
    <w:rsid w:val="00A15C5F"/>
    <w:rsid w:val="00A16093"/>
    <w:rsid w:val="00A31E05"/>
    <w:rsid w:val="00A41B26"/>
    <w:rsid w:val="00A47572"/>
    <w:rsid w:val="00A5236C"/>
    <w:rsid w:val="00A70A64"/>
    <w:rsid w:val="00A76315"/>
    <w:rsid w:val="00A77102"/>
    <w:rsid w:val="00A84004"/>
    <w:rsid w:val="00A92D2E"/>
    <w:rsid w:val="00A9766E"/>
    <w:rsid w:val="00AB37DA"/>
    <w:rsid w:val="00AB4A46"/>
    <w:rsid w:val="00AE0847"/>
    <w:rsid w:val="00AE3F5F"/>
    <w:rsid w:val="00AE71B3"/>
    <w:rsid w:val="00AF1C84"/>
    <w:rsid w:val="00AF4EC2"/>
    <w:rsid w:val="00B10164"/>
    <w:rsid w:val="00B21CDB"/>
    <w:rsid w:val="00B23C4E"/>
    <w:rsid w:val="00B23F98"/>
    <w:rsid w:val="00B26BCF"/>
    <w:rsid w:val="00B278E6"/>
    <w:rsid w:val="00B425F9"/>
    <w:rsid w:val="00B43B58"/>
    <w:rsid w:val="00B45624"/>
    <w:rsid w:val="00B52B0B"/>
    <w:rsid w:val="00B537F7"/>
    <w:rsid w:val="00B64C70"/>
    <w:rsid w:val="00B64FEA"/>
    <w:rsid w:val="00B65AC1"/>
    <w:rsid w:val="00B87FB4"/>
    <w:rsid w:val="00B9371C"/>
    <w:rsid w:val="00BA0732"/>
    <w:rsid w:val="00BA2D9D"/>
    <w:rsid w:val="00BB561B"/>
    <w:rsid w:val="00BC5C60"/>
    <w:rsid w:val="00BD4DB7"/>
    <w:rsid w:val="00BF1AD0"/>
    <w:rsid w:val="00C1223E"/>
    <w:rsid w:val="00C33DDF"/>
    <w:rsid w:val="00C42D69"/>
    <w:rsid w:val="00C52A03"/>
    <w:rsid w:val="00C603CF"/>
    <w:rsid w:val="00C60A65"/>
    <w:rsid w:val="00C61B6B"/>
    <w:rsid w:val="00C64AB6"/>
    <w:rsid w:val="00C658A5"/>
    <w:rsid w:val="00C65EE8"/>
    <w:rsid w:val="00C66B71"/>
    <w:rsid w:val="00C71CCB"/>
    <w:rsid w:val="00C74CE1"/>
    <w:rsid w:val="00C8176B"/>
    <w:rsid w:val="00C834A6"/>
    <w:rsid w:val="00C91CDA"/>
    <w:rsid w:val="00CD077B"/>
    <w:rsid w:val="00CE69AB"/>
    <w:rsid w:val="00CE6FFC"/>
    <w:rsid w:val="00CE7E1B"/>
    <w:rsid w:val="00D00379"/>
    <w:rsid w:val="00D01363"/>
    <w:rsid w:val="00D07615"/>
    <w:rsid w:val="00D11C85"/>
    <w:rsid w:val="00D14282"/>
    <w:rsid w:val="00D15006"/>
    <w:rsid w:val="00D173E9"/>
    <w:rsid w:val="00D253FB"/>
    <w:rsid w:val="00D30853"/>
    <w:rsid w:val="00D340E8"/>
    <w:rsid w:val="00D400FA"/>
    <w:rsid w:val="00D52566"/>
    <w:rsid w:val="00D62614"/>
    <w:rsid w:val="00D74C20"/>
    <w:rsid w:val="00D801DC"/>
    <w:rsid w:val="00D84D0F"/>
    <w:rsid w:val="00D91754"/>
    <w:rsid w:val="00DA785F"/>
    <w:rsid w:val="00DB65BF"/>
    <w:rsid w:val="00DB67D6"/>
    <w:rsid w:val="00DC3476"/>
    <w:rsid w:val="00DC4964"/>
    <w:rsid w:val="00DC5431"/>
    <w:rsid w:val="00DE05A0"/>
    <w:rsid w:val="00DE4996"/>
    <w:rsid w:val="00DE7E3E"/>
    <w:rsid w:val="00E06E4D"/>
    <w:rsid w:val="00E231C2"/>
    <w:rsid w:val="00E257D6"/>
    <w:rsid w:val="00E27518"/>
    <w:rsid w:val="00E439C6"/>
    <w:rsid w:val="00E44A76"/>
    <w:rsid w:val="00E50738"/>
    <w:rsid w:val="00E53130"/>
    <w:rsid w:val="00E630DB"/>
    <w:rsid w:val="00E642D0"/>
    <w:rsid w:val="00E90603"/>
    <w:rsid w:val="00E91F24"/>
    <w:rsid w:val="00E95E97"/>
    <w:rsid w:val="00EA017A"/>
    <w:rsid w:val="00EA273A"/>
    <w:rsid w:val="00EB14B6"/>
    <w:rsid w:val="00EC68D4"/>
    <w:rsid w:val="00EF5B7B"/>
    <w:rsid w:val="00F05D0A"/>
    <w:rsid w:val="00F227A0"/>
    <w:rsid w:val="00F33024"/>
    <w:rsid w:val="00F40AB1"/>
    <w:rsid w:val="00F42E47"/>
    <w:rsid w:val="00F43ACB"/>
    <w:rsid w:val="00F44335"/>
    <w:rsid w:val="00F625C3"/>
    <w:rsid w:val="00F80979"/>
    <w:rsid w:val="00FC697A"/>
    <w:rsid w:val="00FD23DA"/>
    <w:rsid w:val="00FD3449"/>
    <w:rsid w:val="00FD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502FD"/>
  <w15:chartTrackingRefBased/>
  <w15:docId w15:val="{99033AE2-5C71-144A-A6C4-5BDA6CA3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5D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0A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0A65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3A5D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5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A5D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03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771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71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71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71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71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46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465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66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4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53DB7A-1323-9A42-B016-6184B5A5E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1137</Words>
  <Characters>6782</Characters>
  <Application>Microsoft Office Word</Application>
  <DocSecurity>0</DocSecurity>
  <Lines>127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Mughal MohamedZahir (RJC) Junior Doctor ST5 Swark-FT</dc:creator>
  <cp:keywords/>
  <dc:description/>
  <cp:lastModifiedBy>Mughal MohamedZahir (RJC) Junior Doctor ST5 Swark-FT</cp:lastModifiedBy>
  <cp:revision>5</cp:revision>
  <dcterms:created xsi:type="dcterms:W3CDTF">2023-12-12T00:40:00Z</dcterms:created>
  <dcterms:modified xsi:type="dcterms:W3CDTF">2024-02-15T20:02:00Z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http://www.zotero.org/styles/harvard1</vt:lpwstr>
  </property>
  <property fmtid="{D5CDD505-2E9C-101B-9397-08002B2CF9AE}" pid="11" name="Mendeley Recent Style Name 4_1">
    <vt:lpwstr>Harvard reference format 1 (deprecated)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3a05b1f3-7c31-379e-a96d-4bc330378a72</vt:lpwstr>
  </property>
  <property fmtid="{D5CDD505-2E9C-101B-9397-08002B2CF9AE}" pid="24" name="Mendeley Citation Style_1">
    <vt:lpwstr>http://www.zotero.org/styles/vancouver</vt:lpwstr>
  </property>
</Properties>
</file>