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E814" w14:textId="77777777" w:rsidR="00AA650E" w:rsidRDefault="00AA650E" w:rsidP="00AA650E">
      <w:pPr>
        <w:spacing w:after="160" w:line="259" w:lineRule="auto"/>
        <w:jc w:val="center"/>
        <w:rPr>
          <w:rFonts w:asciiTheme="majorBidi" w:hAnsiTheme="majorBidi" w:cstheme="majorBidi"/>
          <w:b/>
          <w:bCs/>
          <w:color w:val="FF0000"/>
          <w:sz w:val="28"/>
          <w:szCs w:val="28"/>
        </w:rPr>
      </w:pPr>
      <w:bookmarkStart w:id="0" w:name="_Hlk133338657"/>
    </w:p>
    <w:p w14:paraId="07B3C6D4" w14:textId="77777777" w:rsidR="00AA650E" w:rsidRDefault="00AA650E" w:rsidP="00AA650E">
      <w:pPr>
        <w:spacing w:after="160" w:line="259" w:lineRule="auto"/>
        <w:jc w:val="center"/>
        <w:rPr>
          <w:rFonts w:asciiTheme="majorBidi" w:hAnsiTheme="majorBidi" w:cstheme="majorBidi"/>
          <w:b/>
          <w:bCs/>
          <w:color w:val="FF0000"/>
          <w:sz w:val="28"/>
          <w:szCs w:val="28"/>
        </w:rPr>
      </w:pPr>
    </w:p>
    <w:p w14:paraId="749828C7" w14:textId="77777777" w:rsidR="00AA650E" w:rsidRDefault="00AA650E" w:rsidP="00AA650E">
      <w:pPr>
        <w:spacing w:after="160" w:line="259" w:lineRule="auto"/>
        <w:jc w:val="center"/>
        <w:rPr>
          <w:rFonts w:asciiTheme="majorBidi" w:hAnsiTheme="majorBidi" w:cstheme="majorBidi"/>
          <w:b/>
          <w:bCs/>
          <w:color w:val="FF0000"/>
          <w:sz w:val="28"/>
          <w:szCs w:val="28"/>
        </w:rPr>
      </w:pPr>
    </w:p>
    <w:p w14:paraId="1A2C476C" w14:textId="262C2C7F" w:rsidR="007A39EB" w:rsidRPr="00AA650E" w:rsidRDefault="007A39EB" w:rsidP="00AA650E">
      <w:pPr>
        <w:spacing w:after="160" w:line="259" w:lineRule="auto"/>
        <w:jc w:val="center"/>
        <w:rPr>
          <w:rFonts w:asciiTheme="majorBidi" w:hAnsiTheme="majorBidi" w:cstheme="majorBidi"/>
          <w:b/>
          <w:bCs/>
          <w:color w:val="FF0000"/>
          <w:sz w:val="28"/>
          <w:szCs w:val="28"/>
        </w:rPr>
      </w:pPr>
      <w:r w:rsidRPr="00AA650E">
        <w:rPr>
          <w:rFonts w:asciiTheme="majorBidi" w:hAnsiTheme="majorBidi" w:cstheme="majorBidi"/>
          <w:b/>
          <w:bCs/>
          <w:color w:val="FF0000"/>
          <w:sz w:val="28"/>
          <w:szCs w:val="28"/>
        </w:rPr>
        <w:t>Assessing the Environmental Impacts of Renewable Energy Sources: A Case Study on Air Pollution and Carbon Emissions in China</w:t>
      </w:r>
    </w:p>
    <w:p w14:paraId="2FBCC0D1" w14:textId="77777777" w:rsidR="007A39EB" w:rsidRDefault="007A39EB" w:rsidP="007A39EB">
      <w:pPr>
        <w:spacing w:line="360" w:lineRule="auto"/>
        <w:jc w:val="center"/>
        <w:rPr>
          <w:b/>
          <w:bCs/>
        </w:rPr>
      </w:pPr>
    </w:p>
    <w:p w14:paraId="117797F3" w14:textId="77777777" w:rsidR="00AA650E" w:rsidRDefault="00AA650E" w:rsidP="007A39EB">
      <w:pPr>
        <w:spacing w:line="360" w:lineRule="auto"/>
        <w:jc w:val="center"/>
        <w:rPr>
          <w:b/>
          <w:bCs/>
        </w:rPr>
      </w:pPr>
    </w:p>
    <w:p w14:paraId="0B94E603" w14:textId="77777777" w:rsidR="00AA650E" w:rsidRDefault="00AA650E" w:rsidP="007A39EB">
      <w:pPr>
        <w:spacing w:line="360" w:lineRule="auto"/>
        <w:jc w:val="center"/>
        <w:rPr>
          <w:b/>
          <w:bCs/>
        </w:rPr>
      </w:pPr>
    </w:p>
    <w:p w14:paraId="773DEFCF" w14:textId="77777777" w:rsidR="007A39EB" w:rsidRPr="00CB6F9C" w:rsidRDefault="007A39EB" w:rsidP="007A39EB">
      <w:pPr>
        <w:spacing w:line="360" w:lineRule="auto"/>
        <w:jc w:val="center"/>
        <w:rPr>
          <w:b/>
          <w:bCs/>
        </w:rPr>
      </w:pPr>
      <w:r w:rsidRPr="00CB6F9C">
        <w:rPr>
          <w:b/>
          <w:bCs/>
        </w:rPr>
        <w:t>Xihui Haviour Chen</w:t>
      </w:r>
      <w:r>
        <w:rPr>
          <w:b/>
          <w:bCs/>
        </w:rPr>
        <w:t>*</w:t>
      </w:r>
    </w:p>
    <w:p w14:paraId="1E25C8E5" w14:textId="77777777" w:rsidR="007A39EB" w:rsidRPr="00CB6F9C" w:rsidRDefault="007A39EB" w:rsidP="007A39EB">
      <w:pPr>
        <w:spacing w:line="360" w:lineRule="auto"/>
        <w:jc w:val="center"/>
      </w:pPr>
      <w:r w:rsidRPr="00CB6F9C">
        <w:t>Edinburgh Business School, Heriot-Watt University, Edinburgh, UK</w:t>
      </w:r>
    </w:p>
    <w:p w14:paraId="2A98B3DD" w14:textId="77777777" w:rsidR="007A39EB" w:rsidRPr="00CB6F9C" w:rsidRDefault="007A39EB" w:rsidP="007A39EB">
      <w:pPr>
        <w:spacing w:line="360" w:lineRule="auto"/>
        <w:jc w:val="center"/>
        <w:rPr>
          <w:rStyle w:val="Hyperlink"/>
          <w:color w:val="auto"/>
        </w:rPr>
      </w:pPr>
      <w:r w:rsidRPr="00CB6F9C">
        <w:t xml:space="preserve">Email: </w:t>
      </w:r>
      <w:hyperlink r:id="rId7" w:history="1">
        <w:r w:rsidRPr="00CB6F9C">
          <w:rPr>
            <w:rStyle w:val="Hyperlink"/>
            <w:color w:val="auto"/>
          </w:rPr>
          <w:t>Xihui.chen@hw.ac.uk</w:t>
        </w:r>
      </w:hyperlink>
    </w:p>
    <w:p w14:paraId="3F38E161" w14:textId="77777777" w:rsidR="007A39EB" w:rsidRPr="00CB6F9C" w:rsidRDefault="007A39EB" w:rsidP="007A39EB">
      <w:pPr>
        <w:spacing w:line="360" w:lineRule="auto"/>
        <w:jc w:val="center"/>
        <w:rPr>
          <w:b/>
          <w:bCs/>
        </w:rPr>
      </w:pPr>
    </w:p>
    <w:p w14:paraId="042B13A5" w14:textId="77777777" w:rsidR="007A39EB" w:rsidRPr="00CB6F9C" w:rsidRDefault="007A39EB" w:rsidP="007A39EB">
      <w:pPr>
        <w:spacing w:line="360" w:lineRule="auto"/>
        <w:jc w:val="center"/>
        <w:rPr>
          <w:b/>
          <w:bCs/>
        </w:rPr>
      </w:pPr>
      <w:r w:rsidRPr="00CB6F9C">
        <w:rPr>
          <w:b/>
          <w:bCs/>
        </w:rPr>
        <w:t>Kienpin Tee</w:t>
      </w:r>
    </w:p>
    <w:p w14:paraId="039D4669" w14:textId="77777777" w:rsidR="007A39EB" w:rsidRPr="00CB6F9C" w:rsidRDefault="007A39EB" w:rsidP="007A39EB">
      <w:pPr>
        <w:spacing w:line="360" w:lineRule="auto"/>
        <w:jc w:val="center"/>
        <w:rPr>
          <w:bCs/>
        </w:rPr>
      </w:pPr>
      <w:r w:rsidRPr="00CB6F9C">
        <w:rPr>
          <w:bCs/>
        </w:rPr>
        <w:t>James Cook University, Singapore</w:t>
      </w:r>
    </w:p>
    <w:p w14:paraId="43A2D6BA" w14:textId="77777777" w:rsidR="007A39EB" w:rsidRPr="00CB6F9C" w:rsidRDefault="007A39EB" w:rsidP="007A39EB">
      <w:pPr>
        <w:spacing w:line="360" w:lineRule="auto"/>
        <w:jc w:val="center"/>
        <w:rPr>
          <w:bCs/>
          <w:szCs w:val="24"/>
          <w:u w:val="single"/>
        </w:rPr>
      </w:pPr>
      <w:r w:rsidRPr="00CB6F9C">
        <w:rPr>
          <w:bCs/>
        </w:rPr>
        <w:t xml:space="preserve">Email: </w:t>
      </w:r>
      <w:hyperlink r:id="rId8" w:history="1">
        <w:r w:rsidRPr="00CB6F9C">
          <w:rPr>
            <w:rStyle w:val="Hyperlink"/>
            <w:bCs/>
            <w:color w:val="auto"/>
            <w:szCs w:val="24"/>
          </w:rPr>
          <w:t>kenny.tee@jcu.edu.au</w:t>
        </w:r>
      </w:hyperlink>
    </w:p>
    <w:p w14:paraId="59147A55" w14:textId="77777777" w:rsidR="007A39EB" w:rsidRPr="00CB6F9C" w:rsidRDefault="007A39EB" w:rsidP="007A39EB">
      <w:pPr>
        <w:spacing w:line="360" w:lineRule="auto"/>
        <w:jc w:val="center"/>
        <w:rPr>
          <w:u w:val="single"/>
        </w:rPr>
      </w:pPr>
    </w:p>
    <w:p w14:paraId="01A5E3C7" w14:textId="77777777" w:rsidR="007A39EB" w:rsidRPr="00CB6F9C" w:rsidRDefault="007A39EB" w:rsidP="007A39EB">
      <w:pPr>
        <w:spacing w:line="360" w:lineRule="auto"/>
        <w:jc w:val="center"/>
        <w:rPr>
          <w:b/>
          <w:szCs w:val="24"/>
        </w:rPr>
      </w:pPr>
      <w:r w:rsidRPr="00CB6F9C">
        <w:rPr>
          <w:b/>
          <w:szCs w:val="24"/>
        </w:rPr>
        <w:t>Marwa Elnahass</w:t>
      </w:r>
    </w:p>
    <w:p w14:paraId="541FF50D" w14:textId="77777777" w:rsidR="007A39EB" w:rsidRPr="00CB6F9C" w:rsidRDefault="007A39EB" w:rsidP="007A39EB">
      <w:pPr>
        <w:spacing w:line="360" w:lineRule="auto"/>
        <w:jc w:val="center"/>
        <w:rPr>
          <w:bCs/>
        </w:rPr>
      </w:pPr>
      <w:r w:rsidRPr="00CB6F9C">
        <w:rPr>
          <w:bCs/>
        </w:rPr>
        <w:t>Newcastle University, UK</w:t>
      </w:r>
    </w:p>
    <w:p w14:paraId="6908D08F" w14:textId="77777777" w:rsidR="007A39EB" w:rsidRPr="00CB6F9C" w:rsidRDefault="007A39EB" w:rsidP="007A39EB">
      <w:pPr>
        <w:spacing w:line="360" w:lineRule="auto"/>
        <w:jc w:val="center"/>
        <w:rPr>
          <w:bCs/>
          <w:szCs w:val="24"/>
        </w:rPr>
      </w:pPr>
      <w:r w:rsidRPr="00CB6F9C">
        <w:rPr>
          <w:bCs/>
          <w:szCs w:val="24"/>
        </w:rPr>
        <w:t>Emails:</w:t>
      </w:r>
      <w:r w:rsidRPr="00CB6F9C">
        <w:rPr>
          <w:szCs w:val="24"/>
        </w:rPr>
        <w:t xml:space="preserve"> </w:t>
      </w:r>
      <w:hyperlink r:id="rId9" w:history="1">
        <w:r w:rsidRPr="00CB6F9C">
          <w:rPr>
            <w:rStyle w:val="Hyperlink"/>
            <w:bCs/>
            <w:color w:val="auto"/>
            <w:szCs w:val="24"/>
          </w:rPr>
          <w:t>marwa.elnahas@newcastle.ac.uk</w:t>
        </w:r>
      </w:hyperlink>
      <w:r w:rsidRPr="00CB6F9C">
        <w:rPr>
          <w:bCs/>
          <w:szCs w:val="24"/>
        </w:rPr>
        <w:t xml:space="preserve"> </w:t>
      </w:r>
    </w:p>
    <w:p w14:paraId="1235E547" w14:textId="77777777" w:rsidR="007A39EB" w:rsidRDefault="007A39EB" w:rsidP="007A39EB">
      <w:pPr>
        <w:spacing w:line="360" w:lineRule="auto"/>
        <w:jc w:val="center"/>
        <w:rPr>
          <w:b/>
          <w:bCs/>
        </w:rPr>
      </w:pPr>
    </w:p>
    <w:p w14:paraId="38A99AC7" w14:textId="77777777" w:rsidR="007A39EB" w:rsidRPr="00CB6F9C" w:rsidRDefault="007A39EB" w:rsidP="007A39EB">
      <w:pPr>
        <w:spacing w:line="360" w:lineRule="auto"/>
        <w:jc w:val="center"/>
        <w:rPr>
          <w:b/>
          <w:bCs/>
        </w:rPr>
      </w:pPr>
      <w:r w:rsidRPr="00CB6F9C">
        <w:rPr>
          <w:b/>
          <w:bCs/>
        </w:rPr>
        <w:t>Rizwan Ahmed</w:t>
      </w:r>
    </w:p>
    <w:p w14:paraId="5DA390CB" w14:textId="77777777" w:rsidR="007A39EB" w:rsidRPr="00CB6F9C" w:rsidRDefault="007A39EB" w:rsidP="007A39EB">
      <w:pPr>
        <w:spacing w:line="360" w:lineRule="auto"/>
        <w:jc w:val="center"/>
      </w:pPr>
      <w:r w:rsidRPr="00CB6F9C">
        <w:t>Kent Business School, University of Kent, UK</w:t>
      </w:r>
    </w:p>
    <w:p w14:paraId="66F6A70B" w14:textId="77777777" w:rsidR="007A39EB" w:rsidRDefault="007A39EB" w:rsidP="007A39EB">
      <w:pPr>
        <w:tabs>
          <w:tab w:val="center" w:pos="4680"/>
          <w:tab w:val="left" w:pos="6407"/>
        </w:tabs>
        <w:spacing w:line="360" w:lineRule="auto"/>
        <w:jc w:val="left"/>
        <w:rPr>
          <w:rStyle w:val="Hyperlink"/>
          <w:color w:val="auto"/>
        </w:rPr>
      </w:pPr>
      <w:r w:rsidRPr="00CB6F9C">
        <w:tab/>
        <w:t xml:space="preserve">Email: </w:t>
      </w:r>
      <w:hyperlink r:id="rId10">
        <w:r w:rsidRPr="00CB6F9C">
          <w:rPr>
            <w:rStyle w:val="Hyperlink"/>
            <w:color w:val="auto"/>
          </w:rPr>
          <w:t>r.ahmed@kent.ac.uk</w:t>
        </w:r>
      </w:hyperlink>
    </w:p>
    <w:p w14:paraId="1F732F09" w14:textId="77777777" w:rsidR="007A39EB" w:rsidRPr="00CB6F9C" w:rsidRDefault="007A39EB" w:rsidP="007A39EB">
      <w:pPr>
        <w:tabs>
          <w:tab w:val="center" w:pos="4680"/>
          <w:tab w:val="left" w:pos="6407"/>
        </w:tabs>
        <w:spacing w:line="360" w:lineRule="auto"/>
        <w:jc w:val="left"/>
        <w:rPr>
          <w:rStyle w:val="Hyperlink"/>
          <w:color w:val="auto"/>
        </w:rPr>
      </w:pPr>
    </w:p>
    <w:p w14:paraId="20E01E2D" w14:textId="77777777" w:rsidR="007A39EB" w:rsidRPr="00CB6F9C" w:rsidRDefault="007A39EB" w:rsidP="007A39EB">
      <w:pPr>
        <w:tabs>
          <w:tab w:val="center" w:pos="4680"/>
          <w:tab w:val="left" w:pos="6407"/>
        </w:tabs>
        <w:spacing w:line="360" w:lineRule="auto"/>
        <w:jc w:val="left"/>
      </w:pPr>
      <w:r>
        <w:t>* Corresponding author</w:t>
      </w:r>
    </w:p>
    <w:p w14:paraId="50F256C6" w14:textId="77777777" w:rsidR="007A39EB" w:rsidRPr="00CB6F9C" w:rsidRDefault="007A39EB" w:rsidP="007A39EB">
      <w:pPr>
        <w:spacing w:after="160" w:line="259" w:lineRule="auto"/>
        <w:rPr>
          <w:rFonts w:asciiTheme="majorBidi" w:hAnsiTheme="majorBidi" w:cstheme="majorBidi"/>
          <w:b/>
          <w:bCs/>
          <w:szCs w:val="24"/>
        </w:rPr>
      </w:pPr>
      <w:r w:rsidRPr="00CB6F9C">
        <w:rPr>
          <w:szCs w:val="24"/>
        </w:rPr>
        <w:br w:type="page"/>
      </w:r>
    </w:p>
    <w:bookmarkEnd w:id="0"/>
    <w:p w14:paraId="7BF7CD22" w14:textId="77777777" w:rsidR="007A39EB" w:rsidRPr="00CB6F9C" w:rsidRDefault="007A39EB" w:rsidP="007A39EB">
      <w:pPr>
        <w:pStyle w:val="Heading1"/>
        <w:spacing w:before="100" w:beforeAutospacing="1" w:after="100" w:afterAutospacing="1"/>
        <w:jc w:val="center"/>
      </w:pPr>
      <w:r w:rsidRPr="00CB6F9C">
        <w:lastRenderedPageBreak/>
        <w:t>ABSTRACT</w:t>
      </w:r>
    </w:p>
    <w:p w14:paraId="6C857E12" w14:textId="77777777" w:rsidR="007A39EB" w:rsidRPr="009412B6" w:rsidRDefault="007A39EB" w:rsidP="007A39EB">
      <w:pPr>
        <w:spacing w:before="100" w:beforeAutospacing="1" w:after="100" w:afterAutospacing="1"/>
        <w:rPr>
          <w:sz w:val="22"/>
        </w:rPr>
      </w:pPr>
      <w:r w:rsidRPr="53D46649">
        <w:rPr>
          <w:sz w:val="22"/>
        </w:rPr>
        <w:t xml:space="preserve">This study investigates the impact of renewable and non-renewable energy sources on carbon </w:t>
      </w:r>
      <w:r w:rsidRPr="53D46649">
        <w:rPr>
          <w:color w:val="FF0000"/>
          <w:sz w:val="22"/>
        </w:rPr>
        <w:t>emissions</w:t>
      </w:r>
      <w:r w:rsidRPr="53D46649">
        <w:rPr>
          <w:sz w:val="22"/>
        </w:rPr>
        <w:t xml:space="preserve"> in the context of China's 14th Five-Year Plan (2021-2025). </w:t>
      </w:r>
      <w:r w:rsidRPr="53D46649">
        <w:rPr>
          <w:color w:val="FF0000"/>
          <w:sz w:val="22"/>
        </w:rPr>
        <w:t xml:space="preserve">The plan </w:t>
      </w:r>
      <w:proofErr w:type="spellStart"/>
      <w:r w:rsidRPr="53D46649">
        <w:rPr>
          <w:color w:val="FF0000"/>
          <w:sz w:val="22"/>
        </w:rPr>
        <w:t>emphasi</w:t>
      </w:r>
      <w:r>
        <w:rPr>
          <w:color w:val="FF0000"/>
          <w:sz w:val="22"/>
        </w:rPr>
        <w:t>s</w:t>
      </w:r>
      <w:r w:rsidRPr="53D46649">
        <w:rPr>
          <w:color w:val="FF0000"/>
          <w:sz w:val="22"/>
        </w:rPr>
        <w:t>es</w:t>
      </w:r>
      <w:proofErr w:type="spellEnd"/>
      <w:r w:rsidRPr="53D46649">
        <w:rPr>
          <w:color w:val="FF0000"/>
          <w:sz w:val="22"/>
        </w:rPr>
        <w:t xml:space="preserve"> a "</w:t>
      </w:r>
      <w:proofErr w:type="gramStart"/>
      <w:r w:rsidRPr="53D46649">
        <w:rPr>
          <w:color w:val="FF0000"/>
          <w:sz w:val="22"/>
        </w:rPr>
        <w:t>Dual-control</w:t>
      </w:r>
      <w:proofErr w:type="gramEnd"/>
      <w:r w:rsidRPr="53D46649">
        <w:rPr>
          <w:color w:val="FF0000"/>
          <w:sz w:val="22"/>
        </w:rPr>
        <w:t>" strategy</w:t>
      </w:r>
      <w:r>
        <w:rPr>
          <w:color w:val="FF0000"/>
          <w:sz w:val="22"/>
        </w:rPr>
        <w:t xml:space="preserve"> of simultaneously</w:t>
      </w:r>
      <w:r w:rsidRPr="53D46649">
        <w:rPr>
          <w:color w:val="FF0000"/>
          <w:sz w:val="22"/>
        </w:rPr>
        <w:t xml:space="preserve"> setting energy consumption limits and reduc</w:t>
      </w:r>
      <w:r>
        <w:rPr>
          <w:color w:val="FF0000"/>
          <w:sz w:val="22"/>
        </w:rPr>
        <w:t>ing</w:t>
      </w:r>
      <w:r w:rsidRPr="53D46649">
        <w:rPr>
          <w:color w:val="FF0000"/>
          <w:sz w:val="22"/>
        </w:rPr>
        <w:t xml:space="preserve"> energy intensity for GDP</w:t>
      </w:r>
      <w:r>
        <w:rPr>
          <w:color w:val="FF0000"/>
          <w:sz w:val="22"/>
        </w:rPr>
        <w:t xml:space="preserve"> (gross domestic product) in order to meet the targets of the five-year plan</w:t>
      </w:r>
      <w:r w:rsidRPr="53D46649">
        <w:rPr>
          <w:color w:val="FF0000"/>
          <w:sz w:val="22"/>
        </w:rPr>
        <w:t xml:space="preserve">. Using </w:t>
      </w:r>
      <w:r w:rsidRPr="53D46649">
        <w:rPr>
          <w:sz w:val="22"/>
        </w:rPr>
        <w:t xml:space="preserve">a comprehensive dataset of Chinese energy and macroeconomic information </w:t>
      </w:r>
      <w:r w:rsidRPr="53D46649">
        <w:rPr>
          <w:color w:val="FF0000"/>
          <w:sz w:val="22"/>
        </w:rPr>
        <w:t>spanning</w:t>
      </w:r>
      <w:r w:rsidRPr="53D46649">
        <w:rPr>
          <w:sz w:val="22"/>
        </w:rPr>
        <w:t xml:space="preserve"> from 1990 to 2022, </w:t>
      </w:r>
      <w:r w:rsidRPr="53D46649">
        <w:rPr>
          <w:color w:val="FF0000"/>
          <w:sz w:val="22"/>
        </w:rPr>
        <w:t>we conduct a</w:t>
      </w:r>
      <w:r w:rsidRPr="53D46649">
        <w:rPr>
          <w:sz w:val="22"/>
        </w:rPr>
        <w:t xml:space="preserve"> Granger causality analysis </w:t>
      </w:r>
      <w:r w:rsidRPr="53D46649">
        <w:rPr>
          <w:color w:val="FF0000"/>
          <w:sz w:val="22"/>
        </w:rPr>
        <w:t xml:space="preserve">to explore the </w:t>
      </w:r>
      <w:r w:rsidRPr="53D46649">
        <w:rPr>
          <w:sz w:val="22"/>
        </w:rPr>
        <w:t xml:space="preserve">relationship between energy sources and </w:t>
      </w:r>
      <w:r>
        <w:rPr>
          <w:sz w:val="22"/>
        </w:rPr>
        <w:t xml:space="preserve">the level of </w:t>
      </w:r>
      <w:r w:rsidRPr="53D46649">
        <w:rPr>
          <w:sz w:val="22"/>
        </w:rPr>
        <w:t xml:space="preserve">air pollution. </w:t>
      </w:r>
      <w:r w:rsidRPr="53D46649">
        <w:rPr>
          <w:color w:val="FF0000"/>
          <w:sz w:val="22"/>
        </w:rPr>
        <w:t xml:space="preserve">Our findings reveal a unidirectional link, wherein renewable energy contributes to a reduction in air pollution, while non-renewable energy sources lead to an increase. </w:t>
      </w:r>
      <w:r w:rsidRPr="53D46649">
        <w:rPr>
          <w:sz w:val="22"/>
        </w:rPr>
        <w:t xml:space="preserve">Despite the government's investment in renewable energy, our results show that China's economy remains heavily reliant on traditional energy sources (e.g., fossil fuels). This research is the first systematic examination of the interplay between energy </w:t>
      </w:r>
      <w:r w:rsidRPr="53D46649">
        <w:rPr>
          <w:color w:val="FF0000"/>
          <w:sz w:val="22"/>
        </w:rPr>
        <w:t xml:space="preserve">usage </w:t>
      </w:r>
      <w:r w:rsidRPr="53D46649">
        <w:rPr>
          <w:sz w:val="22"/>
        </w:rPr>
        <w:t xml:space="preserve">and carbon </w:t>
      </w:r>
      <w:r w:rsidRPr="53D46649">
        <w:rPr>
          <w:color w:val="FF0000"/>
          <w:sz w:val="22"/>
        </w:rPr>
        <w:t xml:space="preserve">emissions </w:t>
      </w:r>
      <w:r w:rsidRPr="53D46649">
        <w:rPr>
          <w:sz w:val="22"/>
        </w:rPr>
        <w:t xml:space="preserve">in the Chinese context. Our findings provide valuable insights for policy and market strategies aimed at promoting </w:t>
      </w:r>
      <w:r w:rsidRPr="53D46649">
        <w:rPr>
          <w:color w:val="FF0000"/>
          <w:sz w:val="22"/>
        </w:rPr>
        <w:t xml:space="preserve">carbon neutrality </w:t>
      </w:r>
      <w:r w:rsidRPr="53D46649">
        <w:rPr>
          <w:sz w:val="22"/>
        </w:rPr>
        <w:t>and driving technological advancements in both government and industries.</w:t>
      </w:r>
    </w:p>
    <w:p w14:paraId="584267F5" w14:textId="77777777" w:rsidR="007A39EB" w:rsidRPr="009412B6" w:rsidRDefault="007A39EB" w:rsidP="007A39EB">
      <w:pPr>
        <w:spacing w:before="100" w:beforeAutospacing="1" w:after="100" w:afterAutospacing="1"/>
        <w:ind w:left="1134" w:hanging="1134"/>
        <w:rPr>
          <w:sz w:val="22"/>
        </w:rPr>
      </w:pPr>
      <w:r w:rsidRPr="53D46649">
        <w:rPr>
          <w:b/>
          <w:bCs/>
        </w:rPr>
        <w:t xml:space="preserve">Keywords: </w:t>
      </w:r>
      <w:r w:rsidRPr="53D46649">
        <w:rPr>
          <w:sz w:val="22"/>
        </w:rPr>
        <w:t xml:space="preserve">Innovation Diffusion; Climate Change; </w:t>
      </w:r>
      <w:r w:rsidRPr="53D46649">
        <w:rPr>
          <w:color w:val="FF0000"/>
          <w:sz w:val="22"/>
        </w:rPr>
        <w:t>Carbon Neutrality; Carbon Footprint</w:t>
      </w:r>
      <w:r w:rsidRPr="53D46649">
        <w:rPr>
          <w:sz w:val="22"/>
        </w:rPr>
        <w:t>; Renewable Energies; Non-renewable Energies; COP27</w:t>
      </w:r>
    </w:p>
    <w:p w14:paraId="069AFFBE" w14:textId="77777777" w:rsidR="007A39EB" w:rsidRPr="00CB6F9C" w:rsidRDefault="007A39EB" w:rsidP="007A39EB">
      <w:pPr>
        <w:spacing w:before="100" w:beforeAutospacing="1" w:after="100" w:afterAutospacing="1"/>
        <w:jc w:val="left"/>
        <w:rPr>
          <w:b/>
          <w:bCs/>
          <w:szCs w:val="24"/>
        </w:rPr>
      </w:pPr>
      <w:r w:rsidRPr="00CB6F9C">
        <w:rPr>
          <w:b/>
          <w:bCs/>
        </w:rPr>
        <w:t>JEL Classification:</w:t>
      </w:r>
      <w:r w:rsidRPr="00CB6F9C">
        <w:t xml:space="preserve"> </w:t>
      </w:r>
      <w:r w:rsidRPr="00CB6F9C">
        <w:rPr>
          <w:sz w:val="22"/>
          <w:szCs w:val="20"/>
        </w:rPr>
        <w:t xml:space="preserve">Q01, Q20, Q28, O30, Q50, Q54 </w:t>
      </w:r>
    </w:p>
    <w:p w14:paraId="0351D86B" w14:textId="77777777" w:rsidR="007A39EB" w:rsidRPr="00CB6F9C" w:rsidRDefault="007A39EB" w:rsidP="007A39EB">
      <w:pPr>
        <w:spacing w:before="100" w:beforeAutospacing="1" w:after="100" w:afterAutospacing="1"/>
        <w:jc w:val="left"/>
        <w:rPr>
          <w:rFonts w:asciiTheme="majorBidi" w:hAnsiTheme="majorBidi" w:cstheme="majorBidi"/>
          <w:b/>
          <w:bCs/>
          <w:szCs w:val="24"/>
        </w:rPr>
      </w:pPr>
      <w:r w:rsidRPr="00CB6F9C">
        <w:br w:type="page"/>
      </w:r>
    </w:p>
    <w:p w14:paraId="75E843C7" w14:textId="77777777" w:rsidR="007A39EB" w:rsidRPr="00CB6F9C" w:rsidRDefault="007A39EB" w:rsidP="007A39EB">
      <w:pPr>
        <w:pStyle w:val="Heading1"/>
        <w:spacing w:before="100" w:beforeAutospacing="1" w:after="100" w:afterAutospacing="1"/>
      </w:pPr>
      <w:r w:rsidRPr="00CB6F9C">
        <w:lastRenderedPageBreak/>
        <w:t>1. INTRODUCTION</w:t>
      </w:r>
    </w:p>
    <w:p w14:paraId="6A7D315D" w14:textId="5185AE16" w:rsidR="007A39EB" w:rsidRPr="00CB6F9C" w:rsidRDefault="007A39EB" w:rsidP="007A39EB">
      <w:pPr>
        <w:spacing w:before="100" w:beforeAutospacing="1" w:after="100" w:afterAutospacing="1"/>
      </w:pPr>
      <w:r w:rsidRPr="00026576">
        <w:rPr>
          <w:color w:val="FF0000"/>
        </w:rPr>
        <w:t xml:space="preserve">Air pollution, originating from both anthropogenic and natural sources, presents significant challenges and carries numerous potential risks to both economic development and human health </w:t>
      </w:r>
      <w:r w:rsidRPr="00CB6F9C">
        <w:t>(Zhu et al., 2020). Based on the Global Burden of Disease (GBD)</w:t>
      </w:r>
      <w:r>
        <w:t xml:space="preserve"> </w:t>
      </w:r>
      <w:r w:rsidR="000E151B">
        <w:t>research</w:t>
      </w:r>
      <w:r w:rsidRPr="00CB6F9C">
        <w:t xml:space="preserve">, 6.7 million deaths were attributed to indoor and outdoor pollution worldwide in 2019, </w:t>
      </w:r>
      <w:r>
        <w:t xml:space="preserve">and </w:t>
      </w:r>
      <w:r w:rsidRPr="00CB6F9C">
        <w:t>of these, 4.3 million people died prematurely because of outdoor air pollution (</w:t>
      </w:r>
      <w:proofErr w:type="spellStart"/>
      <w:r w:rsidRPr="00CB6F9C">
        <w:t>Roser</w:t>
      </w:r>
      <w:proofErr w:type="spellEnd"/>
      <w:r w:rsidRPr="00CB6F9C">
        <w:t xml:space="preserve">, 2021). </w:t>
      </w:r>
      <w:r>
        <w:t>P</w:t>
      </w:r>
      <w:r w:rsidRPr="00CB6F9C">
        <w:t xml:space="preserve">rior studies (e.g., </w:t>
      </w:r>
      <w:proofErr w:type="spellStart"/>
      <w:r w:rsidRPr="00CB6F9C">
        <w:t>Goodkind</w:t>
      </w:r>
      <w:proofErr w:type="spellEnd"/>
      <w:r w:rsidRPr="00CB6F9C">
        <w:t xml:space="preserve"> et al.,</w:t>
      </w:r>
      <w:r w:rsidRPr="00CB6F9C" w:rsidDel="00C0645D">
        <w:t xml:space="preserve"> </w:t>
      </w:r>
      <w:r w:rsidRPr="00CB6F9C">
        <w:t xml:space="preserve">2021; Mujtaba and Shahzad, 2020) </w:t>
      </w:r>
      <w:r>
        <w:t xml:space="preserve">have indicated that if not effectively controlled, </w:t>
      </w:r>
      <w:r w:rsidRPr="00CB6F9C">
        <w:t>air pollutants will continue to pose a threat to human health.</w:t>
      </w:r>
    </w:p>
    <w:p w14:paraId="5FDBA84E" w14:textId="77777777" w:rsidR="007A39EB" w:rsidRPr="00CB6F9C" w:rsidRDefault="007A39EB" w:rsidP="007A39EB">
      <w:pPr>
        <w:spacing w:before="100" w:beforeAutospacing="1" w:after="100" w:afterAutospacing="1"/>
        <w:ind w:firstLine="720"/>
      </w:pPr>
      <w:r w:rsidRPr="00CB6F9C">
        <w:t>Innovation in renewable technology</w:t>
      </w:r>
      <w:r w:rsidRPr="00CB6F9C">
        <w:rPr>
          <w:rStyle w:val="FootnoteReference"/>
        </w:rPr>
        <w:footnoteReference w:id="1"/>
      </w:r>
      <w:r w:rsidRPr="00CB6F9C">
        <w:t xml:space="preserve"> </w:t>
      </w:r>
      <w:r>
        <w:t xml:space="preserve">has the potential </w:t>
      </w:r>
      <w:r w:rsidRPr="00CB6F9C">
        <w:t xml:space="preserve">to enhance the efficiency of existing fossil fuels, thus reducing the consumption of energy during the manufacturing process (He and Shen, 2019; </w:t>
      </w:r>
      <w:proofErr w:type="spellStart"/>
      <w:r w:rsidRPr="00CB6F9C">
        <w:t>Miremadi</w:t>
      </w:r>
      <w:proofErr w:type="spellEnd"/>
      <w:r w:rsidRPr="00CB6F9C">
        <w:t xml:space="preserve"> et al., 2019; Zhang et al., 2023). </w:t>
      </w:r>
      <w:r>
        <w:t>T</w:t>
      </w:r>
      <w:r w:rsidRPr="00CB6F9C">
        <w:t xml:space="preserve">he </w:t>
      </w:r>
      <w:proofErr w:type="gramStart"/>
      <w:r w:rsidRPr="00CB6F9C">
        <w:t xml:space="preserve">most </w:t>
      </w:r>
      <w:r>
        <w:t xml:space="preserve">commonly </w:t>
      </w:r>
      <w:r w:rsidRPr="00CB6F9C">
        <w:t>used</w:t>
      </w:r>
      <w:proofErr w:type="gramEnd"/>
      <w:r w:rsidRPr="00CB6F9C">
        <w:t xml:space="preserve"> renewable energy sources are biomass from plants, geothermal energy, hydropower, solar energy, and wind energy. </w:t>
      </w:r>
      <w:proofErr w:type="spellStart"/>
      <w:r w:rsidRPr="00CB6F9C">
        <w:t>Miremadi</w:t>
      </w:r>
      <w:proofErr w:type="spellEnd"/>
      <w:r w:rsidRPr="00CB6F9C">
        <w:t xml:space="preserve"> et al. (2019) </w:t>
      </w:r>
      <w:r>
        <w:t xml:space="preserve">found </w:t>
      </w:r>
      <w:r w:rsidRPr="00CB6F9C">
        <w:t xml:space="preserve">that innovation could improve the technological level of renewable energy, providing a boost </w:t>
      </w:r>
      <w:r>
        <w:t xml:space="preserve">in </w:t>
      </w:r>
      <w:r w:rsidRPr="00CB6F9C">
        <w:t xml:space="preserve">production. Innovation in renewable energy technologies can </w:t>
      </w:r>
      <w:r>
        <w:t xml:space="preserve">help in </w:t>
      </w:r>
      <w:r w:rsidRPr="00CB6F9C">
        <w:t>provid</w:t>
      </w:r>
      <w:r>
        <w:t>ing</w:t>
      </w:r>
      <w:r w:rsidRPr="00CB6F9C">
        <w:t xml:space="preserve"> clean energy to the market and can </w:t>
      </w:r>
      <w:r>
        <w:t xml:space="preserve">advantageously </w:t>
      </w:r>
      <w:r w:rsidRPr="00CB6F9C">
        <w:t>affect energy portfolios (</w:t>
      </w:r>
      <w:proofErr w:type="spellStart"/>
      <w:r w:rsidRPr="00CB6F9C">
        <w:rPr>
          <w:rFonts w:cs="Times New Roman"/>
          <w:szCs w:val="24"/>
          <w:shd w:val="clear" w:color="auto" w:fill="FFFFFF"/>
        </w:rPr>
        <w:t>Doğan</w:t>
      </w:r>
      <w:proofErr w:type="spellEnd"/>
      <w:r w:rsidRPr="00CB6F9C">
        <w:t xml:space="preserve"> et al., 2020; Zhu et al., 2020).  </w:t>
      </w:r>
      <w:r>
        <w:t>Despite this</w:t>
      </w:r>
      <w:r w:rsidRPr="00CB6F9C">
        <w:t xml:space="preserve">, relatively little attention has been given to the causal relationship between renewable and non-renewable energies and air pollution. </w:t>
      </w:r>
    </w:p>
    <w:p w14:paraId="08D4AB48" w14:textId="723F8314" w:rsidR="007A39EB" w:rsidRDefault="007A39EB" w:rsidP="007A39EB">
      <w:pPr>
        <w:spacing w:before="100" w:beforeAutospacing="1" w:after="100" w:afterAutospacing="1"/>
        <w:ind w:firstLine="720"/>
      </w:pPr>
      <w:r w:rsidRPr="00D142EE">
        <w:rPr>
          <w:color w:val="FF0000"/>
        </w:rPr>
        <w:t xml:space="preserve">Moreover, China represents a significant case study in the global context to understand the causal relationship between renewable and non-renewable energy sources and air pollution. As the second-largest economy in the world, China's rapid economic growth has been heavily </w:t>
      </w:r>
      <w:r w:rsidRPr="00D142EE">
        <w:rPr>
          <w:color w:val="FF0000"/>
        </w:rPr>
        <w:lastRenderedPageBreak/>
        <w:t>reliant on the use of substantial amounts of fossil fuels</w:t>
      </w:r>
      <w:r>
        <w:rPr>
          <w:color w:val="FF0000"/>
        </w:rPr>
        <w:t xml:space="preserve"> (Zhou et al., 2019)</w:t>
      </w:r>
      <w:r w:rsidRPr="00D142EE">
        <w:rPr>
          <w:color w:val="FF0000"/>
        </w:rPr>
        <w:t>. Examining the impact of renewable and non-renewable energy sources on air pollution in China can provide valuable insights into the effectiveness of different energy strategies in mitigating environmental risks and promoting sustainable development.</w:t>
      </w:r>
      <w:r>
        <w:rPr>
          <w:color w:val="FF0000"/>
        </w:rPr>
        <w:t xml:space="preserve"> </w:t>
      </w:r>
      <w:r>
        <w:t xml:space="preserve">To date, China is the largest methane emitter in the world, with methane emissions accounting for around 26% of the world's total emissions. According to Zheng et al. (2020), in 2020, China's carbon emissions accounted for about 30% of global emissions. </w:t>
      </w:r>
      <w:r w:rsidRPr="00D142EE">
        <w:rPr>
          <w:color w:val="FF0000"/>
        </w:rPr>
        <w:t>This is one of the ways in which China has</w:t>
      </w:r>
      <w:r>
        <w:t xml:space="preserve"> caused varying levels of air pollution across the country (</w:t>
      </w:r>
      <w:r w:rsidRPr="53D46649">
        <w:rPr>
          <w:color w:val="FF0000"/>
        </w:rPr>
        <w:t xml:space="preserve">Jia et al., 2022; </w:t>
      </w:r>
      <w:r>
        <w:t>Zhu et al., 2020). There is increasing evidence that air pollutants, for instance, PM</w:t>
      </w:r>
      <w:r w:rsidRPr="53D46649">
        <w:rPr>
          <w:vertAlign w:val="subscript"/>
        </w:rPr>
        <w:t>2.5</w:t>
      </w:r>
      <w:r>
        <w:rPr>
          <w:vertAlign w:val="subscript"/>
        </w:rPr>
        <w:t>,</w:t>
      </w:r>
      <w:r>
        <w:t xml:space="preserve"> are spreading beyond China's densely populated areas (e.g., Beijing, Guangdong, and Shanghai) and additionally, air pollutants are increasing at a higher rate in China than they are in developed countries (e.g., the USA, and Western Europe) and developing countries (e.g., Pakistan), especially during the wintertime period (Li et al., 2014). It is significant to note that air pollutants are capable of traversing, via airflow</w:t>
      </w:r>
      <w:r w:rsidR="00EC7FD0">
        <w:t xml:space="preserve"> </w:t>
      </w:r>
      <w:r>
        <w:t>beyond national boundaries (</w:t>
      </w:r>
      <w:proofErr w:type="spellStart"/>
      <w:r>
        <w:t>Lv</w:t>
      </w:r>
      <w:proofErr w:type="spellEnd"/>
      <w:r>
        <w:t xml:space="preserve"> et al., 2019). The Chinese air pollution problem is, therefore, closely connected to the global issue of air pollution.</w:t>
      </w:r>
    </w:p>
    <w:p w14:paraId="61BB8EB2" w14:textId="77777777" w:rsidR="007A39EB" w:rsidRPr="00D142EE" w:rsidRDefault="007A39EB" w:rsidP="007A39EB">
      <w:pPr>
        <w:spacing w:before="100" w:beforeAutospacing="1" w:after="100" w:afterAutospacing="1"/>
        <w:ind w:firstLine="720"/>
        <w:rPr>
          <w:color w:val="FF0000"/>
        </w:rPr>
      </w:pPr>
      <w:proofErr w:type="gramStart"/>
      <w:r>
        <w:t>In an effort to</w:t>
      </w:r>
      <w:proofErr w:type="gramEnd"/>
      <w:r>
        <w:t xml:space="preserve"> combat pollution and protect the environment, China has taken a number of top-down policy measures. For example, during the 75th United Nations General Assembly in 2020, President Xi made a major announcement that China is aiming to reach carbon dioxide </w:t>
      </w:r>
      <w:r w:rsidRPr="53D46649">
        <w:rPr>
          <w:color w:val="FF0000"/>
        </w:rPr>
        <w:t xml:space="preserve">neutrality </w:t>
      </w:r>
      <w:r>
        <w:t xml:space="preserve">by 2030 and achieve carbon </w:t>
      </w:r>
      <w:r w:rsidRPr="53D46649">
        <w:rPr>
          <w:color w:val="FF0000"/>
        </w:rPr>
        <w:t>emissions reduction</w:t>
      </w:r>
      <w:r>
        <w:t xml:space="preserve"> by 2060 (McGrath, 2020; Yang et al., 2021). Coupled with this was the intention to provide increased investment in developing green energy technologies (</w:t>
      </w:r>
      <w:proofErr w:type="spellStart"/>
      <w:r>
        <w:t>Ao</w:t>
      </w:r>
      <w:proofErr w:type="spellEnd"/>
      <w:r>
        <w:t xml:space="preserve"> et al., 2023). According to the National Action Plan, several major metropolitan areas (e.g., Beijing, Hebei, and Tianjin) are listed as priority areas for reducing air pollution. A key element of the action plan for cleaner air production is the use of innovation in renewable energy technologies (Lin and Zhu, 2019; Tang et al., 2023; Zhu et al., 2020). </w:t>
      </w:r>
      <w:r w:rsidRPr="005939B0">
        <w:rPr>
          <w:color w:val="FF0000"/>
        </w:rPr>
        <w:t xml:space="preserve">Air pollution and carbon emissions in China contribute to climate change through the </w:t>
      </w:r>
      <w:r w:rsidRPr="005939B0">
        <w:rPr>
          <w:color w:val="FF0000"/>
        </w:rPr>
        <w:lastRenderedPageBreak/>
        <w:t>release of greenhouse gases from non-renewable energy sources like coal. This intensifies the greenhouse effect, leading to rising temperatures, changing precipitation patterns, and more extreme weather events. Promoting renewable energy and sustainable practices is crucial in mitigating these environmental challenges and reducing the harmful effects of air pollution on the environment and human health.</w:t>
      </w:r>
    </w:p>
    <w:p w14:paraId="735E1C93" w14:textId="73A9EFAC" w:rsidR="007A39EB" w:rsidRPr="00CB6F9C" w:rsidRDefault="007A39EB" w:rsidP="007A39EB">
      <w:pPr>
        <w:spacing w:before="100" w:beforeAutospacing="1" w:after="100" w:afterAutospacing="1"/>
        <w:ind w:firstLine="720"/>
      </w:pPr>
      <w:r>
        <w:t xml:space="preserve">It is noteworthy that several aspects of renewable energy are receiving increased attention following COP26 and COP27 (e.g., Adekoya et al., 2023). Despite this, there are relatively few empirical studies </w:t>
      </w:r>
      <w:r w:rsidRPr="005939B0">
        <w:rPr>
          <w:color w:val="FF0000"/>
        </w:rPr>
        <w:t xml:space="preserve">have investigated </w:t>
      </w:r>
      <w:r>
        <w:t>the contribution of renewable energy to the reduction of China's air pollution. In one recent study, Zhu et al. (2020) empirically investigated the spatial pattern of air pollution in 31 Chinese provinces based on innovations in renewable energy technologies. Technology innovations in renewable energy were found to reduce the concentrations of respirable suspended particles (PM</w:t>
      </w:r>
      <w:r w:rsidRPr="5C1704F5">
        <w:rPr>
          <w:vertAlign w:val="subscript"/>
        </w:rPr>
        <w:t>10</w:t>
      </w:r>
      <w:r>
        <w:t>) and nitrogen oxides (NO</w:t>
      </w:r>
      <w:r w:rsidRPr="5C1704F5">
        <w:rPr>
          <w:vertAlign w:val="subscript"/>
        </w:rPr>
        <w:t>x</w:t>
      </w:r>
      <w:r>
        <w:t xml:space="preserve">). Our study extends prior research by empirically examining the impact of renewable and non-renewable energies on carbon </w:t>
      </w:r>
      <w:r w:rsidRPr="5C1704F5">
        <w:rPr>
          <w:rFonts w:eastAsia="Times New Roman" w:cs="Times New Roman"/>
          <w:color w:val="FF0000"/>
          <w:szCs w:val="24"/>
        </w:rPr>
        <w:t>emission</w:t>
      </w:r>
      <w:r w:rsidR="00054856">
        <w:rPr>
          <w:rFonts w:eastAsia="Times New Roman" w:cs="Times New Roman"/>
          <w:color w:val="FF0000"/>
          <w:szCs w:val="24"/>
        </w:rPr>
        <w:t>s</w:t>
      </w:r>
      <w:r w:rsidRPr="5C1704F5">
        <w:rPr>
          <w:rFonts w:eastAsia="Times New Roman" w:cs="Times New Roman"/>
          <w:color w:val="FF0000"/>
          <w:szCs w:val="24"/>
        </w:rPr>
        <w:t xml:space="preserve"> </w:t>
      </w:r>
      <w:r>
        <w:t xml:space="preserve">in China. It would be advantageous to examine a causal relationship between different sources of energy and air pollution </w:t>
      </w:r>
      <w:proofErr w:type="gramStart"/>
      <w:r>
        <w:t>in order to</w:t>
      </w:r>
      <w:proofErr w:type="gramEnd"/>
      <w:r>
        <w:t xml:space="preserve"> determine whether the time series data of energy consumption is useful for forecasting air pollution in longer term. As far as we are aware, there has been no empirical study, particularly using Granger causality analyses, to investigate the impacts of renewable and non-renewable energies on national-level air pollution in China.</w:t>
      </w:r>
    </w:p>
    <w:p w14:paraId="7C7B3267" w14:textId="225DC6C8" w:rsidR="007A39EB" w:rsidRPr="00CB6F9C" w:rsidRDefault="007A39EB" w:rsidP="007A39EB">
      <w:pPr>
        <w:spacing w:before="100" w:beforeAutospacing="1" w:after="100" w:afterAutospacing="1"/>
        <w:ind w:firstLine="720"/>
      </w:pPr>
      <w:proofErr w:type="gramStart"/>
      <w:r w:rsidRPr="00CB6F9C">
        <w:t>In order to</w:t>
      </w:r>
      <w:proofErr w:type="gramEnd"/>
      <w:r w:rsidRPr="00CB6F9C">
        <w:t xml:space="preserve"> address this gap, we </w:t>
      </w:r>
      <w:proofErr w:type="spellStart"/>
      <w:r w:rsidRPr="00CB6F9C">
        <w:t>analy</w:t>
      </w:r>
      <w:r>
        <w:t>s</w:t>
      </w:r>
      <w:r w:rsidRPr="00CB6F9C">
        <w:t>e</w:t>
      </w:r>
      <w:proofErr w:type="spellEnd"/>
      <w:r w:rsidRPr="00CB6F9C">
        <w:t xml:space="preserve"> the innovation diffusion of energy supply and carbon </w:t>
      </w:r>
      <w:r>
        <w:rPr>
          <w:color w:val="FF0000"/>
        </w:rPr>
        <w:t>emissions</w:t>
      </w:r>
      <w:r w:rsidRPr="00CB6F9C">
        <w:t xml:space="preserve"> in China</w:t>
      </w:r>
      <w:r>
        <w:t>,</w:t>
      </w:r>
      <w:r w:rsidRPr="00CB6F9C">
        <w:t xml:space="preserve"> using Chinese quarterly energy and macroeconomics time series data </w:t>
      </w:r>
      <w:r>
        <w:t>between</w:t>
      </w:r>
      <w:r w:rsidRPr="00CB6F9C">
        <w:t xml:space="preserve"> 1990 </w:t>
      </w:r>
      <w:r>
        <w:t>and</w:t>
      </w:r>
      <w:r w:rsidRPr="00CB6F9C">
        <w:t xml:space="preserve"> 2022. We employed the ARIMA (Autoregressive Integrated Moving Average) regression model and </w:t>
      </w:r>
      <w:r>
        <w:t xml:space="preserve">found </w:t>
      </w:r>
      <w:r w:rsidRPr="00CB6F9C">
        <w:t xml:space="preserve">that, first, air pollution and GDP in China have increased over time. Second, renewable energy reduces greenhouse gas emissions after controlling for </w:t>
      </w:r>
      <w:r w:rsidRPr="00CB6F9C">
        <w:lastRenderedPageBreak/>
        <w:t xml:space="preserve">economic growth, population growth, and coal prices (the main energy source in China). Third, non-renewable energy increases both </w:t>
      </w:r>
      <w:r w:rsidRPr="00BC6962">
        <w:rPr>
          <w:color w:val="FF0000"/>
        </w:rPr>
        <w:t>CO</w:t>
      </w:r>
      <w:r w:rsidRPr="00BC6962">
        <w:rPr>
          <w:color w:val="FF0000"/>
          <w:vertAlign w:val="subscript"/>
        </w:rPr>
        <w:t>2</w:t>
      </w:r>
      <w:r w:rsidRPr="00CB6F9C">
        <w:t xml:space="preserve"> and greenhouse gas emissions after accounting for population growth, economic growth, and the price of coal (the primary energy source in China). Fourth, based on additional analyses, our findings indicate that the impact of</w:t>
      </w:r>
      <w:r>
        <w:t xml:space="preserve"> the</w:t>
      </w:r>
      <w:r w:rsidRPr="00CB6F9C">
        <w:t xml:space="preserve"> selection of energy source</w:t>
      </w:r>
      <w:r>
        <w:t>s on</w:t>
      </w:r>
      <w:r w:rsidRPr="00CB6F9C">
        <w:t xml:space="preserve"> air quality is unidirectional, meaning air pollution does not </w:t>
      </w:r>
      <w:r>
        <w:t xml:space="preserve">act as an indicator for </w:t>
      </w:r>
      <w:r w:rsidRPr="00CB6F9C">
        <w:t>the Chinese government to take corrective measure</w:t>
      </w:r>
      <w:r>
        <w:t>s</w:t>
      </w:r>
      <w:r w:rsidRPr="00CB6F9C">
        <w:t xml:space="preserve"> to increase renewable energy</w:t>
      </w:r>
      <w:r>
        <w:t xml:space="preserve"> use</w:t>
      </w:r>
      <w:r w:rsidRPr="00CB6F9C">
        <w:t xml:space="preserve">. We also find that greenhouse gas emissions and </w:t>
      </w:r>
      <w:r w:rsidRPr="00BC6962">
        <w:rPr>
          <w:color w:val="FF0000"/>
        </w:rPr>
        <w:t>CO</w:t>
      </w:r>
      <w:r w:rsidRPr="00BC6962">
        <w:rPr>
          <w:color w:val="FF0000"/>
          <w:vertAlign w:val="subscript"/>
        </w:rPr>
        <w:t>2</w:t>
      </w:r>
      <w:r>
        <w:rPr>
          <w:color w:val="FF0000"/>
          <w:vertAlign w:val="subscript"/>
        </w:rPr>
        <w:t xml:space="preserve"> </w:t>
      </w:r>
      <w:r w:rsidRPr="00CB6F9C">
        <w:t xml:space="preserve">emissions are </w:t>
      </w:r>
      <w:r w:rsidRPr="007A39EB">
        <w:rPr>
          <w:color w:val="FF0000"/>
        </w:rPr>
        <w:t xml:space="preserve">significantly and negatively </w:t>
      </w:r>
      <w:r w:rsidRPr="00CB6F9C">
        <w:t xml:space="preserve">impacted by renewable energy. Carbon dioxide and greenhouse gas emissions are positively impacted by non-renewable energy sources. Fifth, we find no evidence for the reverse relationship. In other words, China’s economy still </w:t>
      </w:r>
      <w:r>
        <w:t>relies</w:t>
      </w:r>
      <w:r w:rsidRPr="00CB6F9C">
        <w:t xml:space="preserve"> heavily on traditional energy sources (e.g., fossil fuel) </w:t>
      </w:r>
      <w:r>
        <w:t>despite the</w:t>
      </w:r>
      <w:r w:rsidRPr="00CB6F9C">
        <w:t xml:space="preserve"> government</w:t>
      </w:r>
      <w:r>
        <w:t>’s</w:t>
      </w:r>
      <w:r w:rsidRPr="00CB6F9C">
        <w:t xml:space="preserve"> </w:t>
      </w:r>
      <w:r>
        <w:t xml:space="preserve">decision to </w:t>
      </w:r>
      <w:r w:rsidRPr="00CB6F9C">
        <w:t xml:space="preserve">invest in renewable energy sources. Therefore, air pollution </w:t>
      </w:r>
      <w:r>
        <w:t xml:space="preserve">level </w:t>
      </w:r>
      <w:r w:rsidRPr="00CB6F9C">
        <w:t xml:space="preserve">does not affect the government's decision to </w:t>
      </w:r>
      <w:r>
        <w:t xml:space="preserve">increase (or decrease) use of </w:t>
      </w:r>
      <w:r w:rsidRPr="00CB6F9C">
        <w:t xml:space="preserve">renewable energy. </w:t>
      </w:r>
    </w:p>
    <w:p w14:paraId="1D499521" w14:textId="77777777" w:rsidR="007A39EB" w:rsidRPr="00CB6F9C" w:rsidRDefault="007A39EB" w:rsidP="007A39EB">
      <w:pPr>
        <w:spacing w:before="100" w:beforeAutospacing="1" w:after="100" w:afterAutospacing="1"/>
        <w:ind w:firstLine="720"/>
      </w:pPr>
      <w:r w:rsidRPr="00CB6F9C">
        <w:t>This study offers several contributions to the literature o</w:t>
      </w:r>
      <w:r>
        <w:t>n</w:t>
      </w:r>
      <w:r w:rsidRPr="00CB6F9C">
        <w:t xml:space="preserve"> the relationship between public policy and application of energy source. </w:t>
      </w:r>
      <w:r>
        <w:t>T</w:t>
      </w:r>
      <w:r w:rsidRPr="00CB6F9C">
        <w:t xml:space="preserve">his is the first study to examine the impact of both renewable and non-renewable energies on air quality. Our finding extends prior evidence (e.g., Chien et al., 2021; </w:t>
      </w:r>
      <w:proofErr w:type="spellStart"/>
      <w:r w:rsidRPr="00CB6F9C">
        <w:t>Doğan</w:t>
      </w:r>
      <w:proofErr w:type="spellEnd"/>
      <w:r w:rsidRPr="00CB6F9C">
        <w:t xml:space="preserve"> et al., 2020; Hailemariam et al., 2022; Li et al., 2021), and show</w:t>
      </w:r>
      <w:r>
        <w:t>s</w:t>
      </w:r>
      <w:r w:rsidRPr="00CB6F9C">
        <w:t xml:space="preserve"> that use of renewable energy is associated with reducing air pollution and use of non-renewable energy is associated with increasing air pollution. Although prior studies provide useful insights that both developed and developing economies are not immune to environmental problems (e.g., air pollution), they </w:t>
      </w:r>
      <w:r>
        <w:t xml:space="preserve">predominantly </w:t>
      </w:r>
      <w:r w:rsidRPr="00CB6F9C">
        <w:t xml:space="preserve">focus on the implications of asset pricing and investment strategies (Tang et al., 2023; Zhang et al., 2023). Second, our research offers a more nuanced perspective to the ongoing debates surrounding the extent to which escalating air pollution levels in China influence the government's efforts to </w:t>
      </w:r>
      <w:proofErr w:type="spellStart"/>
      <w:r w:rsidRPr="00CB6F9C">
        <w:t>prioriti</w:t>
      </w:r>
      <w:r>
        <w:t>s</w:t>
      </w:r>
      <w:r w:rsidRPr="00CB6F9C">
        <w:t>e</w:t>
      </w:r>
      <w:proofErr w:type="spellEnd"/>
      <w:r w:rsidRPr="00CB6F9C">
        <w:t xml:space="preserve"> renewable energy adoption while discouraging the </w:t>
      </w:r>
      <w:proofErr w:type="spellStart"/>
      <w:r w:rsidRPr="00CB6F9C">
        <w:t>utili</w:t>
      </w:r>
      <w:r>
        <w:t>s</w:t>
      </w:r>
      <w:r w:rsidRPr="00CB6F9C">
        <w:t>ation</w:t>
      </w:r>
      <w:proofErr w:type="spellEnd"/>
      <w:r w:rsidRPr="00CB6F9C">
        <w:t xml:space="preserve"> of non-renewable sources. By </w:t>
      </w:r>
      <w:r w:rsidRPr="00CB6F9C">
        <w:lastRenderedPageBreak/>
        <w:t xml:space="preserve">engaging in critical discussions and incorporating diverse viewpoints, our study not only expands upon existing literature on renewable energy (e.g., </w:t>
      </w:r>
      <w:proofErr w:type="spellStart"/>
      <w:r w:rsidRPr="00CB6F9C">
        <w:t>Ao</w:t>
      </w:r>
      <w:proofErr w:type="spellEnd"/>
      <w:r w:rsidRPr="00CB6F9C">
        <w:t xml:space="preserve"> et al., 2023; Lu et al., 2020; Zheng et al., 2020; Zhu et al., 2020), but also encourages a deeper understanding of the complex interplay between environmental challenges and policy responses. Lastly, this study enriches the environmental management literature (e.g., </w:t>
      </w:r>
      <w:proofErr w:type="spellStart"/>
      <w:r w:rsidRPr="00CB6F9C">
        <w:t>Doğan</w:t>
      </w:r>
      <w:proofErr w:type="spellEnd"/>
      <w:r w:rsidRPr="00CB6F9C">
        <w:t xml:space="preserve"> et al., 2020; Nasir et al., 2021; Pham et al., 2020) by critically examining China's energy landscape, a crucial case study due to its far-reaching influence on global energy markets, its burgeoning prominence as a leader in renewable energy implementation, and the intricate nature of its energy portfolio and policy framework. By delving deeper into the multifaceted aspects of China's energy sector, our research fosters more comprehensive and critical discussions, paving the way for a broader understanding of the challenges and opportunities that arise within the context of environmental management and sustainable development.</w:t>
      </w:r>
    </w:p>
    <w:p w14:paraId="2AEAC245" w14:textId="77777777" w:rsidR="007A39EB" w:rsidRPr="00CB6F9C" w:rsidRDefault="007A39EB" w:rsidP="007A39EB">
      <w:pPr>
        <w:spacing w:before="100" w:beforeAutospacing="1" w:after="100" w:afterAutospacing="1"/>
        <w:ind w:firstLine="720"/>
      </w:pPr>
      <w:r>
        <w:t xml:space="preserve">This study </w:t>
      </w:r>
      <w:r w:rsidRPr="53D46649">
        <w:rPr>
          <w:color w:val="FF0000"/>
        </w:rPr>
        <w:t xml:space="preserve">has significant practical and theoretical </w:t>
      </w:r>
      <w:r>
        <w:t xml:space="preserve">implications </w:t>
      </w:r>
      <w:r w:rsidRPr="53D46649">
        <w:rPr>
          <w:color w:val="FF0000"/>
        </w:rPr>
        <w:t>that shed light on</w:t>
      </w:r>
      <w:r>
        <w:t xml:space="preserve"> the benefits of renewable energy investment. </w:t>
      </w:r>
      <w:r w:rsidRPr="53D46649">
        <w:rPr>
          <w:color w:val="FF0000"/>
        </w:rPr>
        <w:t xml:space="preserve">Our findings </w:t>
      </w:r>
      <w:proofErr w:type="spellStart"/>
      <w:r w:rsidRPr="53D46649">
        <w:rPr>
          <w:color w:val="FF0000"/>
        </w:rPr>
        <w:t>emphasise</w:t>
      </w:r>
      <w:proofErr w:type="spellEnd"/>
      <w:r w:rsidRPr="53D46649">
        <w:rPr>
          <w:color w:val="FF0000"/>
        </w:rPr>
        <w:t xml:space="preserve"> several key areas of impact</w:t>
      </w:r>
      <w:r>
        <w:t xml:space="preserve">, including improvements in public health, reductions in greenhouse gas emissions, enhanced energy security, and reductions in pollution (Lin and Zhu, 2019; </w:t>
      </w:r>
      <w:proofErr w:type="spellStart"/>
      <w:r>
        <w:t>VoPham</w:t>
      </w:r>
      <w:proofErr w:type="spellEnd"/>
      <w:r>
        <w:t xml:space="preserve"> et al., 2018; Zhou et al., 2019). </w:t>
      </w:r>
      <w:r w:rsidRPr="53D46649">
        <w:rPr>
          <w:color w:val="FF0000"/>
        </w:rPr>
        <w:t xml:space="preserve">Our research </w:t>
      </w:r>
      <w:r>
        <w:t xml:space="preserve">shows that non-renewable energy sources are a major contributor to greenhouse gas emissions, leading to climate change and other negative impacts such as extreme weather events, habitat destruction, and decreased productivity. </w:t>
      </w:r>
      <w:r w:rsidRPr="53D46649">
        <w:rPr>
          <w:color w:val="FF0000"/>
        </w:rPr>
        <w:t>By examining the case of China, o</w:t>
      </w:r>
      <w:r>
        <w:t xml:space="preserve">ur study serves as guidance for other developing nations in achieving a </w:t>
      </w:r>
      <w:r w:rsidRPr="53D46649">
        <w:rPr>
          <w:color w:val="FF0000"/>
        </w:rPr>
        <w:t xml:space="preserve">harmonious </w:t>
      </w:r>
      <w:r>
        <w:t xml:space="preserve">balance between economic expansion and environmental protection. </w:t>
      </w:r>
      <w:r w:rsidRPr="53D46649">
        <w:rPr>
          <w:color w:val="FF0000"/>
        </w:rPr>
        <w:t>The insights derived from our results hold significance for policymakers, industry stakeholders, and researchers</w:t>
      </w:r>
      <w:r>
        <w:rPr>
          <w:color w:val="FF0000"/>
        </w:rPr>
        <w:t>,</w:t>
      </w:r>
      <w:r w:rsidRPr="53D46649">
        <w:rPr>
          <w:color w:val="FF0000"/>
        </w:rPr>
        <w:t xml:space="preserve"> who are actively involved in shaping and informing sustainable energy strategies. </w:t>
      </w:r>
      <w:r>
        <w:t>Despite China's efforts to promote renewable energy since the 2000s, air pollution remains a persistent issue, with negative repercussions worsening faster than corrective actions taken.</w:t>
      </w:r>
    </w:p>
    <w:p w14:paraId="0B2B9C26" w14:textId="77777777" w:rsidR="007A39EB" w:rsidRPr="00CB6F9C" w:rsidRDefault="007A39EB" w:rsidP="007A39EB">
      <w:pPr>
        <w:spacing w:before="100" w:beforeAutospacing="1" w:after="100" w:afterAutospacing="1"/>
        <w:ind w:firstLine="720"/>
        <w:rPr>
          <w:i/>
          <w:iCs/>
          <w:szCs w:val="24"/>
        </w:rPr>
      </w:pPr>
      <w:r w:rsidRPr="00CB6F9C">
        <w:rPr>
          <w:rFonts w:asciiTheme="majorBidi" w:eastAsia="SimSun" w:hAnsiTheme="majorBidi" w:cstheme="majorBidi"/>
          <w:szCs w:val="24"/>
        </w:rPr>
        <w:lastRenderedPageBreak/>
        <w:t xml:space="preserve">The remainder of this paper is </w:t>
      </w:r>
      <w:proofErr w:type="spellStart"/>
      <w:r w:rsidRPr="00CB6F9C">
        <w:rPr>
          <w:rFonts w:asciiTheme="majorBidi" w:eastAsia="SimSun" w:hAnsiTheme="majorBidi" w:cstheme="majorBidi"/>
          <w:szCs w:val="24"/>
        </w:rPr>
        <w:t>organi</w:t>
      </w:r>
      <w:r>
        <w:rPr>
          <w:rFonts w:asciiTheme="majorBidi" w:eastAsia="SimSun" w:hAnsiTheme="majorBidi" w:cstheme="majorBidi"/>
          <w:szCs w:val="24"/>
        </w:rPr>
        <w:t>s</w:t>
      </w:r>
      <w:r w:rsidRPr="00CB6F9C">
        <w:rPr>
          <w:rFonts w:asciiTheme="majorBidi" w:eastAsia="SimSun" w:hAnsiTheme="majorBidi" w:cstheme="majorBidi"/>
          <w:szCs w:val="24"/>
        </w:rPr>
        <w:t>ed</w:t>
      </w:r>
      <w:proofErr w:type="spellEnd"/>
      <w:r w:rsidRPr="00CB6F9C">
        <w:rPr>
          <w:rFonts w:asciiTheme="majorBidi" w:eastAsia="SimSun" w:hAnsiTheme="majorBidi" w:cstheme="majorBidi"/>
          <w:szCs w:val="24"/>
        </w:rPr>
        <w:t xml:space="preserve"> as follows: Section 2 delves into the relationship between air pollution, renewable energy, and health</w:t>
      </w:r>
      <w:r>
        <w:rPr>
          <w:rFonts w:asciiTheme="majorBidi" w:eastAsia="SimSun" w:hAnsiTheme="majorBidi" w:cstheme="majorBidi"/>
          <w:szCs w:val="24"/>
        </w:rPr>
        <w:t>,</w:t>
      </w:r>
      <w:r w:rsidRPr="00CB6F9C">
        <w:rPr>
          <w:rFonts w:asciiTheme="majorBidi" w:eastAsia="SimSun" w:hAnsiTheme="majorBidi" w:cstheme="majorBidi"/>
          <w:szCs w:val="24"/>
        </w:rPr>
        <w:t xml:space="preserve"> with a specific focus on China, encompassing the country setting, theoretical </w:t>
      </w:r>
      <w:proofErr w:type="gramStart"/>
      <w:r w:rsidRPr="00CB6F9C">
        <w:rPr>
          <w:rFonts w:asciiTheme="majorBidi" w:eastAsia="SimSun" w:hAnsiTheme="majorBidi" w:cstheme="majorBidi"/>
          <w:szCs w:val="24"/>
        </w:rPr>
        <w:t>underpinning</w:t>
      </w:r>
      <w:r>
        <w:rPr>
          <w:rFonts w:asciiTheme="majorBidi" w:eastAsia="SimSun" w:hAnsiTheme="majorBidi" w:cstheme="majorBidi"/>
          <w:szCs w:val="24"/>
        </w:rPr>
        <w:t>s</w:t>
      </w:r>
      <w:proofErr w:type="gramEnd"/>
      <w:r w:rsidRPr="00CB6F9C">
        <w:rPr>
          <w:rFonts w:asciiTheme="majorBidi" w:eastAsia="SimSun" w:hAnsiTheme="majorBidi" w:cstheme="majorBidi"/>
          <w:szCs w:val="24"/>
        </w:rPr>
        <w:t xml:space="preserve"> and the development of our hypotheses. Section 3 details the research design and methodology, including the empirical model and the sample and data used. Section 4 presents the empirical results, offering additional testing and a robustness check to support our findings. Finally, in Section 5, we offer our conclusions, policy implications, limitations of the study, and </w:t>
      </w:r>
      <w:r>
        <w:rPr>
          <w:rFonts w:asciiTheme="majorBidi" w:eastAsia="SimSun" w:hAnsiTheme="majorBidi" w:cstheme="majorBidi"/>
          <w:szCs w:val="24"/>
        </w:rPr>
        <w:t xml:space="preserve">we set out </w:t>
      </w:r>
      <w:r w:rsidRPr="00CB6F9C">
        <w:rPr>
          <w:rFonts w:asciiTheme="majorBidi" w:eastAsia="SimSun" w:hAnsiTheme="majorBidi" w:cstheme="majorBidi"/>
          <w:szCs w:val="24"/>
        </w:rPr>
        <w:t>recommendations for future research.</w:t>
      </w:r>
    </w:p>
    <w:p w14:paraId="2312116F" w14:textId="77777777" w:rsidR="007A39EB" w:rsidRDefault="007A39EB" w:rsidP="007A39EB">
      <w:pPr>
        <w:pStyle w:val="Heading1"/>
        <w:spacing w:before="100" w:beforeAutospacing="1" w:after="100" w:afterAutospacing="1"/>
      </w:pPr>
      <w:r w:rsidRPr="00CB6F9C">
        <w:t xml:space="preserve">2. THE RELATIONSHIP BETWEEN AIR POLLUTION, RENEWABLE ENERGY, AND HEALTH: A FOCUS ON CHINA </w:t>
      </w:r>
    </w:p>
    <w:p w14:paraId="07338893" w14:textId="77777777" w:rsidR="007A39EB" w:rsidRPr="004D36C4" w:rsidRDefault="007A39EB" w:rsidP="007A39EB">
      <w:pPr>
        <w:ind w:firstLine="720"/>
        <w:rPr>
          <w:color w:val="FF0000"/>
        </w:rPr>
      </w:pPr>
      <w:bookmarkStart w:id="1" w:name="_Hlk138427414"/>
      <w:r w:rsidRPr="004D36C4">
        <w:rPr>
          <w:color w:val="FF0000"/>
        </w:rPr>
        <w:t xml:space="preserve">In </w:t>
      </w:r>
      <w:r>
        <w:rPr>
          <w:color w:val="FF0000"/>
        </w:rPr>
        <w:t>this section</w:t>
      </w:r>
      <w:r w:rsidRPr="004D36C4">
        <w:rPr>
          <w:color w:val="FF0000"/>
        </w:rPr>
        <w:t>, we provide a comprehensive examination of the rationale for choosing China as the research context. We discuss the significance of studying China's energy landscape</w:t>
      </w:r>
      <w:r>
        <w:rPr>
          <w:color w:val="FF0000"/>
        </w:rPr>
        <w:t>,</w:t>
      </w:r>
      <w:r w:rsidRPr="004D36C4">
        <w:rPr>
          <w:color w:val="FF0000"/>
        </w:rPr>
        <w:t xml:space="preserve"> due to its unique combination of rapid economic growth, environmental challenges, and ambitious policy goals. This context offers valuable insights into the interplay between renewable energy us</w:t>
      </w:r>
      <w:r>
        <w:rPr>
          <w:color w:val="FF0000"/>
        </w:rPr>
        <w:t>e</w:t>
      </w:r>
      <w:r w:rsidRPr="004D36C4">
        <w:rPr>
          <w:color w:val="FF0000"/>
        </w:rPr>
        <w:t xml:space="preserve">, air pollution, and the complexities of balancing economic development and </w:t>
      </w:r>
      <w:r w:rsidRPr="00485625">
        <w:rPr>
          <w:color w:val="FF0000"/>
        </w:rPr>
        <w:t xml:space="preserve">environmental sustainability. Furthermore, we explore four theories (Environmental Kuznets Curve theory, the Pollution Haven Hypothesis, the Porter Hypothesis, and Energy Efficiency Paradox theory) and </w:t>
      </w:r>
      <w:r>
        <w:rPr>
          <w:color w:val="FF0000"/>
        </w:rPr>
        <w:t xml:space="preserve">two </w:t>
      </w:r>
      <w:r w:rsidRPr="004D36C4">
        <w:rPr>
          <w:color w:val="FF0000"/>
        </w:rPr>
        <w:t xml:space="preserve">hypotheses on </w:t>
      </w:r>
      <w:r>
        <w:rPr>
          <w:color w:val="FF0000"/>
        </w:rPr>
        <w:t>environmental regulation of air pollution</w:t>
      </w:r>
      <w:r w:rsidRPr="004D36C4">
        <w:rPr>
          <w:color w:val="FF0000"/>
        </w:rPr>
        <w:t xml:space="preserve"> and renewable energy usage</w:t>
      </w:r>
      <w:r>
        <w:rPr>
          <w:color w:val="FF0000"/>
        </w:rPr>
        <w:t>.</w:t>
      </w:r>
    </w:p>
    <w:p w14:paraId="5F0B1A2F" w14:textId="77777777" w:rsidR="007A39EB" w:rsidRPr="004D36C4" w:rsidRDefault="007A39EB" w:rsidP="007A39EB">
      <w:pPr>
        <w:ind w:firstLine="720"/>
        <w:rPr>
          <w:color w:val="FF0000"/>
        </w:rPr>
      </w:pPr>
      <w:r>
        <w:rPr>
          <w:color w:val="FF0000"/>
        </w:rPr>
        <w:t xml:space="preserve">Throughout </w:t>
      </w:r>
      <w:r w:rsidRPr="004D36C4">
        <w:rPr>
          <w:color w:val="FF0000"/>
        </w:rPr>
        <w:t>the literature review, several themes, patterns, and trends emerge</w:t>
      </w:r>
      <w:r>
        <w:rPr>
          <w:color w:val="FF0000"/>
        </w:rPr>
        <w:t>d</w:t>
      </w:r>
      <w:r w:rsidRPr="004D36C4">
        <w:rPr>
          <w:color w:val="FF0000"/>
        </w:rPr>
        <w:t>. Firstly, there is a growing recognition of the negative environmental consequences associated with non-renewable energy sources, particularly in terms of air pollution and greenhouse gas emissions</w:t>
      </w:r>
      <w:r>
        <w:rPr>
          <w:color w:val="FF0000"/>
        </w:rPr>
        <w:t xml:space="preserve"> </w:t>
      </w:r>
      <w:r w:rsidRPr="00F740C5">
        <w:rPr>
          <w:color w:val="FF0000"/>
        </w:rPr>
        <w:t>(</w:t>
      </w:r>
      <w:r w:rsidRPr="00F740C5">
        <w:rPr>
          <w:rFonts w:cs="Times New Roman"/>
          <w:color w:val="FF0000"/>
          <w:szCs w:val="24"/>
          <w:lang w:val="en-GB"/>
        </w:rPr>
        <w:t>Hailemariam</w:t>
      </w:r>
      <w:r w:rsidRPr="00F740C5">
        <w:rPr>
          <w:rFonts w:cs="Times New Roman"/>
          <w:color w:val="FF0000"/>
          <w:szCs w:val="24"/>
        </w:rPr>
        <w:t xml:space="preserve"> et al., 2022; </w:t>
      </w:r>
      <w:proofErr w:type="spellStart"/>
      <w:r w:rsidRPr="00F740C5">
        <w:rPr>
          <w:rFonts w:cs="Times New Roman"/>
          <w:color w:val="FF0000"/>
          <w:szCs w:val="24"/>
          <w:lang w:val="en-GB"/>
        </w:rPr>
        <w:t>Sharifzadeh</w:t>
      </w:r>
      <w:proofErr w:type="spellEnd"/>
      <w:r w:rsidRPr="00F740C5">
        <w:rPr>
          <w:rFonts w:cs="Times New Roman"/>
          <w:color w:val="FF0000"/>
          <w:szCs w:val="24"/>
        </w:rPr>
        <w:t xml:space="preserve"> et al., 2019; </w:t>
      </w:r>
      <w:r>
        <w:rPr>
          <w:color w:val="FF0000"/>
        </w:rPr>
        <w:t>Zhang et al., 2023)</w:t>
      </w:r>
      <w:r w:rsidRPr="004D36C4">
        <w:rPr>
          <w:color w:val="FF0000"/>
        </w:rPr>
        <w:t>. This recognition has spurred global efforts to transition towards renewable energy alternatives.</w:t>
      </w:r>
      <w:r>
        <w:rPr>
          <w:color w:val="FF0000"/>
        </w:rPr>
        <w:t xml:space="preserve"> </w:t>
      </w:r>
      <w:r w:rsidRPr="004D36C4">
        <w:rPr>
          <w:color w:val="FF0000"/>
        </w:rPr>
        <w:lastRenderedPageBreak/>
        <w:t xml:space="preserve">Secondly, the relationship between economic growth and environmental quality, specifically air pollution, is a topic of significant interest. Scholars </w:t>
      </w:r>
      <w:r>
        <w:rPr>
          <w:color w:val="FF0000"/>
        </w:rPr>
        <w:t>(e.g.,</w:t>
      </w:r>
      <w:r w:rsidRPr="007C061D">
        <w:t xml:space="preserve"> </w:t>
      </w:r>
      <w:r w:rsidRPr="007C061D">
        <w:rPr>
          <w:color w:val="FF0000"/>
        </w:rPr>
        <w:t xml:space="preserve">Fan and Hao, 2020; </w:t>
      </w:r>
      <w:proofErr w:type="spellStart"/>
      <w:r w:rsidRPr="007C061D">
        <w:rPr>
          <w:color w:val="FF0000"/>
        </w:rPr>
        <w:t>Pinzón</w:t>
      </w:r>
      <w:proofErr w:type="spellEnd"/>
      <w:r w:rsidRPr="007C061D">
        <w:rPr>
          <w:color w:val="FF0000"/>
        </w:rPr>
        <w:t xml:space="preserve"> et al., 2018; Saint </w:t>
      </w:r>
      <w:proofErr w:type="spellStart"/>
      <w:r w:rsidRPr="0081799B">
        <w:rPr>
          <w:color w:val="FF0000"/>
        </w:rPr>
        <w:t>Akadiri</w:t>
      </w:r>
      <w:proofErr w:type="spellEnd"/>
      <w:r w:rsidRPr="0081799B">
        <w:rPr>
          <w:color w:val="FF0000"/>
        </w:rPr>
        <w:t xml:space="preserve"> </w:t>
      </w:r>
      <w:r w:rsidRPr="007C061D">
        <w:rPr>
          <w:color w:val="FF0000"/>
        </w:rPr>
        <w:t>et al., 2019; Yuan et al., 2015</w:t>
      </w:r>
      <w:r>
        <w:rPr>
          <w:color w:val="FF0000"/>
        </w:rPr>
        <w:t xml:space="preserve">) </w:t>
      </w:r>
      <w:r w:rsidRPr="004D36C4">
        <w:rPr>
          <w:color w:val="FF0000"/>
        </w:rPr>
        <w:t>have explored the complex dynamics between economic development, energy consumption, and environmental degradation, highlighting the need for sustainable energy strategies to mitigate adverse impacts.</w:t>
      </w:r>
      <w:r>
        <w:rPr>
          <w:color w:val="FF0000"/>
        </w:rPr>
        <w:t xml:space="preserve"> Finally, </w:t>
      </w:r>
      <w:r w:rsidRPr="004D36C4">
        <w:rPr>
          <w:color w:val="FF0000"/>
        </w:rPr>
        <w:t xml:space="preserve">the role of environmental regulations in promoting renewable energy adoption and reducing air pollution has gained prominence. Studies </w:t>
      </w:r>
      <w:r>
        <w:rPr>
          <w:color w:val="FF0000"/>
        </w:rPr>
        <w:t>(</w:t>
      </w:r>
      <w:proofErr w:type="spellStart"/>
      <w:r w:rsidRPr="00350E7D">
        <w:rPr>
          <w:color w:val="FF0000"/>
        </w:rPr>
        <w:t>Ao</w:t>
      </w:r>
      <w:proofErr w:type="spellEnd"/>
      <w:r w:rsidRPr="00350E7D">
        <w:rPr>
          <w:color w:val="FF0000"/>
        </w:rPr>
        <w:t xml:space="preserve"> et al., 2023; Chien et al., 2021</w:t>
      </w:r>
      <w:r>
        <w:rPr>
          <w:color w:val="FF0000"/>
        </w:rPr>
        <w:t xml:space="preserve">) </w:t>
      </w:r>
      <w:r w:rsidRPr="004D36C4">
        <w:rPr>
          <w:color w:val="FF0000"/>
        </w:rPr>
        <w:t>have demonstrated the effectiveness of stringent regulations in driving the transition towards cleaner energy sources and improving air quality.</w:t>
      </w:r>
      <w:r>
        <w:rPr>
          <w:color w:val="FF0000"/>
        </w:rPr>
        <w:t xml:space="preserve"> </w:t>
      </w:r>
      <w:r w:rsidRPr="004D36C4">
        <w:rPr>
          <w:color w:val="FF0000"/>
        </w:rPr>
        <w:t xml:space="preserve">By </w:t>
      </w:r>
      <w:proofErr w:type="spellStart"/>
      <w:r w:rsidRPr="004D36C4">
        <w:rPr>
          <w:color w:val="FF0000"/>
        </w:rPr>
        <w:t>synthesi</w:t>
      </w:r>
      <w:r>
        <w:rPr>
          <w:color w:val="FF0000"/>
        </w:rPr>
        <w:t>s</w:t>
      </w:r>
      <w:r w:rsidRPr="004D36C4">
        <w:rPr>
          <w:color w:val="FF0000"/>
        </w:rPr>
        <w:t>ing</w:t>
      </w:r>
      <w:proofErr w:type="spellEnd"/>
      <w:r w:rsidRPr="004D36C4">
        <w:rPr>
          <w:color w:val="FF0000"/>
        </w:rPr>
        <w:t xml:space="preserve"> the existing literature, our study contributes to this knowledge base and sheds light on the specific context of China, providing valuable insights for policymakers, researchers, and stakeholders seeking to promote sustainable energy practices and address air pollution challenges.</w:t>
      </w:r>
    </w:p>
    <w:bookmarkEnd w:id="1"/>
    <w:p w14:paraId="47F87269" w14:textId="77777777" w:rsidR="007A39EB" w:rsidRPr="00CB6F9C" w:rsidRDefault="007A39EB" w:rsidP="007A39EB">
      <w:pPr>
        <w:pStyle w:val="Heading2"/>
        <w:spacing w:before="100" w:beforeAutospacing="1" w:after="100" w:afterAutospacing="1"/>
      </w:pPr>
      <w:r w:rsidRPr="00CB6F9C">
        <w:t xml:space="preserve">2.1 Country Setting – A </w:t>
      </w:r>
      <w:r>
        <w:t xml:space="preserve">Focus on </w:t>
      </w:r>
      <w:r w:rsidRPr="00CB6F9C">
        <w:t>China</w:t>
      </w:r>
    </w:p>
    <w:p w14:paraId="214A1138" w14:textId="77777777" w:rsidR="007A39EB" w:rsidRPr="00CB6F9C" w:rsidRDefault="007A39EB" w:rsidP="007A39EB">
      <w:pPr>
        <w:spacing w:before="100" w:beforeAutospacing="1" w:after="100" w:afterAutospacing="1"/>
        <w:ind w:firstLine="720"/>
      </w:pPr>
      <w:r>
        <w:t xml:space="preserve">We have four main arguments to support the motivation for a single country context and the representation of the Chinese case. First, China's status as the world's biggest energy consumer and emitter of greenhouse gases highlights the importance of understanding its energy policies within the context of global climate change initiatives and the transition to cleaner energy sources (Hepburn et al., 2021; </w:t>
      </w:r>
      <w:proofErr w:type="spellStart"/>
      <w:r>
        <w:t>Sharifzadeh</w:t>
      </w:r>
      <w:proofErr w:type="spellEnd"/>
      <w:r>
        <w:t xml:space="preserve"> et al., 2019). Furthermore, as of 2020, China has installed 281 GW of wind power and 253 GW of solar energy sources, making it the world's leading producer of wind power and solar energy (Liu et al., 2011). Under the 14th Five-Year Plan, the Chinese government has set ambitious targets for the adoption of renewable energy that include increasing non-fossil fuel consumption to 20% by 2025, reaching peak carbon emissions by 2030, and achieving carbon </w:t>
      </w:r>
      <w:r w:rsidRPr="53D46649">
        <w:rPr>
          <w:color w:val="FF0000"/>
        </w:rPr>
        <w:t xml:space="preserve">neutrality </w:t>
      </w:r>
      <w:r>
        <w:t xml:space="preserve">by </w:t>
      </w:r>
      <w:r w:rsidRPr="53D46649">
        <w:rPr>
          <w:color w:val="FF0000"/>
        </w:rPr>
        <w:t xml:space="preserve">2060 </w:t>
      </w:r>
      <w:r>
        <w:t xml:space="preserve">(Hepburn et al., 2021). To support these targets, the Chinese government provides generous subsidies and </w:t>
      </w:r>
      <w:r>
        <w:lastRenderedPageBreak/>
        <w:t xml:space="preserve">incentives for renewable energy projects, including feed-in tariffs (FITs), tax incentives, subsidy programs (e.g., subsidies for solar photovoltaic, installations, and wind power projects) and preferential loans (Song et al., 2022). </w:t>
      </w:r>
    </w:p>
    <w:p w14:paraId="31835A7A" w14:textId="77777777" w:rsidR="007A39EB" w:rsidRDefault="007A39EB" w:rsidP="007A39EB">
      <w:pPr>
        <w:spacing w:before="100" w:beforeAutospacing="1" w:after="100" w:afterAutospacing="1"/>
        <w:ind w:firstLine="720"/>
      </w:pPr>
      <w:r>
        <w:t>T</w:t>
      </w:r>
      <w:r w:rsidRPr="00896094">
        <w:t xml:space="preserve">o </w:t>
      </w:r>
      <w:proofErr w:type="spellStart"/>
      <w:r w:rsidRPr="00896094">
        <w:t>emphasi</w:t>
      </w:r>
      <w:r>
        <w:t>s</w:t>
      </w:r>
      <w:r w:rsidRPr="00896094">
        <w:t>e</w:t>
      </w:r>
      <w:proofErr w:type="spellEnd"/>
      <w:r w:rsidRPr="00896094">
        <w:t xml:space="preserve"> China's role in renewable energy, it is worth noting that the country has made substantial investments in renewable energy over the </w:t>
      </w:r>
      <w:r>
        <w:t>last decades</w:t>
      </w:r>
      <w:r w:rsidRPr="00896094">
        <w:t xml:space="preserve"> and </w:t>
      </w:r>
      <w:r>
        <w:t xml:space="preserve">has become one of </w:t>
      </w:r>
      <w:r w:rsidRPr="00896094">
        <w:t xml:space="preserve">the world's </w:t>
      </w:r>
      <w:r>
        <w:t>largest</w:t>
      </w:r>
      <w:r w:rsidRPr="00896094">
        <w:t xml:space="preserve"> manufacturer</w:t>
      </w:r>
      <w:r>
        <w:t>s</w:t>
      </w:r>
      <w:r w:rsidRPr="00896094">
        <w:t xml:space="preserve"> of technologies </w:t>
      </w:r>
      <w:r>
        <w:t xml:space="preserve">related to </w:t>
      </w:r>
      <w:r w:rsidRPr="00896094">
        <w:t>renewable energy</w:t>
      </w:r>
      <w:r>
        <w:t>, including</w:t>
      </w:r>
      <w:r w:rsidRPr="00896094">
        <w:t xml:space="preserve"> electric vehicles</w:t>
      </w:r>
      <w:r>
        <w:t xml:space="preserve">, </w:t>
      </w:r>
      <w:r w:rsidRPr="00896094">
        <w:t xml:space="preserve">solar panels, </w:t>
      </w:r>
      <w:r>
        <w:t xml:space="preserve">and </w:t>
      </w:r>
      <w:r w:rsidRPr="00896094">
        <w:t xml:space="preserve">wind turbines </w:t>
      </w:r>
      <w:r w:rsidRPr="00CB6F9C">
        <w:t xml:space="preserve">(see Li and </w:t>
      </w:r>
      <w:proofErr w:type="spellStart"/>
      <w:r w:rsidRPr="00CB6F9C">
        <w:t>Taeihagh</w:t>
      </w:r>
      <w:proofErr w:type="spellEnd"/>
      <w:r w:rsidRPr="00CB6F9C">
        <w:t xml:space="preserve"> 2020; Ahmad et al., 2021</w:t>
      </w:r>
      <w:r>
        <w:t>;</w:t>
      </w:r>
      <w:r w:rsidRPr="00CB6F9C">
        <w:t xml:space="preserve"> Fan and Hao 2020). China is committed to improving energy efficiency, reducing costs, and promoting innovation. These efforts are reflected in China’s global investments in renewable energy projects (Hepburn et al., 2021; </w:t>
      </w:r>
      <w:proofErr w:type="spellStart"/>
      <w:r w:rsidRPr="00CB6F9C">
        <w:t>Sharifzadeh</w:t>
      </w:r>
      <w:proofErr w:type="spellEnd"/>
      <w:r w:rsidRPr="00CB6F9C">
        <w:t xml:space="preserve"> et al., 2019), </w:t>
      </w:r>
      <w:r>
        <w:t xml:space="preserve">which accounted </w:t>
      </w:r>
      <w:r w:rsidRPr="00CB6F9C">
        <w:t>for about 28% of global investment in renewable energy in 2020 (REN21, 2021). This investment is not limited to China</w:t>
      </w:r>
      <w:r>
        <w:t>,</w:t>
      </w:r>
      <w:r w:rsidRPr="00CB6F9C">
        <w:t xml:space="preserve"> but also extends to other countries through initiatives like the Belt and Road Initiative, </w:t>
      </w:r>
      <w:r w:rsidRPr="0073180A">
        <w:t xml:space="preserve">which strives to advance economic collaboration and infrastructure expansion in Asia, </w:t>
      </w:r>
      <w:proofErr w:type="gramStart"/>
      <w:r w:rsidRPr="0073180A">
        <w:t>Europe</w:t>
      </w:r>
      <w:proofErr w:type="gramEnd"/>
      <w:r w:rsidRPr="0073180A">
        <w:t xml:space="preserve"> and Africa </w:t>
      </w:r>
      <w:r w:rsidRPr="00CB6F9C">
        <w:t xml:space="preserve">(Anwar et al., 2021; Wu et al., 2020). Through this initiative, China has invested in renewable energy projects in various countries, including Pakistan, Kazakhstan, and Egypt. Despite these efforts, China's heavy reliance on coal for electricity generation remains a major obstacle to achieving its renewable energy targets. Coal still accounts for over 70% of China's energy mix (See Figure 1) and reducing its dependence on coal remains a daunting task. China’s rapid economic growth and </w:t>
      </w:r>
      <w:proofErr w:type="spellStart"/>
      <w:r w:rsidRPr="00CB6F9C">
        <w:t>urbani</w:t>
      </w:r>
      <w:r>
        <w:t>s</w:t>
      </w:r>
      <w:r w:rsidRPr="00CB6F9C">
        <w:t>ation</w:t>
      </w:r>
      <w:proofErr w:type="spellEnd"/>
      <w:r w:rsidRPr="00CB6F9C">
        <w:t xml:space="preserve"> have also led to increased energy demand, </w:t>
      </w:r>
      <w:r>
        <w:t xml:space="preserve">representing a barrier to the expansion of </w:t>
      </w:r>
      <w:r w:rsidRPr="00CB6F9C">
        <w:t xml:space="preserve">renewable energy sources. Nevertheless, investments in renewable technologies have reduced China’s dependence on fossil fuels and helped to lower greenhouse gas emissions. China aims to </w:t>
      </w:r>
      <w:r>
        <w:rPr>
          <w:color w:val="FF0000"/>
        </w:rPr>
        <w:t xml:space="preserve">reduce its </w:t>
      </w:r>
      <w:r w:rsidRPr="00CB6F9C">
        <w:t xml:space="preserve">carbon </w:t>
      </w:r>
      <w:r>
        <w:rPr>
          <w:color w:val="FF0000"/>
        </w:rPr>
        <w:t xml:space="preserve">footprint </w:t>
      </w:r>
      <w:r w:rsidRPr="00CB6F9C">
        <w:t xml:space="preserve">by 2060, with renewable energy sources expected to produce over 60% of the country's electricity by 2030 and up to 86% of total electricity by 2050, according to the International Renewable Energy Agency (IRENA, 2020). Therefore, China's energy landscape </w:t>
      </w:r>
      <w:r w:rsidRPr="00CB6F9C">
        <w:lastRenderedPageBreak/>
        <w:t xml:space="preserve">and policies have important implications for global efforts to address climate change and transition to cleaner energy sources. While the government </w:t>
      </w:r>
      <w:r>
        <w:t>sets</w:t>
      </w:r>
      <w:r w:rsidRPr="00CB6F9C">
        <w:t xml:space="preserve"> ambitious targets for renewable energy </w:t>
      </w:r>
      <w:r>
        <w:t xml:space="preserve">usage </w:t>
      </w:r>
      <w:r w:rsidRPr="00CB6F9C">
        <w:t xml:space="preserve">and </w:t>
      </w:r>
      <w:r>
        <w:t>invests</w:t>
      </w:r>
      <w:r w:rsidRPr="00CB6F9C">
        <w:t xml:space="preserve"> heavily in </w:t>
      </w:r>
      <w:r>
        <w:t xml:space="preserve">the </w:t>
      </w:r>
      <w:r w:rsidRPr="00CB6F9C">
        <w:t xml:space="preserve">research and development of renewable energy technologies, reducing dependence on coal, and transitioning to a low-carbon economy remains a significant challenge (Fan and Hao, 2020). Studying China's experiences with renewable energy can provide researchers and policymakers insights into best practices for scaling up these technologies and integrating them </w:t>
      </w:r>
      <w:r w:rsidRPr="005939B0">
        <w:rPr>
          <w:color w:val="FF0000"/>
        </w:rPr>
        <w:t xml:space="preserve">into national energy infrastructure </w:t>
      </w:r>
      <w:r w:rsidRPr="00CB6F9C">
        <w:t>making it an important case to study.</w:t>
      </w:r>
    </w:p>
    <w:p w14:paraId="1732B897" w14:textId="77777777" w:rsidR="007A39EB" w:rsidRDefault="007A39EB" w:rsidP="007A39EB">
      <w:pPr>
        <w:spacing w:after="160" w:line="259" w:lineRule="auto"/>
        <w:jc w:val="left"/>
        <w:rPr>
          <w:i/>
          <w:iCs/>
          <w:szCs w:val="24"/>
        </w:rPr>
      </w:pPr>
      <w:r>
        <w:rPr>
          <w:szCs w:val="24"/>
        </w:rPr>
        <w:br w:type="page"/>
      </w:r>
    </w:p>
    <w:p w14:paraId="0FE02A29" w14:textId="77777777" w:rsidR="007A39EB" w:rsidRPr="00CB6F9C" w:rsidRDefault="007A39EB" w:rsidP="007A39EB">
      <w:pPr>
        <w:pStyle w:val="Caption"/>
        <w:rPr>
          <w:color w:val="auto"/>
          <w:sz w:val="24"/>
          <w:szCs w:val="24"/>
        </w:rPr>
      </w:pPr>
      <w:r w:rsidRPr="00CB6F9C">
        <w:rPr>
          <w:color w:val="auto"/>
          <w:sz w:val="24"/>
          <w:szCs w:val="24"/>
        </w:rPr>
        <w:lastRenderedPageBreak/>
        <w:t xml:space="preserve">Figure </w:t>
      </w:r>
      <w:r w:rsidRPr="00CB6F9C">
        <w:rPr>
          <w:color w:val="auto"/>
          <w:sz w:val="24"/>
          <w:szCs w:val="24"/>
        </w:rPr>
        <w:fldChar w:fldCharType="begin"/>
      </w:r>
      <w:r w:rsidRPr="00CB6F9C">
        <w:rPr>
          <w:color w:val="auto"/>
          <w:sz w:val="24"/>
          <w:szCs w:val="24"/>
        </w:rPr>
        <w:instrText xml:space="preserve"> SEQ Figure \* ARABIC </w:instrText>
      </w:r>
      <w:r w:rsidRPr="00CB6F9C">
        <w:rPr>
          <w:color w:val="auto"/>
          <w:sz w:val="24"/>
          <w:szCs w:val="24"/>
        </w:rPr>
        <w:fldChar w:fldCharType="separate"/>
      </w:r>
      <w:r w:rsidRPr="00CB6F9C">
        <w:rPr>
          <w:noProof/>
          <w:color w:val="auto"/>
          <w:sz w:val="24"/>
          <w:szCs w:val="24"/>
        </w:rPr>
        <w:t>1</w:t>
      </w:r>
      <w:r w:rsidRPr="00CB6F9C">
        <w:rPr>
          <w:color w:val="auto"/>
          <w:sz w:val="24"/>
          <w:szCs w:val="24"/>
        </w:rPr>
        <w:fldChar w:fldCharType="end"/>
      </w:r>
      <w:r>
        <w:rPr>
          <w:color w:val="auto"/>
          <w:sz w:val="24"/>
          <w:szCs w:val="24"/>
        </w:rPr>
        <w:t>.</w:t>
      </w:r>
      <w:r w:rsidRPr="00CB6F9C">
        <w:rPr>
          <w:i w:val="0"/>
          <w:iCs w:val="0"/>
          <w:color w:val="auto"/>
          <w:sz w:val="24"/>
          <w:szCs w:val="24"/>
        </w:rPr>
        <w:t xml:space="preserve"> </w:t>
      </w:r>
      <w:r w:rsidRPr="00CB6F9C">
        <w:rPr>
          <w:color w:val="auto"/>
          <w:sz w:val="24"/>
          <w:szCs w:val="24"/>
        </w:rPr>
        <w:t xml:space="preserve">China’s </w:t>
      </w:r>
      <w:r>
        <w:rPr>
          <w:color w:val="auto"/>
          <w:sz w:val="24"/>
          <w:szCs w:val="24"/>
        </w:rPr>
        <w:t xml:space="preserve">Total </w:t>
      </w:r>
      <w:r w:rsidRPr="00CB6F9C">
        <w:rPr>
          <w:color w:val="auto"/>
          <w:sz w:val="24"/>
          <w:szCs w:val="24"/>
        </w:rPr>
        <w:t>Power Generation by various energy sources</w:t>
      </w:r>
    </w:p>
    <w:p w14:paraId="25BE2E4E" w14:textId="77777777" w:rsidR="007A39EB" w:rsidRPr="00CB6F9C" w:rsidRDefault="007A39EB" w:rsidP="007A39EB">
      <w:pPr>
        <w:rPr>
          <w:szCs w:val="24"/>
        </w:rPr>
      </w:pPr>
      <w:r w:rsidRPr="00CB6F9C">
        <w:rPr>
          <w:noProof/>
          <w:szCs w:val="24"/>
        </w:rPr>
        <w:drawing>
          <wp:inline distT="0" distB="0" distL="0" distR="0" wp14:anchorId="05414667" wp14:editId="34368B20">
            <wp:extent cx="5493715" cy="3781959"/>
            <wp:effectExtent l="0" t="0" r="12065" b="9525"/>
            <wp:docPr id="1" name="Chart 1">
              <a:extLst xmlns:a="http://schemas.openxmlformats.org/drawingml/2006/main">
                <a:ext uri="{FF2B5EF4-FFF2-40B4-BE49-F238E27FC236}">
                  <a16:creationId xmlns:a16="http://schemas.microsoft.com/office/drawing/2014/main" id="{49F0C32B-D536-4B96-B991-86083EF46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31DC9" w14:textId="77777777" w:rsidR="007A39EB" w:rsidRPr="00CB6F9C" w:rsidRDefault="007A39EB" w:rsidP="007A39EB">
      <w:pPr>
        <w:rPr>
          <w:szCs w:val="24"/>
        </w:rPr>
      </w:pPr>
      <w:r w:rsidRPr="00CB6F9C">
        <w:rPr>
          <w:szCs w:val="24"/>
        </w:rPr>
        <w:t>Source: The World Bank and National Bureau of Statistics of China databases</w:t>
      </w:r>
    </w:p>
    <w:p w14:paraId="6E9A6B61" w14:textId="77777777" w:rsidR="007A39EB" w:rsidRPr="00CB6F9C" w:rsidRDefault="007A39EB" w:rsidP="007A39EB">
      <w:pPr>
        <w:spacing w:before="100" w:beforeAutospacing="1" w:after="100" w:afterAutospacing="1"/>
        <w:ind w:firstLine="720"/>
      </w:pPr>
      <w:r w:rsidRPr="00461624">
        <w:t>China wields significant influence in the worldwide fossil fuel industry, owing to its substantial deposits of coal, oil, and natural gas</w:t>
      </w:r>
      <w:r w:rsidRPr="00CB6F9C">
        <w:t>. As such, comprehending China's energy demand</w:t>
      </w:r>
      <w:r>
        <w:t>,</w:t>
      </w:r>
      <w:r w:rsidRPr="00CB6F9C">
        <w:t xml:space="preserve"> and supply patterns</w:t>
      </w:r>
      <w:r>
        <w:t>,</w:t>
      </w:r>
      <w:r w:rsidRPr="00CB6F9C">
        <w:t xml:space="preserve"> and its policies concerning fossil fuel use</w:t>
      </w:r>
      <w:r>
        <w:t>,</w:t>
      </w:r>
      <w:r w:rsidRPr="00CB6F9C">
        <w:t xml:space="preserve"> is crucial in projecting global energy markets and forecasting future trends in energy consumption and emissions. With its significant reserves of coal, oil, and natural gas, China is a powerful player in the global fossil fuel market, as well as a substantial contributor to greenhouse gas emissions, responsible for almost 30% of global carbon dioxide emissions (Le </w:t>
      </w:r>
      <w:proofErr w:type="spellStart"/>
      <w:r w:rsidRPr="00CB6F9C">
        <w:t>Quéré</w:t>
      </w:r>
      <w:proofErr w:type="spellEnd"/>
      <w:r w:rsidRPr="00CB6F9C">
        <w:t xml:space="preserve"> et al., 2020). China's energy policies related to fossil fuel use are shaped by various factors, including economic development, energy security and environmental concerns. For example, China's reliance on coal for electricity generation has led to high levels of air pollution and greenhouse gas emissions, which have serious implications for public health and climate change (Adekoya et al., 2023</w:t>
      </w:r>
      <w:r>
        <w:t xml:space="preserve">; </w:t>
      </w:r>
      <w:r w:rsidRPr="00DC668F">
        <w:rPr>
          <w:color w:val="FF0000"/>
        </w:rPr>
        <w:t>Hasan et al., 2021</w:t>
      </w:r>
      <w:r>
        <w:t xml:space="preserve">; </w:t>
      </w:r>
      <w:proofErr w:type="spellStart"/>
      <w:r>
        <w:t>VoPham</w:t>
      </w:r>
      <w:proofErr w:type="spellEnd"/>
      <w:r>
        <w:t xml:space="preserve"> et al., 2018</w:t>
      </w:r>
      <w:r w:rsidRPr="00CB6F9C">
        <w:t xml:space="preserve">). However, the Chinese government has also </w:t>
      </w:r>
      <w:r w:rsidRPr="00CB6F9C">
        <w:lastRenderedPageBreak/>
        <w:t xml:space="preserve">taken steps to </w:t>
      </w:r>
      <w:r>
        <w:t>lessen its reliance on</w:t>
      </w:r>
      <w:r w:rsidRPr="00CB6F9C">
        <w:t xml:space="preserve"> fossil fuels and promote cleaner energy sources, including implementing a national carbon trading scheme, setting strict emissions standards for coal-fired power plants, and discouraging the use of coal mines and coal-fired power plants. For example, in 2016, China announced plans to close more than 1,000 coal mines (Reuters, 2016), and in 2017, it ordered the closure of more than 100 million tons of steel production capacity and 50 million tons of coal production capacity (Reuters, 2017). Additionally, China has </w:t>
      </w:r>
      <w:r>
        <w:t>invested</w:t>
      </w:r>
      <w:r w:rsidRPr="00CB6F9C">
        <w:t xml:space="preserve"> heavily in nuclear power and clean coal technologies, </w:t>
      </w:r>
      <w:r>
        <w:t>which include</w:t>
      </w:r>
      <w:r w:rsidRPr="00CB6F9C">
        <w:t xml:space="preserve"> carbon capture and storage (CCS) (EIA, 2021). In 2020, China consumed 4,997 million metric tons of oil equivalent (Mtoe) of energy, making it </w:t>
      </w:r>
      <w:r>
        <w:t xml:space="preserve">one of </w:t>
      </w:r>
      <w:r w:rsidRPr="00CB6F9C">
        <w:t xml:space="preserve">the world's </w:t>
      </w:r>
      <w:r>
        <w:t xml:space="preserve">biggest </w:t>
      </w:r>
      <w:r w:rsidRPr="00CB6F9C">
        <w:t>energy consumer</w:t>
      </w:r>
      <w:r>
        <w:t>s</w:t>
      </w:r>
      <w:r w:rsidRPr="00CB6F9C">
        <w:t xml:space="preserve"> (BP, 2021). However, China's energy mix is slowly shifting towards cleaner sources, with non-fossil fuels accounting for 28.2% of primary energy consumption in 2021, up from 27.8% in 2020 (see Figure 1). Hence, understanding China's energy landscape and policies related to fossil fuels </w:t>
      </w:r>
      <w:r>
        <w:t xml:space="preserve">is crucial to </w:t>
      </w:r>
      <w:r w:rsidRPr="00CB6F9C">
        <w:t>global efforts to</w:t>
      </w:r>
      <w:r>
        <w:t xml:space="preserve"> combat</w:t>
      </w:r>
      <w:r w:rsidRPr="00CB6F9C">
        <w:t xml:space="preserve"> climate change and transition to cleaner energy sources.</w:t>
      </w:r>
    </w:p>
    <w:p w14:paraId="35164D64" w14:textId="77777777" w:rsidR="007A39EB" w:rsidRPr="00CB6F9C" w:rsidRDefault="007A39EB" w:rsidP="007A39EB">
      <w:pPr>
        <w:spacing w:before="100" w:beforeAutospacing="1" w:after="100" w:afterAutospacing="1"/>
        <w:ind w:firstLine="720"/>
      </w:pPr>
      <w:r w:rsidRPr="00CB6F9C">
        <w:t xml:space="preserve">Fourth, China's energy mix is complex and </w:t>
      </w:r>
      <w:r>
        <w:t xml:space="preserve">transforming the energy sector </w:t>
      </w:r>
      <w:r w:rsidRPr="00CB6F9C">
        <w:t xml:space="preserve">involves a multitude of factors, including government policies, market forces, technological developments, and social and cultural attitudes towards energy use. While </w:t>
      </w:r>
      <w:r w:rsidRPr="00461624">
        <w:t>China has made noteworthy strides in boosting the proportion of renewable energy sources in its energy portfolio</w:t>
      </w:r>
      <w:r w:rsidRPr="00CB6F9C">
        <w:t xml:space="preserve">, it still relies heavily on fossil fuels, particularly coal, for electricity generation. One key challenge in China's energy transition is the need to balance economic growth with environmental sustainability (Zhou et al., 2019; Yang et al., 2021). </w:t>
      </w:r>
      <w:r w:rsidRPr="00461624">
        <w:t>China's explosive economic growth in recent decades has led to a massive surge in energy consumption</w:t>
      </w:r>
      <w:r w:rsidRPr="00CB6F9C">
        <w:t xml:space="preserve">, which has largely been met through the expansion of coal-fired power plants. However, this has also led to severe air pollution, which has become a major public health concern in many parts of the country (e.g., Beijing, and Taiyuan) (Li et al., 2014; </w:t>
      </w:r>
      <w:proofErr w:type="spellStart"/>
      <w:r w:rsidRPr="00CB6F9C">
        <w:t>Lv</w:t>
      </w:r>
      <w:proofErr w:type="spellEnd"/>
      <w:r w:rsidRPr="00CB6F9C">
        <w:t xml:space="preserve"> et al., 2019). In response, the Chinese government has implemented a range of policies to promote cleaner energy sources and reduce </w:t>
      </w:r>
      <w:r w:rsidRPr="00CB6F9C">
        <w:lastRenderedPageBreak/>
        <w:t xml:space="preserve">emissions, including setting ambitious targets for renewable energy adoption and imposing stricter emissions standards for coal-fired power plants. Another factor shaping China's energy transition is the country's efforts to promote energy security and reduce its dependence on foreign oil and gas imports (He and Shen, 2017). China has significant reserves of coal, oil, and natural gas, and has traditionally relied on these resources to meet its energy needs. However, as </w:t>
      </w:r>
      <w:r>
        <w:t xml:space="preserve">the </w:t>
      </w:r>
      <w:r w:rsidRPr="00CB6F9C">
        <w:t>global demand for oil and gas continues to rise and prices become increasingly volatile</w:t>
      </w:r>
      <w:r>
        <w:t xml:space="preserve"> </w:t>
      </w:r>
      <w:r w:rsidRPr="00DC668F">
        <w:rPr>
          <w:color w:val="FF0000"/>
        </w:rPr>
        <w:t>(Naeem et al., 2022)</w:t>
      </w:r>
      <w:r w:rsidRPr="00CB6F9C">
        <w:t xml:space="preserve">, </w:t>
      </w:r>
      <w:r w:rsidRPr="00461624">
        <w:t>China has broaden</w:t>
      </w:r>
      <w:r>
        <w:t xml:space="preserve">ed </w:t>
      </w:r>
      <w:r w:rsidRPr="00461624">
        <w:t>its energy sources to decrease its reliance on imported non-renewable fuels</w:t>
      </w:r>
      <w:r>
        <w:t xml:space="preserve">. </w:t>
      </w:r>
      <w:r w:rsidRPr="00A80512">
        <w:t>Thus, wind, solar, and hydropower have become more prominent domestic sources of renewable energy.</w:t>
      </w:r>
      <w:r>
        <w:t xml:space="preserve"> </w:t>
      </w:r>
      <w:proofErr w:type="gramStart"/>
      <w:r w:rsidRPr="00461624">
        <w:t>In spite of</w:t>
      </w:r>
      <w:proofErr w:type="gramEnd"/>
      <w:r w:rsidRPr="00461624">
        <w:t xml:space="preserve"> these endeavors, China's energy transition continues to confront </w:t>
      </w:r>
      <w:r>
        <w:t xml:space="preserve">significant </w:t>
      </w:r>
      <w:r w:rsidRPr="00461624">
        <w:t xml:space="preserve">obstacles. One major challenge is the intermittent nature of renewable energy sources such as wind and solar, which can impede their integration into the power grid and lead to problems with grid reliability and </w:t>
      </w:r>
      <w:r>
        <w:t xml:space="preserve">energy </w:t>
      </w:r>
      <w:r w:rsidRPr="00461624">
        <w:t>reduction.</w:t>
      </w:r>
      <w:r w:rsidRPr="00CB6F9C">
        <w:t xml:space="preserve"> Additionally, the environmental impacts of large-scale hydropower projects, such as displacement of local communities and destruction of ecosystems, have raised concerns among environmental advocates (</w:t>
      </w:r>
      <w:proofErr w:type="spellStart"/>
      <w:r w:rsidRPr="00CB6F9C">
        <w:t>Jelti</w:t>
      </w:r>
      <w:proofErr w:type="spellEnd"/>
      <w:r w:rsidRPr="00CB6F9C">
        <w:t xml:space="preserve"> et al., 2021). Studying China's energy transition can </w:t>
      </w:r>
      <w:r>
        <w:t>yield useful perspectives on the</w:t>
      </w:r>
      <w:r w:rsidRPr="00CB6F9C">
        <w:t xml:space="preserve"> political, </w:t>
      </w:r>
      <w:proofErr w:type="gramStart"/>
      <w:r w:rsidRPr="00CB6F9C">
        <w:t>economic</w:t>
      </w:r>
      <w:proofErr w:type="gramEnd"/>
      <w:r w:rsidRPr="00CB6F9C">
        <w:t xml:space="preserve"> and social factors that shape energy policy and influence the deployment of different energy technologies. By understanding the complex and evolving nature of China's energy mix, researchers and policymakers can develop more effective strategies for promoting renewable energy adoption and reducing greenhouse gas emissions, both in China and around the world.</w:t>
      </w:r>
    </w:p>
    <w:p w14:paraId="33A3D78F" w14:textId="77777777" w:rsidR="007A39EB" w:rsidRDefault="007A39EB" w:rsidP="007A39EB">
      <w:pPr>
        <w:spacing w:after="160" w:line="259" w:lineRule="auto"/>
        <w:jc w:val="left"/>
        <w:rPr>
          <w:rFonts w:asciiTheme="majorBidi" w:hAnsiTheme="majorBidi" w:cstheme="majorBidi"/>
          <w:b/>
          <w:bCs/>
          <w:iCs/>
          <w:szCs w:val="24"/>
        </w:rPr>
      </w:pPr>
      <w:r>
        <w:br w:type="page"/>
      </w:r>
    </w:p>
    <w:p w14:paraId="2F9167CF" w14:textId="77777777" w:rsidR="007A39EB" w:rsidRPr="00CB6F9C" w:rsidRDefault="007A39EB" w:rsidP="007A39EB">
      <w:pPr>
        <w:pStyle w:val="Heading2"/>
        <w:tabs>
          <w:tab w:val="left" w:pos="860"/>
        </w:tabs>
        <w:spacing w:before="100" w:beforeAutospacing="1" w:after="100" w:afterAutospacing="1"/>
      </w:pPr>
      <w:r w:rsidRPr="00CB6F9C">
        <w:lastRenderedPageBreak/>
        <w:t>2.2 Theories and hypotheses on Air Pollution and Renewable Energy Usage</w:t>
      </w:r>
    </w:p>
    <w:p w14:paraId="78484863" w14:textId="77777777" w:rsidR="007A39EB" w:rsidRPr="00CB6F9C" w:rsidRDefault="007A39EB" w:rsidP="007A39EB">
      <w:pPr>
        <w:spacing w:before="100" w:beforeAutospacing="1" w:after="100" w:afterAutospacing="1"/>
      </w:pPr>
      <w:r w:rsidRPr="00CB6F9C">
        <w:t xml:space="preserve">There are four prominent theories (e.g., Environmental Kuznets Curve theory, the Pollution Haven Hypothesis, the Porter Hypothesis, and Energy Efficiency Paradox theory) that provide </w:t>
      </w:r>
      <w:r>
        <w:t xml:space="preserve">a </w:t>
      </w:r>
      <w:r w:rsidRPr="00CB6F9C">
        <w:t>framework for understanding the relationship between air pollution and renewable energy usage, elucidating factors that drive changes in pollution levels over time.</w:t>
      </w:r>
    </w:p>
    <w:p w14:paraId="080DF627" w14:textId="77777777" w:rsidR="007A39EB" w:rsidRPr="00CB6F9C" w:rsidRDefault="007A39EB" w:rsidP="007A39EB">
      <w:pPr>
        <w:pStyle w:val="Heading3"/>
        <w:spacing w:before="100" w:beforeAutospacing="1" w:after="100" w:afterAutospacing="1"/>
        <w:rPr>
          <w:color w:val="auto"/>
        </w:rPr>
      </w:pPr>
      <w:r w:rsidRPr="00CB6F9C">
        <w:rPr>
          <w:color w:val="auto"/>
        </w:rPr>
        <w:t>2.2.1 The Impacts of Economic Growth on Air Pollution and Renewable Energy Usage</w:t>
      </w:r>
    </w:p>
    <w:p w14:paraId="1AA8F722" w14:textId="77777777" w:rsidR="007A39EB" w:rsidRPr="00CB6F9C" w:rsidRDefault="007A39EB" w:rsidP="007A39EB">
      <w:pPr>
        <w:spacing w:before="100" w:beforeAutospacing="1" w:after="100" w:afterAutospacing="1"/>
      </w:pPr>
      <w:r w:rsidRPr="00CB6F9C">
        <w:rPr>
          <w:rFonts w:asciiTheme="majorBidi" w:eastAsia="SimSun" w:hAnsiTheme="majorBidi" w:cstheme="majorBidi"/>
          <w:szCs w:val="24"/>
        </w:rPr>
        <w:tab/>
      </w:r>
      <w:r w:rsidRPr="00CB6F9C">
        <w:t>The Environmental Kuznets Curve (EKC) theory posits that pollution levels initially rise as countries experience economic growth, but eventually peak and decline as higher development levels are achieved (Pan et al., 2023; Shen et al., 2023). This relationship, however, may not always hold true, as other factors</w:t>
      </w:r>
      <w:r>
        <w:t>,</w:t>
      </w:r>
      <w:r w:rsidRPr="00CB6F9C">
        <w:t xml:space="preserve"> such as income levels, </w:t>
      </w:r>
      <w:proofErr w:type="spellStart"/>
      <w:r w:rsidRPr="00CB6F9C">
        <w:t>industriali</w:t>
      </w:r>
      <w:r>
        <w:t>s</w:t>
      </w:r>
      <w:r w:rsidRPr="00CB6F9C">
        <w:t>ation</w:t>
      </w:r>
      <w:proofErr w:type="spellEnd"/>
      <w:r w:rsidRPr="00CB6F9C">
        <w:t xml:space="preserve"> and </w:t>
      </w:r>
      <w:proofErr w:type="spellStart"/>
      <w:r w:rsidRPr="00CB6F9C">
        <w:t>urbani</w:t>
      </w:r>
      <w:r>
        <w:t>s</w:t>
      </w:r>
      <w:r w:rsidRPr="00CB6F9C">
        <w:t>ation</w:t>
      </w:r>
      <w:proofErr w:type="spellEnd"/>
      <w:r w:rsidRPr="00CB6F9C">
        <w:t xml:space="preserve"> can impact pollution levels. For example, European countries have generally adopted more stringent environmental regulations, driven by higher income levels, public demand, and regional coordination through the European Union (</w:t>
      </w:r>
      <w:proofErr w:type="spellStart"/>
      <w:r w:rsidRPr="00CB6F9C">
        <w:t>Doğan</w:t>
      </w:r>
      <w:proofErr w:type="spellEnd"/>
      <w:r w:rsidRPr="00CB6F9C">
        <w:t xml:space="preserve"> et al., 2020; </w:t>
      </w:r>
      <w:proofErr w:type="spellStart"/>
      <w:r w:rsidRPr="00CB6F9C">
        <w:t>Halkos</w:t>
      </w:r>
      <w:proofErr w:type="spellEnd"/>
      <w:r w:rsidRPr="00CB6F9C">
        <w:t xml:space="preserve"> and </w:t>
      </w:r>
      <w:proofErr w:type="spellStart"/>
      <w:r w:rsidRPr="00CB6F9C">
        <w:t>Tsilika</w:t>
      </w:r>
      <w:proofErr w:type="spellEnd"/>
      <w:r w:rsidRPr="00CB6F9C">
        <w:t xml:space="preserve">, 2019; Pham et al., 2020; Saint </w:t>
      </w:r>
      <w:proofErr w:type="spellStart"/>
      <w:r w:rsidRPr="00CB6F9C">
        <w:t>Akadiri</w:t>
      </w:r>
      <w:proofErr w:type="spellEnd"/>
      <w:r w:rsidRPr="00CB6F9C">
        <w:t xml:space="preserve"> et al., 2019). These factors have contributed to a more advanced stage on the EKC curve, where pollution levels have started to decline with increased development. As an example, in a study conducted by Saint </w:t>
      </w:r>
      <w:proofErr w:type="spellStart"/>
      <w:r w:rsidRPr="00CB6F9C">
        <w:t>Akadiri</w:t>
      </w:r>
      <w:proofErr w:type="spellEnd"/>
      <w:r w:rsidRPr="00CB6F9C">
        <w:t xml:space="preserve"> et al. (2019) on renewable energy sources across the 28 member states of the EU from 1995 to 2015, the correlation between macroeconomic indicators and the feasibility of achieving long-term environmental sustainability</w:t>
      </w:r>
      <w:r>
        <w:t xml:space="preserve"> was explored</w:t>
      </w:r>
      <w:r w:rsidRPr="00CB6F9C">
        <w:t xml:space="preserve">. Their findings </w:t>
      </w:r>
      <w:r>
        <w:t xml:space="preserve">show </w:t>
      </w:r>
      <w:r w:rsidRPr="00CB6F9C">
        <w:t xml:space="preserve">a long-term bidirectional causal relationship between economic growth and the adoption of renewable energy, indicating that the use of renewable energy could potentially mitigate environmental pollution sustainably. In contrast, China's position on the EKC curve is more ambiguous, as its rapid economic growth has been accompanied by severe air pollution </w:t>
      </w:r>
      <w:r>
        <w:t>levels</w:t>
      </w:r>
      <w:r w:rsidRPr="00CB6F9C">
        <w:t xml:space="preserve">. However, </w:t>
      </w:r>
      <w:r>
        <w:t xml:space="preserve">the introduction of </w:t>
      </w:r>
      <w:r w:rsidRPr="00CB6F9C">
        <w:t xml:space="preserve">recent government policies, such as </w:t>
      </w:r>
      <w:r>
        <w:t xml:space="preserve">the </w:t>
      </w:r>
      <w:r w:rsidRPr="00CB6F9C">
        <w:t xml:space="preserve">Renewable Energy Law 2006, </w:t>
      </w:r>
      <w:r>
        <w:t xml:space="preserve">the </w:t>
      </w:r>
      <w:r w:rsidRPr="00CB6F9C">
        <w:t xml:space="preserve">National Renewable </w:t>
      </w:r>
      <w:r w:rsidRPr="00CB6F9C">
        <w:lastRenderedPageBreak/>
        <w:t xml:space="preserve">Energy Development Plan (2016-2020), electric vehicle incentives, </w:t>
      </w:r>
      <w:r>
        <w:t xml:space="preserve">the </w:t>
      </w:r>
      <w:r w:rsidRPr="00CB6F9C">
        <w:t xml:space="preserve">green certificate trading </w:t>
      </w:r>
      <w:proofErr w:type="gramStart"/>
      <w:r w:rsidRPr="00CB6F9C">
        <w:t>system</w:t>
      </w:r>
      <w:proofErr w:type="gramEnd"/>
      <w:r w:rsidRPr="00CB6F9C">
        <w:t xml:space="preserve"> and FITs, </w:t>
      </w:r>
      <w:r>
        <w:t xml:space="preserve">encourage use of </w:t>
      </w:r>
      <w:r w:rsidRPr="00CB6F9C">
        <w:t>renewable energy and implement stricter environmental regulations (Shen et al., 2023). In a study by Yuan et al. (2015), the relationship between energy consumption, economic growth, and air pollution</w:t>
      </w:r>
      <w:r>
        <w:t>,</w:t>
      </w:r>
      <w:r w:rsidRPr="00CB6F9C">
        <w:t xml:space="preserve"> in both developed and underdeveloped regions of China</w:t>
      </w:r>
      <w:r>
        <w:t>,</w:t>
      </w:r>
      <w:r w:rsidRPr="00CB6F9C">
        <w:t xml:space="preserve"> was </w:t>
      </w:r>
      <w:proofErr w:type="spellStart"/>
      <w:r w:rsidRPr="00CB6F9C">
        <w:t>analy</w:t>
      </w:r>
      <w:r>
        <w:t>s</w:t>
      </w:r>
      <w:r w:rsidRPr="00CB6F9C">
        <w:t>ed</w:t>
      </w:r>
      <w:proofErr w:type="spellEnd"/>
      <w:r w:rsidRPr="00CB6F9C">
        <w:t>. The study revealed that economic growth has a negative impact on air pollution concentrations. Other stud</w:t>
      </w:r>
      <w:r>
        <w:t>ies</w:t>
      </w:r>
      <w:r w:rsidRPr="00CB6F9C">
        <w:t xml:space="preserve"> (e.g., Fan and Hao, 2020; Pan et al., 2023; Yuan et al., 2015) also found similar results. These policies, incentives, and research findings suggest that China may be moving towards the turning point on the EKC curve</w:t>
      </w:r>
      <w:r>
        <w:t>.</w:t>
      </w:r>
      <w:r w:rsidRPr="009718CE">
        <w:t xml:space="preserve"> </w:t>
      </w:r>
      <w:r w:rsidRPr="00EB4E09">
        <w:rPr>
          <w:color w:val="FF0000"/>
        </w:rPr>
        <w:t xml:space="preserve">This turning point signifies a decline in pollution levels as economic development increases. </w:t>
      </w:r>
    </w:p>
    <w:p w14:paraId="5F1D9955" w14:textId="77777777" w:rsidR="007A39EB" w:rsidRPr="00CB6F9C" w:rsidRDefault="007A39EB" w:rsidP="007A39EB">
      <w:pPr>
        <w:spacing w:before="100" w:beforeAutospacing="1" w:after="100" w:afterAutospacing="1"/>
        <w:ind w:firstLine="720"/>
      </w:pPr>
      <w:r>
        <w:t>T</w:t>
      </w:r>
      <w:r w:rsidRPr="00CB6F9C">
        <w:t>he Energy Efficiency Paradox theory suggests that advances in energy efficiency could result in increased energy consumption, negating pollution reduction gains. In relation to renewable energy and air pollution, we use the paradox to explore whether rising renewable energy use corresponds to reduced energy consumption and subsequent improvements in air quality (</w:t>
      </w:r>
      <w:proofErr w:type="spellStart"/>
      <w:r w:rsidRPr="00CB6F9C">
        <w:t>Eom</w:t>
      </w:r>
      <w:proofErr w:type="spellEnd"/>
      <w:r w:rsidRPr="00CB6F9C">
        <w:t xml:space="preserve"> et al., 2020; Shen et al., 2023). Furthermore, some researchers suggest that air pollutants are transregional and transnational in nature (</w:t>
      </w:r>
      <w:proofErr w:type="spellStart"/>
      <w:r w:rsidRPr="00CB6F9C">
        <w:t>Halkos</w:t>
      </w:r>
      <w:proofErr w:type="spellEnd"/>
      <w:r w:rsidRPr="00CB6F9C">
        <w:t xml:space="preserve"> and </w:t>
      </w:r>
      <w:proofErr w:type="spellStart"/>
      <w:r w:rsidRPr="00CB6F9C">
        <w:t>Tsilika</w:t>
      </w:r>
      <w:proofErr w:type="spellEnd"/>
      <w:r w:rsidRPr="00CB6F9C">
        <w:t>, 2019; Zhu et al., 2020). Zhu et al. (2020) provide</w:t>
      </w:r>
      <w:r>
        <w:t>d</w:t>
      </w:r>
      <w:r w:rsidRPr="00CB6F9C">
        <w:t xml:space="preserve"> a detailed analysis of renewable energy and air pollution across 31 Chinese provinces between 2011 and 2017 and conclude</w:t>
      </w:r>
      <w:r>
        <w:t>d</w:t>
      </w:r>
      <w:r w:rsidRPr="00CB6F9C">
        <w:t xml:space="preserve"> that regional policymakers should consider the spatial distribution of renewable energy resources in China. Furthermore, </w:t>
      </w:r>
      <w:proofErr w:type="spellStart"/>
      <w:r w:rsidRPr="00CB6F9C">
        <w:t>Halkos</w:t>
      </w:r>
      <w:proofErr w:type="spellEnd"/>
      <w:r w:rsidRPr="00CB6F9C">
        <w:t xml:space="preserve"> and </w:t>
      </w:r>
      <w:proofErr w:type="spellStart"/>
      <w:r w:rsidRPr="00CB6F9C">
        <w:t>Tsilika</w:t>
      </w:r>
      <w:proofErr w:type="spellEnd"/>
      <w:r w:rsidRPr="00CB6F9C">
        <w:t xml:space="preserve"> (2019)</w:t>
      </w:r>
      <w:r>
        <w:t xml:space="preserve">, </w:t>
      </w:r>
      <w:r w:rsidRPr="00CB6F9C">
        <w:t>based on an analysis of 49 countries</w:t>
      </w:r>
      <w:r>
        <w:t>,</w:t>
      </w:r>
      <w:r w:rsidRPr="00CB6F9C">
        <w:t xml:space="preserve"> assert</w:t>
      </w:r>
      <w:r>
        <w:t>ed</w:t>
      </w:r>
      <w:r w:rsidRPr="00CB6F9C">
        <w:t xml:space="preserve"> that transboundary air pollution systems that comprise source and receptor are interconnected. Therefore, air pollutants may be transported from one country to another. Also, it is crucial to account for potential rebound effects and the influence of broader consumption patterns. For example, as China shifts towards a service-based economy, the demand for energy-intensive industries may decrease, but the demand for energy-intensive services (e.g., air conditioning and transportation) may increase, leading to increased energy consumption and negating any gains in reducing </w:t>
      </w:r>
      <w:r w:rsidRPr="00CB6F9C">
        <w:lastRenderedPageBreak/>
        <w:t xml:space="preserve">pollution (Yuan et al., 2015). According to </w:t>
      </w:r>
      <w:proofErr w:type="spellStart"/>
      <w:r w:rsidRPr="00CB6F9C">
        <w:t>Jelti</w:t>
      </w:r>
      <w:proofErr w:type="spellEnd"/>
      <w:r w:rsidRPr="00CB6F9C">
        <w:t xml:space="preserve"> et al. (2021), cleaner fuels are more efficient in producing low levels of PM10 and PM2.5 emissions than non-renewable fuels. Additionally, Li et al. (2021) argue</w:t>
      </w:r>
      <w:r>
        <w:t>d</w:t>
      </w:r>
      <w:r w:rsidRPr="00CB6F9C">
        <w:t xml:space="preserve"> that as China's economy grows, its increasing demand for resources and energy could influence consumption patterns in other countries due to its role as the world’s largest producer and consumer of goods. Countries like the US, Japan, Australia, and those in Asia</w:t>
      </w:r>
      <w:r>
        <w:t>,</w:t>
      </w:r>
      <w:r w:rsidRPr="00CB6F9C">
        <w:t xml:space="preserve"> rely on China as a source of raw materials and finished goods. Changes in China's energy consumption patterns and resource use can have ripple effects on the global economy and environment. As a major player in international climate negotiations and a growing investor in overseas renewable energy projects, the economic growth of China could influence the energy consumption and resource use of other countries that rely on Chinese imports, such as India, Indonesia, Europe, and North America (Fan and Hao, 2020; Li and </w:t>
      </w:r>
      <w:proofErr w:type="spellStart"/>
      <w:r w:rsidRPr="00CB6F9C">
        <w:t>Taeihagh</w:t>
      </w:r>
      <w:proofErr w:type="spellEnd"/>
      <w:r w:rsidRPr="00CB6F9C">
        <w:t xml:space="preserve">, 2020). Thus, we </w:t>
      </w:r>
      <w:proofErr w:type="spellStart"/>
      <w:r w:rsidRPr="00CB6F9C">
        <w:t>hypothesi</w:t>
      </w:r>
      <w:r>
        <w:t>s</w:t>
      </w:r>
      <w:r w:rsidRPr="00CB6F9C">
        <w:t>e</w:t>
      </w:r>
      <w:proofErr w:type="spellEnd"/>
      <w:r w:rsidRPr="00CB6F9C">
        <w:t>:</w:t>
      </w:r>
    </w:p>
    <w:p w14:paraId="0D9044BF" w14:textId="4A255015" w:rsidR="007A39EB" w:rsidRPr="00CB6F9C" w:rsidRDefault="007A39EB" w:rsidP="007A39EB">
      <w:pPr>
        <w:spacing w:before="100" w:beforeAutospacing="1" w:after="100" w:afterAutospacing="1"/>
      </w:pPr>
      <w:r w:rsidRPr="5C1704F5">
        <w:rPr>
          <w:b/>
          <w:bCs/>
        </w:rPr>
        <w:t>H1</w:t>
      </w:r>
      <w:r>
        <w:t xml:space="preserve">: </w:t>
      </w:r>
      <w:r w:rsidRPr="5C1704F5">
        <w:rPr>
          <w:rFonts w:eastAsia="Times New Roman" w:cs="Times New Roman"/>
          <w:szCs w:val="24"/>
        </w:rPr>
        <w:t>As China's economy grows, there is a negative relationship between the use of renewable energy and the level of air pollution.</w:t>
      </w:r>
    </w:p>
    <w:p w14:paraId="72AA1851" w14:textId="77777777" w:rsidR="007A39EB" w:rsidRPr="00CB6F9C" w:rsidRDefault="007A39EB" w:rsidP="007A39EB">
      <w:pPr>
        <w:spacing w:before="100" w:beforeAutospacing="1" w:after="100" w:afterAutospacing="1"/>
      </w:pPr>
    </w:p>
    <w:p w14:paraId="0273DFD4" w14:textId="77777777" w:rsidR="007A39EB" w:rsidRPr="00CB6F9C" w:rsidRDefault="007A39EB" w:rsidP="007A39EB">
      <w:pPr>
        <w:pStyle w:val="Heading3"/>
        <w:spacing w:before="100" w:beforeAutospacing="1" w:after="100" w:afterAutospacing="1"/>
        <w:rPr>
          <w:color w:val="auto"/>
        </w:rPr>
      </w:pPr>
      <w:r w:rsidRPr="00CB6F9C">
        <w:rPr>
          <w:color w:val="auto"/>
        </w:rPr>
        <w:t>2.2.2 The Impacts of Environmental Regulations on Air Pollution and Renewable Energy Usage</w:t>
      </w:r>
    </w:p>
    <w:p w14:paraId="325E79FE" w14:textId="77777777" w:rsidR="007A39EB" w:rsidRPr="00CB6F9C" w:rsidRDefault="007A39EB" w:rsidP="007A39EB">
      <w:pPr>
        <w:spacing w:before="100" w:beforeAutospacing="1" w:after="100" w:afterAutospacing="1"/>
        <w:ind w:firstLine="720"/>
      </w:pPr>
      <w:r w:rsidRPr="00CB6F9C">
        <w:t>The Pollution Haven Hypothesis suggests that countries with</w:t>
      </w:r>
      <w:r>
        <w:t>out</w:t>
      </w:r>
      <w:r w:rsidRPr="00CB6F9C">
        <w:t xml:space="preserve"> </w:t>
      </w:r>
      <w:r>
        <w:t xml:space="preserve">stringent </w:t>
      </w:r>
      <w:r w:rsidRPr="00CB6F9C">
        <w:t xml:space="preserve">environmental regulations often attract </w:t>
      </w:r>
      <w:r>
        <w:t xml:space="preserve">industries with higher </w:t>
      </w:r>
      <w:r w:rsidRPr="00CB6F9C">
        <w:t>polluti</w:t>
      </w:r>
      <w:r>
        <w:t>on output</w:t>
      </w:r>
      <w:r w:rsidRPr="00CB6F9C">
        <w:t xml:space="preserve">, </w:t>
      </w:r>
      <w:r>
        <w:t xml:space="preserve">ultimately </w:t>
      </w:r>
      <w:r w:rsidRPr="00CB6F9C">
        <w:t xml:space="preserve">leading to higher pollution levels. This hypothesis implies that environmental regulations can have a negative impact on a country's economic competitiveness by driving away industries that generate pollution (Liu et al., 2023; Wang et al., 2019). It is crucial to </w:t>
      </w:r>
      <w:proofErr w:type="spellStart"/>
      <w:r w:rsidRPr="00CB6F9C">
        <w:t>recogni</w:t>
      </w:r>
      <w:r>
        <w:t>s</w:t>
      </w:r>
      <w:r w:rsidRPr="00CB6F9C">
        <w:t>e</w:t>
      </w:r>
      <w:proofErr w:type="spellEnd"/>
      <w:r w:rsidRPr="00CB6F9C">
        <w:t xml:space="preserve"> the intricate interplay of economic and political factors </w:t>
      </w:r>
      <w:r w:rsidRPr="00A14A44">
        <w:rPr>
          <w:color w:val="FF0000"/>
        </w:rPr>
        <w:t xml:space="preserve">that may impact the relationship between </w:t>
      </w:r>
      <w:r w:rsidRPr="00A14A44">
        <w:rPr>
          <w:color w:val="FF0000"/>
        </w:rPr>
        <w:lastRenderedPageBreak/>
        <w:t xml:space="preserve">renewable and non-renewable energy sources and air pollution. </w:t>
      </w:r>
      <w:r w:rsidRPr="00CB6F9C">
        <w:t>China</w:t>
      </w:r>
      <w:r>
        <w:t>’s</w:t>
      </w:r>
      <w:r w:rsidRPr="00CB6F9C">
        <w:t xml:space="preserve"> rapid economic growth and </w:t>
      </w:r>
      <w:proofErr w:type="spellStart"/>
      <w:r w:rsidRPr="00CB6F9C">
        <w:t>industriali</w:t>
      </w:r>
      <w:r>
        <w:t>s</w:t>
      </w:r>
      <w:r w:rsidRPr="00CB6F9C">
        <w:t>ation</w:t>
      </w:r>
      <w:proofErr w:type="spellEnd"/>
      <w:r>
        <w:t xml:space="preserve"> </w:t>
      </w:r>
      <w:r w:rsidRPr="00CB6F9C">
        <w:t>has led to increased pollution levels (</w:t>
      </w:r>
      <w:proofErr w:type="spellStart"/>
      <w:r w:rsidRPr="00CB6F9C">
        <w:t>Ao</w:t>
      </w:r>
      <w:proofErr w:type="spellEnd"/>
      <w:r w:rsidRPr="00CB6F9C">
        <w:t xml:space="preserve"> et al., 2023; Lu et al., 2020). </w:t>
      </w:r>
      <w:r>
        <w:t xml:space="preserve">Their </w:t>
      </w:r>
      <w:r w:rsidRPr="00CB6F9C">
        <w:t xml:space="preserve">relatively lax environmental regulations have </w:t>
      </w:r>
      <w:r>
        <w:t xml:space="preserve">historically </w:t>
      </w:r>
      <w:r w:rsidRPr="00CB6F9C">
        <w:t xml:space="preserve">attracted industries that were more </w:t>
      </w:r>
      <w:r>
        <w:t xml:space="preserve">heavily </w:t>
      </w:r>
      <w:r w:rsidRPr="00CB6F9C">
        <w:t xml:space="preserve">polluting, such as the automobile industry (e.g., General Motors, Volkswagen, and Toyota), and companies including Apple, Microsoft, and Intel, both domestically and from overseas, </w:t>
      </w:r>
      <w:r>
        <w:t xml:space="preserve">who were </w:t>
      </w:r>
      <w:r w:rsidRPr="00CB6F9C">
        <w:t>seeking to reduce their production costs. This ha</w:t>
      </w:r>
      <w:r>
        <w:t>s</w:t>
      </w:r>
      <w:r w:rsidRPr="00CB6F9C">
        <w:t xml:space="preserve"> </w:t>
      </w:r>
      <w:r>
        <w:t xml:space="preserve">inevitably </w:t>
      </w:r>
      <w:r w:rsidRPr="00CB6F9C">
        <w:t xml:space="preserve">contributed to China becoming a pollution haven, resulting in severe environmental </w:t>
      </w:r>
      <w:r>
        <w:t>consequences</w:t>
      </w:r>
      <w:r w:rsidRPr="00CB6F9C">
        <w:t xml:space="preserve"> </w:t>
      </w:r>
      <w:r>
        <w:t xml:space="preserve">including </w:t>
      </w:r>
      <w:r w:rsidRPr="00CB6F9C">
        <w:t xml:space="preserve">air and water pollution (Li and </w:t>
      </w:r>
      <w:proofErr w:type="spellStart"/>
      <w:r w:rsidRPr="00CB6F9C">
        <w:t>Taeihagh</w:t>
      </w:r>
      <w:proofErr w:type="spellEnd"/>
      <w:r w:rsidRPr="00CB6F9C">
        <w:t xml:space="preserve">, 2020). However, as China shifts towards cleaner industries and </w:t>
      </w:r>
      <w:proofErr w:type="spellStart"/>
      <w:r w:rsidRPr="00CB6F9C">
        <w:t>recogni</w:t>
      </w:r>
      <w:r>
        <w:t>s</w:t>
      </w:r>
      <w:r w:rsidRPr="00CB6F9C">
        <w:t>es</w:t>
      </w:r>
      <w:proofErr w:type="spellEnd"/>
      <w:r w:rsidRPr="00CB6F9C">
        <w:t xml:space="preserve"> the importance of sustainable development, it has implemented more stringent environmental regulations, including the 2018 Environmental Protection Tax Law, the 2018 Blue Sky Protection Campaign, and the 2015 Water Pollution Prevention and Control Action Plan. These regulations </w:t>
      </w:r>
      <w:r>
        <w:t xml:space="preserve">are intended </w:t>
      </w:r>
      <w:r w:rsidRPr="00CB6F9C">
        <w:t>to curb pollution levels and promote sustainable development in the country. Zhu et al. (2020) suggest</w:t>
      </w:r>
      <w:r>
        <w:t>ed</w:t>
      </w:r>
      <w:r w:rsidRPr="00CB6F9C">
        <w:t xml:space="preserve"> that China's policymakers must </w:t>
      </w:r>
      <w:proofErr w:type="gramStart"/>
      <w:r w:rsidRPr="00CB6F9C">
        <w:t>take into account</w:t>
      </w:r>
      <w:proofErr w:type="gramEnd"/>
      <w:r w:rsidRPr="00CB6F9C">
        <w:t xml:space="preserve"> the spatial distribution of renewable energy resources in different regions, which can vary considerably, to promote cleaner energy sources and combat pollution effectively. Lu et al. (2020) argue</w:t>
      </w:r>
      <w:r>
        <w:t>d</w:t>
      </w:r>
      <w:r w:rsidRPr="00CB6F9C">
        <w:t xml:space="preserve"> that the use of renewable energy can improve air quality management in China through the support of central to local authorities. As a result, some heavily polluting industries (e.g., cement factories</w:t>
      </w:r>
      <w:r>
        <w:t>,</w:t>
      </w:r>
      <w:r w:rsidRPr="00CB6F9C">
        <w:t xml:space="preserve"> coal-fired power plants,</w:t>
      </w:r>
      <w:r>
        <w:t xml:space="preserve"> and</w:t>
      </w:r>
      <w:r w:rsidRPr="00CB6F9C">
        <w:t xml:space="preserve"> steel mills) have been </w:t>
      </w:r>
      <w:proofErr w:type="gramStart"/>
      <w:r w:rsidRPr="00CB6F9C">
        <w:t>closed down</w:t>
      </w:r>
      <w:proofErr w:type="gramEnd"/>
      <w:r w:rsidRPr="00CB6F9C">
        <w:t xml:space="preserve"> while cleaner technologies have been promoted (e.g., renewable energy sources and electric vehicles) (Wang et al., 2019). </w:t>
      </w:r>
      <w:r>
        <w:t>The risk is that</w:t>
      </w:r>
      <w:r w:rsidRPr="00CB6F9C">
        <w:t xml:space="preserve"> this may cause some of these polluting industries </w:t>
      </w:r>
      <w:r>
        <w:t xml:space="preserve">to </w:t>
      </w:r>
      <w:r w:rsidRPr="00CB6F9C">
        <w:t xml:space="preserve">relocate to other countries (e.g., Vietnam, </w:t>
      </w:r>
      <w:proofErr w:type="gramStart"/>
      <w:r w:rsidRPr="00CB6F9C">
        <w:t>Bangladesh</w:t>
      </w:r>
      <w:proofErr w:type="gramEnd"/>
      <w:r w:rsidRPr="00CB6F9C">
        <w:t xml:space="preserve"> and Indonesia) </w:t>
      </w:r>
      <w:r>
        <w:t xml:space="preserve">where there are </w:t>
      </w:r>
      <w:r w:rsidRPr="00CB6F9C">
        <w:t>more relaxed regulations, thus perpetuating the pollution haven effect.</w:t>
      </w:r>
    </w:p>
    <w:p w14:paraId="6D7AE508" w14:textId="77777777" w:rsidR="007A39EB" w:rsidRPr="00CB6F9C" w:rsidRDefault="007A39EB" w:rsidP="007A39EB">
      <w:pPr>
        <w:spacing w:before="100" w:beforeAutospacing="1" w:after="100" w:afterAutospacing="1"/>
        <w:ind w:firstLine="720"/>
      </w:pPr>
      <w:r w:rsidRPr="00CB6F9C">
        <w:t xml:space="preserve">In contrast, the Porter Hypothesis suggests that environmental regulations can enhance competitiveness and promote innovation. Stricter regulations can drive companies to invest in research and development for more efficient and cleaner production processes. As China </w:t>
      </w:r>
      <w:r w:rsidRPr="00CB6F9C">
        <w:lastRenderedPageBreak/>
        <w:t xml:space="preserve">enforces more stringent environmental regulations, this could drive innovation and competitiveness in the Chinese market. According to Liu et al. (2023) and Wang et al. (2019), companies in China are investing in research and development for cleaner production methods and adopting sustainable practices, leading to the growth of renewable energy, electric vehicle manufacturing, and other green industries (e.g., ecological tourism, green </w:t>
      </w:r>
      <w:proofErr w:type="gramStart"/>
      <w:r w:rsidRPr="00CB6F9C">
        <w:t>building</w:t>
      </w:r>
      <w:proofErr w:type="gramEnd"/>
      <w:r w:rsidRPr="00CB6F9C">
        <w:t xml:space="preserve"> and construction materials). China's commitment to international climate agreements, such as the Paris Agreement, and agreements from COP27, further encourages the adoption of cleaner technologies and a low-carbon economy (Chien et al., 2021; Lin and Zhu, 2019; Zhu et al., 2020). The Porter Hypothesis suggests that China's stricter environmental regulations have the potential to stimulate innovation and enhance competitiveness in the long run, particularly </w:t>
      </w:r>
      <w:proofErr w:type="gramStart"/>
      <w:r w:rsidRPr="00CB6F9C">
        <w:t>in the area of</w:t>
      </w:r>
      <w:proofErr w:type="gramEnd"/>
      <w:r w:rsidRPr="00CB6F9C">
        <w:t xml:space="preserve"> renewable energy development and the reduction of air pollution levels. Thus, we </w:t>
      </w:r>
      <w:proofErr w:type="spellStart"/>
      <w:r w:rsidRPr="00CB6F9C">
        <w:t>hypothes</w:t>
      </w:r>
      <w:r>
        <w:t>i</w:t>
      </w:r>
      <w:r w:rsidRPr="00CB6F9C">
        <w:t>s</w:t>
      </w:r>
      <w:r>
        <w:t>e</w:t>
      </w:r>
      <w:proofErr w:type="spellEnd"/>
      <w:r w:rsidRPr="00CB6F9C">
        <w:t>:</w:t>
      </w:r>
    </w:p>
    <w:p w14:paraId="1EB159FF" w14:textId="77777777" w:rsidR="007A39EB" w:rsidRDefault="007A39EB" w:rsidP="007A39EB">
      <w:pPr>
        <w:spacing w:before="100" w:beforeAutospacing="1" w:after="100" w:afterAutospacing="1"/>
        <w:rPr>
          <w:rFonts w:asciiTheme="majorBidi" w:hAnsiTheme="majorBidi" w:cstheme="majorBidi"/>
          <w:b/>
          <w:bCs/>
          <w:szCs w:val="24"/>
        </w:rPr>
      </w:pPr>
      <w:r w:rsidRPr="00CB6F9C">
        <w:rPr>
          <w:b/>
          <w:bCs/>
        </w:rPr>
        <w:t xml:space="preserve">H2: </w:t>
      </w:r>
      <w:bookmarkStart w:id="2" w:name="_Hlk132047151"/>
      <w:r w:rsidRPr="00CB6F9C">
        <w:t xml:space="preserve">The implementation of stricter environmental regulations by the Chinese government will increase the use of renewable energy sources and </w:t>
      </w:r>
      <w:r>
        <w:t>G</w:t>
      </w:r>
      <w:r w:rsidRPr="00CB6F9C">
        <w:t>ranger-causes (reduce) air pollution levels.</w:t>
      </w:r>
      <w:bookmarkEnd w:id="2"/>
      <w:r>
        <w:br w:type="page"/>
      </w:r>
    </w:p>
    <w:p w14:paraId="14D6494E" w14:textId="77777777" w:rsidR="007A39EB" w:rsidRPr="00CB6F9C" w:rsidRDefault="007A39EB" w:rsidP="007A39EB">
      <w:pPr>
        <w:pStyle w:val="Heading1"/>
        <w:spacing w:before="100" w:beforeAutospacing="1" w:after="100" w:afterAutospacing="1"/>
      </w:pPr>
      <w:r w:rsidRPr="00CB6F9C">
        <w:lastRenderedPageBreak/>
        <w:t xml:space="preserve">3. RESEARCH DESIGN AND METHODOLOGY </w:t>
      </w:r>
    </w:p>
    <w:p w14:paraId="7BC6FB9E" w14:textId="77777777" w:rsidR="007A39EB" w:rsidRPr="00CB6F9C" w:rsidRDefault="007A39EB" w:rsidP="007A39EB">
      <w:pPr>
        <w:pStyle w:val="Heading2"/>
        <w:spacing w:before="100" w:beforeAutospacing="1" w:after="100" w:afterAutospacing="1"/>
      </w:pPr>
      <w:r w:rsidRPr="00CB6F9C">
        <w:t>3.1 Empirical Model</w:t>
      </w:r>
    </w:p>
    <w:p w14:paraId="1BAFC4C7" w14:textId="77777777" w:rsidR="007A39EB" w:rsidRPr="00043714" w:rsidRDefault="007A39EB" w:rsidP="007A39EB">
      <w:pPr>
        <w:spacing w:before="100" w:beforeAutospacing="1" w:after="100" w:afterAutospacing="1"/>
        <w:ind w:firstLine="720"/>
        <w:rPr>
          <w:rFonts w:asciiTheme="majorBidi" w:eastAsia="SimSun" w:hAnsiTheme="majorBidi" w:cstheme="majorBidi"/>
          <w:color w:val="FF0000"/>
          <w:szCs w:val="24"/>
        </w:rPr>
      </w:pPr>
      <w:r w:rsidRPr="00043714">
        <w:rPr>
          <w:rFonts w:asciiTheme="majorBidi" w:eastAsia="SimSun" w:hAnsiTheme="majorBidi" w:cstheme="majorBidi"/>
          <w:color w:val="FF0000"/>
          <w:szCs w:val="24"/>
        </w:rPr>
        <w:t xml:space="preserve">To investigate the effect of energy sources on air pollution, we employ the ARIMA (Autoregressive Integrated Moving Average) regression model as our baseline. Following Huang et al. (2019) and </w:t>
      </w:r>
      <w:proofErr w:type="spellStart"/>
      <w:r w:rsidRPr="00043714">
        <w:rPr>
          <w:rFonts w:asciiTheme="majorBidi" w:eastAsia="SimSun" w:hAnsiTheme="majorBidi" w:cstheme="majorBidi"/>
          <w:color w:val="FF0000"/>
          <w:szCs w:val="24"/>
        </w:rPr>
        <w:t>Torbat</w:t>
      </w:r>
      <w:proofErr w:type="spellEnd"/>
      <w:r w:rsidRPr="00043714">
        <w:rPr>
          <w:rFonts w:asciiTheme="majorBidi" w:eastAsia="SimSun" w:hAnsiTheme="majorBidi" w:cstheme="majorBidi"/>
          <w:color w:val="FF0000"/>
          <w:szCs w:val="24"/>
        </w:rPr>
        <w:t xml:space="preserve"> et al. (2018), we formulate Equations (1) and (2) to examine the relationship between energy sources and air pollution:</w:t>
      </w:r>
    </w:p>
    <w:p w14:paraId="411CBAD1" w14:textId="77777777" w:rsidR="007A39EB" w:rsidRPr="00CB6F9C" w:rsidRDefault="00000000" w:rsidP="007A39EB">
      <w:pPr>
        <w:spacing w:before="100" w:beforeAutospacing="1" w:after="100" w:afterAutospacing="1"/>
        <w:ind w:leftChars="258" w:left="1185" w:hangingChars="236" w:hanging="566"/>
        <w:jc w:val="right"/>
        <w:rPr>
          <w:rFonts w:asciiTheme="majorBidi" w:eastAsia="SimSun" w:hAnsiTheme="majorBidi" w:cstheme="majorBidi"/>
          <w:szCs w:val="24"/>
        </w:rPr>
      </w:pPr>
      <m:oMath>
        <m:sSub>
          <m:sSubPr>
            <m:ctrlPr>
              <w:rPr>
                <w:rFonts w:ascii="Cambria Math" w:eastAsia="SimSun" w:hAnsi="Cambria Math" w:cstheme="majorBidi"/>
                <w:szCs w:val="24"/>
              </w:rPr>
            </m:ctrlPr>
          </m:sSubPr>
          <m:e>
            <m:r>
              <w:rPr>
                <w:rFonts w:ascii="Cambria Math" w:eastAsia="SimSun" w:hAnsi="Cambria Math" w:cstheme="majorBidi"/>
                <w:szCs w:val="24"/>
              </w:rPr>
              <m:t>AirPollution</m:t>
            </m:r>
          </m:e>
          <m:sub>
            <m:r>
              <m:rPr>
                <m:sty m:val="p"/>
              </m:rPr>
              <w:rPr>
                <w:rFonts w:ascii="Cambria Math" w:eastAsia="SimSun" w:hAnsi="Cambria Math" w:cstheme="majorBidi"/>
                <w:szCs w:val="24"/>
              </w:rPr>
              <m:t xml:space="preserve"> </m:t>
            </m:r>
            <m:r>
              <w:rPr>
                <w:rFonts w:ascii="Cambria Math" w:eastAsia="SimSun" w:hAnsi="Cambria Math" w:cstheme="majorBidi"/>
                <w:szCs w:val="24"/>
              </w:rPr>
              <m:t>t</m:t>
            </m:r>
          </m:sub>
        </m:sSub>
        <m:r>
          <m:rPr>
            <m:sty m:val="p"/>
          </m:rP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β</m:t>
            </m:r>
          </m:e>
          <m:sub>
            <m:r>
              <m:rPr>
                <m:sty m:val="p"/>
              </m:rPr>
              <w:rPr>
                <w:rFonts w:ascii="Cambria Math" w:eastAsia="SimSun" w:hAnsi="Cambria Math" w:cstheme="majorBidi"/>
                <w:szCs w:val="24"/>
              </w:rPr>
              <m:t>0</m:t>
            </m:r>
          </m:sub>
        </m:sSub>
        <m:r>
          <m:rPr>
            <m:sty m:val="p"/>
          </m:rP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β</m:t>
            </m:r>
          </m:e>
          <m:sub>
            <m:r>
              <m:rPr>
                <m:sty m:val="p"/>
              </m:rPr>
              <w:rPr>
                <w:rFonts w:ascii="Cambria Math" w:eastAsia="SimSun" w:hAnsi="Cambria Math" w:cstheme="majorBidi"/>
                <w:szCs w:val="24"/>
              </w:rPr>
              <m:t>1</m:t>
            </m:r>
          </m:sub>
        </m:sSub>
        <m:sSub>
          <m:sSubPr>
            <m:ctrlPr>
              <w:rPr>
                <w:rFonts w:ascii="Cambria Math" w:eastAsia="SimSun" w:hAnsi="Cambria Math" w:cstheme="majorBidi"/>
                <w:szCs w:val="24"/>
              </w:rPr>
            </m:ctrlPr>
          </m:sSubPr>
          <m:e>
            <m:r>
              <w:rPr>
                <w:rFonts w:ascii="Cambria Math" w:eastAsia="SimSun" w:hAnsi="Cambria Math" w:cstheme="majorBidi"/>
                <w:szCs w:val="24"/>
              </w:rPr>
              <m:t>Renewable</m:t>
            </m:r>
          </m:e>
          <m:sub>
            <m:r>
              <w:rPr>
                <w:rFonts w:ascii="Cambria Math" w:eastAsia="SimSun" w:hAnsi="Cambria Math" w:cstheme="majorBidi"/>
                <w:szCs w:val="24"/>
              </w:rPr>
              <m:t>t</m:t>
            </m:r>
          </m:sub>
        </m:sSub>
        <m:r>
          <m:rPr>
            <m:sty m:val="p"/>
          </m:rPr>
          <w:rPr>
            <w:rFonts w:ascii="Cambria Math" w:eastAsia="SimSun" w:hAnsi="Cambria Math" w:cstheme="majorBidi"/>
            <w:szCs w:val="24"/>
          </w:rPr>
          <m:t>+</m:t>
        </m:r>
        <m:sSup>
          <m:sSupPr>
            <m:ctrlPr>
              <w:rPr>
                <w:rFonts w:ascii="Cambria Math" w:eastAsia="SimSun" w:hAnsi="Cambria Math" w:cstheme="majorBidi"/>
                <w:szCs w:val="24"/>
              </w:rPr>
            </m:ctrlPr>
          </m:sSupPr>
          <m:e>
            <m:r>
              <w:rPr>
                <w:rFonts w:ascii="Cambria Math" w:eastAsia="SimSun" w:hAnsi="Cambria Math" w:cstheme="majorBidi"/>
                <w:szCs w:val="24"/>
              </w:rPr>
              <m:t>γ</m:t>
            </m:r>
          </m:e>
          <m:sup>
            <m:r>
              <m:rPr>
                <m:sty m:val="p"/>
              </m:rPr>
              <w:rPr>
                <w:rFonts w:ascii="Cambria Math" w:eastAsia="SimSun" w:hAnsi="Cambria Math" w:cstheme="majorBidi"/>
                <w:szCs w:val="24"/>
              </w:rPr>
              <m:t>'</m:t>
            </m:r>
          </m:sup>
        </m:sSup>
        <m:sSub>
          <m:sSubPr>
            <m:ctrlPr>
              <w:rPr>
                <w:rFonts w:ascii="Cambria Math" w:eastAsia="SimSun" w:hAnsi="Cambria Math" w:cstheme="majorBidi"/>
                <w:szCs w:val="24"/>
              </w:rPr>
            </m:ctrlPr>
          </m:sSubPr>
          <m:e>
            <m:r>
              <m:rPr>
                <m:sty m:val="p"/>
              </m:rPr>
              <w:rPr>
                <w:rFonts w:ascii="Cambria Math" w:eastAsia="SimSun" w:hAnsi="Cambria Math" w:cstheme="majorBidi"/>
                <w:szCs w:val="24"/>
              </w:rPr>
              <m:t xml:space="preserve"> </m:t>
            </m:r>
            <m:r>
              <w:rPr>
                <w:rFonts w:ascii="Cambria Math" w:eastAsia="SimSun" w:hAnsi="Cambria Math" w:cstheme="majorBidi"/>
                <w:szCs w:val="24"/>
              </w:rPr>
              <m:t>Controls</m:t>
            </m:r>
          </m:e>
          <m:sub>
            <m:r>
              <w:rPr>
                <w:rFonts w:ascii="Cambria Math" w:eastAsia="SimSun" w:hAnsi="Cambria Math" w:cstheme="majorBidi"/>
                <w:szCs w:val="24"/>
              </w:rPr>
              <m:t>t</m:t>
            </m:r>
          </m:sub>
        </m:sSub>
        <m: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ε</m:t>
            </m:r>
          </m:e>
          <m:sub>
            <m:r>
              <w:rPr>
                <w:rFonts w:ascii="Cambria Math" w:eastAsia="SimSun" w:hAnsi="Cambria Math" w:cstheme="majorBidi"/>
                <w:szCs w:val="24"/>
              </w:rPr>
              <m:t>t</m:t>
            </m:r>
          </m:sub>
        </m:sSub>
        <m:r>
          <w:rPr>
            <w:rFonts w:ascii="Cambria Math" w:eastAsia="SimSun" w:hAnsi="Cambria Math" w:cstheme="majorBidi"/>
            <w:szCs w:val="24"/>
          </w:rPr>
          <m:t>,</m:t>
        </m:r>
      </m:oMath>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t xml:space="preserve">(1)                                                                                                  </w:t>
      </w:r>
    </w:p>
    <w:p w14:paraId="0637CA6E" w14:textId="77777777" w:rsidR="007A39EB" w:rsidRPr="00CB6F9C" w:rsidRDefault="00000000" w:rsidP="007A39EB">
      <w:pPr>
        <w:spacing w:before="100" w:beforeAutospacing="1" w:after="100" w:afterAutospacing="1"/>
        <w:ind w:leftChars="258" w:left="1185" w:hangingChars="236" w:hanging="566"/>
        <w:jc w:val="right"/>
        <w:rPr>
          <w:rFonts w:asciiTheme="majorBidi" w:eastAsia="SimSun" w:hAnsiTheme="majorBidi" w:cstheme="majorBidi"/>
          <w:szCs w:val="24"/>
        </w:rPr>
      </w:pPr>
      <m:oMath>
        <m:sSub>
          <m:sSubPr>
            <m:ctrlPr>
              <w:rPr>
                <w:rFonts w:ascii="Cambria Math" w:eastAsia="SimSun" w:hAnsi="Cambria Math" w:cstheme="majorBidi"/>
                <w:szCs w:val="24"/>
              </w:rPr>
            </m:ctrlPr>
          </m:sSubPr>
          <m:e>
            <m:r>
              <w:rPr>
                <w:rFonts w:ascii="Cambria Math" w:eastAsia="SimSun" w:hAnsi="Cambria Math" w:cstheme="majorBidi"/>
                <w:szCs w:val="24"/>
              </w:rPr>
              <m:t>AirPollution</m:t>
            </m:r>
          </m:e>
          <m:sub>
            <m:r>
              <m:rPr>
                <m:sty m:val="p"/>
              </m:rPr>
              <w:rPr>
                <w:rFonts w:ascii="Cambria Math" w:eastAsia="SimSun" w:hAnsi="Cambria Math" w:cstheme="majorBidi"/>
                <w:szCs w:val="24"/>
              </w:rPr>
              <m:t xml:space="preserve"> </m:t>
            </m:r>
            <m:r>
              <w:rPr>
                <w:rFonts w:ascii="Cambria Math" w:eastAsia="SimSun" w:hAnsi="Cambria Math" w:cstheme="majorBidi"/>
                <w:szCs w:val="24"/>
              </w:rPr>
              <m:t>t</m:t>
            </m:r>
          </m:sub>
        </m:sSub>
        <m:r>
          <m:rPr>
            <m:sty m:val="p"/>
          </m:rP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β</m:t>
            </m:r>
          </m:e>
          <m:sub>
            <m:r>
              <m:rPr>
                <m:sty m:val="p"/>
              </m:rPr>
              <w:rPr>
                <w:rFonts w:ascii="Cambria Math" w:eastAsia="SimSun" w:hAnsi="Cambria Math" w:cstheme="majorBidi"/>
                <w:szCs w:val="24"/>
              </w:rPr>
              <m:t>0</m:t>
            </m:r>
          </m:sub>
        </m:sSub>
        <m:r>
          <m:rPr>
            <m:sty m:val="p"/>
          </m:rP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β</m:t>
            </m:r>
          </m:e>
          <m:sub>
            <m:r>
              <m:rPr>
                <m:sty m:val="p"/>
              </m:rPr>
              <w:rPr>
                <w:rFonts w:ascii="Cambria Math" w:eastAsia="SimSun" w:hAnsi="Cambria Math" w:cstheme="majorBidi"/>
                <w:szCs w:val="24"/>
              </w:rPr>
              <m:t>1</m:t>
            </m:r>
          </m:sub>
        </m:sSub>
        <m:sSub>
          <m:sSubPr>
            <m:ctrlPr>
              <w:rPr>
                <w:rFonts w:ascii="Cambria Math" w:eastAsia="SimSun" w:hAnsi="Cambria Math" w:cstheme="majorBidi"/>
                <w:szCs w:val="24"/>
              </w:rPr>
            </m:ctrlPr>
          </m:sSubPr>
          <m:e>
            <m:r>
              <w:rPr>
                <w:rFonts w:ascii="Cambria Math" w:eastAsia="SimSun" w:hAnsi="Cambria Math" w:cstheme="majorBidi"/>
                <w:szCs w:val="24"/>
              </w:rPr>
              <m:t>NonRenewable</m:t>
            </m:r>
          </m:e>
          <m:sub>
            <m:r>
              <m:rPr>
                <m:sty m:val="p"/>
              </m:rPr>
              <w:rPr>
                <w:rFonts w:ascii="Cambria Math" w:eastAsia="SimSun" w:hAnsi="Cambria Math" w:cstheme="majorBidi"/>
                <w:szCs w:val="24"/>
              </w:rPr>
              <m:t xml:space="preserve"> </m:t>
            </m:r>
            <m:r>
              <w:rPr>
                <w:rFonts w:ascii="Cambria Math" w:eastAsia="SimSun" w:hAnsi="Cambria Math" w:cstheme="majorBidi"/>
                <w:szCs w:val="24"/>
              </w:rPr>
              <m:t>t</m:t>
            </m:r>
          </m:sub>
        </m:sSub>
        <m:r>
          <m:rPr>
            <m:sty m:val="p"/>
          </m:rPr>
          <w:rPr>
            <w:rFonts w:ascii="Cambria Math" w:eastAsia="SimSun" w:hAnsi="Cambria Math" w:cstheme="majorBidi"/>
            <w:szCs w:val="24"/>
          </w:rPr>
          <m:t>+</m:t>
        </m:r>
        <m:sSup>
          <m:sSupPr>
            <m:ctrlPr>
              <w:rPr>
                <w:rFonts w:ascii="Cambria Math" w:eastAsia="SimSun" w:hAnsi="Cambria Math" w:cstheme="majorBidi"/>
                <w:szCs w:val="24"/>
              </w:rPr>
            </m:ctrlPr>
          </m:sSupPr>
          <m:e>
            <m:r>
              <w:rPr>
                <w:rFonts w:ascii="Cambria Math" w:eastAsia="SimSun" w:hAnsi="Cambria Math" w:cstheme="majorBidi"/>
                <w:szCs w:val="24"/>
              </w:rPr>
              <m:t>γ</m:t>
            </m:r>
          </m:e>
          <m:sup>
            <m:r>
              <m:rPr>
                <m:sty m:val="p"/>
              </m:rPr>
              <w:rPr>
                <w:rFonts w:ascii="Cambria Math" w:eastAsia="SimSun" w:hAnsi="Cambria Math" w:cstheme="majorBidi"/>
                <w:szCs w:val="24"/>
              </w:rPr>
              <m:t>'</m:t>
            </m:r>
          </m:sup>
        </m:sSup>
        <m:sSub>
          <m:sSubPr>
            <m:ctrlPr>
              <w:rPr>
                <w:rFonts w:ascii="Cambria Math" w:eastAsia="SimSun" w:hAnsi="Cambria Math" w:cstheme="majorBidi"/>
                <w:szCs w:val="24"/>
              </w:rPr>
            </m:ctrlPr>
          </m:sSubPr>
          <m:e>
            <m:r>
              <m:rPr>
                <m:sty m:val="p"/>
              </m:rPr>
              <w:rPr>
                <w:rFonts w:ascii="Cambria Math" w:eastAsia="SimSun" w:hAnsi="Cambria Math" w:cstheme="majorBidi"/>
                <w:szCs w:val="24"/>
              </w:rPr>
              <m:t xml:space="preserve"> </m:t>
            </m:r>
            <m:r>
              <w:rPr>
                <w:rFonts w:ascii="Cambria Math" w:eastAsia="SimSun" w:hAnsi="Cambria Math" w:cstheme="majorBidi"/>
                <w:szCs w:val="24"/>
              </w:rPr>
              <m:t>Controls</m:t>
            </m:r>
          </m:e>
          <m:sub>
            <m:r>
              <w:rPr>
                <w:rFonts w:ascii="Cambria Math" w:eastAsia="SimSun" w:hAnsi="Cambria Math" w:cstheme="majorBidi"/>
                <w:szCs w:val="24"/>
              </w:rPr>
              <m:t>t</m:t>
            </m:r>
          </m:sub>
        </m:sSub>
        <m:r>
          <w:rPr>
            <w:rFonts w:ascii="Cambria Math" w:eastAsia="SimSun" w:hAnsi="Cambria Math" w:cstheme="majorBidi"/>
            <w:szCs w:val="24"/>
          </w:rPr>
          <m:t>+</m:t>
        </m:r>
        <m:sSub>
          <m:sSubPr>
            <m:ctrlPr>
              <w:rPr>
                <w:rFonts w:ascii="Cambria Math" w:eastAsia="SimSun" w:hAnsi="Cambria Math" w:cstheme="majorBidi"/>
                <w:szCs w:val="24"/>
              </w:rPr>
            </m:ctrlPr>
          </m:sSubPr>
          <m:e>
            <m:r>
              <w:rPr>
                <w:rFonts w:ascii="Cambria Math" w:eastAsia="SimSun" w:hAnsi="Cambria Math" w:cstheme="majorBidi"/>
                <w:szCs w:val="24"/>
              </w:rPr>
              <m:t>ε</m:t>
            </m:r>
          </m:e>
          <m:sub>
            <m:r>
              <w:rPr>
                <w:rFonts w:ascii="Cambria Math" w:eastAsia="SimSun" w:hAnsi="Cambria Math" w:cstheme="majorBidi"/>
                <w:szCs w:val="24"/>
              </w:rPr>
              <m:t>t</m:t>
            </m:r>
          </m:sub>
        </m:sSub>
        <m:r>
          <w:rPr>
            <w:rFonts w:ascii="Cambria Math" w:eastAsia="SimSun" w:hAnsi="Cambria Math" w:cstheme="majorBidi"/>
            <w:szCs w:val="24"/>
          </w:rPr>
          <m:t>,</m:t>
        </m:r>
      </m:oMath>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r>
      <w:r w:rsidR="007A39EB" w:rsidRPr="00CB6F9C">
        <w:rPr>
          <w:rFonts w:asciiTheme="majorBidi" w:eastAsia="SimSun" w:hAnsiTheme="majorBidi" w:cstheme="majorBidi"/>
          <w:szCs w:val="24"/>
        </w:rPr>
        <w:tab/>
        <w:t xml:space="preserve">(2)                                                                                                     </w:t>
      </w:r>
    </w:p>
    <w:p w14:paraId="255DA405" w14:textId="77777777" w:rsidR="007A39EB" w:rsidRPr="00CB6F9C" w:rsidRDefault="007A39EB" w:rsidP="007A39EB">
      <w:pPr>
        <w:rPr>
          <w:rFonts w:ascii="Calibri" w:eastAsia="Times New Roman" w:hAnsi="Calibri" w:cs="Calibri"/>
        </w:rPr>
      </w:pPr>
      <w:r w:rsidRPr="00CB6F9C">
        <w:rPr>
          <w:rFonts w:asciiTheme="majorBidi" w:eastAsia="SimSun" w:hAnsiTheme="majorBidi" w:cstheme="majorBidi"/>
          <w:szCs w:val="24"/>
        </w:rPr>
        <w:t xml:space="preserve">where </w:t>
      </w:r>
      <m:oMath>
        <m:sSub>
          <m:sSubPr>
            <m:ctrlPr>
              <w:rPr>
                <w:rFonts w:ascii="Cambria Math" w:eastAsia="SimSun" w:hAnsi="Cambria Math" w:cstheme="majorBidi"/>
                <w:szCs w:val="24"/>
              </w:rPr>
            </m:ctrlPr>
          </m:sSubPr>
          <m:e>
            <m:r>
              <w:rPr>
                <w:rFonts w:ascii="Cambria Math" w:eastAsia="SimSun" w:hAnsi="Cambria Math" w:cstheme="majorBidi"/>
                <w:szCs w:val="24"/>
              </w:rPr>
              <m:t>Renewable</m:t>
            </m:r>
          </m:e>
          <m:sub>
            <m:r>
              <w:rPr>
                <w:rFonts w:ascii="Cambria Math" w:eastAsia="SimSun" w:hAnsi="Cambria Math" w:cstheme="majorBidi"/>
                <w:szCs w:val="24"/>
              </w:rPr>
              <m:t>t</m:t>
            </m:r>
          </m:sub>
        </m:sSub>
      </m:oMath>
      <w:r w:rsidRPr="00CB6F9C">
        <w:rPr>
          <w:rFonts w:asciiTheme="majorBidi" w:eastAsia="SimSun" w:hAnsiTheme="majorBidi" w:cstheme="majorBidi"/>
          <w:szCs w:val="24"/>
        </w:rPr>
        <w:t xml:space="preserve"> is the independent variable which measures the quarterly </w:t>
      </w:r>
      <w:r w:rsidRPr="00CB6F9C">
        <w:rPr>
          <w:rFonts w:asciiTheme="majorBidi" w:eastAsia="Times New Roman" w:hAnsiTheme="majorBidi" w:cstheme="majorBidi"/>
          <w:szCs w:val="24"/>
        </w:rPr>
        <w:t xml:space="preserve">proportion of renewable energy in total final energy consumption, while </w:t>
      </w:r>
      <m:oMath>
        <m:sSub>
          <m:sSubPr>
            <m:ctrlPr>
              <w:rPr>
                <w:rFonts w:ascii="Cambria Math" w:eastAsia="SimSun" w:hAnsi="Cambria Math" w:cstheme="majorBidi"/>
                <w:szCs w:val="24"/>
              </w:rPr>
            </m:ctrlPr>
          </m:sSubPr>
          <m:e>
            <m:r>
              <w:rPr>
                <w:rFonts w:ascii="Cambria Math" w:eastAsia="SimSun" w:hAnsi="Cambria Math" w:cstheme="majorBidi"/>
                <w:szCs w:val="24"/>
              </w:rPr>
              <m:t>NonRenewable</m:t>
            </m:r>
          </m:e>
          <m:sub>
            <m:r>
              <w:rPr>
                <w:rFonts w:ascii="Cambria Math" w:eastAsia="SimSun" w:hAnsi="Cambria Math" w:cstheme="majorBidi"/>
                <w:szCs w:val="24"/>
              </w:rPr>
              <m:t>t</m:t>
            </m:r>
          </m:sub>
        </m:sSub>
      </m:oMath>
      <w:r w:rsidRPr="00CB6F9C">
        <w:rPr>
          <w:rFonts w:asciiTheme="majorBidi" w:eastAsia="SimSun" w:hAnsiTheme="majorBidi" w:cstheme="majorBidi"/>
          <w:szCs w:val="24"/>
        </w:rPr>
        <w:t xml:space="preserve"> is the independent variable which measures the quarterly </w:t>
      </w:r>
      <w:r w:rsidRPr="00CB6F9C">
        <w:rPr>
          <w:rFonts w:asciiTheme="majorBidi" w:eastAsia="Times New Roman" w:hAnsiTheme="majorBidi" w:cstheme="majorBidi"/>
          <w:szCs w:val="24"/>
        </w:rPr>
        <w:t xml:space="preserve">proportion of non-renewable energy production from oil, gas and coal sources in total final energy consumption, </w:t>
      </w:r>
      <w:r w:rsidRPr="00CB6F9C">
        <w:rPr>
          <w:rFonts w:asciiTheme="majorBidi" w:eastAsia="SimSun" w:hAnsiTheme="majorBidi" w:cstheme="majorBidi"/>
          <w:szCs w:val="24"/>
        </w:rPr>
        <w:t xml:space="preserve">in time </w:t>
      </w:r>
      <w:r w:rsidRPr="00CB6F9C">
        <w:rPr>
          <w:rFonts w:asciiTheme="majorBidi" w:eastAsia="SimSun" w:hAnsiTheme="majorBidi" w:cstheme="majorBidi"/>
          <w:i/>
          <w:iCs/>
          <w:szCs w:val="24"/>
        </w:rPr>
        <w:t>t</w:t>
      </w:r>
      <w:r w:rsidRPr="00CB6F9C">
        <w:rPr>
          <w:rFonts w:asciiTheme="majorBidi" w:eastAsia="SimSun" w:hAnsiTheme="majorBidi" w:cstheme="majorBidi"/>
          <w:szCs w:val="24"/>
        </w:rPr>
        <w:t xml:space="preserve">. </w:t>
      </w:r>
      <m:oMath>
        <m:sSub>
          <m:sSubPr>
            <m:ctrlPr>
              <w:rPr>
                <w:rFonts w:ascii="Cambria Math" w:eastAsia="SimSun" w:hAnsi="Cambria Math" w:cstheme="majorBidi"/>
                <w:szCs w:val="24"/>
              </w:rPr>
            </m:ctrlPr>
          </m:sSubPr>
          <m:e>
            <m:r>
              <w:rPr>
                <w:rFonts w:ascii="Cambria Math" w:eastAsia="SimSun" w:hAnsi="Cambria Math" w:cstheme="majorBidi"/>
                <w:szCs w:val="24"/>
              </w:rPr>
              <m:t>AirPollution</m:t>
            </m:r>
          </m:e>
          <m:sub>
            <m:r>
              <m:rPr>
                <m:sty m:val="p"/>
              </m:rPr>
              <w:rPr>
                <w:rFonts w:ascii="Cambria Math" w:eastAsia="SimSun" w:hAnsi="Cambria Math" w:cstheme="majorBidi"/>
                <w:szCs w:val="24"/>
              </w:rPr>
              <m:t xml:space="preserve"> </m:t>
            </m:r>
            <m:r>
              <w:rPr>
                <w:rFonts w:ascii="Cambria Math" w:eastAsia="SimSun" w:hAnsi="Cambria Math" w:cstheme="majorBidi"/>
                <w:szCs w:val="24"/>
              </w:rPr>
              <m:t>t</m:t>
            </m:r>
          </m:sub>
        </m:sSub>
      </m:oMath>
      <w:r w:rsidRPr="00CB6F9C">
        <w:rPr>
          <w:rFonts w:asciiTheme="majorBidi" w:eastAsia="SimSun" w:hAnsiTheme="majorBidi" w:cstheme="majorBidi"/>
          <w:szCs w:val="24"/>
        </w:rPr>
        <w:t xml:space="preserve"> is the main dependent variable, which measures the quarterly degree of air pollution in China. We use two time-series variables to capture the air pollution: 1) </w:t>
      </w:r>
      <w:r w:rsidRPr="00BC6962">
        <w:rPr>
          <w:color w:val="FF0000"/>
        </w:rPr>
        <w:t>CO</w:t>
      </w:r>
      <w:r w:rsidRPr="00BC6962">
        <w:rPr>
          <w:color w:val="FF0000"/>
          <w:vertAlign w:val="subscript"/>
        </w:rPr>
        <w:t>2</w:t>
      </w:r>
      <w:r w:rsidRPr="00CB6F9C">
        <w:t xml:space="preserve"> </w:t>
      </w:r>
      <w:r w:rsidRPr="00CB6F9C">
        <w:rPr>
          <w:rFonts w:asciiTheme="majorBidi" w:eastAsia="SimSun" w:hAnsiTheme="majorBidi" w:cstheme="majorBidi"/>
          <w:szCs w:val="24"/>
        </w:rPr>
        <w:t xml:space="preserve">emission refers to the emissions of carbon dioxide </w:t>
      </w:r>
      <w:r w:rsidRPr="00CB6F9C">
        <w:rPr>
          <w:rFonts w:asciiTheme="majorBidi" w:eastAsia="Times New Roman" w:hAnsiTheme="majorBidi" w:cstheme="majorBidi"/>
          <w:szCs w:val="24"/>
        </w:rPr>
        <w:t xml:space="preserve">measured in kiloton, resulting from the burning of fossil fuels and the manufacturing of cement, and 2) Greenhouse gas emissions are measured in kt of </w:t>
      </w:r>
      <w:r w:rsidRPr="00BC6962">
        <w:rPr>
          <w:color w:val="FF0000"/>
        </w:rPr>
        <w:t>CO</w:t>
      </w:r>
      <w:r w:rsidRPr="00BC6962">
        <w:rPr>
          <w:color w:val="FF0000"/>
          <w:vertAlign w:val="subscript"/>
        </w:rPr>
        <w:t>2</w:t>
      </w:r>
      <w:r w:rsidRPr="00CB6F9C">
        <w:rPr>
          <w:rFonts w:asciiTheme="majorBidi" w:eastAsia="Times New Roman" w:hAnsiTheme="majorBidi" w:cstheme="majorBidi"/>
          <w:szCs w:val="24"/>
        </w:rPr>
        <w:t xml:space="preserve"> equivalents that include all sources of anthropogenic CH4, N20 and F-gases (HFCs, PFCs and SF6), biomass burning (e.g., decay of drained peatlands, forest fires, peat fires, and post-burn decay), but excluding short-cycle biomass burning (e.g., savanna burning and agricultural waste burning).</w:t>
      </w:r>
    </w:p>
    <w:p w14:paraId="146A274A" w14:textId="77777777" w:rsidR="007A39EB" w:rsidRPr="00CB6F9C" w:rsidRDefault="00000000" w:rsidP="007A39EB">
      <w:pPr>
        <w:spacing w:before="100" w:beforeAutospacing="1" w:after="100" w:afterAutospacing="1"/>
        <w:ind w:firstLine="720"/>
        <w:rPr>
          <w:rFonts w:asciiTheme="majorBidi" w:hAnsiTheme="majorBidi" w:cstheme="majorBidi"/>
          <w:szCs w:val="24"/>
          <w:shd w:val="clear" w:color="auto" w:fill="FFFFFF"/>
        </w:rPr>
      </w:pPr>
      <m:oMath>
        <m:sSub>
          <m:sSubPr>
            <m:ctrlPr>
              <w:rPr>
                <w:rFonts w:ascii="Cambria Math" w:eastAsia="SimSun" w:hAnsi="Cambria Math" w:cstheme="majorBidi"/>
                <w:szCs w:val="24"/>
              </w:rPr>
            </m:ctrlPr>
          </m:sSubPr>
          <m:e>
            <m:r>
              <m:rPr>
                <m:sty m:val="p"/>
              </m:rPr>
              <w:rPr>
                <w:rFonts w:ascii="Cambria Math" w:eastAsia="SimSun" w:hAnsi="Cambria Math" w:cstheme="majorBidi"/>
                <w:szCs w:val="24"/>
              </w:rPr>
              <m:t xml:space="preserve"> </m:t>
            </m:r>
            <m:r>
              <w:rPr>
                <w:rFonts w:ascii="Cambria Math" w:eastAsia="SimSun" w:hAnsi="Cambria Math" w:cstheme="majorBidi"/>
                <w:szCs w:val="24"/>
              </w:rPr>
              <m:t>Controls</m:t>
            </m:r>
          </m:e>
          <m:sub>
            <m:r>
              <w:rPr>
                <w:rFonts w:ascii="Cambria Math" w:eastAsia="SimSun" w:hAnsi="Cambria Math" w:cstheme="majorBidi"/>
                <w:szCs w:val="24"/>
              </w:rPr>
              <m:t>i</m:t>
            </m:r>
            <m:r>
              <m:rPr>
                <m:sty m:val="p"/>
              </m:rPr>
              <w:rPr>
                <w:rFonts w:ascii="Cambria Math" w:eastAsia="SimSun" w:hAnsi="Cambria Math" w:cstheme="majorBidi"/>
                <w:szCs w:val="24"/>
              </w:rPr>
              <m:t>,</m:t>
            </m:r>
            <m:r>
              <w:rPr>
                <w:rFonts w:ascii="Cambria Math" w:eastAsia="SimSun" w:hAnsi="Cambria Math" w:cstheme="majorBidi"/>
                <w:szCs w:val="24"/>
              </w:rPr>
              <m:t>t</m:t>
            </m:r>
          </m:sub>
        </m:sSub>
      </m:oMath>
      <w:r w:rsidR="007A39EB" w:rsidRPr="00CB6F9C">
        <w:rPr>
          <w:rFonts w:asciiTheme="majorBidi" w:eastAsia="SimSun" w:hAnsiTheme="majorBidi" w:cstheme="majorBidi"/>
          <w:szCs w:val="24"/>
        </w:rPr>
        <w:t xml:space="preserve"> is the vector of control variables that capture key macro factors that are commonly related with the air pollution. These control variables include </w:t>
      </w:r>
      <w:r w:rsidR="007A39EB">
        <w:rPr>
          <w:rFonts w:asciiTheme="majorBidi" w:eastAsia="SimSun" w:hAnsiTheme="majorBidi" w:cstheme="majorBidi"/>
          <w:szCs w:val="24"/>
        </w:rPr>
        <w:t xml:space="preserve">the </w:t>
      </w:r>
      <w:r w:rsidR="007A39EB" w:rsidRPr="00CB6F9C">
        <w:rPr>
          <w:rFonts w:asciiTheme="majorBidi" w:eastAsia="SimSun" w:hAnsiTheme="majorBidi" w:cstheme="majorBidi"/>
          <w:szCs w:val="24"/>
        </w:rPr>
        <w:t xml:space="preserve">price of coal which is the main energy source in China, GDP which measures the </w:t>
      </w:r>
      <w:r w:rsidR="007A39EB" w:rsidRPr="00CB6F9C">
        <w:rPr>
          <w:rFonts w:asciiTheme="majorBidi" w:hAnsiTheme="majorBidi" w:cstheme="majorBidi"/>
          <w:szCs w:val="24"/>
          <w:shd w:val="clear" w:color="auto" w:fill="FFFFFF"/>
        </w:rPr>
        <w:t>production of goods and services, export amount which measures the production due to foreign demand, and Chinese population. See Appendix 1 for variable definitions.</w:t>
      </w:r>
    </w:p>
    <w:p w14:paraId="477202B2" w14:textId="77777777" w:rsidR="007A39EB" w:rsidRDefault="007A39EB" w:rsidP="007A39EB">
      <w:pPr>
        <w:autoSpaceDE w:val="0"/>
        <w:autoSpaceDN w:val="0"/>
        <w:adjustRightInd w:val="0"/>
        <w:spacing w:before="100" w:beforeAutospacing="1" w:after="100" w:afterAutospacing="1"/>
        <w:rPr>
          <w:rFonts w:asciiTheme="majorBidi" w:hAnsiTheme="majorBidi" w:cstheme="majorBidi"/>
        </w:rPr>
      </w:pPr>
      <w:r w:rsidRPr="00CB6F9C">
        <w:rPr>
          <w:rFonts w:asciiTheme="majorBidi" w:eastAsia="SimSun" w:hAnsiTheme="majorBidi" w:cstheme="majorBidi"/>
          <w:szCs w:val="24"/>
        </w:rPr>
        <w:tab/>
      </w:r>
      <w:r w:rsidRPr="5C1704F5">
        <w:rPr>
          <w:rFonts w:asciiTheme="majorBidi" w:eastAsia="SimSun" w:hAnsiTheme="majorBidi" w:cstheme="majorBidi"/>
        </w:rPr>
        <w:t xml:space="preserve">To </w:t>
      </w:r>
      <w:r>
        <w:rPr>
          <w:rFonts w:asciiTheme="majorBidi" w:eastAsia="SimSun" w:hAnsiTheme="majorBidi" w:cstheme="majorBidi"/>
        </w:rPr>
        <w:t>en</w:t>
      </w:r>
      <w:r w:rsidRPr="5C1704F5">
        <w:rPr>
          <w:rFonts w:asciiTheme="majorBidi" w:eastAsia="SimSun" w:hAnsiTheme="majorBidi" w:cstheme="majorBidi"/>
        </w:rPr>
        <w:t xml:space="preserve">sure that the impact of renewable and non-renewable energy source to air pollution is unidirectional, we use </w:t>
      </w:r>
      <w:r>
        <w:rPr>
          <w:rFonts w:asciiTheme="majorBidi" w:eastAsia="SimSun" w:hAnsiTheme="majorBidi" w:cstheme="majorBidi"/>
        </w:rPr>
        <w:t xml:space="preserve">the </w:t>
      </w:r>
      <w:r w:rsidRPr="5C1704F5">
        <w:rPr>
          <w:rFonts w:asciiTheme="majorBidi" w:eastAsia="SimSun" w:hAnsiTheme="majorBidi" w:cstheme="majorBidi"/>
        </w:rPr>
        <w:t xml:space="preserve">Granger causality test on the dependent and independent variables. </w:t>
      </w:r>
      <w:r w:rsidRPr="5C1704F5">
        <w:rPr>
          <w:rFonts w:asciiTheme="majorBidi" w:hAnsiTheme="majorBidi" w:cstheme="majorBidi"/>
          <w:shd w:val="clear" w:color="auto" w:fill="FFFFFF"/>
        </w:rPr>
        <w:t>The</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Granger causality test, first proposed by Granger (1969),</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is a</w:t>
      </w:r>
      <w:r w:rsidRPr="5C1704F5">
        <w:rPr>
          <w:rStyle w:val="apple-converted-space"/>
          <w:rFonts w:asciiTheme="majorBidi" w:hAnsiTheme="majorBidi" w:cstheme="majorBidi"/>
          <w:shd w:val="clear" w:color="auto" w:fill="FFFFFF"/>
        </w:rPr>
        <w:t xml:space="preserve"> popular </w:t>
      </w:r>
      <w:r w:rsidRPr="5C1704F5">
        <w:rPr>
          <w:rFonts w:asciiTheme="majorBidi" w:hAnsiTheme="majorBidi" w:cstheme="majorBidi"/>
          <w:shd w:val="clear" w:color="auto" w:fill="FFFFFF"/>
        </w:rPr>
        <w:t>statistical test</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for verifying whether one time-series</w:t>
      </w:r>
      <w:r w:rsidRPr="5C1704F5">
        <w:rPr>
          <w:rStyle w:val="apple-converted-space"/>
          <w:rFonts w:asciiTheme="majorBidi" w:hAnsiTheme="majorBidi" w:cstheme="majorBidi"/>
          <w:shd w:val="clear" w:color="auto" w:fill="FFFFFF"/>
        </w:rPr>
        <w:t xml:space="preserve"> variable </w:t>
      </w:r>
      <w:r w:rsidRPr="5C1704F5">
        <w:rPr>
          <w:rFonts w:asciiTheme="majorBidi" w:hAnsiTheme="majorBidi" w:cstheme="majorBidi"/>
          <w:shd w:val="clear" w:color="auto" w:fill="FFFFFF"/>
        </w:rPr>
        <w:t>can forecast</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another (</w:t>
      </w:r>
      <w:proofErr w:type="spellStart"/>
      <w:r w:rsidRPr="5C1704F5">
        <w:rPr>
          <w:rFonts w:asciiTheme="majorBidi" w:hAnsiTheme="majorBidi" w:cstheme="majorBidi"/>
          <w:shd w:val="clear" w:color="auto" w:fill="FFFFFF"/>
        </w:rPr>
        <w:t>Pinzón</w:t>
      </w:r>
      <w:proofErr w:type="spellEnd"/>
      <w:r w:rsidRPr="5C1704F5">
        <w:rPr>
          <w:rFonts w:asciiTheme="majorBidi" w:hAnsiTheme="majorBidi" w:cstheme="majorBidi"/>
          <w:shd w:val="clear" w:color="auto" w:fill="FFFFFF"/>
        </w:rPr>
        <w:t xml:space="preserve">, 2018; </w:t>
      </w:r>
      <w:proofErr w:type="spellStart"/>
      <w:r w:rsidRPr="5C1704F5">
        <w:rPr>
          <w:rFonts w:asciiTheme="majorBidi" w:hAnsiTheme="majorBidi" w:cstheme="majorBidi"/>
          <w:shd w:val="clear" w:color="auto" w:fill="FFFFFF"/>
        </w:rPr>
        <w:t>Olaoye</w:t>
      </w:r>
      <w:proofErr w:type="spellEnd"/>
      <w:r w:rsidRPr="5C1704F5">
        <w:rPr>
          <w:rFonts w:asciiTheme="majorBidi" w:hAnsiTheme="majorBidi" w:cstheme="majorBidi"/>
          <w:shd w:val="clear" w:color="auto" w:fill="FFFFFF"/>
        </w:rPr>
        <w:t xml:space="preserve"> et al., 2020; Wang et al., 2019). A variable</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i/>
          <w:iCs/>
          <w:shd w:val="clear" w:color="auto" w:fill="FFFFFF"/>
        </w:rPr>
        <w:t>X</w:t>
      </w:r>
      <w:r w:rsidRPr="5C1704F5">
        <w:rPr>
          <w:rFonts w:asciiTheme="majorBidi" w:hAnsiTheme="majorBidi" w:cstheme="majorBidi"/>
          <w:shd w:val="clear" w:color="auto" w:fill="FFFFFF"/>
        </w:rPr>
        <w:t>, that changes over time,</w:t>
      </w:r>
      <w:r w:rsidRPr="5C1704F5">
        <w:rPr>
          <w:rStyle w:val="apple-converted-space"/>
          <w:rFonts w:asciiTheme="majorBidi" w:hAnsiTheme="majorBidi" w:cstheme="majorBidi"/>
          <w:shd w:val="clear" w:color="auto" w:fill="FFFFFF"/>
        </w:rPr>
        <w:t xml:space="preserve"> is said to </w:t>
      </w:r>
      <w:r w:rsidRPr="5C1704F5">
        <w:rPr>
          <w:rFonts w:asciiTheme="majorBidi" w:hAnsiTheme="majorBidi" w:cstheme="majorBidi"/>
          <w:i/>
          <w:iCs/>
          <w:shd w:val="clear" w:color="auto" w:fill="FFFFFF"/>
        </w:rPr>
        <w:t>Granger-cause</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another variable</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i/>
          <w:iCs/>
          <w:shd w:val="clear" w:color="auto" w:fill="FFFFFF"/>
        </w:rPr>
        <w:t>Y</w:t>
      </w:r>
      <w:r w:rsidRPr="5C1704F5">
        <w:rPr>
          <w:rFonts w:asciiTheme="majorBidi" w:hAnsiTheme="majorBidi" w:cstheme="majorBidi"/>
          <w:shd w:val="clear" w:color="auto" w:fill="FFFFFF"/>
        </w:rPr>
        <w:t>, which also evolves over time,</w:t>
      </w:r>
      <w:r w:rsidRPr="5C1704F5">
        <w:rPr>
          <w:rStyle w:val="apple-converted-space"/>
          <w:rFonts w:asciiTheme="majorBidi" w:hAnsiTheme="majorBidi" w:cstheme="majorBidi"/>
          <w:shd w:val="clear" w:color="auto" w:fill="FFFFFF"/>
        </w:rPr>
        <w:t xml:space="preserve"> </w:t>
      </w:r>
      <w:r w:rsidRPr="5C1704F5">
        <w:rPr>
          <w:rFonts w:asciiTheme="majorBidi" w:hAnsiTheme="majorBidi" w:cstheme="majorBidi"/>
          <w:shd w:val="clear" w:color="auto" w:fill="FFFFFF"/>
        </w:rPr>
        <w:t xml:space="preserve">if both </w:t>
      </w:r>
      <w:r w:rsidRPr="5C1704F5">
        <w:rPr>
          <w:rFonts w:asciiTheme="majorBidi" w:hAnsiTheme="majorBidi" w:cstheme="majorBidi"/>
          <w:i/>
          <w:iCs/>
          <w:shd w:val="clear" w:color="auto" w:fill="FFFFFF"/>
        </w:rPr>
        <w:t xml:space="preserve">X's </w:t>
      </w:r>
      <w:r w:rsidRPr="5C1704F5">
        <w:rPr>
          <w:rFonts w:asciiTheme="majorBidi" w:hAnsiTheme="majorBidi" w:cstheme="majorBidi"/>
          <w:shd w:val="clear" w:color="auto" w:fill="FFFFFF"/>
        </w:rPr>
        <w:t xml:space="preserve">own past values and </w:t>
      </w:r>
      <w:r w:rsidRPr="5C1704F5">
        <w:rPr>
          <w:rFonts w:asciiTheme="majorBidi" w:hAnsiTheme="majorBidi" w:cstheme="majorBidi"/>
          <w:i/>
          <w:iCs/>
          <w:shd w:val="clear" w:color="auto" w:fill="FFFFFF"/>
        </w:rPr>
        <w:t xml:space="preserve">Y's </w:t>
      </w:r>
      <w:r w:rsidRPr="5C1704F5">
        <w:rPr>
          <w:rFonts w:asciiTheme="majorBidi" w:hAnsiTheme="majorBidi" w:cstheme="majorBidi"/>
          <w:shd w:val="clear" w:color="auto" w:fill="FFFFFF"/>
        </w:rPr>
        <w:t>own past values</w:t>
      </w:r>
      <w:r w:rsidRPr="5C1704F5">
        <w:rPr>
          <w:rStyle w:val="apple-converted-space"/>
          <w:rFonts w:asciiTheme="majorBidi" w:hAnsiTheme="majorBidi" w:cstheme="majorBidi"/>
          <w:shd w:val="clear" w:color="auto" w:fill="FFFFFF"/>
        </w:rPr>
        <w:t xml:space="preserve"> can make better predictions than only </w:t>
      </w:r>
      <w:r w:rsidRPr="5C1704F5">
        <w:rPr>
          <w:rFonts w:asciiTheme="majorBidi" w:hAnsiTheme="majorBidi" w:cstheme="majorBidi"/>
          <w:i/>
          <w:iCs/>
          <w:shd w:val="clear" w:color="auto" w:fill="FFFFFF"/>
        </w:rPr>
        <w:t xml:space="preserve">Y's </w:t>
      </w:r>
      <w:r w:rsidRPr="5C1704F5">
        <w:rPr>
          <w:rFonts w:asciiTheme="majorBidi" w:hAnsiTheme="majorBidi" w:cstheme="majorBidi"/>
          <w:shd w:val="clear" w:color="auto" w:fill="FFFFFF"/>
        </w:rPr>
        <w:t>own past values.</w:t>
      </w:r>
      <w:r w:rsidRPr="5C1704F5">
        <w:rPr>
          <w:rFonts w:asciiTheme="majorBidi" w:hAnsiTheme="majorBidi" w:cstheme="majorBidi"/>
        </w:rPr>
        <w:t xml:space="preserve"> In our case, we investigate a two-way effect between energy sources and air pollution. In our analysis, we investigate whether energy sources have a Granger-causal effect on air pollution or vice versa. </w:t>
      </w:r>
      <w:r w:rsidRPr="00072D46">
        <w:rPr>
          <w:rFonts w:asciiTheme="majorBidi" w:hAnsiTheme="majorBidi" w:cstheme="majorBidi"/>
          <w:color w:val="FF0000"/>
        </w:rPr>
        <w:t xml:space="preserve">We conduct two sets of tests to assess the accuracy of predictions for air pollution and energy sources. Firstly, we examine whether incorporating past values of both air pollution and energy sources improves the accuracy of air pollution predictions compared to solely considering its own past values. Secondly, we investigate whether incorporating past values of both air pollution and energy sources enhances the accuracy of energy source predictions compared to solely considering their own past values. Following Berger (1995), we employ the Granger causality tests presented as Equation (3) for both </w:t>
      </w:r>
      <w:proofErr w:type="gramStart"/>
      <w:r w:rsidRPr="00072D46">
        <w:rPr>
          <w:rFonts w:asciiTheme="majorBidi" w:hAnsiTheme="majorBidi" w:cstheme="majorBidi"/>
          <w:color w:val="FF0000"/>
        </w:rPr>
        <w:t>scenarios</w:t>
      </w:r>
      <w:proofErr w:type="gramEnd"/>
    </w:p>
    <w:p w14:paraId="7BDE4512" w14:textId="77777777" w:rsidR="007A39EB" w:rsidRPr="00CB6F9C" w:rsidRDefault="007A39EB" w:rsidP="007A39EB">
      <w:pPr>
        <w:autoSpaceDE w:val="0"/>
        <w:autoSpaceDN w:val="0"/>
        <w:adjustRightInd w:val="0"/>
        <w:spacing w:before="100" w:beforeAutospacing="1" w:after="100" w:afterAutospacing="1"/>
        <w:rPr>
          <w:rFonts w:asciiTheme="majorBidi" w:hAnsiTheme="majorBidi" w:cstheme="majorBidi"/>
          <w:szCs w:val="24"/>
        </w:rPr>
      </w:pPr>
      <w:r w:rsidRPr="00CB6F9C">
        <w:rPr>
          <w:rFonts w:asciiTheme="majorBidi" w:hAnsiTheme="majorBidi" w:cstheme="majorBidi"/>
          <w:noProof/>
          <w:szCs w:val="24"/>
        </w:rPr>
        <mc:AlternateContent>
          <mc:Choice Requires="wps">
            <w:drawing>
              <wp:inline distT="0" distB="0" distL="0" distR="0" wp14:anchorId="2B841CD3" wp14:editId="06528819">
                <wp:extent cx="4394601" cy="787523"/>
                <wp:effectExtent l="0" t="0" r="0" b="0"/>
                <wp:docPr id="4" name="Text Box 4">
                  <a:extLst xmlns:a="http://schemas.openxmlformats.org/drawingml/2006/main">
                    <a:ext uri="{FF2B5EF4-FFF2-40B4-BE49-F238E27FC236}">
                      <a16:creationId xmlns:a16="http://schemas.microsoft.com/office/drawing/2014/main" id="{F943B80D-E211-4717-8C07-9853C180204B}"/>
                    </a:ext>
                  </a:extLst>
                </wp:docPr>
                <wp:cNvGraphicFramePr/>
                <a:graphic xmlns:a="http://schemas.openxmlformats.org/drawingml/2006/main">
                  <a:graphicData uri="http://schemas.microsoft.com/office/word/2010/wordprocessingShape">
                    <wps:wsp>
                      <wps:cNvSpPr txBox="1"/>
                      <wps:spPr>
                        <a:xfrm>
                          <a:off x="0" y="0"/>
                          <a:ext cx="4394601" cy="787523"/>
                        </a:xfrm>
                        <a:prstGeom prst="rect">
                          <a:avLst/>
                        </a:prstGeom>
                        <a:noFill/>
                      </wps:spPr>
                      <wps:txbx>
                        <w:txbxContent>
                          <w:p w14:paraId="75A9FD31" w14:textId="77777777" w:rsidR="007A39EB" w:rsidRPr="00D740AF" w:rsidRDefault="00000000" w:rsidP="007A39EB">
                            <w:pPr>
                              <w:pStyle w:val="NormalWeb"/>
                              <w:spacing w:before="0" w:beforeAutospacing="0" w:after="0" w:afterAutospacing="0"/>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w:rPr>
                                        <w:rFonts w:ascii="Cambria Math" w:hAnsi="Cambria Math" w:cstheme="minorBidi"/>
                                        <w:color w:val="000000" w:themeColor="text1"/>
                                        <w:kern w:val="24"/>
                                      </w:rPr>
                                      <m:t>t</m:t>
                                    </m:r>
                                  </m:sub>
                                </m:sSub>
                                <m:r>
                                  <w:rPr>
                                    <w:rFonts w:ascii="Cambria Math" w:hAnsi="Cambria Math" w:cstheme="minorBidi"/>
                                    <w:color w:val="000000" w:themeColor="text1"/>
                                    <w:kern w:val="24"/>
                                  </w:rPr>
                                  <m:t>=</m:t>
                                </m:r>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α</m:t>
                                    </m:r>
                                  </m:e>
                                  <m:sub>
                                    <m:r>
                                      <w:rPr>
                                        <w:rFonts w:ascii="Cambria Math" w:hAnsi="Cambria Math" w:cstheme="minorBidi"/>
                                        <w:color w:val="000000" w:themeColor="text1"/>
                                        <w:kern w:val="24"/>
                                      </w:rPr>
                                      <m:t>0</m:t>
                                    </m:r>
                                  </m:sub>
                                </m:sSub>
                                <m:r>
                                  <w:rPr>
                                    <w:rFonts w:ascii="Cambria Math" w:hAnsi="Cambria Math" w:cstheme="minorBidi"/>
                                    <w:color w:val="000000" w:themeColor="text1"/>
                                    <w:kern w:val="24"/>
                                  </w:rPr>
                                  <m:t>+</m:t>
                                </m:r>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j=1</m:t>
                                    </m:r>
                                  </m:sub>
                                  <m:sup>
                                    <m:r>
                                      <w:rPr>
                                        <w:rFonts w:ascii="Cambria Math" w:hAnsi="Cambria Math" w:cstheme="minorBidi"/>
                                        <w:color w:val="000000" w:themeColor="text1"/>
                                        <w:kern w:val="24"/>
                                      </w:rPr>
                                      <m:t>n</m:t>
                                    </m:r>
                                  </m:sup>
                                  <m:e>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α</m:t>
                                        </m:r>
                                      </m:e>
                                      <m:sub>
                                        <m:r>
                                          <w:rPr>
                                            <w:rFonts w:ascii="Cambria Math" w:hAnsi="Cambria Math" w:cstheme="minorBidi"/>
                                            <w:color w:val="000000" w:themeColor="text1"/>
                                            <w:kern w:val="24"/>
                                          </w:rPr>
                                          <m:t>j</m:t>
                                        </m:r>
                                      </m:sub>
                                    </m:sSub>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w:rPr>
                                            <w:rFonts w:ascii="Cambria Math" w:hAnsi="Cambria Math" w:cstheme="minorBidi"/>
                                            <w:color w:val="000000" w:themeColor="text1"/>
                                            <w:kern w:val="24"/>
                                          </w:rPr>
                                          <m:t>t-1</m:t>
                                        </m:r>
                                      </m:sub>
                                    </m:sSub>
                                    <m:r>
                                      <w:rPr>
                                        <w:rFonts w:ascii="Cambria Math" w:hAnsi="Cambria Math" w:cstheme="minorBidi"/>
                                        <w:color w:val="000000" w:themeColor="text1"/>
                                        <w:kern w:val="24"/>
                                      </w:rPr>
                                      <m:t>+</m:t>
                                    </m:r>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j=1</m:t>
                                        </m:r>
                                      </m:sub>
                                      <m:sup>
                                        <m:r>
                                          <w:rPr>
                                            <w:rFonts w:ascii="Cambria Math" w:hAnsi="Cambria Math" w:cstheme="minorBidi"/>
                                            <w:color w:val="000000" w:themeColor="text1"/>
                                            <w:kern w:val="24"/>
                                          </w:rPr>
                                          <m:t>n</m:t>
                                        </m:r>
                                      </m:sup>
                                      <m:e>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rPr>
                                              <m:t>j</m:t>
                                            </m:r>
                                          </m:sub>
                                        </m:sSub>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t-1</m:t>
                                            </m:r>
                                          </m:sub>
                                        </m:sSub>
                                      </m:e>
                                    </m:nary>
                                    <m:r>
                                      <w:rPr>
                                        <w:rFonts w:ascii="Cambria Math" w:hAnsi="Cambria Math" w:cstheme="minorBidi"/>
                                        <w:color w:val="000000" w:themeColor="text1"/>
                                        <w:kern w:val="24"/>
                                      </w:rPr>
                                      <m:t>+</m:t>
                                    </m:r>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γ</m:t>
                                        </m:r>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rPr>
                                              <m:t>z</m:t>
                                            </m:r>
                                          </m:e>
                                          <m:sub>
                                            <m:r>
                                              <w:rPr>
                                                <w:rFonts w:ascii="Cambria Math" w:eastAsia="Cambria Math" w:hAnsi="Cambria Math" w:cstheme="minorBidi"/>
                                                <w:color w:val="000000" w:themeColor="text1"/>
                                                <w:kern w:val="24"/>
                                              </w:rPr>
                                              <m:t>t</m:t>
                                            </m:r>
                                          </m:sub>
                                        </m:sSub>
                                        <m:r>
                                          <w:rPr>
                                            <w:rFonts w:ascii="Cambria Math" w:eastAsia="Cambria Math" w:hAnsi="Cambria Math" w:cstheme="minorBidi"/>
                                            <w:color w:val="000000" w:themeColor="text1"/>
                                            <w:kern w:val="24"/>
                                          </w:rPr>
                                          <m:t>+ε</m:t>
                                        </m:r>
                                      </m:e>
                                      <m:sub>
                                        <m:r>
                                          <w:rPr>
                                            <w:rFonts w:ascii="Cambria Math" w:hAnsi="Cambria Math" w:cstheme="minorBidi"/>
                                            <w:color w:val="000000" w:themeColor="text1"/>
                                            <w:kern w:val="24"/>
                                          </w:rPr>
                                          <m:t>t</m:t>
                                        </m:r>
                                      </m:sub>
                                    </m:sSub>
                                  </m:e>
                                </m:nary>
                              </m:oMath>
                            </m:oMathPara>
                          </w:p>
                        </w:txbxContent>
                      </wps:txbx>
                      <wps:bodyPr wrap="none" lIns="0" tIns="0" rIns="0" bIns="0" rtlCol="0">
                        <a:spAutoFit/>
                      </wps:bodyPr>
                    </wps:wsp>
                  </a:graphicData>
                </a:graphic>
              </wp:inline>
            </w:drawing>
          </mc:Choice>
          <mc:Fallback>
            <w:pict>
              <v:shapetype w14:anchorId="2B841CD3" id="_x0000_t202" coordsize="21600,21600" o:spt="202" path="m,l,21600r21600,l21600,xe">
                <v:stroke joinstyle="miter"/>
                <v:path gradientshapeok="t" o:connecttype="rect"/>
              </v:shapetype>
              <v:shape id="Text Box 4" o:spid="_x0000_s1026" type="#_x0000_t202" style="width:346.05pt;height:6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" filled="f" stroked="f">
                <v:textbox style="mso-fit-shape-to-text:t" inset="0,0,0,0">
                  <w:txbxContent>
                    <w:p w14:paraId="75A9FD31" w14:textId="77777777" w:rsidR="007A39EB" w:rsidRPr="00D740AF" w:rsidRDefault="007A39EB" w:rsidP="007A39EB">
                      <w:pPr>
                        <w:pStyle w:val="NormalWeb"/>
                        <w:spacing w:before="0" w:beforeAutospacing="0" w:after="0" w:afterAutospacing="0"/>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w:rPr>
                                  <w:rFonts w:ascii="Cambria Math" w:hAnsi="Cambria Math" w:cstheme="minorBidi"/>
                                  <w:color w:val="000000" w:themeColor="text1"/>
                                  <w:kern w:val="24"/>
                                </w:rPr>
                                <m:t>t</m:t>
                              </m:r>
                            </m:sub>
                          </m:sSub>
                          <m:r>
                            <w:rPr>
                              <w:rFonts w:ascii="Cambria Math" w:hAnsi="Cambria Math" w:cstheme="minorBidi"/>
                              <w:color w:val="000000" w:themeColor="text1"/>
                              <w:kern w:val="24"/>
                            </w:rPr>
                            <m:t>=</m:t>
                          </m:r>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α</m:t>
                              </m:r>
                            </m:e>
                            <m:sub>
                              <m:r>
                                <w:rPr>
                                  <w:rFonts w:ascii="Cambria Math" w:hAnsi="Cambria Math" w:cstheme="minorBidi"/>
                                  <w:color w:val="000000" w:themeColor="text1"/>
                                  <w:kern w:val="24"/>
                                </w:rPr>
                                <m:t>0</m:t>
                              </m:r>
                            </m:sub>
                          </m:sSub>
                          <m:r>
                            <w:rPr>
                              <w:rFonts w:ascii="Cambria Math" w:hAnsi="Cambria Math" w:cstheme="minorBidi"/>
                              <w:color w:val="000000" w:themeColor="text1"/>
                              <w:kern w:val="24"/>
                            </w:rPr>
                            <m:t>+</m:t>
                          </m:r>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j=1</m:t>
                              </m:r>
                            </m:sub>
                            <m:sup>
                              <m:r>
                                <w:rPr>
                                  <w:rFonts w:ascii="Cambria Math" w:hAnsi="Cambria Math" w:cstheme="minorBidi"/>
                                  <w:color w:val="000000" w:themeColor="text1"/>
                                  <w:kern w:val="24"/>
                                </w:rPr>
                                <m:t>n</m:t>
                              </m:r>
                            </m:sup>
                            <m:e>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α</m:t>
                                  </m:r>
                                </m:e>
                                <m:sub>
                                  <m:r>
                                    <w:rPr>
                                      <w:rFonts w:ascii="Cambria Math" w:hAnsi="Cambria Math" w:cstheme="minorBidi"/>
                                      <w:color w:val="000000" w:themeColor="text1"/>
                                      <w:kern w:val="24"/>
                                    </w:rPr>
                                    <m:t>j</m:t>
                                  </m:r>
                                </m:sub>
                              </m:sSub>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y</m:t>
                                  </m:r>
                                </m:e>
                                <m:sub>
                                  <m:r>
                                    <w:rPr>
                                      <w:rFonts w:ascii="Cambria Math" w:hAnsi="Cambria Math" w:cstheme="minorBidi"/>
                                      <w:color w:val="000000" w:themeColor="text1"/>
                                      <w:kern w:val="24"/>
                                    </w:rPr>
                                    <m:t>t-1</m:t>
                                  </m:r>
                                </m:sub>
                              </m:sSub>
                              <m:r>
                                <w:rPr>
                                  <w:rFonts w:ascii="Cambria Math" w:hAnsi="Cambria Math" w:cstheme="minorBidi"/>
                                  <w:color w:val="000000" w:themeColor="text1"/>
                                  <w:kern w:val="24"/>
                                </w:rPr>
                                <m:t>+</m:t>
                              </m:r>
                              <m:nary>
                                <m:naryPr>
                                  <m:chr m:val="∑"/>
                                  <m:ctrlPr>
                                    <w:rPr>
                                      <w:rFonts w:ascii="Cambria Math" w:eastAsiaTheme="minorEastAsia" w:hAnsi="Cambria Math" w:cstheme="minorBidi"/>
                                      <w:i/>
                                      <w:iCs/>
                                      <w:color w:val="000000" w:themeColor="text1"/>
                                      <w:kern w:val="24"/>
                                    </w:rPr>
                                  </m:ctrlPr>
                                </m:naryPr>
                                <m:sub>
                                  <m:r>
                                    <w:rPr>
                                      <w:rFonts w:ascii="Cambria Math" w:hAnsi="Cambria Math" w:cstheme="minorBidi"/>
                                      <w:color w:val="000000" w:themeColor="text1"/>
                                      <w:kern w:val="24"/>
                                    </w:rPr>
                                    <m:t>j=1</m:t>
                                  </m:r>
                                </m:sub>
                                <m:sup>
                                  <m:r>
                                    <w:rPr>
                                      <w:rFonts w:ascii="Cambria Math" w:hAnsi="Cambria Math" w:cstheme="minorBidi"/>
                                      <w:color w:val="000000" w:themeColor="text1"/>
                                      <w:kern w:val="24"/>
                                    </w:rPr>
                                    <m:t>n</m:t>
                                  </m:r>
                                </m:sup>
                                <m:e>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rPr>
                                        <m:t>j</m:t>
                                      </m:r>
                                    </m:sub>
                                  </m:sSub>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rPr>
                                        <m:t>x</m:t>
                                      </m:r>
                                    </m:e>
                                    <m:sub>
                                      <m:r>
                                        <w:rPr>
                                          <w:rFonts w:ascii="Cambria Math" w:hAnsi="Cambria Math" w:cstheme="minorBidi"/>
                                          <w:color w:val="000000" w:themeColor="text1"/>
                                          <w:kern w:val="24"/>
                                        </w:rPr>
                                        <m:t>t-1</m:t>
                                      </m:r>
                                    </m:sub>
                                  </m:sSub>
                                </m:e>
                              </m:nary>
                              <m:r>
                                <w:rPr>
                                  <w:rFonts w:ascii="Cambria Math" w:hAnsi="Cambria Math" w:cstheme="minorBidi"/>
                                  <w:color w:val="000000" w:themeColor="text1"/>
                                  <w:kern w:val="24"/>
                                </w:rPr>
                                <m:t>+</m:t>
                              </m:r>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rPr>
                                    <m:t>γ</m:t>
                                  </m:r>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rPr>
                                        <m:t>z</m:t>
                                      </m:r>
                                    </m:e>
                                    <m:sub>
                                      <m:r>
                                        <w:rPr>
                                          <w:rFonts w:ascii="Cambria Math" w:eastAsia="Cambria Math" w:hAnsi="Cambria Math" w:cstheme="minorBidi"/>
                                          <w:color w:val="000000" w:themeColor="text1"/>
                                          <w:kern w:val="24"/>
                                        </w:rPr>
                                        <m:t>t</m:t>
                                      </m:r>
                                    </m:sub>
                                  </m:sSub>
                                  <m:r>
                                    <w:rPr>
                                      <w:rFonts w:ascii="Cambria Math" w:eastAsia="Cambria Math" w:hAnsi="Cambria Math" w:cstheme="minorBidi"/>
                                      <w:color w:val="000000" w:themeColor="text1"/>
                                      <w:kern w:val="24"/>
                                    </w:rPr>
                                    <m:t>+ε</m:t>
                                  </m:r>
                                </m:e>
                                <m:sub>
                                  <m:r>
                                    <w:rPr>
                                      <w:rFonts w:ascii="Cambria Math" w:hAnsi="Cambria Math" w:cstheme="minorBidi"/>
                                      <w:color w:val="000000" w:themeColor="text1"/>
                                      <w:kern w:val="24"/>
                                    </w:rPr>
                                    <m:t>t</m:t>
                                  </m:r>
                                </m:sub>
                              </m:sSub>
                            </m:e>
                          </m:nary>
                        </m:oMath>
                      </m:oMathPara>
                    </w:p>
                  </w:txbxContent>
                </v:textbox>
                <w10:anchorlock/>
              </v:shape>
            </w:pict>
          </mc:Fallback>
        </mc:AlternateContent>
      </w:r>
      <w:r w:rsidRPr="00CB6F9C">
        <w:rPr>
          <w:rFonts w:asciiTheme="majorBidi" w:hAnsiTheme="majorBidi" w:cstheme="majorBidi"/>
          <w:szCs w:val="24"/>
        </w:rPr>
        <w:tab/>
      </w:r>
      <w:r w:rsidRPr="00CB6F9C">
        <w:rPr>
          <w:rFonts w:asciiTheme="majorBidi" w:hAnsiTheme="majorBidi" w:cstheme="majorBidi"/>
          <w:szCs w:val="24"/>
        </w:rPr>
        <w:tab/>
      </w:r>
      <w:r w:rsidRPr="00CB6F9C">
        <w:rPr>
          <w:rFonts w:asciiTheme="majorBidi" w:hAnsiTheme="majorBidi" w:cstheme="majorBidi"/>
          <w:szCs w:val="24"/>
        </w:rPr>
        <w:tab/>
      </w:r>
      <w:r w:rsidRPr="00CB6F9C">
        <w:rPr>
          <w:rFonts w:asciiTheme="majorBidi" w:hAnsiTheme="majorBidi" w:cstheme="majorBidi"/>
          <w:szCs w:val="24"/>
        </w:rPr>
        <w:tab/>
        <w:t>(3)</w:t>
      </w:r>
    </w:p>
    <w:p w14:paraId="190CBEA6" w14:textId="77777777" w:rsidR="007A39EB" w:rsidRPr="00CB6F9C" w:rsidRDefault="007A39EB" w:rsidP="007A39EB">
      <w:pPr>
        <w:autoSpaceDE w:val="0"/>
        <w:autoSpaceDN w:val="0"/>
        <w:adjustRightInd w:val="0"/>
        <w:spacing w:before="100" w:beforeAutospacing="1" w:after="100" w:afterAutospacing="1"/>
        <w:rPr>
          <w:rFonts w:asciiTheme="majorBidi" w:hAnsiTheme="majorBidi" w:cstheme="majorBidi"/>
          <w:szCs w:val="24"/>
        </w:rPr>
      </w:pPr>
      <w:r w:rsidRPr="5C1704F5">
        <w:rPr>
          <w:rFonts w:asciiTheme="majorBidi" w:hAnsiTheme="majorBidi" w:cstheme="majorBidi"/>
        </w:rPr>
        <w:lastRenderedPageBreak/>
        <w:t xml:space="preserve">where </w:t>
      </w:r>
      <m:oMath>
        <m:sSub>
          <m:sSubPr>
            <m:ctrlPr>
              <w:rPr>
                <w:rFonts w:ascii="Cambria Math" w:hAnsi="Cambria Math" w:cstheme="majorBidi"/>
                <w:i/>
                <w:iCs/>
                <w:kern w:val="24"/>
                <w:szCs w:val="24"/>
              </w:rPr>
            </m:ctrlPr>
          </m:sSubPr>
          <m:e>
            <m:r>
              <w:rPr>
                <w:rFonts w:ascii="Cambria Math" w:hAnsi="Cambria Math" w:cstheme="majorBidi"/>
                <w:kern w:val="24"/>
                <w:szCs w:val="24"/>
              </w:rPr>
              <m:t>y</m:t>
            </m:r>
          </m:e>
          <m:sub>
            <m:r>
              <w:rPr>
                <w:rFonts w:ascii="Cambria Math" w:hAnsi="Cambria Math" w:cstheme="majorBidi"/>
                <w:kern w:val="24"/>
                <w:szCs w:val="24"/>
              </w:rPr>
              <m:t>t</m:t>
            </m:r>
          </m:sub>
        </m:sSub>
      </m:oMath>
      <w:r w:rsidRPr="5C1704F5">
        <w:rPr>
          <w:rFonts w:asciiTheme="majorBidi" w:hAnsiTheme="majorBidi" w:cstheme="majorBidi"/>
          <w:kern w:val="24"/>
        </w:rPr>
        <w:t xml:space="preserve"> is the dependent variable at t, </w:t>
      </w:r>
      <m:oMath>
        <m:sSub>
          <m:sSubPr>
            <m:ctrlPr>
              <w:rPr>
                <w:rFonts w:ascii="Cambria Math" w:hAnsi="Cambria Math" w:cstheme="majorBidi"/>
                <w:i/>
                <w:iCs/>
                <w:kern w:val="24"/>
                <w:szCs w:val="24"/>
              </w:rPr>
            </m:ctrlPr>
          </m:sSubPr>
          <m:e>
            <m:r>
              <w:rPr>
                <w:rFonts w:ascii="Cambria Math" w:hAnsi="Cambria Math" w:cstheme="majorBidi"/>
                <w:kern w:val="24"/>
                <w:szCs w:val="24"/>
              </w:rPr>
              <m:t>x</m:t>
            </m:r>
          </m:e>
          <m:sub>
            <m:r>
              <w:rPr>
                <w:rFonts w:ascii="Cambria Math" w:hAnsi="Cambria Math" w:cstheme="majorBidi"/>
                <w:kern w:val="24"/>
                <w:szCs w:val="24"/>
              </w:rPr>
              <m:t>t-1</m:t>
            </m:r>
          </m:sub>
        </m:sSub>
      </m:oMath>
      <w:r w:rsidRPr="5C1704F5">
        <w:rPr>
          <w:rFonts w:asciiTheme="majorBidi" w:hAnsiTheme="majorBidi" w:cstheme="majorBidi"/>
          <w:kern w:val="24"/>
        </w:rPr>
        <w:t xml:space="preserve">is the independent variable at t-1, and </w:t>
      </w:r>
      <m:oMath>
        <m:sSub>
          <m:sSubPr>
            <m:ctrlPr>
              <w:rPr>
                <w:rFonts w:ascii="Cambria Math" w:eastAsia="Cambria Math" w:hAnsi="Cambria Math" w:cstheme="majorBidi"/>
                <w:i/>
                <w:iCs/>
                <w:kern w:val="24"/>
                <w:szCs w:val="24"/>
              </w:rPr>
            </m:ctrlPr>
          </m:sSubPr>
          <m:e>
            <m:r>
              <w:rPr>
                <w:rFonts w:ascii="Cambria Math" w:eastAsia="Cambria Math" w:hAnsi="Cambria Math" w:cstheme="majorBidi"/>
                <w:kern w:val="24"/>
                <w:szCs w:val="24"/>
              </w:rPr>
              <m:t>z</m:t>
            </m:r>
          </m:e>
          <m:sub>
            <m:r>
              <w:rPr>
                <w:rFonts w:ascii="Cambria Math" w:eastAsia="Cambria Math" w:hAnsi="Cambria Math" w:cstheme="majorBidi"/>
                <w:kern w:val="24"/>
                <w:szCs w:val="24"/>
              </w:rPr>
              <m:t>t</m:t>
            </m:r>
          </m:sub>
        </m:sSub>
      </m:oMath>
      <w:r w:rsidRPr="5C1704F5">
        <w:rPr>
          <w:rFonts w:asciiTheme="majorBidi" w:hAnsiTheme="majorBidi" w:cstheme="majorBidi"/>
          <w:kern w:val="24"/>
        </w:rPr>
        <w:t xml:space="preserve">is the set of control </w:t>
      </w:r>
      <w:r w:rsidRPr="5C1704F5">
        <w:rPr>
          <w:rFonts w:asciiTheme="majorBidi" w:hAnsiTheme="majorBidi" w:cstheme="majorBidi"/>
          <w:color w:val="FF0000"/>
          <w:kern w:val="24"/>
        </w:rPr>
        <w:t>variables.</w:t>
      </w:r>
    </w:p>
    <w:p w14:paraId="18FAAA91" w14:textId="77777777" w:rsidR="007A39EB" w:rsidRPr="00CA5E86" w:rsidRDefault="007A39EB" w:rsidP="007A39EB">
      <w:pPr>
        <w:spacing w:before="100" w:beforeAutospacing="1" w:after="100" w:afterAutospacing="1"/>
        <w:ind w:firstLine="720"/>
        <w:rPr>
          <w:rFonts w:eastAsia="Times New Roman" w:cs="Times New Roman"/>
          <w:color w:val="FF0000"/>
          <w:szCs w:val="24"/>
        </w:rPr>
      </w:pPr>
      <w:bookmarkStart w:id="3" w:name="_Hlk138427476"/>
      <w:r w:rsidRPr="00CA5E86">
        <w:rPr>
          <w:rFonts w:eastAsia="Times New Roman" w:cs="Times New Roman"/>
          <w:color w:val="FF0000"/>
          <w:szCs w:val="24"/>
        </w:rPr>
        <w:t>In our modeling approach, we employ both ARIMA models and Granger causality tests. ARIMA models are widely used and effective for time series forecasting, offering several advantages (Park, 1980). Firstly, they can handle various types of univariate time</w:t>
      </w:r>
      <w:r>
        <w:rPr>
          <w:rFonts w:eastAsia="Times New Roman" w:cs="Times New Roman"/>
          <w:color w:val="FF0000"/>
          <w:szCs w:val="24"/>
        </w:rPr>
        <w:t>-</w:t>
      </w:r>
      <w:r w:rsidRPr="00CA5E86">
        <w:rPr>
          <w:rFonts w:eastAsia="Times New Roman" w:cs="Times New Roman"/>
          <w:color w:val="FF0000"/>
          <w:szCs w:val="24"/>
        </w:rPr>
        <w:t>series data. Secondly, ARIMA models can accommodate different patterns, including linear or nonlinear trends, constant or varying volatility, and seasonal or non-seasonal fluctuations. Thirdly, they are straightforward to implement and interpret, requiring minimal parameters and assumptions.</w:t>
      </w:r>
      <w:r>
        <w:rPr>
          <w:rFonts w:eastAsia="Times New Roman" w:cs="Times New Roman"/>
          <w:color w:val="FF0000"/>
          <w:szCs w:val="24"/>
        </w:rPr>
        <w:t xml:space="preserve"> </w:t>
      </w:r>
      <w:r w:rsidRPr="00CA5E86">
        <w:rPr>
          <w:rFonts w:eastAsia="Times New Roman" w:cs="Times New Roman"/>
          <w:color w:val="FF0000"/>
          <w:szCs w:val="24"/>
        </w:rPr>
        <w:t>However, ARIMA models also have limitations and drawbacks (Morita et al., 2013). Firstly, they are unable to capture interactions and dependencies between variables, limiting their ability to account for external factors' effects on the time</w:t>
      </w:r>
      <w:r>
        <w:rPr>
          <w:rFonts w:eastAsia="Times New Roman" w:cs="Times New Roman"/>
          <w:color w:val="FF0000"/>
          <w:szCs w:val="24"/>
        </w:rPr>
        <w:t>-</w:t>
      </w:r>
      <w:r w:rsidRPr="00CA5E86">
        <w:rPr>
          <w:rFonts w:eastAsia="Times New Roman" w:cs="Times New Roman"/>
          <w:color w:val="FF0000"/>
          <w:szCs w:val="24"/>
        </w:rPr>
        <w:t>series. Secondly, ARIMA models assume the data is normally distributed and homoscedastic, which may not hold true for all</w:t>
      </w:r>
      <w:r>
        <w:rPr>
          <w:rFonts w:eastAsia="Times New Roman" w:cs="Times New Roman"/>
          <w:color w:val="FF0000"/>
          <w:szCs w:val="24"/>
        </w:rPr>
        <w:t xml:space="preserve"> </w:t>
      </w:r>
      <w:r w:rsidRPr="00CA5E86">
        <w:rPr>
          <w:rFonts w:eastAsia="Times New Roman" w:cs="Times New Roman"/>
          <w:color w:val="FF0000"/>
          <w:szCs w:val="24"/>
        </w:rPr>
        <w:t>time</w:t>
      </w:r>
      <w:r>
        <w:rPr>
          <w:rFonts w:eastAsia="Times New Roman" w:cs="Times New Roman"/>
          <w:color w:val="FF0000"/>
          <w:szCs w:val="24"/>
        </w:rPr>
        <w:t>-</w:t>
      </w:r>
      <w:r w:rsidRPr="00CA5E86">
        <w:rPr>
          <w:rFonts w:eastAsia="Times New Roman" w:cs="Times New Roman"/>
          <w:color w:val="FF0000"/>
          <w:szCs w:val="24"/>
        </w:rPr>
        <w:t>series data.</w:t>
      </w:r>
      <w:r>
        <w:rPr>
          <w:rFonts w:eastAsia="Times New Roman" w:cs="Times New Roman"/>
          <w:color w:val="FF0000"/>
          <w:szCs w:val="24"/>
        </w:rPr>
        <w:t xml:space="preserve"> </w:t>
      </w:r>
      <w:r w:rsidRPr="00CA5E86">
        <w:rPr>
          <w:rFonts w:eastAsia="Times New Roman" w:cs="Times New Roman"/>
          <w:color w:val="FF0000"/>
          <w:szCs w:val="24"/>
        </w:rPr>
        <w:t>On the other hand, Granger causality is a widely employed method for studying causal relationships between random variables (Granger, 1969). It offers the advantage of identifying directional influences between variables without any prior hypothesis on the involved subnetworks (</w:t>
      </w:r>
      <w:proofErr w:type="spellStart"/>
      <w:r w:rsidRPr="00CA5E86">
        <w:rPr>
          <w:rFonts w:eastAsia="Times New Roman" w:cs="Times New Roman"/>
          <w:color w:val="FF0000"/>
          <w:szCs w:val="24"/>
        </w:rPr>
        <w:t>Beharelle</w:t>
      </w:r>
      <w:proofErr w:type="spellEnd"/>
      <w:r w:rsidRPr="00CA5E86">
        <w:rPr>
          <w:rFonts w:eastAsia="Times New Roman" w:cs="Times New Roman"/>
          <w:color w:val="FF0000"/>
          <w:szCs w:val="24"/>
        </w:rPr>
        <w:t xml:space="preserve"> &amp; Small, 2016).</w:t>
      </w:r>
      <w:r>
        <w:rPr>
          <w:rFonts w:eastAsia="Times New Roman" w:cs="Times New Roman"/>
          <w:color w:val="FF0000"/>
          <w:szCs w:val="24"/>
        </w:rPr>
        <w:t xml:space="preserve"> </w:t>
      </w:r>
      <w:r w:rsidRPr="00CA5E86">
        <w:rPr>
          <w:rFonts w:eastAsia="Times New Roman" w:cs="Times New Roman"/>
          <w:color w:val="FF0000"/>
          <w:szCs w:val="24"/>
        </w:rPr>
        <w:t>However, it</w:t>
      </w:r>
      <w:r>
        <w:rPr>
          <w:rFonts w:eastAsia="Times New Roman" w:cs="Times New Roman"/>
          <w:color w:val="FF0000"/>
          <w:szCs w:val="24"/>
        </w:rPr>
        <w:t xml:space="preserve"> i</w:t>
      </w:r>
      <w:r w:rsidRPr="00CA5E86">
        <w:rPr>
          <w:rFonts w:eastAsia="Times New Roman" w:cs="Times New Roman"/>
          <w:color w:val="FF0000"/>
          <w:szCs w:val="24"/>
        </w:rPr>
        <w:t>s important to note that Granger causality tests have their weaknesses. They require the data to be stationary and cannot be performed on non-stationary data. Additionally, they are unable to provide forecasts when there are interdependencies between multiple variables.</w:t>
      </w:r>
    </w:p>
    <w:p w14:paraId="636E425B" w14:textId="77777777" w:rsidR="007A39EB" w:rsidRDefault="007A39EB" w:rsidP="007A39EB">
      <w:pPr>
        <w:spacing w:before="100" w:beforeAutospacing="1" w:after="100" w:afterAutospacing="1"/>
        <w:ind w:firstLine="720"/>
        <w:rPr>
          <w:rFonts w:asciiTheme="majorBidi" w:hAnsiTheme="majorBidi" w:cstheme="majorBidi"/>
          <w:color w:val="FF0000"/>
        </w:rPr>
      </w:pPr>
      <w:r w:rsidRPr="00CA5E86">
        <w:rPr>
          <w:rFonts w:eastAsia="Times New Roman" w:cs="Times New Roman"/>
          <w:color w:val="FF0000"/>
          <w:szCs w:val="24"/>
        </w:rPr>
        <w:t>By incorporating both ARIMA models and Granger causality tests, we aim to capture the strengths of each method and gain a comprehensive understanding of the dynamics and causal links within the examined time series data.</w:t>
      </w:r>
    </w:p>
    <w:bookmarkEnd w:id="3"/>
    <w:p w14:paraId="17F49A6B" w14:textId="77777777" w:rsidR="007A39EB" w:rsidRPr="00CB6F9C" w:rsidRDefault="007A39EB" w:rsidP="007A39EB">
      <w:pPr>
        <w:pStyle w:val="Heading2"/>
        <w:spacing w:before="100" w:beforeAutospacing="1" w:after="100" w:afterAutospacing="1"/>
      </w:pPr>
      <w:r w:rsidRPr="00CB6F9C">
        <w:lastRenderedPageBreak/>
        <w:t>3.2 Sample and data</w:t>
      </w:r>
    </w:p>
    <w:p w14:paraId="1DD4A9EE" w14:textId="77777777" w:rsidR="007A39EB" w:rsidRPr="00CB6F9C" w:rsidRDefault="007A39EB" w:rsidP="007A39EB">
      <w:pPr>
        <w:spacing w:before="100" w:beforeAutospacing="1" w:after="100" w:afterAutospacing="1"/>
        <w:rPr>
          <w:rFonts w:asciiTheme="majorBidi" w:eastAsia="SimSun" w:hAnsiTheme="majorBidi" w:cstheme="majorBidi"/>
        </w:rPr>
      </w:pPr>
      <w:r w:rsidRPr="53D46649">
        <w:rPr>
          <w:rFonts w:asciiTheme="majorBidi" w:eastAsia="SimSun" w:hAnsiTheme="majorBidi" w:cstheme="majorBidi"/>
        </w:rPr>
        <w:t xml:space="preserve">We collected quarterly energy and macroeconomic time series data for China from </w:t>
      </w:r>
      <w:r w:rsidRPr="53D46649">
        <w:rPr>
          <w:rFonts w:asciiTheme="majorBidi" w:eastAsia="SimSun" w:hAnsiTheme="majorBidi" w:cstheme="majorBidi"/>
          <w:i/>
          <w:iCs/>
        </w:rPr>
        <w:t>the World Bank and National Bureau of Statistics of China</w:t>
      </w:r>
      <w:r w:rsidRPr="53D46649">
        <w:rPr>
          <w:rFonts w:asciiTheme="majorBidi" w:eastAsia="SimSun" w:hAnsiTheme="majorBidi" w:cstheme="majorBidi"/>
        </w:rPr>
        <w:t xml:space="preserve"> databases, covering the period from 1990 to 2022. This sample period is chosen for three main reasons. Firstly, it encompasses crucial policy milestones and shifts in China's energy policy, including the introduction of the Five-Year Plans and the increased emphasis on renewable energy (Wang et al., 2020; </w:t>
      </w:r>
      <w:proofErr w:type="spellStart"/>
      <w:r w:rsidRPr="53D46649">
        <w:rPr>
          <w:rFonts w:asciiTheme="majorBidi" w:eastAsia="SimSun" w:hAnsiTheme="majorBidi" w:cstheme="majorBidi"/>
        </w:rPr>
        <w:t>Sharifzadeh</w:t>
      </w:r>
      <w:proofErr w:type="spellEnd"/>
      <w:r w:rsidRPr="53D46649">
        <w:rPr>
          <w:rFonts w:asciiTheme="majorBidi" w:eastAsia="SimSun" w:hAnsiTheme="majorBidi" w:cstheme="majorBidi"/>
        </w:rPr>
        <w:t xml:space="preserve"> et al., 2019). This offers valuable insights into the impact of policy interventions on energy supply and carbon </w:t>
      </w:r>
      <w:r w:rsidRPr="53D46649">
        <w:rPr>
          <w:rFonts w:asciiTheme="majorBidi" w:eastAsia="SimSun" w:hAnsiTheme="majorBidi" w:cstheme="majorBidi"/>
          <w:color w:val="FF0000"/>
        </w:rPr>
        <w:t>neutrality</w:t>
      </w:r>
      <w:r w:rsidRPr="53D46649">
        <w:rPr>
          <w:rFonts w:asciiTheme="majorBidi" w:eastAsia="SimSun" w:hAnsiTheme="majorBidi" w:cstheme="majorBidi"/>
        </w:rPr>
        <w:t xml:space="preserve">. Second, this sample period includes important global climate agreements, such as the United Nations Framework Convention on Climate Chang (UNFCCC), Kyoto Protocol, the Paris Agreement, and Glasgow Climate Pact. </w:t>
      </w:r>
      <w:proofErr w:type="spellStart"/>
      <w:r w:rsidRPr="53D46649">
        <w:rPr>
          <w:rFonts w:asciiTheme="majorBidi" w:eastAsia="SimSun" w:hAnsiTheme="majorBidi" w:cstheme="majorBidi"/>
        </w:rPr>
        <w:t>Analy</w:t>
      </w:r>
      <w:r>
        <w:rPr>
          <w:rFonts w:asciiTheme="majorBidi" w:eastAsia="SimSun" w:hAnsiTheme="majorBidi" w:cstheme="majorBidi"/>
        </w:rPr>
        <w:t>s</w:t>
      </w:r>
      <w:r w:rsidRPr="53D46649">
        <w:rPr>
          <w:rFonts w:asciiTheme="majorBidi" w:eastAsia="SimSun" w:hAnsiTheme="majorBidi" w:cstheme="majorBidi"/>
        </w:rPr>
        <w:t>ing</w:t>
      </w:r>
      <w:proofErr w:type="spellEnd"/>
      <w:r w:rsidRPr="53D46649">
        <w:rPr>
          <w:rFonts w:asciiTheme="majorBidi" w:eastAsia="SimSun" w:hAnsiTheme="majorBidi" w:cstheme="majorBidi"/>
        </w:rPr>
        <w:t xml:space="preserve"> China's energy supply and carbon </w:t>
      </w:r>
      <w:r w:rsidRPr="53D46649">
        <w:rPr>
          <w:rFonts w:asciiTheme="majorBidi" w:eastAsia="SimSun" w:hAnsiTheme="majorBidi" w:cstheme="majorBidi"/>
          <w:color w:val="FF0000"/>
        </w:rPr>
        <w:t>neutrality</w:t>
      </w:r>
      <w:r w:rsidRPr="53D46649">
        <w:rPr>
          <w:rFonts w:asciiTheme="majorBidi" w:eastAsia="SimSun" w:hAnsiTheme="majorBidi" w:cstheme="majorBidi"/>
        </w:rPr>
        <w:t xml:space="preserve"> during this period helps to evaluate </w:t>
      </w:r>
      <w:r>
        <w:rPr>
          <w:rFonts w:asciiTheme="majorBidi" w:eastAsia="SimSun" w:hAnsiTheme="majorBidi" w:cstheme="majorBidi"/>
        </w:rPr>
        <w:t xml:space="preserve">China’s </w:t>
      </w:r>
      <w:r w:rsidRPr="53D46649">
        <w:rPr>
          <w:rFonts w:asciiTheme="majorBidi" w:eastAsia="SimSun" w:hAnsiTheme="majorBidi" w:cstheme="majorBidi"/>
        </w:rPr>
        <w:t xml:space="preserve">progress in meeting its international climate commitments. Lastly, the period from 1990 to 2022 offers a wealth of data on energy supply, consumption, and carbon emissions, making it a suitable choice for investigating energy supply and carbon </w:t>
      </w:r>
      <w:r w:rsidRPr="53D46649">
        <w:rPr>
          <w:rFonts w:asciiTheme="majorBidi" w:eastAsia="SimSun" w:hAnsiTheme="majorBidi" w:cstheme="majorBidi"/>
          <w:color w:val="FF0000"/>
        </w:rPr>
        <w:t xml:space="preserve">emissions </w:t>
      </w:r>
      <w:r w:rsidRPr="53D46649">
        <w:rPr>
          <w:rFonts w:asciiTheme="majorBidi" w:eastAsia="SimSun" w:hAnsiTheme="majorBidi" w:cstheme="majorBidi"/>
        </w:rPr>
        <w:t xml:space="preserve">in China. To reduce the impact of outliers on our data, we apply a </w:t>
      </w:r>
      <w:proofErr w:type="spellStart"/>
      <w:r w:rsidRPr="53D46649">
        <w:rPr>
          <w:rFonts w:asciiTheme="majorBidi" w:eastAsia="SimSun" w:hAnsiTheme="majorBidi" w:cstheme="majorBidi"/>
        </w:rPr>
        <w:t>winsori</w:t>
      </w:r>
      <w:r>
        <w:rPr>
          <w:rFonts w:asciiTheme="majorBidi" w:eastAsia="SimSun" w:hAnsiTheme="majorBidi" w:cstheme="majorBidi"/>
        </w:rPr>
        <w:t>s</w:t>
      </w:r>
      <w:r w:rsidRPr="53D46649">
        <w:rPr>
          <w:rFonts w:asciiTheme="majorBidi" w:eastAsia="SimSun" w:hAnsiTheme="majorBidi" w:cstheme="majorBidi"/>
        </w:rPr>
        <w:t>ation</w:t>
      </w:r>
      <w:proofErr w:type="spellEnd"/>
      <w:r w:rsidRPr="53D46649">
        <w:rPr>
          <w:rFonts w:asciiTheme="majorBidi" w:eastAsia="SimSun" w:hAnsiTheme="majorBidi" w:cstheme="majorBidi"/>
        </w:rPr>
        <w:t xml:space="preserve"> technique to all continuous variables at the 1st and 99th percentile. Our sample size consists of 128 quarterly observations, which is appropriate for ARIMA models. The general guideline for ARIMA models is to have at least 50 observations, but ideally more than 100 observations to account for seasonal variations and effects (Box et al., 2015). Therefore, our sample size of 128 quarterly observations is sufficient for our data analysis.</w:t>
      </w:r>
    </w:p>
    <w:p w14:paraId="0287C5A3" w14:textId="77777777" w:rsidR="007A39EB" w:rsidRDefault="007A39EB" w:rsidP="007A39EB">
      <w:pPr>
        <w:spacing w:before="100" w:beforeAutospacing="1" w:after="100" w:afterAutospacing="1"/>
        <w:ind w:firstLine="709"/>
        <w:rPr>
          <w:rFonts w:asciiTheme="majorBidi" w:eastAsia="SimSun" w:hAnsiTheme="majorBidi" w:cstheme="majorBidi"/>
        </w:rPr>
      </w:pPr>
      <w:r w:rsidRPr="53D46649">
        <w:rPr>
          <w:rFonts w:asciiTheme="majorBidi" w:eastAsia="SimSun" w:hAnsiTheme="majorBidi" w:cstheme="majorBidi"/>
        </w:rPr>
        <w:t xml:space="preserve">Table 1 offers descriptive statistics for these variables. Means of </w:t>
      </w:r>
      <w:r w:rsidRPr="00BC6962">
        <w:rPr>
          <w:color w:val="FF0000"/>
        </w:rPr>
        <w:t>CO</w:t>
      </w:r>
      <w:r w:rsidRPr="00BC6962">
        <w:rPr>
          <w:color w:val="FF0000"/>
          <w:vertAlign w:val="subscript"/>
        </w:rPr>
        <w:t>2</w:t>
      </w:r>
      <w:r w:rsidRPr="53D46649">
        <w:rPr>
          <w:rFonts w:asciiTheme="majorBidi" w:eastAsia="SimSun" w:hAnsiTheme="majorBidi" w:cstheme="majorBidi"/>
        </w:rPr>
        <w:t xml:space="preserve"> emission and greenhouse gas emission are 1,589,139 kt and 1,974,339 kt, respectively, over the sample period. Our results suggest that China faces significant challenges in carbon </w:t>
      </w:r>
      <w:r w:rsidRPr="53D46649">
        <w:rPr>
          <w:rFonts w:asciiTheme="majorBidi" w:eastAsia="SimSun" w:hAnsiTheme="majorBidi" w:cstheme="majorBidi"/>
          <w:color w:val="FF0000"/>
        </w:rPr>
        <w:t xml:space="preserve">neutrality </w:t>
      </w:r>
      <w:r w:rsidRPr="53D46649">
        <w:rPr>
          <w:rFonts w:asciiTheme="majorBidi" w:eastAsia="SimSun" w:hAnsiTheme="majorBidi" w:cstheme="majorBidi"/>
        </w:rPr>
        <w:t xml:space="preserve">(Lu et al., 2020; Shen et al., 2023). The fact that greenhouse gas emissions are always higher than </w:t>
      </w:r>
      <w:r w:rsidRPr="00BC6962">
        <w:rPr>
          <w:color w:val="FF0000"/>
        </w:rPr>
        <w:lastRenderedPageBreak/>
        <w:t>CO</w:t>
      </w:r>
      <w:r w:rsidRPr="00BC6962">
        <w:rPr>
          <w:color w:val="FF0000"/>
          <w:vertAlign w:val="subscript"/>
        </w:rPr>
        <w:t>2</w:t>
      </w:r>
      <w:r>
        <w:rPr>
          <w:color w:val="FF0000"/>
          <w:vertAlign w:val="subscript"/>
        </w:rPr>
        <w:t xml:space="preserve"> </w:t>
      </w:r>
      <w:r w:rsidRPr="53D46649">
        <w:rPr>
          <w:rFonts w:asciiTheme="majorBidi" w:eastAsia="SimSun" w:hAnsiTheme="majorBidi" w:cstheme="majorBidi"/>
        </w:rPr>
        <w:t>emissions (see Figure 2) indicates that China needs to address</w:t>
      </w:r>
      <w:r>
        <w:rPr>
          <w:rFonts w:asciiTheme="majorBidi" w:eastAsia="SimSun" w:hAnsiTheme="majorBidi" w:cstheme="majorBidi"/>
        </w:rPr>
        <w:t>,</w:t>
      </w:r>
      <w:r w:rsidRPr="53D46649">
        <w:rPr>
          <w:rFonts w:asciiTheme="majorBidi" w:eastAsia="SimSun" w:hAnsiTheme="majorBidi" w:cstheme="majorBidi"/>
        </w:rPr>
        <w:t xml:space="preserve"> not only </w:t>
      </w:r>
      <w:r w:rsidRPr="00BC6962">
        <w:rPr>
          <w:color w:val="FF0000"/>
        </w:rPr>
        <w:t>CO</w:t>
      </w:r>
      <w:r w:rsidRPr="00BC6962">
        <w:rPr>
          <w:color w:val="FF0000"/>
          <w:vertAlign w:val="subscript"/>
        </w:rPr>
        <w:t>2</w:t>
      </w:r>
      <w:r>
        <w:rPr>
          <w:color w:val="FF0000"/>
          <w:vertAlign w:val="subscript"/>
        </w:rPr>
        <w:t xml:space="preserve"> </w:t>
      </w:r>
      <w:r w:rsidRPr="53D46649">
        <w:rPr>
          <w:rFonts w:asciiTheme="majorBidi" w:eastAsia="SimSun" w:hAnsiTheme="majorBidi" w:cstheme="majorBidi"/>
        </w:rPr>
        <w:t>emissions</w:t>
      </w:r>
      <w:r>
        <w:rPr>
          <w:rFonts w:asciiTheme="majorBidi" w:eastAsia="SimSun" w:hAnsiTheme="majorBidi" w:cstheme="majorBidi"/>
        </w:rPr>
        <w:t>,</w:t>
      </w:r>
      <w:r w:rsidRPr="53D46649">
        <w:rPr>
          <w:rFonts w:asciiTheme="majorBidi" w:eastAsia="SimSun" w:hAnsiTheme="majorBidi" w:cstheme="majorBidi"/>
        </w:rPr>
        <w:t xml:space="preserve"> but also other greenhouse gases such as methane and nitrous oxide. Our results are consistent with existing studies (e.g., Hepburn et al., 2021; Li et al., 2021; Yang et al., 2021). We include four control variables to capture key factors that are commonly known to affect the relationship between the independent and the dependent variables. These controls include (1) </w:t>
      </w:r>
      <w:r>
        <w:rPr>
          <w:rFonts w:asciiTheme="majorBidi" w:eastAsia="SimSun" w:hAnsiTheme="majorBidi" w:cstheme="majorBidi"/>
        </w:rPr>
        <w:t xml:space="preserve">the </w:t>
      </w:r>
      <w:r w:rsidRPr="53D46649">
        <w:rPr>
          <w:rFonts w:asciiTheme="majorBidi" w:eastAsia="SimSun" w:hAnsiTheme="majorBidi" w:cstheme="majorBidi"/>
        </w:rPr>
        <w:t xml:space="preserve">price of coal which captures the cost of </w:t>
      </w:r>
      <w:r>
        <w:rPr>
          <w:rFonts w:asciiTheme="majorBidi" w:eastAsia="SimSun" w:hAnsiTheme="majorBidi" w:cstheme="majorBidi"/>
        </w:rPr>
        <w:t xml:space="preserve">the </w:t>
      </w:r>
      <w:r w:rsidRPr="53D46649">
        <w:rPr>
          <w:rFonts w:asciiTheme="majorBidi" w:eastAsia="SimSun" w:hAnsiTheme="majorBidi" w:cstheme="majorBidi"/>
        </w:rPr>
        <w:t xml:space="preserve">main energy source in China, (2) GDP which captures the production of goods and services, (3) </w:t>
      </w:r>
      <w:r>
        <w:rPr>
          <w:rFonts w:asciiTheme="majorBidi" w:eastAsia="SimSun" w:hAnsiTheme="majorBidi" w:cstheme="majorBidi"/>
        </w:rPr>
        <w:t xml:space="preserve">the </w:t>
      </w:r>
      <w:r w:rsidRPr="53D46649">
        <w:rPr>
          <w:rFonts w:asciiTheme="majorBidi" w:eastAsia="SimSun" w:hAnsiTheme="majorBidi" w:cstheme="majorBidi"/>
        </w:rPr>
        <w:t xml:space="preserve">export amount which captures the production due to foreign demand, and (4) Chinese population which captures the main usage of energy. Means of renewable energy proportion and of non-renewable energy proportion are 18.79% and 79.23%, respectively. Our study reveals that China still heavily relies on non-renewable energy sources, consistent with the findings of previous research (Shen et al., 2023; Wang et al., 2019) that attribute China's reliance on coal, oil, and natural gas to economic growth and </w:t>
      </w:r>
      <w:proofErr w:type="spellStart"/>
      <w:r w:rsidRPr="53D46649">
        <w:rPr>
          <w:rFonts w:asciiTheme="majorBidi" w:eastAsia="SimSun" w:hAnsiTheme="majorBidi" w:cstheme="majorBidi"/>
        </w:rPr>
        <w:t>industriali</w:t>
      </w:r>
      <w:r>
        <w:rPr>
          <w:rFonts w:asciiTheme="majorBidi" w:eastAsia="SimSun" w:hAnsiTheme="majorBidi" w:cstheme="majorBidi"/>
        </w:rPr>
        <w:t>s</w:t>
      </w:r>
      <w:r w:rsidRPr="53D46649">
        <w:rPr>
          <w:rFonts w:asciiTheme="majorBidi" w:eastAsia="SimSun" w:hAnsiTheme="majorBidi" w:cstheme="majorBidi"/>
        </w:rPr>
        <w:t>ation</w:t>
      </w:r>
      <w:proofErr w:type="spellEnd"/>
      <w:r w:rsidRPr="53D46649">
        <w:rPr>
          <w:rFonts w:asciiTheme="majorBidi" w:eastAsia="SimSun" w:hAnsiTheme="majorBidi" w:cstheme="majorBidi"/>
        </w:rPr>
        <w:t>. These results underscore the need for continued efforts to shift towards cleaner energy sources in China. Figure 3 displays the trends of both energy sources over the sample period, suggesting that China has made some progress in promoting the use of renewable energy sources.</w:t>
      </w:r>
    </w:p>
    <w:p w14:paraId="2DB5BE34" w14:textId="77777777" w:rsidR="007A39EB" w:rsidRDefault="007A39EB" w:rsidP="007A39EB">
      <w:pPr>
        <w:spacing w:after="160" w:line="259" w:lineRule="auto"/>
        <w:jc w:val="left"/>
        <w:rPr>
          <w:i/>
          <w:iCs/>
          <w:szCs w:val="24"/>
        </w:rPr>
      </w:pPr>
      <w:r>
        <w:rPr>
          <w:szCs w:val="24"/>
        </w:rPr>
        <w:br w:type="page"/>
      </w:r>
    </w:p>
    <w:p w14:paraId="304EAF61" w14:textId="77777777" w:rsidR="007A39EB" w:rsidRPr="00CB6F9C" w:rsidRDefault="007A39EB" w:rsidP="007A39EB">
      <w:pPr>
        <w:pStyle w:val="Caption"/>
        <w:rPr>
          <w:rFonts w:cs="Times New Roman"/>
          <w:color w:val="auto"/>
          <w:sz w:val="24"/>
          <w:szCs w:val="24"/>
        </w:rPr>
      </w:pPr>
      <w:r w:rsidRPr="00CB6F9C">
        <w:rPr>
          <w:color w:val="auto"/>
          <w:sz w:val="24"/>
          <w:szCs w:val="24"/>
        </w:rPr>
        <w:lastRenderedPageBreak/>
        <w:t xml:space="preserve">Table </w:t>
      </w:r>
      <w:r w:rsidRPr="00CB6F9C">
        <w:rPr>
          <w:color w:val="auto"/>
          <w:sz w:val="24"/>
          <w:szCs w:val="24"/>
        </w:rPr>
        <w:fldChar w:fldCharType="begin"/>
      </w:r>
      <w:r w:rsidRPr="00CB6F9C">
        <w:rPr>
          <w:color w:val="auto"/>
          <w:sz w:val="24"/>
          <w:szCs w:val="24"/>
        </w:rPr>
        <w:instrText xml:space="preserve"> SEQ Table \* ARABIC </w:instrText>
      </w:r>
      <w:r w:rsidRPr="00CB6F9C">
        <w:rPr>
          <w:color w:val="auto"/>
          <w:sz w:val="24"/>
          <w:szCs w:val="24"/>
        </w:rPr>
        <w:fldChar w:fldCharType="separate"/>
      </w:r>
      <w:r w:rsidRPr="00CB6F9C">
        <w:rPr>
          <w:noProof/>
          <w:color w:val="auto"/>
          <w:sz w:val="24"/>
          <w:szCs w:val="24"/>
        </w:rPr>
        <w:t>1</w:t>
      </w:r>
      <w:r w:rsidRPr="00CB6F9C">
        <w:rPr>
          <w:color w:val="auto"/>
          <w:sz w:val="24"/>
          <w:szCs w:val="24"/>
        </w:rPr>
        <w:fldChar w:fldCharType="end"/>
      </w:r>
      <w:r>
        <w:rPr>
          <w:color w:val="auto"/>
          <w:sz w:val="24"/>
          <w:szCs w:val="24"/>
        </w:rPr>
        <w:t>.</w:t>
      </w:r>
      <w:r w:rsidRPr="00CB6F9C">
        <w:rPr>
          <w:rFonts w:cs="Times New Roman"/>
          <w:color w:val="auto"/>
          <w:sz w:val="24"/>
          <w:szCs w:val="24"/>
        </w:rPr>
        <w:t xml:space="preserve"> Descriptive statistics</w:t>
      </w:r>
    </w:p>
    <w:tbl>
      <w:tblPr>
        <w:tblW w:w="8827" w:type="dxa"/>
        <w:tblInd w:w="-5" w:type="dxa"/>
        <w:tblLook w:val="04A0" w:firstRow="1" w:lastRow="0" w:firstColumn="1" w:lastColumn="0" w:noHBand="0" w:noVBand="1"/>
      </w:tblPr>
      <w:tblGrid>
        <w:gridCol w:w="2594"/>
        <w:gridCol w:w="595"/>
        <w:gridCol w:w="1129"/>
        <w:gridCol w:w="1760"/>
        <w:gridCol w:w="1620"/>
        <w:gridCol w:w="1129"/>
      </w:tblGrid>
      <w:tr w:rsidR="007A39EB" w:rsidRPr="001E387E" w14:paraId="2F423466" w14:textId="77777777" w:rsidTr="006962D0">
        <w:trPr>
          <w:trHeight w:val="310"/>
        </w:trPr>
        <w:tc>
          <w:tcPr>
            <w:tcW w:w="2594" w:type="dxa"/>
            <w:tcBorders>
              <w:top w:val="single" w:sz="4" w:space="0" w:color="auto"/>
              <w:bottom w:val="single" w:sz="4" w:space="0" w:color="auto"/>
            </w:tcBorders>
            <w:shd w:val="clear" w:color="auto" w:fill="auto"/>
            <w:noWrap/>
            <w:vAlign w:val="bottom"/>
            <w:hideMark/>
          </w:tcPr>
          <w:p w14:paraId="55AAE897"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Variables</w:t>
            </w:r>
          </w:p>
        </w:tc>
        <w:tc>
          <w:tcPr>
            <w:tcW w:w="595" w:type="dxa"/>
            <w:tcBorders>
              <w:top w:val="single" w:sz="4" w:space="0" w:color="auto"/>
              <w:bottom w:val="single" w:sz="4" w:space="0" w:color="auto"/>
            </w:tcBorders>
            <w:shd w:val="clear" w:color="auto" w:fill="auto"/>
            <w:noWrap/>
            <w:vAlign w:val="bottom"/>
            <w:hideMark/>
          </w:tcPr>
          <w:p w14:paraId="18A9C638"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Obs</w:t>
            </w:r>
            <w:proofErr w:type="spellEnd"/>
          </w:p>
        </w:tc>
        <w:tc>
          <w:tcPr>
            <w:tcW w:w="1129" w:type="dxa"/>
            <w:tcBorders>
              <w:top w:val="single" w:sz="4" w:space="0" w:color="auto"/>
              <w:bottom w:val="single" w:sz="4" w:space="0" w:color="auto"/>
            </w:tcBorders>
            <w:shd w:val="clear" w:color="auto" w:fill="auto"/>
            <w:noWrap/>
            <w:vAlign w:val="bottom"/>
            <w:hideMark/>
          </w:tcPr>
          <w:p w14:paraId="4426124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Mean</w:t>
            </w:r>
          </w:p>
        </w:tc>
        <w:tc>
          <w:tcPr>
            <w:tcW w:w="1760" w:type="dxa"/>
            <w:tcBorders>
              <w:top w:val="single" w:sz="4" w:space="0" w:color="auto"/>
              <w:bottom w:val="single" w:sz="4" w:space="0" w:color="auto"/>
            </w:tcBorders>
            <w:shd w:val="clear" w:color="auto" w:fill="auto"/>
            <w:noWrap/>
            <w:vAlign w:val="bottom"/>
            <w:hideMark/>
          </w:tcPr>
          <w:p w14:paraId="0397457F"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Std. Dev.</w:t>
            </w:r>
          </w:p>
        </w:tc>
        <w:tc>
          <w:tcPr>
            <w:tcW w:w="1620" w:type="dxa"/>
            <w:tcBorders>
              <w:top w:val="single" w:sz="4" w:space="0" w:color="auto"/>
              <w:bottom w:val="single" w:sz="4" w:space="0" w:color="auto"/>
            </w:tcBorders>
            <w:shd w:val="clear" w:color="auto" w:fill="auto"/>
            <w:noWrap/>
            <w:vAlign w:val="bottom"/>
            <w:hideMark/>
          </w:tcPr>
          <w:p w14:paraId="5D51D29B"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Min</w:t>
            </w:r>
          </w:p>
        </w:tc>
        <w:tc>
          <w:tcPr>
            <w:tcW w:w="1129" w:type="dxa"/>
            <w:tcBorders>
              <w:top w:val="single" w:sz="4" w:space="0" w:color="auto"/>
              <w:bottom w:val="single" w:sz="4" w:space="0" w:color="auto"/>
            </w:tcBorders>
            <w:shd w:val="clear" w:color="auto" w:fill="auto"/>
            <w:noWrap/>
            <w:vAlign w:val="bottom"/>
            <w:hideMark/>
          </w:tcPr>
          <w:p w14:paraId="27096A5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Max</w:t>
            </w:r>
          </w:p>
        </w:tc>
      </w:tr>
      <w:tr w:rsidR="007A39EB" w:rsidRPr="001E387E" w14:paraId="3ABB5B5F" w14:textId="77777777" w:rsidTr="006962D0">
        <w:trPr>
          <w:trHeight w:val="310"/>
        </w:trPr>
        <w:tc>
          <w:tcPr>
            <w:tcW w:w="2594" w:type="dxa"/>
            <w:tcBorders>
              <w:top w:val="single" w:sz="4" w:space="0" w:color="auto"/>
            </w:tcBorders>
            <w:shd w:val="clear" w:color="auto" w:fill="auto"/>
            <w:noWrap/>
            <w:vAlign w:val="bottom"/>
            <w:hideMark/>
          </w:tcPr>
          <w:p w14:paraId="19E0F2E4"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CO</w:t>
            </w:r>
            <w:r w:rsidRPr="00BC6962">
              <w:rPr>
                <w:rFonts w:ascii="Cambria" w:eastAsia="Times New Roman" w:hAnsi="Cambria" w:cs="Times New Roman"/>
                <w:b/>
                <w:bCs/>
                <w:sz w:val="20"/>
                <w:szCs w:val="20"/>
                <w:vertAlign w:val="subscript"/>
              </w:rPr>
              <w:t>2</w:t>
            </w:r>
            <w:r w:rsidRPr="001E387E">
              <w:rPr>
                <w:rFonts w:ascii="Cambria" w:eastAsia="Times New Roman" w:hAnsi="Cambria" w:cs="Times New Roman"/>
                <w:b/>
                <w:bCs/>
                <w:sz w:val="20"/>
                <w:szCs w:val="20"/>
              </w:rPr>
              <w:t>Emission</w:t>
            </w:r>
          </w:p>
        </w:tc>
        <w:tc>
          <w:tcPr>
            <w:tcW w:w="595" w:type="dxa"/>
            <w:tcBorders>
              <w:top w:val="single" w:sz="4" w:space="0" w:color="auto"/>
            </w:tcBorders>
            <w:shd w:val="clear" w:color="auto" w:fill="auto"/>
            <w:noWrap/>
            <w:vAlign w:val="bottom"/>
            <w:hideMark/>
          </w:tcPr>
          <w:p w14:paraId="65D2D36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tcBorders>
              <w:top w:val="single" w:sz="4" w:space="0" w:color="auto"/>
            </w:tcBorders>
            <w:shd w:val="clear" w:color="auto" w:fill="auto"/>
            <w:noWrap/>
            <w:vAlign w:val="bottom"/>
            <w:hideMark/>
          </w:tcPr>
          <w:p w14:paraId="640496D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1589139</w:t>
            </w:r>
          </w:p>
        </w:tc>
        <w:tc>
          <w:tcPr>
            <w:tcW w:w="1760" w:type="dxa"/>
            <w:tcBorders>
              <w:top w:val="single" w:sz="4" w:space="0" w:color="auto"/>
            </w:tcBorders>
            <w:shd w:val="clear" w:color="auto" w:fill="auto"/>
            <w:noWrap/>
            <w:vAlign w:val="bottom"/>
            <w:hideMark/>
          </w:tcPr>
          <w:p w14:paraId="1F1C9FF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823403.5</w:t>
            </w:r>
          </w:p>
        </w:tc>
        <w:tc>
          <w:tcPr>
            <w:tcW w:w="1620" w:type="dxa"/>
            <w:tcBorders>
              <w:top w:val="single" w:sz="4" w:space="0" w:color="auto"/>
            </w:tcBorders>
            <w:shd w:val="clear" w:color="auto" w:fill="auto"/>
            <w:noWrap/>
            <w:vAlign w:val="bottom"/>
            <w:hideMark/>
          </w:tcPr>
          <w:p w14:paraId="2830732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543340</w:t>
            </w:r>
          </w:p>
        </w:tc>
        <w:tc>
          <w:tcPr>
            <w:tcW w:w="1129" w:type="dxa"/>
            <w:tcBorders>
              <w:top w:val="single" w:sz="4" w:space="0" w:color="auto"/>
            </w:tcBorders>
            <w:shd w:val="clear" w:color="auto" w:fill="auto"/>
            <w:noWrap/>
            <w:vAlign w:val="bottom"/>
            <w:hideMark/>
          </w:tcPr>
          <w:p w14:paraId="65BDBAF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2925000</w:t>
            </w:r>
          </w:p>
        </w:tc>
      </w:tr>
      <w:tr w:rsidR="007A39EB" w:rsidRPr="001E387E" w14:paraId="74EBD30A" w14:textId="77777777" w:rsidTr="006962D0">
        <w:trPr>
          <w:trHeight w:val="310"/>
        </w:trPr>
        <w:tc>
          <w:tcPr>
            <w:tcW w:w="2594" w:type="dxa"/>
            <w:shd w:val="clear" w:color="auto" w:fill="auto"/>
            <w:noWrap/>
            <w:vAlign w:val="bottom"/>
            <w:hideMark/>
          </w:tcPr>
          <w:p w14:paraId="40AD0EB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LogCO</w:t>
            </w:r>
            <w:r w:rsidRPr="00BC6962">
              <w:rPr>
                <w:rFonts w:ascii="Cambria" w:eastAsia="Times New Roman" w:hAnsi="Cambria" w:cs="Times New Roman"/>
                <w:b/>
                <w:bCs/>
                <w:sz w:val="20"/>
                <w:szCs w:val="20"/>
                <w:vertAlign w:val="subscript"/>
              </w:rPr>
              <w:t>2</w:t>
            </w:r>
            <w:r w:rsidRPr="001E387E">
              <w:rPr>
                <w:rFonts w:ascii="Cambria" w:eastAsia="Times New Roman" w:hAnsi="Cambria" w:cs="Times New Roman"/>
                <w:b/>
                <w:bCs/>
                <w:sz w:val="20"/>
                <w:szCs w:val="20"/>
              </w:rPr>
              <w:t>Emission</w:t>
            </w:r>
          </w:p>
        </w:tc>
        <w:tc>
          <w:tcPr>
            <w:tcW w:w="595" w:type="dxa"/>
            <w:shd w:val="clear" w:color="auto" w:fill="auto"/>
            <w:noWrap/>
            <w:vAlign w:val="bottom"/>
            <w:hideMark/>
          </w:tcPr>
          <w:p w14:paraId="4A1AA66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7B6F678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1.686712</w:t>
            </w:r>
          </w:p>
        </w:tc>
        <w:tc>
          <w:tcPr>
            <w:tcW w:w="1760" w:type="dxa"/>
            <w:shd w:val="clear" w:color="auto" w:fill="auto"/>
            <w:noWrap/>
            <w:vAlign w:val="bottom"/>
            <w:hideMark/>
          </w:tcPr>
          <w:p w14:paraId="7BE4A91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0.065577925</w:t>
            </w:r>
          </w:p>
        </w:tc>
        <w:tc>
          <w:tcPr>
            <w:tcW w:w="1620" w:type="dxa"/>
            <w:shd w:val="clear" w:color="auto" w:fill="auto"/>
            <w:noWrap/>
            <w:vAlign w:val="bottom"/>
            <w:hideMark/>
          </w:tcPr>
          <w:p w14:paraId="0E38F1E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1.584283</w:t>
            </w:r>
          </w:p>
        </w:tc>
        <w:tc>
          <w:tcPr>
            <w:tcW w:w="1129" w:type="dxa"/>
            <w:shd w:val="clear" w:color="auto" w:fill="auto"/>
            <w:noWrap/>
            <w:vAlign w:val="bottom"/>
            <w:hideMark/>
          </w:tcPr>
          <w:p w14:paraId="39A4736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1.793526</w:t>
            </w:r>
          </w:p>
        </w:tc>
      </w:tr>
      <w:tr w:rsidR="007A39EB" w:rsidRPr="001E387E" w14:paraId="38B1458D" w14:textId="77777777" w:rsidTr="006962D0">
        <w:trPr>
          <w:trHeight w:val="310"/>
        </w:trPr>
        <w:tc>
          <w:tcPr>
            <w:tcW w:w="2594" w:type="dxa"/>
            <w:shd w:val="clear" w:color="auto" w:fill="auto"/>
            <w:noWrap/>
            <w:vAlign w:val="bottom"/>
            <w:hideMark/>
          </w:tcPr>
          <w:p w14:paraId="160C0F4F"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Greenhouse</w:t>
            </w:r>
          </w:p>
        </w:tc>
        <w:tc>
          <w:tcPr>
            <w:tcW w:w="595" w:type="dxa"/>
            <w:shd w:val="clear" w:color="auto" w:fill="auto"/>
            <w:noWrap/>
            <w:vAlign w:val="bottom"/>
            <w:hideMark/>
          </w:tcPr>
          <w:p w14:paraId="67B41A1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035A071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1974339</w:t>
            </w:r>
          </w:p>
        </w:tc>
        <w:tc>
          <w:tcPr>
            <w:tcW w:w="1760" w:type="dxa"/>
            <w:shd w:val="clear" w:color="auto" w:fill="auto"/>
            <w:noWrap/>
            <w:vAlign w:val="bottom"/>
            <w:hideMark/>
          </w:tcPr>
          <w:p w14:paraId="2FCF380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917588</w:t>
            </w:r>
          </w:p>
        </w:tc>
        <w:tc>
          <w:tcPr>
            <w:tcW w:w="1620" w:type="dxa"/>
            <w:shd w:val="clear" w:color="auto" w:fill="auto"/>
            <w:noWrap/>
            <w:vAlign w:val="bottom"/>
            <w:hideMark/>
          </w:tcPr>
          <w:p w14:paraId="3BA443B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805567.5</w:t>
            </w:r>
          </w:p>
        </w:tc>
        <w:tc>
          <w:tcPr>
            <w:tcW w:w="1129" w:type="dxa"/>
            <w:shd w:val="clear" w:color="auto" w:fill="auto"/>
            <w:noWrap/>
            <w:vAlign w:val="bottom"/>
            <w:hideMark/>
          </w:tcPr>
          <w:p w14:paraId="27C7D7D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3450000</w:t>
            </w:r>
          </w:p>
        </w:tc>
      </w:tr>
      <w:tr w:rsidR="007A39EB" w:rsidRPr="001E387E" w14:paraId="29933848" w14:textId="77777777" w:rsidTr="006962D0">
        <w:trPr>
          <w:trHeight w:val="310"/>
        </w:trPr>
        <w:tc>
          <w:tcPr>
            <w:tcW w:w="2594" w:type="dxa"/>
            <w:shd w:val="clear" w:color="auto" w:fill="auto"/>
            <w:noWrap/>
            <w:vAlign w:val="bottom"/>
            <w:hideMark/>
          </w:tcPr>
          <w:p w14:paraId="03C60D44"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LogGreenhouse</w:t>
            </w:r>
            <w:proofErr w:type="spellEnd"/>
          </w:p>
        </w:tc>
        <w:tc>
          <w:tcPr>
            <w:tcW w:w="595" w:type="dxa"/>
            <w:shd w:val="clear" w:color="auto" w:fill="auto"/>
            <w:noWrap/>
            <w:vAlign w:val="bottom"/>
            <w:hideMark/>
          </w:tcPr>
          <w:p w14:paraId="5FF7916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379273B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1.71182</w:t>
            </w:r>
          </w:p>
        </w:tc>
        <w:tc>
          <w:tcPr>
            <w:tcW w:w="1760" w:type="dxa"/>
            <w:shd w:val="clear" w:color="auto" w:fill="auto"/>
            <w:noWrap/>
            <w:vAlign w:val="bottom"/>
            <w:hideMark/>
          </w:tcPr>
          <w:p w14:paraId="086CFB2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0.054303125</w:t>
            </w:r>
          </w:p>
        </w:tc>
        <w:tc>
          <w:tcPr>
            <w:tcW w:w="1620" w:type="dxa"/>
            <w:shd w:val="clear" w:color="auto" w:fill="auto"/>
            <w:noWrap/>
            <w:vAlign w:val="bottom"/>
            <w:hideMark/>
          </w:tcPr>
          <w:p w14:paraId="57EC0DA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1.6270405</w:t>
            </w:r>
          </w:p>
        </w:tc>
        <w:tc>
          <w:tcPr>
            <w:tcW w:w="1129" w:type="dxa"/>
            <w:shd w:val="clear" w:color="auto" w:fill="auto"/>
            <w:noWrap/>
            <w:vAlign w:val="bottom"/>
            <w:hideMark/>
          </w:tcPr>
          <w:p w14:paraId="15D50E5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1.785211</w:t>
            </w:r>
          </w:p>
        </w:tc>
      </w:tr>
      <w:tr w:rsidR="007A39EB" w:rsidRPr="001E387E" w14:paraId="727BB7D5" w14:textId="77777777" w:rsidTr="006962D0">
        <w:trPr>
          <w:trHeight w:val="310"/>
        </w:trPr>
        <w:tc>
          <w:tcPr>
            <w:tcW w:w="2594" w:type="dxa"/>
            <w:shd w:val="clear" w:color="auto" w:fill="auto"/>
            <w:noWrap/>
            <w:vAlign w:val="bottom"/>
            <w:hideMark/>
          </w:tcPr>
          <w:p w14:paraId="0FE2E97E"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Renewable</w:t>
            </w:r>
          </w:p>
        </w:tc>
        <w:tc>
          <w:tcPr>
            <w:tcW w:w="595" w:type="dxa"/>
            <w:shd w:val="clear" w:color="auto" w:fill="auto"/>
            <w:noWrap/>
            <w:vAlign w:val="bottom"/>
            <w:hideMark/>
          </w:tcPr>
          <w:p w14:paraId="0F24374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7B68801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18.79127</w:t>
            </w:r>
          </w:p>
        </w:tc>
        <w:tc>
          <w:tcPr>
            <w:tcW w:w="1760" w:type="dxa"/>
            <w:shd w:val="clear" w:color="auto" w:fill="auto"/>
            <w:noWrap/>
            <w:vAlign w:val="bottom"/>
            <w:hideMark/>
          </w:tcPr>
          <w:p w14:paraId="7306FD7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2.83503</w:t>
            </w:r>
          </w:p>
        </w:tc>
        <w:tc>
          <w:tcPr>
            <w:tcW w:w="1620" w:type="dxa"/>
            <w:shd w:val="clear" w:color="auto" w:fill="auto"/>
            <w:noWrap/>
            <w:vAlign w:val="bottom"/>
            <w:hideMark/>
          </w:tcPr>
          <w:p w14:paraId="6E37D6D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15.03704</w:t>
            </w:r>
          </w:p>
        </w:tc>
        <w:tc>
          <w:tcPr>
            <w:tcW w:w="1129" w:type="dxa"/>
            <w:shd w:val="clear" w:color="auto" w:fill="auto"/>
            <w:noWrap/>
            <w:vAlign w:val="bottom"/>
            <w:hideMark/>
          </w:tcPr>
          <w:p w14:paraId="6F38D62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25.54805</w:t>
            </w:r>
          </w:p>
        </w:tc>
      </w:tr>
      <w:tr w:rsidR="007A39EB" w:rsidRPr="001E387E" w14:paraId="74F51388" w14:textId="77777777" w:rsidTr="006962D0">
        <w:trPr>
          <w:trHeight w:val="310"/>
        </w:trPr>
        <w:tc>
          <w:tcPr>
            <w:tcW w:w="2594" w:type="dxa"/>
            <w:shd w:val="clear" w:color="auto" w:fill="auto"/>
            <w:noWrap/>
            <w:vAlign w:val="bottom"/>
            <w:hideMark/>
          </w:tcPr>
          <w:p w14:paraId="0F484C5C"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NonRenewable</w:t>
            </w:r>
            <w:proofErr w:type="spellEnd"/>
          </w:p>
        </w:tc>
        <w:tc>
          <w:tcPr>
            <w:tcW w:w="595" w:type="dxa"/>
            <w:shd w:val="clear" w:color="auto" w:fill="auto"/>
            <w:noWrap/>
            <w:vAlign w:val="bottom"/>
            <w:hideMark/>
          </w:tcPr>
          <w:p w14:paraId="63A6212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775232F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79.22868</w:t>
            </w:r>
          </w:p>
        </w:tc>
        <w:tc>
          <w:tcPr>
            <w:tcW w:w="1760" w:type="dxa"/>
            <w:shd w:val="clear" w:color="auto" w:fill="auto"/>
            <w:noWrap/>
            <w:vAlign w:val="bottom"/>
            <w:hideMark/>
          </w:tcPr>
          <w:p w14:paraId="277B676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3.994484</w:t>
            </w:r>
          </w:p>
        </w:tc>
        <w:tc>
          <w:tcPr>
            <w:tcW w:w="1620" w:type="dxa"/>
            <w:shd w:val="clear" w:color="auto" w:fill="auto"/>
            <w:noWrap/>
            <w:vAlign w:val="bottom"/>
            <w:hideMark/>
          </w:tcPr>
          <w:p w14:paraId="443BDE7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67.98457</w:t>
            </w:r>
          </w:p>
        </w:tc>
        <w:tc>
          <w:tcPr>
            <w:tcW w:w="1129" w:type="dxa"/>
            <w:shd w:val="clear" w:color="auto" w:fill="auto"/>
            <w:noWrap/>
            <w:vAlign w:val="bottom"/>
            <w:hideMark/>
          </w:tcPr>
          <w:p w14:paraId="47D296E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82.84348</w:t>
            </w:r>
          </w:p>
        </w:tc>
      </w:tr>
      <w:tr w:rsidR="007A39EB" w:rsidRPr="001E387E" w14:paraId="01AD209F" w14:textId="77777777" w:rsidTr="006962D0">
        <w:trPr>
          <w:trHeight w:val="310"/>
        </w:trPr>
        <w:tc>
          <w:tcPr>
            <w:tcW w:w="2594" w:type="dxa"/>
            <w:shd w:val="clear" w:color="auto" w:fill="auto"/>
            <w:noWrap/>
            <w:vAlign w:val="bottom"/>
            <w:hideMark/>
          </w:tcPr>
          <w:p w14:paraId="78FB37E5"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CoalRents</w:t>
            </w:r>
            <w:proofErr w:type="spellEnd"/>
          </w:p>
        </w:tc>
        <w:tc>
          <w:tcPr>
            <w:tcW w:w="595" w:type="dxa"/>
            <w:shd w:val="clear" w:color="auto" w:fill="auto"/>
            <w:noWrap/>
            <w:vAlign w:val="bottom"/>
            <w:hideMark/>
          </w:tcPr>
          <w:p w14:paraId="589C572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00C97DD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0.295926</w:t>
            </w:r>
          </w:p>
        </w:tc>
        <w:tc>
          <w:tcPr>
            <w:tcW w:w="1760" w:type="dxa"/>
            <w:shd w:val="clear" w:color="auto" w:fill="auto"/>
            <w:noWrap/>
            <w:vAlign w:val="bottom"/>
            <w:hideMark/>
          </w:tcPr>
          <w:p w14:paraId="4CEC894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0.2849875</w:t>
            </w:r>
          </w:p>
        </w:tc>
        <w:tc>
          <w:tcPr>
            <w:tcW w:w="1620" w:type="dxa"/>
            <w:shd w:val="clear" w:color="auto" w:fill="auto"/>
            <w:noWrap/>
            <w:vAlign w:val="bottom"/>
            <w:hideMark/>
          </w:tcPr>
          <w:p w14:paraId="295C28A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0.0156994</w:t>
            </w:r>
          </w:p>
        </w:tc>
        <w:tc>
          <w:tcPr>
            <w:tcW w:w="1129" w:type="dxa"/>
            <w:shd w:val="clear" w:color="auto" w:fill="auto"/>
            <w:noWrap/>
            <w:vAlign w:val="bottom"/>
            <w:hideMark/>
          </w:tcPr>
          <w:p w14:paraId="4F90D0F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1.238028</w:t>
            </w:r>
          </w:p>
        </w:tc>
      </w:tr>
      <w:tr w:rsidR="007A39EB" w:rsidRPr="001E387E" w14:paraId="7FF9C6A2" w14:textId="77777777" w:rsidTr="006962D0">
        <w:trPr>
          <w:trHeight w:val="310"/>
        </w:trPr>
        <w:tc>
          <w:tcPr>
            <w:tcW w:w="2594" w:type="dxa"/>
            <w:shd w:val="clear" w:color="auto" w:fill="auto"/>
            <w:noWrap/>
            <w:vAlign w:val="bottom"/>
            <w:hideMark/>
          </w:tcPr>
          <w:p w14:paraId="69C93087"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GDP (in trillion)</w:t>
            </w:r>
          </w:p>
        </w:tc>
        <w:tc>
          <w:tcPr>
            <w:tcW w:w="595" w:type="dxa"/>
            <w:shd w:val="clear" w:color="auto" w:fill="auto"/>
            <w:noWrap/>
            <w:vAlign w:val="bottom"/>
            <w:hideMark/>
          </w:tcPr>
          <w:p w14:paraId="665790C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485AC63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9.766143</w:t>
            </w:r>
          </w:p>
        </w:tc>
        <w:tc>
          <w:tcPr>
            <w:tcW w:w="1760" w:type="dxa"/>
            <w:shd w:val="clear" w:color="auto" w:fill="auto"/>
            <w:noWrap/>
            <w:vAlign w:val="bottom"/>
            <w:hideMark/>
          </w:tcPr>
          <w:p w14:paraId="5D72F93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7.2307675</w:t>
            </w:r>
          </w:p>
        </w:tc>
        <w:tc>
          <w:tcPr>
            <w:tcW w:w="1620" w:type="dxa"/>
            <w:shd w:val="clear" w:color="auto" w:fill="auto"/>
            <w:noWrap/>
            <w:vAlign w:val="bottom"/>
            <w:hideMark/>
          </w:tcPr>
          <w:p w14:paraId="1ED030B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1.59949825</w:t>
            </w:r>
          </w:p>
        </w:tc>
        <w:tc>
          <w:tcPr>
            <w:tcW w:w="1129" w:type="dxa"/>
            <w:shd w:val="clear" w:color="auto" w:fill="auto"/>
            <w:noWrap/>
            <w:vAlign w:val="bottom"/>
            <w:hideMark/>
          </w:tcPr>
          <w:p w14:paraId="33E8AB2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24.6016</w:t>
            </w:r>
          </w:p>
        </w:tc>
      </w:tr>
      <w:tr w:rsidR="007A39EB" w:rsidRPr="001E387E" w14:paraId="00BADDD9" w14:textId="77777777" w:rsidTr="006962D0">
        <w:trPr>
          <w:trHeight w:val="290"/>
        </w:trPr>
        <w:tc>
          <w:tcPr>
            <w:tcW w:w="2594" w:type="dxa"/>
            <w:shd w:val="clear" w:color="auto" w:fill="auto"/>
            <w:noWrap/>
            <w:vAlign w:val="bottom"/>
            <w:hideMark/>
          </w:tcPr>
          <w:p w14:paraId="2C463727"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LogGDP</w:t>
            </w:r>
            <w:proofErr w:type="spellEnd"/>
          </w:p>
        </w:tc>
        <w:tc>
          <w:tcPr>
            <w:tcW w:w="595" w:type="dxa"/>
            <w:shd w:val="clear" w:color="auto" w:fill="auto"/>
            <w:noWrap/>
            <w:vAlign w:val="bottom"/>
            <w:hideMark/>
          </w:tcPr>
          <w:p w14:paraId="1CBEA83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5947FFA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3.363988</w:t>
            </w:r>
          </w:p>
        </w:tc>
        <w:tc>
          <w:tcPr>
            <w:tcW w:w="1760" w:type="dxa"/>
            <w:shd w:val="clear" w:color="auto" w:fill="auto"/>
            <w:noWrap/>
            <w:vAlign w:val="bottom"/>
            <w:hideMark/>
          </w:tcPr>
          <w:p w14:paraId="3A28647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0.0919846</w:t>
            </w:r>
          </w:p>
        </w:tc>
        <w:tc>
          <w:tcPr>
            <w:tcW w:w="1620" w:type="dxa"/>
            <w:shd w:val="clear" w:color="auto" w:fill="auto"/>
            <w:noWrap/>
            <w:vAlign w:val="bottom"/>
            <w:hideMark/>
          </w:tcPr>
          <w:p w14:paraId="3AA21FA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3.20151</w:t>
            </w:r>
          </w:p>
        </w:tc>
        <w:tc>
          <w:tcPr>
            <w:tcW w:w="1129" w:type="dxa"/>
            <w:shd w:val="clear" w:color="auto" w:fill="auto"/>
            <w:noWrap/>
            <w:vAlign w:val="bottom"/>
            <w:hideMark/>
          </w:tcPr>
          <w:p w14:paraId="78A583B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3.498255</w:t>
            </w:r>
          </w:p>
        </w:tc>
      </w:tr>
      <w:tr w:rsidR="007A39EB" w:rsidRPr="001E387E" w14:paraId="5B99010B" w14:textId="77777777" w:rsidTr="006962D0">
        <w:trPr>
          <w:trHeight w:val="290"/>
        </w:trPr>
        <w:tc>
          <w:tcPr>
            <w:tcW w:w="2594" w:type="dxa"/>
            <w:shd w:val="clear" w:color="auto" w:fill="auto"/>
            <w:noWrap/>
            <w:vAlign w:val="bottom"/>
            <w:hideMark/>
          </w:tcPr>
          <w:p w14:paraId="1BDD83B5"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Export</w:t>
            </w:r>
          </w:p>
        </w:tc>
        <w:tc>
          <w:tcPr>
            <w:tcW w:w="595" w:type="dxa"/>
            <w:shd w:val="clear" w:color="auto" w:fill="auto"/>
            <w:noWrap/>
            <w:vAlign w:val="bottom"/>
            <w:hideMark/>
          </w:tcPr>
          <w:p w14:paraId="1C12813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0CF4AEE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278.071</w:t>
            </w:r>
          </w:p>
        </w:tc>
        <w:tc>
          <w:tcPr>
            <w:tcW w:w="1760" w:type="dxa"/>
            <w:shd w:val="clear" w:color="auto" w:fill="auto"/>
            <w:noWrap/>
            <w:vAlign w:val="bottom"/>
            <w:hideMark/>
          </w:tcPr>
          <w:p w14:paraId="21E6BCC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241.485825</w:t>
            </w:r>
          </w:p>
        </w:tc>
        <w:tc>
          <w:tcPr>
            <w:tcW w:w="1620" w:type="dxa"/>
            <w:shd w:val="clear" w:color="auto" w:fill="auto"/>
            <w:noWrap/>
            <w:vAlign w:val="bottom"/>
            <w:hideMark/>
          </w:tcPr>
          <w:p w14:paraId="2BE5133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15.52275</w:t>
            </w:r>
          </w:p>
        </w:tc>
        <w:tc>
          <w:tcPr>
            <w:tcW w:w="1129" w:type="dxa"/>
            <w:shd w:val="clear" w:color="auto" w:fill="auto"/>
            <w:noWrap/>
            <w:vAlign w:val="bottom"/>
            <w:hideMark/>
          </w:tcPr>
          <w:p w14:paraId="0E1F234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661.9958</w:t>
            </w:r>
          </w:p>
        </w:tc>
      </w:tr>
      <w:tr w:rsidR="007A39EB" w:rsidRPr="001E387E" w14:paraId="23E3C9B0" w14:textId="77777777" w:rsidTr="006962D0">
        <w:trPr>
          <w:trHeight w:val="290"/>
        </w:trPr>
        <w:tc>
          <w:tcPr>
            <w:tcW w:w="2594" w:type="dxa"/>
            <w:shd w:val="clear" w:color="auto" w:fill="auto"/>
            <w:noWrap/>
            <w:vAlign w:val="bottom"/>
            <w:hideMark/>
          </w:tcPr>
          <w:p w14:paraId="17C9E591"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LogExport</w:t>
            </w:r>
            <w:proofErr w:type="spellEnd"/>
          </w:p>
        </w:tc>
        <w:tc>
          <w:tcPr>
            <w:tcW w:w="595" w:type="dxa"/>
            <w:shd w:val="clear" w:color="auto" w:fill="auto"/>
            <w:noWrap/>
            <w:vAlign w:val="bottom"/>
            <w:hideMark/>
          </w:tcPr>
          <w:p w14:paraId="3778B05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2C10AF3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2.952005</w:t>
            </w:r>
          </w:p>
        </w:tc>
        <w:tc>
          <w:tcPr>
            <w:tcW w:w="1760" w:type="dxa"/>
            <w:shd w:val="clear" w:color="auto" w:fill="auto"/>
            <w:noWrap/>
            <w:vAlign w:val="bottom"/>
            <w:hideMark/>
          </w:tcPr>
          <w:p w14:paraId="171F067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0.151322525</w:t>
            </w:r>
          </w:p>
        </w:tc>
        <w:tc>
          <w:tcPr>
            <w:tcW w:w="1620" w:type="dxa"/>
            <w:shd w:val="clear" w:color="auto" w:fill="auto"/>
            <w:noWrap/>
            <w:vAlign w:val="bottom"/>
            <w:hideMark/>
          </w:tcPr>
          <w:p w14:paraId="1C478DC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2.6982575</w:t>
            </w:r>
          </w:p>
        </w:tc>
        <w:tc>
          <w:tcPr>
            <w:tcW w:w="1129" w:type="dxa"/>
            <w:shd w:val="clear" w:color="auto" w:fill="auto"/>
            <w:noWrap/>
            <w:vAlign w:val="bottom"/>
            <w:hideMark/>
          </w:tcPr>
          <w:p w14:paraId="0017960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3.19883</w:t>
            </w:r>
          </w:p>
        </w:tc>
      </w:tr>
      <w:tr w:rsidR="007A39EB" w:rsidRPr="001E387E" w14:paraId="213C239B" w14:textId="77777777" w:rsidTr="006962D0">
        <w:trPr>
          <w:trHeight w:val="290"/>
        </w:trPr>
        <w:tc>
          <w:tcPr>
            <w:tcW w:w="2594" w:type="dxa"/>
            <w:shd w:val="clear" w:color="auto" w:fill="auto"/>
            <w:noWrap/>
            <w:vAlign w:val="bottom"/>
            <w:hideMark/>
          </w:tcPr>
          <w:p w14:paraId="74BD266C"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Population (million)</w:t>
            </w:r>
          </w:p>
        </w:tc>
        <w:tc>
          <w:tcPr>
            <w:tcW w:w="595" w:type="dxa"/>
            <w:shd w:val="clear" w:color="auto" w:fill="auto"/>
            <w:noWrap/>
            <w:vAlign w:val="bottom"/>
            <w:hideMark/>
          </w:tcPr>
          <w:p w14:paraId="177801A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shd w:val="clear" w:color="auto" w:fill="auto"/>
            <w:noWrap/>
            <w:vAlign w:val="bottom"/>
            <w:hideMark/>
          </w:tcPr>
          <w:p w14:paraId="71E37C3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1286.032</w:t>
            </w:r>
          </w:p>
        </w:tc>
        <w:tc>
          <w:tcPr>
            <w:tcW w:w="1760" w:type="dxa"/>
            <w:shd w:val="clear" w:color="auto" w:fill="auto"/>
            <w:noWrap/>
            <w:vAlign w:val="bottom"/>
            <w:hideMark/>
          </w:tcPr>
          <w:p w14:paraId="3F20438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77.69928</w:t>
            </w:r>
          </w:p>
        </w:tc>
        <w:tc>
          <w:tcPr>
            <w:tcW w:w="1620" w:type="dxa"/>
            <w:shd w:val="clear" w:color="auto" w:fill="auto"/>
            <w:noWrap/>
            <w:vAlign w:val="bottom"/>
            <w:hideMark/>
          </w:tcPr>
          <w:p w14:paraId="53CCA42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1135.185</w:t>
            </w:r>
          </w:p>
        </w:tc>
        <w:tc>
          <w:tcPr>
            <w:tcW w:w="1129" w:type="dxa"/>
            <w:shd w:val="clear" w:color="auto" w:fill="auto"/>
            <w:noWrap/>
            <w:vAlign w:val="bottom"/>
            <w:hideMark/>
          </w:tcPr>
          <w:p w14:paraId="6CC373B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1402.76</w:t>
            </w:r>
          </w:p>
        </w:tc>
      </w:tr>
      <w:tr w:rsidR="007A39EB" w:rsidRPr="001E387E" w14:paraId="0C640FB2" w14:textId="77777777" w:rsidTr="006962D0">
        <w:trPr>
          <w:trHeight w:val="290"/>
        </w:trPr>
        <w:tc>
          <w:tcPr>
            <w:tcW w:w="2594" w:type="dxa"/>
            <w:tcBorders>
              <w:bottom w:val="single" w:sz="4" w:space="0" w:color="auto"/>
            </w:tcBorders>
            <w:shd w:val="clear" w:color="auto" w:fill="auto"/>
            <w:noWrap/>
            <w:vAlign w:val="bottom"/>
            <w:hideMark/>
          </w:tcPr>
          <w:p w14:paraId="1B2EB439" w14:textId="77777777" w:rsidR="007A39EB" w:rsidRPr="001E387E"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LogPopulation</w:t>
            </w:r>
            <w:proofErr w:type="spellEnd"/>
          </w:p>
        </w:tc>
        <w:tc>
          <w:tcPr>
            <w:tcW w:w="595" w:type="dxa"/>
            <w:tcBorders>
              <w:bottom w:val="single" w:sz="4" w:space="0" w:color="auto"/>
            </w:tcBorders>
            <w:shd w:val="clear" w:color="auto" w:fill="auto"/>
            <w:noWrap/>
            <w:vAlign w:val="bottom"/>
            <w:hideMark/>
          </w:tcPr>
          <w:p w14:paraId="69C4AA0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129" w:type="dxa"/>
            <w:tcBorders>
              <w:bottom w:val="single" w:sz="4" w:space="0" w:color="auto"/>
            </w:tcBorders>
            <w:shd w:val="clear" w:color="auto" w:fill="auto"/>
            <w:noWrap/>
            <w:vAlign w:val="bottom"/>
            <w:hideMark/>
          </w:tcPr>
          <w:p w14:paraId="38BC892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9.108474</w:t>
            </w:r>
          </w:p>
        </w:tc>
        <w:tc>
          <w:tcPr>
            <w:tcW w:w="1760" w:type="dxa"/>
            <w:tcBorders>
              <w:bottom w:val="single" w:sz="4" w:space="0" w:color="auto"/>
            </w:tcBorders>
            <w:shd w:val="clear" w:color="auto" w:fill="auto"/>
            <w:noWrap/>
            <w:vAlign w:val="bottom"/>
            <w:hideMark/>
          </w:tcPr>
          <w:p w14:paraId="33E7054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0.0265675</w:t>
            </w:r>
          </w:p>
        </w:tc>
        <w:tc>
          <w:tcPr>
            <w:tcW w:w="1620" w:type="dxa"/>
            <w:tcBorders>
              <w:bottom w:val="single" w:sz="4" w:space="0" w:color="auto"/>
            </w:tcBorders>
            <w:shd w:val="clear" w:color="auto" w:fill="auto"/>
            <w:noWrap/>
            <w:vAlign w:val="bottom"/>
            <w:hideMark/>
          </w:tcPr>
          <w:p w14:paraId="40C303C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9.055067</w:t>
            </w:r>
          </w:p>
        </w:tc>
        <w:tc>
          <w:tcPr>
            <w:tcW w:w="1129" w:type="dxa"/>
            <w:tcBorders>
              <w:bottom w:val="single" w:sz="4" w:space="0" w:color="auto"/>
            </w:tcBorders>
            <w:shd w:val="clear" w:color="auto" w:fill="auto"/>
            <w:noWrap/>
            <w:vAlign w:val="bottom"/>
            <w:hideMark/>
          </w:tcPr>
          <w:p w14:paraId="1475F5D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9.146983</w:t>
            </w:r>
          </w:p>
        </w:tc>
      </w:tr>
    </w:tbl>
    <w:p w14:paraId="75BADF0D" w14:textId="77777777" w:rsidR="007A39EB" w:rsidRDefault="007A39EB" w:rsidP="007A39EB">
      <w:pPr>
        <w:spacing w:before="100" w:beforeAutospacing="1" w:after="100" w:afterAutospacing="1"/>
        <w:ind w:firstLine="709"/>
        <w:rPr>
          <w:rFonts w:asciiTheme="majorBidi" w:eastAsia="SimSun" w:hAnsiTheme="majorBidi" w:cstheme="majorBidi"/>
          <w:szCs w:val="24"/>
        </w:rPr>
      </w:pPr>
    </w:p>
    <w:p w14:paraId="1D0BE931" w14:textId="77777777" w:rsidR="007A39EB" w:rsidRPr="00CB6F9C" w:rsidRDefault="007A39EB" w:rsidP="007A39EB">
      <w:pPr>
        <w:pStyle w:val="Caption"/>
        <w:rPr>
          <w:color w:val="auto"/>
          <w:sz w:val="24"/>
          <w:szCs w:val="24"/>
        </w:rPr>
      </w:pPr>
      <w:r w:rsidRPr="00CB6F9C">
        <w:rPr>
          <w:color w:val="auto"/>
          <w:sz w:val="24"/>
          <w:szCs w:val="24"/>
        </w:rPr>
        <w:t xml:space="preserve">Figure </w:t>
      </w:r>
      <w:r w:rsidRPr="00CB6F9C">
        <w:rPr>
          <w:color w:val="auto"/>
          <w:sz w:val="24"/>
          <w:szCs w:val="24"/>
        </w:rPr>
        <w:fldChar w:fldCharType="begin"/>
      </w:r>
      <w:r w:rsidRPr="00CB6F9C">
        <w:rPr>
          <w:color w:val="auto"/>
          <w:sz w:val="24"/>
          <w:szCs w:val="24"/>
        </w:rPr>
        <w:instrText xml:space="preserve"> SEQ Figure \* ARABIC </w:instrText>
      </w:r>
      <w:r w:rsidRPr="00CB6F9C">
        <w:rPr>
          <w:color w:val="auto"/>
          <w:sz w:val="24"/>
          <w:szCs w:val="24"/>
        </w:rPr>
        <w:fldChar w:fldCharType="separate"/>
      </w:r>
      <w:r w:rsidRPr="00CB6F9C">
        <w:rPr>
          <w:noProof/>
          <w:color w:val="auto"/>
          <w:sz w:val="24"/>
          <w:szCs w:val="24"/>
        </w:rPr>
        <w:t>2</w:t>
      </w:r>
      <w:r w:rsidRPr="00CB6F9C">
        <w:rPr>
          <w:color w:val="auto"/>
          <w:sz w:val="24"/>
          <w:szCs w:val="24"/>
        </w:rPr>
        <w:fldChar w:fldCharType="end"/>
      </w:r>
      <w:r>
        <w:rPr>
          <w:color w:val="auto"/>
          <w:sz w:val="24"/>
          <w:szCs w:val="24"/>
        </w:rPr>
        <w:t>.</w:t>
      </w:r>
      <w:r w:rsidRPr="00CB6F9C">
        <w:rPr>
          <w:color w:val="auto"/>
          <w:sz w:val="24"/>
          <w:szCs w:val="24"/>
        </w:rPr>
        <w:t xml:space="preserve"> China air pollution over years</w:t>
      </w:r>
    </w:p>
    <w:p w14:paraId="6CFDACD4" w14:textId="77777777" w:rsidR="007A39EB" w:rsidRPr="00F91F8B" w:rsidRDefault="007A39EB" w:rsidP="007A39EB">
      <w:pPr>
        <w:keepNext/>
        <w:rPr>
          <w:szCs w:val="24"/>
        </w:rPr>
      </w:pPr>
      <w:r w:rsidRPr="00CB6F9C">
        <w:rPr>
          <w:noProof/>
          <w:szCs w:val="24"/>
        </w:rPr>
        <w:drawing>
          <wp:inline distT="0" distB="0" distL="0" distR="0" wp14:anchorId="273BD876" wp14:editId="3DEBF53E">
            <wp:extent cx="5731510" cy="2792730"/>
            <wp:effectExtent l="0" t="0" r="2540" b="7620"/>
            <wp:docPr id="2" name="Chart 2">
              <a:extLst xmlns:a="http://schemas.openxmlformats.org/drawingml/2006/main">
                <a:ext uri="{FF2B5EF4-FFF2-40B4-BE49-F238E27FC236}">
                  <a16:creationId xmlns:a16="http://schemas.microsoft.com/office/drawing/2014/main" id="{C843E89E-DF05-4AB8-990E-77FDE5EDDC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B6F9C">
        <w:rPr>
          <w:szCs w:val="24"/>
        </w:rPr>
        <w:t>Source: The World Bank and National Bureau of Statistics of China databases</w:t>
      </w:r>
    </w:p>
    <w:p w14:paraId="5ADC2B6A" w14:textId="77777777" w:rsidR="007A39EB" w:rsidRDefault="007A39EB" w:rsidP="007A39EB">
      <w:pPr>
        <w:spacing w:after="160" w:line="259" w:lineRule="auto"/>
        <w:jc w:val="left"/>
        <w:rPr>
          <w:i/>
          <w:iCs/>
          <w:szCs w:val="24"/>
        </w:rPr>
      </w:pPr>
      <w:r>
        <w:rPr>
          <w:szCs w:val="24"/>
        </w:rPr>
        <w:br w:type="page"/>
      </w:r>
    </w:p>
    <w:p w14:paraId="4B7A58A6" w14:textId="77777777" w:rsidR="007A39EB" w:rsidRPr="00CB6F9C" w:rsidRDefault="007A39EB" w:rsidP="007A39EB">
      <w:pPr>
        <w:pStyle w:val="Caption"/>
        <w:rPr>
          <w:color w:val="auto"/>
          <w:sz w:val="24"/>
          <w:szCs w:val="24"/>
        </w:rPr>
      </w:pPr>
      <w:r w:rsidRPr="00CB6F9C">
        <w:rPr>
          <w:color w:val="auto"/>
          <w:sz w:val="24"/>
          <w:szCs w:val="24"/>
        </w:rPr>
        <w:lastRenderedPageBreak/>
        <w:t xml:space="preserve">Figure </w:t>
      </w:r>
      <w:r w:rsidRPr="00CB6F9C">
        <w:rPr>
          <w:color w:val="auto"/>
          <w:sz w:val="24"/>
          <w:szCs w:val="24"/>
        </w:rPr>
        <w:fldChar w:fldCharType="begin"/>
      </w:r>
      <w:r w:rsidRPr="00CB6F9C">
        <w:rPr>
          <w:color w:val="auto"/>
          <w:sz w:val="24"/>
          <w:szCs w:val="24"/>
        </w:rPr>
        <w:instrText xml:space="preserve"> SEQ Figure \* ARABIC </w:instrText>
      </w:r>
      <w:r w:rsidRPr="00CB6F9C">
        <w:rPr>
          <w:color w:val="auto"/>
          <w:sz w:val="24"/>
          <w:szCs w:val="24"/>
        </w:rPr>
        <w:fldChar w:fldCharType="separate"/>
      </w:r>
      <w:r w:rsidRPr="00CB6F9C">
        <w:rPr>
          <w:noProof/>
          <w:color w:val="auto"/>
          <w:sz w:val="24"/>
          <w:szCs w:val="24"/>
        </w:rPr>
        <w:t>3</w:t>
      </w:r>
      <w:r w:rsidRPr="00CB6F9C">
        <w:rPr>
          <w:color w:val="auto"/>
          <w:sz w:val="24"/>
          <w:szCs w:val="24"/>
        </w:rPr>
        <w:fldChar w:fldCharType="end"/>
      </w:r>
      <w:r>
        <w:rPr>
          <w:color w:val="auto"/>
          <w:sz w:val="24"/>
          <w:szCs w:val="24"/>
        </w:rPr>
        <w:t>.</w:t>
      </w:r>
      <w:r w:rsidRPr="00CB6F9C">
        <w:rPr>
          <w:color w:val="auto"/>
          <w:sz w:val="24"/>
          <w:szCs w:val="24"/>
        </w:rPr>
        <w:t xml:space="preserve"> Renewable vs. non-renewable energy output in percentage</w:t>
      </w:r>
    </w:p>
    <w:p w14:paraId="2FA7BBA9" w14:textId="77777777" w:rsidR="007A39EB" w:rsidRPr="00F91F8B" w:rsidRDefault="007A39EB" w:rsidP="007A39EB">
      <w:r w:rsidRPr="00CB6F9C">
        <w:rPr>
          <w:noProof/>
        </w:rPr>
        <w:drawing>
          <wp:inline distT="0" distB="0" distL="0" distR="0" wp14:anchorId="202C2537" wp14:editId="589C72B7">
            <wp:extent cx="5731510" cy="2357755"/>
            <wp:effectExtent l="0" t="0" r="2540" b="4445"/>
            <wp:docPr id="3" name="Chart 3">
              <a:extLst xmlns:a="http://schemas.openxmlformats.org/drawingml/2006/main">
                <a:ext uri="{FF2B5EF4-FFF2-40B4-BE49-F238E27FC236}">
                  <a16:creationId xmlns:a16="http://schemas.microsoft.com/office/drawing/2014/main" id="{E30E8E3A-47AA-4B1B-B03C-710B93C929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B6F9C">
        <w:rPr>
          <w:szCs w:val="24"/>
        </w:rPr>
        <w:t>Source: The World Bank and National Bureau of Statistics of China databases</w:t>
      </w:r>
    </w:p>
    <w:p w14:paraId="50D716B0" w14:textId="77777777" w:rsidR="007A39EB" w:rsidRDefault="007A39EB" w:rsidP="007A39EB">
      <w:pPr>
        <w:spacing w:before="100" w:beforeAutospacing="1" w:after="100" w:afterAutospacing="1"/>
        <w:ind w:firstLine="720"/>
        <w:rPr>
          <w:rFonts w:cs="Times New Roman"/>
          <w:szCs w:val="24"/>
        </w:rPr>
      </w:pPr>
      <w:r w:rsidRPr="00CB6F9C">
        <w:rPr>
          <w:rFonts w:eastAsia="SimSun" w:cs="Times New Roman"/>
          <w:szCs w:val="24"/>
        </w:rPr>
        <w:t xml:space="preserve">In Table 2, we present the pair-wise </w:t>
      </w:r>
      <w:r w:rsidRPr="00CB6F9C">
        <w:rPr>
          <w:rFonts w:eastAsia="SimSun" w:cs="Times New Roman"/>
          <w:bCs/>
          <w:szCs w:val="24"/>
        </w:rPr>
        <w:t>correlations between the variables of our study. Despite the presence of several significant correlations across different pairs of variables</w:t>
      </w:r>
      <w:r w:rsidRPr="00CB6F9C">
        <w:rPr>
          <w:rFonts w:eastAsia="SimSun" w:cs="Times New Roman"/>
          <w:szCs w:val="24"/>
        </w:rPr>
        <w:t>,</w:t>
      </w:r>
      <w:r w:rsidRPr="00CB6F9C">
        <w:rPr>
          <w:rFonts w:eastAsia="SimSun" w:cs="Times New Roman"/>
          <w:bCs/>
          <w:szCs w:val="24"/>
        </w:rPr>
        <w:t xml:space="preserve"> no correlation value between independent variable and control variable is high enough to warrant any concern about multicollinearity. </w:t>
      </w:r>
      <w:r w:rsidRPr="00062FB1">
        <w:rPr>
          <w:rFonts w:cs="Times New Roman"/>
          <w:szCs w:val="24"/>
        </w:rPr>
        <w:t>We checked for possible multicollinearity by estimating the variance inflation factors (VIFs) for all variables. Our results show that all the VIFs are less than 2, indicating that our regression estimates are not affected by multicollinearity</w:t>
      </w:r>
      <w:r>
        <w:rPr>
          <w:rFonts w:cs="Times New Roman"/>
          <w:szCs w:val="24"/>
        </w:rPr>
        <w:t xml:space="preserve"> </w:t>
      </w:r>
      <w:r w:rsidRPr="00CB6F9C">
        <w:rPr>
          <w:rFonts w:cs="Times New Roman"/>
          <w:szCs w:val="24"/>
        </w:rPr>
        <w:t xml:space="preserve">(Chatterjee and </w:t>
      </w:r>
      <w:proofErr w:type="spellStart"/>
      <w:r w:rsidRPr="00CB6F9C">
        <w:rPr>
          <w:rFonts w:cs="Times New Roman"/>
          <w:szCs w:val="24"/>
        </w:rPr>
        <w:t>Hadi</w:t>
      </w:r>
      <w:proofErr w:type="spellEnd"/>
      <w:r w:rsidRPr="00CB6F9C">
        <w:rPr>
          <w:rFonts w:cs="Times New Roman"/>
          <w:szCs w:val="24"/>
        </w:rPr>
        <w:t>, 2015).</w:t>
      </w:r>
    </w:p>
    <w:p w14:paraId="668E4509" w14:textId="77777777" w:rsidR="007A39EB" w:rsidRPr="00CB6F9C" w:rsidRDefault="007A39EB" w:rsidP="007A39EB">
      <w:pPr>
        <w:pStyle w:val="Caption"/>
        <w:keepNext/>
        <w:rPr>
          <w:rFonts w:cs="Times New Roman"/>
          <w:color w:val="auto"/>
          <w:sz w:val="24"/>
          <w:szCs w:val="24"/>
        </w:rPr>
      </w:pPr>
      <w:r w:rsidRPr="00CB6F9C">
        <w:rPr>
          <w:rFonts w:cs="Times New Roman"/>
          <w:color w:val="auto"/>
          <w:sz w:val="24"/>
          <w:szCs w:val="24"/>
        </w:rPr>
        <w:t xml:space="preserve">Table </w:t>
      </w:r>
      <w:r w:rsidRPr="00CB6F9C">
        <w:rPr>
          <w:rFonts w:cs="Times New Roman"/>
          <w:color w:val="auto"/>
          <w:sz w:val="24"/>
          <w:szCs w:val="24"/>
        </w:rPr>
        <w:fldChar w:fldCharType="begin"/>
      </w:r>
      <w:r w:rsidRPr="00CB6F9C">
        <w:rPr>
          <w:rFonts w:cs="Times New Roman"/>
          <w:color w:val="auto"/>
          <w:sz w:val="24"/>
          <w:szCs w:val="24"/>
        </w:rPr>
        <w:instrText xml:space="preserve"> SEQ Table \* ARABIC </w:instrText>
      </w:r>
      <w:r w:rsidRPr="00CB6F9C">
        <w:rPr>
          <w:rFonts w:cs="Times New Roman"/>
          <w:color w:val="auto"/>
          <w:sz w:val="24"/>
          <w:szCs w:val="24"/>
        </w:rPr>
        <w:fldChar w:fldCharType="separate"/>
      </w:r>
      <w:r w:rsidRPr="00CB6F9C">
        <w:rPr>
          <w:rFonts w:cs="Times New Roman"/>
          <w:noProof/>
          <w:color w:val="auto"/>
          <w:sz w:val="24"/>
          <w:szCs w:val="24"/>
        </w:rPr>
        <w:t>2</w:t>
      </w:r>
      <w:r w:rsidRPr="00CB6F9C">
        <w:rPr>
          <w:rFonts w:cs="Times New Roman"/>
          <w:color w:val="auto"/>
          <w:sz w:val="24"/>
          <w:szCs w:val="24"/>
        </w:rPr>
        <w:fldChar w:fldCharType="end"/>
      </w:r>
      <w:r>
        <w:rPr>
          <w:rFonts w:cs="Times New Roman"/>
          <w:color w:val="auto"/>
          <w:sz w:val="24"/>
          <w:szCs w:val="24"/>
        </w:rPr>
        <w:t>.</w:t>
      </w:r>
      <w:r w:rsidRPr="00CB6F9C">
        <w:rPr>
          <w:rFonts w:cs="Times New Roman"/>
          <w:color w:val="auto"/>
          <w:sz w:val="24"/>
          <w:szCs w:val="24"/>
        </w:rPr>
        <w:t xml:space="preserve"> Correlation</w:t>
      </w:r>
      <w:r>
        <w:rPr>
          <w:rFonts w:cs="Times New Roman"/>
          <w:color w:val="auto"/>
          <w:sz w:val="24"/>
          <w:szCs w:val="24"/>
        </w:rPr>
        <w:t xml:space="preserve"> matrix</w:t>
      </w:r>
    </w:p>
    <w:tbl>
      <w:tblPr>
        <w:tblW w:w="5000" w:type="pct"/>
        <w:tblLook w:val="04A0" w:firstRow="1" w:lastRow="0" w:firstColumn="1" w:lastColumn="0" w:noHBand="0" w:noVBand="1"/>
      </w:tblPr>
      <w:tblGrid>
        <w:gridCol w:w="360"/>
        <w:gridCol w:w="1891"/>
        <w:gridCol w:w="947"/>
        <w:gridCol w:w="948"/>
        <w:gridCol w:w="948"/>
        <w:gridCol w:w="948"/>
        <w:gridCol w:w="876"/>
        <w:gridCol w:w="876"/>
        <w:gridCol w:w="876"/>
        <w:gridCol w:w="356"/>
      </w:tblGrid>
      <w:tr w:rsidR="007A39EB" w:rsidRPr="001E387E" w14:paraId="7845CD24" w14:textId="77777777" w:rsidTr="006962D0">
        <w:trPr>
          <w:trHeight w:val="310"/>
        </w:trPr>
        <w:tc>
          <w:tcPr>
            <w:tcW w:w="200" w:type="pct"/>
            <w:tcBorders>
              <w:top w:val="single" w:sz="4" w:space="0" w:color="auto"/>
              <w:bottom w:val="single" w:sz="4" w:space="0" w:color="auto"/>
            </w:tcBorders>
            <w:shd w:val="clear" w:color="auto" w:fill="auto"/>
            <w:noWrap/>
            <w:vAlign w:val="bottom"/>
            <w:hideMark/>
          </w:tcPr>
          <w:p w14:paraId="7AFB681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1048" w:type="pct"/>
            <w:tcBorders>
              <w:top w:val="single" w:sz="4" w:space="0" w:color="auto"/>
              <w:bottom w:val="single" w:sz="4" w:space="0" w:color="auto"/>
            </w:tcBorders>
            <w:shd w:val="clear" w:color="auto" w:fill="auto"/>
            <w:noWrap/>
            <w:vAlign w:val="bottom"/>
            <w:hideMark/>
          </w:tcPr>
          <w:p w14:paraId="19D479C5" w14:textId="77777777" w:rsidR="007A39EB" w:rsidRPr="001E387E" w:rsidRDefault="007A39EB" w:rsidP="006962D0">
            <w:pPr>
              <w:spacing w:line="240" w:lineRule="auto"/>
              <w:rPr>
                <w:rFonts w:ascii="Cambria" w:eastAsia="Times New Roman" w:hAnsi="Cambria" w:cs="Times New Roman"/>
                <w:b/>
                <w:bCs/>
                <w:sz w:val="20"/>
                <w:szCs w:val="20"/>
              </w:rPr>
            </w:pPr>
            <w:r w:rsidRPr="001E387E">
              <w:rPr>
                <w:rFonts w:ascii="Cambria" w:eastAsia="Times New Roman" w:hAnsi="Cambria" w:cs="Times New Roman"/>
                <w:b/>
                <w:bCs/>
                <w:sz w:val="20"/>
                <w:szCs w:val="20"/>
              </w:rPr>
              <w:t>Variables</w:t>
            </w:r>
          </w:p>
        </w:tc>
        <w:tc>
          <w:tcPr>
            <w:tcW w:w="525" w:type="pct"/>
            <w:tcBorders>
              <w:top w:val="single" w:sz="4" w:space="0" w:color="auto"/>
              <w:bottom w:val="single" w:sz="4" w:space="0" w:color="auto"/>
            </w:tcBorders>
            <w:shd w:val="clear" w:color="auto" w:fill="auto"/>
            <w:noWrap/>
            <w:vAlign w:val="center"/>
            <w:hideMark/>
          </w:tcPr>
          <w:p w14:paraId="07503E88"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1</w:t>
            </w:r>
          </w:p>
        </w:tc>
        <w:tc>
          <w:tcPr>
            <w:tcW w:w="525" w:type="pct"/>
            <w:tcBorders>
              <w:top w:val="single" w:sz="4" w:space="0" w:color="auto"/>
              <w:bottom w:val="single" w:sz="4" w:space="0" w:color="auto"/>
            </w:tcBorders>
            <w:shd w:val="clear" w:color="auto" w:fill="auto"/>
            <w:noWrap/>
            <w:vAlign w:val="center"/>
            <w:hideMark/>
          </w:tcPr>
          <w:p w14:paraId="2C7B9138"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2</w:t>
            </w:r>
          </w:p>
        </w:tc>
        <w:tc>
          <w:tcPr>
            <w:tcW w:w="525" w:type="pct"/>
            <w:tcBorders>
              <w:top w:val="single" w:sz="4" w:space="0" w:color="auto"/>
              <w:bottom w:val="single" w:sz="4" w:space="0" w:color="auto"/>
            </w:tcBorders>
            <w:shd w:val="clear" w:color="auto" w:fill="auto"/>
            <w:noWrap/>
            <w:vAlign w:val="center"/>
            <w:hideMark/>
          </w:tcPr>
          <w:p w14:paraId="1B7ED276"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3</w:t>
            </w:r>
          </w:p>
        </w:tc>
        <w:tc>
          <w:tcPr>
            <w:tcW w:w="525" w:type="pct"/>
            <w:tcBorders>
              <w:top w:val="single" w:sz="4" w:space="0" w:color="auto"/>
              <w:bottom w:val="single" w:sz="4" w:space="0" w:color="auto"/>
            </w:tcBorders>
            <w:shd w:val="clear" w:color="auto" w:fill="auto"/>
            <w:noWrap/>
            <w:vAlign w:val="center"/>
            <w:hideMark/>
          </w:tcPr>
          <w:p w14:paraId="6B5CA66C"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4</w:t>
            </w:r>
          </w:p>
        </w:tc>
        <w:tc>
          <w:tcPr>
            <w:tcW w:w="485" w:type="pct"/>
            <w:tcBorders>
              <w:top w:val="single" w:sz="4" w:space="0" w:color="auto"/>
              <w:bottom w:val="single" w:sz="4" w:space="0" w:color="auto"/>
            </w:tcBorders>
            <w:shd w:val="clear" w:color="auto" w:fill="auto"/>
            <w:noWrap/>
            <w:vAlign w:val="center"/>
            <w:hideMark/>
          </w:tcPr>
          <w:p w14:paraId="5C6967DB"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5</w:t>
            </w:r>
          </w:p>
        </w:tc>
        <w:tc>
          <w:tcPr>
            <w:tcW w:w="485" w:type="pct"/>
            <w:tcBorders>
              <w:top w:val="single" w:sz="4" w:space="0" w:color="auto"/>
              <w:bottom w:val="single" w:sz="4" w:space="0" w:color="auto"/>
            </w:tcBorders>
            <w:shd w:val="clear" w:color="auto" w:fill="auto"/>
            <w:noWrap/>
            <w:vAlign w:val="center"/>
            <w:hideMark/>
          </w:tcPr>
          <w:p w14:paraId="52C228AE"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6</w:t>
            </w:r>
          </w:p>
        </w:tc>
        <w:tc>
          <w:tcPr>
            <w:tcW w:w="485" w:type="pct"/>
            <w:tcBorders>
              <w:top w:val="single" w:sz="4" w:space="0" w:color="auto"/>
              <w:bottom w:val="single" w:sz="4" w:space="0" w:color="auto"/>
            </w:tcBorders>
            <w:shd w:val="clear" w:color="auto" w:fill="auto"/>
            <w:noWrap/>
            <w:vAlign w:val="center"/>
            <w:hideMark/>
          </w:tcPr>
          <w:p w14:paraId="7D9F792B"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7</w:t>
            </w:r>
          </w:p>
        </w:tc>
        <w:tc>
          <w:tcPr>
            <w:tcW w:w="200" w:type="pct"/>
            <w:tcBorders>
              <w:top w:val="single" w:sz="4" w:space="0" w:color="auto"/>
              <w:bottom w:val="single" w:sz="4" w:space="0" w:color="auto"/>
            </w:tcBorders>
            <w:shd w:val="clear" w:color="auto" w:fill="auto"/>
            <w:noWrap/>
            <w:vAlign w:val="center"/>
            <w:hideMark/>
          </w:tcPr>
          <w:p w14:paraId="69F85E48"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8</w:t>
            </w:r>
          </w:p>
        </w:tc>
      </w:tr>
      <w:tr w:rsidR="007A39EB" w:rsidRPr="001E387E" w14:paraId="032F79F1" w14:textId="77777777" w:rsidTr="006962D0">
        <w:trPr>
          <w:trHeight w:val="310"/>
        </w:trPr>
        <w:tc>
          <w:tcPr>
            <w:tcW w:w="200" w:type="pct"/>
            <w:tcBorders>
              <w:top w:val="single" w:sz="4" w:space="0" w:color="auto"/>
            </w:tcBorders>
            <w:shd w:val="clear" w:color="auto" w:fill="auto"/>
            <w:noWrap/>
            <w:vAlign w:val="center"/>
            <w:hideMark/>
          </w:tcPr>
          <w:p w14:paraId="28DBC7E1"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1</w:t>
            </w:r>
          </w:p>
        </w:tc>
        <w:tc>
          <w:tcPr>
            <w:tcW w:w="1048" w:type="pct"/>
            <w:tcBorders>
              <w:top w:val="single" w:sz="4" w:space="0" w:color="auto"/>
            </w:tcBorders>
            <w:shd w:val="clear" w:color="auto" w:fill="auto"/>
            <w:noWrap/>
            <w:vAlign w:val="center"/>
            <w:hideMark/>
          </w:tcPr>
          <w:p w14:paraId="128FC880" w14:textId="77777777" w:rsidR="007A39EB" w:rsidRPr="001E387E" w:rsidRDefault="007A39EB" w:rsidP="006962D0">
            <w:pPr>
              <w:spacing w:line="240" w:lineRule="auto"/>
              <w:rPr>
                <w:rFonts w:ascii="Cambria" w:eastAsia="Times New Roman" w:hAnsi="Cambria" w:cs="Times New Roman"/>
                <w:b/>
                <w:bCs/>
                <w:sz w:val="20"/>
                <w:szCs w:val="20"/>
              </w:rPr>
            </w:pPr>
            <w:r w:rsidRPr="001E387E">
              <w:rPr>
                <w:rFonts w:ascii="Cambria" w:eastAsia="Times New Roman" w:hAnsi="Cambria" w:cs="Times New Roman"/>
                <w:b/>
                <w:bCs/>
                <w:sz w:val="20"/>
                <w:szCs w:val="20"/>
              </w:rPr>
              <w:t>LogCO</w:t>
            </w:r>
            <w:r w:rsidRPr="00BC6962">
              <w:rPr>
                <w:rFonts w:ascii="Cambria" w:eastAsia="Times New Roman" w:hAnsi="Cambria" w:cs="Times New Roman"/>
                <w:b/>
                <w:bCs/>
                <w:sz w:val="20"/>
                <w:szCs w:val="20"/>
                <w:vertAlign w:val="subscript"/>
              </w:rPr>
              <w:t>2</w:t>
            </w:r>
            <w:r w:rsidRPr="001E387E">
              <w:rPr>
                <w:rFonts w:ascii="Cambria" w:eastAsia="Times New Roman" w:hAnsi="Cambria" w:cs="Times New Roman"/>
                <w:b/>
                <w:bCs/>
                <w:sz w:val="20"/>
                <w:szCs w:val="20"/>
              </w:rPr>
              <w:t>Emission</w:t>
            </w:r>
          </w:p>
        </w:tc>
        <w:tc>
          <w:tcPr>
            <w:tcW w:w="525" w:type="pct"/>
            <w:tcBorders>
              <w:top w:val="single" w:sz="4" w:space="0" w:color="auto"/>
            </w:tcBorders>
            <w:shd w:val="clear" w:color="auto" w:fill="auto"/>
            <w:noWrap/>
            <w:vAlign w:val="bottom"/>
            <w:hideMark/>
          </w:tcPr>
          <w:p w14:paraId="310B8E19"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525" w:type="pct"/>
            <w:tcBorders>
              <w:top w:val="single" w:sz="4" w:space="0" w:color="auto"/>
            </w:tcBorders>
            <w:shd w:val="clear" w:color="auto" w:fill="auto"/>
            <w:noWrap/>
            <w:vAlign w:val="bottom"/>
            <w:hideMark/>
          </w:tcPr>
          <w:p w14:paraId="2357266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525" w:type="pct"/>
            <w:tcBorders>
              <w:top w:val="single" w:sz="4" w:space="0" w:color="auto"/>
            </w:tcBorders>
            <w:shd w:val="clear" w:color="auto" w:fill="auto"/>
            <w:noWrap/>
            <w:vAlign w:val="bottom"/>
            <w:hideMark/>
          </w:tcPr>
          <w:p w14:paraId="6168342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525" w:type="pct"/>
            <w:tcBorders>
              <w:top w:val="single" w:sz="4" w:space="0" w:color="auto"/>
            </w:tcBorders>
            <w:shd w:val="clear" w:color="auto" w:fill="auto"/>
            <w:noWrap/>
            <w:vAlign w:val="bottom"/>
            <w:hideMark/>
          </w:tcPr>
          <w:p w14:paraId="75A578A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tcBorders>
              <w:top w:val="single" w:sz="4" w:space="0" w:color="auto"/>
            </w:tcBorders>
            <w:shd w:val="clear" w:color="auto" w:fill="auto"/>
            <w:noWrap/>
            <w:vAlign w:val="bottom"/>
            <w:hideMark/>
          </w:tcPr>
          <w:p w14:paraId="6811CF18"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tcBorders>
              <w:top w:val="single" w:sz="4" w:space="0" w:color="auto"/>
            </w:tcBorders>
            <w:shd w:val="clear" w:color="auto" w:fill="auto"/>
            <w:noWrap/>
            <w:vAlign w:val="bottom"/>
            <w:hideMark/>
          </w:tcPr>
          <w:p w14:paraId="0E42A975"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tcBorders>
              <w:top w:val="single" w:sz="4" w:space="0" w:color="auto"/>
            </w:tcBorders>
            <w:shd w:val="clear" w:color="auto" w:fill="auto"/>
            <w:noWrap/>
            <w:vAlign w:val="bottom"/>
            <w:hideMark/>
          </w:tcPr>
          <w:p w14:paraId="2E6BA9E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tcBorders>
              <w:top w:val="single" w:sz="4" w:space="0" w:color="auto"/>
            </w:tcBorders>
            <w:shd w:val="clear" w:color="auto" w:fill="auto"/>
            <w:noWrap/>
            <w:vAlign w:val="bottom"/>
            <w:hideMark/>
          </w:tcPr>
          <w:p w14:paraId="73619F7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4E78B433" w14:textId="77777777" w:rsidTr="006962D0">
        <w:trPr>
          <w:trHeight w:val="310"/>
        </w:trPr>
        <w:tc>
          <w:tcPr>
            <w:tcW w:w="200" w:type="pct"/>
            <w:shd w:val="clear" w:color="auto" w:fill="auto"/>
            <w:noWrap/>
            <w:vAlign w:val="center"/>
            <w:hideMark/>
          </w:tcPr>
          <w:p w14:paraId="4F65C0A2"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2</w:t>
            </w:r>
          </w:p>
        </w:tc>
        <w:tc>
          <w:tcPr>
            <w:tcW w:w="1048" w:type="pct"/>
            <w:shd w:val="clear" w:color="auto" w:fill="auto"/>
            <w:noWrap/>
            <w:vAlign w:val="center"/>
            <w:hideMark/>
          </w:tcPr>
          <w:p w14:paraId="0D9BD588"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LogGreenhouse</w:t>
            </w:r>
            <w:proofErr w:type="spellEnd"/>
          </w:p>
        </w:tc>
        <w:tc>
          <w:tcPr>
            <w:tcW w:w="525" w:type="pct"/>
            <w:shd w:val="clear" w:color="auto" w:fill="auto"/>
            <w:noWrap/>
            <w:vAlign w:val="bottom"/>
            <w:hideMark/>
          </w:tcPr>
          <w:p w14:paraId="2E5B823F"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0.996</w:t>
            </w:r>
          </w:p>
        </w:tc>
        <w:tc>
          <w:tcPr>
            <w:tcW w:w="525" w:type="pct"/>
            <w:shd w:val="clear" w:color="auto" w:fill="auto"/>
            <w:noWrap/>
            <w:vAlign w:val="bottom"/>
            <w:hideMark/>
          </w:tcPr>
          <w:p w14:paraId="07A07B70"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525" w:type="pct"/>
            <w:shd w:val="clear" w:color="auto" w:fill="auto"/>
            <w:noWrap/>
            <w:vAlign w:val="bottom"/>
            <w:hideMark/>
          </w:tcPr>
          <w:p w14:paraId="32AC3548"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525" w:type="pct"/>
            <w:shd w:val="clear" w:color="auto" w:fill="auto"/>
            <w:noWrap/>
            <w:vAlign w:val="bottom"/>
            <w:hideMark/>
          </w:tcPr>
          <w:p w14:paraId="1384CA7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68584A1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1E1F2ECC"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2D5304C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shd w:val="clear" w:color="auto" w:fill="auto"/>
            <w:noWrap/>
            <w:vAlign w:val="bottom"/>
            <w:hideMark/>
          </w:tcPr>
          <w:p w14:paraId="64EC0B41"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0A12A23D" w14:textId="77777777" w:rsidTr="006962D0">
        <w:trPr>
          <w:trHeight w:val="310"/>
        </w:trPr>
        <w:tc>
          <w:tcPr>
            <w:tcW w:w="200" w:type="pct"/>
            <w:shd w:val="clear" w:color="auto" w:fill="auto"/>
            <w:noWrap/>
            <w:vAlign w:val="center"/>
            <w:hideMark/>
          </w:tcPr>
          <w:p w14:paraId="07A5DE79"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3</w:t>
            </w:r>
          </w:p>
        </w:tc>
        <w:tc>
          <w:tcPr>
            <w:tcW w:w="1048" w:type="pct"/>
            <w:shd w:val="clear" w:color="auto" w:fill="auto"/>
            <w:noWrap/>
            <w:vAlign w:val="center"/>
            <w:hideMark/>
          </w:tcPr>
          <w:p w14:paraId="0154888D" w14:textId="77777777" w:rsidR="007A39EB" w:rsidRPr="001E387E" w:rsidRDefault="007A39EB" w:rsidP="006962D0">
            <w:pPr>
              <w:spacing w:line="240" w:lineRule="auto"/>
              <w:rPr>
                <w:rFonts w:ascii="Cambria" w:eastAsia="Times New Roman" w:hAnsi="Cambria" w:cs="Times New Roman"/>
                <w:b/>
                <w:bCs/>
                <w:sz w:val="20"/>
                <w:szCs w:val="20"/>
              </w:rPr>
            </w:pPr>
            <w:r w:rsidRPr="001E387E">
              <w:rPr>
                <w:rFonts w:ascii="Cambria" w:eastAsia="Times New Roman" w:hAnsi="Cambria" w:cs="Times New Roman"/>
                <w:b/>
                <w:bCs/>
                <w:sz w:val="20"/>
                <w:szCs w:val="20"/>
              </w:rPr>
              <w:t>Renewable</w:t>
            </w:r>
          </w:p>
        </w:tc>
        <w:tc>
          <w:tcPr>
            <w:tcW w:w="525" w:type="pct"/>
            <w:shd w:val="clear" w:color="auto" w:fill="auto"/>
            <w:noWrap/>
            <w:vAlign w:val="bottom"/>
            <w:hideMark/>
          </w:tcPr>
          <w:p w14:paraId="23072C5E"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-0.9919</w:t>
            </w:r>
          </w:p>
        </w:tc>
        <w:tc>
          <w:tcPr>
            <w:tcW w:w="525" w:type="pct"/>
            <w:shd w:val="clear" w:color="auto" w:fill="auto"/>
            <w:noWrap/>
            <w:vAlign w:val="bottom"/>
            <w:hideMark/>
          </w:tcPr>
          <w:p w14:paraId="653DCCE4"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-0.9866</w:t>
            </w:r>
          </w:p>
        </w:tc>
        <w:tc>
          <w:tcPr>
            <w:tcW w:w="525" w:type="pct"/>
            <w:shd w:val="clear" w:color="auto" w:fill="auto"/>
            <w:noWrap/>
            <w:vAlign w:val="bottom"/>
            <w:hideMark/>
          </w:tcPr>
          <w:p w14:paraId="0EEA3BC2"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525" w:type="pct"/>
            <w:shd w:val="clear" w:color="auto" w:fill="auto"/>
            <w:noWrap/>
            <w:vAlign w:val="bottom"/>
            <w:hideMark/>
          </w:tcPr>
          <w:p w14:paraId="4B033314"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54CB698B"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1A9CED30"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11440F4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shd w:val="clear" w:color="auto" w:fill="auto"/>
            <w:noWrap/>
            <w:vAlign w:val="bottom"/>
            <w:hideMark/>
          </w:tcPr>
          <w:p w14:paraId="7B0BADAC"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510B9D95" w14:textId="77777777" w:rsidTr="006962D0">
        <w:trPr>
          <w:trHeight w:val="310"/>
        </w:trPr>
        <w:tc>
          <w:tcPr>
            <w:tcW w:w="200" w:type="pct"/>
            <w:shd w:val="clear" w:color="auto" w:fill="auto"/>
            <w:noWrap/>
            <w:vAlign w:val="center"/>
            <w:hideMark/>
          </w:tcPr>
          <w:p w14:paraId="07E6B04A"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4</w:t>
            </w:r>
          </w:p>
        </w:tc>
        <w:tc>
          <w:tcPr>
            <w:tcW w:w="1048" w:type="pct"/>
            <w:shd w:val="clear" w:color="auto" w:fill="auto"/>
            <w:noWrap/>
            <w:vAlign w:val="center"/>
            <w:hideMark/>
          </w:tcPr>
          <w:p w14:paraId="3805CE37"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NonRenewable</w:t>
            </w:r>
            <w:proofErr w:type="spellEnd"/>
          </w:p>
        </w:tc>
        <w:tc>
          <w:tcPr>
            <w:tcW w:w="525" w:type="pct"/>
            <w:shd w:val="clear" w:color="auto" w:fill="auto"/>
            <w:noWrap/>
            <w:vAlign w:val="bottom"/>
            <w:hideMark/>
          </w:tcPr>
          <w:p w14:paraId="51C4EAD2"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-0.9658</w:t>
            </w:r>
          </w:p>
        </w:tc>
        <w:tc>
          <w:tcPr>
            <w:tcW w:w="525" w:type="pct"/>
            <w:shd w:val="clear" w:color="auto" w:fill="auto"/>
            <w:noWrap/>
            <w:vAlign w:val="bottom"/>
            <w:hideMark/>
          </w:tcPr>
          <w:p w14:paraId="0A716823"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-0.9584</w:t>
            </w:r>
          </w:p>
        </w:tc>
        <w:tc>
          <w:tcPr>
            <w:tcW w:w="525" w:type="pct"/>
            <w:shd w:val="clear" w:color="auto" w:fill="auto"/>
            <w:noWrap/>
            <w:vAlign w:val="bottom"/>
            <w:hideMark/>
          </w:tcPr>
          <w:p w14:paraId="3BB4C521"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0.9552</w:t>
            </w:r>
          </w:p>
        </w:tc>
        <w:tc>
          <w:tcPr>
            <w:tcW w:w="525" w:type="pct"/>
            <w:shd w:val="clear" w:color="auto" w:fill="auto"/>
            <w:noWrap/>
            <w:vAlign w:val="bottom"/>
            <w:hideMark/>
          </w:tcPr>
          <w:p w14:paraId="20FB6898"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485" w:type="pct"/>
            <w:shd w:val="clear" w:color="auto" w:fill="auto"/>
            <w:noWrap/>
            <w:vAlign w:val="bottom"/>
            <w:hideMark/>
          </w:tcPr>
          <w:p w14:paraId="67E84E6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5613E42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5424DB93"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shd w:val="clear" w:color="auto" w:fill="auto"/>
            <w:noWrap/>
            <w:vAlign w:val="bottom"/>
            <w:hideMark/>
          </w:tcPr>
          <w:p w14:paraId="250878B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2F067915" w14:textId="77777777" w:rsidTr="006962D0">
        <w:trPr>
          <w:trHeight w:val="310"/>
        </w:trPr>
        <w:tc>
          <w:tcPr>
            <w:tcW w:w="200" w:type="pct"/>
            <w:shd w:val="clear" w:color="auto" w:fill="auto"/>
            <w:noWrap/>
            <w:vAlign w:val="center"/>
            <w:hideMark/>
          </w:tcPr>
          <w:p w14:paraId="45A93133"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5</w:t>
            </w:r>
          </w:p>
        </w:tc>
        <w:tc>
          <w:tcPr>
            <w:tcW w:w="1048" w:type="pct"/>
            <w:shd w:val="clear" w:color="auto" w:fill="auto"/>
            <w:noWrap/>
            <w:vAlign w:val="center"/>
            <w:hideMark/>
          </w:tcPr>
          <w:p w14:paraId="06D143BA"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CoalRents</w:t>
            </w:r>
            <w:proofErr w:type="spellEnd"/>
          </w:p>
        </w:tc>
        <w:tc>
          <w:tcPr>
            <w:tcW w:w="525" w:type="pct"/>
            <w:shd w:val="clear" w:color="auto" w:fill="auto"/>
            <w:noWrap/>
            <w:vAlign w:val="bottom"/>
            <w:hideMark/>
          </w:tcPr>
          <w:p w14:paraId="251FF403"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0.4095</w:t>
            </w:r>
          </w:p>
        </w:tc>
        <w:tc>
          <w:tcPr>
            <w:tcW w:w="525" w:type="pct"/>
            <w:shd w:val="clear" w:color="auto" w:fill="auto"/>
            <w:noWrap/>
            <w:vAlign w:val="bottom"/>
            <w:hideMark/>
          </w:tcPr>
          <w:p w14:paraId="55E0EED4"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0.4026</w:t>
            </w:r>
          </w:p>
        </w:tc>
        <w:tc>
          <w:tcPr>
            <w:tcW w:w="525" w:type="pct"/>
            <w:shd w:val="clear" w:color="auto" w:fill="auto"/>
            <w:noWrap/>
            <w:vAlign w:val="bottom"/>
            <w:hideMark/>
          </w:tcPr>
          <w:p w14:paraId="31372FC1"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-0.4982</w:t>
            </w:r>
          </w:p>
        </w:tc>
        <w:tc>
          <w:tcPr>
            <w:tcW w:w="525" w:type="pct"/>
            <w:shd w:val="clear" w:color="auto" w:fill="auto"/>
            <w:noWrap/>
            <w:vAlign w:val="bottom"/>
            <w:hideMark/>
          </w:tcPr>
          <w:p w14:paraId="2D2FD8CE"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-0.388</w:t>
            </w:r>
          </w:p>
        </w:tc>
        <w:tc>
          <w:tcPr>
            <w:tcW w:w="485" w:type="pct"/>
            <w:shd w:val="clear" w:color="auto" w:fill="auto"/>
            <w:noWrap/>
            <w:vAlign w:val="bottom"/>
            <w:hideMark/>
          </w:tcPr>
          <w:p w14:paraId="1F9D1A93"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485" w:type="pct"/>
            <w:shd w:val="clear" w:color="auto" w:fill="auto"/>
            <w:noWrap/>
            <w:vAlign w:val="bottom"/>
            <w:hideMark/>
          </w:tcPr>
          <w:p w14:paraId="691134AB"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485" w:type="pct"/>
            <w:shd w:val="clear" w:color="auto" w:fill="auto"/>
            <w:noWrap/>
            <w:vAlign w:val="bottom"/>
            <w:hideMark/>
          </w:tcPr>
          <w:p w14:paraId="541E77F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shd w:val="clear" w:color="auto" w:fill="auto"/>
            <w:noWrap/>
            <w:vAlign w:val="bottom"/>
            <w:hideMark/>
          </w:tcPr>
          <w:p w14:paraId="2FECEB2A"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2B1E4291" w14:textId="77777777" w:rsidTr="006962D0">
        <w:trPr>
          <w:trHeight w:val="310"/>
        </w:trPr>
        <w:tc>
          <w:tcPr>
            <w:tcW w:w="200" w:type="pct"/>
            <w:shd w:val="clear" w:color="auto" w:fill="auto"/>
            <w:noWrap/>
            <w:vAlign w:val="center"/>
            <w:hideMark/>
          </w:tcPr>
          <w:p w14:paraId="265FF7C4"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6</w:t>
            </w:r>
          </w:p>
        </w:tc>
        <w:tc>
          <w:tcPr>
            <w:tcW w:w="1048" w:type="pct"/>
            <w:shd w:val="clear" w:color="auto" w:fill="auto"/>
            <w:noWrap/>
            <w:vAlign w:val="center"/>
            <w:hideMark/>
          </w:tcPr>
          <w:p w14:paraId="4AB0EB93"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LogGDP</w:t>
            </w:r>
            <w:proofErr w:type="spellEnd"/>
          </w:p>
        </w:tc>
        <w:tc>
          <w:tcPr>
            <w:tcW w:w="525" w:type="pct"/>
            <w:shd w:val="clear" w:color="auto" w:fill="auto"/>
            <w:noWrap/>
            <w:vAlign w:val="bottom"/>
            <w:hideMark/>
          </w:tcPr>
          <w:p w14:paraId="004A4A49"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0.9882</w:t>
            </w:r>
          </w:p>
        </w:tc>
        <w:tc>
          <w:tcPr>
            <w:tcW w:w="525" w:type="pct"/>
            <w:shd w:val="clear" w:color="auto" w:fill="auto"/>
            <w:noWrap/>
            <w:vAlign w:val="bottom"/>
            <w:hideMark/>
          </w:tcPr>
          <w:p w14:paraId="3D108ADE"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0.9892</w:t>
            </w:r>
          </w:p>
        </w:tc>
        <w:tc>
          <w:tcPr>
            <w:tcW w:w="525" w:type="pct"/>
            <w:shd w:val="clear" w:color="auto" w:fill="auto"/>
            <w:noWrap/>
            <w:vAlign w:val="bottom"/>
            <w:hideMark/>
          </w:tcPr>
          <w:p w14:paraId="3EAC30E7"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-0.9658</w:t>
            </w:r>
          </w:p>
        </w:tc>
        <w:tc>
          <w:tcPr>
            <w:tcW w:w="525" w:type="pct"/>
            <w:shd w:val="clear" w:color="auto" w:fill="auto"/>
            <w:noWrap/>
            <w:vAlign w:val="bottom"/>
            <w:hideMark/>
          </w:tcPr>
          <w:p w14:paraId="6EDCF65E"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-0.9732</w:t>
            </w:r>
          </w:p>
        </w:tc>
        <w:tc>
          <w:tcPr>
            <w:tcW w:w="485" w:type="pct"/>
            <w:shd w:val="clear" w:color="auto" w:fill="auto"/>
            <w:noWrap/>
            <w:vAlign w:val="bottom"/>
            <w:hideMark/>
          </w:tcPr>
          <w:p w14:paraId="2DE455EE"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0.327</w:t>
            </w:r>
          </w:p>
        </w:tc>
        <w:tc>
          <w:tcPr>
            <w:tcW w:w="485" w:type="pct"/>
            <w:shd w:val="clear" w:color="auto" w:fill="auto"/>
            <w:noWrap/>
            <w:vAlign w:val="bottom"/>
            <w:hideMark/>
          </w:tcPr>
          <w:p w14:paraId="2BC166F3"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485" w:type="pct"/>
            <w:shd w:val="clear" w:color="auto" w:fill="auto"/>
            <w:noWrap/>
            <w:vAlign w:val="bottom"/>
            <w:hideMark/>
          </w:tcPr>
          <w:p w14:paraId="359749C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200" w:type="pct"/>
            <w:shd w:val="clear" w:color="auto" w:fill="auto"/>
            <w:noWrap/>
            <w:vAlign w:val="bottom"/>
            <w:hideMark/>
          </w:tcPr>
          <w:p w14:paraId="07F708E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752CEDDA" w14:textId="77777777" w:rsidTr="006962D0">
        <w:trPr>
          <w:trHeight w:val="310"/>
        </w:trPr>
        <w:tc>
          <w:tcPr>
            <w:tcW w:w="200" w:type="pct"/>
            <w:shd w:val="clear" w:color="auto" w:fill="auto"/>
            <w:noWrap/>
            <w:vAlign w:val="center"/>
            <w:hideMark/>
          </w:tcPr>
          <w:p w14:paraId="42EC7FAE"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7</w:t>
            </w:r>
          </w:p>
        </w:tc>
        <w:tc>
          <w:tcPr>
            <w:tcW w:w="1048" w:type="pct"/>
            <w:shd w:val="clear" w:color="auto" w:fill="auto"/>
            <w:noWrap/>
            <w:vAlign w:val="center"/>
            <w:hideMark/>
          </w:tcPr>
          <w:p w14:paraId="05EB093C"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LogExport</w:t>
            </w:r>
            <w:proofErr w:type="spellEnd"/>
          </w:p>
        </w:tc>
        <w:tc>
          <w:tcPr>
            <w:tcW w:w="525" w:type="pct"/>
            <w:shd w:val="clear" w:color="auto" w:fill="auto"/>
            <w:noWrap/>
            <w:vAlign w:val="bottom"/>
            <w:hideMark/>
          </w:tcPr>
          <w:p w14:paraId="24CE002A"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0.9962</w:t>
            </w:r>
          </w:p>
        </w:tc>
        <w:tc>
          <w:tcPr>
            <w:tcW w:w="525" w:type="pct"/>
            <w:shd w:val="clear" w:color="auto" w:fill="auto"/>
            <w:noWrap/>
            <w:vAlign w:val="bottom"/>
            <w:hideMark/>
          </w:tcPr>
          <w:p w14:paraId="0DE91C09"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0.9907</w:t>
            </w:r>
          </w:p>
        </w:tc>
        <w:tc>
          <w:tcPr>
            <w:tcW w:w="525" w:type="pct"/>
            <w:shd w:val="clear" w:color="auto" w:fill="auto"/>
            <w:noWrap/>
            <w:vAlign w:val="bottom"/>
            <w:hideMark/>
          </w:tcPr>
          <w:p w14:paraId="42E53167"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-0.9884</w:t>
            </w:r>
          </w:p>
        </w:tc>
        <w:tc>
          <w:tcPr>
            <w:tcW w:w="525" w:type="pct"/>
            <w:shd w:val="clear" w:color="auto" w:fill="auto"/>
            <w:noWrap/>
            <w:vAlign w:val="bottom"/>
            <w:hideMark/>
          </w:tcPr>
          <w:p w14:paraId="6DA515BB"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-0.9805</w:t>
            </w:r>
          </w:p>
        </w:tc>
        <w:tc>
          <w:tcPr>
            <w:tcW w:w="485" w:type="pct"/>
            <w:shd w:val="clear" w:color="auto" w:fill="auto"/>
            <w:noWrap/>
            <w:vAlign w:val="bottom"/>
            <w:hideMark/>
          </w:tcPr>
          <w:p w14:paraId="713F948D"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0.4185</w:t>
            </w:r>
          </w:p>
        </w:tc>
        <w:tc>
          <w:tcPr>
            <w:tcW w:w="485" w:type="pct"/>
            <w:shd w:val="clear" w:color="auto" w:fill="auto"/>
            <w:noWrap/>
            <w:vAlign w:val="bottom"/>
            <w:hideMark/>
          </w:tcPr>
          <w:p w14:paraId="2F32DB89"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0.9902</w:t>
            </w:r>
          </w:p>
        </w:tc>
        <w:tc>
          <w:tcPr>
            <w:tcW w:w="485" w:type="pct"/>
            <w:shd w:val="clear" w:color="auto" w:fill="auto"/>
            <w:noWrap/>
            <w:vAlign w:val="bottom"/>
            <w:hideMark/>
          </w:tcPr>
          <w:p w14:paraId="4D1CE96A"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c>
          <w:tcPr>
            <w:tcW w:w="200" w:type="pct"/>
            <w:shd w:val="clear" w:color="auto" w:fill="auto"/>
            <w:noWrap/>
            <w:vAlign w:val="bottom"/>
            <w:hideMark/>
          </w:tcPr>
          <w:p w14:paraId="69336EC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3A57E39A" w14:textId="77777777" w:rsidTr="006962D0">
        <w:trPr>
          <w:trHeight w:val="310"/>
        </w:trPr>
        <w:tc>
          <w:tcPr>
            <w:tcW w:w="200" w:type="pct"/>
            <w:tcBorders>
              <w:bottom w:val="single" w:sz="4" w:space="0" w:color="auto"/>
            </w:tcBorders>
            <w:shd w:val="clear" w:color="auto" w:fill="auto"/>
            <w:noWrap/>
            <w:vAlign w:val="center"/>
            <w:hideMark/>
          </w:tcPr>
          <w:p w14:paraId="57ADBB2E" w14:textId="77777777" w:rsidR="007A39EB" w:rsidRPr="001E387E" w:rsidRDefault="007A39EB" w:rsidP="006962D0">
            <w:pPr>
              <w:spacing w:line="240" w:lineRule="auto"/>
              <w:jc w:val="right"/>
              <w:rPr>
                <w:rFonts w:ascii="Cambria" w:eastAsia="Times New Roman" w:hAnsi="Cambria" w:cs="Times New Roman"/>
                <w:b/>
                <w:bCs/>
                <w:sz w:val="20"/>
                <w:szCs w:val="20"/>
              </w:rPr>
            </w:pPr>
            <w:r w:rsidRPr="001E387E">
              <w:rPr>
                <w:rFonts w:ascii="Cambria" w:eastAsia="Times New Roman" w:hAnsi="Cambria" w:cs="Times New Roman"/>
                <w:b/>
                <w:bCs/>
                <w:sz w:val="20"/>
                <w:szCs w:val="20"/>
              </w:rPr>
              <w:t>8</w:t>
            </w:r>
          </w:p>
        </w:tc>
        <w:tc>
          <w:tcPr>
            <w:tcW w:w="1048" w:type="pct"/>
            <w:tcBorders>
              <w:bottom w:val="single" w:sz="4" w:space="0" w:color="auto"/>
            </w:tcBorders>
            <w:shd w:val="clear" w:color="auto" w:fill="auto"/>
            <w:noWrap/>
            <w:vAlign w:val="center"/>
            <w:hideMark/>
          </w:tcPr>
          <w:p w14:paraId="3EF2BEA2" w14:textId="77777777" w:rsidR="007A39EB" w:rsidRPr="001E387E" w:rsidRDefault="007A39EB" w:rsidP="006962D0">
            <w:pPr>
              <w:spacing w:line="240" w:lineRule="auto"/>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LogPopulation</w:t>
            </w:r>
            <w:proofErr w:type="spellEnd"/>
          </w:p>
        </w:tc>
        <w:tc>
          <w:tcPr>
            <w:tcW w:w="525" w:type="pct"/>
            <w:tcBorders>
              <w:bottom w:val="single" w:sz="4" w:space="0" w:color="auto"/>
            </w:tcBorders>
            <w:shd w:val="clear" w:color="auto" w:fill="auto"/>
            <w:noWrap/>
            <w:vAlign w:val="bottom"/>
            <w:hideMark/>
          </w:tcPr>
          <w:p w14:paraId="01882E6A"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0.9677</w:t>
            </w:r>
          </w:p>
        </w:tc>
        <w:tc>
          <w:tcPr>
            <w:tcW w:w="525" w:type="pct"/>
            <w:tcBorders>
              <w:bottom w:val="single" w:sz="4" w:space="0" w:color="auto"/>
            </w:tcBorders>
            <w:shd w:val="clear" w:color="auto" w:fill="auto"/>
            <w:noWrap/>
            <w:vAlign w:val="bottom"/>
            <w:hideMark/>
          </w:tcPr>
          <w:p w14:paraId="606938A7"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0.9682</w:t>
            </w:r>
          </w:p>
        </w:tc>
        <w:tc>
          <w:tcPr>
            <w:tcW w:w="525" w:type="pct"/>
            <w:tcBorders>
              <w:bottom w:val="single" w:sz="4" w:space="0" w:color="auto"/>
            </w:tcBorders>
            <w:shd w:val="clear" w:color="auto" w:fill="auto"/>
            <w:noWrap/>
            <w:vAlign w:val="bottom"/>
            <w:hideMark/>
          </w:tcPr>
          <w:p w14:paraId="3FAF3596"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-0.9428</w:t>
            </w:r>
          </w:p>
        </w:tc>
        <w:tc>
          <w:tcPr>
            <w:tcW w:w="525" w:type="pct"/>
            <w:tcBorders>
              <w:bottom w:val="single" w:sz="4" w:space="0" w:color="auto"/>
            </w:tcBorders>
            <w:shd w:val="clear" w:color="auto" w:fill="auto"/>
            <w:noWrap/>
            <w:vAlign w:val="bottom"/>
            <w:hideMark/>
          </w:tcPr>
          <w:p w14:paraId="3FA79568"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-0.9782</w:t>
            </w:r>
          </w:p>
        </w:tc>
        <w:tc>
          <w:tcPr>
            <w:tcW w:w="485" w:type="pct"/>
            <w:tcBorders>
              <w:bottom w:val="single" w:sz="4" w:space="0" w:color="auto"/>
            </w:tcBorders>
            <w:shd w:val="clear" w:color="auto" w:fill="auto"/>
            <w:noWrap/>
            <w:vAlign w:val="bottom"/>
            <w:hideMark/>
          </w:tcPr>
          <w:p w14:paraId="1B1B8F6D"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0.296</w:t>
            </w:r>
          </w:p>
        </w:tc>
        <w:tc>
          <w:tcPr>
            <w:tcW w:w="485" w:type="pct"/>
            <w:tcBorders>
              <w:bottom w:val="single" w:sz="4" w:space="0" w:color="auto"/>
            </w:tcBorders>
            <w:shd w:val="clear" w:color="auto" w:fill="auto"/>
            <w:noWrap/>
            <w:vAlign w:val="bottom"/>
            <w:hideMark/>
          </w:tcPr>
          <w:p w14:paraId="0B59F782"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0.9918</w:t>
            </w:r>
          </w:p>
        </w:tc>
        <w:tc>
          <w:tcPr>
            <w:tcW w:w="485" w:type="pct"/>
            <w:tcBorders>
              <w:bottom w:val="single" w:sz="4" w:space="0" w:color="auto"/>
            </w:tcBorders>
            <w:shd w:val="clear" w:color="auto" w:fill="auto"/>
            <w:noWrap/>
            <w:vAlign w:val="bottom"/>
            <w:hideMark/>
          </w:tcPr>
          <w:p w14:paraId="1578DE77"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0.9788</w:t>
            </w:r>
          </w:p>
        </w:tc>
        <w:tc>
          <w:tcPr>
            <w:tcW w:w="200" w:type="pct"/>
            <w:tcBorders>
              <w:bottom w:val="single" w:sz="4" w:space="0" w:color="auto"/>
            </w:tcBorders>
            <w:shd w:val="clear" w:color="auto" w:fill="auto"/>
            <w:noWrap/>
            <w:vAlign w:val="bottom"/>
            <w:hideMark/>
          </w:tcPr>
          <w:p w14:paraId="58FB4376"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w:t>
            </w:r>
          </w:p>
        </w:tc>
      </w:tr>
    </w:tbl>
    <w:p w14:paraId="58C36DB3" w14:textId="77777777" w:rsidR="007A39EB" w:rsidRPr="00CB6F9C" w:rsidRDefault="007A39EB" w:rsidP="007A39EB">
      <w:pPr>
        <w:pStyle w:val="Heading1"/>
        <w:spacing w:before="100" w:beforeAutospacing="1" w:after="100" w:afterAutospacing="1"/>
      </w:pPr>
      <w:r w:rsidRPr="00CB6F9C">
        <w:lastRenderedPageBreak/>
        <w:t>4. EMPIRICAL RESULTS AND DISCUSSIONS</w:t>
      </w:r>
    </w:p>
    <w:p w14:paraId="5C54554D" w14:textId="77777777" w:rsidR="007A39EB" w:rsidRPr="00CB6F9C" w:rsidRDefault="007A39EB" w:rsidP="007A39EB">
      <w:pPr>
        <w:pStyle w:val="Heading2"/>
        <w:spacing w:before="100" w:beforeAutospacing="1" w:after="100" w:afterAutospacing="1"/>
        <w:rPr>
          <w:rFonts w:ascii="Times New Roman" w:hAnsi="Times New Roman" w:cs="Times New Roman"/>
        </w:rPr>
      </w:pPr>
      <w:r w:rsidRPr="00CB6F9C">
        <w:t>4.1 Baseline results</w:t>
      </w:r>
    </w:p>
    <w:p w14:paraId="2A594CAE" w14:textId="463CB34C" w:rsidR="007A39EB" w:rsidRDefault="005A2DC0" w:rsidP="007A39EB">
      <w:pPr>
        <w:spacing w:before="100" w:beforeAutospacing="1" w:after="100" w:afterAutospacing="1"/>
        <w:ind w:firstLine="709"/>
        <w:rPr>
          <w:rFonts w:cs="Times New Roman"/>
          <w:i/>
          <w:iCs/>
          <w:szCs w:val="24"/>
        </w:rPr>
      </w:pPr>
      <w:r w:rsidRPr="005A2DC0">
        <w:rPr>
          <w:rFonts w:asciiTheme="majorBidi" w:eastAsia="SimSun" w:hAnsiTheme="majorBidi" w:cstheme="majorBidi"/>
          <w:color w:val="FF0000"/>
          <w:szCs w:val="24"/>
        </w:rPr>
        <w:t xml:space="preserve">ARIMA model addresses the economic growth because along with the sample period, China had experienced a fast growth in economic. We select this </w:t>
      </w:r>
      <w:proofErr w:type="gramStart"/>
      <w:r w:rsidRPr="005A2DC0">
        <w:rPr>
          <w:rFonts w:asciiTheme="majorBidi" w:eastAsia="SimSun" w:hAnsiTheme="majorBidi" w:cstheme="majorBidi"/>
          <w:color w:val="FF0000"/>
          <w:szCs w:val="24"/>
        </w:rPr>
        <w:t>particular period</w:t>
      </w:r>
      <w:proofErr w:type="gramEnd"/>
      <w:r w:rsidRPr="005A2DC0">
        <w:rPr>
          <w:rFonts w:asciiTheme="majorBidi" w:eastAsia="SimSun" w:hAnsiTheme="majorBidi" w:cstheme="majorBidi"/>
          <w:color w:val="FF0000"/>
          <w:szCs w:val="24"/>
        </w:rPr>
        <w:t xml:space="preserve"> to examine the impact of energy sources towards air pollution. </w:t>
      </w:r>
      <w:r w:rsidR="007A39EB" w:rsidRPr="00CB6F9C">
        <w:rPr>
          <w:rFonts w:asciiTheme="majorBidi" w:eastAsia="SimSun" w:hAnsiTheme="majorBidi" w:cstheme="majorBidi"/>
          <w:szCs w:val="24"/>
        </w:rPr>
        <w:t xml:space="preserve">Table 3 presents the ARIMA regression results of our baseline models of Equation (1) and (2). </w:t>
      </w:r>
      <w:r w:rsidR="007A39EB" w:rsidRPr="008C2ED8">
        <w:rPr>
          <w:rFonts w:asciiTheme="majorBidi" w:eastAsia="SimSun" w:hAnsiTheme="majorBidi" w:cstheme="majorBidi"/>
          <w:color w:val="FF0000"/>
          <w:szCs w:val="24"/>
        </w:rPr>
        <w:t xml:space="preserve">Columns (1) and (2) of the table employ </w:t>
      </w:r>
      <w:r w:rsidR="007A39EB" w:rsidRPr="00BC6962">
        <w:rPr>
          <w:color w:val="FF0000"/>
        </w:rPr>
        <w:t>CO</w:t>
      </w:r>
      <w:r w:rsidR="007A39EB" w:rsidRPr="00BC6962">
        <w:rPr>
          <w:color w:val="FF0000"/>
          <w:vertAlign w:val="subscript"/>
        </w:rPr>
        <w:t>2</w:t>
      </w:r>
      <w:r w:rsidR="007A39EB">
        <w:rPr>
          <w:color w:val="FF0000"/>
          <w:vertAlign w:val="subscript"/>
        </w:rPr>
        <w:t xml:space="preserve"> </w:t>
      </w:r>
      <w:r w:rsidR="007A39EB" w:rsidRPr="008C2ED8">
        <w:rPr>
          <w:rFonts w:asciiTheme="majorBidi" w:eastAsia="SimSun" w:hAnsiTheme="majorBidi" w:cstheme="majorBidi"/>
          <w:color w:val="FF0000"/>
          <w:szCs w:val="24"/>
        </w:rPr>
        <w:t xml:space="preserve">emissions as the dependent variable, while columns (3) and (4) utilize greenhouse gas emissions as the dependent variable. </w:t>
      </w:r>
      <w:r w:rsidR="007A39EB" w:rsidRPr="00CB6F9C">
        <w:rPr>
          <w:rFonts w:asciiTheme="majorBidi" w:eastAsia="SimSun" w:hAnsiTheme="majorBidi" w:cstheme="majorBidi"/>
          <w:szCs w:val="24"/>
        </w:rPr>
        <w:t xml:space="preserve">These results indicate that for every kiloton increase in the use of renewable energy, log of </w:t>
      </w:r>
      <w:r w:rsidR="007A39EB" w:rsidRPr="00BC6962">
        <w:rPr>
          <w:color w:val="FF0000"/>
        </w:rPr>
        <w:t>CO</w:t>
      </w:r>
      <w:r w:rsidR="007A39EB" w:rsidRPr="00BC6962">
        <w:rPr>
          <w:color w:val="FF0000"/>
          <w:vertAlign w:val="subscript"/>
        </w:rPr>
        <w:t>2</w:t>
      </w:r>
      <w:r w:rsidR="007A39EB" w:rsidRPr="00CB6F9C">
        <w:rPr>
          <w:rFonts w:asciiTheme="majorBidi" w:eastAsia="SimSun" w:hAnsiTheme="majorBidi" w:cstheme="majorBidi"/>
          <w:szCs w:val="24"/>
        </w:rPr>
        <w:t xml:space="preserve"> emission in China reduces by 1.035% and log of greenhouse emission reduces by 1.55%. Meanwhile, for every kiloton increase in the use of non-renewable energy, log of </w:t>
      </w:r>
      <w:r w:rsidR="007A39EB" w:rsidRPr="00BC6962">
        <w:rPr>
          <w:color w:val="FF0000"/>
        </w:rPr>
        <w:t>CO</w:t>
      </w:r>
      <w:r w:rsidR="007A39EB" w:rsidRPr="00BC6962">
        <w:rPr>
          <w:color w:val="FF0000"/>
          <w:vertAlign w:val="subscript"/>
        </w:rPr>
        <w:t>2</w:t>
      </w:r>
      <w:r w:rsidR="007A39EB" w:rsidRPr="00CB6F9C">
        <w:rPr>
          <w:rFonts w:asciiTheme="majorBidi" w:eastAsia="SimSun" w:hAnsiTheme="majorBidi" w:cstheme="majorBidi"/>
          <w:szCs w:val="24"/>
        </w:rPr>
        <w:t xml:space="preserve"> emission in China increases by 0.713% and log of greenhouse emission increases by 0.984%. These findings are in line with our H1</w:t>
      </w:r>
      <w:r w:rsidR="007A39EB">
        <w:rPr>
          <w:rFonts w:asciiTheme="majorBidi" w:eastAsia="SimSun" w:hAnsiTheme="majorBidi" w:cstheme="majorBidi"/>
          <w:szCs w:val="24"/>
        </w:rPr>
        <w:t>,</w:t>
      </w:r>
      <w:r w:rsidR="007A39EB" w:rsidRPr="00CB6F9C">
        <w:rPr>
          <w:rFonts w:asciiTheme="majorBidi" w:eastAsia="SimSun" w:hAnsiTheme="majorBidi" w:cstheme="majorBidi"/>
          <w:szCs w:val="24"/>
        </w:rPr>
        <w:t xml:space="preserve"> that as China's economy grows, </w:t>
      </w:r>
      <w:r w:rsidR="007A39EB">
        <w:rPr>
          <w:rFonts w:asciiTheme="majorBidi" w:eastAsia="SimSun" w:hAnsiTheme="majorBidi" w:cstheme="majorBidi"/>
          <w:szCs w:val="24"/>
        </w:rPr>
        <w:t>t</w:t>
      </w:r>
      <w:r w:rsidR="007A39EB" w:rsidRPr="00992F2E">
        <w:rPr>
          <w:rFonts w:asciiTheme="majorBidi" w:eastAsia="SimSun" w:hAnsiTheme="majorBidi" w:cstheme="majorBidi"/>
          <w:szCs w:val="24"/>
        </w:rPr>
        <w:t xml:space="preserve">he adoption of renewable energy sources is </w:t>
      </w:r>
      <w:r w:rsidR="007A39EB">
        <w:rPr>
          <w:rFonts w:asciiTheme="majorBidi" w:eastAsia="SimSun" w:hAnsiTheme="majorBidi" w:cstheme="majorBidi"/>
          <w:szCs w:val="24"/>
        </w:rPr>
        <w:t xml:space="preserve">negatively </w:t>
      </w:r>
      <w:r w:rsidR="007A39EB" w:rsidRPr="00992F2E">
        <w:rPr>
          <w:rFonts w:asciiTheme="majorBidi" w:eastAsia="SimSun" w:hAnsiTheme="majorBidi" w:cstheme="majorBidi"/>
          <w:szCs w:val="24"/>
        </w:rPr>
        <w:t>related to the level of air pollution.</w:t>
      </w:r>
      <w:r w:rsidR="007A39EB">
        <w:rPr>
          <w:rFonts w:asciiTheme="majorBidi" w:eastAsia="SimSun" w:hAnsiTheme="majorBidi" w:cstheme="majorBidi"/>
          <w:szCs w:val="24"/>
        </w:rPr>
        <w:t xml:space="preserve"> </w:t>
      </w:r>
      <w:r w:rsidR="007A39EB" w:rsidRPr="00CB6F9C">
        <w:rPr>
          <w:rFonts w:asciiTheme="majorBidi" w:eastAsia="SimSun" w:hAnsiTheme="majorBidi" w:cstheme="majorBidi"/>
          <w:szCs w:val="24"/>
        </w:rPr>
        <w:t xml:space="preserve">Our results suggest that continued efforts to shift towards renewable energy sources in China could help to reduce the country's </w:t>
      </w:r>
      <w:r w:rsidR="007A39EB" w:rsidRPr="00BC6962">
        <w:rPr>
          <w:color w:val="FF0000"/>
        </w:rPr>
        <w:t>CO</w:t>
      </w:r>
      <w:r w:rsidR="007A39EB" w:rsidRPr="00BC6962">
        <w:rPr>
          <w:color w:val="FF0000"/>
          <w:vertAlign w:val="subscript"/>
        </w:rPr>
        <w:t>2</w:t>
      </w:r>
      <w:r w:rsidR="007A39EB" w:rsidRPr="00CB6F9C">
        <w:rPr>
          <w:rFonts w:asciiTheme="majorBidi" w:eastAsia="SimSun" w:hAnsiTheme="majorBidi" w:cstheme="majorBidi"/>
          <w:szCs w:val="24"/>
        </w:rPr>
        <w:t xml:space="preserve"> and greenhouse gas emissions, thereby contributing to global efforts to </w:t>
      </w:r>
      <w:r w:rsidR="007A39EB">
        <w:rPr>
          <w:rFonts w:asciiTheme="majorBidi" w:eastAsia="SimSun" w:hAnsiTheme="majorBidi" w:cstheme="majorBidi"/>
          <w:color w:val="FF0000"/>
          <w:szCs w:val="24"/>
        </w:rPr>
        <w:t xml:space="preserve">reduce </w:t>
      </w:r>
      <w:r w:rsidR="007A39EB" w:rsidRPr="00CB6F9C">
        <w:rPr>
          <w:rFonts w:asciiTheme="majorBidi" w:eastAsia="SimSun" w:hAnsiTheme="majorBidi" w:cstheme="majorBidi"/>
          <w:szCs w:val="24"/>
        </w:rPr>
        <w:t xml:space="preserve">carbon </w:t>
      </w:r>
      <w:r w:rsidR="007A39EB">
        <w:rPr>
          <w:rFonts w:asciiTheme="majorBidi" w:eastAsia="SimSun" w:hAnsiTheme="majorBidi" w:cstheme="majorBidi"/>
          <w:color w:val="FF0000"/>
          <w:szCs w:val="24"/>
        </w:rPr>
        <w:t xml:space="preserve">footprint </w:t>
      </w:r>
      <w:r w:rsidR="007A39EB" w:rsidRPr="00CB6F9C">
        <w:rPr>
          <w:rFonts w:asciiTheme="majorBidi" w:eastAsia="SimSun" w:hAnsiTheme="majorBidi" w:cstheme="majorBidi"/>
          <w:szCs w:val="24"/>
        </w:rPr>
        <w:t xml:space="preserve">by 2060. These efforts could include policies and incentives to encourage the development and use of renewable energy sources, as well as efforts to improve the integration and management of renewable energy into the existing energy infrastructure. Our results are supported by the EKC theory that as China's economy grows, it is moving towards a stage where higher income levels are associated with cleaner energy sources and lower pollution levels. The results also support findings by </w:t>
      </w:r>
      <w:proofErr w:type="spellStart"/>
      <w:r w:rsidR="007A39EB" w:rsidRPr="00CB6F9C">
        <w:rPr>
          <w:rFonts w:asciiTheme="majorBidi" w:eastAsia="SimSun" w:hAnsiTheme="majorBidi" w:cstheme="majorBidi"/>
          <w:szCs w:val="24"/>
        </w:rPr>
        <w:t>Pinzón</w:t>
      </w:r>
      <w:proofErr w:type="spellEnd"/>
      <w:r w:rsidR="007A39EB" w:rsidRPr="00CB6F9C">
        <w:rPr>
          <w:rFonts w:asciiTheme="majorBidi" w:eastAsia="SimSun" w:hAnsiTheme="majorBidi" w:cstheme="majorBidi"/>
          <w:szCs w:val="24"/>
        </w:rPr>
        <w:t xml:space="preserve"> (2018), </w:t>
      </w:r>
      <w:proofErr w:type="spellStart"/>
      <w:r w:rsidR="007A39EB" w:rsidRPr="00CB6F9C">
        <w:rPr>
          <w:rFonts w:asciiTheme="majorBidi" w:eastAsia="SimSun" w:hAnsiTheme="majorBidi" w:cstheme="majorBidi"/>
          <w:szCs w:val="24"/>
        </w:rPr>
        <w:t>Olaoye</w:t>
      </w:r>
      <w:proofErr w:type="spellEnd"/>
      <w:r w:rsidR="007A39EB" w:rsidRPr="00CB6F9C">
        <w:rPr>
          <w:rFonts w:asciiTheme="majorBidi" w:eastAsia="SimSun" w:hAnsiTheme="majorBidi" w:cstheme="majorBidi"/>
          <w:szCs w:val="24"/>
        </w:rPr>
        <w:t xml:space="preserve"> et al. (2020), Wang et al. (2019)</w:t>
      </w:r>
      <w:r w:rsidR="007A39EB" w:rsidRPr="00CB6F9C">
        <w:rPr>
          <w:rFonts w:asciiTheme="majorBidi" w:eastAsia="SimSun" w:hAnsiTheme="majorBidi" w:cstheme="majorBidi" w:hint="eastAsia"/>
          <w:szCs w:val="24"/>
        </w:rPr>
        <w:t>.</w:t>
      </w:r>
      <w:r w:rsidR="007A39EB">
        <w:rPr>
          <w:rFonts w:cs="Times New Roman"/>
          <w:szCs w:val="24"/>
        </w:rPr>
        <w:br w:type="page"/>
      </w:r>
    </w:p>
    <w:p w14:paraId="3EDF83A8" w14:textId="77777777" w:rsidR="007A39EB" w:rsidRPr="00CB6F9C" w:rsidRDefault="007A39EB" w:rsidP="007A39EB">
      <w:pPr>
        <w:pStyle w:val="Caption"/>
        <w:keepNext/>
        <w:rPr>
          <w:rFonts w:cs="Times New Roman"/>
          <w:color w:val="auto"/>
          <w:sz w:val="24"/>
          <w:szCs w:val="24"/>
        </w:rPr>
      </w:pPr>
      <w:r w:rsidRPr="00CB6F9C">
        <w:rPr>
          <w:rFonts w:cs="Times New Roman"/>
          <w:color w:val="auto"/>
          <w:sz w:val="24"/>
          <w:szCs w:val="24"/>
        </w:rPr>
        <w:lastRenderedPageBreak/>
        <w:t xml:space="preserve">Table </w:t>
      </w:r>
      <w:r w:rsidRPr="00CB6F9C">
        <w:rPr>
          <w:rFonts w:cs="Times New Roman"/>
          <w:color w:val="auto"/>
          <w:sz w:val="24"/>
          <w:szCs w:val="24"/>
        </w:rPr>
        <w:fldChar w:fldCharType="begin"/>
      </w:r>
      <w:r w:rsidRPr="00CB6F9C">
        <w:rPr>
          <w:rFonts w:cs="Times New Roman"/>
          <w:color w:val="auto"/>
          <w:sz w:val="24"/>
          <w:szCs w:val="24"/>
        </w:rPr>
        <w:instrText xml:space="preserve"> SEQ Table \* ARABIC </w:instrText>
      </w:r>
      <w:r w:rsidRPr="00CB6F9C">
        <w:rPr>
          <w:rFonts w:cs="Times New Roman"/>
          <w:color w:val="auto"/>
          <w:sz w:val="24"/>
          <w:szCs w:val="24"/>
        </w:rPr>
        <w:fldChar w:fldCharType="separate"/>
      </w:r>
      <w:r w:rsidRPr="00CB6F9C">
        <w:rPr>
          <w:rFonts w:cs="Times New Roman"/>
          <w:noProof/>
          <w:color w:val="auto"/>
          <w:sz w:val="24"/>
          <w:szCs w:val="24"/>
        </w:rPr>
        <w:t>3</w:t>
      </w:r>
      <w:r w:rsidRPr="00CB6F9C">
        <w:rPr>
          <w:rFonts w:cs="Times New Roman"/>
          <w:color w:val="auto"/>
          <w:sz w:val="24"/>
          <w:szCs w:val="24"/>
        </w:rPr>
        <w:fldChar w:fldCharType="end"/>
      </w:r>
      <w:r>
        <w:rPr>
          <w:rFonts w:cs="Times New Roman"/>
          <w:color w:val="auto"/>
          <w:sz w:val="24"/>
          <w:szCs w:val="24"/>
        </w:rPr>
        <w:t>.</w:t>
      </w:r>
      <w:r w:rsidRPr="00CB6F9C">
        <w:rPr>
          <w:rFonts w:cs="Times New Roman"/>
          <w:color w:val="auto"/>
          <w:sz w:val="24"/>
          <w:szCs w:val="24"/>
        </w:rPr>
        <w:t xml:space="preserve"> ARIMA regression</w:t>
      </w:r>
    </w:p>
    <w:tbl>
      <w:tblPr>
        <w:tblW w:w="5000" w:type="pct"/>
        <w:tblLook w:val="04A0" w:firstRow="1" w:lastRow="0" w:firstColumn="1" w:lastColumn="0" w:noHBand="0" w:noVBand="1"/>
      </w:tblPr>
      <w:tblGrid>
        <w:gridCol w:w="1837"/>
        <w:gridCol w:w="1671"/>
        <w:gridCol w:w="1672"/>
        <w:gridCol w:w="1923"/>
        <w:gridCol w:w="1923"/>
      </w:tblGrid>
      <w:tr w:rsidR="007A39EB" w:rsidRPr="001E387E" w14:paraId="79B3AFAB" w14:textId="77777777" w:rsidTr="006962D0">
        <w:trPr>
          <w:trHeight w:val="290"/>
        </w:trPr>
        <w:tc>
          <w:tcPr>
            <w:tcW w:w="1018" w:type="pct"/>
            <w:tcBorders>
              <w:top w:val="single" w:sz="4" w:space="0" w:color="auto"/>
              <w:bottom w:val="single" w:sz="4" w:space="0" w:color="auto"/>
            </w:tcBorders>
            <w:shd w:val="clear" w:color="auto" w:fill="auto"/>
            <w:noWrap/>
            <w:vAlign w:val="center"/>
            <w:hideMark/>
          </w:tcPr>
          <w:p w14:paraId="1FCA92B5"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Variables</w:t>
            </w:r>
          </w:p>
        </w:tc>
        <w:tc>
          <w:tcPr>
            <w:tcW w:w="926" w:type="pct"/>
            <w:tcBorders>
              <w:top w:val="single" w:sz="4" w:space="0" w:color="auto"/>
              <w:bottom w:val="single" w:sz="4" w:space="0" w:color="auto"/>
            </w:tcBorders>
            <w:shd w:val="clear" w:color="auto" w:fill="auto"/>
            <w:noWrap/>
            <w:vAlign w:val="bottom"/>
            <w:hideMark/>
          </w:tcPr>
          <w:p w14:paraId="396AF8F4"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LogCO</w:t>
            </w:r>
            <w:r w:rsidRPr="00BC6962">
              <w:rPr>
                <w:rFonts w:ascii="Cambria" w:eastAsia="Times New Roman" w:hAnsi="Cambria" w:cs="Times New Roman"/>
                <w:b/>
                <w:bCs/>
                <w:color w:val="FF0000"/>
                <w:sz w:val="20"/>
                <w:szCs w:val="20"/>
                <w:vertAlign w:val="subscript"/>
              </w:rPr>
              <w:t>2</w:t>
            </w:r>
            <w:r w:rsidRPr="004576EC">
              <w:rPr>
                <w:rFonts w:ascii="Cambria" w:eastAsia="Times New Roman" w:hAnsi="Cambria" w:cs="Times New Roman"/>
                <w:b/>
                <w:bCs/>
                <w:color w:val="FF0000"/>
                <w:sz w:val="20"/>
                <w:szCs w:val="20"/>
              </w:rPr>
              <w:t>Emit</w:t>
            </w:r>
          </w:p>
          <w:p w14:paraId="57DD8241"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(1)</w:t>
            </w:r>
          </w:p>
        </w:tc>
        <w:tc>
          <w:tcPr>
            <w:tcW w:w="926" w:type="pct"/>
            <w:tcBorders>
              <w:top w:val="single" w:sz="4" w:space="0" w:color="auto"/>
              <w:bottom w:val="single" w:sz="4" w:space="0" w:color="auto"/>
            </w:tcBorders>
            <w:shd w:val="clear" w:color="auto" w:fill="auto"/>
            <w:noWrap/>
            <w:vAlign w:val="bottom"/>
            <w:hideMark/>
          </w:tcPr>
          <w:p w14:paraId="67DADABE"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LogCO</w:t>
            </w:r>
            <w:r w:rsidRPr="00BC6962">
              <w:rPr>
                <w:rFonts w:ascii="Cambria" w:eastAsia="Times New Roman" w:hAnsi="Cambria" w:cs="Times New Roman"/>
                <w:b/>
                <w:bCs/>
                <w:color w:val="FF0000"/>
                <w:sz w:val="20"/>
                <w:szCs w:val="20"/>
                <w:vertAlign w:val="subscript"/>
              </w:rPr>
              <w:t>2</w:t>
            </w:r>
            <w:r w:rsidRPr="004576EC">
              <w:rPr>
                <w:rFonts w:ascii="Cambria" w:eastAsia="Times New Roman" w:hAnsi="Cambria" w:cs="Times New Roman"/>
                <w:b/>
                <w:bCs/>
                <w:color w:val="FF0000"/>
                <w:sz w:val="20"/>
                <w:szCs w:val="20"/>
              </w:rPr>
              <w:t>Emit</w:t>
            </w:r>
          </w:p>
          <w:p w14:paraId="520690C6"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(2)</w:t>
            </w:r>
          </w:p>
        </w:tc>
        <w:tc>
          <w:tcPr>
            <w:tcW w:w="1065" w:type="pct"/>
            <w:tcBorders>
              <w:top w:val="single" w:sz="4" w:space="0" w:color="auto"/>
              <w:bottom w:val="single" w:sz="4" w:space="0" w:color="auto"/>
            </w:tcBorders>
            <w:shd w:val="clear" w:color="auto" w:fill="auto"/>
            <w:noWrap/>
            <w:vAlign w:val="bottom"/>
            <w:hideMark/>
          </w:tcPr>
          <w:p w14:paraId="60ECEF64"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proofErr w:type="spellStart"/>
            <w:r w:rsidRPr="004576EC">
              <w:rPr>
                <w:rFonts w:ascii="Cambria" w:eastAsia="Times New Roman" w:hAnsi="Cambria" w:cs="Times New Roman"/>
                <w:b/>
                <w:bCs/>
                <w:color w:val="FF0000"/>
                <w:sz w:val="20"/>
                <w:szCs w:val="20"/>
              </w:rPr>
              <w:t>LogGreenhouse</w:t>
            </w:r>
            <w:proofErr w:type="spellEnd"/>
          </w:p>
          <w:p w14:paraId="7CA8CC01"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(3)</w:t>
            </w:r>
          </w:p>
        </w:tc>
        <w:tc>
          <w:tcPr>
            <w:tcW w:w="1065" w:type="pct"/>
            <w:tcBorders>
              <w:top w:val="single" w:sz="4" w:space="0" w:color="auto"/>
              <w:bottom w:val="single" w:sz="4" w:space="0" w:color="auto"/>
            </w:tcBorders>
            <w:shd w:val="clear" w:color="auto" w:fill="auto"/>
            <w:noWrap/>
            <w:vAlign w:val="bottom"/>
            <w:hideMark/>
          </w:tcPr>
          <w:p w14:paraId="72A74C27"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proofErr w:type="spellStart"/>
            <w:r w:rsidRPr="004576EC">
              <w:rPr>
                <w:rFonts w:ascii="Cambria" w:eastAsia="Times New Roman" w:hAnsi="Cambria" w:cs="Times New Roman"/>
                <w:b/>
                <w:bCs/>
                <w:color w:val="FF0000"/>
                <w:sz w:val="20"/>
                <w:szCs w:val="20"/>
              </w:rPr>
              <w:t>LogGreenhouse</w:t>
            </w:r>
            <w:proofErr w:type="spellEnd"/>
          </w:p>
          <w:p w14:paraId="172175DF" w14:textId="77777777" w:rsidR="007A39EB" w:rsidRPr="004576EC" w:rsidRDefault="007A39EB" w:rsidP="006962D0">
            <w:pPr>
              <w:spacing w:line="240" w:lineRule="auto"/>
              <w:jc w:val="center"/>
              <w:rPr>
                <w:rFonts w:ascii="Cambria" w:eastAsia="Times New Roman" w:hAnsi="Cambria" w:cs="Times New Roman"/>
                <w:b/>
                <w:bCs/>
                <w:color w:val="FF0000"/>
                <w:sz w:val="20"/>
                <w:szCs w:val="20"/>
              </w:rPr>
            </w:pPr>
            <w:r w:rsidRPr="004576EC">
              <w:rPr>
                <w:rFonts w:ascii="Cambria" w:eastAsia="Times New Roman" w:hAnsi="Cambria" w:cs="Times New Roman"/>
                <w:b/>
                <w:bCs/>
                <w:color w:val="FF0000"/>
                <w:sz w:val="20"/>
                <w:szCs w:val="20"/>
              </w:rPr>
              <w:t>(4)</w:t>
            </w:r>
          </w:p>
        </w:tc>
      </w:tr>
      <w:tr w:rsidR="007A39EB" w:rsidRPr="001E387E" w14:paraId="503AB5A5" w14:textId="77777777" w:rsidTr="006962D0">
        <w:trPr>
          <w:trHeight w:val="290"/>
        </w:trPr>
        <w:tc>
          <w:tcPr>
            <w:tcW w:w="1018" w:type="pct"/>
            <w:tcBorders>
              <w:top w:val="single" w:sz="4" w:space="0" w:color="auto"/>
            </w:tcBorders>
            <w:shd w:val="clear" w:color="auto" w:fill="auto"/>
            <w:noWrap/>
            <w:vAlign w:val="bottom"/>
            <w:hideMark/>
          </w:tcPr>
          <w:p w14:paraId="7D673425"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tcBorders>
              <w:top w:val="single" w:sz="4" w:space="0" w:color="auto"/>
            </w:tcBorders>
            <w:shd w:val="clear" w:color="auto" w:fill="auto"/>
            <w:noWrap/>
            <w:vAlign w:val="bottom"/>
            <w:hideMark/>
          </w:tcPr>
          <w:p w14:paraId="7B48678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tcBorders>
              <w:top w:val="single" w:sz="4" w:space="0" w:color="auto"/>
            </w:tcBorders>
            <w:shd w:val="clear" w:color="auto" w:fill="auto"/>
            <w:noWrap/>
            <w:vAlign w:val="bottom"/>
            <w:hideMark/>
          </w:tcPr>
          <w:p w14:paraId="23B96CA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1065" w:type="pct"/>
            <w:tcBorders>
              <w:top w:val="single" w:sz="4" w:space="0" w:color="auto"/>
            </w:tcBorders>
            <w:shd w:val="clear" w:color="auto" w:fill="auto"/>
            <w:noWrap/>
            <w:vAlign w:val="bottom"/>
            <w:hideMark/>
          </w:tcPr>
          <w:p w14:paraId="1B8A3A2E"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tcBorders>
              <w:top w:val="single" w:sz="4" w:space="0" w:color="auto"/>
            </w:tcBorders>
            <w:shd w:val="clear" w:color="auto" w:fill="auto"/>
            <w:noWrap/>
            <w:vAlign w:val="bottom"/>
            <w:hideMark/>
          </w:tcPr>
          <w:p w14:paraId="20E6C5B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106C9438" w14:textId="77777777" w:rsidTr="006962D0">
        <w:trPr>
          <w:trHeight w:val="290"/>
        </w:trPr>
        <w:tc>
          <w:tcPr>
            <w:tcW w:w="1018" w:type="pct"/>
            <w:shd w:val="clear" w:color="auto" w:fill="auto"/>
            <w:noWrap/>
            <w:vAlign w:val="center"/>
            <w:hideMark/>
          </w:tcPr>
          <w:p w14:paraId="77576A6F"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Renewable</w:t>
            </w:r>
          </w:p>
        </w:tc>
        <w:tc>
          <w:tcPr>
            <w:tcW w:w="926" w:type="pct"/>
            <w:shd w:val="clear" w:color="auto" w:fill="auto"/>
            <w:noWrap/>
            <w:vAlign w:val="center"/>
            <w:hideMark/>
          </w:tcPr>
          <w:p w14:paraId="6F9B08F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-0.01035***</w:t>
            </w:r>
          </w:p>
        </w:tc>
        <w:tc>
          <w:tcPr>
            <w:tcW w:w="926" w:type="pct"/>
            <w:shd w:val="clear" w:color="auto" w:fill="auto"/>
            <w:noWrap/>
            <w:vAlign w:val="center"/>
            <w:hideMark/>
          </w:tcPr>
          <w:p w14:paraId="29B35062"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5F1F8E0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-0.0155***</w:t>
            </w:r>
          </w:p>
        </w:tc>
        <w:tc>
          <w:tcPr>
            <w:tcW w:w="1065" w:type="pct"/>
            <w:shd w:val="clear" w:color="auto" w:fill="auto"/>
            <w:noWrap/>
            <w:vAlign w:val="center"/>
            <w:hideMark/>
          </w:tcPr>
          <w:p w14:paraId="58996961" w14:textId="77777777" w:rsidR="007A39EB" w:rsidRPr="001E387E" w:rsidRDefault="007A39EB" w:rsidP="006962D0">
            <w:pPr>
              <w:spacing w:line="240" w:lineRule="auto"/>
              <w:jc w:val="center"/>
              <w:rPr>
                <w:rFonts w:ascii="Cambria" w:eastAsia="Times New Roman" w:hAnsi="Cambria" w:cs="Times New Roman"/>
                <w:sz w:val="20"/>
                <w:szCs w:val="20"/>
              </w:rPr>
            </w:pPr>
          </w:p>
        </w:tc>
      </w:tr>
      <w:tr w:rsidR="007A39EB" w:rsidRPr="001E387E" w14:paraId="7A822B38" w14:textId="77777777" w:rsidTr="006962D0">
        <w:trPr>
          <w:trHeight w:val="290"/>
        </w:trPr>
        <w:tc>
          <w:tcPr>
            <w:tcW w:w="1018" w:type="pct"/>
            <w:shd w:val="clear" w:color="auto" w:fill="auto"/>
            <w:noWrap/>
            <w:vAlign w:val="center"/>
            <w:hideMark/>
          </w:tcPr>
          <w:p w14:paraId="307EE3FD"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0EFD2AD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(0.0015)</w:t>
            </w:r>
          </w:p>
        </w:tc>
        <w:tc>
          <w:tcPr>
            <w:tcW w:w="926" w:type="pct"/>
            <w:shd w:val="clear" w:color="auto" w:fill="auto"/>
            <w:noWrap/>
            <w:vAlign w:val="center"/>
            <w:hideMark/>
          </w:tcPr>
          <w:p w14:paraId="216244D7"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51F7BCC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(0.0031)</w:t>
            </w:r>
          </w:p>
        </w:tc>
        <w:tc>
          <w:tcPr>
            <w:tcW w:w="1065" w:type="pct"/>
            <w:shd w:val="clear" w:color="auto" w:fill="auto"/>
            <w:noWrap/>
            <w:vAlign w:val="center"/>
            <w:hideMark/>
          </w:tcPr>
          <w:p w14:paraId="2812F65E" w14:textId="77777777" w:rsidR="007A39EB" w:rsidRPr="001E387E" w:rsidRDefault="007A39EB" w:rsidP="006962D0">
            <w:pPr>
              <w:spacing w:line="240" w:lineRule="auto"/>
              <w:jc w:val="center"/>
              <w:rPr>
                <w:rFonts w:ascii="Cambria" w:eastAsia="Times New Roman" w:hAnsi="Cambria" w:cs="Times New Roman"/>
                <w:sz w:val="20"/>
                <w:szCs w:val="20"/>
              </w:rPr>
            </w:pPr>
          </w:p>
        </w:tc>
      </w:tr>
      <w:tr w:rsidR="007A39EB" w:rsidRPr="001E387E" w14:paraId="0B93571F" w14:textId="77777777" w:rsidTr="006962D0">
        <w:trPr>
          <w:trHeight w:val="290"/>
        </w:trPr>
        <w:tc>
          <w:tcPr>
            <w:tcW w:w="1018" w:type="pct"/>
            <w:shd w:val="clear" w:color="auto" w:fill="auto"/>
            <w:noWrap/>
            <w:vAlign w:val="center"/>
            <w:hideMark/>
          </w:tcPr>
          <w:p w14:paraId="6EC0F096" w14:textId="77777777" w:rsidR="007A39EB" w:rsidRPr="001E387E" w:rsidRDefault="007A39EB" w:rsidP="006962D0">
            <w:pPr>
              <w:spacing w:line="240" w:lineRule="auto"/>
              <w:jc w:val="left"/>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NonRenewable</w:t>
            </w:r>
            <w:proofErr w:type="spellEnd"/>
          </w:p>
        </w:tc>
        <w:tc>
          <w:tcPr>
            <w:tcW w:w="926" w:type="pct"/>
            <w:shd w:val="clear" w:color="auto" w:fill="auto"/>
            <w:noWrap/>
            <w:vAlign w:val="center"/>
            <w:hideMark/>
          </w:tcPr>
          <w:p w14:paraId="7ADAA466"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926" w:type="pct"/>
            <w:shd w:val="clear" w:color="auto" w:fill="auto"/>
            <w:noWrap/>
            <w:vAlign w:val="center"/>
            <w:hideMark/>
          </w:tcPr>
          <w:p w14:paraId="30E1CB4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0.00713*</w:t>
            </w:r>
          </w:p>
        </w:tc>
        <w:tc>
          <w:tcPr>
            <w:tcW w:w="1065" w:type="pct"/>
            <w:shd w:val="clear" w:color="auto" w:fill="auto"/>
            <w:noWrap/>
            <w:vAlign w:val="center"/>
            <w:hideMark/>
          </w:tcPr>
          <w:p w14:paraId="61401DC3"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73C299C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0.00984*</w:t>
            </w:r>
          </w:p>
        </w:tc>
      </w:tr>
      <w:tr w:rsidR="007A39EB" w:rsidRPr="001E387E" w14:paraId="0FD00483" w14:textId="77777777" w:rsidTr="006962D0">
        <w:trPr>
          <w:trHeight w:val="290"/>
        </w:trPr>
        <w:tc>
          <w:tcPr>
            <w:tcW w:w="1018" w:type="pct"/>
            <w:shd w:val="clear" w:color="auto" w:fill="auto"/>
            <w:noWrap/>
            <w:vAlign w:val="center"/>
            <w:hideMark/>
          </w:tcPr>
          <w:p w14:paraId="2E81E74D"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489340CD"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926" w:type="pct"/>
            <w:shd w:val="clear" w:color="auto" w:fill="auto"/>
            <w:noWrap/>
            <w:vAlign w:val="center"/>
            <w:hideMark/>
          </w:tcPr>
          <w:p w14:paraId="5429CB6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(0.0042)</w:t>
            </w:r>
          </w:p>
        </w:tc>
        <w:tc>
          <w:tcPr>
            <w:tcW w:w="1065" w:type="pct"/>
            <w:shd w:val="clear" w:color="auto" w:fill="auto"/>
            <w:noWrap/>
            <w:vAlign w:val="center"/>
            <w:hideMark/>
          </w:tcPr>
          <w:p w14:paraId="626DA4A1"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2351AFB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(0.0058)</w:t>
            </w:r>
          </w:p>
        </w:tc>
      </w:tr>
      <w:tr w:rsidR="007A39EB" w:rsidRPr="001E387E" w14:paraId="4DDC0A00" w14:textId="77777777" w:rsidTr="006962D0">
        <w:trPr>
          <w:trHeight w:val="290"/>
        </w:trPr>
        <w:tc>
          <w:tcPr>
            <w:tcW w:w="1018" w:type="pct"/>
            <w:shd w:val="clear" w:color="auto" w:fill="auto"/>
            <w:noWrap/>
            <w:vAlign w:val="center"/>
            <w:hideMark/>
          </w:tcPr>
          <w:p w14:paraId="3A49CC10" w14:textId="77777777" w:rsidR="007A39EB" w:rsidRPr="001E387E" w:rsidRDefault="007A39EB" w:rsidP="006962D0">
            <w:pPr>
              <w:spacing w:line="240" w:lineRule="auto"/>
              <w:jc w:val="left"/>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Coalrents</w:t>
            </w:r>
            <w:proofErr w:type="spellEnd"/>
          </w:p>
        </w:tc>
        <w:tc>
          <w:tcPr>
            <w:tcW w:w="926" w:type="pct"/>
            <w:shd w:val="clear" w:color="auto" w:fill="auto"/>
            <w:noWrap/>
            <w:vAlign w:val="center"/>
            <w:hideMark/>
          </w:tcPr>
          <w:p w14:paraId="3C265DA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-0.00766***</w:t>
            </w:r>
          </w:p>
        </w:tc>
        <w:tc>
          <w:tcPr>
            <w:tcW w:w="926" w:type="pct"/>
            <w:shd w:val="clear" w:color="auto" w:fill="auto"/>
            <w:noWrap/>
            <w:vAlign w:val="center"/>
            <w:hideMark/>
          </w:tcPr>
          <w:p w14:paraId="26E483D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-0.00375</w:t>
            </w:r>
          </w:p>
        </w:tc>
        <w:tc>
          <w:tcPr>
            <w:tcW w:w="1065" w:type="pct"/>
            <w:shd w:val="clear" w:color="auto" w:fill="auto"/>
            <w:noWrap/>
            <w:vAlign w:val="center"/>
            <w:hideMark/>
          </w:tcPr>
          <w:p w14:paraId="27A2F90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0.0012</w:t>
            </w:r>
          </w:p>
        </w:tc>
        <w:tc>
          <w:tcPr>
            <w:tcW w:w="1065" w:type="pct"/>
            <w:shd w:val="clear" w:color="auto" w:fill="auto"/>
            <w:noWrap/>
            <w:vAlign w:val="center"/>
            <w:hideMark/>
          </w:tcPr>
          <w:p w14:paraId="3238F35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0.00706</w:t>
            </w:r>
          </w:p>
        </w:tc>
      </w:tr>
      <w:tr w:rsidR="007A39EB" w:rsidRPr="001E387E" w14:paraId="5FF0CA7F" w14:textId="77777777" w:rsidTr="006962D0">
        <w:trPr>
          <w:trHeight w:val="290"/>
        </w:trPr>
        <w:tc>
          <w:tcPr>
            <w:tcW w:w="1018" w:type="pct"/>
            <w:shd w:val="clear" w:color="auto" w:fill="auto"/>
            <w:noWrap/>
            <w:vAlign w:val="center"/>
            <w:hideMark/>
          </w:tcPr>
          <w:p w14:paraId="0D788116"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62FCEFB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(0.0014)</w:t>
            </w:r>
          </w:p>
        </w:tc>
        <w:tc>
          <w:tcPr>
            <w:tcW w:w="926" w:type="pct"/>
            <w:shd w:val="clear" w:color="auto" w:fill="auto"/>
            <w:noWrap/>
            <w:vAlign w:val="center"/>
            <w:hideMark/>
          </w:tcPr>
          <w:p w14:paraId="1C85780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(0.0023)</w:t>
            </w:r>
          </w:p>
        </w:tc>
        <w:tc>
          <w:tcPr>
            <w:tcW w:w="1065" w:type="pct"/>
            <w:shd w:val="clear" w:color="auto" w:fill="auto"/>
            <w:noWrap/>
            <w:vAlign w:val="center"/>
            <w:hideMark/>
          </w:tcPr>
          <w:p w14:paraId="475A8CF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(0.0057)</w:t>
            </w:r>
          </w:p>
        </w:tc>
        <w:tc>
          <w:tcPr>
            <w:tcW w:w="1065" w:type="pct"/>
            <w:shd w:val="clear" w:color="auto" w:fill="auto"/>
            <w:noWrap/>
            <w:vAlign w:val="center"/>
            <w:hideMark/>
          </w:tcPr>
          <w:p w14:paraId="77DFCE0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(0.0044)</w:t>
            </w:r>
          </w:p>
        </w:tc>
      </w:tr>
      <w:tr w:rsidR="007A39EB" w:rsidRPr="001E387E" w14:paraId="056BFAA3" w14:textId="77777777" w:rsidTr="006962D0">
        <w:trPr>
          <w:trHeight w:val="290"/>
        </w:trPr>
        <w:tc>
          <w:tcPr>
            <w:tcW w:w="1018" w:type="pct"/>
            <w:shd w:val="clear" w:color="auto" w:fill="auto"/>
            <w:noWrap/>
            <w:vAlign w:val="center"/>
            <w:hideMark/>
          </w:tcPr>
          <w:p w14:paraId="33955B0E" w14:textId="77777777" w:rsidR="007A39EB" w:rsidRPr="001E387E" w:rsidRDefault="007A39EB" w:rsidP="006962D0">
            <w:pPr>
              <w:spacing w:line="240" w:lineRule="auto"/>
              <w:jc w:val="left"/>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LogGDP</w:t>
            </w:r>
            <w:proofErr w:type="spellEnd"/>
          </w:p>
        </w:tc>
        <w:tc>
          <w:tcPr>
            <w:tcW w:w="926" w:type="pct"/>
            <w:shd w:val="clear" w:color="auto" w:fill="auto"/>
            <w:noWrap/>
            <w:vAlign w:val="center"/>
            <w:hideMark/>
          </w:tcPr>
          <w:p w14:paraId="03D2F7A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0.46142***</w:t>
            </w:r>
          </w:p>
        </w:tc>
        <w:tc>
          <w:tcPr>
            <w:tcW w:w="926" w:type="pct"/>
            <w:shd w:val="clear" w:color="auto" w:fill="auto"/>
            <w:noWrap/>
            <w:vAlign w:val="center"/>
            <w:hideMark/>
          </w:tcPr>
          <w:p w14:paraId="4F73E47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0.461***</w:t>
            </w:r>
          </w:p>
        </w:tc>
        <w:tc>
          <w:tcPr>
            <w:tcW w:w="1065" w:type="pct"/>
            <w:shd w:val="clear" w:color="auto" w:fill="auto"/>
            <w:noWrap/>
            <w:vAlign w:val="center"/>
            <w:hideMark/>
          </w:tcPr>
          <w:p w14:paraId="2C115DF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0.713***</w:t>
            </w:r>
          </w:p>
        </w:tc>
        <w:tc>
          <w:tcPr>
            <w:tcW w:w="1065" w:type="pct"/>
            <w:shd w:val="clear" w:color="auto" w:fill="auto"/>
            <w:noWrap/>
            <w:vAlign w:val="center"/>
            <w:hideMark/>
          </w:tcPr>
          <w:p w14:paraId="314D817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0.719***</w:t>
            </w:r>
          </w:p>
        </w:tc>
      </w:tr>
      <w:tr w:rsidR="007A39EB" w:rsidRPr="001E387E" w14:paraId="3C86D418" w14:textId="77777777" w:rsidTr="006962D0">
        <w:trPr>
          <w:trHeight w:val="290"/>
        </w:trPr>
        <w:tc>
          <w:tcPr>
            <w:tcW w:w="1018" w:type="pct"/>
            <w:shd w:val="clear" w:color="auto" w:fill="auto"/>
            <w:noWrap/>
            <w:vAlign w:val="center"/>
            <w:hideMark/>
          </w:tcPr>
          <w:p w14:paraId="1A7AFB3C"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7B04F33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(0.0446)</w:t>
            </w:r>
          </w:p>
        </w:tc>
        <w:tc>
          <w:tcPr>
            <w:tcW w:w="926" w:type="pct"/>
            <w:shd w:val="clear" w:color="auto" w:fill="auto"/>
            <w:noWrap/>
            <w:vAlign w:val="center"/>
            <w:hideMark/>
          </w:tcPr>
          <w:p w14:paraId="07F3EE6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(0.0760)</w:t>
            </w:r>
          </w:p>
        </w:tc>
        <w:tc>
          <w:tcPr>
            <w:tcW w:w="1065" w:type="pct"/>
            <w:shd w:val="clear" w:color="auto" w:fill="auto"/>
            <w:noWrap/>
            <w:vAlign w:val="center"/>
            <w:hideMark/>
          </w:tcPr>
          <w:p w14:paraId="340CF84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(0.1430)</w:t>
            </w:r>
          </w:p>
        </w:tc>
        <w:tc>
          <w:tcPr>
            <w:tcW w:w="1065" w:type="pct"/>
            <w:shd w:val="clear" w:color="auto" w:fill="auto"/>
            <w:noWrap/>
            <w:vAlign w:val="center"/>
            <w:hideMark/>
          </w:tcPr>
          <w:p w14:paraId="709C702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(0.1440)</w:t>
            </w:r>
          </w:p>
        </w:tc>
      </w:tr>
      <w:tr w:rsidR="007A39EB" w:rsidRPr="001E387E" w14:paraId="4497D8E1" w14:textId="77777777" w:rsidTr="006962D0">
        <w:trPr>
          <w:trHeight w:val="290"/>
        </w:trPr>
        <w:tc>
          <w:tcPr>
            <w:tcW w:w="1018" w:type="pct"/>
            <w:shd w:val="clear" w:color="auto" w:fill="auto"/>
            <w:noWrap/>
            <w:vAlign w:val="center"/>
            <w:hideMark/>
          </w:tcPr>
          <w:p w14:paraId="1B836D6B" w14:textId="77777777" w:rsidR="007A39EB" w:rsidRPr="001E387E" w:rsidRDefault="007A39EB" w:rsidP="006962D0">
            <w:pPr>
              <w:spacing w:line="240" w:lineRule="auto"/>
              <w:jc w:val="left"/>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LogExport</w:t>
            </w:r>
            <w:proofErr w:type="spellEnd"/>
          </w:p>
        </w:tc>
        <w:tc>
          <w:tcPr>
            <w:tcW w:w="926" w:type="pct"/>
            <w:shd w:val="clear" w:color="auto" w:fill="auto"/>
            <w:noWrap/>
            <w:vAlign w:val="center"/>
            <w:hideMark/>
          </w:tcPr>
          <w:p w14:paraId="1C096D6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0.16722***</w:t>
            </w:r>
          </w:p>
        </w:tc>
        <w:tc>
          <w:tcPr>
            <w:tcW w:w="926" w:type="pct"/>
            <w:shd w:val="clear" w:color="auto" w:fill="auto"/>
            <w:noWrap/>
            <w:vAlign w:val="center"/>
            <w:hideMark/>
          </w:tcPr>
          <w:p w14:paraId="30B6BF7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0.417***</w:t>
            </w:r>
          </w:p>
        </w:tc>
        <w:tc>
          <w:tcPr>
            <w:tcW w:w="1065" w:type="pct"/>
            <w:shd w:val="clear" w:color="auto" w:fill="auto"/>
            <w:noWrap/>
            <w:vAlign w:val="center"/>
            <w:hideMark/>
          </w:tcPr>
          <w:p w14:paraId="6DDD0BA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-0.219***</w:t>
            </w:r>
          </w:p>
        </w:tc>
        <w:tc>
          <w:tcPr>
            <w:tcW w:w="1065" w:type="pct"/>
            <w:shd w:val="clear" w:color="auto" w:fill="auto"/>
            <w:noWrap/>
            <w:vAlign w:val="center"/>
            <w:hideMark/>
          </w:tcPr>
          <w:p w14:paraId="5414FF6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0.152**</w:t>
            </w:r>
          </w:p>
        </w:tc>
      </w:tr>
      <w:tr w:rsidR="007A39EB" w:rsidRPr="001E387E" w14:paraId="26CA2278" w14:textId="77777777" w:rsidTr="006962D0">
        <w:trPr>
          <w:trHeight w:val="290"/>
        </w:trPr>
        <w:tc>
          <w:tcPr>
            <w:tcW w:w="1018" w:type="pct"/>
            <w:shd w:val="clear" w:color="auto" w:fill="auto"/>
            <w:noWrap/>
            <w:vAlign w:val="center"/>
            <w:hideMark/>
          </w:tcPr>
          <w:p w14:paraId="1068193E"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049D096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(0.0337)</w:t>
            </w:r>
          </w:p>
        </w:tc>
        <w:tc>
          <w:tcPr>
            <w:tcW w:w="926" w:type="pct"/>
            <w:shd w:val="clear" w:color="auto" w:fill="auto"/>
            <w:noWrap/>
            <w:vAlign w:val="center"/>
            <w:hideMark/>
          </w:tcPr>
          <w:p w14:paraId="177EC93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(0.0404)</w:t>
            </w:r>
          </w:p>
        </w:tc>
        <w:tc>
          <w:tcPr>
            <w:tcW w:w="1065" w:type="pct"/>
            <w:shd w:val="clear" w:color="auto" w:fill="auto"/>
            <w:noWrap/>
            <w:vAlign w:val="center"/>
            <w:hideMark/>
          </w:tcPr>
          <w:p w14:paraId="75FA85D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(0.0643)</w:t>
            </w:r>
          </w:p>
        </w:tc>
        <w:tc>
          <w:tcPr>
            <w:tcW w:w="1065" w:type="pct"/>
            <w:shd w:val="clear" w:color="auto" w:fill="auto"/>
            <w:noWrap/>
            <w:vAlign w:val="center"/>
            <w:hideMark/>
          </w:tcPr>
          <w:p w14:paraId="26EE80A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(0.0714)</w:t>
            </w:r>
          </w:p>
        </w:tc>
      </w:tr>
      <w:tr w:rsidR="007A39EB" w:rsidRPr="001E387E" w14:paraId="086C950E" w14:textId="77777777" w:rsidTr="006962D0">
        <w:trPr>
          <w:trHeight w:val="290"/>
        </w:trPr>
        <w:tc>
          <w:tcPr>
            <w:tcW w:w="1018" w:type="pct"/>
            <w:shd w:val="clear" w:color="auto" w:fill="auto"/>
            <w:noWrap/>
            <w:vAlign w:val="center"/>
            <w:hideMark/>
          </w:tcPr>
          <w:p w14:paraId="339917FB" w14:textId="77777777" w:rsidR="007A39EB" w:rsidRPr="001E387E" w:rsidRDefault="007A39EB" w:rsidP="006962D0">
            <w:pPr>
              <w:spacing w:line="240" w:lineRule="auto"/>
              <w:jc w:val="left"/>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LogPopulation</w:t>
            </w:r>
            <w:proofErr w:type="spellEnd"/>
          </w:p>
        </w:tc>
        <w:tc>
          <w:tcPr>
            <w:tcW w:w="926" w:type="pct"/>
            <w:shd w:val="clear" w:color="auto" w:fill="auto"/>
            <w:noWrap/>
            <w:vAlign w:val="center"/>
            <w:hideMark/>
          </w:tcPr>
          <w:p w14:paraId="1339CF7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-3.70459***</w:t>
            </w:r>
          </w:p>
        </w:tc>
        <w:tc>
          <w:tcPr>
            <w:tcW w:w="926" w:type="pct"/>
            <w:shd w:val="clear" w:color="auto" w:fill="auto"/>
            <w:noWrap/>
            <w:vAlign w:val="center"/>
            <w:hideMark/>
          </w:tcPr>
          <w:p w14:paraId="2BD9464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-5.015***</w:t>
            </w:r>
          </w:p>
        </w:tc>
        <w:tc>
          <w:tcPr>
            <w:tcW w:w="1065" w:type="pct"/>
            <w:shd w:val="clear" w:color="auto" w:fill="auto"/>
            <w:noWrap/>
            <w:vAlign w:val="center"/>
            <w:hideMark/>
          </w:tcPr>
          <w:p w14:paraId="4968D14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-2.117</w:t>
            </w:r>
          </w:p>
        </w:tc>
        <w:tc>
          <w:tcPr>
            <w:tcW w:w="1065" w:type="pct"/>
            <w:shd w:val="clear" w:color="auto" w:fill="auto"/>
            <w:noWrap/>
            <w:vAlign w:val="center"/>
            <w:hideMark/>
          </w:tcPr>
          <w:p w14:paraId="55325ED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-4.164***</w:t>
            </w:r>
          </w:p>
        </w:tc>
      </w:tr>
      <w:tr w:rsidR="007A39EB" w:rsidRPr="001E387E" w14:paraId="6A744F16" w14:textId="77777777" w:rsidTr="006962D0">
        <w:trPr>
          <w:trHeight w:val="290"/>
        </w:trPr>
        <w:tc>
          <w:tcPr>
            <w:tcW w:w="1018" w:type="pct"/>
            <w:shd w:val="clear" w:color="auto" w:fill="auto"/>
            <w:noWrap/>
            <w:vAlign w:val="center"/>
            <w:hideMark/>
          </w:tcPr>
          <w:p w14:paraId="489EE9BD"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1379E59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(0.4618)</w:t>
            </w:r>
          </w:p>
        </w:tc>
        <w:tc>
          <w:tcPr>
            <w:tcW w:w="926" w:type="pct"/>
            <w:shd w:val="clear" w:color="auto" w:fill="auto"/>
            <w:noWrap/>
            <w:vAlign w:val="center"/>
            <w:hideMark/>
          </w:tcPr>
          <w:p w14:paraId="46694A8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(0.7190)</w:t>
            </w:r>
          </w:p>
        </w:tc>
        <w:tc>
          <w:tcPr>
            <w:tcW w:w="1065" w:type="pct"/>
            <w:shd w:val="clear" w:color="auto" w:fill="auto"/>
            <w:noWrap/>
            <w:vAlign w:val="center"/>
            <w:hideMark/>
          </w:tcPr>
          <w:p w14:paraId="505C651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(1.3820)</w:t>
            </w:r>
          </w:p>
        </w:tc>
        <w:tc>
          <w:tcPr>
            <w:tcW w:w="1065" w:type="pct"/>
            <w:shd w:val="clear" w:color="auto" w:fill="auto"/>
            <w:noWrap/>
            <w:vAlign w:val="center"/>
            <w:hideMark/>
          </w:tcPr>
          <w:p w14:paraId="039E497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(1.6010)</w:t>
            </w:r>
          </w:p>
        </w:tc>
      </w:tr>
      <w:tr w:rsidR="007A39EB" w:rsidRPr="001E387E" w14:paraId="6937E5FB" w14:textId="77777777" w:rsidTr="006962D0">
        <w:trPr>
          <w:trHeight w:val="290"/>
        </w:trPr>
        <w:tc>
          <w:tcPr>
            <w:tcW w:w="1018" w:type="pct"/>
            <w:shd w:val="clear" w:color="auto" w:fill="auto"/>
            <w:noWrap/>
            <w:vAlign w:val="center"/>
            <w:hideMark/>
          </w:tcPr>
          <w:p w14:paraId="0B0AF36F"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Constant</w:t>
            </w:r>
          </w:p>
        </w:tc>
        <w:tc>
          <w:tcPr>
            <w:tcW w:w="926" w:type="pct"/>
            <w:shd w:val="clear" w:color="auto" w:fill="auto"/>
            <w:noWrap/>
            <w:vAlign w:val="center"/>
            <w:hideMark/>
          </w:tcPr>
          <w:p w14:paraId="3E29A72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32.53910***</w:t>
            </w:r>
          </w:p>
        </w:tc>
        <w:tc>
          <w:tcPr>
            <w:tcW w:w="926" w:type="pct"/>
            <w:shd w:val="clear" w:color="auto" w:fill="auto"/>
            <w:noWrap/>
            <w:vAlign w:val="center"/>
            <w:hideMark/>
          </w:tcPr>
          <w:p w14:paraId="5EFDE44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41.29***</w:t>
            </w:r>
          </w:p>
        </w:tc>
        <w:tc>
          <w:tcPr>
            <w:tcW w:w="1065" w:type="pct"/>
            <w:shd w:val="clear" w:color="auto" w:fill="auto"/>
            <w:noWrap/>
            <w:vAlign w:val="center"/>
            <w:hideMark/>
          </w:tcPr>
          <w:p w14:paraId="4D2C17B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19.45*</w:t>
            </w:r>
          </w:p>
        </w:tc>
        <w:tc>
          <w:tcPr>
            <w:tcW w:w="1065" w:type="pct"/>
            <w:shd w:val="clear" w:color="auto" w:fill="auto"/>
            <w:noWrap/>
            <w:vAlign w:val="center"/>
            <w:hideMark/>
          </w:tcPr>
          <w:p w14:paraId="2F97AF9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33.29**</w:t>
            </w:r>
          </w:p>
        </w:tc>
      </w:tr>
      <w:tr w:rsidR="007A39EB" w:rsidRPr="001E387E" w14:paraId="21F40CA4" w14:textId="77777777" w:rsidTr="006962D0">
        <w:trPr>
          <w:trHeight w:val="290"/>
        </w:trPr>
        <w:tc>
          <w:tcPr>
            <w:tcW w:w="1018" w:type="pct"/>
            <w:shd w:val="clear" w:color="auto" w:fill="auto"/>
            <w:noWrap/>
            <w:vAlign w:val="bottom"/>
            <w:hideMark/>
          </w:tcPr>
          <w:p w14:paraId="207EBBE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38FA7D9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(3.6026)</w:t>
            </w:r>
          </w:p>
        </w:tc>
        <w:tc>
          <w:tcPr>
            <w:tcW w:w="926" w:type="pct"/>
            <w:shd w:val="clear" w:color="auto" w:fill="auto"/>
            <w:noWrap/>
            <w:vAlign w:val="center"/>
            <w:hideMark/>
          </w:tcPr>
          <w:p w14:paraId="7CB0849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(6.0720)</w:t>
            </w:r>
          </w:p>
        </w:tc>
        <w:tc>
          <w:tcPr>
            <w:tcW w:w="1065" w:type="pct"/>
            <w:shd w:val="clear" w:color="auto" w:fill="auto"/>
            <w:noWrap/>
            <w:vAlign w:val="center"/>
            <w:hideMark/>
          </w:tcPr>
          <w:p w14:paraId="1ADC397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(10.8700)</w:t>
            </w:r>
          </w:p>
        </w:tc>
        <w:tc>
          <w:tcPr>
            <w:tcW w:w="1065" w:type="pct"/>
            <w:shd w:val="clear" w:color="auto" w:fill="auto"/>
            <w:noWrap/>
            <w:vAlign w:val="center"/>
            <w:hideMark/>
          </w:tcPr>
          <w:p w14:paraId="0D94D67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(13.5900)</w:t>
            </w:r>
          </w:p>
        </w:tc>
      </w:tr>
      <w:tr w:rsidR="007A39EB" w:rsidRPr="001E387E" w14:paraId="52584837" w14:textId="77777777" w:rsidTr="006962D0">
        <w:trPr>
          <w:trHeight w:val="290"/>
        </w:trPr>
        <w:tc>
          <w:tcPr>
            <w:tcW w:w="1018" w:type="pct"/>
            <w:shd w:val="clear" w:color="auto" w:fill="auto"/>
            <w:noWrap/>
            <w:vAlign w:val="bottom"/>
            <w:hideMark/>
          </w:tcPr>
          <w:p w14:paraId="2A95A3A8"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926" w:type="pct"/>
            <w:shd w:val="clear" w:color="auto" w:fill="auto"/>
            <w:noWrap/>
            <w:vAlign w:val="center"/>
            <w:hideMark/>
          </w:tcPr>
          <w:p w14:paraId="49B420B9"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926" w:type="pct"/>
            <w:shd w:val="clear" w:color="auto" w:fill="auto"/>
            <w:noWrap/>
            <w:vAlign w:val="center"/>
            <w:hideMark/>
          </w:tcPr>
          <w:p w14:paraId="1E5837FE"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3968DC7F"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1065" w:type="pct"/>
            <w:shd w:val="clear" w:color="auto" w:fill="auto"/>
            <w:noWrap/>
            <w:vAlign w:val="center"/>
            <w:hideMark/>
          </w:tcPr>
          <w:p w14:paraId="06DFCA15" w14:textId="77777777" w:rsidR="007A39EB" w:rsidRPr="001E387E" w:rsidRDefault="007A39EB" w:rsidP="006962D0">
            <w:pPr>
              <w:spacing w:line="240" w:lineRule="auto"/>
              <w:jc w:val="center"/>
              <w:rPr>
                <w:rFonts w:ascii="Cambria" w:eastAsia="Times New Roman" w:hAnsi="Cambria" w:cs="Times New Roman"/>
                <w:sz w:val="20"/>
                <w:szCs w:val="20"/>
              </w:rPr>
            </w:pPr>
          </w:p>
        </w:tc>
      </w:tr>
      <w:tr w:rsidR="007A39EB" w:rsidRPr="001E387E" w14:paraId="42AD18EA" w14:textId="77777777" w:rsidTr="006962D0">
        <w:trPr>
          <w:trHeight w:val="290"/>
        </w:trPr>
        <w:tc>
          <w:tcPr>
            <w:tcW w:w="1018" w:type="pct"/>
            <w:shd w:val="clear" w:color="auto" w:fill="auto"/>
            <w:noWrap/>
            <w:vAlign w:val="center"/>
            <w:hideMark/>
          </w:tcPr>
          <w:p w14:paraId="1FD755DA"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Observations</w:t>
            </w:r>
          </w:p>
        </w:tc>
        <w:tc>
          <w:tcPr>
            <w:tcW w:w="926" w:type="pct"/>
            <w:shd w:val="clear" w:color="auto" w:fill="auto"/>
            <w:noWrap/>
            <w:vAlign w:val="center"/>
            <w:hideMark/>
          </w:tcPr>
          <w:p w14:paraId="230546F1"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926" w:type="pct"/>
            <w:shd w:val="clear" w:color="auto" w:fill="auto"/>
            <w:noWrap/>
            <w:vAlign w:val="center"/>
            <w:hideMark/>
          </w:tcPr>
          <w:p w14:paraId="1C7F4E9D"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065" w:type="pct"/>
            <w:shd w:val="clear" w:color="auto" w:fill="auto"/>
            <w:noWrap/>
            <w:vAlign w:val="center"/>
            <w:hideMark/>
          </w:tcPr>
          <w:p w14:paraId="5AF7A650"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128</w:t>
            </w:r>
          </w:p>
        </w:tc>
        <w:tc>
          <w:tcPr>
            <w:tcW w:w="1065" w:type="pct"/>
            <w:shd w:val="clear" w:color="auto" w:fill="auto"/>
            <w:noWrap/>
            <w:vAlign w:val="center"/>
            <w:hideMark/>
          </w:tcPr>
          <w:p w14:paraId="69B43DA0"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128</w:t>
            </w:r>
          </w:p>
        </w:tc>
      </w:tr>
      <w:tr w:rsidR="007A39EB" w:rsidRPr="001E387E" w14:paraId="51CF65FA" w14:textId="77777777" w:rsidTr="006962D0">
        <w:trPr>
          <w:trHeight w:val="290"/>
        </w:trPr>
        <w:tc>
          <w:tcPr>
            <w:tcW w:w="1018" w:type="pct"/>
            <w:shd w:val="clear" w:color="auto" w:fill="auto"/>
            <w:noWrap/>
            <w:vAlign w:val="center"/>
            <w:hideMark/>
          </w:tcPr>
          <w:p w14:paraId="05A1912B"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Wald chi2</w:t>
            </w:r>
          </w:p>
        </w:tc>
        <w:tc>
          <w:tcPr>
            <w:tcW w:w="926" w:type="pct"/>
            <w:shd w:val="clear" w:color="auto" w:fill="auto"/>
            <w:noWrap/>
            <w:vAlign w:val="center"/>
            <w:hideMark/>
          </w:tcPr>
          <w:p w14:paraId="224ACF07"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55259.62</w:t>
            </w:r>
          </w:p>
        </w:tc>
        <w:tc>
          <w:tcPr>
            <w:tcW w:w="926" w:type="pct"/>
            <w:shd w:val="clear" w:color="auto" w:fill="auto"/>
            <w:noWrap/>
            <w:vAlign w:val="center"/>
            <w:hideMark/>
          </w:tcPr>
          <w:p w14:paraId="2AF5000F"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15444.67</w:t>
            </w:r>
          </w:p>
        </w:tc>
        <w:tc>
          <w:tcPr>
            <w:tcW w:w="1065" w:type="pct"/>
            <w:shd w:val="clear" w:color="auto" w:fill="auto"/>
            <w:noWrap/>
            <w:vAlign w:val="center"/>
            <w:hideMark/>
          </w:tcPr>
          <w:p w14:paraId="141001FD"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5282.04</w:t>
            </w:r>
          </w:p>
        </w:tc>
        <w:tc>
          <w:tcPr>
            <w:tcW w:w="1065" w:type="pct"/>
            <w:shd w:val="clear" w:color="auto" w:fill="auto"/>
            <w:noWrap/>
            <w:vAlign w:val="center"/>
            <w:hideMark/>
          </w:tcPr>
          <w:p w14:paraId="452905C6"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2479.43</w:t>
            </w:r>
          </w:p>
        </w:tc>
      </w:tr>
      <w:tr w:rsidR="007A39EB" w:rsidRPr="001E387E" w14:paraId="495FF0D7" w14:textId="77777777" w:rsidTr="006962D0">
        <w:trPr>
          <w:trHeight w:val="290"/>
        </w:trPr>
        <w:tc>
          <w:tcPr>
            <w:tcW w:w="1018" w:type="pct"/>
            <w:tcBorders>
              <w:bottom w:val="single" w:sz="4" w:space="0" w:color="auto"/>
            </w:tcBorders>
            <w:shd w:val="clear" w:color="auto" w:fill="auto"/>
            <w:noWrap/>
            <w:vAlign w:val="center"/>
            <w:hideMark/>
          </w:tcPr>
          <w:p w14:paraId="1C881AFD" w14:textId="77777777" w:rsidR="007A39EB" w:rsidRPr="001E387E" w:rsidRDefault="007A39EB" w:rsidP="006962D0">
            <w:pPr>
              <w:spacing w:line="240" w:lineRule="auto"/>
              <w:jc w:val="left"/>
              <w:rPr>
                <w:rFonts w:ascii="Cambria" w:eastAsia="Times New Roman" w:hAnsi="Cambria" w:cs="Times New Roman"/>
                <w:sz w:val="20"/>
                <w:szCs w:val="20"/>
              </w:rPr>
            </w:pPr>
            <w:r w:rsidRPr="001E387E">
              <w:rPr>
                <w:rFonts w:ascii="Cambria" w:eastAsia="Times New Roman" w:hAnsi="Cambria" w:cs="Times New Roman"/>
                <w:sz w:val="20"/>
                <w:szCs w:val="20"/>
              </w:rPr>
              <w:t>sigma</w:t>
            </w:r>
          </w:p>
        </w:tc>
        <w:tc>
          <w:tcPr>
            <w:tcW w:w="926" w:type="pct"/>
            <w:tcBorders>
              <w:bottom w:val="single" w:sz="4" w:space="0" w:color="auto"/>
            </w:tcBorders>
            <w:shd w:val="clear" w:color="auto" w:fill="auto"/>
            <w:noWrap/>
            <w:vAlign w:val="center"/>
            <w:hideMark/>
          </w:tcPr>
          <w:p w14:paraId="2C80165B"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0.00574***</w:t>
            </w:r>
          </w:p>
        </w:tc>
        <w:tc>
          <w:tcPr>
            <w:tcW w:w="926" w:type="pct"/>
            <w:tcBorders>
              <w:bottom w:val="single" w:sz="4" w:space="0" w:color="auto"/>
            </w:tcBorders>
            <w:shd w:val="clear" w:color="auto" w:fill="auto"/>
            <w:noWrap/>
            <w:vAlign w:val="center"/>
            <w:hideMark/>
          </w:tcPr>
          <w:p w14:paraId="48E66E9C"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0.00975***</w:t>
            </w:r>
          </w:p>
        </w:tc>
        <w:tc>
          <w:tcPr>
            <w:tcW w:w="1065" w:type="pct"/>
            <w:tcBorders>
              <w:bottom w:val="single" w:sz="4" w:space="0" w:color="auto"/>
            </w:tcBorders>
            <w:shd w:val="clear" w:color="auto" w:fill="auto"/>
            <w:noWrap/>
            <w:vAlign w:val="center"/>
            <w:hideMark/>
          </w:tcPr>
          <w:p w14:paraId="4B2E3070"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0.0123***</w:t>
            </w:r>
          </w:p>
        </w:tc>
        <w:tc>
          <w:tcPr>
            <w:tcW w:w="1065" w:type="pct"/>
            <w:tcBorders>
              <w:bottom w:val="single" w:sz="4" w:space="0" w:color="auto"/>
            </w:tcBorders>
            <w:shd w:val="clear" w:color="auto" w:fill="auto"/>
            <w:noWrap/>
            <w:vAlign w:val="center"/>
            <w:hideMark/>
          </w:tcPr>
          <w:p w14:paraId="46050364" w14:textId="77777777" w:rsidR="007A39EB" w:rsidRPr="001E387E" w:rsidRDefault="007A39EB" w:rsidP="006962D0">
            <w:pPr>
              <w:spacing w:line="240" w:lineRule="auto"/>
              <w:jc w:val="right"/>
              <w:rPr>
                <w:rFonts w:ascii="Cambria" w:eastAsia="Times New Roman" w:hAnsi="Cambria" w:cs="Times New Roman"/>
                <w:sz w:val="20"/>
                <w:szCs w:val="20"/>
              </w:rPr>
            </w:pPr>
            <w:r w:rsidRPr="001E387E">
              <w:rPr>
                <w:rFonts w:ascii="Cambria" w:eastAsia="Times New Roman" w:hAnsi="Cambria" w:cs="Times New Roman"/>
                <w:sz w:val="20"/>
                <w:szCs w:val="20"/>
              </w:rPr>
              <w:t>0.0171***</w:t>
            </w:r>
          </w:p>
        </w:tc>
      </w:tr>
      <w:tr w:rsidR="007A39EB" w:rsidRPr="001E387E" w14:paraId="29CDC748" w14:textId="77777777" w:rsidTr="006962D0">
        <w:trPr>
          <w:trHeight w:val="290"/>
        </w:trPr>
        <w:tc>
          <w:tcPr>
            <w:tcW w:w="5000" w:type="pct"/>
            <w:gridSpan w:val="5"/>
            <w:tcBorders>
              <w:top w:val="single" w:sz="4" w:space="0" w:color="auto"/>
            </w:tcBorders>
            <w:shd w:val="clear" w:color="auto" w:fill="auto"/>
            <w:noWrap/>
            <w:vAlign w:val="bottom"/>
            <w:hideMark/>
          </w:tcPr>
          <w:p w14:paraId="00A735F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Note: Clustered standard errors in parentheses. *** p&lt;0.01, ** p&lt;0.05, * p&lt;0.1.</w:t>
            </w:r>
          </w:p>
        </w:tc>
      </w:tr>
    </w:tbl>
    <w:p w14:paraId="5662CF60" w14:textId="77777777" w:rsidR="007A39EB" w:rsidRDefault="007A39EB" w:rsidP="007A39EB"/>
    <w:p w14:paraId="27BA8063" w14:textId="77777777" w:rsidR="007A39EB" w:rsidRPr="00CB6F9C" w:rsidRDefault="007A39EB" w:rsidP="007A39EB">
      <w:pPr>
        <w:pStyle w:val="Heading2"/>
        <w:spacing w:before="100" w:beforeAutospacing="1" w:after="100" w:afterAutospacing="1"/>
      </w:pPr>
      <w:r>
        <w:t>4.2 Granger causality between CO</w:t>
      </w:r>
      <w:r w:rsidRPr="00BC6962">
        <w:rPr>
          <w:vertAlign w:val="subscript"/>
        </w:rPr>
        <w:t>2</w:t>
      </w:r>
      <w:r>
        <w:t xml:space="preserve"> emission and energy sources</w:t>
      </w:r>
    </w:p>
    <w:p w14:paraId="38DC2457" w14:textId="77777777" w:rsidR="007A39EB" w:rsidRDefault="007A39EB" w:rsidP="007A39EB">
      <w:pPr>
        <w:ind w:firstLine="709"/>
        <w:rPr>
          <w:rFonts w:eastAsia="Times New Roman" w:cs="Times New Roman"/>
        </w:rPr>
      </w:pPr>
      <w:r w:rsidRPr="248D687D">
        <w:rPr>
          <w:rFonts w:eastAsia="Times New Roman" w:cs="Times New Roman"/>
        </w:rPr>
        <w:t xml:space="preserve">Table 4 shows the results of </w:t>
      </w:r>
      <w:r>
        <w:rPr>
          <w:rFonts w:eastAsia="Times New Roman" w:cs="Times New Roman"/>
        </w:rPr>
        <w:t xml:space="preserve">the </w:t>
      </w:r>
      <w:r w:rsidRPr="248D687D">
        <w:rPr>
          <w:rFonts w:eastAsia="Times New Roman" w:cs="Times New Roman"/>
        </w:rPr>
        <w:t xml:space="preserve">Granger causality tests between </w:t>
      </w:r>
      <w:r w:rsidRPr="00BC6962">
        <w:rPr>
          <w:color w:val="FF0000"/>
        </w:rPr>
        <w:t>CO</w:t>
      </w:r>
      <w:r w:rsidRPr="00BC6962">
        <w:rPr>
          <w:color w:val="FF0000"/>
          <w:vertAlign w:val="subscript"/>
        </w:rPr>
        <w:t>2</w:t>
      </w:r>
      <w:r w:rsidRPr="248D687D">
        <w:rPr>
          <w:rFonts w:eastAsia="Times New Roman" w:cs="Times New Roman"/>
        </w:rPr>
        <w:t xml:space="preserve"> emission and two energy sources. We perform four model specifications based on Equation (3). </w:t>
      </w:r>
      <w:r w:rsidRPr="00B14ADC">
        <w:rPr>
          <w:rFonts w:eastAsia="Times New Roman" w:cs="Times New Roman"/>
          <w:color w:val="FF0000"/>
        </w:rPr>
        <w:t xml:space="preserve">In each model, we adopt the approach suggested by Ferreira (2013) and incorporate two annual lags (t-1 and t-2) as the baseline. Through extensive testing of various lagging structures, we have determined that this specific lag setup strikes a balance by capturing relevant information without sacrificing excessive complexity. Compared to deeper lag structures, this approach avoids the loss of valuable data and ensures the optimal representation of the relationships within the model. </w:t>
      </w:r>
      <w:r w:rsidRPr="248D687D">
        <w:rPr>
          <w:rFonts w:eastAsia="Times New Roman" w:cs="Times New Roman"/>
        </w:rPr>
        <w:t xml:space="preserve">In this Granger causality analysis, we focus on the joint significance of the two annual lags of x. It is possible to predict that x is a Granger-cause of y if the two annual lags are significant in the sense that changes in x precede changes in y. Columns (1) and (2) in </w:t>
      </w:r>
      <w:r w:rsidRPr="248D687D">
        <w:rPr>
          <w:rFonts w:eastAsia="Times New Roman" w:cs="Times New Roman"/>
        </w:rPr>
        <w:lastRenderedPageBreak/>
        <w:t>Table 4 are based on</w:t>
      </w:r>
      <w:r w:rsidRPr="0572D3FE">
        <w:rPr>
          <w:rFonts w:eastAsia="Times New Roman" w:cs="Times New Roman"/>
          <w:color w:val="FF0000"/>
        </w:rPr>
        <w:t xml:space="preserve"> </w:t>
      </w:r>
      <w:r w:rsidRPr="248D687D">
        <w:rPr>
          <w:rFonts w:eastAsia="Times New Roman" w:cs="Times New Roman"/>
          <w:color w:val="FF0000"/>
        </w:rPr>
        <w:t>observations</w:t>
      </w:r>
      <w:r w:rsidRPr="0572D3FE">
        <w:rPr>
          <w:rFonts w:eastAsia="Times New Roman" w:cs="Times New Roman"/>
          <w:color w:val="FF0000"/>
        </w:rPr>
        <w:t xml:space="preserve"> of </w:t>
      </w:r>
      <w:r w:rsidRPr="789F7EEB">
        <w:rPr>
          <w:rFonts w:eastAsia="Times New Roman" w:cs="Times New Roman"/>
          <w:color w:val="FF0000"/>
        </w:rPr>
        <w:t>t</w:t>
      </w:r>
      <w:r w:rsidRPr="0572D3FE">
        <w:rPr>
          <w:rFonts w:eastAsia="Times New Roman" w:cs="Times New Roman"/>
          <w:color w:val="FF0000"/>
        </w:rPr>
        <w:t xml:space="preserve">-1 and </w:t>
      </w:r>
      <w:r w:rsidRPr="789F7EEB">
        <w:rPr>
          <w:rFonts w:eastAsia="Times New Roman" w:cs="Times New Roman"/>
          <w:color w:val="FF0000"/>
        </w:rPr>
        <w:t>t</w:t>
      </w:r>
      <w:r w:rsidRPr="71122FD4">
        <w:rPr>
          <w:rFonts w:eastAsia="Times New Roman" w:cs="Times New Roman"/>
          <w:color w:val="FF0000"/>
        </w:rPr>
        <w:t>-2</w:t>
      </w:r>
      <w:r w:rsidRPr="248D687D">
        <w:rPr>
          <w:rFonts w:eastAsia="Times New Roman" w:cs="Times New Roman"/>
          <w:color w:val="FF0000"/>
        </w:rPr>
        <w:t xml:space="preserve"> </w:t>
      </w:r>
      <w:r w:rsidRPr="248D687D">
        <w:rPr>
          <w:rFonts w:eastAsia="Times New Roman" w:cs="Times New Roman"/>
        </w:rPr>
        <w:t>between the dependent variable (</w:t>
      </w:r>
      <w:r w:rsidRPr="00BC6962">
        <w:rPr>
          <w:color w:val="FF0000"/>
        </w:rPr>
        <w:t>CO</w:t>
      </w:r>
      <w:r w:rsidRPr="00BC6962">
        <w:rPr>
          <w:color w:val="FF0000"/>
          <w:vertAlign w:val="subscript"/>
        </w:rPr>
        <w:t>2</w:t>
      </w:r>
      <w:r w:rsidRPr="248D687D">
        <w:rPr>
          <w:rFonts w:eastAsia="Times New Roman" w:cs="Times New Roman"/>
        </w:rPr>
        <w:t xml:space="preserve"> emission) and independent variable (energy sources). In these baseline regressions, we include coal price, Chinese GDP, Chinese </w:t>
      </w:r>
      <w:proofErr w:type="gramStart"/>
      <w:r w:rsidRPr="248D687D">
        <w:rPr>
          <w:rFonts w:eastAsia="Times New Roman" w:cs="Times New Roman"/>
        </w:rPr>
        <w:t>export</w:t>
      </w:r>
      <w:proofErr w:type="gramEnd"/>
      <w:r w:rsidRPr="248D687D">
        <w:rPr>
          <w:rFonts w:eastAsia="Times New Roman" w:cs="Times New Roman"/>
        </w:rPr>
        <w:t xml:space="preserve"> and Chinese population as control variables. In column (1), </w:t>
      </w:r>
      <w:r w:rsidRPr="00BC6962">
        <w:rPr>
          <w:color w:val="FF0000"/>
        </w:rPr>
        <w:t>CO</w:t>
      </w:r>
      <w:r w:rsidRPr="00BC6962">
        <w:rPr>
          <w:color w:val="FF0000"/>
          <w:vertAlign w:val="subscript"/>
        </w:rPr>
        <w:t>2</w:t>
      </w:r>
      <w:r>
        <w:rPr>
          <w:color w:val="FF0000"/>
          <w:vertAlign w:val="subscript"/>
        </w:rPr>
        <w:t xml:space="preserve"> </w:t>
      </w:r>
      <w:r w:rsidRPr="248D687D">
        <w:rPr>
          <w:rFonts w:eastAsia="Times New Roman" w:cs="Times New Roman"/>
        </w:rPr>
        <w:t xml:space="preserve">emission is predicted by its own </w:t>
      </w:r>
      <w:r>
        <w:rPr>
          <w:rFonts w:eastAsia="Times New Roman" w:cs="Times New Roman"/>
        </w:rPr>
        <w:t xml:space="preserve">lags (i.e., </w:t>
      </w:r>
      <w:r w:rsidRPr="001D273A">
        <w:rPr>
          <w:rFonts w:eastAsia="Times New Roman" w:cs="Times New Roman"/>
          <w:color w:val="FF0000"/>
        </w:rPr>
        <w:t>LogCO</w:t>
      </w:r>
      <w:r w:rsidRPr="00BC6962">
        <w:rPr>
          <w:rFonts w:eastAsia="Times New Roman" w:cs="Times New Roman"/>
          <w:color w:val="FF0000"/>
          <w:vertAlign w:val="subscript"/>
        </w:rPr>
        <w:t>2</w:t>
      </w:r>
      <w:r w:rsidRPr="001D273A">
        <w:rPr>
          <w:rFonts w:eastAsia="Times New Roman" w:cs="Times New Roman"/>
          <w:color w:val="FF0000"/>
        </w:rPr>
        <w:t>Emission (t-1) and</w:t>
      </w:r>
      <w:r w:rsidRPr="001D273A">
        <w:rPr>
          <w:color w:val="FF0000"/>
        </w:rPr>
        <w:t xml:space="preserve"> </w:t>
      </w:r>
      <w:r w:rsidRPr="001D273A">
        <w:rPr>
          <w:rFonts w:eastAsia="Times New Roman" w:cs="Times New Roman"/>
          <w:color w:val="FF0000"/>
        </w:rPr>
        <w:t>LogCO</w:t>
      </w:r>
      <w:r w:rsidRPr="00BC6962">
        <w:rPr>
          <w:rFonts w:eastAsia="Times New Roman" w:cs="Times New Roman"/>
          <w:color w:val="FF0000"/>
          <w:vertAlign w:val="subscript"/>
        </w:rPr>
        <w:t>2</w:t>
      </w:r>
      <w:r w:rsidRPr="001D273A">
        <w:rPr>
          <w:rFonts w:eastAsia="Times New Roman" w:cs="Times New Roman"/>
          <w:color w:val="FF0000"/>
        </w:rPr>
        <w:t>Emission (t-</w:t>
      </w:r>
      <w:r>
        <w:rPr>
          <w:rFonts w:eastAsia="Times New Roman" w:cs="Times New Roman"/>
          <w:color w:val="FF0000"/>
        </w:rPr>
        <w:t>2</w:t>
      </w:r>
      <w:r w:rsidRPr="001D273A">
        <w:rPr>
          <w:rFonts w:eastAsia="Times New Roman" w:cs="Times New Roman"/>
          <w:color w:val="FF0000"/>
        </w:rPr>
        <w:t>)</w:t>
      </w:r>
      <w:r>
        <w:rPr>
          <w:rFonts w:eastAsia="Times New Roman" w:cs="Times New Roman"/>
          <w:color w:val="FF0000"/>
        </w:rPr>
        <w:t>)</w:t>
      </w:r>
      <w:r w:rsidRPr="248D687D">
        <w:rPr>
          <w:rFonts w:eastAsia="Times New Roman" w:cs="Times New Roman"/>
        </w:rPr>
        <w:t xml:space="preserve">, as indicated by significant F-statistics of 2.777, </w:t>
      </w:r>
      <w:r w:rsidRPr="00CE2A95">
        <w:rPr>
          <w:rFonts w:eastAsia="Times New Roman" w:cs="Times New Roman"/>
          <w:color w:val="FF0000"/>
        </w:rPr>
        <w:t xml:space="preserve">and the lags of renewable energy (i.e., Renewable (t-1) and Renewable (t-2)), </w:t>
      </w:r>
      <w:r w:rsidRPr="248D687D">
        <w:rPr>
          <w:rFonts w:eastAsia="Times New Roman" w:cs="Times New Roman"/>
        </w:rPr>
        <w:t xml:space="preserve">as indicated by significant F-statistics of 1.45. Both sums of lagged coefficients (total of lag t-1 and t-2) are negative and </w:t>
      </w:r>
      <w:r w:rsidRPr="248D687D">
        <w:rPr>
          <w:rFonts w:eastAsia="Times New Roman" w:cs="Times New Roman"/>
          <w:color w:val="FF0000"/>
        </w:rPr>
        <w:t xml:space="preserve">significant, e.g., </w:t>
      </w:r>
      <w:r>
        <w:rPr>
          <w:rFonts w:eastAsia="Times New Roman" w:cs="Times New Roman"/>
          <w:color w:val="FF0000"/>
        </w:rPr>
        <w:t xml:space="preserve">a </w:t>
      </w:r>
      <w:r w:rsidRPr="248D687D">
        <w:rPr>
          <w:rFonts w:eastAsia="Times New Roman" w:cs="Times New Roman"/>
        </w:rPr>
        <w:t>one</w:t>
      </w:r>
      <w:r>
        <w:rPr>
          <w:rFonts w:eastAsia="Times New Roman" w:cs="Times New Roman"/>
        </w:rPr>
        <w:t>-</w:t>
      </w:r>
      <w:r w:rsidRPr="248D687D">
        <w:rPr>
          <w:rFonts w:eastAsia="Times New Roman" w:cs="Times New Roman"/>
        </w:rPr>
        <w:t>unit increase of CO</w:t>
      </w:r>
      <w:r w:rsidRPr="00607D8B">
        <w:rPr>
          <w:rFonts w:eastAsia="Times New Roman" w:cs="Times New Roman"/>
          <w:color w:val="FF0000"/>
          <w:vertAlign w:val="superscript"/>
        </w:rPr>
        <w:t>2</w:t>
      </w:r>
      <w:r w:rsidRPr="248D687D">
        <w:rPr>
          <w:rFonts w:eastAsia="Times New Roman" w:cs="Times New Roman"/>
        </w:rPr>
        <w:t xml:space="preserve"> emission</w:t>
      </w:r>
      <w:r>
        <w:rPr>
          <w:rFonts w:eastAsia="Times New Roman" w:cs="Times New Roman"/>
        </w:rPr>
        <w:t>,</w:t>
      </w:r>
      <w:r w:rsidRPr="248D687D">
        <w:rPr>
          <w:rFonts w:eastAsia="Times New Roman" w:cs="Times New Roman"/>
        </w:rPr>
        <w:t xml:space="preserve"> and of renewable energy and at t-1</w:t>
      </w:r>
      <w:r>
        <w:rPr>
          <w:rFonts w:eastAsia="Times New Roman" w:cs="Times New Roman"/>
        </w:rPr>
        <w:t>,</w:t>
      </w:r>
      <w:r w:rsidRPr="248D687D">
        <w:rPr>
          <w:rFonts w:eastAsia="Times New Roman" w:cs="Times New Roman"/>
        </w:rPr>
        <w:t xml:space="preserve"> decrease</w:t>
      </w:r>
      <w:r>
        <w:rPr>
          <w:rFonts w:eastAsia="Times New Roman" w:cs="Times New Roman"/>
        </w:rPr>
        <w:t>s</w:t>
      </w:r>
      <w:r w:rsidRPr="248D687D">
        <w:rPr>
          <w:rFonts w:eastAsia="Times New Roman" w:cs="Times New Roman"/>
        </w:rPr>
        <w:t xml:space="preserve"> the current CO</w:t>
      </w:r>
      <w:r w:rsidRPr="00607D8B">
        <w:rPr>
          <w:rFonts w:eastAsia="Times New Roman" w:cs="Times New Roman"/>
          <w:vertAlign w:val="superscript"/>
        </w:rPr>
        <w:t>2</w:t>
      </w:r>
      <w:r w:rsidRPr="248D687D">
        <w:rPr>
          <w:rFonts w:eastAsia="Times New Roman" w:cs="Times New Roman"/>
        </w:rPr>
        <w:t xml:space="preserve"> emission by 3.6816 and 0.00629, respectively. Likewise, column (2) shows that CO</w:t>
      </w:r>
      <w:r w:rsidRPr="00607D8B">
        <w:rPr>
          <w:rFonts w:eastAsia="Times New Roman" w:cs="Times New Roman"/>
          <w:vertAlign w:val="superscript"/>
        </w:rPr>
        <w:t>2</w:t>
      </w:r>
      <w:r w:rsidRPr="248D687D">
        <w:rPr>
          <w:rFonts w:eastAsia="Times New Roman" w:cs="Times New Roman"/>
        </w:rPr>
        <w:t xml:space="preserve"> emission is predicted by </w:t>
      </w:r>
      <w:r>
        <w:rPr>
          <w:rFonts w:eastAsia="Times New Roman" w:cs="Times New Roman"/>
        </w:rPr>
        <w:t>two of its</w:t>
      </w:r>
      <w:r w:rsidRPr="248D687D">
        <w:rPr>
          <w:rFonts w:eastAsia="Times New Roman" w:cs="Times New Roman"/>
        </w:rPr>
        <w:t xml:space="preserve"> own </w:t>
      </w:r>
      <w:r w:rsidRPr="00820B0D">
        <w:rPr>
          <w:rFonts w:eastAsia="Times New Roman" w:cs="Times New Roman"/>
          <w:color w:val="FF0000"/>
        </w:rPr>
        <w:t>lags (LogCO</w:t>
      </w:r>
      <w:r w:rsidRPr="00BC6962">
        <w:rPr>
          <w:rFonts w:eastAsia="Times New Roman" w:cs="Times New Roman"/>
          <w:vertAlign w:val="subscript"/>
        </w:rPr>
        <w:t>2</w:t>
      </w:r>
      <w:r w:rsidRPr="00820B0D">
        <w:rPr>
          <w:rFonts w:eastAsia="Times New Roman" w:cs="Times New Roman"/>
          <w:color w:val="FF0000"/>
        </w:rPr>
        <w:t xml:space="preserve">Emission (total)), </w:t>
      </w:r>
      <w:r w:rsidRPr="248D687D">
        <w:rPr>
          <w:rFonts w:eastAsia="Times New Roman" w:cs="Times New Roman"/>
        </w:rPr>
        <w:t xml:space="preserve">as indicated by significant F-statistics of 3.26, and the </w:t>
      </w:r>
      <w:r>
        <w:rPr>
          <w:rFonts w:eastAsia="Times New Roman" w:cs="Times New Roman"/>
          <w:color w:val="FF0000"/>
        </w:rPr>
        <w:t>lags</w:t>
      </w:r>
      <w:r w:rsidRPr="789F7EEB">
        <w:rPr>
          <w:rFonts w:eastAsia="Times New Roman" w:cs="Times New Roman"/>
          <w:color w:val="FF0000"/>
        </w:rPr>
        <w:t xml:space="preserve"> </w:t>
      </w:r>
      <w:r w:rsidRPr="789F7EEB">
        <w:rPr>
          <w:rFonts w:eastAsia="Times New Roman" w:cs="Times New Roman"/>
        </w:rPr>
        <w:t xml:space="preserve">of </w:t>
      </w:r>
      <w:r w:rsidRPr="248D687D">
        <w:rPr>
          <w:rFonts w:eastAsia="Times New Roman" w:cs="Times New Roman"/>
        </w:rPr>
        <w:t>non-renewable energy</w:t>
      </w:r>
      <w:r>
        <w:rPr>
          <w:rFonts w:eastAsia="Times New Roman" w:cs="Times New Roman"/>
        </w:rPr>
        <w:t xml:space="preserve"> </w:t>
      </w:r>
      <w:r w:rsidRPr="006454FF">
        <w:rPr>
          <w:rFonts w:eastAsia="Times New Roman" w:cs="Times New Roman"/>
          <w:color w:val="FF0000"/>
        </w:rPr>
        <w:t>(</w:t>
      </w:r>
      <w:proofErr w:type="spellStart"/>
      <w:r w:rsidRPr="006454FF">
        <w:rPr>
          <w:rFonts w:eastAsia="Times New Roman" w:cs="Times New Roman"/>
          <w:color w:val="FF0000"/>
        </w:rPr>
        <w:t>NonRenewable</w:t>
      </w:r>
      <w:proofErr w:type="spellEnd"/>
      <w:r w:rsidRPr="006454FF">
        <w:rPr>
          <w:rFonts w:eastAsia="Times New Roman" w:cs="Times New Roman"/>
          <w:color w:val="FF0000"/>
        </w:rPr>
        <w:t xml:space="preserve"> (Total)), </w:t>
      </w:r>
      <w:r w:rsidRPr="248D687D">
        <w:rPr>
          <w:rFonts w:eastAsia="Times New Roman" w:cs="Times New Roman"/>
        </w:rPr>
        <w:t xml:space="preserve">as indicated by significant F-statistics of 2.35. </w:t>
      </w:r>
      <w:r>
        <w:rPr>
          <w:rFonts w:eastAsia="Times New Roman" w:cs="Times New Roman"/>
        </w:rPr>
        <w:t>A o</w:t>
      </w:r>
      <w:r w:rsidRPr="248D687D">
        <w:rPr>
          <w:rFonts w:eastAsia="Times New Roman" w:cs="Times New Roman"/>
        </w:rPr>
        <w:t>ne</w:t>
      </w:r>
      <w:r>
        <w:rPr>
          <w:rFonts w:eastAsia="Times New Roman" w:cs="Times New Roman"/>
        </w:rPr>
        <w:t>-</w:t>
      </w:r>
      <w:r w:rsidRPr="248D687D">
        <w:rPr>
          <w:rFonts w:eastAsia="Times New Roman" w:cs="Times New Roman"/>
        </w:rPr>
        <w:t xml:space="preserve">unit increase of </w:t>
      </w:r>
      <w:r w:rsidRPr="00BC6962">
        <w:rPr>
          <w:color w:val="FF0000"/>
        </w:rPr>
        <w:t>CO</w:t>
      </w:r>
      <w:r w:rsidRPr="00BC6962">
        <w:rPr>
          <w:color w:val="FF0000"/>
          <w:vertAlign w:val="subscript"/>
        </w:rPr>
        <w:t>2</w:t>
      </w:r>
      <w:r w:rsidRPr="248D687D">
        <w:rPr>
          <w:rFonts w:eastAsia="Times New Roman" w:cs="Times New Roman"/>
        </w:rPr>
        <w:t xml:space="preserve"> emission at both t-1 &amp; t-2 decreases current </w:t>
      </w:r>
      <w:r w:rsidRPr="00BC6962">
        <w:rPr>
          <w:color w:val="FF0000"/>
        </w:rPr>
        <w:t>CO</w:t>
      </w:r>
      <w:r w:rsidRPr="00BC6962">
        <w:rPr>
          <w:color w:val="FF0000"/>
          <w:vertAlign w:val="subscript"/>
        </w:rPr>
        <w:t>2</w:t>
      </w:r>
      <w:r>
        <w:rPr>
          <w:color w:val="FF0000"/>
          <w:vertAlign w:val="subscript"/>
        </w:rPr>
        <w:t xml:space="preserve"> </w:t>
      </w:r>
      <w:r w:rsidRPr="248D687D">
        <w:rPr>
          <w:rFonts w:eastAsia="Times New Roman" w:cs="Times New Roman"/>
        </w:rPr>
        <w:t xml:space="preserve">emission by 0.055 but </w:t>
      </w:r>
      <w:r>
        <w:rPr>
          <w:rFonts w:eastAsia="Times New Roman" w:cs="Times New Roman"/>
        </w:rPr>
        <w:t xml:space="preserve">a </w:t>
      </w:r>
      <w:r w:rsidRPr="248D687D">
        <w:rPr>
          <w:rFonts w:eastAsia="Times New Roman" w:cs="Times New Roman"/>
        </w:rPr>
        <w:t>one</w:t>
      </w:r>
      <w:r>
        <w:rPr>
          <w:rFonts w:eastAsia="Times New Roman" w:cs="Times New Roman"/>
        </w:rPr>
        <w:t>-</w:t>
      </w:r>
      <w:r w:rsidRPr="248D687D">
        <w:rPr>
          <w:rFonts w:eastAsia="Times New Roman" w:cs="Times New Roman"/>
        </w:rPr>
        <w:t xml:space="preserve">unit increase of non-renewable energy at t-1 &amp; t-2 increases the current </w:t>
      </w:r>
      <w:r w:rsidRPr="00BC6962">
        <w:rPr>
          <w:color w:val="FF0000"/>
        </w:rPr>
        <w:t>CO</w:t>
      </w:r>
      <w:r w:rsidRPr="00BC6962">
        <w:rPr>
          <w:color w:val="FF0000"/>
          <w:vertAlign w:val="subscript"/>
        </w:rPr>
        <w:t>2</w:t>
      </w:r>
      <w:r w:rsidRPr="248D687D">
        <w:rPr>
          <w:rFonts w:eastAsia="Times New Roman" w:cs="Times New Roman"/>
        </w:rPr>
        <w:t xml:space="preserve"> emission by 0.00505.</w:t>
      </w:r>
    </w:p>
    <w:p w14:paraId="706AF74B" w14:textId="77777777" w:rsidR="007A39EB" w:rsidRDefault="007A39EB" w:rsidP="007A39EB">
      <w:pPr>
        <w:spacing w:beforeAutospacing="1" w:afterAutospacing="1"/>
        <w:ind w:firstLine="709"/>
        <w:rPr>
          <w:rFonts w:cs="Times New Roman"/>
        </w:rPr>
      </w:pPr>
    </w:p>
    <w:p w14:paraId="529DE258" w14:textId="77777777" w:rsidR="007A39EB" w:rsidRDefault="007A39EB" w:rsidP="007A39EB">
      <w:pPr>
        <w:spacing w:after="160" w:line="259" w:lineRule="auto"/>
        <w:jc w:val="left"/>
        <w:rPr>
          <w:rFonts w:cs="Times New Roman"/>
          <w:i/>
          <w:iCs/>
          <w:szCs w:val="24"/>
        </w:rPr>
      </w:pPr>
      <w:r>
        <w:rPr>
          <w:rFonts w:cs="Times New Roman"/>
          <w:szCs w:val="24"/>
        </w:rPr>
        <w:br w:type="page"/>
      </w:r>
    </w:p>
    <w:p w14:paraId="0E012B9B" w14:textId="77777777" w:rsidR="007A39EB" w:rsidRPr="00CB6F9C" w:rsidRDefault="007A39EB" w:rsidP="007A39EB">
      <w:pPr>
        <w:pStyle w:val="Caption"/>
        <w:keepNext/>
        <w:rPr>
          <w:rFonts w:cs="Times New Roman"/>
          <w:color w:val="auto"/>
          <w:sz w:val="24"/>
          <w:szCs w:val="24"/>
        </w:rPr>
      </w:pPr>
      <w:r w:rsidRPr="00CB6F9C">
        <w:rPr>
          <w:rFonts w:cs="Times New Roman"/>
          <w:color w:val="auto"/>
          <w:sz w:val="24"/>
          <w:szCs w:val="24"/>
        </w:rPr>
        <w:lastRenderedPageBreak/>
        <w:t xml:space="preserve">Table </w:t>
      </w:r>
      <w:r w:rsidRPr="00CB6F9C">
        <w:rPr>
          <w:rFonts w:cs="Times New Roman"/>
          <w:color w:val="auto"/>
          <w:sz w:val="24"/>
          <w:szCs w:val="24"/>
        </w:rPr>
        <w:fldChar w:fldCharType="begin"/>
      </w:r>
      <w:r w:rsidRPr="00CB6F9C">
        <w:rPr>
          <w:rFonts w:cs="Times New Roman"/>
          <w:color w:val="auto"/>
          <w:sz w:val="24"/>
          <w:szCs w:val="24"/>
        </w:rPr>
        <w:instrText xml:space="preserve"> SEQ Table \* ARABIC </w:instrText>
      </w:r>
      <w:r w:rsidRPr="00CB6F9C">
        <w:rPr>
          <w:rFonts w:cs="Times New Roman"/>
          <w:color w:val="auto"/>
          <w:sz w:val="24"/>
          <w:szCs w:val="24"/>
        </w:rPr>
        <w:fldChar w:fldCharType="separate"/>
      </w:r>
      <w:r w:rsidRPr="00CB6F9C">
        <w:rPr>
          <w:rFonts w:cs="Times New Roman"/>
          <w:noProof/>
          <w:color w:val="auto"/>
          <w:sz w:val="24"/>
          <w:szCs w:val="24"/>
        </w:rPr>
        <w:t>4</w:t>
      </w:r>
      <w:r w:rsidRPr="00CB6F9C">
        <w:rPr>
          <w:rFonts w:cs="Times New Roman"/>
          <w:color w:val="auto"/>
          <w:sz w:val="24"/>
          <w:szCs w:val="24"/>
        </w:rPr>
        <w:fldChar w:fldCharType="end"/>
      </w:r>
      <w:r>
        <w:rPr>
          <w:rFonts w:cs="Times New Roman"/>
          <w:color w:val="auto"/>
          <w:sz w:val="24"/>
          <w:szCs w:val="24"/>
        </w:rPr>
        <w:t>.</w:t>
      </w:r>
      <w:r w:rsidRPr="00CB6F9C">
        <w:rPr>
          <w:rFonts w:eastAsia="Times New Roman" w:cs="Times New Roman"/>
          <w:color w:val="auto"/>
          <w:sz w:val="24"/>
          <w:szCs w:val="24"/>
        </w:rPr>
        <w:t xml:space="preserve"> Granger causality tests between Carbon dioxide emission and Energy sources (Renewable and non-renewable energies)</w:t>
      </w:r>
    </w:p>
    <w:tbl>
      <w:tblPr>
        <w:tblW w:w="9360" w:type="dxa"/>
        <w:tblInd w:w="-5" w:type="dxa"/>
        <w:tblLook w:val="04A0" w:firstRow="1" w:lastRow="0" w:firstColumn="1" w:lastColumn="0" w:noHBand="0" w:noVBand="1"/>
      </w:tblPr>
      <w:tblGrid>
        <w:gridCol w:w="2590"/>
        <w:gridCol w:w="1850"/>
        <w:gridCol w:w="1853"/>
        <w:gridCol w:w="1334"/>
        <w:gridCol w:w="1733"/>
      </w:tblGrid>
      <w:tr w:rsidR="007A39EB" w:rsidRPr="001E387E" w14:paraId="7B892834" w14:textId="77777777" w:rsidTr="006962D0">
        <w:trPr>
          <w:trHeight w:val="310"/>
        </w:trPr>
        <w:tc>
          <w:tcPr>
            <w:tcW w:w="0" w:type="auto"/>
            <w:tcBorders>
              <w:top w:val="single" w:sz="4" w:space="0" w:color="auto"/>
              <w:bottom w:val="single" w:sz="4" w:space="0" w:color="auto"/>
            </w:tcBorders>
            <w:shd w:val="clear" w:color="auto" w:fill="auto"/>
            <w:noWrap/>
            <w:vAlign w:val="center"/>
            <w:hideMark/>
          </w:tcPr>
          <w:p w14:paraId="5DF2806B" w14:textId="77777777" w:rsidR="007A39EB" w:rsidRPr="001E387E" w:rsidRDefault="007A39EB" w:rsidP="006962D0">
            <w:pPr>
              <w:spacing w:line="240" w:lineRule="auto"/>
              <w:rPr>
                <w:rFonts w:ascii="Cambria" w:eastAsia="Times New Roman" w:hAnsi="Cambria" w:cs="Times New Roman"/>
                <w:b/>
                <w:bCs/>
                <w:sz w:val="20"/>
                <w:szCs w:val="20"/>
              </w:rPr>
            </w:pPr>
            <w:r w:rsidRPr="001E387E">
              <w:rPr>
                <w:rFonts w:ascii="Cambria" w:eastAsia="Times New Roman" w:hAnsi="Cambria" w:cs="Times New Roman"/>
                <w:b/>
                <w:bCs/>
                <w:sz w:val="20"/>
                <w:szCs w:val="20"/>
              </w:rPr>
              <w:t>Dependent variable</w:t>
            </w:r>
          </w:p>
        </w:tc>
        <w:tc>
          <w:tcPr>
            <w:tcW w:w="0" w:type="auto"/>
            <w:tcBorders>
              <w:top w:val="single" w:sz="4" w:space="0" w:color="auto"/>
              <w:bottom w:val="single" w:sz="4" w:space="0" w:color="auto"/>
            </w:tcBorders>
            <w:shd w:val="clear" w:color="auto" w:fill="auto"/>
            <w:noWrap/>
            <w:vAlign w:val="center"/>
            <w:hideMark/>
          </w:tcPr>
          <w:p w14:paraId="3B358208"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LogCO</w:t>
            </w:r>
            <w:r w:rsidRPr="00BC6962">
              <w:rPr>
                <w:rFonts w:ascii="Cambria" w:eastAsia="Times New Roman" w:hAnsi="Cambria" w:cs="Times New Roman"/>
                <w:b/>
                <w:bCs/>
                <w:color w:val="FF0000"/>
                <w:sz w:val="20"/>
                <w:szCs w:val="20"/>
                <w:vertAlign w:val="subscript"/>
              </w:rPr>
              <w:t>2</w:t>
            </w:r>
            <w:r w:rsidRPr="00BC6962">
              <w:rPr>
                <w:rFonts w:ascii="Cambria" w:eastAsia="Times New Roman" w:hAnsi="Cambria" w:cs="Times New Roman"/>
                <w:b/>
                <w:bCs/>
                <w:color w:val="FF0000"/>
                <w:sz w:val="20"/>
                <w:szCs w:val="20"/>
              </w:rPr>
              <w:t>Emission</w:t>
            </w:r>
          </w:p>
          <w:p w14:paraId="0ECA3BBC"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(1)</w:t>
            </w:r>
          </w:p>
          <w:p w14:paraId="7F625211"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p>
        </w:tc>
        <w:tc>
          <w:tcPr>
            <w:tcW w:w="0" w:type="auto"/>
            <w:tcBorders>
              <w:top w:val="single" w:sz="4" w:space="0" w:color="auto"/>
              <w:bottom w:val="single" w:sz="4" w:space="0" w:color="auto"/>
            </w:tcBorders>
            <w:shd w:val="clear" w:color="auto" w:fill="auto"/>
            <w:noWrap/>
            <w:vAlign w:val="center"/>
            <w:hideMark/>
          </w:tcPr>
          <w:p w14:paraId="79F34DE8"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LogCO</w:t>
            </w:r>
            <w:r w:rsidRPr="00BC6962">
              <w:rPr>
                <w:rFonts w:eastAsia="Times New Roman" w:cs="Times New Roman"/>
                <w:color w:val="FF0000"/>
                <w:vertAlign w:val="subscript"/>
              </w:rPr>
              <w:t>2</w:t>
            </w:r>
            <w:r w:rsidRPr="00BC6962">
              <w:rPr>
                <w:rFonts w:ascii="Cambria" w:eastAsia="Times New Roman" w:hAnsi="Cambria" w:cs="Times New Roman"/>
                <w:b/>
                <w:bCs/>
                <w:color w:val="FF0000"/>
                <w:sz w:val="20"/>
                <w:szCs w:val="20"/>
              </w:rPr>
              <w:t>Emission</w:t>
            </w:r>
          </w:p>
          <w:p w14:paraId="0600C7AD"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(2)</w:t>
            </w:r>
          </w:p>
          <w:p w14:paraId="66F8FE34"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p>
        </w:tc>
        <w:tc>
          <w:tcPr>
            <w:tcW w:w="0" w:type="auto"/>
            <w:tcBorders>
              <w:top w:val="single" w:sz="4" w:space="0" w:color="auto"/>
              <w:bottom w:val="single" w:sz="4" w:space="0" w:color="auto"/>
            </w:tcBorders>
            <w:shd w:val="clear" w:color="auto" w:fill="auto"/>
            <w:noWrap/>
            <w:vAlign w:val="center"/>
            <w:hideMark/>
          </w:tcPr>
          <w:p w14:paraId="793D003B"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Renewable</w:t>
            </w:r>
          </w:p>
          <w:p w14:paraId="343ED47D"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(3)</w:t>
            </w:r>
          </w:p>
          <w:p w14:paraId="696A9F64"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p>
        </w:tc>
        <w:tc>
          <w:tcPr>
            <w:tcW w:w="0" w:type="auto"/>
            <w:tcBorders>
              <w:top w:val="single" w:sz="4" w:space="0" w:color="auto"/>
              <w:bottom w:val="single" w:sz="4" w:space="0" w:color="auto"/>
            </w:tcBorders>
            <w:shd w:val="clear" w:color="auto" w:fill="auto"/>
            <w:noWrap/>
            <w:vAlign w:val="center"/>
            <w:hideMark/>
          </w:tcPr>
          <w:p w14:paraId="3A71B351"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proofErr w:type="spellStart"/>
            <w:r w:rsidRPr="00BC6962">
              <w:rPr>
                <w:rFonts w:ascii="Cambria" w:eastAsia="Times New Roman" w:hAnsi="Cambria" w:cs="Times New Roman"/>
                <w:b/>
                <w:bCs/>
                <w:color w:val="FF0000"/>
                <w:sz w:val="20"/>
                <w:szCs w:val="20"/>
              </w:rPr>
              <w:t>NonRenewable</w:t>
            </w:r>
            <w:proofErr w:type="spellEnd"/>
          </w:p>
          <w:p w14:paraId="36F90B29"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r w:rsidRPr="00BC6962">
              <w:rPr>
                <w:rFonts w:ascii="Cambria" w:eastAsia="Times New Roman" w:hAnsi="Cambria" w:cs="Times New Roman"/>
                <w:b/>
                <w:bCs/>
                <w:color w:val="FF0000"/>
                <w:sz w:val="20"/>
                <w:szCs w:val="20"/>
              </w:rPr>
              <w:t>(4)</w:t>
            </w:r>
          </w:p>
          <w:p w14:paraId="0B2DEA7B" w14:textId="77777777" w:rsidR="007A39EB" w:rsidRPr="00BC6962" w:rsidRDefault="007A39EB" w:rsidP="006962D0">
            <w:pPr>
              <w:spacing w:line="240" w:lineRule="auto"/>
              <w:jc w:val="center"/>
              <w:rPr>
                <w:rFonts w:ascii="Cambria" w:eastAsia="Times New Roman" w:hAnsi="Cambria" w:cs="Times New Roman"/>
                <w:b/>
                <w:bCs/>
                <w:color w:val="FF0000"/>
                <w:sz w:val="20"/>
                <w:szCs w:val="20"/>
              </w:rPr>
            </w:pPr>
          </w:p>
        </w:tc>
      </w:tr>
      <w:tr w:rsidR="007A39EB" w:rsidRPr="001E387E" w14:paraId="15466898" w14:textId="77777777" w:rsidTr="006962D0">
        <w:trPr>
          <w:trHeight w:val="310"/>
        </w:trPr>
        <w:tc>
          <w:tcPr>
            <w:tcW w:w="0" w:type="auto"/>
            <w:tcBorders>
              <w:top w:val="single" w:sz="4" w:space="0" w:color="auto"/>
            </w:tcBorders>
            <w:shd w:val="clear" w:color="auto" w:fill="auto"/>
            <w:noWrap/>
            <w:vAlign w:val="center"/>
            <w:hideMark/>
          </w:tcPr>
          <w:p w14:paraId="57D84395"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LogCO</w:t>
            </w:r>
            <w:r w:rsidRPr="00BC6962">
              <w:rPr>
                <w:rFonts w:ascii="Cambria" w:eastAsia="Times New Roman" w:hAnsi="Cambria" w:cs="Times New Roman"/>
                <w:sz w:val="20"/>
                <w:szCs w:val="20"/>
                <w:vertAlign w:val="subscript"/>
              </w:rPr>
              <w:t>2</w:t>
            </w:r>
            <w:r w:rsidRPr="001E387E">
              <w:rPr>
                <w:rFonts w:ascii="Cambria" w:eastAsia="Times New Roman" w:hAnsi="Cambria" w:cs="Times New Roman"/>
                <w:sz w:val="20"/>
                <w:szCs w:val="20"/>
              </w:rPr>
              <w:t>Emission (t-1)</w:t>
            </w:r>
          </w:p>
        </w:tc>
        <w:tc>
          <w:tcPr>
            <w:tcW w:w="0" w:type="auto"/>
            <w:tcBorders>
              <w:top w:val="single" w:sz="4" w:space="0" w:color="auto"/>
            </w:tcBorders>
            <w:shd w:val="clear" w:color="auto" w:fill="auto"/>
            <w:noWrap/>
            <w:vAlign w:val="bottom"/>
            <w:hideMark/>
          </w:tcPr>
          <w:p w14:paraId="1EA58C2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-0.31486***</w:t>
            </w:r>
          </w:p>
        </w:tc>
        <w:tc>
          <w:tcPr>
            <w:tcW w:w="0" w:type="auto"/>
            <w:tcBorders>
              <w:top w:val="single" w:sz="4" w:space="0" w:color="auto"/>
            </w:tcBorders>
            <w:shd w:val="clear" w:color="auto" w:fill="auto"/>
            <w:noWrap/>
            <w:vAlign w:val="bottom"/>
            <w:hideMark/>
          </w:tcPr>
          <w:p w14:paraId="4FFEE35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0.205</w:t>
            </w:r>
          </w:p>
        </w:tc>
        <w:tc>
          <w:tcPr>
            <w:tcW w:w="0" w:type="auto"/>
            <w:tcBorders>
              <w:top w:val="single" w:sz="4" w:space="0" w:color="auto"/>
            </w:tcBorders>
            <w:shd w:val="clear" w:color="auto" w:fill="auto"/>
            <w:noWrap/>
            <w:vAlign w:val="bottom"/>
            <w:hideMark/>
          </w:tcPr>
          <w:p w14:paraId="0064C11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64.68</w:t>
            </w:r>
          </w:p>
        </w:tc>
        <w:tc>
          <w:tcPr>
            <w:tcW w:w="0" w:type="auto"/>
            <w:tcBorders>
              <w:top w:val="single" w:sz="4" w:space="0" w:color="auto"/>
            </w:tcBorders>
            <w:shd w:val="clear" w:color="auto" w:fill="auto"/>
            <w:noWrap/>
            <w:vAlign w:val="bottom"/>
            <w:hideMark/>
          </w:tcPr>
          <w:p w14:paraId="3450A7E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w:t>
            </w:r>
          </w:p>
        </w:tc>
      </w:tr>
      <w:tr w:rsidR="007A39EB" w:rsidRPr="001E387E" w14:paraId="46F1D991" w14:textId="77777777" w:rsidTr="006962D0">
        <w:trPr>
          <w:trHeight w:val="310"/>
        </w:trPr>
        <w:tc>
          <w:tcPr>
            <w:tcW w:w="0" w:type="auto"/>
            <w:shd w:val="clear" w:color="auto" w:fill="auto"/>
            <w:noWrap/>
            <w:vAlign w:val="bottom"/>
            <w:hideMark/>
          </w:tcPr>
          <w:p w14:paraId="49275401"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04CE7A7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(0.14)</w:t>
            </w:r>
          </w:p>
        </w:tc>
        <w:tc>
          <w:tcPr>
            <w:tcW w:w="0" w:type="auto"/>
            <w:shd w:val="clear" w:color="auto" w:fill="auto"/>
            <w:noWrap/>
            <w:vAlign w:val="bottom"/>
            <w:hideMark/>
          </w:tcPr>
          <w:p w14:paraId="003CE16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(0.15)</w:t>
            </w:r>
          </w:p>
        </w:tc>
        <w:tc>
          <w:tcPr>
            <w:tcW w:w="0" w:type="auto"/>
            <w:shd w:val="clear" w:color="auto" w:fill="auto"/>
            <w:noWrap/>
            <w:vAlign w:val="bottom"/>
            <w:hideMark/>
          </w:tcPr>
          <w:p w14:paraId="3A9EF7E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(50.54)</w:t>
            </w:r>
          </w:p>
        </w:tc>
        <w:tc>
          <w:tcPr>
            <w:tcW w:w="0" w:type="auto"/>
            <w:shd w:val="clear" w:color="auto" w:fill="auto"/>
            <w:noWrap/>
            <w:vAlign w:val="bottom"/>
            <w:hideMark/>
          </w:tcPr>
          <w:p w14:paraId="7F99B64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(6.27)</w:t>
            </w:r>
          </w:p>
        </w:tc>
      </w:tr>
      <w:tr w:rsidR="007A39EB" w:rsidRPr="001E387E" w14:paraId="37980DEE" w14:textId="77777777" w:rsidTr="006962D0">
        <w:trPr>
          <w:trHeight w:val="310"/>
        </w:trPr>
        <w:tc>
          <w:tcPr>
            <w:tcW w:w="0" w:type="auto"/>
            <w:shd w:val="clear" w:color="auto" w:fill="auto"/>
            <w:noWrap/>
            <w:vAlign w:val="center"/>
            <w:hideMark/>
          </w:tcPr>
          <w:p w14:paraId="4734768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LogCO</w:t>
            </w:r>
            <w:r w:rsidRPr="00BC6962">
              <w:rPr>
                <w:rFonts w:ascii="Cambria" w:eastAsia="Times New Roman" w:hAnsi="Cambria" w:cs="Times New Roman"/>
                <w:sz w:val="20"/>
                <w:szCs w:val="20"/>
                <w:vertAlign w:val="subscript"/>
              </w:rPr>
              <w:t>2</w:t>
            </w:r>
            <w:r w:rsidRPr="001E387E">
              <w:rPr>
                <w:rFonts w:ascii="Cambria" w:eastAsia="Times New Roman" w:hAnsi="Cambria" w:cs="Times New Roman"/>
                <w:sz w:val="20"/>
                <w:szCs w:val="20"/>
              </w:rPr>
              <w:t>Emission (t-2)</w:t>
            </w:r>
          </w:p>
        </w:tc>
        <w:tc>
          <w:tcPr>
            <w:tcW w:w="0" w:type="auto"/>
            <w:shd w:val="clear" w:color="auto" w:fill="auto"/>
            <w:noWrap/>
            <w:vAlign w:val="bottom"/>
            <w:hideMark/>
          </w:tcPr>
          <w:p w14:paraId="42B4E81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-0.0533</w:t>
            </w:r>
          </w:p>
        </w:tc>
        <w:tc>
          <w:tcPr>
            <w:tcW w:w="0" w:type="auto"/>
            <w:shd w:val="clear" w:color="auto" w:fill="auto"/>
            <w:noWrap/>
            <w:vAlign w:val="bottom"/>
            <w:hideMark/>
          </w:tcPr>
          <w:p w14:paraId="3139D27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-0.260**</w:t>
            </w:r>
          </w:p>
        </w:tc>
        <w:tc>
          <w:tcPr>
            <w:tcW w:w="0" w:type="auto"/>
            <w:shd w:val="clear" w:color="auto" w:fill="auto"/>
            <w:noWrap/>
            <w:vAlign w:val="bottom"/>
            <w:hideMark/>
          </w:tcPr>
          <w:p w14:paraId="124CEE7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-8.276</w:t>
            </w:r>
          </w:p>
        </w:tc>
        <w:tc>
          <w:tcPr>
            <w:tcW w:w="0" w:type="auto"/>
            <w:shd w:val="clear" w:color="auto" w:fill="auto"/>
            <w:noWrap/>
            <w:vAlign w:val="bottom"/>
            <w:hideMark/>
          </w:tcPr>
          <w:p w14:paraId="2C64F1A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-1.727</w:t>
            </w:r>
          </w:p>
        </w:tc>
      </w:tr>
      <w:tr w:rsidR="007A39EB" w:rsidRPr="001E387E" w14:paraId="7BAB64A2" w14:textId="77777777" w:rsidTr="006962D0">
        <w:trPr>
          <w:trHeight w:val="310"/>
        </w:trPr>
        <w:tc>
          <w:tcPr>
            <w:tcW w:w="0" w:type="auto"/>
            <w:shd w:val="clear" w:color="auto" w:fill="auto"/>
            <w:noWrap/>
            <w:vAlign w:val="bottom"/>
            <w:hideMark/>
          </w:tcPr>
          <w:p w14:paraId="5F5B3103"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87419D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(0.33)</w:t>
            </w:r>
          </w:p>
        </w:tc>
        <w:tc>
          <w:tcPr>
            <w:tcW w:w="0" w:type="auto"/>
            <w:shd w:val="clear" w:color="auto" w:fill="auto"/>
            <w:noWrap/>
            <w:vAlign w:val="bottom"/>
            <w:hideMark/>
          </w:tcPr>
          <w:p w14:paraId="2910B14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(0.13)</w:t>
            </w:r>
          </w:p>
        </w:tc>
        <w:tc>
          <w:tcPr>
            <w:tcW w:w="0" w:type="auto"/>
            <w:shd w:val="clear" w:color="auto" w:fill="auto"/>
            <w:noWrap/>
            <w:vAlign w:val="bottom"/>
            <w:hideMark/>
          </w:tcPr>
          <w:p w14:paraId="006D34D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(25.78)</w:t>
            </w:r>
          </w:p>
        </w:tc>
        <w:tc>
          <w:tcPr>
            <w:tcW w:w="0" w:type="auto"/>
            <w:shd w:val="clear" w:color="auto" w:fill="auto"/>
            <w:noWrap/>
            <w:vAlign w:val="bottom"/>
            <w:hideMark/>
          </w:tcPr>
          <w:p w14:paraId="78915D0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(6.45)</w:t>
            </w:r>
          </w:p>
        </w:tc>
      </w:tr>
      <w:tr w:rsidR="007A39EB" w:rsidRPr="001E387E" w14:paraId="406CE59D" w14:textId="77777777" w:rsidTr="006962D0">
        <w:trPr>
          <w:trHeight w:val="310"/>
        </w:trPr>
        <w:tc>
          <w:tcPr>
            <w:tcW w:w="0" w:type="auto"/>
            <w:shd w:val="clear" w:color="auto" w:fill="auto"/>
            <w:noWrap/>
            <w:vAlign w:val="center"/>
            <w:hideMark/>
          </w:tcPr>
          <w:p w14:paraId="794086F8"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LogCO</w:t>
            </w:r>
            <w:r w:rsidRPr="00BC6962">
              <w:rPr>
                <w:rFonts w:ascii="Cambria" w:eastAsia="Times New Roman" w:hAnsi="Cambria" w:cs="Times New Roman"/>
                <w:sz w:val="20"/>
                <w:szCs w:val="20"/>
                <w:vertAlign w:val="subscript"/>
              </w:rPr>
              <w:t>2</w:t>
            </w:r>
            <w:r w:rsidRPr="001E387E">
              <w:rPr>
                <w:rFonts w:ascii="Cambria" w:eastAsia="Times New Roman" w:hAnsi="Cambria" w:cs="Times New Roman"/>
                <w:b/>
                <w:bCs/>
                <w:sz w:val="20"/>
                <w:szCs w:val="20"/>
              </w:rPr>
              <w:t>Emission (Total)</w:t>
            </w:r>
          </w:p>
        </w:tc>
        <w:tc>
          <w:tcPr>
            <w:tcW w:w="0" w:type="auto"/>
            <w:shd w:val="clear" w:color="auto" w:fill="auto"/>
            <w:noWrap/>
            <w:vAlign w:val="bottom"/>
            <w:hideMark/>
          </w:tcPr>
          <w:p w14:paraId="3B86DC7E"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-0.36816</w:t>
            </w:r>
          </w:p>
        </w:tc>
        <w:tc>
          <w:tcPr>
            <w:tcW w:w="0" w:type="auto"/>
            <w:shd w:val="clear" w:color="auto" w:fill="auto"/>
            <w:noWrap/>
            <w:vAlign w:val="bottom"/>
            <w:hideMark/>
          </w:tcPr>
          <w:p w14:paraId="3FC5A61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-0.055</w:t>
            </w:r>
          </w:p>
        </w:tc>
        <w:tc>
          <w:tcPr>
            <w:tcW w:w="0" w:type="auto"/>
            <w:shd w:val="clear" w:color="auto" w:fill="auto"/>
            <w:noWrap/>
            <w:vAlign w:val="center"/>
            <w:hideMark/>
          </w:tcPr>
          <w:p w14:paraId="1C82864C"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56.404</w:t>
            </w:r>
          </w:p>
        </w:tc>
        <w:tc>
          <w:tcPr>
            <w:tcW w:w="0" w:type="auto"/>
            <w:shd w:val="clear" w:color="auto" w:fill="auto"/>
            <w:noWrap/>
            <w:vAlign w:val="center"/>
            <w:hideMark/>
          </w:tcPr>
          <w:p w14:paraId="5666CA54"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1.273</w:t>
            </w:r>
          </w:p>
        </w:tc>
      </w:tr>
      <w:tr w:rsidR="007A39EB" w:rsidRPr="001E387E" w14:paraId="3E796AD4" w14:textId="77777777" w:rsidTr="006962D0">
        <w:trPr>
          <w:trHeight w:val="310"/>
        </w:trPr>
        <w:tc>
          <w:tcPr>
            <w:tcW w:w="0" w:type="auto"/>
            <w:shd w:val="clear" w:color="auto" w:fill="auto"/>
            <w:noWrap/>
            <w:vAlign w:val="center"/>
            <w:hideMark/>
          </w:tcPr>
          <w:p w14:paraId="2CB17D7F"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bottom"/>
            <w:hideMark/>
          </w:tcPr>
          <w:p w14:paraId="3028333A"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2.777**</w:t>
            </w:r>
          </w:p>
        </w:tc>
        <w:tc>
          <w:tcPr>
            <w:tcW w:w="0" w:type="auto"/>
            <w:shd w:val="clear" w:color="auto" w:fill="auto"/>
            <w:noWrap/>
            <w:vAlign w:val="center"/>
            <w:hideMark/>
          </w:tcPr>
          <w:p w14:paraId="1141F37E"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3.26**</w:t>
            </w:r>
          </w:p>
        </w:tc>
        <w:tc>
          <w:tcPr>
            <w:tcW w:w="0" w:type="auto"/>
            <w:shd w:val="clear" w:color="auto" w:fill="auto"/>
            <w:noWrap/>
            <w:vAlign w:val="center"/>
            <w:hideMark/>
          </w:tcPr>
          <w:p w14:paraId="2A26DDD3"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56.36</w:t>
            </w:r>
          </w:p>
        </w:tc>
        <w:tc>
          <w:tcPr>
            <w:tcW w:w="0" w:type="auto"/>
            <w:shd w:val="clear" w:color="auto" w:fill="auto"/>
            <w:noWrap/>
            <w:vAlign w:val="center"/>
            <w:hideMark/>
          </w:tcPr>
          <w:p w14:paraId="3018B235"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23.76</w:t>
            </w:r>
          </w:p>
        </w:tc>
      </w:tr>
      <w:tr w:rsidR="007A39EB" w:rsidRPr="001E387E" w14:paraId="0C30226F" w14:textId="77777777" w:rsidTr="006962D0">
        <w:trPr>
          <w:trHeight w:val="310"/>
        </w:trPr>
        <w:tc>
          <w:tcPr>
            <w:tcW w:w="0" w:type="auto"/>
            <w:shd w:val="clear" w:color="auto" w:fill="auto"/>
            <w:noWrap/>
            <w:vAlign w:val="center"/>
            <w:hideMark/>
          </w:tcPr>
          <w:p w14:paraId="53041D1B"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Renewable (t-1)</w:t>
            </w:r>
          </w:p>
        </w:tc>
        <w:tc>
          <w:tcPr>
            <w:tcW w:w="0" w:type="auto"/>
            <w:shd w:val="clear" w:color="auto" w:fill="auto"/>
            <w:noWrap/>
            <w:vAlign w:val="bottom"/>
            <w:hideMark/>
          </w:tcPr>
          <w:p w14:paraId="5FDD89B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-0.00917***</w:t>
            </w:r>
          </w:p>
        </w:tc>
        <w:tc>
          <w:tcPr>
            <w:tcW w:w="0" w:type="auto"/>
            <w:shd w:val="clear" w:color="auto" w:fill="auto"/>
            <w:noWrap/>
            <w:vAlign w:val="center"/>
            <w:hideMark/>
          </w:tcPr>
          <w:p w14:paraId="50F8594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2864DB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1.256***</w:t>
            </w:r>
          </w:p>
        </w:tc>
        <w:tc>
          <w:tcPr>
            <w:tcW w:w="0" w:type="auto"/>
            <w:shd w:val="clear" w:color="auto" w:fill="auto"/>
            <w:noWrap/>
            <w:vAlign w:val="center"/>
            <w:hideMark/>
          </w:tcPr>
          <w:p w14:paraId="55612E0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0275C238" w14:textId="77777777" w:rsidTr="006962D0">
        <w:trPr>
          <w:trHeight w:val="290"/>
        </w:trPr>
        <w:tc>
          <w:tcPr>
            <w:tcW w:w="0" w:type="auto"/>
            <w:shd w:val="clear" w:color="auto" w:fill="auto"/>
            <w:noWrap/>
            <w:vAlign w:val="bottom"/>
            <w:hideMark/>
          </w:tcPr>
          <w:p w14:paraId="2DA5A5E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6DAAE3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center"/>
            <w:hideMark/>
          </w:tcPr>
          <w:p w14:paraId="4E5A544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7A5F77D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(0.46)</w:t>
            </w:r>
          </w:p>
        </w:tc>
        <w:tc>
          <w:tcPr>
            <w:tcW w:w="0" w:type="auto"/>
            <w:shd w:val="clear" w:color="auto" w:fill="auto"/>
            <w:noWrap/>
            <w:vAlign w:val="center"/>
            <w:hideMark/>
          </w:tcPr>
          <w:p w14:paraId="3B85435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0160A395" w14:textId="77777777" w:rsidTr="006962D0">
        <w:trPr>
          <w:trHeight w:val="290"/>
        </w:trPr>
        <w:tc>
          <w:tcPr>
            <w:tcW w:w="0" w:type="auto"/>
            <w:shd w:val="clear" w:color="auto" w:fill="auto"/>
            <w:noWrap/>
            <w:vAlign w:val="center"/>
            <w:hideMark/>
          </w:tcPr>
          <w:p w14:paraId="7AA88EBF"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Renewable (t-2)</w:t>
            </w:r>
          </w:p>
        </w:tc>
        <w:tc>
          <w:tcPr>
            <w:tcW w:w="0" w:type="auto"/>
            <w:shd w:val="clear" w:color="auto" w:fill="auto"/>
            <w:noWrap/>
            <w:vAlign w:val="bottom"/>
            <w:hideMark/>
          </w:tcPr>
          <w:p w14:paraId="2F791C4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0.00288*</w:t>
            </w:r>
          </w:p>
        </w:tc>
        <w:tc>
          <w:tcPr>
            <w:tcW w:w="0" w:type="auto"/>
            <w:shd w:val="clear" w:color="auto" w:fill="auto"/>
            <w:noWrap/>
            <w:vAlign w:val="center"/>
            <w:hideMark/>
          </w:tcPr>
          <w:p w14:paraId="543E363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71B3C4A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-0.279</w:t>
            </w:r>
          </w:p>
        </w:tc>
        <w:tc>
          <w:tcPr>
            <w:tcW w:w="0" w:type="auto"/>
            <w:shd w:val="clear" w:color="auto" w:fill="auto"/>
            <w:noWrap/>
            <w:vAlign w:val="center"/>
            <w:hideMark/>
          </w:tcPr>
          <w:p w14:paraId="188D577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5EF49C3A" w14:textId="77777777" w:rsidTr="006962D0">
        <w:trPr>
          <w:trHeight w:val="290"/>
        </w:trPr>
        <w:tc>
          <w:tcPr>
            <w:tcW w:w="0" w:type="auto"/>
            <w:shd w:val="clear" w:color="auto" w:fill="auto"/>
            <w:noWrap/>
            <w:vAlign w:val="bottom"/>
            <w:hideMark/>
          </w:tcPr>
          <w:p w14:paraId="73704592"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529E5F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center"/>
            <w:hideMark/>
          </w:tcPr>
          <w:p w14:paraId="2367A70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5A7F3B7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(0.46)</w:t>
            </w:r>
          </w:p>
        </w:tc>
        <w:tc>
          <w:tcPr>
            <w:tcW w:w="0" w:type="auto"/>
            <w:shd w:val="clear" w:color="auto" w:fill="auto"/>
            <w:noWrap/>
            <w:vAlign w:val="center"/>
            <w:hideMark/>
          </w:tcPr>
          <w:p w14:paraId="5E18229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3BC848F3" w14:textId="77777777" w:rsidTr="006962D0">
        <w:trPr>
          <w:trHeight w:val="290"/>
        </w:trPr>
        <w:tc>
          <w:tcPr>
            <w:tcW w:w="0" w:type="auto"/>
            <w:shd w:val="clear" w:color="auto" w:fill="auto"/>
            <w:noWrap/>
            <w:vAlign w:val="center"/>
            <w:hideMark/>
          </w:tcPr>
          <w:p w14:paraId="691A49F0"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Renewable (Total)</w:t>
            </w:r>
          </w:p>
        </w:tc>
        <w:tc>
          <w:tcPr>
            <w:tcW w:w="0" w:type="auto"/>
            <w:shd w:val="clear" w:color="auto" w:fill="auto"/>
            <w:noWrap/>
            <w:vAlign w:val="bottom"/>
            <w:hideMark/>
          </w:tcPr>
          <w:p w14:paraId="30937978"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-0.00629</w:t>
            </w:r>
          </w:p>
        </w:tc>
        <w:tc>
          <w:tcPr>
            <w:tcW w:w="0" w:type="auto"/>
            <w:shd w:val="clear" w:color="auto" w:fill="auto"/>
            <w:noWrap/>
            <w:vAlign w:val="center"/>
            <w:hideMark/>
          </w:tcPr>
          <w:p w14:paraId="24A7BF0C"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center"/>
            <w:hideMark/>
          </w:tcPr>
          <w:p w14:paraId="5258E9A7"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0.977</w:t>
            </w:r>
          </w:p>
        </w:tc>
        <w:tc>
          <w:tcPr>
            <w:tcW w:w="0" w:type="auto"/>
            <w:shd w:val="clear" w:color="auto" w:fill="auto"/>
            <w:noWrap/>
            <w:vAlign w:val="center"/>
            <w:hideMark/>
          </w:tcPr>
          <w:p w14:paraId="380891A5"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r>
      <w:tr w:rsidR="007A39EB" w:rsidRPr="001E387E" w14:paraId="26C1AC9D" w14:textId="77777777" w:rsidTr="006962D0">
        <w:trPr>
          <w:trHeight w:val="290"/>
        </w:trPr>
        <w:tc>
          <w:tcPr>
            <w:tcW w:w="0" w:type="auto"/>
            <w:shd w:val="clear" w:color="auto" w:fill="auto"/>
            <w:noWrap/>
            <w:vAlign w:val="center"/>
            <w:hideMark/>
          </w:tcPr>
          <w:p w14:paraId="0DA35C3C"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center"/>
            <w:hideMark/>
          </w:tcPr>
          <w:p w14:paraId="4F1627F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1.45***</w:t>
            </w:r>
          </w:p>
        </w:tc>
        <w:tc>
          <w:tcPr>
            <w:tcW w:w="0" w:type="auto"/>
            <w:shd w:val="clear" w:color="auto" w:fill="auto"/>
            <w:noWrap/>
            <w:vAlign w:val="center"/>
            <w:hideMark/>
          </w:tcPr>
          <w:p w14:paraId="2008E59C"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center"/>
            <w:hideMark/>
          </w:tcPr>
          <w:p w14:paraId="105D5D34"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21.35</w:t>
            </w:r>
          </w:p>
        </w:tc>
        <w:tc>
          <w:tcPr>
            <w:tcW w:w="0" w:type="auto"/>
            <w:shd w:val="clear" w:color="auto" w:fill="auto"/>
            <w:noWrap/>
            <w:vAlign w:val="center"/>
            <w:hideMark/>
          </w:tcPr>
          <w:p w14:paraId="68CD4AF6"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r>
      <w:tr w:rsidR="007A39EB" w:rsidRPr="001E387E" w14:paraId="1BC3362B" w14:textId="77777777" w:rsidTr="006962D0">
        <w:trPr>
          <w:trHeight w:val="290"/>
        </w:trPr>
        <w:tc>
          <w:tcPr>
            <w:tcW w:w="0" w:type="auto"/>
            <w:shd w:val="clear" w:color="auto" w:fill="auto"/>
            <w:noWrap/>
            <w:vAlign w:val="center"/>
            <w:hideMark/>
          </w:tcPr>
          <w:p w14:paraId="6F07D66E"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NonRenewable</w:t>
            </w:r>
            <w:proofErr w:type="spellEnd"/>
            <w:r w:rsidRPr="001E387E">
              <w:rPr>
                <w:rFonts w:ascii="Cambria" w:eastAsia="Times New Roman" w:hAnsi="Cambria" w:cs="Times New Roman"/>
                <w:sz w:val="20"/>
                <w:szCs w:val="20"/>
              </w:rPr>
              <w:t xml:space="preserve"> (t-1)</w:t>
            </w:r>
          </w:p>
        </w:tc>
        <w:tc>
          <w:tcPr>
            <w:tcW w:w="0" w:type="auto"/>
            <w:shd w:val="clear" w:color="auto" w:fill="auto"/>
            <w:noWrap/>
            <w:vAlign w:val="bottom"/>
            <w:hideMark/>
          </w:tcPr>
          <w:p w14:paraId="1ABA1A2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708AC62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0.00395***</w:t>
            </w:r>
          </w:p>
        </w:tc>
        <w:tc>
          <w:tcPr>
            <w:tcW w:w="0" w:type="auto"/>
            <w:shd w:val="clear" w:color="auto" w:fill="auto"/>
            <w:noWrap/>
            <w:vAlign w:val="bottom"/>
            <w:hideMark/>
          </w:tcPr>
          <w:p w14:paraId="16E09A8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19567F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0.118</w:t>
            </w:r>
          </w:p>
        </w:tc>
      </w:tr>
      <w:tr w:rsidR="007A39EB" w:rsidRPr="001E387E" w14:paraId="5E176095" w14:textId="77777777" w:rsidTr="006962D0">
        <w:trPr>
          <w:trHeight w:val="290"/>
        </w:trPr>
        <w:tc>
          <w:tcPr>
            <w:tcW w:w="0" w:type="auto"/>
            <w:shd w:val="clear" w:color="auto" w:fill="auto"/>
            <w:noWrap/>
            <w:vAlign w:val="bottom"/>
            <w:hideMark/>
          </w:tcPr>
          <w:p w14:paraId="2B01E09F"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0212F4C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2C46296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1AB002F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D6F337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(0.22)</w:t>
            </w:r>
          </w:p>
        </w:tc>
      </w:tr>
      <w:tr w:rsidR="007A39EB" w:rsidRPr="001E387E" w14:paraId="00E20429" w14:textId="77777777" w:rsidTr="006962D0">
        <w:trPr>
          <w:trHeight w:val="290"/>
        </w:trPr>
        <w:tc>
          <w:tcPr>
            <w:tcW w:w="0" w:type="auto"/>
            <w:shd w:val="clear" w:color="auto" w:fill="auto"/>
            <w:noWrap/>
            <w:vAlign w:val="center"/>
            <w:hideMark/>
          </w:tcPr>
          <w:p w14:paraId="41E11F0D"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NonRenewable</w:t>
            </w:r>
            <w:proofErr w:type="spellEnd"/>
            <w:r w:rsidRPr="001E387E">
              <w:rPr>
                <w:rFonts w:ascii="Cambria" w:eastAsia="Times New Roman" w:hAnsi="Cambria" w:cs="Times New Roman"/>
                <w:sz w:val="20"/>
                <w:szCs w:val="20"/>
              </w:rPr>
              <w:t xml:space="preserve"> (t-2)</w:t>
            </w:r>
          </w:p>
        </w:tc>
        <w:tc>
          <w:tcPr>
            <w:tcW w:w="0" w:type="auto"/>
            <w:shd w:val="clear" w:color="auto" w:fill="auto"/>
            <w:noWrap/>
            <w:vAlign w:val="bottom"/>
            <w:hideMark/>
          </w:tcPr>
          <w:p w14:paraId="7471174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196EBA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0.0011</w:t>
            </w:r>
          </w:p>
        </w:tc>
        <w:tc>
          <w:tcPr>
            <w:tcW w:w="0" w:type="auto"/>
            <w:shd w:val="clear" w:color="auto" w:fill="auto"/>
            <w:noWrap/>
            <w:vAlign w:val="bottom"/>
            <w:hideMark/>
          </w:tcPr>
          <w:p w14:paraId="05DBAFC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57F22E2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0.258</w:t>
            </w:r>
          </w:p>
        </w:tc>
      </w:tr>
      <w:tr w:rsidR="007A39EB" w:rsidRPr="001E387E" w14:paraId="7B82A1C1" w14:textId="77777777" w:rsidTr="006962D0">
        <w:trPr>
          <w:trHeight w:val="290"/>
        </w:trPr>
        <w:tc>
          <w:tcPr>
            <w:tcW w:w="0" w:type="auto"/>
            <w:shd w:val="clear" w:color="auto" w:fill="auto"/>
            <w:noWrap/>
            <w:vAlign w:val="bottom"/>
            <w:hideMark/>
          </w:tcPr>
          <w:p w14:paraId="79C658E1"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94CB49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1EB8C5D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w:t>
            </w:r>
          </w:p>
        </w:tc>
        <w:tc>
          <w:tcPr>
            <w:tcW w:w="0" w:type="auto"/>
            <w:shd w:val="clear" w:color="auto" w:fill="auto"/>
            <w:noWrap/>
            <w:vAlign w:val="bottom"/>
            <w:hideMark/>
          </w:tcPr>
          <w:p w14:paraId="3189CF4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0EE17CE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(0.30)</w:t>
            </w:r>
          </w:p>
        </w:tc>
      </w:tr>
      <w:tr w:rsidR="007A39EB" w:rsidRPr="001E387E" w14:paraId="31566B20" w14:textId="77777777" w:rsidTr="006962D0">
        <w:trPr>
          <w:trHeight w:val="290"/>
        </w:trPr>
        <w:tc>
          <w:tcPr>
            <w:tcW w:w="0" w:type="auto"/>
            <w:shd w:val="clear" w:color="auto" w:fill="auto"/>
            <w:noWrap/>
            <w:vAlign w:val="center"/>
            <w:hideMark/>
          </w:tcPr>
          <w:p w14:paraId="5D846D83" w14:textId="77777777" w:rsidR="007A39EB" w:rsidRPr="001E387E" w:rsidRDefault="007A39EB" w:rsidP="006962D0">
            <w:pPr>
              <w:spacing w:line="240" w:lineRule="auto"/>
              <w:jc w:val="left"/>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NonRenewable</w:t>
            </w:r>
            <w:proofErr w:type="spellEnd"/>
            <w:r w:rsidRPr="001E387E">
              <w:rPr>
                <w:rFonts w:ascii="Cambria" w:eastAsia="Times New Roman" w:hAnsi="Cambria" w:cs="Times New Roman"/>
                <w:b/>
                <w:bCs/>
                <w:sz w:val="20"/>
                <w:szCs w:val="20"/>
              </w:rPr>
              <w:t xml:space="preserve"> (Total)</w:t>
            </w:r>
          </w:p>
        </w:tc>
        <w:tc>
          <w:tcPr>
            <w:tcW w:w="0" w:type="auto"/>
            <w:shd w:val="clear" w:color="auto" w:fill="auto"/>
            <w:noWrap/>
            <w:vAlign w:val="bottom"/>
            <w:hideMark/>
          </w:tcPr>
          <w:p w14:paraId="3C6A12EE"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4C651438"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0.00505</w:t>
            </w:r>
          </w:p>
        </w:tc>
        <w:tc>
          <w:tcPr>
            <w:tcW w:w="0" w:type="auto"/>
            <w:shd w:val="clear" w:color="auto" w:fill="auto"/>
            <w:noWrap/>
            <w:vAlign w:val="bottom"/>
            <w:hideMark/>
          </w:tcPr>
          <w:p w14:paraId="5CC5876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20E94DB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0.376</w:t>
            </w:r>
          </w:p>
        </w:tc>
      </w:tr>
      <w:tr w:rsidR="007A39EB" w:rsidRPr="001E387E" w14:paraId="08D738EA" w14:textId="77777777" w:rsidTr="006962D0">
        <w:trPr>
          <w:trHeight w:val="290"/>
        </w:trPr>
        <w:tc>
          <w:tcPr>
            <w:tcW w:w="0" w:type="auto"/>
            <w:shd w:val="clear" w:color="auto" w:fill="auto"/>
            <w:noWrap/>
            <w:vAlign w:val="center"/>
            <w:hideMark/>
          </w:tcPr>
          <w:p w14:paraId="5B586CB6"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bottom"/>
            <w:hideMark/>
          </w:tcPr>
          <w:p w14:paraId="6A4F63E5"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02B849F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2.35***</w:t>
            </w:r>
          </w:p>
        </w:tc>
        <w:tc>
          <w:tcPr>
            <w:tcW w:w="0" w:type="auto"/>
            <w:shd w:val="clear" w:color="auto" w:fill="auto"/>
            <w:noWrap/>
            <w:vAlign w:val="bottom"/>
            <w:hideMark/>
          </w:tcPr>
          <w:p w14:paraId="72FA79A5"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0E19A4E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xml:space="preserve">3.4400 </w:t>
            </w:r>
          </w:p>
        </w:tc>
      </w:tr>
      <w:tr w:rsidR="007A39EB" w:rsidRPr="001E387E" w14:paraId="582B9B8C" w14:textId="77777777" w:rsidTr="006962D0">
        <w:trPr>
          <w:trHeight w:val="290"/>
        </w:trPr>
        <w:tc>
          <w:tcPr>
            <w:tcW w:w="0" w:type="auto"/>
            <w:shd w:val="clear" w:color="auto" w:fill="auto"/>
            <w:noWrap/>
            <w:vAlign w:val="bottom"/>
            <w:hideMark/>
          </w:tcPr>
          <w:p w14:paraId="43AF0F12"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Coalrents</w:t>
            </w:r>
            <w:proofErr w:type="spellEnd"/>
          </w:p>
        </w:tc>
        <w:tc>
          <w:tcPr>
            <w:tcW w:w="0" w:type="auto"/>
            <w:shd w:val="clear" w:color="auto" w:fill="auto"/>
            <w:noWrap/>
            <w:vAlign w:val="bottom"/>
            <w:hideMark/>
          </w:tcPr>
          <w:p w14:paraId="2DE209D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-0.00679***</w:t>
            </w:r>
          </w:p>
        </w:tc>
        <w:tc>
          <w:tcPr>
            <w:tcW w:w="0" w:type="auto"/>
            <w:shd w:val="clear" w:color="auto" w:fill="auto"/>
            <w:noWrap/>
            <w:vAlign w:val="bottom"/>
            <w:hideMark/>
          </w:tcPr>
          <w:p w14:paraId="53A16BC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-0.00433</w:t>
            </w:r>
          </w:p>
        </w:tc>
        <w:tc>
          <w:tcPr>
            <w:tcW w:w="0" w:type="auto"/>
            <w:shd w:val="clear" w:color="auto" w:fill="auto"/>
            <w:noWrap/>
            <w:vAlign w:val="bottom"/>
            <w:hideMark/>
          </w:tcPr>
          <w:p w14:paraId="72B195B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0.152</w:t>
            </w:r>
          </w:p>
        </w:tc>
        <w:tc>
          <w:tcPr>
            <w:tcW w:w="0" w:type="auto"/>
            <w:shd w:val="clear" w:color="auto" w:fill="auto"/>
            <w:noWrap/>
            <w:vAlign w:val="bottom"/>
            <w:hideMark/>
          </w:tcPr>
          <w:p w14:paraId="21C9DCE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0.0877</w:t>
            </w:r>
          </w:p>
        </w:tc>
      </w:tr>
      <w:tr w:rsidR="007A39EB" w:rsidRPr="001E387E" w14:paraId="1C6AC97C" w14:textId="77777777" w:rsidTr="006962D0">
        <w:trPr>
          <w:trHeight w:val="290"/>
        </w:trPr>
        <w:tc>
          <w:tcPr>
            <w:tcW w:w="0" w:type="auto"/>
            <w:shd w:val="clear" w:color="auto" w:fill="auto"/>
            <w:noWrap/>
            <w:vAlign w:val="bottom"/>
            <w:hideMark/>
          </w:tcPr>
          <w:p w14:paraId="1BFB34B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0F21DE5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215BA09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532CE42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(0.16)</w:t>
            </w:r>
          </w:p>
        </w:tc>
        <w:tc>
          <w:tcPr>
            <w:tcW w:w="0" w:type="auto"/>
            <w:shd w:val="clear" w:color="auto" w:fill="auto"/>
            <w:noWrap/>
            <w:vAlign w:val="bottom"/>
            <w:hideMark/>
          </w:tcPr>
          <w:p w14:paraId="7C38719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(0.21)</w:t>
            </w:r>
          </w:p>
        </w:tc>
      </w:tr>
      <w:tr w:rsidR="007A39EB" w:rsidRPr="001E387E" w14:paraId="41863339" w14:textId="77777777" w:rsidTr="006962D0">
        <w:trPr>
          <w:trHeight w:val="290"/>
        </w:trPr>
        <w:tc>
          <w:tcPr>
            <w:tcW w:w="0" w:type="auto"/>
            <w:shd w:val="clear" w:color="auto" w:fill="auto"/>
            <w:noWrap/>
            <w:vAlign w:val="bottom"/>
            <w:hideMark/>
          </w:tcPr>
          <w:p w14:paraId="47C057DD"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LogGDP</w:t>
            </w:r>
            <w:proofErr w:type="spellEnd"/>
          </w:p>
        </w:tc>
        <w:tc>
          <w:tcPr>
            <w:tcW w:w="0" w:type="auto"/>
            <w:shd w:val="clear" w:color="auto" w:fill="auto"/>
            <w:noWrap/>
            <w:vAlign w:val="bottom"/>
            <w:hideMark/>
          </w:tcPr>
          <w:p w14:paraId="38F78D8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0.78048***</w:t>
            </w:r>
          </w:p>
        </w:tc>
        <w:tc>
          <w:tcPr>
            <w:tcW w:w="0" w:type="auto"/>
            <w:shd w:val="clear" w:color="auto" w:fill="auto"/>
            <w:noWrap/>
            <w:vAlign w:val="bottom"/>
            <w:hideMark/>
          </w:tcPr>
          <w:p w14:paraId="0BFC6E0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0.712***</w:t>
            </w:r>
          </w:p>
        </w:tc>
        <w:tc>
          <w:tcPr>
            <w:tcW w:w="0" w:type="auto"/>
            <w:shd w:val="clear" w:color="auto" w:fill="auto"/>
            <w:noWrap/>
            <w:vAlign w:val="bottom"/>
            <w:hideMark/>
          </w:tcPr>
          <w:p w14:paraId="6E14AB3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-31.68***</w:t>
            </w:r>
          </w:p>
        </w:tc>
        <w:tc>
          <w:tcPr>
            <w:tcW w:w="0" w:type="auto"/>
            <w:shd w:val="clear" w:color="auto" w:fill="auto"/>
            <w:noWrap/>
            <w:vAlign w:val="bottom"/>
            <w:hideMark/>
          </w:tcPr>
          <w:p w14:paraId="29F89C0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7.248</w:t>
            </w:r>
          </w:p>
        </w:tc>
      </w:tr>
      <w:tr w:rsidR="007A39EB" w:rsidRPr="001E387E" w14:paraId="74DFAFA7" w14:textId="77777777" w:rsidTr="006962D0">
        <w:trPr>
          <w:trHeight w:val="290"/>
        </w:trPr>
        <w:tc>
          <w:tcPr>
            <w:tcW w:w="0" w:type="auto"/>
            <w:shd w:val="clear" w:color="auto" w:fill="auto"/>
            <w:noWrap/>
            <w:vAlign w:val="bottom"/>
            <w:hideMark/>
          </w:tcPr>
          <w:p w14:paraId="5467EF84"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25C84A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(0.18)</w:t>
            </w:r>
          </w:p>
        </w:tc>
        <w:tc>
          <w:tcPr>
            <w:tcW w:w="0" w:type="auto"/>
            <w:shd w:val="clear" w:color="auto" w:fill="auto"/>
            <w:noWrap/>
            <w:vAlign w:val="bottom"/>
            <w:hideMark/>
          </w:tcPr>
          <w:p w14:paraId="225AC60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(0.19)</w:t>
            </w:r>
          </w:p>
        </w:tc>
        <w:tc>
          <w:tcPr>
            <w:tcW w:w="0" w:type="auto"/>
            <w:shd w:val="clear" w:color="auto" w:fill="auto"/>
            <w:noWrap/>
            <w:vAlign w:val="bottom"/>
            <w:hideMark/>
          </w:tcPr>
          <w:p w14:paraId="0F6AD01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(11.59)</w:t>
            </w:r>
          </w:p>
        </w:tc>
        <w:tc>
          <w:tcPr>
            <w:tcW w:w="0" w:type="auto"/>
            <w:shd w:val="clear" w:color="auto" w:fill="auto"/>
            <w:noWrap/>
            <w:vAlign w:val="bottom"/>
            <w:hideMark/>
          </w:tcPr>
          <w:p w14:paraId="0FBD868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(11.27)</w:t>
            </w:r>
          </w:p>
        </w:tc>
      </w:tr>
      <w:tr w:rsidR="007A39EB" w:rsidRPr="001E387E" w14:paraId="40BB4723" w14:textId="77777777" w:rsidTr="006962D0">
        <w:trPr>
          <w:trHeight w:val="290"/>
        </w:trPr>
        <w:tc>
          <w:tcPr>
            <w:tcW w:w="0" w:type="auto"/>
            <w:shd w:val="clear" w:color="auto" w:fill="auto"/>
            <w:noWrap/>
            <w:vAlign w:val="bottom"/>
            <w:hideMark/>
          </w:tcPr>
          <w:p w14:paraId="4462911B"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LogExport</w:t>
            </w:r>
            <w:proofErr w:type="spellEnd"/>
          </w:p>
        </w:tc>
        <w:tc>
          <w:tcPr>
            <w:tcW w:w="0" w:type="auto"/>
            <w:shd w:val="clear" w:color="auto" w:fill="auto"/>
            <w:noWrap/>
            <w:vAlign w:val="bottom"/>
            <w:hideMark/>
          </w:tcPr>
          <w:p w14:paraId="146580F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0.34418***</w:t>
            </w:r>
          </w:p>
        </w:tc>
        <w:tc>
          <w:tcPr>
            <w:tcW w:w="0" w:type="auto"/>
            <w:shd w:val="clear" w:color="auto" w:fill="auto"/>
            <w:noWrap/>
            <w:vAlign w:val="bottom"/>
            <w:hideMark/>
          </w:tcPr>
          <w:p w14:paraId="15115A8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0.334***</w:t>
            </w:r>
          </w:p>
        </w:tc>
        <w:tc>
          <w:tcPr>
            <w:tcW w:w="0" w:type="auto"/>
            <w:shd w:val="clear" w:color="auto" w:fill="auto"/>
            <w:noWrap/>
            <w:vAlign w:val="bottom"/>
            <w:hideMark/>
          </w:tcPr>
          <w:p w14:paraId="55C9A10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-20.10***</w:t>
            </w:r>
          </w:p>
        </w:tc>
        <w:tc>
          <w:tcPr>
            <w:tcW w:w="0" w:type="auto"/>
            <w:shd w:val="clear" w:color="auto" w:fill="auto"/>
            <w:noWrap/>
            <w:vAlign w:val="bottom"/>
            <w:hideMark/>
          </w:tcPr>
          <w:p w14:paraId="3332D8F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-5.686</w:t>
            </w:r>
          </w:p>
        </w:tc>
      </w:tr>
      <w:tr w:rsidR="007A39EB" w:rsidRPr="001E387E" w14:paraId="410645AD" w14:textId="77777777" w:rsidTr="006962D0">
        <w:trPr>
          <w:trHeight w:val="290"/>
        </w:trPr>
        <w:tc>
          <w:tcPr>
            <w:tcW w:w="0" w:type="auto"/>
            <w:shd w:val="clear" w:color="auto" w:fill="auto"/>
            <w:noWrap/>
            <w:vAlign w:val="bottom"/>
            <w:hideMark/>
          </w:tcPr>
          <w:p w14:paraId="6BA4F2C3"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202160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(0.05)</w:t>
            </w:r>
          </w:p>
        </w:tc>
        <w:tc>
          <w:tcPr>
            <w:tcW w:w="0" w:type="auto"/>
            <w:shd w:val="clear" w:color="auto" w:fill="auto"/>
            <w:noWrap/>
            <w:vAlign w:val="bottom"/>
            <w:hideMark/>
          </w:tcPr>
          <w:p w14:paraId="1513054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(0.05)</w:t>
            </w:r>
          </w:p>
        </w:tc>
        <w:tc>
          <w:tcPr>
            <w:tcW w:w="0" w:type="auto"/>
            <w:shd w:val="clear" w:color="auto" w:fill="auto"/>
            <w:noWrap/>
            <w:vAlign w:val="bottom"/>
            <w:hideMark/>
          </w:tcPr>
          <w:p w14:paraId="15BD166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(2.22)</w:t>
            </w:r>
          </w:p>
        </w:tc>
        <w:tc>
          <w:tcPr>
            <w:tcW w:w="0" w:type="auto"/>
            <w:shd w:val="clear" w:color="auto" w:fill="auto"/>
            <w:noWrap/>
            <w:vAlign w:val="bottom"/>
            <w:hideMark/>
          </w:tcPr>
          <w:p w14:paraId="1211696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(3.72)</w:t>
            </w:r>
          </w:p>
        </w:tc>
      </w:tr>
      <w:tr w:rsidR="007A39EB" w:rsidRPr="001E387E" w14:paraId="114468D5" w14:textId="77777777" w:rsidTr="006962D0">
        <w:trPr>
          <w:trHeight w:val="290"/>
        </w:trPr>
        <w:tc>
          <w:tcPr>
            <w:tcW w:w="0" w:type="auto"/>
            <w:shd w:val="clear" w:color="auto" w:fill="auto"/>
            <w:noWrap/>
            <w:vAlign w:val="bottom"/>
            <w:hideMark/>
          </w:tcPr>
          <w:p w14:paraId="28ABD7D7"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LogPopulation</w:t>
            </w:r>
            <w:proofErr w:type="spellEnd"/>
          </w:p>
        </w:tc>
        <w:tc>
          <w:tcPr>
            <w:tcW w:w="0" w:type="auto"/>
            <w:shd w:val="clear" w:color="auto" w:fill="auto"/>
            <w:noWrap/>
            <w:vAlign w:val="bottom"/>
            <w:hideMark/>
          </w:tcPr>
          <w:p w14:paraId="63840C5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-7.02042***</w:t>
            </w:r>
          </w:p>
        </w:tc>
        <w:tc>
          <w:tcPr>
            <w:tcW w:w="0" w:type="auto"/>
            <w:shd w:val="clear" w:color="auto" w:fill="auto"/>
            <w:noWrap/>
            <w:vAlign w:val="bottom"/>
            <w:hideMark/>
          </w:tcPr>
          <w:p w14:paraId="5BDAA9D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-7.310***</w:t>
            </w:r>
          </w:p>
        </w:tc>
        <w:tc>
          <w:tcPr>
            <w:tcW w:w="0" w:type="auto"/>
            <w:shd w:val="clear" w:color="auto" w:fill="auto"/>
            <w:noWrap/>
            <w:vAlign w:val="bottom"/>
            <w:hideMark/>
          </w:tcPr>
          <w:p w14:paraId="6EB2927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318.4***</w:t>
            </w:r>
          </w:p>
        </w:tc>
        <w:tc>
          <w:tcPr>
            <w:tcW w:w="0" w:type="auto"/>
            <w:shd w:val="clear" w:color="auto" w:fill="auto"/>
            <w:noWrap/>
            <w:vAlign w:val="bottom"/>
            <w:hideMark/>
          </w:tcPr>
          <w:p w14:paraId="53A8E41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-46.64</w:t>
            </w:r>
          </w:p>
        </w:tc>
      </w:tr>
      <w:tr w:rsidR="007A39EB" w:rsidRPr="001E387E" w14:paraId="310800F2" w14:textId="77777777" w:rsidTr="006962D0">
        <w:trPr>
          <w:trHeight w:val="290"/>
        </w:trPr>
        <w:tc>
          <w:tcPr>
            <w:tcW w:w="0" w:type="auto"/>
            <w:shd w:val="clear" w:color="auto" w:fill="auto"/>
            <w:noWrap/>
            <w:vAlign w:val="bottom"/>
            <w:hideMark/>
          </w:tcPr>
          <w:p w14:paraId="0876789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3FDF29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(1.16)</w:t>
            </w:r>
          </w:p>
        </w:tc>
        <w:tc>
          <w:tcPr>
            <w:tcW w:w="0" w:type="auto"/>
            <w:shd w:val="clear" w:color="auto" w:fill="auto"/>
            <w:noWrap/>
            <w:vAlign w:val="bottom"/>
            <w:hideMark/>
          </w:tcPr>
          <w:p w14:paraId="005005E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(1.81)</w:t>
            </w:r>
          </w:p>
        </w:tc>
        <w:tc>
          <w:tcPr>
            <w:tcW w:w="0" w:type="auto"/>
            <w:shd w:val="clear" w:color="auto" w:fill="auto"/>
            <w:noWrap/>
            <w:vAlign w:val="bottom"/>
            <w:hideMark/>
          </w:tcPr>
          <w:p w14:paraId="18FF95F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(83.44)</w:t>
            </w:r>
          </w:p>
        </w:tc>
        <w:tc>
          <w:tcPr>
            <w:tcW w:w="0" w:type="auto"/>
            <w:shd w:val="clear" w:color="auto" w:fill="auto"/>
            <w:noWrap/>
            <w:vAlign w:val="bottom"/>
            <w:hideMark/>
          </w:tcPr>
          <w:p w14:paraId="2027C6F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(98.18)</w:t>
            </w:r>
          </w:p>
        </w:tc>
      </w:tr>
      <w:tr w:rsidR="007A39EB" w:rsidRPr="001E387E" w14:paraId="5E16489D" w14:textId="77777777" w:rsidTr="006962D0">
        <w:trPr>
          <w:trHeight w:val="290"/>
        </w:trPr>
        <w:tc>
          <w:tcPr>
            <w:tcW w:w="0" w:type="auto"/>
            <w:shd w:val="clear" w:color="auto" w:fill="auto"/>
            <w:noWrap/>
            <w:vAlign w:val="bottom"/>
            <w:hideMark/>
          </w:tcPr>
          <w:p w14:paraId="1B19177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Constant</w:t>
            </w:r>
          </w:p>
        </w:tc>
        <w:tc>
          <w:tcPr>
            <w:tcW w:w="0" w:type="auto"/>
            <w:shd w:val="clear" w:color="auto" w:fill="auto"/>
            <w:noWrap/>
            <w:vAlign w:val="bottom"/>
            <w:hideMark/>
          </w:tcPr>
          <w:p w14:paraId="2CA5D1A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58.76436***</w:t>
            </w:r>
          </w:p>
        </w:tc>
        <w:tc>
          <w:tcPr>
            <w:tcW w:w="0" w:type="auto"/>
            <w:shd w:val="clear" w:color="auto" w:fill="auto"/>
            <w:noWrap/>
            <w:vAlign w:val="bottom"/>
            <w:hideMark/>
          </w:tcPr>
          <w:p w14:paraId="7068A79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60.22***</w:t>
            </w:r>
          </w:p>
        </w:tc>
        <w:tc>
          <w:tcPr>
            <w:tcW w:w="0" w:type="auto"/>
            <w:shd w:val="clear" w:color="auto" w:fill="auto"/>
            <w:noWrap/>
            <w:vAlign w:val="bottom"/>
            <w:hideMark/>
          </w:tcPr>
          <w:p w14:paraId="79F2475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-2,617***</w:t>
            </w:r>
          </w:p>
        </w:tc>
        <w:tc>
          <w:tcPr>
            <w:tcW w:w="0" w:type="auto"/>
            <w:shd w:val="clear" w:color="auto" w:fill="auto"/>
            <w:noWrap/>
            <w:vAlign w:val="bottom"/>
            <w:hideMark/>
          </w:tcPr>
          <w:p w14:paraId="5EA7954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387.1</w:t>
            </w:r>
          </w:p>
        </w:tc>
      </w:tr>
      <w:tr w:rsidR="007A39EB" w:rsidRPr="001E387E" w14:paraId="4E0874C0" w14:textId="77777777" w:rsidTr="006962D0">
        <w:trPr>
          <w:trHeight w:val="290"/>
        </w:trPr>
        <w:tc>
          <w:tcPr>
            <w:tcW w:w="0" w:type="auto"/>
            <w:shd w:val="clear" w:color="auto" w:fill="auto"/>
            <w:noWrap/>
            <w:vAlign w:val="bottom"/>
            <w:hideMark/>
          </w:tcPr>
          <w:p w14:paraId="17EC92F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9CFD99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(9.58)</w:t>
            </w:r>
          </w:p>
        </w:tc>
        <w:tc>
          <w:tcPr>
            <w:tcW w:w="0" w:type="auto"/>
            <w:shd w:val="clear" w:color="auto" w:fill="auto"/>
            <w:noWrap/>
            <w:vAlign w:val="bottom"/>
            <w:hideMark/>
          </w:tcPr>
          <w:p w14:paraId="65DB3BF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(15.03)</w:t>
            </w:r>
          </w:p>
        </w:tc>
        <w:tc>
          <w:tcPr>
            <w:tcW w:w="0" w:type="auto"/>
            <w:shd w:val="clear" w:color="auto" w:fill="auto"/>
            <w:noWrap/>
            <w:vAlign w:val="bottom"/>
            <w:hideMark/>
          </w:tcPr>
          <w:p w14:paraId="2699335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(675.50)</w:t>
            </w:r>
          </w:p>
        </w:tc>
        <w:tc>
          <w:tcPr>
            <w:tcW w:w="0" w:type="auto"/>
            <w:shd w:val="clear" w:color="auto" w:fill="auto"/>
            <w:noWrap/>
            <w:vAlign w:val="bottom"/>
            <w:hideMark/>
          </w:tcPr>
          <w:p w14:paraId="5E53C06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(818.10)</w:t>
            </w:r>
          </w:p>
        </w:tc>
      </w:tr>
      <w:tr w:rsidR="007A39EB" w:rsidRPr="001E387E" w14:paraId="1EDCDD8F" w14:textId="77777777" w:rsidTr="006962D0">
        <w:trPr>
          <w:trHeight w:val="290"/>
        </w:trPr>
        <w:tc>
          <w:tcPr>
            <w:tcW w:w="0" w:type="auto"/>
            <w:shd w:val="clear" w:color="auto" w:fill="auto"/>
            <w:noWrap/>
            <w:vAlign w:val="center"/>
            <w:hideMark/>
          </w:tcPr>
          <w:p w14:paraId="3573BAF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Observations</w:t>
            </w:r>
          </w:p>
        </w:tc>
        <w:tc>
          <w:tcPr>
            <w:tcW w:w="0" w:type="auto"/>
            <w:shd w:val="clear" w:color="auto" w:fill="auto"/>
            <w:noWrap/>
            <w:vAlign w:val="center"/>
            <w:hideMark/>
          </w:tcPr>
          <w:p w14:paraId="33D8B86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1C27080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206AFE3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43A7FE8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r>
      <w:tr w:rsidR="007A39EB" w:rsidRPr="001E387E" w14:paraId="05F695B1" w14:textId="77777777" w:rsidTr="006962D0">
        <w:trPr>
          <w:trHeight w:val="290"/>
        </w:trPr>
        <w:tc>
          <w:tcPr>
            <w:tcW w:w="0" w:type="auto"/>
            <w:tcBorders>
              <w:bottom w:val="single" w:sz="4" w:space="0" w:color="auto"/>
            </w:tcBorders>
            <w:shd w:val="clear" w:color="auto" w:fill="auto"/>
            <w:noWrap/>
            <w:vAlign w:val="center"/>
            <w:hideMark/>
          </w:tcPr>
          <w:p w14:paraId="1A2C803B"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Wald Test (p-value)</w:t>
            </w:r>
          </w:p>
        </w:tc>
        <w:tc>
          <w:tcPr>
            <w:tcW w:w="0" w:type="auto"/>
            <w:tcBorders>
              <w:bottom w:val="single" w:sz="4" w:space="0" w:color="auto"/>
            </w:tcBorders>
            <w:shd w:val="clear" w:color="auto" w:fill="auto"/>
            <w:noWrap/>
            <w:vAlign w:val="center"/>
            <w:hideMark/>
          </w:tcPr>
          <w:p w14:paraId="384023A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0FA3F3A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1FC6A2B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225DDD1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r>
      <w:tr w:rsidR="007A39EB" w:rsidRPr="001E387E" w14:paraId="4243E225" w14:textId="77777777" w:rsidTr="006962D0">
        <w:trPr>
          <w:trHeight w:val="290"/>
        </w:trPr>
        <w:tc>
          <w:tcPr>
            <w:tcW w:w="0" w:type="auto"/>
            <w:gridSpan w:val="4"/>
            <w:tcBorders>
              <w:top w:val="single" w:sz="4" w:space="0" w:color="auto"/>
            </w:tcBorders>
            <w:shd w:val="clear" w:color="auto" w:fill="auto"/>
            <w:noWrap/>
            <w:vAlign w:val="center"/>
            <w:hideMark/>
          </w:tcPr>
          <w:p w14:paraId="5FD969D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Note: Clustered standard errors in parentheses. *** p&lt;0.01, ** p&lt;0.05, * p&lt;0.1.</w:t>
            </w:r>
          </w:p>
        </w:tc>
        <w:tc>
          <w:tcPr>
            <w:tcW w:w="0" w:type="auto"/>
            <w:tcBorders>
              <w:top w:val="single" w:sz="4" w:space="0" w:color="auto"/>
            </w:tcBorders>
            <w:shd w:val="clear" w:color="auto" w:fill="auto"/>
            <w:noWrap/>
            <w:vAlign w:val="bottom"/>
            <w:hideMark/>
          </w:tcPr>
          <w:p w14:paraId="32BE1BF9" w14:textId="77777777" w:rsidR="007A39EB" w:rsidRPr="001E387E" w:rsidRDefault="007A39EB" w:rsidP="006962D0">
            <w:pPr>
              <w:spacing w:line="240" w:lineRule="auto"/>
              <w:rPr>
                <w:rFonts w:ascii="Cambria" w:eastAsia="Times New Roman" w:hAnsi="Cambria" w:cs="Times New Roman"/>
                <w:sz w:val="20"/>
                <w:szCs w:val="20"/>
              </w:rPr>
            </w:pPr>
          </w:p>
        </w:tc>
      </w:tr>
    </w:tbl>
    <w:p w14:paraId="4147723E" w14:textId="77777777" w:rsidR="007A39EB" w:rsidRPr="000D55DD" w:rsidRDefault="007A39EB" w:rsidP="007A39EB">
      <w:pPr>
        <w:spacing w:beforeAutospacing="1" w:afterAutospacing="1"/>
        <w:ind w:firstLine="709"/>
        <w:rPr>
          <w:rFonts w:asciiTheme="majorBidi" w:hAnsiTheme="majorBidi" w:cstheme="majorBidi"/>
          <w:color w:val="FF0000"/>
        </w:rPr>
      </w:pPr>
      <w:r w:rsidRPr="53D46649">
        <w:rPr>
          <w:rFonts w:cs="Times New Roman"/>
        </w:rPr>
        <w:t xml:space="preserve">To check whether </w:t>
      </w:r>
      <w:r w:rsidRPr="00BC6962">
        <w:rPr>
          <w:color w:val="FF0000"/>
        </w:rPr>
        <w:t>CO</w:t>
      </w:r>
      <w:r w:rsidRPr="00BC6962">
        <w:rPr>
          <w:color w:val="FF0000"/>
          <w:vertAlign w:val="subscript"/>
        </w:rPr>
        <w:t>2</w:t>
      </w:r>
      <w:r w:rsidRPr="53D46649">
        <w:rPr>
          <w:rFonts w:cs="Times New Roman"/>
        </w:rPr>
        <w:t xml:space="preserve"> emission Granger causes energy sources, we retest equation (3) by swapping dependent and independent variables. Columns (3) and (4) in Table 4 are based on two lags of the dependent (energy sources) and independent</w:t>
      </w:r>
      <w:r w:rsidRPr="53D46649">
        <w:rPr>
          <w:rFonts w:asciiTheme="majorBidi" w:hAnsiTheme="majorBidi" w:cstheme="majorBidi"/>
        </w:rPr>
        <w:t xml:space="preserve"> variables (</w:t>
      </w:r>
      <w:r w:rsidRPr="00BC6962">
        <w:rPr>
          <w:color w:val="FF0000"/>
        </w:rPr>
        <w:t>CO</w:t>
      </w:r>
      <w:r w:rsidRPr="00BC6962">
        <w:rPr>
          <w:color w:val="FF0000"/>
          <w:vertAlign w:val="subscript"/>
        </w:rPr>
        <w:t>2</w:t>
      </w:r>
      <w:r w:rsidRPr="53D46649">
        <w:rPr>
          <w:rFonts w:asciiTheme="majorBidi" w:hAnsiTheme="majorBidi" w:cstheme="majorBidi"/>
        </w:rPr>
        <w:t xml:space="preserve"> emission). </w:t>
      </w:r>
      <w:r w:rsidRPr="53D46649">
        <w:rPr>
          <w:rFonts w:asciiTheme="majorBidi" w:hAnsiTheme="majorBidi" w:cstheme="majorBidi"/>
          <w:color w:val="FF0000"/>
        </w:rPr>
        <w:t xml:space="preserve">In column (3), </w:t>
      </w:r>
      <w:r w:rsidRPr="53D46649">
        <w:rPr>
          <w:rFonts w:eastAsia="Times New Roman" w:cs="Times New Roman"/>
          <w:color w:val="FF0000"/>
        </w:rPr>
        <w:t xml:space="preserve">renewable energy is not predicted by its own lag, as indicated by insignificant F-statistics of 21.35, and the lags of </w:t>
      </w:r>
      <w:r w:rsidRPr="00BC6962">
        <w:rPr>
          <w:color w:val="FF0000"/>
        </w:rPr>
        <w:t>CO</w:t>
      </w:r>
      <w:r w:rsidRPr="00BC6962">
        <w:rPr>
          <w:color w:val="FF0000"/>
          <w:vertAlign w:val="subscript"/>
        </w:rPr>
        <w:t>2</w:t>
      </w:r>
      <w:r w:rsidRPr="53D46649">
        <w:rPr>
          <w:rFonts w:eastAsia="Times New Roman" w:cs="Times New Roman"/>
          <w:color w:val="FF0000"/>
        </w:rPr>
        <w:t xml:space="preserve"> emission, as indicated by insignificant F-statistics of 56.36. Likewise, column (4) also shows that non-renewable energy is not predicted by its own </w:t>
      </w:r>
      <w:r w:rsidRPr="53D46649">
        <w:rPr>
          <w:rFonts w:eastAsia="Times New Roman" w:cs="Times New Roman"/>
          <w:color w:val="FF0000"/>
        </w:rPr>
        <w:lastRenderedPageBreak/>
        <w:t xml:space="preserve">lags, as indicated by insignificant F-statistics of 3.44, and the lags of </w:t>
      </w:r>
      <w:r w:rsidRPr="00BC6962">
        <w:rPr>
          <w:color w:val="FF0000"/>
        </w:rPr>
        <w:t>CO</w:t>
      </w:r>
      <w:r w:rsidRPr="00BC6962">
        <w:rPr>
          <w:color w:val="FF0000"/>
          <w:vertAlign w:val="subscript"/>
        </w:rPr>
        <w:t>2</w:t>
      </w:r>
      <w:r w:rsidRPr="53D46649">
        <w:rPr>
          <w:rFonts w:eastAsia="Times New Roman" w:cs="Times New Roman"/>
          <w:color w:val="FF0000"/>
        </w:rPr>
        <w:t xml:space="preserve"> emission, as indicated by insignificant F-statistics of 23.76.</w:t>
      </w:r>
    </w:p>
    <w:p w14:paraId="6CF69554" w14:textId="77777777" w:rsidR="007A39EB" w:rsidRPr="00CB6F9C" w:rsidRDefault="007A39EB" w:rsidP="007A39EB">
      <w:pPr>
        <w:autoSpaceDE w:val="0"/>
        <w:autoSpaceDN w:val="0"/>
        <w:adjustRightInd w:val="0"/>
        <w:spacing w:before="100" w:beforeAutospacing="1" w:after="100" w:afterAutospacing="1"/>
        <w:ind w:firstLine="709"/>
        <w:rPr>
          <w:rFonts w:asciiTheme="majorBidi" w:hAnsiTheme="majorBidi" w:cstheme="majorBidi"/>
          <w:szCs w:val="24"/>
        </w:rPr>
      </w:pPr>
      <w:r w:rsidRPr="00CB6F9C">
        <w:rPr>
          <w:rFonts w:asciiTheme="majorBidi" w:hAnsiTheme="majorBidi" w:cstheme="majorBidi"/>
          <w:szCs w:val="24"/>
        </w:rPr>
        <w:t xml:space="preserve"> </w:t>
      </w:r>
      <w:r w:rsidRPr="00062FB1">
        <w:rPr>
          <w:rFonts w:asciiTheme="majorBidi" w:hAnsiTheme="majorBidi" w:cstheme="majorBidi"/>
          <w:szCs w:val="24"/>
        </w:rPr>
        <w:t xml:space="preserve">In summary, the Granger causality tests indicate that there is a clear unidirectional causal relationship between the energy sources and </w:t>
      </w:r>
      <w:r w:rsidRPr="00BC6962">
        <w:rPr>
          <w:color w:val="FF0000"/>
        </w:rPr>
        <w:t>CO</w:t>
      </w:r>
      <w:r w:rsidRPr="00BC6962">
        <w:rPr>
          <w:color w:val="FF0000"/>
          <w:vertAlign w:val="subscript"/>
        </w:rPr>
        <w:t>2</w:t>
      </w:r>
      <w:r w:rsidRPr="00062FB1">
        <w:rPr>
          <w:rFonts w:asciiTheme="majorBidi" w:hAnsiTheme="majorBidi" w:cstheme="majorBidi"/>
          <w:szCs w:val="24"/>
        </w:rPr>
        <w:t xml:space="preserve"> emissions. Specifically, there is a negative causality of -0.00529 from renewable energy sources to </w:t>
      </w:r>
      <w:r w:rsidRPr="00BC6962">
        <w:rPr>
          <w:color w:val="FF0000"/>
        </w:rPr>
        <w:t>CO</w:t>
      </w:r>
      <w:r w:rsidRPr="00BC6962">
        <w:rPr>
          <w:color w:val="FF0000"/>
          <w:vertAlign w:val="subscript"/>
        </w:rPr>
        <w:t>2</w:t>
      </w:r>
      <w:r w:rsidRPr="00062FB1">
        <w:rPr>
          <w:rFonts w:asciiTheme="majorBidi" w:hAnsiTheme="majorBidi" w:cstheme="majorBidi"/>
          <w:szCs w:val="24"/>
        </w:rPr>
        <w:t xml:space="preserve"> emissions, and a positive causality of 0.00505 from non-renewable energy sources to </w:t>
      </w:r>
      <w:r w:rsidRPr="00BC6962">
        <w:rPr>
          <w:color w:val="FF0000"/>
        </w:rPr>
        <w:t>CO</w:t>
      </w:r>
      <w:r w:rsidRPr="00BC6962">
        <w:rPr>
          <w:color w:val="FF0000"/>
          <w:vertAlign w:val="subscript"/>
        </w:rPr>
        <w:t>2</w:t>
      </w:r>
      <w:r w:rsidRPr="00062FB1">
        <w:rPr>
          <w:rFonts w:asciiTheme="majorBidi" w:hAnsiTheme="majorBidi" w:cstheme="majorBidi"/>
          <w:szCs w:val="24"/>
        </w:rPr>
        <w:t xml:space="preserve"> emissions.</w:t>
      </w:r>
      <w:r>
        <w:rPr>
          <w:rFonts w:asciiTheme="majorBidi" w:hAnsiTheme="majorBidi" w:cstheme="majorBidi"/>
          <w:szCs w:val="24"/>
        </w:rPr>
        <w:t xml:space="preserve"> </w:t>
      </w:r>
      <w:r w:rsidRPr="00CB6F9C">
        <w:rPr>
          <w:rFonts w:asciiTheme="majorBidi" w:hAnsiTheme="majorBidi" w:cstheme="majorBidi"/>
          <w:szCs w:val="24"/>
        </w:rPr>
        <w:t xml:space="preserve">Therefore, our H2 is supported, indicating that the implementation of stricter environmental regulations by the Chinese government has </w:t>
      </w:r>
      <w:r>
        <w:rPr>
          <w:rFonts w:asciiTheme="majorBidi" w:hAnsiTheme="majorBidi" w:cstheme="majorBidi"/>
          <w:szCs w:val="24"/>
        </w:rPr>
        <w:t xml:space="preserve">seen a rise </w:t>
      </w:r>
      <w:r w:rsidRPr="00CB6F9C">
        <w:rPr>
          <w:rFonts w:asciiTheme="majorBidi" w:hAnsiTheme="majorBidi" w:cstheme="majorBidi"/>
          <w:szCs w:val="24"/>
        </w:rPr>
        <w:t xml:space="preserve">in the use of renewable energy sources and has </w:t>
      </w:r>
      <w:r>
        <w:rPr>
          <w:rFonts w:asciiTheme="majorBidi" w:hAnsiTheme="majorBidi" w:cstheme="majorBidi"/>
          <w:szCs w:val="24"/>
        </w:rPr>
        <w:t>G</w:t>
      </w:r>
      <w:r w:rsidRPr="00CB6F9C">
        <w:rPr>
          <w:rFonts w:asciiTheme="majorBidi" w:hAnsiTheme="majorBidi" w:cstheme="majorBidi"/>
          <w:szCs w:val="24"/>
        </w:rPr>
        <w:t xml:space="preserve">ranger-caused a reduction in air pollution levels. Our findings provide support for the Porter Hypothesis, which posits that transitioning towards renewable energy sources </w:t>
      </w:r>
      <w:r>
        <w:rPr>
          <w:rFonts w:asciiTheme="majorBidi" w:hAnsiTheme="majorBidi" w:cstheme="majorBidi"/>
          <w:szCs w:val="24"/>
        </w:rPr>
        <w:t>can</w:t>
      </w:r>
      <w:r w:rsidRPr="00CB6F9C">
        <w:rPr>
          <w:rFonts w:asciiTheme="majorBidi" w:hAnsiTheme="majorBidi" w:cstheme="majorBidi"/>
          <w:szCs w:val="24"/>
        </w:rPr>
        <w:t xml:space="preserve"> reduce emissions and improve </w:t>
      </w:r>
      <w:r>
        <w:rPr>
          <w:rFonts w:asciiTheme="majorBidi" w:hAnsiTheme="majorBidi" w:cstheme="majorBidi"/>
          <w:szCs w:val="24"/>
        </w:rPr>
        <w:t xml:space="preserve">the quality of our </w:t>
      </w:r>
      <w:r w:rsidRPr="00CB6F9C">
        <w:rPr>
          <w:rFonts w:asciiTheme="majorBidi" w:hAnsiTheme="majorBidi" w:cstheme="majorBidi"/>
          <w:szCs w:val="24"/>
        </w:rPr>
        <w:t xml:space="preserve">air. Specifically, our results suggest that the implementation of stricter environmental regulations by the Chinese government has led to an increase in the use of renewable energy sources and a corresponding reduction in air pollution levels, as indicated by the Granger causality tests and other studies (Li and </w:t>
      </w:r>
      <w:proofErr w:type="spellStart"/>
      <w:r w:rsidRPr="00CB6F9C">
        <w:rPr>
          <w:rFonts w:asciiTheme="majorBidi" w:hAnsiTheme="majorBidi" w:cstheme="majorBidi"/>
          <w:szCs w:val="24"/>
        </w:rPr>
        <w:t>Taeihagh</w:t>
      </w:r>
      <w:proofErr w:type="spellEnd"/>
      <w:r w:rsidRPr="00CB6F9C">
        <w:rPr>
          <w:rFonts w:asciiTheme="majorBidi" w:hAnsiTheme="majorBidi" w:cstheme="majorBidi"/>
          <w:szCs w:val="24"/>
        </w:rPr>
        <w:t>, 2020; Liu et al., 2023; Song et al., 2022; Wang et al., 2019). This underscores the potential benefits of policies that promote the adoption of cleaner energy sources, not only for the environment</w:t>
      </w:r>
      <w:r>
        <w:rPr>
          <w:rFonts w:asciiTheme="majorBidi" w:hAnsiTheme="majorBidi" w:cstheme="majorBidi"/>
          <w:szCs w:val="24"/>
        </w:rPr>
        <w:t>,</w:t>
      </w:r>
      <w:r w:rsidRPr="00CB6F9C">
        <w:rPr>
          <w:rFonts w:asciiTheme="majorBidi" w:hAnsiTheme="majorBidi" w:cstheme="majorBidi"/>
          <w:szCs w:val="24"/>
        </w:rPr>
        <w:t xml:space="preserve"> but also for human health and wellbeing.</w:t>
      </w:r>
    </w:p>
    <w:p w14:paraId="4ACBAB6E" w14:textId="77777777" w:rsidR="007A39EB" w:rsidRPr="00CB6F9C" w:rsidRDefault="007A39EB" w:rsidP="007A39EB">
      <w:pPr>
        <w:pStyle w:val="Heading2"/>
        <w:spacing w:before="100" w:beforeAutospacing="1" w:after="100" w:afterAutospacing="1"/>
      </w:pPr>
      <w:r w:rsidRPr="00CB6F9C">
        <w:t>4.3 Robustness check - Granger causality between greenhouse emission and energy sources</w:t>
      </w:r>
    </w:p>
    <w:p w14:paraId="027C74CE" w14:textId="77777777" w:rsidR="007A39EB" w:rsidRDefault="007A39EB" w:rsidP="007A39EB">
      <w:pPr>
        <w:autoSpaceDE w:val="0"/>
        <w:autoSpaceDN w:val="0"/>
        <w:adjustRightInd w:val="0"/>
        <w:spacing w:before="100" w:beforeAutospacing="1" w:after="100" w:afterAutospacing="1"/>
        <w:ind w:firstLine="709"/>
        <w:rPr>
          <w:rFonts w:cs="Times New Roman"/>
          <w:i/>
          <w:iCs/>
          <w:szCs w:val="24"/>
        </w:rPr>
      </w:pPr>
      <w:r w:rsidRPr="00CB6F9C">
        <w:rPr>
          <w:rFonts w:asciiTheme="majorBidi" w:hAnsiTheme="majorBidi" w:cstheme="majorBidi"/>
          <w:szCs w:val="24"/>
        </w:rPr>
        <w:t>As a robustness check, we perform</w:t>
      </w:r>
      <w:r>
        <w:rPr>
          <w:rFonts w:asciiTheme="majorBidi" w:hAnsiTheme="majorBidi" w:cstheme="majorBidi"/>
          <w:szCs w:val="24"/>
        </w:rPr>
        <w:t>ed</w:t>
      </w:r>
      <w:r w:rsidRPr="00CB6F9C">
        <w:rPr>
          <w:rFonts w:asciiTheme="majorBidi" w:hAnsiTheme="majorBidi" w:cstheme="majorBidi"/>
          <w:szCs w:val="24"/>
        </w:rPr>
        <w:t xml:space="preserve"> another set of Granger causality checks on Equation (3) using an alternative dependent variable, Greenhouse gas emission. Table 6 </w:t>
      </w:r>
      <w:r>
        <w:rPr>
          <w:rFonts w:asciiTheme="majorBidi" w:hAnsiTheme="majorBidi" w:cstheme="majorBidi"/>
          <w:szCs w:val="24"/>
        </w:rPr>
        <w:t xml:space="preserve">sets out </w:t>
      </w:r>
      <w:r w:rsidRPr="00CB6F9C">
        <w:rPr>
          <w:rFonts w:asciiTheme="majorBidi" w:hAnsiTheme="majorBidi" w:cstheme="majorBidi"/>
          <w:szCs w:val="24"/>
        </w:rPr>
        <w:t xml:space="preserve">the results of </w:t>
      </w:r>
      <w:r>
        <w:rPr>
          <w:rFonts w:asciiTheme="majorBidi" w:hAnsiTheme="majorBidi" w:cstheme="majorBidi"/>
          <w:szCs w:val="24"/>
        </w:rPr>
        <w:t xml:space="preserve">the </w:t>
      </w:r>
      <w:r w:rsidRPr="00CB6F9C">
        <w:rPr>
          <w:rFonts w:asciiTheme="majorBidi" w:hAnsiTheme="majorBidi" w:cstheme="majorBidi"/>
          <w:szCs w:val="24"/>
        </w:rPr>
        <w:t xml:space="preserve">Granger causality tests between greenhouse gas emission and two energy sources. </w:t>
      </w:r>
      <w:proofErr w:type="gramStart"/>
      <w:r>
        <w:rPr>
          <w:rFonts w:asciiTheme="majorBidi" w:hAnsiTheme="majorBidi" w:cstheme="majorBidi"/>
          <w:szCs w:val="24"/>
        </w:rPr>
        <w:t>Similar to</w:t>
      </w:r>
      <w:proofErr w:type="gramEnd"/>
      <w:r>
        <w:rPr>
          <w:rFonts w:asciiTheme="majorBidi" w:hAnsiTheme="majorBidi" w:cstheme="majorBidi"/>
          <w:szCs w:val="24"/>
        </w:rPr>
        <w:t xml:space="preserve"> </w:t>
      </w:r>
      <w:r w:rsidRPr="00CB6F9C">
        <w:rPr>
          <w:rFonts w:asciiTheme="majorBidi" w:hAnsiTheme="majorBidi" w:cstheme="majorBidi"/>
          <w:szCs w:val="24"/>
        </w:rPr>
        <w:t xml:space="preserve">Table 4, we perform four model specifications on Table 5 based on Equation 3). </w:t>
      </w:r>
      <w:r>
        <w:rPr>
          <w:rFonts w:cs="Times New Roman"/>
          <w:szCs w:val="24"/>
        </w:rPr>
        <w:br w:type="page"/>
      </w:r>
    </w:p>
    <w:p w14:paraId="7B99AE24" w14:textId="77777777" w:rsidR="007A39EB" w:rsidRPr="00CB6F9C" w:rsidRDefault="007A39EB" w:rsidP="007A39EB">
      <w:pPr>
        <w:pStyle w:val="Caption"/>
        <w:keepNext/>
        <w:rPr>
          <w:rFonts w:cs="Times New Roman"/>
          <w:color w:val="auto"/>
          <w:sz w:val="24"/>
          <w:szCs w:val="24"/>
        </w:rPr>
      </w:pPr>
      <w:r w:rsidRPr="00CB6F9C">
        <w:rPr>
          <w:rFonts w:cs="Times New Roman"/>
          <w:color w:val="auto"/>
          <w:sz w:val="24"/>
          <w:szCs w:val="24"/>
        </w:rPr>
        <w:lastRenderedPageBreak/>
        <w:t xml:space="preserve">Table </w:t>
      </w:r>
      <w:r w:rsidRPr="00CB6F9C">
        <w:rPr>
          <w:rFonts w:cs="Times New Roman"/>
          <w:color w:val="auto"/>
          <w:sz w:val="24"/>
          <w:szCs w:val="24"/>
        </w:rPr>
        <w:fldChar w:fldCharType="begin"/>
      </w:r>
      <w:r w:rsidRPr="00CB6F9C">
        <w:rPr>
          <w:rFonts w:cs="Times New Roman"/>
          <w:color w:val="auto"/>
          <w:sz w:val="24"/>
          <w:szCs w:val="24"/>
        </w:rPr>
        <w:instrText xml:space="preserve"> SEQ Table \* ARABIC </w:instrText>
      </w:r>
      <w:r w:rsidRPr="00CB6F9C">
        <w:rPr>
          <w:rFonts w:cs="Times New Roman"/>
          <w:color w:val="auto"/>
          <w:sz w:val="24"/>
          <w:szCs w:val="24"/>
        </w:rPr>
        <w:fldChar w:fldCharType="separate"/>
      </w:r>
      <w:r w:rsidRPr="00CB6F9C">
        <w:rPr>
          <w:rFonts w:cs="Times New Roman"/>
          <w:noProof/>
          <w:color w:val="auto"/>
          <w:sz w:val="24"/>
          <w:szCs w:val="24"/>
        </w:rPr>
        <w:t>5</w:t>
      </w:r>
      <w:r w:rsidRPr="00CB6F9C">
        <w:rPr>
          <w:rFonts w:cs="Times New Roman"/>
          <w:color w:val="auto"/>
          <w:sz w:val="24"/>
          <w:szCs w:val="24"/>
        </w:rPr>
        <w:fldChar w:fldCharType="end"/>
      </w:r>
      <w:r>
        <w:rPr>
          <w:rFonts w:cs="Times New Roman"/>
          <w:color w:val="auto"/>
          <w:sz w:val="24"/>
          <w:szCs w:val="24"/>
        </w:rPr>
        <w:t>.</w:t>
      </w:r>
      <w:r w:rsidRPr="00CB6F9C">
        <w:rPr>
          <w:rFonts w:cs="Times New Roman"/>
          <w:color w:val="auto"/>
          <w:sz w:val="24"/>
          <w:szCs w:val="24"/>
        </w:rPr>
        <w:t xml:space="preserve"> </w:t>
      </w:r>
      <w:r w:rsidRPr="00CB6F9C">
        <w:rPr>
          <w:rFonts w:eastAsia="Times New Roman" w:cs="Times New Roman"/>
          <w:color w:val="auto"/>
          <w:sz w:val="24"/>
          <w:szCs w:val="24"/>
        </w:rPr>
        <w:t>Granger causality tests between Greenhouse gas emission and Energy sources (Renewable and non-renewable energies)</w:t>
      </w:r>
    </w:p>
    <w:tbl>
      <w:tblPr>
        <w:tblW w:w="9360" w:type="dxa"/>
        <w:tblInd w:w="-5" w:type="dxa"/>
        <w:tblLook w:val="04A0" w:firstRow="1" w:lastRow="0" w:firstColumn="1" w:lastColumn="0" w:noHBand="0" w:noVBand="1"/>
      </w:tblPr>
      <w:tblGrid>
        <w:gridCol w:w="2583"/>
        <w:gridCol w:w="1821"/>
        <w:gridCol w:w="1821"/>
        <w:gridCol w:w="1363"/>
        <w:gridCol w:w="1772"/>
      </w:tblGrid>
      <w:tr w:rsidR="007A39EB" w:rsidRPr="001E387E" w14:paraId="2D0F3F58" w14:textId="77777777" w:rsidTr="006962D0">
        <w:trPr>
          <w:trHeight w:val="290"/>
        </w:trPr>
        <w:tc>
          <w:tcPr>
            <w:tcW w:w="0" w:type="auto"/>
            <w:tcBorders>
              <w:top w:val="single" w:sz="4" w:space="0" w:color="auto"/>
              <w:bottom w:val="single" w:sz="4" w:space="0" w:color="auto"/>
            </w:tcBorders>
            <w:shd w:val="clear" w:color="auto" w:fill="auto"/>
            <w:noWrap/>
            <w:vAlign w:val="center"/>
            <w:hideMark/>
          </w:tcPr>
          <w:p w14:paraId="51BA9AD5" w14:textId="77777777" w:rsidR="007A39EB" w:rsidRPr="001E387E" w:rsidRDefault="007A39EB" w:rsidP="006962D0">
            <w:pPr>
              <w:spacing w:line="240" w:lineRule="auto"/>
              <w:rPr>
                <w:rFonts w:ascii="Cambria" w:eastAsia="Times New Roman" w:hAnsi="Cambria" w:cs="Times New Roman"/>
                <w:b/>
                <w:bCs/>
                <w:sz w:val="20"/>
                <w:szCs w:val="20"/>
              </w:rPr>
            </w:pPr>
            <w:r w:rsidRPr="001E387E">
              <w:rPr>
                <w:rFonts w:ascii="Cambria" w:eastAsia="Times New Roman" w:hAnsi="Cambria" w:cs="Times New Roman"/>
                <w:b/>
                <w:bCs/>
                <w:sz w:val="20"/>
                <w:szCs w:val="20"/>
              </w:rPr>
              <w:t>Dependent variable</w:t>
            </w:r>
          </w:p>
        </w:tc>
        <w:tc>
          <w:tcPr>
            <w:tcW w:w="0" w:type="auto"/>
            <w:tcBorders>
              <w:top w:val="single" w:sz="4" w:space="0" w:color="auto"/>
              <w:bottom w:val="single" w:sz="4" w:space="0" w:color="auto"/>
            </w:tcBorders>
            <w:shd w:val="clear" w:color="auto" w:fill="auto"/>
            <w:noWrap/>
            <w:vAlign w:val="center"/>
            <w:hideMark/>
          </w:tcPr>
          <w:p w14:paraId="7ED2C29B" w14:textId="77777777" w:rsidR="007A39EB"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LogGreenhouse</w:t>
            </w:r>
            <w:proofErr w:type="spellEnd"/>
          </w:p>
          <w:p w14:paraId="76809D5B" w14:textId="77777777" w:rsidR="007A39EB" w:rsidRPr="001E387E" w:rsidRDefault="007A39EB" w:rsidP="006962D0">
            <w:pPr>
              <w:spacing w:line="240" w:lineRule="auto"/>
              <w:jc w:val="center"/>
              <w:rPr>
                <w:rFonts w:ascii="Cambria" w:eastAsia="Times New Roman" w:hAnsi="Cambria" w:cs="Times New Roman"/>
                <w:b/>
                <w:bCs/>
                <w:sz w:val="20"/>
                <w:szCs w:val="20"/>
              </w:rPr>
            </w:pPr>
            <w:r>
              <w:rPr>
                <w:rFonts w:ascii="Cambria" w:eastAsia="Times New Roman" w:hAnsi="Cambria" w:cs="Times New Roman"/>
                <w:b/>
                <w:bCs/>
                <w:sz w:val="20"/>
                <w:szCs w:val="20"/>
              </w:rPr>
              <w:t>(1)</w:t>
            </w:r>
          </w:p>
        </w:tc>
        <w:tc>
          <w:tcPr>
            <w:tcW w:w="0" w:type="auto"/>
            <w:tcBorders>
              <w:top w:val="single" w:sz="4" w:space="0" w:color="auto"/>
              <w:bottom w:val="single" w:sz="4" w:space="0" w:color="auto"/>
            </w:tcBorders>
            <w:shd w:val="clear" w:color="auto" w:fill="auto"/>
            <w:noWrap/>
            <w:vAlign w:val="center"/>
            <w:hideMark/>
          </w:tcPr>
          <w:p w14:paraId="3F219F60" w14:textId="77777777" w:rsidR="007A39EB"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LogGreenhouse</w:t>
            </w:r>
            <w:proofErr w:type="spellEnd"/>
          </w:p>
          <w:p w14:paraId="07EBEE56" w14:textId="77777777" w:rsidR="007A39EB" w:rsidRPr="001E387E" w:rsidRDefault="007A39EB" w:rsidP="006962D0">
            <w:pPr>
              <w:spacing w:line="240" w:lineRule="auto"/>
              <w:jc w:val="center"/>
              <w:rPr>
                <w:rFonts w:ascii="Cambria" w:eastAsia="Times New Roman" w:hAnsi="Cambria" w:cs="Times New Roman"/>
                <w:b/>
                <w:bCs/>
                <w:sz w:val="20"/>
                <w:szCs w:val="20"/>
              </w:rPr>
            </w:pPr>
            <w:r>
              <w:rPr>
                <w:rFonts w:ascii="Cambria" w:eastAsia="Times New Roman" w:hAnsi="Cambria" w:cs="Times New Roman"/>
                <w:b/>
                <w:bCs/>
                <w:sz w:val="20"/>
                <w:szCs w:val="20"/>
              </w:rPr>
              <w:t>(2)</w:t>
            </w:r>
          </w:p>
        </w:tc>
        <w:tc>
          <w:tcPr>
            <w:tcW w:w="0" w:type="auto"/>
            <w:tcBorders>
              <w:top w:val="single" w:sz="4" w:space="0" w:color="auto"/>
              <w:bottom w:val="single" w:sz="4" w:space="0" w:color="auto"/>
            </w:tcBorders>
            <w:shd w:val="clear" w:color="auto" w:fill="auto"/>
            <w:noWrap/>
            <w:vAlign w:val="center"/>
            <w:hideMark/>
          </w:tcPr>
          <w:p w14:paraId="0122FF29" w14:textId="77777777" w:rsidR="007A39EB"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Renewable</w:t>
            </w:r>
          </w:p>
          <w:p w14:paraId="36A377ED" w14:textId="77777777" w:rsidR="007A39EB" w:rsidRPr="001E387E" w:rsidRDefault="007A39EB" w:rsidP="006962D0">
            <w:pPr>
              <w:spacing w:line="240" w:lineRule="auto"/>
              <w:jc w:val="center"/>
              <w:rPr>
                <w:rFonts w:ascii="Cambria" w:eastAsia="Times New Roman" w:hAnsi="Cambria" w:cs="Times New Roman"/>
                <w:b/>
                <w:bCs/>
                <w:sz w:val="20"/>
                <w:szCs w:val="20"/>
              </w:rPr>
            </w:pPr>
            <w:r>
              <w:rPr>
                <w:rFonts w:ascii="Cambria" w:eastAsia="Times New Roman" w:hAnsi="Cambria" w:cs="Times New Roman"/>
                <w:b/>
                <w:bCs/>
                <w:sz w:val="20"/>
                <w:szCs w:val="20"/>
              </w:rPr>
              <w:t>(3)</w:t>
            </w:r>
          </w:p>
        </w:tc>
        <w:tc>
          <w:tcPr>
            <w:tcW w:w="0" w:type="auto"/>
            <w:tcBorders>
              <w:top w:val="single" w:sz="4" w:space="0" w:color="auto"/>
              <w:bottom w:val="single" w:sz="4" w:space="0" w:color="auto"/>
            </w:tcBorders>
            <w:shd w:val="clear" w:color="auto" w:fill="auto"/>
            <w:noWrap/>
            <w:vAlign w:val="center"/>
            <w:hideMark/>
          </w:tcPr>
          <w:p w14:paraId="383C8322" w14:textId="77777777" w:rsidR="007A39EB" w:rsidRDefault="007A39EB" w:rsidP="006962D0">
            <w:pPr>
              <w:spacing w:line="240" w:lineRule="auto"/>
              <w:jc w:val="center"/>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NonRenewable</w:t>
            </w:r>
            <w:proofErr w:type="spellEnd"/>
          </w:p>
          <w:p w14:paraId="047F91F6" w14:textId="77777777" w:rsidR="007A39EB" w:rsidRPr="001E387E" w:rsidRDefault="007A39EB" w:rsidP="006962D0">
            <w:pPr>
              <w:spacing w:line="240" w:lineRule="auto"/>
              <w:jc w:val="center"/>
              <w:rPr>
                <w:rFonts w:ascii="Cambria" w:eastAsia="Times New Roman" w:hAnsi="Cambria" w:cs="Times New Roman"/>
                <w:b/>
                <w:bCs/>
                <w:sz w:val="20"/>
                <w:szCs w:val="20"/>
              </w:rPr>
            </w:pPr>
            <w:r>
              <w:rPr>
                <w:rFonts w:ascii="Cambria" w:eastAsia="Times New Roman" w:hAnsi="Cambria" w:cs="Times New Roman"/>
                <w:b/>
                <w:bCs/>
                <w:sz w:val="20"/>
                <w:szCs w:val="20"/>
              </w:rPr>
              <w:t>(4)</w:t>
            </w:r>
          </w:p>
        </w:tc>
      </w:tr>
      <w:tr w:rsidR="007A39EB" w:rsidRPr="001E387E" w14:paraId="53697560" w14:textId="77777777" w:rsidTr="006962D0">
        <w:trPr>
          <w:trHeight w:val="290"/>
        </w:trPr>
        <w:tc>
          <w:tcPr>
            <w:tcW w:w="0" w:type="auto"/>
            <w:tcBorders>
              <w:top w:val="single" w:sz="4" w:space="0" w:color="auto"/>
            </w:tcBorders>
            <w:shd w:val="clear" w:color="auto" w:fill="auto"/>
            <w:noWrap/>
            <w:vAlign w:val="center"/>
            <w:hideMark/>
          </w:tcPr>
          <w:p w14:paraId="3CFDD68E"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LogGreenhouse</w:t>
            </w:r>
            <w:proofErr w:type="spellEnd"/>
            <w:r w:rsidRPr="001E387E">
              <w:rPr>
                <w:rFonts w:ascii="Cambria" w:eastAsia="Times New Roman" w:hAnsi="Cambria" w:cs="Times New Roman"/>
                <w:sz w:val="20"/>
                <w:szCs w:val="20"/>
              </w:rPr>
              <w:t xml:space="preserve"> (t-1)</w:t>
            </w:r>
          </w:p>
        </w:tc>
        <w:tc>
          <w:tcPr>
            <w:tcW w:w="0" w:type="auto"/>
            <w:tcBorders>
              <w:top w:val="single" w:sz="4" w:space="0" w:color="auto"/>
            </w:tcBorders>
            <w:shd w:val="clear" w:color="auto" w:fill="auto"/>
            <w:noWrap/>
            <w:vAlign w:val="bottom"/>
            <w:hideMark/>
          </w:tcPr>
          <w:p w14:paraId="711CD94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1.24308***</w:t>
            </w:r>
          </w:p>
        </w:tc>
        <w:tc>
          <w:tcPr>
            <w:tcW w:w="0" w:type="auto"/>
            <w:tcBorders>
              <w:top w:val="single" w:sz="4" w:space="0" w:color="auto"/>
            </w:tcBorders>
            <w:shd w:val="clear" w:color="auto" w:fill="auto"/>
            <w:noWrap/>
            <w:vAlign w:val="bottom"/>
            <w:hideMark/>
          </w:tcPr>
          <w:p w14:paraId="7AC874D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1.297***</w:t>
            </w:r>
          </w:p>
        </w:tc>
        <w:tc>
          <w:tcPr>
            <w:tcW w:w="0" w:type="auto"/>
            <w:tcBorders>
              <w:top w:val="single" w:sz="4" w:space="0" w:color="auto"/>
            </w:tcBorders>
            <w:shd w:val="clear" w:color="auto" w:fill="auto"/>
            <w:noWrap/>
            <w:vAlign w:val="bottom"/>
            <w:hideMark/>
          </w:tcPr>
          <w:p w14:paraId="7738876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-20.02</w:t>
            </w:r>
          </w:p>
        </w:tc>
        <w:tc>
          <w:tcPr>
            <w:tcW w:w="0" w:type="auto"/>
            <w:tcBorders>
              <w:top w:val="single" w:sz="4" w:space="0" w:color="auto"/>
            </w:tcBorders>
            <w:shd w:val="clear" w:color="auto" w:fill="auto"/>
            <w:noWrap/>
            <w:vAlign w:val="bottom"/>
            <w:hideMark/>
          </w:tcPr>
          <w:p w14:paraId="4EB0102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10.22</w:t>
            </w:r>
          </w:p>
        </w:tc>
      </w:tr>
      <w:tr w:rsidR="007A39EB" w:rsidRPr="001E387E" w14:paraId="74F9501D" w14:textId="77777777" w:rsidTr="006962D0">
        <w:trPr>
          <w:trHeight w:val="290"/>
        </w:trPr>
        <w:tc>
          <w:tcPr>
            <w:tcW w:w="0" w:type="auto"/>
            <w:shd w:val="clear" w:color="auto" w:fill="auto"/>
            <w:noWrap/>
            <w:vAlign w:val="bottom"/>
            <w:hideMark/>
          </w:tcPr>
          <w:p w14:paraId="0FC8B45A"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21BB975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(0.33)</w:t>
            </w:r>
          </w:p>
        </w:tc>
        <w:tc>
          <w:tcPr>
            <w:tcW w:w="0" w:type="auto"/>
            <w:shd w:val="clear" w:color="auto" w:fill="auto"/>
            <w:noWrap/>
            <w:vAlign w:val="bottom"/>
            <w:hideMark/>
          </w:tcPr>
          <w:p w14:paraId="34A8E83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(0.25)</w:t>
            </w:r>
          </w:p>
        </w:tc>
        <w:tc>
          <w:tcPr>
            <w:tcW w:w="0" w:type="auto"/>
            <w:shd w:val="clear" w:color="auto" w:fill="auto"/>
            <w:noWrap/>
            <w:vAlign w:val="bottom"/>
            <w:hideMark/>
          </w:tcPr>
          <w:p w14:paraId="4EE1BED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(17.53)</w:t>
            </w:r>
          </w:p>
        </w:tc>
        <w:tc>
          <w:tcPr>
            <w:tcW w:w="0" w:type="auto"/>
            <w:shd w:val="clear" w:color="auto" w:fill="auto"/>
            <w:noWrap/>
            <w:vAlign w:val="bottom"/>
            <w:hideMark/>
          </w:tcPr>
          <w:p w14:paraId="4562A8F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(10.89)</w:t>
            </w:r>
          </w:p>
        </w:tc>
      </w:tr>
      <w:tr w:rsidR="007A39EB" w:rsidRPr="001E387E" w14:paraId="1CC84F04" w14:textId="77777777" w:rsidTr="006962D0">
        <w:trPr>
          <w:trHeight w:val="290"/>
        </w:trPr>
        <w:tc>
          <w:tcPr>
            <w:tcW w:w="0" w:type="auto"/>
            <w:shd w:val="clear" w:color="auto" w:fill="auto"/>
            <w:noWrap/>
            <w:vAlign w:val="center"/>
            <w:hideMark/>
          </w:tcPr>
          <w:p w14:paraId="1B836BD0"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LogGreenhouse</w:t>
            </w:r>
            <w:proofErr w:type="spellEnd"/>
            <w:r w:rsidRPr="001E387E">
              <w:rPr>
                <w:rFonts w:ascii="Cambria" w:eastAsia="Times New Roman" w:hAnsi="Cambria" w:cs="Times New Roman"/>
                <w:sz w:val="20"/>
                <w:szCs w:val="20"/>
              </w:rPr>
              <w:t xml:space="preserve"> (t-2)</w:t>
            </w:r>
          </w:p>
        </w:tc>
        <w:tc>
          <w:tcPr>
            <w:tcW w:w="0" w:type="auto"/>
            <w:shd w:val="clear" w:color="auto" w:fill="auto"/>
            <w:noWrap/>
            <w:vAlign w:val="bottom"/>
            <w:hideMark/>
          </w:tcPr>
          <w:p w14:paraId="1BCBC70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-0.71994*</w:t>
            </w:r>
          </w:p>
        </w:tc>
        <w:tc>
          <w:tcPr>
            <w:tcW w:w="0" w:type="auto"/>
            <w:shd w:val="clear" w:color="auto" w:fill="auto"/>
            <w:noWrap/>
            <w:vAlign w:val="bottom"/>
            <w:hideMark/>
          </w:tcPr>
          <w:p w14:paraId="739F47C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-0.588***</w:t>
            </w:r>
          </w:p>
        </w:tc>
        <w:tc>
          <w:tcPr>
            <w:tcW w:w="0" w:type="auto"/>
            <w:shd w:val="clear" w:color="auto" w:fill="auto"/>
            <w:noWrap/>
            <w:vAlign w:val="bottom"/>
            <w:hideMark/>
          </w:tcPr>
          <w:p w14:paraId="4091C79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30.24</w:t>
            </w:r>
          </w:p>
        </w:tc>
        <w:tc>
          <w:tcPr>
            <w:tcW w:w="0" w:type="auto"/>
            <w:shd w:val="clear" w:color="auto" w:fill="auto"/>
            <w:noWrap/>
            <w:vAlign w:val="bottom"/>
            <w:hideMark/>
          </w:tcPr>
          <w:p w14:paraId="33A35A3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-8.169</w:t>
            </w:r>
          </w:p>
        </w:tc>
      </w:tr>
      <w:tr w:rsidR="007A39EB" w:rsidRPr="001E387E" w14:paraId="4FA92099" w14:textId="77777777" w:rsidTr="006962D0">
        <w:trPr>
          <w:trHeight w:val="290"/>
        </w:trPr>
        <w:tc>
          <w:tcPr>
            <w:tcW w:w="0" w:type="auto"/>
            <w:shd w:val="clear" w:color="auto" w:fill="auto"/>
            <w:noWrap/>
            <w:vAlign w:val="bottom"/>
            <w:hideMark/>
          </w:tcPr>
          <w:p w14:paraId="4B8C02E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555919F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(0.42)</w:t>
            </w:r>
          </w:p>
        </w:tc>
        <w:tc>
          <w:tcPr>
            <w:tcW w:w="0" w:type="auto"/>
            <w:shd w:val="clear" w:color="auto" w:fill="auto"/>
            <w:noWrap/>
            <w:vAlign w:val="bottom"/>
            <w:hideMark/>
          </w:tcPr>
          <w:p w14:paraId="5645C05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(0.22)</w:t>
            </w:r>
          </w:p>
        </w:tc>
        <w:tc>
          <w:tcPr>
            <w:tcW w:w="0" w:type="auto"/>
            <w:shd w:val="clear" w:color="auto" w:fill="auto"/>
            <w:noWrap/>
            <w:vAlign w:val="bottom"/>
            <w:hideMark/>
          </w:tcPr>
          <w:p w14:paraId="4CF1B35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(20.59)</w:t>
            </w:r>
          </w:p>
        </w:tc>
        <w:tc>
          <w:tcPr>
            <w:tcW w:w="0" w:type="auto"/>
            <w:shd w:val="clear" w:color="auto" w:fill="auto"/>
            <w:noWrap/>
            <w:vAlign w:val="bottom"/>
            <w:hideMark/>
          </w:tcPr>
          <w:p w14:paraId="6F7AA8C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(10.98)</w:t>
            </w:r>
          </w:p>
        </w:tc>
      </w:tr>
      <w:tr w:rsidR="007A39EB" w:rsidRPr="001E387E" w14:paraId="699DD540" w14:textId="77777777" w:rsidTr="006962D0">
        <w:trPr>
          <w:trHeight w:val="290"/>
        </w:trPr>
        <w:tc>
          <w:tcPr>
            <w:tcW w:w="0" w:type="auto"/>
            <w:shd w:val="clear" w:color="auto" w:fill="auto"/>
            <w:noWrap/>
            <w:vAlign w:val="center"/>
            <w:hideMark/>
          </w:tcPr>
          <w:p w14:paraId="26546CD1" w14:textId="77777777" w:rsidR="007A39EB" w:rsidRPr="001E387E" w:rsidRDefault="007A39EB" w:rsidP="006962D0">
            <w:pPr>
              <w:spacing w:line="240" w:lineRule="auto"/>
              <w:jc w:val="left"/>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LogGreenhouse</w:t>
            </w:r>
            <w:proofErr w:type="spellEnd"/>
            <w:r w:rsidRPr="001E387E">
              <w:rPr>
                <w:rFonts w:ascii="Cambria" w:eastAsia="Times New Roman" w:hAnsi="Cambria" w:cs="Times New Roman"/>
                <w:b/>
                <w:bCs/>
                <w:sz w:val="20"/>
                <w:szCs w:val="20"/>
              </w:rPr>
              <w:t xml:space="preserve"> (Total)</w:t>
            </w:r>
          </w:p>
        </w:tc>
        <w:tc>
          <w:tcPr>
            <w:tcW w:w="0" w:type="auto"/>
            <w:shd w:val="clear" w:color="auto" w:fill="auto"/>
            <w:noWrap/>
            <w:vAlign w:val="bottom"/>
            <w:hideMark/>
          </w:tcPr>
          <w:p w14:paraId="0FDF629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0.52314</w:t>
            </w:r>
          </w:p>
        </w:tc>
        <w:tc>
          <w:tcPr>
            <w:tcW w:w="0" w:type="auto"/>
            <w:shd w:val="clear" w:color="auto" w:fill="auto"/>
            <w:noWrap/>
            <w:vAlign w:val="center"/>
            <w:hideMark/>
          </w:tcPr>
          <w:p w14:paraId="07D644C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0.709</w:t>
            </w:r>
          </w:p>
        </w:tc>
        <w:tc>
          <w:tcPr>
            <w:tcW w:w="0" w:type="auto"/>
            <w:shd w:val="clear" w:color="auto" w:fill="auto"/>
            <w:noWrap/>
            <w:vAlign w:val="center"/>
            <w:hideMark/>
          </w:tcPr>
          <w:p w14:paraId="421A2F4F"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10.22</w:t>
            </w:r>
          </w:p>
        </w:tc>
        <w:tc>
          <w:tcPr>
            <w:tcW w:w="0" w:type="auto"/>
            <w:shd w:val="clear" w:color="auto" w:fill="auto"/>
            <w:noWrap/>
            <w:vAlign w:val="center"/>
            <w:hideMark/>
          </w:tcPr>
          <w:p w14:paraId="0195C471"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2.051</w:t>
            </w:r>
          </w:p>
        </w:tc>
      </w:tr>
      <w:tr w:rsidR="007A39EB" w:rsidRPr="001E387E" w14:paraId="0C6DA043" w14:textId="77777777" w:rsidTr="006962D0">
        <w:trPr>
          <w:trHeight w:val="290"/>
        </w:trPr>
        <w:tc>
          <w:tcPr>
            <w:tcW w:w="0" w:type="auto"/>
            <w:shd w:val="clear" w:color="auto" w:fill="auto"/>
            <w:noWrap/>
            <w:vAlign w:val="center"/>
            <w:hideMark/>
          </w:tcPr>
          <w:p w14:paraId="670AECEA"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bottom"/>
            <w:hideMark/>
          </w:tcPr>
          <w:p w14:paraId="292FAB3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1.44**</w:t>
            </w:r>
          </w:p>
        </w:tc>
        <w:tc>
          <w:tcPr>
            <w:tcW w:w="0" w:type="auto"/>
            <w:shd w:val="clear" w:color="auto" w:fill="auto"/>
            <w:noWrap/>
            <w:vAlign w:val="center"/>
            <w:hideMark/>
          </w:tcPr>
          <w:p w14:paraId="24C75D01"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24.55*</w:t>
            </w:r>
          </w:p>
        </w:tc>
        <w:tc>
          <w:tcPr>
            <w:tcW w:w="0" w:type="auto"/>
            <w:shd w:val="clear" w:color="auto" w:fill="auto"/>
            <w:noWrap/>
            <w:vAlign w:val="center"/>
            <w:hideMark/>
          </w:tcPr>
          <w:p w14:paraId="0F47BFEA"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25.77</w:t>
            </w:r>
          </w:p>
        </w:tc>
        <w:tc>
          <w:tcPr>
            <w:tcW w:w="0" w:type="auto"/>
            <w:shd w:val="clear" w:color="auto" w:fill="auto"/>
            <w:noWrap/>
            <w:vAlign w:val="center"/>
            <w:hideMark/>
          </w:tcPr>
          <w:p w14:paraId="4E9A319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13.22</w:t>
            </w:r>
          </w:p>
        </w:tc>
      </w:tr>
      <w:tr w:rsidR="007A39EB" w:rsidRPr="001E387E" w14:paraId="0E08DF33" w14:textId="77777777" w:rsidTr="006962D0">
        <w:trPr>
          <w:trHeight w:val="290"/>
        </w:trPr>
        <w:tc>
          <w:tcPr>
            <w:tcW w:w="0" w:type="auto"/>
            <w:shd w:val="clear" w:color="auto" w:fill="auto"/>
            <w:noWrap/>
            <w:vAlign w:val="center"/>
            <w:hideMark/>
          </w:tcPr>
          <w:p w14:paraId="64A9F07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Renewable (t-1)</w:t>
            </w:r>
          </w:p>
        </w:tc>
        <w:tc>
          <w:tcPr>
            <w:tcW w:w="0" w:type="auto"/>
            <w:shd w:val="clear" w:color="auto" w:fill="auto"/>
            <w:noWrap/>
            <w:vAlign w:val="bottom"/>
            <w:hideMark/>
          </w:tcPr>
          <w:p w14:paraId="667B2C6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0.00174***</w:t>
            </w:r>
          </w:p>
        </w:tc>
        <w:tc>
          <w:tcPr>
            <w:tcW w:w="0" w:type="auto"/>
            <w:shd w:val="clear" w:color="auto" w:fill="auto"/>
            <w:noWrap/>
            <w:vAlign w:val="center"/>
            <w:hideMark/>
          </w:tcPr>
          <w:p w14:paraId="1E6301C0"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0" w:type="auto"/>
            <w:shd w:val="clear" w:color="auto" w:fill="auto"/>
            <w:noWrap/>
            <w:vAlign w:val="bottom"/>
            <w:hideMark/>
          </w:tcPr>
          <w:p w14:paraId="5746DB2B"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0.222</w:t>
            </w:r>
          </w:p>
        </w:tc>
        <w:tc>
          <w:tcPr>
            <w:tcW w:w="0" w:type="auto"/>
            <w:shd w:val="clear" w:color="auto" w:fill="auto"/>
            <w:noWrap/>
            <w:vAlign w:val="center"/>
            <w:hideMark/>
          </w:tcPr>
          <w:p w14:paraId="5452F83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5E75ADB5" w14:textId="77777777" w:rsidTr="006962D0">
        <w:trPr>
          <w:trHeight w:val="290"/>
        </w:trPr>
        <w:tc>
          <w:tcPr>
            <w:tcW w:w="0" w:type="auto"/>
            <w:shd w:val="clear" w:color="auto" w:fill="auto"/>
            <w:noWrap/>
            <w:vAlign w:val="bottom"/>
            <w:hideMark/>
          </w:tcPr>
          <w:p w14:paraId="0567681F"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B12106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center"/>
            <w:hideMark/>
          </w:tcPr>
          <w:p w14:paraId="2F0C2087"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0" w:type="auto"/>
            <w:shd w:val="clear" w:color="auto" w:fill="auto"/>
            <w:noWrap/>
            <w:vAlign w:val="bottom"/>
            <w:hideMark/>
          </w:tcPr>
          <w:p w14:paraId="7F489E1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(0.20)</w:t>
            </w:r>
          </w:p>
        </w:tc>
        <w:tc>
          <w:tcPr>
            <w:tcW w:w="0" w:type="auto"/>
            <w:shd w:val="clear" w:color="auto" w:fill="auto"/>
            <w:noWrap/>
            <w:vAlign w:val="center"/>
            <w:hideMark/>
          </w:tcPr>
          <w:p w14:paraId="1FE63B1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1BD0B433" w14:textId="77777777" w:rsidTr="006962D0">
        <w:trPr>
          <w:trHeight w:val="290"/>
        </w:trPr>
        <w:tc>
          <w:tcPr>
            <w:tcW w:w="0" w:type="auto"/>
            <w:shd w:val="clear" w:color="auto" w:fill="auto"/>
            <w:noWrap/>
            <w:vAlign w:val="center"/>
            <w:hideMark/>
          </w:tcPr>
          <w:p w14:paraId="6395D61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Renewable (t-2)</w:t>
            </w:r>
          </w:p>
        </w:tc>
        <w:tc>
          <w:tcPr>
            <w:tcW w:w="0" w:type="auto"/>
            <w:shd w:val="clear" w:color="auto" w:fill="auto"/>
            <w:noWrap/>
            <w:vAlign w:val="bottom"/>
            <w:hideMark/>
          </w:tcPr>
          <w:p w14:paraId="0643FCD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-0.00375</w:t>
            </w:r>
          </w:p>
        </w:tc>
        <w:tc>
          <w:tcPr>
            <w:tcW w:w="0" w:type="auto"/>
            <w:shd w:val="clear" w:color="auto" w:fill="auto"/>
            <w:noWrap/>
            <w:vAlign w:val="center"/>
            <w:hideMark/>
          </w:tcPr>
          <w:p w14:paraId="79468F13"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0" w:type="auto"/>
            <w:shd w:val="clear" w:color="auto" w:fill="auto"/>
            <w:noWrap/>
            <w:vAlign w:val="bottom"/>
            <w:hideMark/>
          </w:tcPr>
          <w:p w14:paraId="22EBD21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0.106</w:t>
            </w:r>
          </w:p>
        </w:tc>
        <w:tc>
          <w:tcPr>
            <w:tcW w:w="0" w:type="auto"/>
            <w:shd w:val="clear" w:color="auto" w:fill="auto"/>
            <w:noWrap/>
            <w:vAlign w:val="center"/>
            <w:hideMark/>
          </w:tcPr>
          <w:p w14:paraId="4BE7EF3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7B07663A" w14:textId="77777777" w:rsidTr="006962D0">
        <w:trPr>
          <w:trHeight w:val="290"/>
        </w:trPr>
        <w:tc>
          <w:tcPr>
            <w:tcW w:w="0" w:type="auto"/>
            <w:shd w:val="clear" w:color="auto" w:fill="auto"/>
            <w:noWrap/>
            <w:vAlign w:val="bottom"/>
            <w:hideMark/>
          </w:tcPr>
          <w:p w14:paraId="309DCA3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0646B7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w:t>
            </w:r>
          </w:p>
        </w:tc>
        <w:tc>
          <w:tcPr>
            <w:tcW w:w="0" w:type="auto"/>
            <w:shd w:val="clear" w:color="auto" w:fill="auto"/>
            <w:noWrap/>
            <w:vAlign w:val="center"/>
            <w:hideMark/>
          </w:tcPr>
          <w:p w14:paraId="177B7DE3" w14:textId="77777777" w:rsidR="007A39EB" w:rsidRPr="001E387E" w:rsidRDefault="007A39EB" w:rsidP="006962D0">
            <w:pPr>
              <w:spacing w:line="240" w:lineRule="auto"/>
              <w:jc w:val="center"/>
              <w:rPr>
                <w:rFonts w:ascii="Cambria" w:eastAsia="Times New Roman" w:hAnsi="Cambria" w:cs="Times New Roman"/>
                <w:sz w:val="20"/>
                <w:szCs w:val="20"/>
              </w:rPr>
            </w:pPr>
          </w:p>
        </w:tc>
        <w:tc>
          <w:tcPr>
            <w:tcW w:w="0" w:type="auto"/>
            <w:shd w:val="clear" w:color="auto" w:fill="auto"/>
            <w:noWrap/>
            <w:vAlign w:val="bottom"/>
            <w:hideMark/>
          </w:tcPr>
          <w:p w14:paraId="7799362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(0.24)</w:t>
            </w:r>
          </w:p>
        </w:tc>
        <w:tc>
          <w:tcPr>
            <w:tcW w:w="0" w:type="auto"/>
            <w:shd w:val="clear" w:color="auto" w:fill="auto"/>
            <w:noWrap/>
            <w:vAlign w:val="center"/>
            <w:hideMark/>
          </w:tcPr>
          <w:p w14:paraId="4BBF0A9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r>
      <w:tr w:rsidR="007A39EB" w:rsidRPr="001E387E" w14:paraId="65B39CEE" w14:textId="77777777" w:rsidTr="006962D0">
        <w:trPr>
          <w:trHeight w:val="290"/>
        </w:trPr>
        <w:tc>
          <w:tcPr>
            <w:tcW w:w="0" w:type="auto"/>
            <w:shd w:val="clear" w:color="auto" w:fill="auto"/>
            <w:noWrap/>
            <w:vAlign w:val="center"/>
            <w:hideMark/>
          </w:tcPr>
          <w:p w14:paraId="65E9B18F"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Renewable (Total)</w:t>
            </w:r>
          </w:p>
        </w:tc>
        <w:tc>
          <w:tcPr>
            <w:tcW w:w="0" w:type="auto"/>
            <w:shd w:val="clear" w:color="auto" w:fill="auto"/>
            <w:noWrap/>
            <w:vAlign w:val="center"/>
            <w:hideMark/>
          </w:tcPr>
          <w:p w14:paraId="514DA9C4"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-0.00201</w:t>
            </w:r>
          </w:p>
        </w:tc>
        <w:tc>
          <w:tcPr>
            <w:tcW w:w="0" w:type="auto"/>
            <w:shd w:val="clear" w:color="auto" w:fill="auto"/>
            <w:noWrap/>
            <w:vAlign w:val="center"/>
            <w:hideMark/>
          </w:tcPr>
          <w:p w14:paraId="2B76B6D8" w14:textId="77777777" w:rsidR="007A39EB" w:rsidRPr="001E387E" w:rsidRDefault="007A39EB" w:rsidP="006962D0">
            <w:pPr>
              <w:spacing w:line="240" w:lineRule="auto"/>
              <w:jc w:val="center"/>
              <w:rPr>
                <w:rFonts w:ascii="Cambria" w:eastAsia="Times New Roman" w:hAnsi="Cambria" w:cs="Times New Roman"/>
                <w:b/>
                <w:bCs/>
                <w:sz w:val="20"/>
                <w:szCs w:val="20"/>
              </w:rPr>
            </w:pPr>
          </w:p>
        </w:tc>
        <w:tc>
          <w:tcPr>
            <w:tcW w:w="0" w:type="auto"/>
            <w:shd w:val="clear" w:color="auto" w:fill="auto"/>
            <w:noWrap/>
            <w:vAlign w:val="center"/>
            <w:hideMark/>
          </w:tcPr>
          <w:p w14:paraId="045152D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0.328</w:t>
            </w:r>
          </w:p>
        </w:tc>
        <w:tc>
          <w:tcPr>
            <w:tcW w:w="0" w:type="auto"/>
            <w:shd w:val="clear" w:color="auto" w:fill="auto"/>
            <w:noWrap/>
            <w:vAlign w:val="center"/>
            <w:hideMark/>
          </w:tcPr>
          <w:p w14:paraId="3EE4AC5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r>
      <w:tr w:rsidR="007A39EB" w:rsidRPr="001E387E" w14:paraId="77CA6968" w14:textId="77777777" w:rsidTr="006962D0">
        <w:trPr>
          <w:trHeight w:val="290"/>
        </w:trPr>
        <w:tc>
          <w:tcPr>
            <w:tcW w:w="0" w:type="auto"/>
            <w:shd w:val="clear" w:color="auto" w:fill="auto"/>
            <w:noWrap/>
            <w:vAlign w:val="center"/>
            <w:hideMark/>
          </w:tcPr>
          <w:p w14:paraId="369839D1"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center"/>
            <w:hideMark/>
          </w:tcPr>
          <w:p w14:paraId="08EEDB3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2.85***</w:t>
            </w:r>
          </w:p>
        </w:tc>
        <w:tc>
          <w:tcPr>
            <w:tcW w:w="0" w:type="auto"/>
            <w:shd w:val="clear" w:color="auto" w:fill="auto"/>
            <w:noWrap/>
            <w:vAlign w:val="center"/>
            <w:hideMark/>
          </w:tcPr>
          <w:p w14:paraId="4E5CDA72" w14:textId="77777777" w:rsidR="007A39EB" w:rsidRPr="001E387E" w:rsidRDefault="007A39EB" w:rsidP="006962D0">
            <w:pPr>
              <w:spacing w:line="240" w:lineRule="auto"/>
              <w:jc w:val="center"/>
              <w:rPr>
                <w:rFonts w:ascii="Cambria" w:eastAsia="Times New Roman" w:hAnsi="Cambria" w:cs="Times New Roman"/>
                <w:b/>
                <w:bCs/>
                <w:sz w:val="20"/>
                <w:szCs w:val="20"/>
              </w:rPr>
            </w:pPr>
          </w:p>
        </w:tc>
        <w:tc>
          <w:tcPr>
            <w:tcW w:w="0" w:type="auto"/>
            <w:shd w:val="clear" w:color="auto" w:fill="auto"/>
            <w:noWrap/>
            <w:vAlign w:val="center"/>
            <w:hideMark/>
          </w:tcPr>
          <w:p w14:paraId="5B351EDB"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10.11</w:t>
            </w:r>
          </w:p>
        </w:tc>
        <w:tc>
          <w:tcPr>
            <w:tcW w:w="0" w:type="auto"/>
            <w:shd w:val="clear" w:color="auto" w:fill="auto"/>
            <w:noWrap/>
            <w:vAlign w:val="center"/>
            <w:hideMark/>
          </w:tcPr>
          <w:p w14:paraId="1FED906D"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r>
      <w:tr w:rsidR="007A39EB" w:rsidRPr="001E387E" w14:paraId="017FCCC7" w14:textId="77777777" w:rsidTr="006962D0">
        <w:trPr>
          <w:trHeight w:val="290"/>
        </w:trPr>
        <w:tc>
          <w:tcPr>
            <w:tcW w:w="0" w:type="auto"/>
            <w:shd w:val="clear" w:color="auto" w:fill="auto"/>
            <w:noWrap/>
            <w:vAlign w:val="center"/>
            <w:hideMark/>
          </w:tcPr>
          <w:p w14:paraId="2B3AA362"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NonRenewable</w:t>
            </w:r>
            <w:proofErr w:type="spellEnd"/>
            <w:r w:rsidRPr="001E387E">
              <w:rPr>
                <w:rFonts w:ascii="Cambria" w:eastAsia="Times New Roman" w:hAnsi="Cambria" w:cs="Times New Roman"/>
                <w:sz w:val="20"/>
                <w:szCs w:val="20"/>
              </w:rPr>
              <w:t xml:space="preserve"> (t-1)</w:t>
            </w:r>
          </w:p>
        </w:tc>
        <w:tc>
          <w:tcPr>
            <w:tcW w:w="0" w:type="auto"/>
            <w:shd w:val="clear" w:color="auto" w:fill="auto"/>
            <w:noWrap/>
            <w:vAlign w:val="bottom"/>
            <w:hideMark/>
          </w:tcPr>
          <w:p w14:paraId="039AAFF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05D1D2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-0.00462***</w:t>
            </w:r>
          </w:p>
        </w:tc>
        <w:tc>
          <w:tcPr>
            <w:tcW w:w="0" w:type="auto"/>
            <w:shd w:val="clear" w:color="auto" w:fill="auto"/>
            <w:noWrap/>
            <w:vAlign w:val="bottom"/>
            <w:hideMark/>
          </w:tcPr>
          <w:p w14:paraId="6F3512A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219593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0.0465</w:t>
            </w:r>
          </w:p>
        </w:tc>
      </w:tr>
      <w:tr w:rsidR="007A39EB" w:rsidRPr="001E387E" w14:paraId="53721E78" w14:textId="77777777" w:rsidTr="006962D0">
        <w:trPr>
          <w:trHeight w:val="290"/>
        </w:trPr>
        <w:tc>
          <w:tcPr>
            <w:tcW w:w="0" w:type="auto"/>
            <w:shd w:val="clear" w:color="auto" w:fill="auto"/>
            <w:noWrap/>
            <w:vAlign w:val="bottom"/>
            <w:hideMark/>
          </w:tcPr>
          <w:p w14:paraId="1EDF9A34"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032B814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70C461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6CE9E41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3E1407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(0.20)</w:t>
            </w:r>
          </w:p>
        </w:tc>
      </w:tr>
      <w:tr w:rsidR="007A39EB" w:rsidRPr="001E387E" w14:paraId="3EFB52FF" w14:textId="77777777" w:rsidTr="006962D0">
        <w:trPr>
          <w:trHeight w:val="290"/>
        </w:trPr>
        <w:tc>
          <w:tcPr>
            <w:tcW w:w="0" w:type="auto"/>
            <w:shd w:val="clear" w:color="auto" w:fill="auto"/>
            <w:noWrap/>
            <w:vAlign w:val="center"/>
            <w:hideMark/>
          </w:tcPr>
          <w:p w14:paraId="5C07BF41"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NonRenewable</w:t>
            </w:r>
            <w:proofErr w:type="spellEnd"/>
            <w:r w:rsidRPr="001E387E">
              <w:rPr>
                <w:rFonts w:ascii="Cambria" w:eastAsia="Times New Roman" w:hAnsi="Cambria" w:cs="Times New Roman"/>
                <w:sz w:val="20"/>
                <w:szCs w:val="20"/>
              </w:rPr>
              <w:t xml:space="preserve"> (t-2)</w:t>
            </w:r>
          </w:p>
        </w:tc>
        <w:tc>
          <w:tcPr>
            <w:tcW w:w="0" w:type="auto"/>
            <w:shd w:val="clear" w:color="auto" w:fill="auto"/>
            <w:noWrap/>
            <w:vAlign w:val="bottom"/>
            <w:hideMark/>
          </w:tcPr>
          <w:p w14:paraId="3040FC6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81FC27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0.00515</w:t>
            </w:r>
          </w:p>
        </w:tc>
        <w:tc>
          <w:tcPr>
            <w:tcW w:w="0" w:type="auto"/>
            <w:shd w:val="clear" w:color="auto" w:fill="auto"/>
            <w:noWrap/>
            <w:vAlign w:val="bottom"/>
            <w:hideMark/>
          </w:tcPr>
          <w:p w14:paraId="0573971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E78E52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0.311</w:t>
            </w:r>
          </w:p>
        </w:tc>
      </w:tr>
      <w:tr w:rsidR="007A39EB" w:rsidRPr="001E387E" w14:paraId="711D2A92" w14:textId="77777777" w:rsidTr="006962D0">
        <w:trPr>
          <w:trHeight w:val="290"/>
        </w:trPr>
        <w:tc>
          <w:tcPr>
            <w:tcW w:w="0" w:type="auto"/>
            <w:shd w:val="clear" w:color="auto" w:fill="auto"/>
            <w:noWrap/>
            <w:vAlign w:val="bottom"/>
            <w:hideMark/>
          </w:tcPr>
          <w:p w14:paraId="4AABCDF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C09419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4A2614E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31FD7E1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4DC43A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(0.28)</w:t>
            </w:r>
          </w:p>
        </w:tc>
      </w:tr>
      <w:tr w:rsidR="007A39EB" w:rsidRPr="001E387E" w14:paraId="4B6CB7BD" w14:textId="77777777" w:rsidTr="006962D0">
        <w:trPr>
          <w:trHeight w:val="290"/>
        </w:trPr>
        <w:tc>
          <w:tcPr>
            <w:tcW w:w="0" w:type="auto"/>
            <w:shd w:val="clear" w:color="auto" w:fill="auto"/>
            <w:noWrap/>
            <w:vAlign w:val="center"/>
            <w:hideMark/>
          </w:tcPr>
          <w:p w14:paraId="06F7245E" w14:textId="77777777" w:rsidR="007A39EB" w:rsidRPr="001E387E" w:rsidRDefault="007A39EB" w:rsidP="006962D0">
            <w:pPr>
              <w:spacing w:line="240" w:lineRule="auto"/>
              <w:jc w:val="left"/>
              <w:rPr>
                <w:rFonts w:ascii="Cambria" w:eastAsia="Times New Roman" w:hAnsi="Cambria" w:cs="Times New Roman"/>
                <w:b/>
                <w:bCs/>
                <w:sz w:val="20"/>
                <w:szCs w:val="20"/>
              </w:rPr>
            </w:pPr>
            <w:proofErr w:type="spellStart"/>
            <w:r w:rsidRPr="001E387E">
              <w:rPr>
                <w:rFonts w:ascii="Cambria" w:eastAsia="Times New Roman" w:hAnsi="Cambria" w:cs="Times New Roman"/>
                <w:b/>
                <w:bCs/>
                <w:sz w:val="20"/>
                <w:szCs w:val="20"/>
              </w:rPr>
              <w:t>NonRenewable</w:t>
            </w:r>
            <w:proofErr w:type="spellEnd"/>
            <w:r w:rsidRPr="001E387E">
              <w:rPr>
                <w:rFonts w:ascii="Cambria" w:eastAsia="Times New Roman" w:hAnsi="Cambria" w:cs="Times New Roman"/>
                <w:b/>
                <w:bCs/>
                <w:sz w:val="20"/>
                <w:szCs w:val="20"/>
              </w:rPr>
              <w:t xml:space="preserve"> (Total)</w:t>
            </w:r>
          </w:p>
        </w:tc>
        <w:tc>
          <w:tcPr>
            <w:tcW w:w="0" w:type="auto"/>
            <w:shd w:val="clear" w:color="auto" w:fill="auto"/>
            <w:noWrap/>
            <w:vAlign w:val="bottom"/>
            <w:hideMark/>
          </w:tcPr>
          <w:p w14:paraId="523AF168"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center"/>
            <w:hideMark/>
          </w:tcPr>
          <w:p w14:paraId="3A4BF2A8"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0.00053</w:t>
            </w:r>
          </w:p>
        </w:tc>
        <w:tc>
          <w:tcPr>
            <w:tcW w:w="0" w:type="auto"/>
            <w:shd w:val="clear" w:color="auto" w:fill="auto"/>
            <w:noWrap/>
            <w:vAlign w:val="bottom"/>
            <w:hideMark/>
          </w:tcPr>
          <w:p w14:paraId="0EA8E2A3"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center"/>
            <w:hideMark/>
          </w:tcPr>
          <w:p w14:paraId="000B454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0.3575</w:t>
            </w:r>
          </w:p>
        </w:tc>
      </w:tr>
      <w:tr w:rsidR="007A39EB" w:rsidRPr="001E387E" w14:paraId="1173F83E" w14:textId="77777777" w:rsidTr="006962D0">
        <w:trPr>
          <w:trHeight w:val="290"/>
        </w:trPr>
        <w:tc>
          <w:tcPr>
            <w:tcW w:w="0" w:type="auto"/>
            <w:shd w:val="clear" w:color="auto" w:fill="auto"/>
            <w:noWrap/>
            <w:vAlign w:val="center"/>
            <w:hideMark/>
          </w:tcPr>
          <w:p w14:paraId="24D1A16F" w14:textId="77777777" w:rsidR="007A39EB" w:rsidRPr="001E387E" w:rsidRDefault="007A39EB" w:rsidP="006962D0">
            <w:pPr>
              <w:spacing w:line="240" w:lineRule="auto"/>
              <w:jc w:val="left"/>
              <w:rPr>
                <w:rFonts w:ascii="Cambria" w:eastAsia="Times New Roman" w:hAnsi="Cambria" w:cs="Times New Roman"/>
                <w:b/>
                <w:bCs/>
                <w:sz w:val="20"/>
                <w:szCs w:val="20"/>
              </w:rPr>
            </w:pPr>
            <w:r w:rsidRPr="001E387E">
              <w:rPr>
                <w:rFonts w:ascii="Cambria" w:eastAsia="Times New Roman" w:hAnsi="Cambria" w:cs="Times New Roman"/>
                <w:b/>
                <w:bCs/>
                <w:sz w:val="20"/>
                <w:szCs w:val="20"/>
              </w:rPr>
              <w:t>F-statistic</w:t>
            </w:r>
          </w:p>
        </w:tc>
        <w:tc>
          <w:tcPr>
            <w:tcW w:w="0" w:type="auto"/>
            <w:shd w:val="clear" w:color="auto" w:fill="auto"/>
            <w:noWrap/>
            <w:vAlign w:val="bottom"/>
            <w:hideMark/>
          </w:tcPr>
          <w:p w14:paraId="192AE349"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1D5E37B2"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1.35*</w:t>
            </w:r>
          </w:p>
        </w:tc>
        <w:tc>
          <w:tcPr>
            <w:tcW w:w="0" w:type="auto"/>
            <w:shd w:val="clear" w:color="auto" w:fill="auto"/>
            <w:noWrap/>
            <w:vAlign w:val="bottom"/>
            <w:hideMark/>
          </w:tcPr>
          <w:p w14:paraId="428B68C7"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 </w:t>
            </w:r>
          </w:p>
        </w:tc>
        <w:tc>
          <w:tcPr>
            <w:tcW w:w="0" w:type="auto"/>
            <w:shd w:val="clear" w:color="auto" w:fill="auto"/>
            <w:noWrap/>
            <w:vAlign w:val="bottom"/>
            <w:hideMark/>
          </w:tcPr>
          <w:p w14:paraId="793F6E36" w14:textId="77777777" w:rsidR="007A39EB" w:rsidRPr="001E387E" w:rsidRDefault="007A39EB" w:rsidP="006962D0">
            <w:pPr>
              <w:spacing w:line="240" w:lineRule="auto"/>
              <w:jc w:val="center"/>
              <w:rPr>
                <w:rFonts w:ascii="Cambria" w:eastAsia="Times New Roman" w:hAnsi="Cambria" w:cs="Times New Roman"/>
                <w:b/>
                <w:bCs/>
                <w:sz w:val="20"/>
                <w:szCs w:val="20"/>
              </w:rPr>
            </w:pPr>
            <w:r w:rsidRPr="001E387E">
              <w:rPr>
                <w:rFonts w:ascii="Cambria" w:eastAsia="Times New Roman" w:hAnsi="Cambria" w:cs="Times New Roman"/>
                <w:b/>
                <w:bCs/>
                <w:sz w:val="20"/>
                <w:szCs w:val="20"/>
              </w:rPr>
              <w:t>0.45</w:t>
            </w:r>
          </w:p>
        </w:tc>
      </w:tr>
      <w:tr w:rsidR="007A39EB" w:rsidRPr="001E387E" w14:paraId="028B1841" w14:textId="77777777" w:rsidTr="006962D0">
        <w:trPr>
          <w:trHeight w:val="290"/>
        </w:trPr>
        <w:tc>
          <w:tcPr>
            <w:tcW w:w="0" w:type="auto"/>
            <w:shd w:val="clear" w:color="auto" w:fill="auto"/>
            <w:noWrap/>
            <w:vAlign w:val="bottom"/>
            <w:hideMark/>
          </w:tcPr>
          <w:p w14:paraId="29072849"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Coalrents</w:t>
            </w:r>
            <w:proofErr w:type="spellEnd"/>
          </w:p>
        </w:tc>
        <w:tc>
          <w:tcPr>
            <w:tcW w:w="0" w:type="auto"/>
            <w:shd w:val="clear" w:color="auto" w:fill="auto"/>
            <w:noWrap/>
            <w:vAlign w:val="bottom"/>
            <w:hideMark/>
          </w:tcPr>
          <w:p w14:paraId="12A1301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0.0006</w:t>
            </w:r>
          </w:p>
        </w:tc>
        <w:tc>
          <w:tcPr>
            <w:tcW w:w="0" w:type="auto"/>
            <w:shd w:val="clear" w:color="auto" w:fill="auto"/>
            <w:noWrap/>
            <w:vAlign w:val="bottom"/>
            <w:hideMark/>
          </w:tcPr>
          <w:p w14:paraId="4CBFC03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0.00214</w:t>
            </w:r>
          </w:p>
        </w:tc>
        <w:tc>
          <w:tcPr>
            <w:tcW w:w="0" w:type="auto"/>
            <w:shd w:val="clear" w:color="auto" w:fill="auto"/>
            <w:noWrap/>
            <w:vAlign w:val="bottom"/>
            <w:hideMark/>
          </w:tcPr>
          <w:p w14:paraId="733D1B1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-0.152</w:t>
            </w:r>
          </w:p>
        </w:tc>
        <w:tc>
          <w:tcPr>
            <w:tcW w:w="0" w:type="auto"/>
            <w:shd w:val="clear" w:color="auto" w:fill="auto"/>
            <w:noWrap/>
            <w:vAlign w:val="bottom"/>
            <w:hideMark/>
          </w:tcPr>
          <w:p w14:paraId="0A448AB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0.041</w:t>
            </w:r>
          </w:p>
        </w:tc>
      </w:tr>
      <w:tr w:rsidR="007A39EB" w:rsidRPr="001E387E" w14:paraId="418A712B" w14:textId="77777777" w:rsidTr="006962D0">
        <w:trPr>
          <w:trHeight w:val="290"/>
        </w:trPr>
        <w:tc>
          <w:tcPr>
            <w:tcW w:w="0" w:type="auto"/>
            <w:shd w:val="clear" w:color="auto" w:fill="auto"/>
            <w:noWrap/>
            <w:vAlign w:val="bottom"/>
            <w:hideMark/>
          </w:tcPr>
          <w:p w14:paraId="2D2E33C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086368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17E7084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w:t>
            </w:r>
          </w:p>
        </w:tc>
        <w:tc>
          <w:tcPr>
            <w:tcW w:w="0" w:type="auto"/>
            <w:shd w:val="clear" w:color="auto" w:fill="auto"/>
            <w:noWrap/>
            <w:vAlign w:val="bottom"/>
            <w:hideMark/>
          </w:tcPr>
          <w:p w14:paraId="1536465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(0.20)</w:t>
            </w:r>
          </w:p>
        </w:tc>
        <w:tc>
          <w:tcPr>
            <w:tcW w:w="0" w:type="auto"/>
            <w:shd w:val="clear" w:color="auto" w:fill="auto"/>
            <w:noWrap/>
            <w:vAlign w:val="bottom"/>
            <w:hideMark/>
          </w:tcPr>
          <w:p w14:paraId="5E3565A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(0.22)</w:t>
            </w:r>
          </w:p>
        </w:tc>
      </w:tr>
      <w:tr w:rsidR="007A39EB" w:rsidRPr="001E387E" w14:paraId="34930B67" w14:textId="77777777" w:rsidTr="006962D0">
        <w:trPr>
          <w:trHeight w:val="290"/>
        </w:trPr>
        <w:tc>
          <w:tcPr>
            <w:tcW w:w="0" w:type="auto"/>
            <w:shd w:val="clear" w:color="auto" w:fill="auto"/>
            <w:noWrap/>
            <w:vAlign w:val="bottom"/>
            <w:hideMark/>
          </w:tcPr>
          <w:p w14:paraId="772457DC"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LogGDP</w:t>
            </w:r>
            <w:proofErr w:type="spellEnd"/>
          </w:p>
        </w:tc>
        <w:tc>
          <w:tcPr>
            <w:tcW w:w="0" w:type="auto"/>
            <w:shd w:val="clear" w:color="auto" w:fill="auto"/>
            <w:noWrap/>
            <w:vAlign w:val="bottom"/>
            <w:hideMark/>
          </w:tcPr>
          <w:p w14:paraId="484B799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0.25802</w:t>
            </w:r>
          </w:p>
        </w:tc>
        <w:tc>
          <w:tcPr>
            <w:tcW w:w="0" w:type="auto"/>
            <w:shd w:val="clear" w:color="auto" w:fill="auto"/>
            <w:noWrap/>
            <w:vAlign w:val="bottom"/>
            <w:hideMark/>
          </w:tcPr>
          <w:p w14:paraId="1283D08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0.219</w:t>
            </w:r>
          </w:p>
        </w:tc>
        <w:tc>
          <w:tcPr>
            <w:tcW w:w="0" w:type="auto"/>
            <w:shd w:val="clear" w:color="auto" w:fill="auto"/>
            <w:noWrap/>
            <w:vAlign w:val="bottom"/>
            <w:hideMark/>
          </w:tcPr>
          <w:p w14:paraId="65E4640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-11.33</w:t>
            </w:r>
          </w:p>
        </w:tc>
        <w:tc>
          <w:tcPr>
            <w:tcW w:w="0" w:type="auto"/>
            <w:shd w:val="clear" w:color="auto" w:fill="auto"/>
            <w:noWrap/>
            <w:vAlign w:val="bottom"/>
            <w:hideMark/>
          </w:tcPr>
          <w:p w14:paraId="05DE19D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7.586</w:t>
            </w:r>
          </w:p>
        </w:tc>
      </w:tr>
      <w:tr w:rsidR="007A39EB" w:rsidRPr="001E387E" w14:paraId="0B9C0CD2" w14:textId="77777777" w:rsidTr="006962D0">
        <w:trPr>
          <w:trHeight w:val="290"/>
        </w:trPr>
        <w:tc>
          <w:tcPr>
            <w:tcW w:w="0" w:type="auto"/>
            <w:shd w:val="clear" w:color="auto" w:fill="auto"/>
            <w:noWrap/>
            <w:vAlign w:val="bottom"/>
            <w:hideMark/>
          </w:tcPr>
          <w:p w14:paraId="08293946"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3086F78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(0.27)</w:t>
            </w:r>
          </w:p>
        </w:tc>
        <w:tc>
          <w:tcPr>
            <w:tcW w:w="0" w:type="auto"/>
            <w:shd w:val="clear" w:color="auto" w:fill="auto"/>
            <w:noWrap/>
            <w:vAlign w:val="bottom"/>
            <w:hideMark/>
          </w:tcPr>
          <w:p w14:paraId="44D2489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(0.28)</w:t>
            </w:r>
          </w:p>
        </w:tc>
        <w:tc>
          <w:tcPr>
            <w:tcW w:w="0" w:type="auto"/>
            <w:shd w:val="clear" w:color="auto" w:fill="auto"/>
            <w:noWrap/>
            <w:vAlign w:val="bottom"/>
            <w:hideMark/>
          </w:tcPr>
          <w:p w14:paraId="52368C5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(15.52)</w:t>
            </w:r>
          </w:p>
        </w:tc>
        <w:tc>
          <w:tcPr>
            <w:tcW w:w="0" w:type="auto"/>
            <w:shd w:val="clear" w:color="auto" w:fill="auto"/>
            <w:noWrap/>
            <w:vAlign w:val="bottom"/>
            <w:hideMark/>
          </w:tcPr>
          <w:p w14:paraId="11B298C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(12.14)</w:t>
            </w:r>
          </w:p>
        </w:tc>
      </w:tr>
      <w:tr w:rsidR="007A39EB" w:rsidRPr="001E387E" w14:paraId="261B432E" w14:textId="77777777" w:rsidTr="006962D0">
        <w:trPr>
          <w:trHeight w:val="290"/>
        </w:trPr>
        <w:tc>
          <w:tcPr>
            <w:tcW w:w="0" w:type="auto"/>
            <w:shd w:val="clear" w:color="auto" w:fill="auto"/>
            <w:noWrap/>
            <w:vAlign w:val="bottom"/>
            <w:hideMark/>
          </w:tcPr>
          <w:p w14:paraId="7CA497CC"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LogExport</w:t>
            </w:r>
            <w:proofErr w:type="spellEnd"/>
          </w:p>
        </w:tc>
        <w:tc>
          <w:tcPr>
            <w:tcW w:w="0" w:type="auto"/>
            <w:shd w:val="clear" w:color="auto" w:fill="auto"/>
            <w:noWrap/>
            <w:vAlign w:val="bottom"/>
            <w:hideMark/>
          </w:tcPr>
          <w:p w14:paraId="51606033"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0.04238</w:t>
            </w:r>
          </w:p>
        </w:tc>
        <w:tc>
          <w:tcPr>
            <w:tcW w:w="0" w:type="auto"/>
            <w:shd w:val="clear" w:color="auto" w:fill="auto"/>
            <w:noWrap/>
            <w:vAlign w:val="bottom"/>
            <w:hideMark/>
          </w:tcPr>
          <w:p w14:paraId="79575E5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0.0185</w:t>
            </w:r>
          </w:p>
        </w:tc>
        <w:tc>
          <w:tcPr>
            <w:tcW w:w="0" w:type="auto"/>
            <w:shd w:val="clear" w:color="auto" w:fill="auto"/>
            <w:noWrap/>
            <w:vAlign w:val="bottom"/>
            <w:hideMark/>
          </w:tcPr>
          <w:p w14:paraId="27CC0DD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-15.47***</w:t>
            </w:r>
          </w:p>
        </w:tc>
        <w:tc>
          <w:tcPr>
            <w:tcW w:w="0" w:type="auto"/>
            <w:shd w:val="clear" w:color="auto" w:fill="auto"/>
            <w:noWrap/>
            <w:vAlign w:val="bottom"/>
            <w:hideMark/>
          </w:tcPr>
          <w:p w14:paraId="5A3B0AD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-6.038*</w:t>
            </w:r>
          </w:p>
        </w:tc>
      </w:tr>
      <w:tr w:rsidR="007A39EB" w:rsidRPr="001E387E" w14:paraId="267E522A" w14:textId="77777777" w:rsidTr="006962D0">
        <w:trPr>
          <w:trHeight w:val="290"/>
        </w:trPr>
        <w:tc>
          <w:tcPr>
            <w:tcW w:w="0" w:type="auto"/>
            <w:shd w:val="clear" w:color="auto" w:fill="auto"/>
            <w:noWrap/>
            <w:vAlign w:val="bottom"/>
            <w:hideMark/>
          </w:tcPr>
          <w:p w14:paraId="7EECFF38"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6507FA6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(0.06)</w:t>
            </w:r>
          </w:p>
        </w:tc>
        <w:tc>
          <w:tcPr>
            <w:tcW w:w="0" w:type="auto"/>
            <w:shd w:val="clear" w:color="auto" w:fill="auto"/>
            <w:noWrap/>
            <w:vAlign w:val="bottom"/>
            <w:hideMark/>
          </w:tcPr>
          <w:p w14:paraId="7E1F4E2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(0.07)</w:t>
            </w:r>
          </w:p>
        </w:tc>
        <w:tc>
          <w:tcPr>
            <w:tcW w:w="0" w:type="auto"/>
            <w:shd w:val="clear" w:color="auto" w:fill="auto"/>
            <w:noWrap/>
            <w:vAlign w:val="bottom"/>
            <w:hideMark/>
          </w:tcPr>
          <w:p w14:paraId="120672E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(3.06)</w:t>
            </w:r>
          </w:p>
        </w:tc>
        <w:tc>
          <w:tcPr>
            <w:tcW w:w="0" w:type="auto"/>
            <w:shd w:val="clear" w:color="auto" w:fill="auto"/>
            <w:noWrap/>
            <w:vAlign w:val="bottom"/>
            <w:hideMark/>
          </w:tcPr>
          <w:p w14:paraId="1C73EE01"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(3.47)</w:t>
            </w:r>
          </w:p>
        </w:tc>
      </w:tr>
      <w:tr w:rsidR="007A39EB" w:rsidRPr="001E387E" w14:paraId="338432EC" w14:textId="77777777" w:rsidTr="006962D0">
        <w:trPr>
          <w:trHeight w:val="290"/>
        </w:trPr>
        <w:tc>
          <w:tcPr>
            <w:tcW w:w="0" w:type="auto"/>
            <w:shd w:val="clear" w:color="auto" w:fill="auto"/>
            <w:noWrap/>
            <w:vAlign w:val="bottom"/>
            <w:hideMark/>
          </w:tcPr>
          <w:p w14:paraId="5722D8C4" w14:textId="77777777" w:rsidR="007A39EB" w:rsidRPr="001E387E" w:rsidRDefault="007A39EB" w:rsidP="006962D0">
            <w:pPr>
              <w:spacing w:line="240" w:lineRule="auto"/>
              <w:rPr>
                <w:rFonts w:ascii="Cambria" w:eastAsia="Times New Roman" w:hAnsi="Cambria" w:cs="Times New Roman"/>
                <w:sz w:val="20"/>
                <w:szCs w:val="20"/>
              </w:rPr>
            </w:pPr>
            <w:proofErr w:type="spellStart"/>
            <w:r w:rsidRPr="001E387E">
              <w:rPr>
                <w:rFonts w:ascii="Cambria" w:eastAsia="Times New Roman" w:hAnsi="Cambria" w:cs="Times New Roman"/>
                <w:sz w:val="20"/>
                <w:szCs w:val="20"/>
              </w:rPr>
              <w:t>LogPopulation</w:t>
            </w:r>
            <w:proofErr w:type="spellEnd"/>
          </w:p>
        </w:tc>
        <w:tc>
          <w:tcPr>
            <w:tcW w:w="0" w:type="auto"/>
            <w:shd w:val="clear" w:color="auto" w:fill="auto"/>
            <w:noWrap/>
            <w:vAlign w:val="bottom"/>
            <w:hideMark/>
          </w:tcPr>
          <w:p w14:paraId="6EE2CA4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-1.28971</w:t>
            </w:r>
          </w:p>
        </w:tc>
        <w:tc>
          <w:tcPr>
            <w:tcW w:w="0" w:type="auto"/>
            <w:shd w:val="clear" w:color="auto" w:fill="auto"/>
            <w:noWrap/>
            <w:vAlign w:val="bottom"/>
            <w:hideMark/>
          </w:tcPr>
          <w:p w14:paraId="0D77791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-1.029</w:t>
            </w:r>
          </w:p>
        </w:tc>
        <w:tc>
          <w:tcPr>
            <w:tcW w:w="0" w:type="auto"/>
            <w:shd w:val="clear" w:color="auto" w:fill="auto"/>
            <w:noWrap/>
            <w:vAlign w:val="bottom"/>
            <w:hideMark/>
          </w:tcPr>
          <w:p w14:paraId="3B6D12B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181.3**</w:t>
            </w:r>
          </w:p>
        </w:tc>
        <w:tc>
          <w:tcPr>
            <w:tcW w:w="0" w:type="auto"/>
            <w:shd w:val="clear" w:color="auto" w:fill="auto"/>
            <w:noWrap/>
            <w:vAlign w:val="bottom"/>
            <w:hideMark/>
          </w:tcPr>
          <w:p w14:paraId="6274BD04"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-47.87</w:t>
            </w:r>
          </w:p>
        </w:tc>
      </w:tr>
      <w:tr w:rsidR="007A39EB" w:rsidRPr="001E387E" w14:paraId="25BB2450" w14:textId="77777777" w:rsidTr="006962D0">
        <w:trPr>
          <w:trHeight w:val="290"/>
        </w:trPr>
        <w:tc>
          <w:tcPr>
            <w:tcW w:w="0" w:type="auto"/>
            <w:shd w:val="clear" w:color="auto" w:fill="auto"/>
            <w:noWrap/>
            <w:vAlign w:val="bottom"/>
            <w:hideMark/>
          </w:tcPr>
          <w:p w14:paraId="71A253DC"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7B780DBD"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(1.58)</w:t>
            </w:r>
          </w:p>
        </w:tc>
        <w:tc>
          <w:tcPr>
            <w:tcW w:w="0" w:type="auto"/>
            <w:shd w:val="clear" w:color="auto" w:fill="auto"/>
            <w:noWrap/>
            <w:vAlign w:val="bottom"/>
            <w:hideMark/>
          </w:tcPr>
          <w:p w14:paraId="47B3FE6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(1.56)</w:t>
            </w:r>
          </w:p>
        </w:tc>
        <w:tc>
          <w:tcPr>
            <w:tcW w:w="0" w:type="auto"/>
            <w:shd w:val="clear" w:color="auto" w:fill="auto"/>
            <w:noWrap/>
            <w:vAlign w:val="bottom"/>
            <w:hideMark/>
          </w:tcPr>
          <w:p w14:paraId="5F32864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(87.54)</w:t>
            </w:r>
          </w:p>
        </w:tc>
        <w:tc>
          <w:tcPr>
            <w:tcW w:w="0" w:type="auto"/>
            <w:shd w:val="clear" w:color="auto" w:fill="auto"/>
            <w:noWrap/>
            <w:vAlign w:val="bottom"/>
            <w:hideMark/>
          </w:tcPr>
          <w:p w14:paraId="305771F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(77.73)</w:t>
            </w:r>
          </w:p>
        </w:tc>
      </w:tr>
      <w:tr w:rsidR="007A39EB" w:rsidRPr="001E387E" w14:paraId="172657AF" w14:textId="77777777" w:rsidTr="006962D0">
        <w:trPr>
          <w:trHeight w:val="290"/>
        </w:trPr>
        <w:tc>
          <w:tcPr>
            <w:tcW w:w="0" w:type="auto"/>
            <w:shd w:val="clear" w:color="auto" w:fill="auto"/>
            <w:noWrap/>
            <w:vAlign w:val="bottom"/>
            <w:hideMark/>
          </w:tcPr>
          <w:p w14:paraId="176CCAE9"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Constant</w:t>
            </w:r>
          </w:p>
        </w:tc>
        <w:tc>
          <w:tcPr>
            <w:tcW w:w="0" w:type="auto"/>
            <w:shd w:val="clear" w:color="auto" w:fill="auto"/>
            <w:noWrap/>
            <w:vAlign w:val="bottom"/>
            <w:hideMark/>
          </w:tcPr>
          <w:p w14:paraId="43B108D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11.08605</w:t>
            </w:r>
          </w:p>
        </w:tc>
        <w:tc>
          <w:tcPr>
            <w:tcW w:w="0" w:type="auto"/>
            <w:shd w:val="clear" w:color="auto" w:fill="auto"/>
            <w:noWrap/>
            <w:vAlign w:val="bottom"/>
            <w:hideMark/>
          </w:tcPr>
          <w:p w14:paraId="79ABE7E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8.202</w:t>
            </w:r>
          </w:p>
        </w:tc>
        <w:tc>
          <w:tcPr>
            <w:tcW w:w="0" w:type="auto"/>
            <w:shd w:val="clear" w:color="auto" w:fill="auto"/>
            <w:noWrap/>
            <w:vAlign w:val="bottom"/>
            <w:hideMark/>
          </w:tcPr>
          <w:p w14:paraId="52ED838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-1,373**</w:t>
            </w:r>
          </w:p>
        </w:tc>
        <w:tc>
          <w:tcPr>
            <w:tcW w:w="0" w:type="auto"/>
            <w:shd w:val="clear" w:color="auto" w:fill="auto"/>
            <w:noWrap/>
            <w:vAlign w:val="bottom"/>
            <w:hideMark/>
          </w:tcPr>
          <w:p w14:paraId="7CDBCBC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392.5</w:t>
            </w:r>
          </w:p>
        </w:tc>
      </w:tr>
      <w:tr w:rsidR="007A39EB" w:rsidRPr="001E387E" w14:paraId="6D15C642" w14:textId="77777777" w:rsidTr="006962D0">
        <w:trPr>
          <w:trHeight w:val="290"/>
        </w:trPr>
        <w:tc>
          <w:tcPr>
            <w:tcW w:w="0" w:type="auto"/>
            <w:shd w:val="clear" w:color="auto" w:fill="auto"/>
            <w:noWrap/>
            <w:vAlign w:val="bottom"/>
            <w:hideMark/>
          </w:tcPr>
          <w:p w14:paraId="34FE90BE"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 </w:t>
            </w:r>
          </w:p>
        </w:tc>
        <w:tc>
          <w:tcPr>
            <w:tcW w:w="0" w:type="auto"/>
            <w:shd w:val="clear" w:color="auto" w:fill="auto"/>
            <w:noWrap/>
            <w:vAlign w:val="bottom"/>
            <w:hideMark/>
          </w:tcPr>
          <w:p w14:paraId="25039D65"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(11.79)</w:t>
            </w:r>
          </w:p>
        </w:tc>
        <w:tc>
          <w:tcPr>
            <w:tcW w:w="0" w:type="auto"/>
            <w:shd w:val="clear" w:color="auto" w:fill="auto"/>
            <w:noWrap/>
            <w:vAlign w:val="bottom"/>
            <w:hideMark/>
          </w:tcPr>
          <w:p w14:paraId="16B9F367"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(12.43)</w:t>
            </w:r>
          </w:p>
        </w:tc>
        <w:tc>
          <w:tcPr>
            <w:tcW w:w="0" w:type="auto"/>
            <w:shd w:val="clear" w:color="auto" w:fill="auto"/>
            <w:noWrap/>
            <w:vAlign w:val="bottom"/>
            <w:hideMark/>
          </w:tcPr>
          <w:p w14:paraId="76BB635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(688.70)</w:t>
            </w:r>
          </w:p>
        </w:tc>
        <w:tc>
          <w:tcPr>
            <w:tcW w:w="0" w:type="auto"/>
            <w:shd w:val="clear" w:color="auto" w:fill="auto"/>
            <w:noWrap/>
            <w:vAlign w:val="bottom"/>
            <w:hideMark/>
          </w:tcPr>
          <w:p w14:paraId="0DE0331E"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(635.10)</w:t>
            </w:r>
          </w:p>
        </w:tc>
      </w:tr>
      <w:tr w:rsidR="007A39EB" w:rsidRPr="001E387E" w14:paraId="0AF4FBDF" w14:textId="77777777" w:rsidTr="006962D0">
        <w:trPr>
          <w:trHeight w:val="290"/>
        </w:trPr>
        <w:tc>
          <w:tcPr>
            <w:tcW w:w="0" w:type="auto"/>
            <w:shd w:val="clear" w:color="auto" w:fill="auto"/>
            <w:noWrap/>
            <w:vAlign w:val="center"/>
            <w:hideMark/>
          </w:tcPr>
          <w:p w14:paraId="7763D34D"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Observations</w:t>
            </w:r>
          </w:p>
        </w:tc>
        <w:tc>
          <w:tcPr>
            <w:tcW w:w="0" w:type="auto"/>
            <w:shd w:val="clear" w:color="auto" w:fill="auto"/>
            <w:noWrap/>
            <w:vAlign w:val="center"/>
            <w:hideMark/>
          </w:tcPr>
          <w:p w14:paraId="4BAE1E98"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71D87D2A"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1946AD32"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c>
          <w:tcPr>
            <w:tcW w:w="0" w:type="auto"/>
            <w:shd w:val="clear" w:color="auto" w:fill="auto"/>
            <w:noWrap/>
            <w:vAlign w:val="center"/>
            <w:hideMark/>
          </w:tcPr>
          <w:p w14:paraId="476F113C"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126</w:t>
            </w:r>
          </w:p>
        </w:tc>
      </w:tr>
      <w:tr w:rsidR="007A39EB" w:rsidRPr="001E387E" w14:paraId="5DBDD9D5" w14:textId="77777777" w:rsidTr="006962D0">
        <w:trPr>
          <w:trHeight w:val="290"/>
        </w:trPr>
        <w:tc>
          <w:tcPr>
            <w:tcW w:w="0" w:type="auto"/>
            <w:tcBorders>
              <w:bottom w:val="single" w:sz="4" w:space="0" w:color="auto"/>
            </w:tcBorders>
            <w:shd w:val="clear" w:color="auto" w:fill="auto"/>
            <w:noWrap/>
            <w:vAlign w:val="center"/>
            <w:hideMark/>
          </w:tcPr>
          <w:p w14:paraId="736F6204" w14:textId="77777777" w:rsidR="007A39EB" w:rsidRPr="001E387E" w:rsidRDefault="007A39EB" w:rsidP="006962D0">
            <w:pPr>
              <w:spacing w:line="240" w:lineRule="auto"/>
              <w:rPr>
                <w:rFonts w:ascii="Cambria" w:eastAsia="Times New Roman" w:hAnsi="Cambria" w:cs="Times New Roman"/>
                <w:sz w:val="20"/>
                <w:szCs w:val="20"/>
              </w:rPr>
            </w:pPr>
            <w:r w:rsidRPr="001E387E">
              <w:rPr>
                <w:rFonts w:ascii="Cambria" w:eastAsia="Times New Roman" w:hAnsi="Cambria" w:cs="Times New Roman"/>
                <w:sz w:val="20"/>
                <w:szCs w:val="20"/>
              </w:rPr>
              <w:t>Wald Test (p-value)</w:t>
            </w:r>
          </w:p>
        </w:tc>
        <w:tc>
          <w:tcPr>
            <w:tcW w:w="0" w:type="auto"/>
            <w:tcBorders>
              <w:bottom w:val="single" w:sz="4" w:space="0" w:color="auto"/>
            </w:tcBorders>
            <w:shd w:val="clear" w:color="auto" w:fill="auto"/>
            <w:noWrap/>
            <w:vAlign w:val="center"/>
            <w:hideMark/>
          </w:tcPr>
          <w:p w14:paraId="131022A6"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6D0E030F"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4D983E99"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c>
          <w:tcPr>
            <w:tcW w:w="0" w:type="auto"/>
            <w:tcBorders>
              <w:bottom w:val="single" w:sz="4" w:space="0" w:color="auto"/>
            </w:tcBorders>
            <w:shd w:val="clear" w:color="auto" w:fill="auto"/>
            <w:noWrap/>
            <w:vAlign w:val="center"/>
            <w:hideMark/>
          </w:tcPr>
          <w:p w14:paraId="64A66000" w14:textId="77777777" w:rsidR="007A39EB" w:rsidRPr="001E387E" w:rsidRDefault="007A39EB" w:rsidP="006962D0">
            <w:pPr>
              <w:spacing w:line="240" w:lineRule="auto"/>
              <w:jc w:val="center"/>
              <w:rPr>
                <w:rFonts w:ascii="Cambria" w:eastAsia="Times New Roman" w:hAnsi="Cambria" w:cs="Times New Roman"/>
                <w:sz w:val="20"/>
                <w:szCs w:val="20"/>
              </w:rPr>
            </w:pPr>
            <w:r w:rsidRPr="001E387E">
              <w:rPr>
                <w:rFonts w:ascii="Cambria" w:eastAsia="Times New Roman" w:hAnsi="Cambria" w:cs="Times New Roman"/>
                <w:sz w:val="20"/>
                <w:szCs w:val="20"/>
              </w:rPr>
              <w:t>0.000</w:t>
            </w:r>
          </w:p>
        </w:tc>
      </w:tr>
      <w:tr w:rsidR="007A39EB" w:rsidRPr="001E387E" w14:paraId="4BDAD0FF" w14:textId="77777777" w:rsidTr="006962D0">
        <w:trPr>
          <w:trHeight w:val="290"/>
        </w:trPr>
        <w:tc>
          <w:tcPr>
            <w:tcW w:w="0" w:type="auto"/>
            <w:gridSpan w:val="5"/>
            <w:tcBorders>
              <w:top w:val="single" w:sz="4" w:space="0" w:color="auto"/>
            </w:tcBorders>
            <w:shd w:val="clear" w:color="auto" w:fill="auto"/>
            <w:noWrap/>
            <w:vAlign w:val="center"/>
            <w:hideMark/>
          </w:tcPr>
          <w:p w14:paraId="575AA78E" w14:textId="77777777" w:rsidR="007A39EB" w:rsidRPr="001E387E" w:rsidRDefault="007A39EB" w:rsidP="006962D0">
            <w:pPr>
              <w:spacing w:line="240" w:lineRule="auto"/>
              <w:rPr>
                <w:rFonts w:ascii="Cambria" w:eastAsia="Times New Roman" w:hAnsi="Cambria" w:cs="Times New Roman"/>
                <w:sz w:val="20"/>
                <w:szCs w:val="20"/>
              </w:rPr>
            </w:pPr>
            <w:r>
              <w:rPr>
                <w:rFonts w:ascii="Cambria" w:eastAsia="Times New Roman" w:hAnsi="Cambria" w:cs="Times New Roman"/>
                <w:sz w:val="20"/>
                <w:szCs w:val="20"/>
              </w:rPr>
              <w:t xml:space="preserve">Note: </w:t>
            </w:r>
            <w:r w:rsidRPr="001E387E">
              <w:rPr>
                <w:rFonts w:ascii="Cambria" w:eastAsia="Times New Roman" w:hAnsi="Cambria" w:cs="Times New Roman"/>
                <w:sz w:val="20"/>
                <w:szCs w:val="20"/>
              </w:rPr>
              <w:t>Clustered standard errors in parentheses. *** p&lt;0.01, ** p&lt;0.05, * p&lt;0.1.</w:t>
            </w:r>
          </w:p>
        </w:tc>
      </w:tr>
    </w:tbl>
    <w:p w14:paraId="24909B62" w14:textId="77777777" w:rsidR="007A39EB" w:rsidRPr="00CB6F9C" w:rsidRDefault="007A39EB" w:rsidP="007A39EB">
      <w:pPr>
        <w:autoSpaceDE w:val="0"/>
        <w:autoSpaceDN w:val="0"/>
        <w:adjustRightInd w:val="0"/>
        <w:spacing w:before="100" w:beforeAutospacing="1" w:after="100" w:afterAutospacing="1"/>
        <w:ind w:firstLine="709"/>
        <w:rPr>
          <w:rFonts w:asciiTheme="majorBidi" w:hAnsiTheme="majorBidi" w:cstheme="majorBidi"/>
          <w:szCs w:val="24"/>
        </w:rPr>
      </w:pPr>
      <w:r w:rsidRPr="00CB6F9C">
        <w:rPr>
          <w:rFonts w:asciiTheme="majorBidi" w:hAnsiTheme="majorBidi" w:cstheme="majorBidi"/>
          <w:szCs w:val="24"/>
        </w:rPr>
        <w:tab/>
        <w:t xml:space="preserve">Columns (1) and (2) in Table 5 are based on two lags of the dependent (greenhouse gas emission) and independent variable (energy sources). In column (1), greenhouse gas emission is predicted by its own lags, as indicated by significant F-statistics of 1.44, and the lags of renewable energy, as indicated by significant F-statistics of 2.85. </w:t>
      </w:r>
      <w:r>
        <w:rPr>
          <w:rFonts w:asciiTheme="majorBidi" w:hAnsiTheme="majorBidi" w:cstheme="majorBidi"/>
          <w:szCs w:val="24"/>
        </w:rPr>
        <w:t>A o</w:t>
      </w:r>
      <w:r w:rsidRPr="00CB6F9C">
        <w:rPr>
          <w:rFonts w:asciiTheme="majorBidi" w:hAnsiTheme="majorBidi" w:cstheme="majorBidi"/>
          <w:szCs w:val="24"/>
        </w:rPr>
        <w:t>ne</w:t>
      </w:r>
      <w:r>
        <w:rPr>
          <w:rFonts w:asciiTheme="majorBidi" w:hAnsiTheme="majorBidi" w:cstheme="majorBidi"/>
          <w:szCs w:val="24"/>
        </w:rPr>
        <w:t>-</w:t>
      </w:r>
      <w:r w:rsidRPr="00CB6F9C">
        <w:rPr>
          <w:rFonts w:asciiTheme="majorBidi" w:hAnsiTheme="majorBidi" w:cstheme="majorBidi"/>
          <w:szCs w:val="24"/>
        </w:rPr>
        <w:t xml:space="preserve">unit increase of renewable energy and at both t-1 and t-2 increases the current greenhouse gas emission by 0.00201. Likewise, column (2) shows that greenhouse gas emission is predicted by its own lags, </w:t>
      </w:r>
      <w:r w:rsidRPr="00CB6F9C">
        <w:rPr>
          <w:rFonts w:asciiTheme="majorBidi" w:hAnsiTheme="majorBidi" w:cstheme="majorBidi"/>
          <w:szCs w:val="24"/>
        </w:rPr>
        <w:lastRenderedPageBreak/>
        <w:t xml:space="preserve">as indicated by significant F-statistics of 24.55, and the lags of non-renewable energy, as indicated by significant F-statistics of 1.35. </w:t>
      </w:r>
      <w:r>
        <w:rPr>
          <w:rFonts w:asciiTheme="majorBidi" w:hAnsiTheme="majorBidi" w:cstheme="majorBidi"/>
          <w:szCs w:val="24"/>
        </w:rPr>
        <w:t>A o</w:t>
      </w:r>
      <w:r w:rsidRPr="00CB6F9C">
        <w:rPr>
          <w:rFonts w:asciiTheme="majorBidi" w:hAnsiTheme="majorBidi" w:cstheme="majorBidi"/>
          <w:szCs w:val="24"/>
        </w:rPr>
        <w:t>ne</w:t>
      </w:r>
      <w:r>
        <w:rPr>
          <w:rFonts w:asciiTheme="majorBidi" w:hAnsiTheme="majorBidi" w:cstheme="majorBidi"/>
          <w:szCs w:val="24"/>
        </w:rPr>
        <w:t>-</w:t>
      </w:r>
      <w:r w:rsidRPr="00CB6F9C">
        <w:rPr>
          <w:rFonts w:asciiTheme="majorBidi" w:hAnsiTheme="majorBidi" w:cstheme="majorBidi"/>
          <w:szCs w:val="24"/>
        </w:rPr>
        <w:t xml:space="preserve">unit increase of non-renewable energy increases greenhouse gas emission by 0.00053 at total of both t-1 and t-2. </w:t>
      </w:r>
    </w:p>
    <w:p w14:paraId="5AA5C2C9" w14:textId="77777777" w:rsidR="007A39EB" w:rsidRPr="00CB6F9C" w:rsidRDefault="007A39EB" w:rsidP="007A39EB">
      <w:pPr>
        <w:autoSpaceDE w:val="0"/>
        <w:autoSpaceDN w:val="0"/>
        <w:adjustRightInd w:val="0"/>
        <w:spacing w:before="100" w:beforeAutospacing="1" w:after="100" w:afterAutospacing="1"/>
        <w:ind w:firstLine="709"/>
        <w:rPr>
          <w:rFonts w:asciiTheme="majorBidi" w:hAnsiTheme="majorBidi" w:cstheme="majorBidi"/>
          <w:szCs w:val="24"/>
        </w:rPr>
      </w:pPr>
      <w:r w:rsidRPr="00CB6F9C">
        <w:rPr>
          <w:rFonts w:cs="Times New Roman"/>
          <w:szCs w:val="24"/>
        </w:rPr>
        <w:tab/>
        <w:t>To check whether greenhouse gas emission Granger</w:t>
      </w:r>
      <w:r>
        <w:rPr>
          <w:rFonts w:cs="Times New Roman"/>
          <w:szCs w:val="24"/>
        </w:rPr>
        <w:t>-</w:t>
      </w:r>
      <w:r w:rsidRPr="00CB6F9C">
        <w:rPr>
          <w:rFonts w:cs="Times New Roman"/>
          <w:szCs w:val="24"/>
        </w:rPr>
        <w:t>causes energy</w:t>
      </w:r>
      <w:r w:rsidRPr="00CB6F9C">
        <w:rPr>
          <w:rFonts w:asciiTheme="majorBidi" w:hAnsiTheme="majorBidi" w:cstheme="majorBidi"/>
          <w:szCs w:val="24"/>
        </w:rPr>
        <w:t xml:space="preserve"> sources, we retest equation (3) by swapping dependent and independent variables. Columns (3) and (4) in Table 5 are based on two lags of the dependent (energy sources) and independent variable (greenhouse gas emission). In column (1), renewable energy is not predicted by its own lags and the lags of </w:t>
      </w:r>
      <w:r w:rsidRPr="00BC6962">
        <w:rPr>
          <w:color w:val="FF0000"/>
        </w:rPr>
        <w:t>CO</w:t>
      </w:r>
      <w:r w:rsidRPr="00BC6962">
        <w:rPr>
          <w:color w:val="FF0000"/>
          <w:vertAlign w:val="subscript"/>
        </w:rPr>
        <w:t>2</w:t>
      </w:r>
      <w:r w:rsidRPr="00CB6F9C">
        <w:rPr>
          <w:rFonts w:asciiTheme="majorBidi" w:hAnsiTheme="majorBidi" w:cstheme="majorBidi"/>
          <w:szCs w:val="24"/>
        </w:rPr>
        <w:t xml:space="preserve"> emission. Likewise, column (2) also shows that non-renewable energy is not predicted by its own lags and the lags of greenhouse gas emission. </w:t>
      </w:r>
    </w:p>
    <w:p w14:paraId="242E7E1A" w14:textId="77777777" w:rsidR="007A39EB" w:rsidRPr="00CB6F9C" w:rsidRDefault="007A39EB" w:rsidP="007A39EB">
      <w:pPr>
        <w:suppressAutoHyphens/>
        <w:autoSpaceDE w:val="0"/>
        <w:autoSpaceDN w:val="0"/>
        <w:adjustRightInd w:val="0"/>
        <w:spacing w:before="100" w:beforeAutospacing="1" w:after="100" w:afterAutospacing="1"/>
        <w:ind w:firstLine="709"/>
        <w:rPr>
          <w:rFonts w:asciiTheme="majorBidi" w:hAnsiTheme="majorBidi" w:cstheme="majorBidi"/>
          <w:szCs w:val="24"/>
        </w:rPr>
      </w:pPr>
      <w:r w:rsidRPr="00CB6F9C">
        <w:rPr>
          <w:rFonts w:asciiTheme="majorBidi" w:hAnsiTheme="majorBidi" w:cstheme="majorBidi"/>
          <w:szCs w:val="24"/>
        </w:rPr>
        <w:t xml:space="preserve">Overall, the main results of the Granger causality tests suggest there is a full unidirectional causality running between both energy sources and greenhouse gas emissions, including a -0.00201 causality of running from renewable energy source to greenhouse gas emission, and a 0.00053 causality running from non-renewable energy source to greenhouse gas emission. Thus, Table 5 and Table 6 indicate that both </w:t>
      </w:r>
      <w:r w:rsidRPr="00BC6962">
        <w:rPr>
          <w:color w:val="FF0000"/>
        </w:rPr>
        <w:t>CO</w:t>
      </w:r>
      <w:r w:rsidRPr="00BC6962">
        <w:rPr>
          <w:color w:val="FF0000"/>
          <w:vertAlign w:val="subscript"/>
        </w:rPr>
        <w:t>2</w:t>
      </w:r>
      <w:r w:rsidRPr="00CB6F9C">
        <w:rPr>
          <w:rFonts w:asciiTheme="majorBidi" w:hAnsiTheme="majorBidi" w:cstheme="majorBidi"/>
          <w:szCs w:val="24"/>
        </w:rPr>
        <w:t xml:space="preserve"> emission and greenhouse gas emission are unidirectionally Granger caused by both renewable and non-renewable energy sources. On one hand, the effort of Chinese policymaker</w:t>
      </w:r>
      <w:r>
        <w:rPr>
          <w:rFonts w:asciiTheme="majorBidi" w:hAnsiTheme="majorBidi" w:cstheme="majorBidi"/>
          <w:szCs w:val="24"/>
        </w:rPr>
        <w:t>s</w:t>
      </w:r>
      <w:r w:rsidRPr="00CB6F9C">
        <w:rPr>
          <w:rFonts w:asciiTheme="majorBidi" w:hAnsiTheme="majorBidi" w:cstheme="majorBidi"/>
          <w:szCs w:val="24"/>
        </w:rPr>
        <w:t xml:space="preserve"> on </w:t>
      </w:r>
      <w:r>
        <w:rPr>
          <w:rFonts w:asciiTheme="majorBidi" w:hAnsiTheme="majorBidi" w:cstheme="majorBidi"/>
          <w:szCs w:val="24"/>
        </w:rPr>
        <w:t xml:space="preserve">encouraging </w:t>
      </w:r>
      <w:r w:rsidRPr="00CB6F9C">
        <w:rPr>
          <w:rFonts w:asciiTheme="majorBidi" w:hAnsiTheme="majorBidi" w:cstheme="majorBidi"/>
          <w:szCs w:val="24"/>
        </w:rPr>
        <w:t>use of renewable energy has successfully reduce</w:t>
      </w:r>
      <w:r>
        <w:rPr>
          <w:rFonts w:asciiTheme="majorBidi" w:hAnsiTheme="majorBidi" w:cstheme="majorBidi"/>
          <w:szCs w:val="24"/>
        </w:rPr>
        <w:t>d</w:t>
      </w:r>
      <w:r w:rsidRPr="00CB6F9C">
        <w:rPr>
          <w:rFonts w:asciiTheme="majorBidi" w:hAnsiTheme="majorBidi" w:cstheme="majorBidi"/>
          <w:szCs w:val="24"/>
        </w:rPr>
        <w:t xml:space="preserve"> the air pollution. On the other hand, the rising air pollution levels in China ha</w:t>
      </w:r>
      <w:r>
        <w:rPr>
          <w:rFonts w:asciiTheme="majorBidi" w:hAnsiTheme="majorBidi" w:cstheme="majorBidi"/>
          <w:szCs w:val="24"/>
        </w:rPr>
        <w:t>ve</w:t>
      </w:r>
      <w:r w:rsidRPr="00CB6F9C">
        <w:rPr>
          <w:rFonts w:asciiTheme="majorBidi" w:hAnsiTheme="majorBidi" w:cstheme="majorBidi"/>
          <w:szCs w:val="24"/>
        </w:rPr>
        <w:t xml:space="preserve"> not induced policymaker</w:t>
      </w:r>
      <w:r>
        <w:rPr>
          <w:rFonts w:asciiTheme="majorBidi" w:hAnsiTheme="majorBidi" w:cstheme="majorBidi"/>
          <w:szCs w:val="24"/>
        </w:rPr>
        <w:t>s</w:t>
      </w:r>
      <w:r w:rsidRPr="00CB6F9C">
        <w:rPr>
          <w:rFonts w:asciiTheme="majorBidi" w:hAnsiTheme="majorBidi" w:cstheme="majorBidi"/>
          <w:szCs w:val="24"/>
        </w:rPr>
        <w:t xml:space="preserve"> to </w:t>
      </w:r>
      <w:r>
        <w:rPr>
          <w:rFonts w:asciiTheme="majorBidi" w:hAnsiTheme="majorBidi" w:cstheme="majorBidi"/>
          <w:szCs w:val="24"/>
        </w:rPr>
        <w:t>advance the pace of implementation of</w:t>
      </w:r>
      <w:r w:rsidRPr="00CB6F9C">
        <w:rPr>
          <w:rFonts w:asciiTheme="majorBidi" w:hAnsiTheme="majorBidi" w:cstheme="majorBidi"/>
          <w:szCs w:val="24"/>
        </w:rPr>
        <w:t xml:space="preserve"> renewable energy</w:t>
      </w:r>
      <w:r>
        <w:rPr>
          <w:rFonts w:asciiTheme="majorBidi" w:hAnsiTheme="majorBidi" w:cstheme="majorBidi"/>
          <w:szCs w:val="24"/>
        </w:rPr>
        <w:t xml:space="preserve"> sources</w:t>
      </w:r>
      <w:r w:rsidRPr="00CB6F9C">
        <w:rPr>
          <w:rFonts w:asciiTheme="majorBidi" w:hAnsiTheme="majorBidi" w:cstheme="majorBidi"/>
          <w:szCs w:val="24"/>
        </w:rPr>
        <w:t>.</w:t>
      </w:r>
    </w:p>
    <w:p w14:paraId="26A86032" w14:textId="77777777" w:rsidR="007A39EB" w:rsidRDefault="007A39EB" w:rsidP="007A39EB">
      <w:pPr>
        <w:spacing w:before="100" w:beforeAutospacing="1" w:after="100" w:afterAutospacing="1" w:line="259" w:lineRule="auto"/>
        <w:jc w:val="left"/>
        <w:rPr>
          <w:rFonts w:asciiTheme="majorBidi" w:hAnsiTheme="majorBidi" w:cstheme="majorBidi"/>
          <w:b/>
          <w:bCs/>
          <w:szCs w:val="24"/>
        </w:rPr>
      </w:pPr>
      <w:r>
        <w:br w:type="page"/>
      </w:r>
    </w:p>
    <w:p w14:paraId="247F3336" w14:textId="77777777" w:rsidR="007A39EB" w:rsidRPr="00CB6F9C" w:rsidRDefault="007A39EB" w:rsidP="007A39EB">
      <w:pPr>
        <w:pStyle w:val="Heading1"/>
        <w:spacing w:before="100" w:beforeAutospacing="1" w:after="100" w:afterAutospacing="1"/>
      </w:pPr>
      <w:r w:rsidRPr="00CB6F9C">
        <w:lastRenderedPageBreak/>
        <w:t xml:space="preserve">5. CONCLUSION </w:t>
      </w:r>
    </w:p>
    <w:p w14:paraId="3EDC5850" w14:textId="77777777" w:rsidR="007A39EB" w:rsidRPr="00CB6F9C" w:rsidRDefault="007A39EB" w:rsidP="007A39EB">
      <w:pPr>
        <w:spacing w:before="100" w:beforeAutospacing="1" w:after="100" w:afterAutospacing="1"/>
        <w:ind w:firstLine="720"/>
      </w:pPr>
      <w:r w:rsidRPr="00CB6F9C">
        <w:t xml:space="preserve">In this study, we aimed to examine the impact of renewable and non-renewable energies on carbon </w:t>
      </w:r>
      <w:proofErr w:type="spellStart"/>
      <w:r w:rsidRPr="00CB6F9C">
        <w:t>neutrali</w:t>
      </w:r>
      <w:r>
        <w:t>s</w:t>
      </w:r>
      <w:r w:rsidRPr="00CB6F9C">
        <w:t>ation</w:t>
      </w:r>
      <w:proofErr w:type="spellEnd"/>
      <w:r w:rsidRPr="00CB6F9C">
        <w:t xml:space="preserve"> in China, motivated by </w:t>
      </w:r>
      <w:r>
        <w:t xml:space="preserve">China’s </w:t>
      </w:r>
      <w:r w:rsidRPr="00CB6F9C">
        <w:t>14th Five-Year Plan (2021-2025) for implementing "</w:t>
      </w:r>
      <w:proofErr w:type="gramStart"/>
      <w:r w:rsidRPr="00CB6F9C">
        <w:t>Dual-control</w:t>
      </w:r>
      <w:proofErr w:type="gramEnd"/>
      <w:r w:rsidRPr="00CB6F9C">
        <w:t xml:space="preserve">" to achieve an energy consumption cap and a decline in energy intensity of GDP. Our study used a large and comprehensive sample of Chinese energy and macroeconomics data over a period of 32 years. Our findings provide important insights into the relationship between energy sources and air pollution in China, which has significant implications for global policy and market debates. Specifically, our Granger causality results show that as China's economy grows, </w:t>
      </w:r>
      <w:r>
        <w:t>air pollution levels decrease as the use of renewable energy increases.</w:t>
      </w:r>
      <w:r w:rsidRPr="00CB6F9C">
        <w:t xml:space="preserve"> Al</w:t>
      </w:r>
      <w:r>
        <w:t>s</w:t>
      </w:r>
      <w:r w:rsidRPr="00CB6F9C">
        <w:t xml:space="preserve">o, the implementation of stricter environmental regulations by the Chinese government has </w:t>
      </w:r>
      <w:r>
        <w:t xml:space="preserve">increased </w:t>
      </w:r>
      <w:r w:rsidRPr="00CB6F9C">
        <w:t xml:space="preserve">the use of renewable energy sources and </w:t>
      </w:r>
      <w:r>
        <w:t xml:space="preserve">this </w:t>
      </w:r>
      <w:r w:rsidRPr="00CB6F9C">
        <w:t xml:space="preserve">has </w:t>
      </w:r>
      <w:r>
        <w:t>G</w:t>
      </w:r>
      <w:r w:rsidRPr="00CB6F9C">
        <w:t xml:space="preserve">ranger-caused a reduction in air pollution levels. The results are consistent with both the EKC theory and the Porter Hypothesis. Our findings suggest that China may be approaching the turning point on the EKC, where economic growth leads to an improvement in environmental quality. At the same time, the Porter Hypothesis is supported, showing that the implementation of stricter regulations can </w:t>
      </w:r>
      <w:proofErr w:type="spellStart"/>
      <w:r w:rsidRPr="00CB6F9C">
        <w:t>incentivi</w:t>
      </w:r>
      <w:r>
        <w:t>s</w:t>
      </w:r>
      <w:r w:rsidRPr="00CB6F9C">
        <w:t>e</w:t>
      </w:r>
      <w:proofErr w:type="spellEnd"/>
      <w:r w:rsidRPr="00CB6F9C">
        <w:t xml:space="preserve"> the country to invest in research and development for more efficient and cleaner production processes, which can ultimately lead to improved air quality. These findings have significant international implications for global policy and market debates related to carbon </w:t>
      </w:r>
      <w:proofErr w:type="spellStart"/>
      <w:r w:rsidRPr="00CB6F9C">
        <w:t>neutrali</w:t>
      </w:r>
      <w:r>
        <w:t>s</w:t>
      </w:r>
      <w:r w:rsidRPr="00CB6F9C">
        <w:t>ation</w:t>
      </w:r>
      <w:proofErr w:type="spellEnd"/>
      <w:r w:rsidRPr="00CB6F9C">
        <w:t xml:space="preserve"> and sustainable energy transitions. However, the study also reveals that China's economy still heavily relies on non-renewable energy sources, indicating a need for continued efforts to shift towards cleaner energy sources in the country. The results of this study </w:t>
      </w:r>
      <w:r>
        <w:t>have i</w:t>
      </w:r>
      <w:r w:rsidRPr="00CB6F9C">
        <w:t>mportant implications for policymakers and industries in China</w:t>
      </w:r>
      <w:r>
        <w:t>,</w:t>
      </w:r>
      <w:r w:rsidRPr="00CB6F9C">
        <w:t xml:space="preserve"> and globally, </w:t>
      </w:r>
      <w:proofErr w:type="spellStart"/>
      <w:r w:rsidRPr="00CB6F9C">
        <w:t>emphasi</w:t>
      </w:r>
      <w:r>
        <w:t>s</w:t>
      </w:r>
      <w:r w:rsidRPr="00CB6F9C">
        <w:t>ing</w:t>
      </w:r>
      <w:proofErr w:type="spellEnd"/>
      <w:r w:rsidRPr="00CB6F9C">
        <w:t xml:space="preserve"> the need for continued investment in renewable energy sources and the promotion of innovation to achieve carbon </w:t>
      </w:r>
      <w:proofErr w:type="spellStart"/>
      <w:r w:rsidRPr="00CB6F9C">
        <w:t>neutrali</w:t>
      </w:r>
      <w:r>
        <w:t>s</w:t>
      </w:r>
      <w:r w:rsidRPr="00CB6F9C">
        <w:t>ation</w:t>
      </w:r>
      <w:proofErr w:type="spellEnd"/>
      <w:r w:rsidRPr="00CB6F9C">
        <w:t xml:space="preserve">. Overall, </w:t>
      </w:r>
      <w:r>
        <w:t xml:space="preserve">the findings of </w:t>
      </w:r>
      <w:r w:rsidRPr="00CB6F9C">
        <w:t xml:space="preserve">this study contribute to </w:t>
      </w:r>
      <w:r w:rsidRPr="00CB6F9C">
        <w:lastRenderedPageBreak/>
        <w:t xml:space="preserve">a better understanding of carbon </w:t>
      </w:r>
      <w:proofErr w:type="spellStart"/>
      <w:r w:rsidRPr="00CB6F9C">
        <w:t>neutrali</w:t>
      </w:r>
      <w:r>
        <w:t>s</w:t>
      </w:r>
      <w:r w:rsidRPr="00CB6F9C">
        <w:t>ation</w:t>
      </w:r>
      <w:proofErr w:type="spellEnd"/>
      <w:r w:rsidRPr="00CB6F9C">
        <w:t xml:space="preserve"> and its stimulation through technology and innovation in the context of China.</w:t>
      </w:r>
    </w:p>
    <w:p w14:paraId="2634C9A9" w14:textId="77777777" w:rsidR="007A39EB" w:rsidRDefault="007A39EB" w:rsidP="007A39EB">
      <w:pPr>
        <w:spacing w:before="100" w:beforeAutospacing="1" w:after="100" w:afterAutospacing="1"/>
        <w:ind w:firstLine="720"/>
      </w:pPr>
      <w:r w:rsidRPr="00CB6F9C">
        <w:t xml:space="preserve">The implications of renewable energy reducing air pollution are numerous and significant, ranging from improvements in public health to reductions in greenhouse gas emissions and enhanced energy security. By investing in renewable energy, countries can reap a wide range of benefits while also helping </w:t>
      </w:r>
      <w:r>
        <w:t>alleviate</w:t>
      </w:r>
      <w:r w:rsidRPr="00CB6F9C">
        <w:t xml:space="preserve"> some of the most </w:t>
      </w:r>
      <w:r>
        <w:t>urgent</w:t>
      </w:r>
      <w:r w:rsidRPr="00CB6F9C">
        <w:t xml:space="preserve"> environmental and economic challenges</w:t>
      </w:r>
      <w:r>
        <w:t xml:space="preserve"> confronting</w:t>
      </w:r>
      <w:r w:rsidRPr="00CB6F9C">
        <w:t xml:space="preserve"> the world today, such as climate change (</w:t>
      </w:r>
      <w:proofErr w:type="spellStart"/>
      <w:r w:rsidRPr="00CB6F9C">
        <w:t>Doğan</w:t>
      </w:r>
      <w:proofErr w:type="spellEnd"/>
      <w:r w:rsidRPr="00CB6F9C">
        <w:t xml:space="preserve"> et al., 2020), resource depletion (Zhang et al., 2023), pollution (Nasir et al., 2021), and population growth (Pham et al., 2020). </w:t>
      </w:r>
      <w:r>
        <w:rPr>
          <w:color w:val="FF0000"/>
        </w:rPr>
        <w:t>For policy makers, our findings highlight the importance of r</w:t>
      </w:r>
      <w:r w:rsidRPr="0051704D">
        <w:t xml:space="preserve">eplacing fossil fuels with renewable energy sources </w:t>
      </w:r>
      <w:r w:rsidRPr="007B2A9E">
        <w:rPr>
          <w:color w:val="FF0000"/>
        </w:rPr>
        <w:t>as it has</w:t>
      </w:r>
      <w:r w:rsidRPr="0051704D">
        <w:t xml:space="preserve"> numerous benefits for the environment and public health. </w:t>
      </w:r>
      <w:r w:rsidRPr="008C5FAC">
        <w:t>The combustion of non-renewable fuels is a significant source of greenhouse gas emissions, which are accountable for global climate change. Renewable energy sources can decrease these emissions, enhance air quality, and safeguard public health.</w:t>
      </w:r>
      <w:r>
        <w:t xml:space="preserve"> </w:t>
      </w:r>
      <w:r w:rsidRPr="0051704D">
        <w:t>Additionally, renewable energy sources are typically less affected by price fluctuations and supply disruptions than fossil fuels.</w:t>
      </w:r>
      <w:r>
        <w:t xml:space="preserve"> </w:t>
      </w:r>
      <w:r w:rsidRPr="00CB6F9C">
        <w:t>By diversifying the energy mix and increasing the use of renewable energy, countries can enhance their energy security and reduce their dependence on imported fossil fuels.</w:t>
      </w:r>
      <w:r>
        <w:t xml:space="preserve"> </w:t>
      </w:r>
      <w:r>
        <w:rPr>
          <w:color w:val="FF0000"/>
        </w:rPr>
        <w:t>Also, governments can effectively address environmental concerns, reduce greenhouse gas emissions, and mitigate the impacts of climate change.</w:t>
      </w:r>
      <w:r w:rsidRPr="00CB6F9C">
        <w:t xml:space="preserve"> </w:t>
      </w:r>
      <w:r w:rsidRPr="009C31E3">
        <w:t xml:space="preserve">Our findings reveal that non-renewable energy sources have a detrimental effect on air pollution, highlighting their significant contribution to global greenhouse gas emissions that drive climate change. For instance, </w:t>
      </w:r>
      <w:r>
        <w:t>t</w:t>
      </w:r>
      <w:r w:rsidRPr="00183F8C">
        <w:t xml:space="preserve">he combustion of non-renewable fuels, such as fossil fuels, </w:t>
      </w:r>
      <w:r>
        <w:t>causes</w:t>
      </w:r>
      <w:r w:rsidRPr="00183F8C">
        <w:t xml:space="preserve"> the emission of carbon dioxide and other greenhouse gases, which accumulate in the atmosphere and trap heat, leading to a rise in global temperatures.</w:t>
      </w:r>
      <w:r>
        <w:t xml:space="preserve"> </w:t>
      </w:r>
      <w:r w:rsidRPr="009C31E3">
        <w:t>This warming phenomenon can trigger various adverse impacts such as extreme heatwaves, droughts, floods, and other severe weather events.</w:t>
      </w:r>
      <w:r>
        <w:t xml:space="preserve"> </w:t>
      </w:r>
      <w:r w:rsidRPr="00CB6F9C">
        <w:t xml:space="preserve">The extraction and transportation of non-renewable energy sources can also have </w:t>
      </w:r>
      <w:r w:rsidRPr="00CB6F9C">
        <w:lastRenderedPageBreak/>
        <w:t xml:space="preserve">negative environmental impacts, such as habitat destruction, water pollution, and soil degradation. </w:t>
      </w:r>
    </w:p>
    <w:p w14:paraId="52290EA4" w14:textId="77777777" w:rsidR="007A39EB" w:rsidRPr="00290AB8" w:rsidRDefault="007A39EB" w:rsidP="007A39EB">
      <w:pPr>
        <w:spacing w:before="100" w:beforeAutospacing="1" w:after="100" w:afterAutospacing="1"/>
        <w:ind w:firstLine="720"/>
        <w:rPr>
          <w:color w:val="FF0000"/>
        </w:rPr>
      </w:pPr>
      <w:r>
        <w:t>T</w:t>
      </w:r>
      <w:r w:rsidRPr="00CB6F9C">
        <w:t>he negative impacts o</w:t>
      </w:r>
      <w:r>
        <w:t>f</w:t>
      </w:r>
      <w:r w:rsidRPr="00CB6F9C">
        <w:t xml:space="preserve"> air pollution and climate change can also have significant economic costs, such as increased healthcare costs, damage to infrastructure, and decreased productivity</w:t>
      </w:r>
      <w:r>
        <w:t xml:space="preserve"> (Adekoya et al., 2023; </w:t>
      </w:r>
      <w:proofErr w:type="spellStart"/>
      <w:r>
        <w:t>VoPham</w:t>
      </w:r>
      <w:proofErr w:type="spellEnd"/>
      <w:r>
        <w:t xml:space="preserve"> et al., 2018</w:t>
      </w:r>
      <w:r>
        <w:rPr>
          <w:rFonts w:hint="eastAsia"/>
        </w:rPr>
        <w:t>)</w:t>
      </w:r>
      <w:r w:rsidRPr="00CB6F9C">
        <w:t xml:space="preserve">. </w:t>
      </w:r>
      <w:r w:rsidRPr="00F457A7">
        <w:rPr>
          <w:color w:val="FF0000"/>
        </w:rPr>
        <w:t xml:space="preserve">Stakeholders, including </w:t>
      </w:r>
      <w:r>
        <w:rPr>
          <w:color w:val="FF0000"/>
        </w:rPr>
        <w:t xml:space="preserve">those in the </w:t>
      </w:r>
      <w:r w:rsidRPr="00F457A7">
        <w:rPr>
          <w:color w:val="FF0000"/>
        </w:rPr>
        <w:t xml:space="preserve">energy industry, can benefit from our research by </w:t>
      </w:r>
      <w:proofErr w:type="spellStart"/>
      <w:r w:rsidRPr="00F457A7">
        <w:rPr>
          <w:color w:val="FF0000"/>
        </w:rPr>
        <w:t>recogni</w:t>
      </w:r>
      <w:r>
        <w:rPr>
          <w:color w:val="FF0000"/>
        </w:rPr>
        <w:t>s</w:t>
      </w:r>
      <w:r w:rsidRPr="00F457A7">
        <w:rPr>
          <w:color w:val="FF0000"/>
        </w:rPr>
        <w:t>ing</w:t>
      </w:r>
      <w:proofErr w:type="spellEnd"/>
      <w:r w:rsidRPr="00F457A7">
        <w:rPr>
          <w:color w:val="FF0000"/>
        </w:rPr>
        <w:t xml:space="preserve"> the market opportunities associated with renewable energy. The transition towards renewable energy sources presents new avenues for growth, innovation, and competitiveness. Stakeholders can align their business strategies with the global shift towards sustainable energy, leading to long-term profitability and reduced environmental impact. Our study underscores the potential economic benefits that can be derived from embracing renewable energy technologies. Overall</w:t>
      </w:r>
      <w:r w:rsidRPr="00290AB8">
        <w:rPr>
          <w:color w:val="FF0000"/>
        </w:rPr>
        <w:t xml:space="preserve">, while there are some negative implications for air pollution associated with renewable energy production (e.g., the release of pollutants during manufacturing, disposal of renewable energy technologies, and potential impacts on wildlife and ecosystems from large-scale renewable energy projects), these impacts are generally much lower than those associated with fossil fuels. Moreover, they can be effectively managed through meticulous planning and implementation of mitigation measures. </w:t>
      </w:r>
    </w:p>
    <w:p w14:paraId="0C2396E7" w14:textId="77777777" w:rsidR="007A39EB" w:rsidRDefault="007A39EB" w:rsidP="007A39EB">
      <w:pPr>
        <w:spacing w:before="100" w:beforeAutospacing="1" w:after="100" w:afterAutospacing="1"/>
        <w:ind w:firstLine="720"/>
      </w:pPr>
      <w:r>
        <w:t>W</w:t>
      </w:r>
      <w:r w:rsidRPr="00CB6F9C">
        <w:t>ith respect to our study setting, China</w:t>
      </w:r>
      <w:r>
        <w:t>,</w:t>
      </w:r>
      <w:r w:rsidRPr="00CB6F9C">
        <w:t xml:space="preserve"> as </w:t>
      </w:r>
      <w:r>
        <w:t xml:space="preserve">a </w:t>
      </w:r>
      <w:r w:rsidRPr="00CB6F9C">
        <w:t>fast-growing economy</w:t>
      </w:r>
      <w:r>
        <w:t>,</w:t>
      </w:r>
      <w:r w:rsidRPr="00CB6F9C">
        <w:t xml:space="preserve"> provides a</w:t>
      </w:r>
      <w:r>
        <w:t>n example</w:t>
      </w:r>
      <w:r w:rsidRPr="00CB6F9C">
        <w:t xml:space="preserve"> to other developing nations in achieving a balance between econom</w:t>
      </w:r>
      <w:r>
        <w:t>ic</w:t>
      </w:r>
      <w:r w:rsidRPr="00CB6F9C">
        <w:t xml:space="preserve"> expansion and environment</w:t>
      </w:r>
      <w:r>
        <w:t>al</w:t>
      </w:r>
      <w:r w:rsidRPr="00CB6F9C">
        <w:t xml:space="preserve"> protection. For example, on a firm-level</w:t>
      </w:r>
      <w:r>
        <w:t xml:space="preserve"> basis</w:t>
      </w:r>
      <w:r w:rsidRPr="00CB6F9C">
        <w:t xml:space="preserve">, international companies (e.g., HP, Dell, and Apple) are </w:t>
      </w:r>
      <w:r>
        <w:t xml:space="preserve">withdrawing their manufacturing facilities from </w:t>
      </w:r>
      <w:r w:rsidRPr="00CB6F9C">
        <w:t xml:space="preserve">China </w:t>
      </w:r>
      <w:r>
        <w:t xml:space="preserve">to move to </w:t>
      </w:r>
      <w:r w:rsidRPr="00CB6F9C">
        <w:t xml:space="preserve">friendlier shores (e.g., India, Vietnam, and other countries in Southeast Asia) </w:t>
      </w:r>
      <w:r>
        <w:t xml:space="preserve">where there is a </w:t>
      </w:r>
      <w:r w:rsidRPr="00CB6F9C">
        <w:t xml:space="preserve">Zero Covid policy and unstable political environment (Zhang, 2023). If other economies wish </w:t>
      </w:r>
      <w:r w:rsidRPr="00CB6F9C">
        <w:lastRenderedPageBreak/>
        <w:t xml:space="preserve">to welcome more foreign companies to their countries, they can </w:t>
      </w:r>
      <w:proofErr w:type="spellStart"/>
      <w:r w:rsidRPr="00CB6F9C">
        <w:t>utili</w:t>
      </w:r>
      <w:r>
        <w:t>s</w:t>
      </w:r>
      <w:r w:rsidRPr="00CB6F9C">
        <w:t>e</w:t>
      </w:r>
      <w:proofErr w:type="spellEnd"/>
      <w:r w:rsidRPr="00CB6F9C">
        <w:t xml:space="preserve"> </w:t>
      </w:r>
      <w:r>
        <w:t xml:space="preserve">the </w:t>
      </w:r>
      <w:r w:rsidRPr="00CB6F9C">
        <w:t xml:space="preserve">findings indicated in this study. </w:t>
      </w:r>
    </w:p>
    <w:p w14:paraId="4C60CFEB" w14:textId="77777777" w:rsidR="007A39EB" w:rsidRPr="00CB6F9C" w:rsidRDefault="007A39EB" w:rsidP="007A39EB">
      <w:pPr>
        <w:spacing w:before="100" w:beforeAutospacing="1" w:after="100" w:afterAutospacing="1"/>
        <w:ind w:firstLine="720"/>
      </w:pPr>
      <w:r w:rsidRPr="00CB6F9C">
        <w:t>Econom</w:t>
      </w:r>
      <w:r>
        <w:t>ic</w:t>
      </w:r>
      <w:r w:rsidRPr="00CB6F9C">
        <w:t xml:space="preserve"> expansion in China has accelerated since China joined </w:t>
      </w:r>
      <w:r>
        <w:t xml:space="preserve">the </w:t>
      </w:r>
      <w:r w:rsidRPr="00CB6F9C">
        <w:t xml:space="preserve">WTO in 2001 (Li et al., 2021). Air pollution </w:t>
      </w:r>
      <w:r>
        <w:t xml:space="preserve">accompanied </w:t>
      </w:r>
      <w:r w:rsidRPr="00CB6F9C">
        <w:t xml:space="preserve">the accelerating wealth accumulation process in China (Lin and Zhu, 2019; Zhou et al., 2019), and the Chinese government </w:t>
      </w:r>
      <w:r w:rsidRPr="00CB6F9C">
        <w:rPr>
          <w:rFonts w:cs="Times New Roman"/>
          <w:shd w:val="clear" w:color="auto" w:fill="FFFFFF"/>
        </w:rPr>
        <w:t>implement</w:t>
      </w:r>
      <w:r>
        <w:rPr>
          <w:rFonts w:cs="Times New Roman"/>
          <w:shd w:val="clear" w:color="auto" w:fill="FFFFFF"/>
        </w:rPr>
        <w:t>ed</w:t>
      </w:r>
      <w:r w:rsidRPr="00CB6F9C">
        <w:rPr>
          <w:rFonts w:cs="Times New Roman"/>
          <w:shd w:val="clear" w:color="auto" w:fill="FFFFFF"/>
        </w:rPr>
        <w:t xml:space="preserve"> </w:t>
      </w:r>
      <w:r>
        <w:rPr>
          <w:rFonts w:cs="Times New Roman"/>
          <w:shd w:val="clear" w:color="auto" w:fill="FFFFFF"/>
        </w:rPr>
        <w:t>various</w:t>
      </w:r>
      <w:r w:rsidRPr="00CB6F9C">
        <w:rPr>
          <w:rFonts w:cs="Times New Roman"/>
          <w:shd w:val="clear" w:color="auto" w:fill="FFFFFF"/>
        </w:rPr>
        <w:t xml:space="preserve"> policies </w:t>
      </w:r>
      <w:r>
        <w:rPr>
          <w:rFonts w:cs="Times New Roman"/>
          <w:shd w:val="clear" w:color="auto" w:fill="FFFFFF"/>
        </w:rPr>
        <w:t xml:space="preserve">and regulations </w:t>
      </w:r>
      <w:r w:rsidRPr="00CB6F9C">
        <w:rPr>
          <w:rFonts w:cs="Times New Roman"/>
          <w:shd w:val="clear" w:color="auto" w:fill="FFFFFF"/>
        </w:rPr>
        <w:t xml:space="preserve">to promote renewable energy </w:t>
      </w:r>
      <w:r>
        <w:rPr>
          <w:rFonts w:cs="Times New Roman"/>
          <w:shd w:val="clear" w:color="auto" w:fill="FFFFFF"/>
        </w:rPr>
        <w:t xml:space="preserve">adoption </w:t>
      </w:r>
      <w:r w:rsidRPr="00CB6F9C">
        <w:rPr>
          <w:rFonts w:cs="Times New Roman"/>
          <w:shd w:val="clear" w:color="auto" w:fill="FFFFFF"/>
        </w:rPr>
        <w:t>since 2000s. </w:t>
      </w:r>
      <w:r w:rsidRPr="00CB6F9C">
        <w:t xml:space="preserve"> </w:t>
      </w:r>
      <w:r w:rsidRPr="00CB6F9C">
        <w:rPr>
          <w:rFonts w:cs="Times New Roman"/>
        </w:rPr>
        <w:t xml:space="preserve">For example, </w:t>
      </w:r>
      <w:r w:rsidRPr="009C31E3">
        <w:rPr>
          <w:rFonts w:cs="Times New Roman"/>
          <w:shd w:val="clear" w:color="auto" w:fill="FFFFFF"/>
        </w:rPr>
        <w:t>the Renewable Energy Law</w:t>
      </w:r>
      <w:r>
        <w:rPr>
          <w:rFonts w:cs="Times New Roman"/>
          <w:shd w:val="clear" w:color="auto" w:fill="FFFFFF"/>
        </w:rPr>
        <w:t>,</w:t>
      </w:r>
      <w:r w:rsidRPr="009C31E3">
        <w:rPr>
          <w:rFonts w:cs="Times New Roman"/>
          <w:shd w:val="clear" w:color="auto" w:fill="FFFFFF"/>
        </w:rPr>
        <w:t xml:space="preserve"> passed in 2005, </w:t>
      </w:r>
      <w:proofErr w:type="spellStart"/>
      <w:r w:rsidRPr="009C31E3">
        <w:rPr>
          <w:rFonts w:cs="Times New Roman"/>
          <w:shd w:val="clear" w:color="auto" w:fill="FFFFFF"/>
        </w:rPr>
        <w:t>prioriti</w:t>
      </w:r>
      <w:r>
        <w:rPr>
          <w:rFonts w:cs="Times New Roman"/>
          <w:shd w:val="clear" w:color="auto" w:fill="FFFFFF"/>
        </w:rPr>
        <w:t>s</w:t>
      </w:r>
      <w:r w:rsidRPr="009C31E3">
        <w:rPr>
          <w:rFonts w:cs="Times New Roman"/>
          <w:shd w:val="clear" w:color="auto" w:fill="FFFFFF"/>
        </w:rPr>
        <w:t>es</w:t>
      </w:r>
      <w:proofErr w:type="spellEnd"/>
      <w:r w:rsidRPr="009C31E3">
        <w:rPr>
          <w:rFonts w:cs="Times New Roman"/>
          <w:shd w:val="clear" w:color="auto" w:fill="FFFFFF"/>
        </w:rPr>
        <w:t xml:space="preserve"> the development and us</w:t>
      </w:r>
      <w:r>
        <w:rPr>
          <w:rFonts w:cs="Times New Roman"/>
          <w:shd w:val="clear" w:color="auto" w:fill="FFFFFF"/>
        </w:rPr>
        <w:t>e</w:t>
      </w:r>
      <w:r w:rsidRPr="009C31E3">
        <w:rPr>
          <w:rFonts w:cs="Times New Roman"/>
          <w:shd w:val="clear" w:color="auto" w:fill="FFFFFF"/>
        </w:rPr>
        <w:t xml:space="preserve"> of renewable energy in energy development. </w:t>
      </w:r>
      <w:r w:rsidRPr="002A57FF">
        <w:rPr>
          <w:rFonts w:cs="Times New Roman"/>
          <w:shd w:val="clear" w:color="auto" w:fill="FFFFFF"/>
        </w:rPr>
        <w:t xml:space="preserve">The </w:t>
      </w:r>
      <w:r>
        <w:rPr>
          <w:rFonts w:cs="Times New Roman"/>
          <w:shd w:val="clear" w:color="auto" w:fill="FFFFFF"/>
        </w:rPr>
        <w:t xml:space="preserve">12th </w:t>
      </w:r>
      <w:r w:rsidRPr="002A57FF">
        <w:rPr>
          <w:rFonts w:cs="Times New Roman"/>
          <w:shd w:val="clear" w:color="auto" w:fill="FFFFFF"/>
        </w:rPr>
        <w:t xml:space="preserve">Five-Year Plan (2020-2025) lays significant emphasis on renewable energy, and the Golden Sun </w:t>
      </w:r>
      <w:proofErr w:type="spellStart"/>
      <w:r w:rsidRPr="002A57FF">
        <w:rPr>
          <w:rFonts w:cs="Times New Roman"/>
          <w:shd w:val="clear" w:color="auto" w:fill="FFFFFF"/>
        </w:rPr>
        <w:t>program</w:t>
      </w:r>
      <w:r>
        <w:rPr>
          <w:rFonts w:cs="Times New Roman"/>
          <w:shd w:val="clear" w:color="auto" w:fill="FFFFFF"/>
        </w:rPr>
        <w:t>me</w:t>
      </w:r>
      <w:proofErr w:type="spellEnd"/>
      <w:r w:rsidRPr="002A57FF">
        <w:rPr>
          <w:rFonts w:cs="Times New Roman"/>
          <w:shd w:val="clear" w:color="auto" w:fill="FFFFFF"/>
        </w:rPr>
        <w:t xml:space="preserve"> provides financial incentives, market promotion, and technological assistance to boost the expansion of the solar energy sector.</w:t>
      </w:r>
      <w:r>
        <w:rPr>
          <w:rFonts w:cs="Times New Roman"/>
          <w:shd w:val="clear" w:color="auto" w:fill="FFFFFF"/>
        </w:rPr>
        <w:t xml:space="preserve"> T</w:t>
      </w:r>
      <w:r w:rsidRPr="00C50C98">
        <w:rPr>
          <w:rFonts w:cs="Times New Roman"/>
          <w:shd w:val="clear" w:color="auto" w:fill="FFFFFF"/>
        </w:rPr>
        <w:t xml:space="preserve">he </w:t>
      </w:r>
      <w:r>
        <w:rPr>
          <w:rFonts w:cs="Times New Roman"/>
          <w:shd w:val="clear" w:color="auto" w:fill="FFFFFF"/>
        </w:rPr>
        <w:t xml:space="preserve">proportion </w:t>
      </w:r>
      <w:r w:rsidRPr="00C50C98">
        <w:rPr>
          <w:rFonts w:cs="Times New Roman"/>
          <w:shd w:val="clear" w:color="auto" w:fill="FFFFFF"/>
        </w:rPr>
        <w:t>of renewable energy sources has risen from approximately 10% in 1990 to nearly 30% in 2021.</w:t>
      </w:r>
      <w:r>
        <w:rPr>
          <w:rFonts w:cs="Times New Roman"/>
          <w:shd w:val="clear" w:color="auto" w:fill="FFFFFF"/>
        </w:rPr>
        <w:t xml:space="preserve"> </w:t>
      </w:r>
      <w:r w:rsidRPr="00CB6F9C">
        <w:t>Despite these measures taken by China</w:t>
      </w:r>
      <w:r>
        <w:t>,</w:t>
      </w:r>
      <w:r w:rsidRPr="00CB6F9C">
        <w:t xml:space="preserve"> to cope with </w:t>
      </w:r>
      <w:r>
        <w:t xml:space="preserve">increasing </w:t>
      </w:r>
      <w:r w:rsidRPr="00CB6F9C">
        <w:t xml:space="preserve">air pollution, negative </w:t>
      </w:r>
      <w:r>
        <w:t xml:space="preserve">environmental repercussions worsen </w:t>
      </w:r>
      <w:r w:rsidRPr="00CB6F9C">
        <w:t>quicker than the corrective actions taken.</w:t>
      </w:r>
      <w:r>
        <w:t xml:space="preserve"> </w:t>
      </w:r>
      <w:r w:rsidRPr="00B85DB4">
        <w:rPr>
          <w:color w:val="FF0000"/>
        </w:rPr>
        <w:t>T</w:t>
      </w:r>
      <w:r>
        <w:rPr>
          <w:color w:val="FF0000"/>
        </w:rPr>
        <w:t>herefore, i</w:t>
      </w:r>
      <w:r w:rsidRPr="00F16330">
        <w:rPr>
          <w:color w:val="FF0000"/>
        </w:rPr>
        <w:t>n the context of the wider society, our research underscores the significance of transitioning to cleaner energy sources for the wellbeing of communities. By reducing air pollution and improving overall environmental quality, the adoption of renewable energy can have positive impacts on public health, quality of life, and ecosystem sustainability. Our study contributes to raising awareness about the benefits of sustainable energy practices and highlights the importance of collective action in addressing global environmental challenges.</w:t>
      </w:r>
    </w:p>
    <w:p w14:paraId="39154675" w14:textId="77777777" w:rsidR="007A39EB" w:rsidRPr="00CB6F9C" w:rsidRDefault="007A39EB" w:rsidP="007A39EB">
      <w:pPr>
        <w:autoSpaceDE w:val="0"/>
        <w:autoSpaceDN w:val="0"/>
        <w:adjustRightInd w:val="0"/>
        <w:spacing w:before="100" w:beforeAutospacing="1" w:after="100" w:afterAutospacing="1"/>
        <w:ind w:firstLine="720"/>
        <w:rPr>
          <w:rFonts w:asciiTheme="majorBidi" w:hAnsiTheme="majorBidi" w:cstheme="majorBidi"/>
          <w:szCs w:val="24"/>
        </w:rPr>
      </w:pPr>
      <w:proofErr w:type="gramStart"/>
      <w:r w:rsidRPr="00CB6F9C">
        <w:rPr>
          <w:rFonts w:asciiTheme="majorBidi" w:hAnsiTheme="majorBidi" w:cstheme="majorBidi"/>
          <w:szCs w:val="24"/>
        </w:rPr>
        <w:t>In light of</w:t>
      </w:r>
      <w:proofErr w:type="gramEnd"/>
      <w:r w:rsidRPr="00CB6F9C">
        <w:rPr>
          <w:rFonts w:asciiTheme="majorBidi" w:hAnsiTheme="majorBidi" w:cstheme="majorBidi"/>
          <w:szCs w:val="24"/>
        </w:rPr>
        <w:t xml:space="preserve"> the upcoming COP28 summit, it is crucial to consider the international dimensions of the issues surrounding renewable energy and carbon emissions. As developed nations continue to </w:t>
      </w:r>
      <w:r>
        <w:rPr>
          <w:rFonts w:asciiTheme="majorBidi" w:hAnsiTheme="majorBidi" w:cstheme="majorBidi"/>
          <w:szCs w:val="24"/>
        </w:rPr>
        <w:t xml:space="preserve">push heavily </w:t>
      </w:r>
      <w:r w:rsidRPr="00CB6F9C">
        <w:rPr>
          <w:rFonts w:asciiTheme="majorBidi" w:hAnsiTheme="majorBidi" w:cstheme="majorBidi"/>
          <w:szCs w:val="24"/>
        </w:rPr>
        <w:t xml:space="preserve">polluting industries to developing countries (e.g., Vietnam, Indonesia, and Bangladesh), it becomes increasingly important to address the issue of global inequality and ensure that all nations have access to renewable energy sources at an affordable </w:t>
      </w:r>
      <w:r w:rsidRPr="00CB6F9C">
        <w:rPr>
          <w:rFonts w:asciiTheme="majorBidi" w:hAnsiTheme="majorBidi" w:cstheme="majorBidi"/>
          <w:szCs w:val="24"/>
        </w:rPr>
        <w:lastRenderedPageBreak/>
        <w:t xml:space="preserve">cost. The COP28 agenda highlights the need for inclusive climate action and the importance of collaboration among all nations in achieving a unified global goal. As such, policymakers and regulators should focus on identifying strategies to promote sustainable development and innovation that can help reduce the cost of renewable energy and ensure accessibility </w:t>
      </w:r>
      <w:r>
        <w:rPr>
          <w:rFonts w:asciiTheme="majorBidi" w:hAnsiTheme="majorBidi" w:cstheme="majorBidi"/>
          <w:szCs w:val="24"/>
        </w:rPr>
        <w:t xml:space="preserve">for </w:t>
      </w:r>
      <w:r w:rsidRPr="00CB6F9C">
        <w:rPr>
          <w:rFonts w:asciiTheme="majorBidi" w:hAnsiTheme="majorBidi" w:cstheme="majorBidi"/>
          <w:szCs w:val="24"/>
        </w:rPr>
        <w:t xml:space="preserve">all countries. This will require the concerted effort and investment of developed nations to support technological advancements that will help </w:t>
      </w:r>
      <w:r>
        <w:rPr>
          <w:rFonts w:asciiTheme="majorBidi" w:hAnsiTheme="majorBidi" w:cstheme="majorBidi"/>
          <w:szCs w:val="24"/>
        </w:rPr>
        <w:t xml:space="preserve">to </w:t>
      </w:r>
      <w:r w:rsidRPr="00CB6F9C">
        <w:rPr>
          <w:rFonts w:asciiTheme="majorBidi" w:hAnsiTheme="majorBidi" w:cstheme="majorBidi"/>
          <w:szCs w:val="24"/>
        </w:rPr>
        <w:t>reduce the cost of renewable energy, promote sustainable development, and ultimately achieve a more equitable and sustainable future for all.</w:t>
      </w:r>
    </w:p>
    <w:p w14:paraId="396D61FE" w14:textId="070253E2" w:rsidR="007A39EB" w:rsidRDefault="007A39EB" w:rsidP="00EC7FD0">
      <w:pPr>
        <w:autoSpaceDE w:val="0"/>
        <w:autoSpaceDN w:val="0"/>
        <w:adjustRightInd w:val="0"/>
        <w:spacing w:before="100" w:beforeAutospacing="1" w:after="100" w:afterAutospacing="1"/>
        <w:ind w:firstLine="720"/>
        <w:rPr>
          <w:rFonts w:asciiTheme="majorBidi" w:hAnsiTheme="majorBidi" w:cstheme="majorBidi"/>
          <w:b/>
          <w:bCs/>
          <w:szCs w:val="24"/>
        </w:rPr>
      </w:pPr>
      <w:r w:rsidRPr="00CB6F9C">
        <w:rPr>
          <w:rFonts w:asciiTheme="majorBidi" w:hAnsiTheme="majorBidi" w:cstheme="majorBidi"/>
          <w:szCs w:val="24"/>
        </w:rPr>
        <w:t xml:space="preserve">Although this study has important implications for theory and practice, it is important to acknowledge some limitations. First, the findings were derived from an investigation of air pollution in China. The updates from COP28 </w:t>
      </w:r>
      <w:proofErr w:type="spellStart"/>
      <w:r w:rsidRPr="00CB6F9C">
        <w:rPr>
          <w:rFonts w:asciiTheme="majorBidi" w:hAnsiTheme="majorBidi" w:cstheme="majorBidi"/>
          <w:szCs w:val="24"/>
        </w:rPr>
        <w:t>emphasi</w:t>
      </w:r>
      <w:r>
        <w:rPr>
          <w:rFonts w:asciiTheme="majorBidi" w:hAnsiTheme="majorBidi" w:cstheme="majorBidi"/>
          <w:szCs w:val="24"/>
        </w:rPr>
        <w:t>s</w:t>
      </w:r>
      <w:r w:rsidRPr="00CB6F9C">
        <w:rPr>
          <w:rFonts w:asciiTheme="majorBidi" w:hAnsiTheme="majorBidi" w:cstheme="majorBidi"/>
          <w:szCs w:val="24"/>
        </w:rPr>
        <w:t>e</w:t>
      </w:r>
      <w:proofErr w:type="spellEnd"/>
      <w:r w:rsidRPr="00CB6F9C">
        <w:rPr>
          <w:rFonts w:asciiTheme="majorBidi" w:hAnsiTheme="majorBidi" w:cstheme="majorBidi"/>
          <w:szCs w:val="24"/>
        </w:rPr>
        <w:t xml:space="preserve"> the importance of collaboration and investment in innovation and technological advancement to support the transition towards a low-carbon economy. Therefore, future research should explore ways to support developing countries in adopting and implementing renewable energy sources while ensuring a fair and equitable distribution of costs and benefits. This could include examining the effectiveness of international climate finance mechanisms, exploring ways to reduce the cost of renewable energy, and assessing the potential for technology transfer and capacity building initiatives. Second, we examine the causal relationship between renewable and non-renewable energies on air pollution, without taking geographical location into account. The agenda for COP28 highlights the importance of the Loss and Damage Agreement and the global goal of adaptation, suggesting that future studies should focus on the effectiveness of these agreements in addressing climate change.</w:t>
      </w:r>
      <w:r w:rsidRPr="00CB6F9C">
        <w:t xml:space="preserve"> </w:t>
      </w:r>
      <w:r w:rsidRPr="00CB6F9C">
        <w:rPr>
          <w:rFonts w:asciiTheme="majorBidi" w:hAnsiTheme="majorBidi" w:cstheme="majorBidi"/>
          <w:szCs w:val="24"/>
        </w:rPr>
        <w:t xml:space="preserve">Finally, the Food and Agriculture </w:t>
      </w:r>
      <w:proofErr w:type="spellStart"/>
      <w:r w:rsidRPr="00CB6F9C">
        <w:rPr>
          <w:rFonts w:asciiTheme="majorBidi" w:hAnsiTheme="majorBidi" w:cstheme="majorBidi"/>
          <w:szCs w:val="24"/>
        </w:rPr>
        <w:t>Organi</w:t>
      </w:r>
      <w:r>
        <w:rPr>
          <w:rFonts w:asciiTheme="majorBidi" w:hAnsiTheme="majorBidi" w:cstheme="majorBidi"/>
          <w:szCs w:val="24"/>
        </w:rPr>
        <w:t>s</w:t>
      </w:r>
      <w:r w:rsidRPr="00CB6F9C">
        <w:rPr>
          <w:rFonts w:asciiTheme="majorBidi" w:hAnsiTheme="majorBidi" w:cstheme="majorBidi"/>
          <w:szCs w:val="24"/>
        </w:rPr>
        <w:t>ation's</w:t>
      </w:r>
      <w:proofErr w:type="spellEnd"/>
      <w:r w:rsidRPr="00CB6F9C">
        <w:rPr>
          <w:rFonts w:asciiTheme="majorBidi" w:hAnsiTheme="majorBidi" w:cstheme="majorBidi"/>
          <w:szCs w:val="24"/>
        </w:rPr>
        <w:t xml:space="preserve"> plan to reduce emissions from the food and agriculture </w:t>
      </w:r>
      <w:r>
        <w:rPr>
          <w:rFonts w:asciiTheme="majorBidi" w:hAnsiTheme="majorBidi" w:cstheme="majorBidi"/>
          <w:szCs w:val="24"/>
        </w:rPr>
        <w:t xml:space="preserve">industry, </w:t>
      </w:r>
      <w:r w:rsidRPr="00CB6F9C">
        <w:rPr>
          <w:rFonts w:asciiTheme="majorBidi" w:hAnsiTheme="majorBidi" w:cstheme="majorBidi"/>
          <w:szCs w:val="24"/>
        </w:rPr>
        <w:t>and the</w:t>
      </w:r>
      <w:r>
        <w:rPr>
          <w:rFonts w:asciiTheme="majorBidi" w:hAnsiTheme="majorBidi" w:cstheme="majorBidi"/>
          <w:szCs w:val="24"/>
        </w:rPr>
        <w:t>ir</w:t>
      </w:r>
      <w:r w:rsidRPr="00CB6F9C">
        <w:rPr>
          <w:rFonts w:asciiTheme="majorBidi" w:hAnsiTheme="majorBidi" w:cstheme="majorBidi"/>
          <w:szCs w:val="24"/>
        </w:rPr>
        <w:t xml:space="preserve"> aim to increase funding for innovation in climate-smart agriculture</w:t>
      </w:r>
      <w:r>
        <w:rPr>
          <w:rFonts w:asciiTheme="majorBidi" w:hAnsiTheme="majorBidi" w:cstheme="majorBidi"/>
          <w:szCs w:val="24"/>
        </w:rPr>
        <w:t>,</w:t>
      </w:r>
      <w:r w:rsidRPr="00CB6F9C">
        <w:rPr>
          <w:rFonts w:asciiTheme="majorBidi" w:hAnsiTheme="majorBidi" w:cstheme="majorBidi"/>
          <w:szCs w:val="24"/>
        </w:rPr>
        <w:t xml:space="preserve"> suggest that future studies should also examine the potential impact of sustainable agricultur</w:t>
      </w:r>
      <w:r>
        <w:rPr>
          <w:rFonts w:asciiTheme="majorBidi" w:hAnsiTheme="majorBidi" w:cstheme="majorBidi"/>
          <w:szCs w:val="24"/>
        </w:rPr>
        <w:t>al</w:t>
      </w:r>
      <w:r w:rsidRPr="00CB6F9C">
        <w:rPr>
          <w:rFonts w:asciiTheme="majorBidi" w:hAnsiTheme="majorBidi" w:cstheme="majorBidi"/>
          <w:szCs w:val="24"/>
        </w:rPr>
        <w:t xml:space="preserve"> practices on reducing air pollution.</w:t>
      </w:r>
      <w:r>
        <w:rPr>
          <w:rFonts w:asciiTheme="majorBidi" w:hAnsiTheme="majorBidi" w:cstheme="majorBidi"/>
          <w:b/>
          <w:bCs/>
          <w:szCs w:val="24"/>
        </w:rPr>
        <w:br w:type="page"/>
      </w:r>
    </w:p>
    <w:p w14:paraId="345526BE" w14:textId="77777777" w:rsidR="007A39EB" w:rsidRPr="00CB6F9C" w:rsidRDefault="007A39EB" w:rsidP="007A39EB">
      <w:pPr>
        <w:pStyle w:val="Heading1"/>
        <w:spacing w:before="100" w:beforeAutospacing="1" w:after="100" w:afterAutospacing="1"/>
      </w:pPr>
      <w:r w:rsidRPr="00CB6F9C">
        <w:lastRenderedPageBreak/>
        <w:t>REFERENCE</w:t>
      </w:r>
    </w:p>
    <w:p w14:paraId="41BC043D"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Adekoya, O., </w:t>
      </w:r>
      <w:proofErr w:type="spellStart"/>
      <w:r w:rsidRPr="006438B5">
        <w:rPr>
          <w:rFonts w:cs="Times New Roman"/>
          <w:szCs w:val="24"/>
          <w:lang w:val="en-GB"/>
        </w:rPr>
        <w:t>Oliyide</w:t>
      </w:r>
      <w:proofErr w:type="spellEnd"/>
      <w:r w:rsidRPr="006438B5">
        <w:rPr>
          <w:rFonts w:cs="Times New Roman"/>
          <w:szCs w:val="24"/>
          <w:lang w:val="en-GB"/>
        </w:rPr>
        <w:t xml:space="preserve">, J.A., </w:t>
      </w:r>
      <w:proofErr w:type="spellStart"/>
      <w:r w:rsidRPr="006438B5">
        <w:rPr>
          <w:rFonts w:cs="Times New Roman"/>
          <w:szCs w:val="24"/>
          <w:lang w:val="en-GB"/>
        </w:rPr>
        <w:t>Kenku</w:t>
      </w:r>
      <w:proofErr w:type="spellEnd"/>
      <w:r w:rsidRPr="006438B5">
        <w:rPr>
          <w:rFonts w:cs="Times New Roman"/>
          <w:szCs w:val="24"/>
          <w:lang w:val="en-GB"/>
        </w:rPr>
        <w:t>, O.T., 2023. On the Cop26 and the Coal’s Phase-Out Agenda: Striking a Balance Among the Environmental, Economic, and Health Impacts of Coal Consumption. SSRN Electronic Journal 328, 116872. https://doi.org/</w:t>
      </w:r>
      <w:hyperlink r:id="rId14" w:history="1">
        <w:r w:rsidRPr="006438B5">
          <w:rPr>
            <w:rFonts w:cs="Times New Roman"/>
            <w:szCs w:val="24"/>
            <w:lang w:val="en-GB"/>
          </w:rPr>
          <w:t>10.2139/ssrn.4142023</w:t>
        </w:r>
      </w:hyperlink>
    </w:p>
    <w:p w14:paraId="64FB815C"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Ahmad, T., Zhang, D., Huang, C., Zhang, H., Dai, N., Song, Y. and Chen, H., 2021. Artificial intelligence in sustainable energy industry: Status Quo, </w:t>
      </w:r>
      <w:proofErr w:type="gramStart"/>
      <w:r w:rsidRPr="006438B5">
        <w:rPr>
          <w:rFonts w:cs="Times New Roman"/>
          <w:szCs w:val="24"/>
          <w:lang w:val="en-GB"/>
        </w:rPr>
        <w:t>challenges</w:t>
      </w:r>
      <w:proofErr w:type="gramEnd"/>
      <w:r w:rsidRPr="006438B5">
        <w:rPr>
          <w:rFonts w:cs="Times New Roman"/>
          <w:szCs w:val="24"/>
          <w:lang w:val="en-GB"/>
        </w:rPr>
        <w:t xml:space="preserve"> and opportunities. </w:t>
      </w:r>
      <w:r w:rsidRPr="006438B5">
        <w:rPr>
          <w:rFonts w:cs="Times New Roman"/>
          <w:i/>
          <w:iCs/>
          <w:szCs w:val="24"/>
          <w:lang w:val="en-GB"/>
        </w:rPr>
        <w:t>Journal of Cleaner Production</w:t>
      </w:r>
      <w:r w:rsidRPr="006438B5">
        <w:rPr>
          <w:rFonts w:cs="Times New Roman"/>
          <w:szCs w:val="24"/>
          <w:lang w:val="en-GB"/>
        </w:rPr>
        <w:t>, 289, p.125834.</w:t>
      </w:r>
    </w:p>
    <w:p w14:paraId="1F9E812A"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Anwar, M.A., Nasreen, S. and Tiwari, A.K., 2021. Forestation, renewable </w:t>
      </w:r>
      <w:proofErr w:type="gramStart"/>
      <w:r w:rsidRPr="006438B5">
        <w:rPr>
          <w:rFonts w:cs="Times New Roman"/>
          <w:color w:val="222222"/>
          <w:szCs w:val="24"/>
          <w:shd w:val="clear" w:color="auto" w:fill="FFFFFF"/>
        </w:rPr>
        <w:t>energy</w:t>
      </w:r>
      <w:proofErr w:type="gramEnd"/>
      <w:r w:rsidRPr="006438B5">
        <w:rPr>
          <w:rFonts w:cs="Times New Roman"/>
          <w:color w:val="222222"/>
          <w:szCs w:val="24"/>
          <w:shd w:val="clear" w:color="auto" w:fill="FFFFFF"/>
        </w:rPr>
        <w:t xml:space="preserve"> and environmental quality: Empirical evidence from Belt and Road Initiative economies.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291</w:t>
      </w:r>
      <w:r w:rsidRPr="006438B5">
        <w:rPr>
          <w:rFonts w:cs="Times New Roman"/>
          <w:color w:val="222222"/>
          <w:szCs w:val="24"/>
          <w:shd w:val="clear" w:color="auto" w:fill="FFFFFF"/>
        </w:rPr>
        <w:t>, p.112684.</w:t>
      </w:r>
      <w:r w:rsidRPr="006438B5">
        <w:rPr>
          <w:rFonts w:cs="Times New Roman"/>
          <w:szCs w:val="24"/>
          <w:lang w:val="en-GB"/>
        </w:rPr>
        <w:t xml:space="preserve"> </w:t>
      </w:r>
    </w:p>
    <w:p w14:paraId="1ECDDA76"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Ao</w:t>
      </w:r>
      <w:proofErr w:type="spellEnd"/>
      <w:r w:rsidRPr="006438B5">
        <w:rPr>
          <w:rFonts w:cs="Times New Roman"/>
          <w:szCs w:val="24"/>
          <w:lang w:val="en-GB"/>
        </w:rPr>
        <w:t>, Z., Fei, R., Jiang, H., Cui, L., Zhu, Y., 2023. How can China achieve its goal of peaking carbon emissions at minimal cost? A research perspective from shadow price and optimal allocation of carbon emissions. Journal of Environmental Management 325, 116458. https://doi.org/</w:t>
      </w:r>
      <w:hyperlink r:id="rId15">
        <w:r w:rsidRPr="5065CA14">
          <w:rPr>
            <w:rFonts w:cs="Times New Roman"/>
            <w:lang w:val="en-GB"/>
          </w:rPr>
          <w:t>10.1016/j.jenvman.2022.116458</w:t>
        </w:r>
      </w:hyperlink>
    </w:p>
    <w:p w14:paraId="5A42AF2A" w14:textId="77777777" w:rsidR="007A39EB" w:rsidRPr="006438B5" w:rsidRDefault="007A39EB" w:rsidP="007A39EB">
      <w:pPr>
        <w:widowControl w:val="0"/>
        <w:autoSpaceDE w:val="0"/>
        <w:autoSpaceDN w:val="0"/>
        <w:adjustRightInd w:val="0"/>
        <w:spacing w:line="360" w:lineRule="auto"/>
        <w:ind w:left="720" w:hanging="720"/>
        <w:jc w:val="left"/>
      </w:pPr>
      <w:proofErr w:type="spellStart"/>
      <w:r w:rsidRPr="5065CA14">
        <w:rPr>
          <w:rFonts w:eastAsia="Times New Roman" w:cs="Times New Roman"/>
          <w:color w:val="FF0000"/>
          <w:szCs w:val="24"/>
          <w:lang w:val="en-GB"/>
        </w:rPr>
        <w:t>Beharelle</w:t>
      </w:r>
      <w:proofErr w:type="spellEnd"/>
      <w:r w:rsidRPr="5065CA14">
        <w:rPr>
          <w:rFonts w:eastAsia="Times New Roman" w:cs="Times New Roman"/>
          <w:color w:val="FF0000"/>
          <w:szCs w:val="24"/>
          <w:lang w:val="en-GB"/>
        </w:rPr>
        <w:t>, A.R., Small, S.L., 2016. Imaging brain networks for language: Methodology and examples from the neurobiology of reading Neurobiology of Language, Academic Press, pp. 805-814</w:t>
      </w:r>
      <w:r w:rsidRPr="5065CA14">
        <w:rPr>
          <w:rFonts w:cs="Times New Roman"/>
          <w:lang w:val="en-GB"/>
        </w:rPr>
        <w:t xml:space="preserve"> </w:t>
      </w:r>
    </w:p>
    <w:p w14:paraId="4B46D757"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Berger, A.N., 1995. The Profit-Structure Relationship in Banking--Tests of Market-Power and Efficient-Structure Hypotheses. Journal of Money, Credit and Banking 27, 404–431. https://doi.org/</w:t>
      </w:r>
      <w:hyperlink r:id="rId16">
        <w:r w:rsidRPr="5065CA14">
          <w:rPr>
            <w:rFonts w:cs="Times New Roman"/>
            <w:lang w:val="en-GB"/>
          </w:rPr>
          <w:t>10.2307/2077876</w:t>
        </w:r>
      </w:hyperlink>
    </w:p>
    <w:p w14:paraId="77C012D2" w14:textId="77777777" w:rsidR="007A39EB" w:rsidRPr="006438B5" w:rsidRDefault="007A39EB" w:rsidP="007A39EB">
      <w:pPr>
        <w:widowControl w:val="0"/>
        <w:autoSpaceDE w:val="0"/>
        <w:autoSpaceDN w:val="0"/>
        <w:adjustRightInd w:val="0"/>
        <w:spacing w:line="360" w:lineRule="auto"/>
        <w:ind w:left="720" w:hanging="720"/>
        <w:rPr>
          <w:rFonts w:cs="Times New Roman"/>
          <w:color w:val="222222"/>
          <w:szCs w:val="24"/>
          <w:shd w:val="clear" w:color="auto" w:fill="FFFFFF"/>
        </w:rPr>
      </w:pPr>
      <w:r w:rsidRPr="006438B5">
        <w:rPr>
          <w:rFonts w:cs="Times New Roman"/>
          <w:color w:val="222222"/>
          <w:szCs w:val="24"/>
          <w:shd w:val="clear" w:color="auto" w:fill="FFFFFF"/>
        </w:rPr>
        <w:t xml:space="preserve">Box, G.E., Jenkins, G.M., </w:t>
      </w:r>
      <w:proofErr w:type="spellStart"/>
      <w:r w:rsidRPr="006438B5">
        <w:rPr>
          <w:rFonts w:cs="Times New Roman"/>
          <w:color w:val="222222"/>
          <w:szCs w:val="24"/>
          <w:shd w:val="clear" w:color="auto" w:fill="FFFFFF"/>
        </w:rPr>
        <w:t>Reinsel</w:t>
      </w:r>
      <w:proofErr w:type="spellEnd"/>
      <w:r w:rsidRPr="006438B5">
        <w:rPr>
          <w:rFonts w:cs="Times New Roman"/>
          <w:color w:val="222222"/>
          <w:szCs w:val="24"/>
          <w:shd w:val="clear" w:color="auto" w:fill="FFFFFF"/>
        </w:rPr>
        <w:t xml:space="preserve">, G.C. and </w:t>
      </w:r>
      <w:proofErr w:type="spellStart"/>
      <w:r w:rsidRPr="006438B5">
        <w:rPr>
          <w:rFonts w:cs="Times New Roman"/>
          <w:color w:val="222222"/>
          <w:szCs w:val="24"/>
          <w:shd w:val="clear" w:color="auto" w:fill="FFFFFF"/>
        </w:rPr>
        <w:t>Ljung</w:t>
      </w:r>
      <w:proofErr w:type="spellEnd"/>
      <w:r w:rsidRPr="006438B5">
        <w:rPr>
          <w:rFonts w:cs="Times New Roman"/>
          <w:color w:val="222222"/>
          <w:szCs w:val="24"/>
          <w:shd w:val="clear" w:color="auto" w:fill="FFFFFF"/>
        </w:rPr>
        <w:t>, G.M., 2015. </w:t>
      </w:r>
      <w:r w:rsidRPr="006438B5">
        <w:rPr>
          <w:rFonts w:cs="Times New Roman"/>
          <w:i/>
          <w:iCs/>
          <w:color w:val="222222"/>
          <w:szCs w:val="24"/>
          <w:shd w:val="clear" w:color="auto" w:fill="FFFFFF"/>
        </w:rPr>
        <w:t>Time series analysis: forecasting and control</w:t>
      </w:r>
      <w:r w:rsidRPr="006438B5">
        <w:rPr>
          <w:rFonts w:cs="Times New Roman"/>
          <w:color w:val="222222"/>
          <w:szCs w:val="24"/>
          <w:shd w:val="clear" w:color="auto" w:fill="FFFFFF"/>
        </w:rPr>
        <w:t>. John Wiley &amp; Sons.</w:t>
      </w:r>
    </w:p>
    <w:p w14:paraId="1E9F09E9" w14:textId="77777777" w:rsidR="007A39EB" w:rsidRDefault="007A39EB" w:rsidP="007A39EB">
      <w:pPr>
        <w:widowControl w:val="0"/>
        <w:autoSpaceDE w:val="0"/>
        <w:autoSpaceDN w:val="0"/>
        <w:adjustRightInd w:val="0"/>
        <w:spacing w:line="360" w:lineRule="auto"/>
        <w:ind w:left="720" w:hanging="720"/>
        <w:rPr>
          <w:rFonts w:cs="Times New Roman"/>
          <w:color w:val="222222"/>
          <w:szCs w:val="24"/>
          <w:shd w:val="clear" w:color="auto" w:fill="FFFFFF"/>
        </w:rPr>
      </w:pPr>
      <w:r w:rsidRPr="006438B5">
        <w:rPr>
          <w:rFonts w:cs="Times New Roman"/>
          <w:szCs w:val="24"/>
          <w:lang w:val="en-GB"/>
        </w:rPr>
        <w:t xml:space="preserve">BP, 2021. Statistical Review of World Energy 2021. BP p.l.c. Retrieved from </w:t>
      </w:r>
      <w:hyperlink r:id="rId17" w:history="1">
        <w:r w:rsidRPr="006438B5">
          <w:rPr>
            <w:rStyle w:val="Hyperlink"/>
            <w:rFonts w:cs="Times New Roman"/>
            <w:szCs w:val="24"/>
            <w:lang w:val="en-GB"/>
          </w:rPr>
          <w:t>https://www.bp.com/en/global/corporate/energy-economics/statistical-review-of-world-energy.html</w:t>
        </w:r>
      </w:hyperlink>
    </w:p>
    <w:p w14:paraId="564C00CA"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Chatterjee, S., </w:t>
      </w:r>
      <w:proofErr w:type="spellStart"/>
      <w:r w:rsidRPr="006438B5">
        <w:rPr>
          <w:rFonts w:cs="Times New Roman"/>
          <w:szCs w:val="24"/>
          <w:lang w:val="en-GB"/>
        </w:rPr>
        <w:t>Hadi</w:t>
      </w:r>
      <w:proofErr w:type="spellEnd"/>
      <w:r w:rsidRPr="006438B5">
        <w:rPr>
          <w:rFonts w:cs="Times New Roman"/>
          <w:szCs w:val="24"/>
          <w:lang w:val="en-GB"/>
        </w:rPr>
        <w:t>, A.S., 2015. Regression analysis by example. John Wiley &amp; Sons.</w:t>
      </w:r>
    </w:p>
    <w:p w14:paraId="3CC73AB9"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Chien, F., Sadiq, M., Nawaz, M.A., Hussain, M.S., Tran, T.D., Le Thanh, T., 2021. A step toward reducing air pollution in top Asian economies: The role of green energy, eco-innovation, and environmental taxes. Journal of Environmental Management 297, 113420. https://doi.org/</w:t>
      </w:r>
      <w:hyperlink r:id="rId18" w:history="1">
        <w:r w:rsidRPr="006438B5">
          <w:rPr>
            <w:rFonts w:cs="Times New Roman"/>
            <w:szCs w:val="24"/>
            <w:lang w:val="en-GB"/>
          </w:rPr>
          <w:t>10.1016/j.jenvman.2021.113420</w:t>
        </w:r>
      </w:hyperlink>
    </w:p>
    <w:p w14:paraId="42248FEB"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bookmarkStart w:id="4" w:name="_Hlk130419392"/>
      <w:proofErr w:type="spellStart"/>
      <w:r w:rsidRPr="006438B5">
        <w:rPr>
          <w:rFonts w:cs="Times New Roman"/>
          <w:color w:val="222222"/>
          <w:szCs w:val="24"/>
          <w:shd w:val="clear" w:color="auto" w:fill="FFFFFF"/>
        </w:rPr>
        <w:t>Doğan</w:t>
      </w:r>
      <w:bookmarkEnd w:id="4"/>
      <w:proofErr w:type="spellEnd"/>
      <w:r w:rsidRPr="006438B5">
        <w:rPr>
          <w:rFonts w:cs="Times New Roman"/>
          <w:color w:val="222222"/>
          <w:szCs w:val="24"/>
          <w:shd w:val="clear" w:color="auto" w:fill="FFFFFF"/>
        </w:rPr>
        <w:t xml:space="preserve">, B., </w:t>
      </w:r>
      <w:proofErr w:type="spellStart"/>
      <w:r w:rsidRPr="006438B5">
        <w:rPr>
          <w:rFonts w:cs="Times New Roman"/>
          <w:color w:val="222222"/>
          <w:szCs w:val="24"/>
          <w:shd w:val="clear" w:color="auto" w:fill="FFFFFF"/>
        </w:rPr>
        <w:t>Balsalobre</w:t>
      </w:r>
      <w:proofErr w:type="spellEnd"/>
      <w:r w:rsidRPr="006438B5">
        <w:rPr>
          <w:rFonts w:cs="Times New Roman"/>
          <w:color w:val="222222"/>
          <w:szCs w:val="24"/>
          <w:shd w:val="clear" w:color="auto" w:fill="FFFFFF"/>
        </w:rPr>
        <w:t xml:space="preserve">-Lorente, D. and Nasir, M.A., 2020. European commitment to COP21 and the role of energy consumption, FDI, trade and economic complexity in sustaining </w:t>
      </w:r>
      <w:r w:rsidRPr="006438B5">
        <w:rPr>
          <w:rFonts w:cs="Times New Roman"/>
          <w:color w:val="222222"/>
          <w:szCs w:val="24"/>
          <w:shd w:val="clear" w:color="auto" w:fill="FFFFFF"/>
        </w:rPr>
        <w:lastRenderedPageBreak/>
        <w:t>economic growth.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273</w:t>
      </w:r>
      <w:r w:rsidRPr="006438B5">
        <w:rPr>
          <w:rFonts w:cs="Times New Roman"/>
          <w:color w:val="222222"/>
          <w:szCs w:val="24"/>
          <w:shd w:val="clear" w:color="auto" w:fill="FFFFFF"/>
        </w:rPr>
        <w:t>, p.111146.</w:t>
      </w:r>
    </w:p>
    <w:p w14:paraId="0FB1F381"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Eom</w:t>
      </w:r>
      <w:proofErr w:type="spellEnd"/>
      <w:r w:rsidRPr="006438B5">
        <w:rPr>
          <w:rFonts w:cs="Times New Roman"/>
          <w:szCs w:val="24"/>
          <w:lang w:val="en-GB"/>
        </w:rPr>
        <w:t>, J., Hyun, M., Lee, J., Lee, H., 2020. Increase in household energy consumption due to ambient air pollution. Nature Energy 5, 976–984. https://doi.org/</w:t>
      </w:r>
      <w:hyperlink r:id="rId19" w:history="1">
        <w:r w:rsidRPr="006438B5">
          <w:rPr>
            <w:rFonts w:cs="Times New Roman"/>
            <w:szCs w:val="24"/>
            <w:lang w:val="en-GB"/>
          </w:rPr>
          <w:t>10.1038/s41560-020-00698-1</w:t>
        </w:r>
      </w:hyperlink>
    </w:p>
    <w:p w14:paraId="38D75A21"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EIA, 2021. International Energy Outlook 2021. U.S. Energy Information Administration. Available from: </w:t>
      </w:r>
      <w:hyperlink r:id="rId20" w:history="1">
        <w:r w:rsidRPr="006438B5">
          <w:rPr>
            <w:rStyle w:val="Hyperlink"/>
            <w:rFonts w:cs="Times New Roman"/>
            <w:szCs w:val="24"/>
            <w:lang w:val="en-GB"/>
          </w:rPr>
          <w:t>https://www.eia.gov/outlooks/ieo/</w:t>
        </w:r>
      </w:hyperlink>
    </w:p>
    <w:p w14:paraId="38A97BA8"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5A595DFE">
        <w:rPr>
          <w:rFonts w:cs="Times New Roman"/>
          <w:lang w:val="en-GB"/>
        </w:rPr>
        <w:t xml:space="preserve">Fan, W. and Hao, Y., 2020. </w:t>
      </w:r>
      <w:proofErr w:type="gramStart"/>
      <w:r w:rsidRPr="5A595DFE">
        <w:rPr>
          <w:rFonts w:cs="Times New Roman"/>
          <w:lang w:val="en-GB"/>
        </w:rPr>
        <w:t>An empirical research</w:t>
      </w:r>
      <w:proofErr w:type="gramEnd"/>
      <w:r w:rsidRPr="5A595DFE">
        <w:rPr>
          <w:rFonts w:cs="Times New Roman"/>
          <w:lang w:val="en-GB"/>
        </w:rPr>
        <w:t xml:space="preserve"> on the relationship amongst renewable energy consumption, economic growth and foreign direct investment in China</w:t>
      </w:r>
      <w:r w:rsidRPr="5A595DFE">
        <w:rPr>
          <w:rFonts w:cs="Times New Roman"/>
          <w:i/>
          <w:lang w:val="en-GB"/>
        </w:rPr>
        <w:t>. Renewable energy</w:t>
      </w:r>
      <w:r w:rsidRPr="5A595DFE">
        <w:rPr>
          <w:rFonts w:cs="Times New Roman"/>
          <w:lang w:val="en-GB"/>
        </w:rPr>
        <w:t>, 146, pp.598-609.</w:t>
      </w:r>
    </w:p>
    <w:p w14:paraId="58F9A370" w14:textId="77777777" w:rsidR="007A39EB" w:rsidRPr="006438B5" w:rsidRDefault="007A39EB" w:rsidP="007A39EB">
      <w:pPr>
        <w:widowControl w:val="0"/>
        <w:autoSpaceDE w:val="0"/>
        <w:autoSpaceDN w:val="0"/>
        <w:adjustRightInd w:val="0"/>
        <w:spacing w:line="360" w:lineRule="auto"/>
        <w:ind w:left="720" w:hanging="720"/>
      </w:pPr>
      <w:r w:rsidRPr="5A595DFE">
        <w:rPr>
          <w:rFonts w:eastAsia="Times New Roman" w:cs="Times New Roman"/>
          <w:color w:val="FF0000"/>
          <w:szCs w:val="24"/>
        </w:rPr>
        <w:t xml:space="preserve">Ferreira, C., 2013, Bank market concentration and bank efficiency in the European Union: a panel Granger causality approach. </w:t>
      </w:r>
      <w:r w:rsidRPr="5A595DFE">
        <w:rPr>
          <w:rFonts w:eastAsia="Times New Roman" w:cs="Times New Roman"/>
          <w:i/>
          <w:iCs/>
          <w:color w:val="FF0000"/>
          <w:szCs w:val="24"/>
        </w:rPr>
        <w:t xml:space="preserve">International Economics and Economic Policy </w:t>
      </w:r>
      <w:r w:rsidRPr="5A595DFE">
        <w:rPr>
          <w:rFonts w:eastAsia="Times New Roman" w:cs="Times New Roman"/>
          <w:b/>
          <w:bCs/>
          <w:color w:val="FF0000"/>
          <w:szCs w:val="24"/>
        </w:rPr>
        <w:t>10</w:t>
      </w:r>
      <w:r w:rsidRPr="5A595DFE">
        <w:rPr>
          <w:rFonts w:eastAsia="Times New Roman" w:cs="Times New Roman"/>
          <w:color w:val="FF0000"/>
          <w:szCs w:val="24"/>
        </w:rPr>
        <w:t xml:space="preserve">, 365–391. </w:t>
      </w:r>
      <w:hyperlink r:id="rId21">
        <w:r w:rsidRPr="5A595DFE">
          <w:rPr>
            <w:rStyle w:val="Hyperlink"/>
            <w:rFonts w:eastAsia="Times New Roman" w:cs="Times New Roman"/>
            <w:szCs w:val="24"/>
          </w:rPr>
          <w:t>https://doi.org/10.1007/s10368-013-0234-y</w:t>
        </w:r>
      </w:hyperlink>
      <w:r w:rsidRPr="5A595DFE">
        <w:rPr>
          <w:rFonts w:eastAsia="Times New Roman" w:cs="Times New Roman"/>
          <w:color w:val="FF0000"/>
          <w:szCs w:val="24"/>
        </w:rPr>
        <w:t xml:space="preserve"> </w:t>
      </w:r>
    </w:p>
    <w:p w14:paraId="7BFFDD7F" w14:textId="77777777" w:rsidR="007A39EB" w:rsidRPr="006438B5" w:rsidRDefault="007A39EB" w:rsidP="007A39EB">
      <w:pPr>
        <w:widowControl w:val="0"/>
        <w:autoSpaceDE w:val="0"/>
        <w:autoSpaceDN w:val="0"/>
        <w:adjustRightInd w:val="0"/>
        <w:spacing w:line="360" w:lineRule="auto"/>
        <w:ind w:left="720" w:hanging="720"/>
        <w:rPr>
          <w:rFonts w:cs="Times New Roman"/>
          <w:lang w:val="en-GB"/>
        </w:rPr>
      </w:pPr>
      <w:proofErr w:type="spellStart"/>
      <w:r w:rsidRPr="5A595DFE">
        <w:rPr>
          <w:rFonts w:cs="Times New Roman"/>
          <w:lang w:val="en-GB"/>
        </w:rPr>
        <w:t>Goodkind</w:t>
      </w:r>
      <w:proofErr w:type="spellEnd"/>
      <w:r w:rsidRPr="5A595DFE">
        <w:rPr>
          <w:rFonts w:cs="Times New Roman"/>
          <w:lang w:val="en-GB"/>
        </w:rPr>
        <w:t xml:space="preserve">, A.L., Jones, B.A., </w:t>
      </w:r>
      <w:proofErr w:type="spellStart"/>
      <w:r w:rsidRPr="5A595DFE">
        <w:rPr>
          <w:rFonts w:cs="Times New Roman"/>
          <w:lang w:val="en-GB"/>
        </w:rPr>
        <w:t>Berrens</w:t>
      </w:r>
      <w:proofErr w:type="spellEnd"/>
      <w:r w:rsidRPr="5A595DFE">
        <w:rPr>
          <w:rFonts w:cs="Times New Roman"/>
          <w:lang w:val="en-GB"/>
        </w:rPr>
        <w:t xml:space="preserve">, R.P., 2020. </w:t>
      </w:r>
      <w:proofErr w:type="spellStart"/>
      <w:r w:rsidRPr="5A595DFE">
        <w:rPr>
          <w:rFonts w:cs="Times New Roman"/>
          <w:lang w:val="en-GB"/>
        </w:rPr>
        <w:t>Cryptodamages</w:t>
      </w:r>
      <w:proofErr w:type="spellEnd"/>
      <w:r w:rsidRPr="5A595DFE">
        <w:rPr>
          <w:rFonts w:cs="Times New Roman"/>
          <w:lang w:val="en-GB"/>
        </w:rPr>
        <w:t>: Monetary value estimates of the air pollution and human health impacts of cryptocurrency mining. Energy Research &amp; Social Science 59, 101281. https://doi.org/</w:t>
      </w:r>
      <w:hyperlink r:id="rId22">
        <w:r w:rsidRPr="5A595DFE">
          <w:rPr>
            <w:rFonts w:cs="Times New Roman"/>
            <w:lang w:val="en-GB"/>
          </w:rPr>
          <w:t>10.1016/j.erss.2019.101281</w:t>
        </w:r>
      </w:hyperlink>
    </w:p>
    <w:p w14:paraId="21E13ADD"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Granger, C.W.J., 1969. Investigating Causal Relations by Econometric Models and Cross-spectral Methods. </w:t>
      </w:r>
      <w:proofErr w:type="spellStart"/>
      <w:r w:rsidRPr="006438B5">
        <w:rPr>
          <w:rFonts w:cs="Times New Roman"/>
          <w:szCs w:val="24"/>
          <w:lang w:val="en-GB"/>
        </w:rPr>
        <w:t>Econometrica</w:t>
      </w:r>
      <w:proofErr w:type="spellEnd"/>
      <w:r w:rsidRPr="006438B5">
        <w:rPr>
          <w:rFonts w:cs="Times New Roman"/>
          <w:szCs w:val="24"/>
          <w:lang w:val="en-GB"/>
        </w:rPr>
        <w:t xml:space="preserve"> 37, 424–438. https://doi.org/</w:t>
      </w:r>
      <w:hyperlink r:id="rId23" w:history="1">
        <w:r w:rsidRPr="006438B5">
          <w:rPr>
            <w:rFonts w:cs="Times New Roman"/>
            <w:szCs w:val="24"/>
            <w:lang w:val="en-GB"/>
          </w:rPr>
          <w:t>10.2307/1912791</w:t>
        </w:r>
      </w:hyperlink>
    </w:p>
    <w:p w14:paraId="589BEF26"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Hailemariam, A., </w:t>
      </w:r>
      <w:proofErr w:type="spellStart"/>
      <w:r w:rsidRPr="006438B5">
        <w:rPr>
          <w:rFonts w:cs="Times New Roman"/>
          <w:szCs w:val="24"/>
          <w:lang w:val="en-GB"/>
        </w:rPr>
        <w:t>Ivanovski</w:t>
      </w:r>
      <w:proofErr w:type="spellEnd"/>
      <w:r w:rsidRPr="006438B5">
        <w:rPr>
          <w:rFonts w:cs="Times New Roman"/>
          <w:szCs w:val="24"/>
          <w:lang w:val="en-GB"/>
        </w:rPr>
        <w:t xml:space="preserve">, K., </w:t>
      </w:r>
      <w:proofErr w:type="spellStart"/>
      <w:r w:rsidRPr="006438B5">
        <w:rPr>
          <w:rFonts w:cs="Times New Roman"/>
          <w:szCs w:val="24"/>
          <w:lang w:val="en-GB"/>
        </w:rPr>
        <w:t>Dzhumashev</w:t>
      </w:r>
      <w:proofErr w:type="spellEnd"/>
      <w:r w:rsidRPr="006438B5">
        <w:rPr>
          <w:rFonts w:cs="Times New Roman"/>
          <w:szCs w:val="24"/>
          <w:lang w:val="en-GB"/>
        </w:rPr>
        <w:t>, R., 2022. Does R&amp;D investment in renewable energy technologies reduce greenhouse gas emissions? Applied Energy 327, 120056. https://doi.org/</w:t>
      </w:r>
      <w:hyperlink r:id="rId24" w:history="1">
        <w:r w:rsidRPr="006438B5">
          <w:rPr>
            <w:rFonts w:cs="Times New Roman"/>
            <w:szCs w:val="24"/>
            <w:lang w:val="en-GB"/>
          </w:rPr>
          <w:t>10.1016/j.apenergy.2022.120056</w:t>
        </w:r>
      </w:hyperlink>
    </w:p>
    <w:p w14:paraId="71326DDA" w14:textId="77777777" w:rsidR="007A39EB"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Halkos</w:t>
      </w:r>
      <w:proofErr w:type="spellEnd"/>
      <w:r w:rsidRPr="006438B5">
        <w:rPr>
          <w:rFonts w:cs="Times New Roman"/>
          <w:szCs w:val="24"/>
          <w:lang w:val="en-GB"/>
        </w:rPr>
        <w:t xml:space="preserve">, G., </w:t>
      </w:r>
      <w:proofErr w:type="spellStart"/>
      <w:r w:rsidRPr="006438B5">
        <w:rPr>
          <w:rFonts w:cs="Times New Roman"/>
          <w:szCs w:val="24"/>
          <w:lang w:val="en-GB"/>
        </w:rPr>
        <w:t>Tsilika</w:t>
      </w:r>
      <w:proofErr w:type="spellEnd"/>
      <w:r w:rsidRPr="006438B5">
        <w:rPr>
          <w:rFonts w:cs="Times New Roman"/>
          <w:szCs w:val="24"/>
          <w:lang w:val="en-GB"/>
        </w:rPr>
        <w:t xml:space="preserve">, K., 2019. Understanding transboundary air pollution network: Emissions, </w:t>
      </w:r>
      <w:proofErr w:type="gramStart"/>
      <w:r w:rsidRPr="006438B5">
        <w:rPr>
          <w:rFonts w:cs="Times New Roman"/>
          <w:szCs w:val="24"/>
          <w:lang w:val="en-GB"/>
        </w:rPr>
        <w:t>depositions</w:t>
      </w:r>
      <w:proofErr w:type="gramEnd"/>
      <w:r w:rsidRPr="006438B5">
        <w:rPr>
          <w:rFonts w:cs="Times New Roman"/>
          <w:szCs w:val="24"/>
          <w:lang w:val="en-GB"/>
        </w:rPr>
        <w:t xml:space="preserve"> and </w:t>
      </w:r>
      <w:proofErr w:type="spellStart"/>
      <w:r w:rsidRPr="006438B5">
        <w:rPr>
          <w:rFonts w:cs="Times New Roman"/>
          <w:szCs w:val="24"/>
          <w:lang w:val="en-GB"/>
        </w:rPr>
        <w:t>spatio</w:t>
      </w:r>
      <w:proofErr w:type="spellEnd"/>
      <w:r w:rsidRPr="006438B5">
        <w:rPr>
          <w:rFonts w:cs="Times New Roman"/>
          <w:szCs w:val="24"/>
          <w:lang w:val="en-GB"/>
        </w:rPr>
        <w:t>-temporal distribution of pollution in European region. Resources, Conservation and Recycling 145, 113–123. https://doi.org/</w:t>
      </w:r>
      <w:hyperlink r:id="rId25" w:history="1">
        <w:r w:rsidRPr="006438B5">
          <w:rPr>
            <w:rFonts w:cs="Times New Roman"/>
            <w:szCs w:val="24"/>
            <w:lang w:val="en-GB"/>
          </w:rPr>
          <w:t>10.1016/j.resconrec.2019.02.014</w:t>
        </w:r>
      </w:hyperlink>
    </w:p>
    <w:p w14:paraId="36AD375C" w14:textId="77777777" w:rsidR="007A39EB" w:rsidRPr="00DC668F" w:rsidRDefault="007A39EB" w:rsidP="007A39EB">
      <w:pPr>
        <w:widowControl w:val="0"/>
        <w:autoSpaceDE w:val="0"/>
        <w:autoSpaceDN w:val="0"/>
        <w:adjustRightInd w:val="0"/>
        <w:spacing w:line="360" w:lineRule="auto"/>
        <w:ind w:left="720" w:hanging="720"/>
        <w:rPr>
          <w:rFonts w:cs="Times New Roman"/>
          <w:color w:val="FF0000"/>
          <w:szCs w:val="24"/>
          <w:lang w:val="en-GB"/>
        </w:rPr>
      </w:pPr>
      <w:r w:rsidRPr="00DC668F">
        <w:rPr>
          <w:color w:val="FF0000"/>
          <w:shd w:val="clear" w:color="auto" w:fill="FFFFFF"/>
        </w:rPr>
        <w:t xml:space="preserve">Hasan, M., Arif, M., Naeem, M.A., Ngo, Q.T. and </w:t>
      </w:r>
      <w:proofErr w:type="spellStart"/>
      <w:r w:rsidRPr="00DC668F">
        <w:rPr>
          <w:color w:val="FF0000"/>
          <w:shd w:val="clear" w:color="auto" w:fill="FFFFFF"/>
        </w:rPr>
        <w:t>Taghizadeh</w:t>
      </w:r>
      <w:proofErr w:type="spellEnd"/>
      <w:r w:rsidRPr="00DC668F">
        <w:rPr>
          <w:color w:val="FF0000"/>
          <w:shd w:val="clear" w:color="auto" w:fill="FFFFFF"/>
        </w:rPr>
        <w:t>–</w:t>
      </w:r>
      <w:proofErr w:type="spellStart"/>
      <w:r w:rsidRPr="00DC668F">
        <w:rPr>
          <w:color w:val="FF0000"/>
          <w:shd w:val="clear" w:color="auto" w:fill="FFFFFF"/>
        </w:rPr>
        <w:t>Hesary</w:t>
      </w:r>
      <w:proofErr w:type="spellEnd"/>
      <w:r w:rsidRPr="00DC668F">
        <w:rPr>
          <w:color w:val="FF0000"/>
          <w:shd w:val="clear" w:color="auto" w:fill="FFFFFF"/>
        </w:rPr>
        <w:t>, F., 2021. Time-frequency connectedness between Asian electricity sectors. </w:t>
      </w:r>
      <w:r w:rsidRPr="00DC668F">
        <w:rPr>
          <w:i/>
          <w:iCs/>
          <w:color w:val="FF0000"/>
          <w:shd w:val="clear" w:color="auto" w:fill="FFFFFF"/>
        </w:rPr>
        <w:t>Economic Analysis and Policy</w:t>
      </w:r>
      <w:r w:rsidRPr="00DC668F">
        <w:rPr>
          <w:color w:val="FF0000"/>
          <w:shd w:val="clear" w:color="auto" w:fill="FFFFFF"/>
        </w:rPr>
        <w:t>, </w:t>
      </w:r>
      <w:r w:rsidRPr="00DC668F">
        <w:rPr>
          <w:i/>
          <w:iCs/>
          <w:color w:val="FF0000"/>
          <w:shd w:val="clear" w:color="auto" w:fill="FFFFFF"/>
        </w:rPr>
        <w:t>69</w:t>
      </w:r>
      <w:r w:rsidRPr="00DC668F">
        <w:rPr>
          <w:color w:val="FF0000"/>
          <w:shd w:val="clear" w:color="auto" w:fill="FFFFFF"/>
        </w:rPr>
        <w:t>, pp.208-224.</w:t>
      </w:r>
    </w:p>
    <w:p w14:paraId="2E31A54E"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He, W., Shen, R., 2017. ISO 14001 Certification and Corporate Technological Innovation: Evidence from Chinese Firms. Journal of Business Ethics 158, 97–117. https://doi.org/</w:t>
      </w:r>
      <w:hyperlink r:id="rId26" w:history="1">
        <w:r w:rsidRPr="006438B5">
          <w:rPr>
            <w:rFonts w:cs="Times New Roman"/>
            <w:szCs w:val="24"/>
            <w:lang w:val="en-GB"/>
          </w:rPr>
          <w:t>10.1007/s10551-017-3712-2</w:t>
        </w:r>
      </w:hyperlink>
    </w:p>
    <w:p w14:paraId="419F75DB"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Hepburn, C., Qi, Y., Stern, N., Ward, B., </w:t>
      </w:r>
      <w:proofErr w:type="spellStart"/>
      <w:r w:rsidRPr="006438B5">
        <w:rPr>
          <w:rFonts w:cs="Times New Roman"/>
          <w:szCs w:val="24"/>
          <w:lang w:val="en-GB"/>
        </w:rPr>
        <w:t>Xie</w:t>
      </w:r>
      <w:proofErr w:type="spellEnd"/>
      <w:r w:rsidRPr="006438B5">
        <w:rPr>
          <w:rFonts w:cs="Times New Roman"/>
          <w:szCs w:val="24"/>
          <w:lang w:val="en-GB"/>
        </w:rPr>
        <w:t xml:space="preserve">, C. and </w:t>
      </w:r>
      <w:proofErr w:type="spellStart"/>
      <w:r w:rsidRPr="006438B5">
        <w:rPr>
          <w:rFonts w:cs="Times New Roman"/>
          <w:szCs w:val="24"/>
          <w:lang w:val="en-GB"/>
        </w:rPr>
        <w:t>Zenghelis</w:t>
      </w:r>
      <w:proofErr w:type="spellEnd"/>
      <w:r w:rsidRPr="006438B5">
        <w:rPr>
          <w:rFonts w:cs="Times New Roman"/>
          <w:szCs w:val="24"/>
          <w:lang w:val="en-GB"/>
        </w:rPr>
        <w:t>, D., 2021. Towards carbon neutrality and China's 14th Five-Year Plan: Clean energy transition, sustainable urban development, and investment priorities. </w:t>
      </w:r>
      <w:r w:rsidRPr="006438B5">
        <w:rPr>
          <w:rFonts w:cs="Times New Roman"/>
          <w:i/>
          <w:iCs/>
          <w:szCs w:val="24"/>
          <w:lang w:val="en-GB"/>
        </w:rPr>
        <w:t>Environmental Science and Ecotechnology</w:t>
      </w:r>
      <w:r w:rsidRPr="006438B5">
        <w:rPr>
          <w:rFonts w:cs="Times New Roman"/>
          <w:szCs w:val="24"/>
          <w:lang w:val="en-GB"/>
        </w:rPr>
        <w:t>, 8, p.100130.</w:t>
      </w:r>
    </w:p>
    <w:p w14:paraId="1D792834"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lastRenderedPageBreak/>
        <w:t>Huang, Y., Yang, L., Gao, C., Jiang, Y. and Dong, Y., 2019. A novel prediction approach for short-term renewable energy consumption in China based on improved Gaussian Process Regression. Energies, 12(21), p.4181.</w:t>
      </w:r>
    </w:p>
    <w:p w14:paraId="4C081DF8"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IRENA, R.E.S., 2020. International renewable energy agency. </w:t>
      </w:r>
      <w:r w:rsidRPr="006438B5">
        <w:rPr>
          <w:rFonts w:cs="Times New Roman"/>
          <w:i/>
          <w:iCs/>
          <w:szCs w:val="24"/>
          <w:lang w:val="en-GB"/>
        </w:rPr>
        <w:t>Abu Dhabi</w:t>
      </w:r>
      <w:r w:rsidRPr="006438B5">
        <w:rPr>
          <w:rFonts w:cs="Times New Roman"/>
          <w:szCs w:val="24"/>
          <w:lang w:val="en-GB"/>
        </w:rPr>
        <w:t>, 2020.</w:t>
      </w:r>
    </w:p>
    <w:p w14:paraId="6E728D15" w14:textId="77777777" w:rsidR="007A39EB"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Jelti</w:t>
      </w:r>
      <w:proofErr w:type="spellEnd"/>
      <w:r w:rsidRPr="006438B5">
        <w:rPr>
          <w:rFonts w:cs="Times New Roman"/>
          <w:szCs w:val="24"/>
          <w:lang w:val="en-GB"/>
        </w:rPr>
        <w:t xml:space="preserve">, F., </w:t>
      </w:r>
      <w:proofErr w:type="spellStart"/>
      <w:r w:rsidRPr="006438B5">
        <w:rPr>
          <w:rFonts w:cs="Times New Roman"/>
          <w:szCs w:val="24"/>
          <w:lang w:val="en-GB"/>
        </w:rPr>
        <w:t>Allouhi</w:t>
      </w:r>
      <w:proofErr w:type="spellEnd"/>
      <w:r w:rsidRPr="006438B5">
        <w:rPr>
          <w:rFonts w:cs="Times New Roman"/>
          <w:szCs w:val="24"/>
          <w:lang w:val="en-GB"/>
        </w:rPr>
        <w:t>, A., Al-</w:t>
      </w:r>
      <w:proofErr w:type="spellStart"/>
      <w:r w:rsidRPr="006438B5">
        <w:rPr>
          <w:rFonts w:cs="Times New Roman"/>
          <w:szCs w:val="24"/>
          <w:lang w:val="en-GB"/>
        </w:rPr>
        <w:t>Ghamdi</w:t>
      </w:r>
      <w:proofErr w:type="spellEnd"/>
      <w:r w:rsidRPr="006438B5">
        <w:rPr>
          <w:rFonts w:cs="Times New Roman"/>
          <w:szCs w:val="24"/>
          <w:lang w:val="en-GB"/>
        </w:rPr>
        <w:t xml:space="preserve">, S.G., </w:t>
      </w:r>
      <w:proofErr w:type="spellStart"/>
      <w:r w:rsidRPr="006438B5">
        <w:rPr>
          <w:rFonts w:cs="Times New Roman"/>
          <w:szCs w:val="24"/>
          <w:lang w:val="en-GB"/>
        </w:rPr>
        <w:t>Saadani</w:t>
      </w:r>
      <w:proofErr w:type="spellEnd"/>
      <w:r w:rsidRPr="006438B5">
        <w:rPr>
          <w:rFonts w:cs="Times New Roman"/>
          <w:szCs w:val="24"/>
          <w:lang w:val="en-GB"/>
        </w:rPr>
        <w:t xml:space="preserve">, R., Jamil, A., </w:t>
      </w:r>
      <w:proofErr w:type="spellStart"/>
      <w:r w:rsidRPr="006438B5">
        <w:rPr>
          <w:rFonts w:cs="Times New Roman"/>
          <w:szCs w:val="24"/>
          <w:lang w:val="en-GB"/>
        </w:rPr>
        <w:t>Rahmoune</w:t>
      </w:r>
      <w:proofErr w:type="spellEnd"/>
      <w:r w:rsidRPr="006438B5">
        <w:rPr>
          <w:rFonts w:cs="Times New Roman"/>
          <w:szCs w:val="24"/>
          <w:lang w:val="en-GB"/>
        </w:rPr>
        <w:t>, M., 2021. Environmental life cycle assessment of alternative fuels for city buses: A case study in Oujda city, Morocco. International Journal of Hydrogen Energy 46, 25308–25319. https://doi.org/</w:t>
      </w:r>
      <w:hyperlink r:id="rId27" w:history="1">
        <w:r w:rsidRPr="006438B5">
          <w:rPr>
            <w:rFonts w:cs="Times New Roman"/>
            <w:szCs w:val="24"/>
            <w:lang w:val="en-GB"/>
          </w:rPr>
          <w:t>10.1016/j.ijhydene.2021.05.024</w:t>
        </w:r>
      </w:hyperlink>
    </w:p>
    <w:p w14:paraId="3B9B3E3D" w14:textId="77777777" w:rsidR="007A39EB" w:rsidRPr="00DC668F" w:rsidRDefault="007A39EB" w:rsidP="007A39EB">
      <w:pPr>
        <w:widowControl w:val="0"/>
        <w:autoSpaceDE w:val="0"/>
        <w:autoSpaceDN w:val="0"/>
        <w:adjustRightInd w:val="0"/>
        <w:spacing w:line="360" w:lineRule="auto"/>
        <w:ind w:left="720" w:hanging="720"/>
        <w:rPr>
          <w:rFonts w:cs="Times New Roman"/>
          <w:color w:val="FF0000"/>
          <w:szCs w:val="24"/>
          <w:lang w:val="en-GB"/>
        </w:rPr>
      </w:pPr>
      <w:r w:rsidRPr="00DC668F">
        <w:rPr>
          <w:color w:val="FF0000"/>
          <w:shd w:val="clear" w:color="auto" w:fill="FFFFFF"/>
        </w:rPr>
        <w:t>Jia, K., Wang, G., Hasan, M. and Kang, S., 2022, Spatiotemporal Evolution of Provincial Carbon Emission Network in China. </w:t>
      </w:r>
      <w:r w:rsidRPr="00DC668F">
        <w:rPr>
          <w:i/>
          <w:iCs/>
          <w:color w:val="FF0000"/>
          <w:shd w:val="clear" w:color="auto" w:fill="FFFFFF"/>
        </w:rPr>
        <w:t>Sanghoon, Spatiotemporal Evolution of Provincial Carbon Emission Network in China</w:t>
      </w:r>
      <w:r w:rsidRPr="00DC668F">
        <w:rPr>
          <w:color w:val="FF0000"/>
          <w:shd w:val="clear" w:color="auto" w:fill="FFFFFF"/>
        </w:rPr>
        <w:t>.</w:t>
      </w:r>
    </w:p>
    <w:p w14:paraId="4DAF7B4F"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Le </w:t>
      </w:r>
      <w:proofErr w:type="spellStart"/>
      <w:r w:rsidRPr="006438B5">
        <w:rPr>
          <w:rFonts w:cs="Times New Roman"/>
          <w:szCs w:val="24"/>
          <w:lang w:val="en-GB"/>
        </w:rPr>
        <w:t>Quéré</w:t>
      </w:r>
      <w:proofErr w:type="spellEnd"/>
      <w:r w:rsidRPr="006438B5">
        <w:rPr>
          <w:rFonts w:cs="Times New Roman"/>
          <w:szCs w:val="24"/>
          <w:lang w:val="en-GB"/>
        </w:rPr>
        <w:t xml:space="preserve">, C., Jackson, R.B., Jones, M.W., Smith, A.J., Abernethy, S., Andrew, R.M., De-Gol, A.J., Willis, D.R., Shan, Y., </w:t>
      </w:r>
      <w:proofErr w:type="spellStart"/>
      <w:r w:rsidRPr="006438B5">
        <w:rPr>
          <w:rFonts w:cs="Times New Roman"/>
          <w:szCs w:val="24"/>
          <w:lang w:val="en-GB"/>
        </w:rPr>
        <w:t>Canadell</w:t>
      </w:r>
      <w:proofErr w:type="spellEnd"/>
      <w:r w:rsidRPr="006438B5">
        <w:rPr>
          <w:rFonts w:cs="Times New Roman"/>
          <w:szCs w:val="24"/>
          <w:lang w:val="en-GB"/>
        </w:rPr>
        <w:t xml:space="preserve">, J.G., </w:t>
      </w:r>
      <w:proofErr w:type="spellStart"/>
      <w:r w:rsidRPr="006438B5">
        <w:rPr>
          <w:rFonts w:cs="Times New Roman"/>
          <w:szCs w:val="24"/>
          <w:lang w:val="en-GB"/>
        </w:rPr>
        <w:t>Friedlingstein</w:t>
      </w:r>
      <w:proofErr w:type="spellEnd"/>
      <w:r w:rsidRPr="006438B5">
        <w:rPr>
          <w:rFonts w:cs="Times New Roman"/>
          <w:szCs w:val="24"/>
          <w:lang w:val="en-GB"/>
        </w:rPr>
        <w:t xml:space="preserve">, P., </w:t>
      </w:r>
      <w:proofErr w:type="spellStart"/>
      <w:r w:rsidRPr="006438B5">
        <w:rPr>
          <w:rFonts w:cs="Times New Roman"/>
          <w:szCs w:val="24"/>
          <w:lang w:val="en-GB"/>
        </w:rPr>
        <w:t>Creutzig</w:t>
      </w:r>
      <w:proofErr w:type="spellEnd"/>
      <w:r w:rsidRPr="006438B5">
        <w:rPr>
          <w:rFonts w:cs="Times New Roman"/>
          <w:szCs w:val="24"/>
          <w:lang w:val="en-GB"/>
        </w:rPr>
        <w:t xml:space="preserve">, F., and Peters, G.P. 2020. Temporary reduction in daily global </w:t>
      </w:r>
      <w:r w:rsidRPr="000A1665">
        <w:rPr>
          <w:rFonts w:cs="Times New Roman"/>
          <w:color w:val="FF0000"/>
          <w:szCs w:val="24"/>
          <w:lang w:val="en-GB"/>
        </w:rPr>
        <w:t>CO</w:t>
      </w:r>
      <w:r w:rsidRPr="000A1665">
        <w:rPr>
          <w:rFonts w:cs="Times New Roman"/>
          <w:color w:val="FF0000"/>
          <w:sz w:val="22"/>
          <w:lang w:val="en-GB"/>
        </w:rPr>
        <w:t>2</w:t>
      </w:r>
      <w:r w:rsidRPr="006438B5">
        <w:rPr>
          <w:rFonts w:cs="Times New Roman"/>
          <w:szCs w:val="24"/>
          <w:lang w:val="en-GB"/>
        </w:rPr>
        <w:t xml:space="preserve"> emissions during the COVID-19 forced confinement. Nature Climate Change, 10(7), 647-653.</w:t>
      </w:r>
    </w:p>
    <w:p w14:paraId="601A54AC"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Li, L. and </w:t>
      </w:r>
      <w:proofErr w:type="spellStart"/>
      <w:r w:rsidRPr="006438B5">
        <w:rPr>
          <w:rFonts w:cs="Times New Roman"/>
          <w:szCs w:val="24"/>
          <w:lang w:val="en-GB"/>
        </w:rPr>
        <w:t>Taeihagh</w:t>
      </w:r>
      <w:proofErr w:type="spellEnd"/>
      <w:r w:rsidRPr="006438B5">
        <w:rPr>
          <w:rFonts w:cs="Times New Roman"/>
          <w:szCs w:val="24"/>
          <w:lang w:val="en-GB"/>
        </w:rPr>
        <w:t>, A., 2020. An in-depth analysis of the evolution of the policy mix for the sustainable energy transition in China from 1981 to 2020. </w:t>
      </w:r>
      <w:r w:rsidRPr="006438B5">
        <w:rPr>
          <w:rFonts w:cs="Times New Roman"/>
          <w:i/>
          <w:iCs/>
          <w:szCs w:val="24"/>
          <w:lang w:val="en-GB"/>
        </w:rPr>
        <w:t>Applied Energy</w:t>
      </w:r>
      <w:r w:rsidRPr="006438B5">
        <w:rPr>
          <w:rFonts w:cs="Times New Roman"/>
          <w:szCs w:val="24"/>
          <w:lang w:val="en-GB"/>
        </w:rPr>
        <w:t>, 263, p.114611.</w:t>
      </w:r>
    </w:p>
    <w:p w14:paraId="6D2F358E"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Li, M., Ahmad, M., Fareed, Z., Hassan, T., </w:t>
      </w:r>
      <w:proofErr w:type="spellStart"/>
      <w:r w:rsidRPr="006438B5">
        <w:rPr>
          <w:rFonts w:cs="Times New Roman"/>
          <w:szCs w:val="24"/>
          <w:lang w:val="en-GB"/>
        </w:rPr>
        <w:t>Kirikkaleli</w:t>
      </w:r>
      <w:proofErr w:type="spellEnd"/>
      <w:r w:rsidRPr="006438B5">
        <w:rPr>
          <w:rFonts w:cs="Times New Roman"/>
          <w:szCs w:val="24"/>
          <w:lang w:val="en-GB"/>
        </w:rPr>
        <w:t>, D., 2021. Role of trade openness, export diversification, and renewable electricity output in realizing carbon neutrality dream of China. Journal of Environmental Management 297, 113419. https://doi.org/</w:t>
      </w:r>
      <w:hyperlink r:id="rId28" w:history="1">
        <w:r w:rsidRPr="006438B5">
          <w:rPr>
            <w:rFonts w:cs="Times New Roman"/>
            <w:szCs w:val="24"/>
            <w:lang w:val="en-GB"/>
          </w:rPr>
          <w:t>10.1016/j.jenvman.2021.113419</w:t>
        </w:r>
      </w:hyperlink>
    </w:p>
    <w:p w14:paraId="47267814"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Li, R.-J., Kou, X.-J., </w:t>
      </w:r>
      <w:proofErr w:type="spellStart"/>
      <w:r w:rsidRPr="006438B5">
        <w:rPr>
          <w:rFonts w:cs="Times New Roman"/>
          <w:szCs w:val="24"/>
          <w:lang w:val="en-GB"/>
        </w:rPr>
        <w:t>Geng</w:t>
      </w:r>
      <w:proofErr w:type="spellEnd"/>
      <w:r w:rsidRPr="006438B5">
        <w:rPr>
          <w:rFonts w:cs="Times New Roman"/>
          <w:szCs w:val="24"/>
          <w:lang w:val="en-GB"/>
        </w:rPr>
        <w:t xml:space="preserve">, H., Dong, C., Cai, Z.-W., 2014. Pollution characteristics of ambient PM2.5-bound PAHs and NPAHs in a typical </w:t>
      </w:r>
      <w:proofErr w:type="gramStart"/>
      <w:r w:rsidRPr="006438B5">
        <w:rPr>
          <w:rFonts w:cs="Times New Roman"/>
          <w:szCs w:val="24"/>
          <w:lang w:val="en-GB"/>
        </w:rPr>
        <w:t>winter time</w:t>
      </w:r>
      <w:proofErr w:type="gramEnd"/>
      <w:r w:rsidRPr="006438B5">
        <w:rPr>
          <w:rFonts w:cs="Times New Roman"/>
          <w:szCs w:val="24"/>
          <w:lang w:val="en-GB"/>
        </w:rPr>
        <w:t xml:space="preserve"> period in Taiyuan. Chinese Chemical Letters 25, 663–666. https://doi.org/</w:t>
      </w:r>
      <w:hyperlink r:id="rId29" w:history="1">
        <w:r w:rsidRPr="006438B5">
          <w:rPr>
            <w:rFonts w:cs="Times New Roman"/>
            <w:szCs w:val="24"/>
            <w:lang w:val="en-GB"/>
          </w:rPr>
          <w:t>10.1016/j.cclet.2014.03.032</w:t>
        </w:r>
      </w:hyperlink>
    </w:p>
    <w:p w14:paraId="29D97BE5"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Lin, B., Zhu, J., 2019. The role of renewable energy technological innovation on climate change: Empirical evidence from China. Science of The Total Environment 659, 1505–1512. https://doi.org/</w:t>
      </w:r>
      <w:hyperlink r:id="rId30" w:history="1">
        <w:r w:rsidRPr="006438B5">
          <w:rPr>
            <w:rFonts w:cs="Times New Roman"/>
            <w:szCs w:val="24"/>
            <w:lang w:val="en-GB"/>
          </w:rPr>
          <w:t>10.1016/j.scitotenv.2018.12.449</w:t>
        </w:r>
      </w:hyperlink>
    </w:p>
    <w:p w14:paraId="1772D7DC"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Liu, W., Shen, </w:t>
      </w:r>
      <w:proofErr w:type="gramStart"/>
      <w:r w:rsidRPr="006438B5">
        <w:rPr>
          <w:rFonts w:cs="Times New Roman"/>
          <w:color w:val="222222"/>
          <w:szCs w:val="24"/>
          <w:shd w:val="clear" w:color="auto" w:fill="FFFFFF"/>
        </w:rPr>
        <w:t>J.</w:t>
      </w:r>
      <w:proofErr w:type="gramEnd"/>
      <w:r w:rsidRPr="006438B5">
        <w:rPr>
          <w:rFonts w:cs="Times New Roman"/>
          <w:color w:val="222222"/>
          <w:szCs w:val="24"/>
          <w:shd w:val="clear" w:color="auto" w:fill="FFFFFF"/>
        </w:rPr>
        <w:t xml:space="preserve"> and Wei, Y.D., 2023. Spatial restructuring of pollution-intensive enterprises in Foshan China: Effects of the changing role of environmental regulation.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325</w:t>
      </w:r>
      <w:r w:rsidRPr="006438B5">
        <w:rPr>
          <w:rFonts w:cs="Times New Roman"/>
          <w:color w:val="222222"/>
          <w:szCs w:val="24"/>
          <w:shd w:val="clear" w:color="auto" w:fill="FFFFFF"/>
        </w:rPr>
        <w:t>, p.116501.</w:t>
      </w:r>
    </w:p>
    <w:p w14:paraId="2BCFDA55"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Liu, W., Lund, H., </w:t>
      </w:r>
      <w:proofErr w:type="spellStart"/>
      <w:r w:rsidRPr="006438B5">
        <w:rPr>
          <w:rFonts w:cs="Times New Roman"/>
          <w:szCs w:val="24"/>
          <w:lang w:val="en-GB"/>
        </w:rPr>
        <w:t>Mathiesen</w:t>
      </w:r>
      <w:proofErr w:type="spellEnd"/>
      <w:r w:rsidRPr="006438B5">
        <w:rPr>
          <w:rFonts w:cs="Times New Roman"/>
          <w:szCs w:val="24"/>
          <w:lang w:val="en-GB"/>
        </w:rPr>
        <w:t>, B.V. and Zhang, X., 2011. Potential of renewable energy systems in China. </w:t>
      </w:r>
      <w:r w:rsidRPr="006438B5">
        <w:rPr>
          <w:rFonts w:cs="Times New Roman"/>
          <w:i/>
          <w:iCs/>
          <w:szCs w:val="24"/>
          <w:lang w:val="en-GB"/>
        </w:rPr>
        <w:t>Applied Energy</w:t>
      </w:r>
      <w:r w:rsidRPr="006438B5">
        <w:rPr>
          <w:rFonts w:cs="Times New Roman"/>
          <w:szCs w:val="24"/>
          <w:lang w:val="en-GB"/>
        </w:rPr>
        <w:t>, 88(2), pp.518-525.</w:t>
      </w:r>
    </w:p>
    <w:p w14:paraId="5FF7A653"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Lu, X., Zhang, S., Xing, J., Wang, Y., Chen, W., Ding, D., Wu, Y., Wang, S., Duan, L., Hao, </w:t>
      </w:r>
      <w:r w:rsidRPr="006438B5">
        <w:rPr>
          <w:rFonts w:cs="Times New Roman"/>
          <w:szCs w:val="24"/>
          <w:lang w:val="en-GB"/>
        </w:rPr>
        <w:lastRenderedPageBreak/>
        <w:t>J., 2020. Progress of Air Pollution Control in China and Its Challenges and Opportunities in the Ecological Civilization Era. Engineering 6. https://doi.org/</w:t>
      </w:r>
      <w:hyperlink r:id="rId31" w:history="1">
        <w:r w:rsidRPr="006438B5">
          <w:rPr>
            <w:rFonts w:cs="Times New Roman"/>
            <w:szCs w:val="24"/>
            <w:lang w:val="en-GB"/>
          </w:rPr>
          <w:t>10.1016/j.eng.2020.03.014</w:t>
        </w:r>
      </w:hyperlink>
    </w:p>
    <w:p w14:paraId="3AB4A7E0"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Lv</w:t>
      </w:r>
      <w:proofErr w:type="spellEnd"/>
      <w:r w:rsidRPr="006438B5">
        <w:rPr>
          <w:rFonts w:cs="Times New Roman"/>
          <w:szCs w:val="24"/>
          <w:lang w:val="en-GB"/>
        </w:rPr>
        <w:t>, D., Chen, Y., Zhu, T., Li, T., Shen, F., Li, X., Mehmood, T., 2019. The pollution characteristics of PM10 and PM2.5 during summer and winter in Beijing, Suning and Islamabad. Atmospheric Pollution Research 10, 1159–1164. https://doi.org/</w:t>
      </w:r>
      <w:hyperlink r:id="rId32" w:history="1">
        <w:r w:rsidRPr="006438B5">
          <w:rPr>
            <w:rFonts w:cs="Times New Roman"/>
            <w:szCs w:val="24"/>
            <w:lang w:val="en-GB"/>
          </w:rPr>
          <w:t>10.1016/j.apr.2019.01.021</w:t>
        </w:r>
      </w:hyperlink>
    </w:p>
    <w:p w14:paraId="3F992187"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McGrath, M., 2020. Climate change: China aims for “carbon neutrality by 2060.” BBC News.</w:t>
      </w:r>
    </w:p>
    <w:p w14:paraId="70A81A1F"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Miremadi</w:t>
      </w:r>
      <w:proofErr w:type="spellEnd"/>
      <w:r w:rsidRPr="006438B5">
        <w:rPr>
          <w:rFonts w:cs="Times New Roman"/>
          <w:szCs w:val="24"/>
          <w:lang w:val="en-GB"/>
        </w:rPr>
        <w:t xml:space="preserve">, I., </w:t>
      </w:r>
      <w:proofErr w:type="spellStart"/>
      <w:r w:rsidRPr="006438B5">
        <w:rPr>
          <w:rFonts w:cs="Times New Roman"/>
          <w:szCs w:val="24"/>
          <w:lang w:val="en-GB"/>
        </w:rPr>
        <w:t>Saboohi</w:t>
      </w:r>
      <w:proofErr w:type="spellEnd"/>
      <w:r w:rsidRPr="006438B5">
        <w:rPr>
          <w:rFonts w:cs="Times New Roman"/>
          <w:szCs w:val="24"/>
          <w:lang w:val="en-GB"/>
        </w:rPr>
        <w:t xml:space="preserve">, Y., </w:t>
      </w:r>
      <w:proofErr w:type="spellStart"/>
      <w:r w:rsidRPr="006438B5">
        <w:rPr>
          <w:rFonts w:cs="Times New Roman"/>
          <w:szCs w:val="24"/>
          <w:lang w:val="en-GB"/>
        </w:rPr>
        <w:t>Arasti</w:t>
      </w:r>
      <w:proofErr w:type="spellEnd"/>
      <w:r w:rsidRPr="006438B5">
        <w:rPr>
          <w:rFonts w:cs="Times New Roman"/>
          <w:szCs w:val="24"/>
          <w:lang w:val="en-GB"/>
        </w:rPr>
        <w:t xml:space="preserve">, M., 2019. The influence of public R&amp;D and knowledge </w:t>
      </w:r>
      <w:proofErr w:type="spellStart"/>
      <w:r w:rsidRPr="006438B5">
        <w:rPr>
          <w:rFonts w:cs="Times New Roman"/>
          <w:szCs w:val="24"/>
          <w:lang w:val="en-GB"/>
        </w:rPr>
        <w:t>spillovers</w:t>
      </w:r>
      <w:proofErr w:type="spellEnd"/>
      <w:r w:rsidRPr="006438B5">
        <w:rPr>
          <w:rFonts w:cs="Times New Roman"/>
          <w:szCs w:val="24"/>
          <w:lang w:val="en-GB"/>
        </w:rPr>
        <w:t xml:space="preserve"> on the development of renewable energy sources: The case of the Nordic countries. Technological Forecasting and Social Change 146, 450–463. https://doi.org/</w:t>
      </w:r>
      <w:hyperlink r:id="rId33" w:history="1">
        <w:r w:rsidRPr="006438B5">
          <w:rPr>
            <w:rFonts w:cs="Times New Roman"/>
            <w:szCs w:val="24"/>
            <w:lang w:val="en-GB"/>
          </w:rPr>
          <w:t>10.1016/j.techfore.2019.04.020</w:t>
        </w:r>
      </w:hyperlink>
    </w:p>
    <w:p w14:paraId="7BFF0E8B" w14:textId="77777777" w:rsidR="007A39EB" w:rsidRDefault="007A39EB" w:rsidP="007A39EB">
      <w:pPr>
        <w:widowControl w:val="0"/>
        <w:autoSpaceDE w:val="0"/>
        <w:autoSpaceDN w:val="0"/>
        <w:adjustRightInd w:val="0"/>
        <w:spacing w:line="360" w:lineRule="auto"/>
        <w:ind w:left="720" w:hanging="720"/>
        <w:rPr>
          <w:rFonts w:cs="Times New Roman"/>
          <w:lang w:val="en-GB"/>
        </w:rPr>
      </w:pPr>
      <w:r w:rsidRPr="62DAD084">
        <w:rPr>
          <w:rFonts w:cs="Times New Roman"/>
          <w:lang w:val="en-GB"/>
        </w:rPr>
        <w:t xml:space="preserve">Morita S, </w:t>
      </w:r>
      <w:proofErr w:type="spellStart"/>
      <w:r w:rsidRPr="62DAD084">
        <w:rPr>
          <w:rFonts w:cs="Times New Roman"/>
          <w:lang w:val="en-GB"/>
        </w:rPr>
        <w:t>Kusaka</w:t>
      </w:r>
      <w:proofErr w:type="spellEnd"/>
      <w:r w:rsidRPr="62DAD084">
        <w:rPr>
          <w:rFonts w:cs="Times New Roman"/>
          <w:lang w:val="en-GB"/>
        </w:rPr>
        <w:t xml:space="preserve"> T, Tanaka S, et al</w:t>
      </w:r>
      <w:r w:rsidRPr="76718713">
        <w:rPr>
          <w:rFonts w:cs="Times New Roman"/>
          <w:lang w:val="en-GB"/>
        </w:rPr>
        <w:t>., 2013.</w:t>
      </w:r>
      <w:r w:rsidRPr="62DAD084">
        <w:rPr>
          <w:rFonts w:cs="Times New Roman"/>
          <w:lang w:val="en-GB"/>
        </w:rPr>
        <w:t xml:space="preserve"> The relationship between muscle weakness and activation of the cerebral cortex early after </w:t>
      </w:r>
      <w:proofErr w:type="spellStart"/>
      <w:r w:rsidRPr="62DAD084">
        <w:rPr>
          <w:rFonts w:cs="Times New Roman"/>
          <w:lang w:val="en-GB"/>
        </w:rPr>
        <w:t>unicompartmental</w:t>
      </w:r>
      <w:proofErr w:type="spellEnd"/>
      <w:r w:rsidRPr="62DAD084">
        <w:rPr>
          <w:rFonts w:cs="Times New Roman"/>
          <w:lang w:val="en-GB"/>
        </w:rPr>
        <w:t xml:space="preserve"> knee arthroplasty. J Phys </w:t>
      </w:r>
      <w:proofErr w:type="spellStart"/>
      <w:r w:rsidRPr="62DAD084">
        <w:rPr>
          <w:rFonts w:cs="Times New Roman"/>
          <w:lang w:val="en-GB"/>
        </w:rPr>
        <w:t>Ther</w:t>
      </w:r>
      <w:proofErr w:type="spellEnd"/>
      <w:r w:rsidRPr="62DAD084">
        <w:rPr>
          <w:rFonts w:cs="Times New Roman"/>
          <w:lang w:val="en-GB"/>
        </w:rPr>
        <w:t xml:space="preserve"> Sci, 25: 301–307. </w:t>
      </w:r>
    </w:p>
    <w:p w14:paraId="02DDF14C" w14:textId="77777777" w:rsidR="007A39EB" w:rsidRDefault="007A39EB" w:rsidP="007A39EB">
      <w:pPr>
        <w:widowControl w:val="0"/>
        <w:autoSpaceDE w:val="0"/>
        <w:autoSpaceDN w:val="0"/>
        <w:adjustRightInd w:val="0"/>
        <w:spacing w:line="360" w:lineRule="auto"/>
        <w:ind w:left="720" w:hanging="720"/>
        <w:rPr>
          <w:rFonts w:cs="Times New Roman"/>
          <w:lang w:val="en-GB"/>
        </w:rPr>
      </w:pPr>
      <w:r w:rsidRPr="62DAD084">
        <w:rPr>
          <w:rFonts w:cs="Times New Roman"/>
          <w:lang w:val="en-GB"/>
        </w:rPr>
        <w:t xml:space="preserve">Mujtaba, G., Shahzad, S.J.H., 2021. Air pollutants, economic </w:t>
      </w:r>
      <w:proofErr w:type="gramStart"/>
      <w:r w:rsidRPr="62DAD084">
        <w:rPr>
          <w:rFonts w:cs="Times New Roman"/>
          <w:lang w:val="en-GB"/>
        </w:rPr>
        <w:t>growth</w:t>
      </w:r>
      <w:proofErr w:type="gramEnd"/>
      <w:r w:rsidRPr="62DAD084">
        <w:rPr>
          <w:rFonts w:cs="Times New Roman"/>
          <w:lang w:val="en-GB"/>
        </w:rPr>
        <w:t xml:space="preserve"> and public health: implications for sustainable development in OECD countries. Environmental Science and Pollution Research 28, 12686–12698. https://doi.org/</w:t>
      </w:r>
      <w:hyperlink r:id="rId34">
        <w:r w:rsidRPr="62DAD084">
          <w:rPr>
            <w:rFonts w:cs="Times New Roman"/>
            <w:lang w:val="en-GB"/>
          </w:rPr>
          <w:t>10.1007/s11356-020-11212-1</w:t>
        </w:r>
      </w:hyperlink>
    </w:p>
    <w:p w14:paraId="177E9B65" w14:textId="77777777" w:rsidR="007A39EB" w:rsidRPr="00DC668F" w:rsidRDefault="007A39EB" w:rsidP="007A39EB">
      <w:pPr>
        <w:widowControl w:val="0"/>
        <w:autoSpaceDE w:val="0"/>
        <w:autoSpaceDN w:val="0"/>
        <w:adjustRightInd w:val="0"/>
        <w:spacing w:line="360" w:lineRule="auto"/>
        <w:ind w:left="720" w:hanging="720"/>
        <w:rPr>
          <w:rFonts w:cs="Times New Roman"/>
          <w:color w:val="FF0000"/>
          <w:szCs w:val="24"/>
          <w:lang w:val="en-GB"/>
        </w:rPr>
      </w:pPr>
      <w:r w:rsidRPr="00DC668F">
        <w:rPr>
          <w:color w:val="FF0000"/>
          <w:shd w:val="clear" w:color="auto" w:fill="FFFFFF"/>
        </w:rPr>
        <w:t>Naeem, M.A., Karim, S., Hasan, M., Lucey, B.M. and Kang, S.H., 2022. Nexus between oil shocks and agriculture commodities: Evidence from time and frequency domain. </w:t>
      </w:r>
      <w:r w:rsidRPr="00DC668F">
        <w:rPr>
          <w:i/>
          <w:iCs/>
          <w:color w:val="FF0000"/>
          <w:shd w:val="clear" w:color="auto" w:fill="FFFFFF"/>
        </w:rPr>
        <w:t>Energy Economics</w:t>
      </w:r>
      <w:r w:rsidRPr="00DC668F">
        <w:rPr>
          <w:color w:val="FF0000"/>
          <w:shd w:val="clear" w:color="auto" w:fill="FFFFFF"/>
        </w:rPr>
        <w:t>, </w:t>
      </w:r>
      <w:r w:rsidRPr="00DC668F">
        <w:rPr>
          <w:i/>
          <w:iCs/>
          <w:color w:val="FF0000"/>
          <w:shd w:val="clear" w:color="auto" w:fill="FFFFFF"/>
        </w:rPr>
        <w:t>112</w:t>
      </w:r>
      <w:r w:rsidRPr="00DC668F">
        <w:rPr>
          <w:color w:val="FF0000"/>
          <w:shd w:val="clear" w:color="auto" w:fill="FFFFFF"/>
        </w:rPr>
        <w:t>, p.106148.</w:t>
      </w:r>
    </w:p>
    <w:p w14:paraId="6F1C40AA"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Nasir, M.A., </w:t>
      </w:r>
      <w:proofErr w:type="spellStart"/>
      <w:r w:rsidRPr="006438B5">
        <w:rPr>
          <w:rFonts w:cs="Times New Roman"/>
          <w:color w:val="222222"/>
          <w:szCs w:val="24"/>
          <w:shd w:val="clear" w:color="auto" w:fill="FFFFFF"/>
        </w:rPr>
        <w:t>Canh</w:t>
      </w:r>
      <w:proofErr w:type="spellEnd"/>
      <w:r w:rsidRPr="006438B5">
        <w:rPr>
          <w:rFonts w:cs="Times New Roman"/>
          <w:color w:val="222222"/>
          <w:szCs w:val="24"/>
          <w:shd w:val="clear" w:color="auto" w:fill="FFFFFF"/>
        </w:rPr>
        <w:t xml:space="preserve">, N.P. and Le, T.N.L., 2021. Environmental degradation &amp; role of </w:t>
      </w:r>
      <w:proofErr w:type="spellStart"/>
      <w:r w:rsidRPr="006438B5">
        <w:rPr>
          <w:rFonts w:cs="Times New Roman"/>
          <w:color w:val="222222"/>
          <w:szCs w:val="24"/>
          <w:shd w:val="clear" w:color="auto" w:fill="FFFFFF"/>
        </w:rPr>
        <w:t>financialisation</w:t>
      </w:r>
      <w:proofErr w:type="spellEnd"/>
      <w:r w:rsidRPr="006438B5">
        <w:rPr>
          <w:rFonts w:cs="Times New Roman"/>
          <w:color w:val="222222"/>
          <w:szCs w:val="24"/>
          <w:shd w:val="clear" w:color="auto" w:fill="FFFFFF"/>
        </w:rPr>
        <w:t xml:space="preserve">, economic development, </w:t>
      </w:r>
      <w:proofErr w:type="spellStart"/>
      <w:proofErr w:type="gramStart"/>
      <w:r w:rsidRPr="006438B5">
        <w:rPr>
          <w:rFonts w:cs="Times New Roman"/>
          <w:color w:val="222222"/>
          <w:szCs w:val="24"/>
          <w:shd w:val="clear" w:color="auto" w:fill="FFFFFF"/>
        </w:rPr>
        <w:t>industrialisation</w:t>
      </w:r>
      <w:proofErr w:type="spellEnd"/>
      <w:proofErr w:type="gramEnd"/>
      <w:r w:rsidRPr="006438B5">
        <w:rPr>
          <w:rFonts w:cs="Times New Roman"/>
          <w:color w:val="222222"/>
          <w:szCs w:val="24"/>
          <w:shd w:val="clear" w:color="auto" w:fill="FFFFFF"/>
        </w:rPr>
        <w:t xml:space="preserve"> and trade </w:t>
      </w:r>
      <w:proofErr w:type="spellStart"/>
      <w:r w:rsidRPr="006438B5">
        <w:rPr>
          <w:rFonts w:cs="Times New Roman"/>
          <w:color w:val="222222"/>
          <w:szCs w:val="24"/>
          <w:shd w:val="clear" w:color="auto" w:fill="FFFFFF"/>
        </w:rPr>
        <w:t>liberalisation</w:t>
      </w:r>
      <w:proofErr w:type="spellEnd"/>
      <w:r w:rsidRPr="006438B5">
        <w:rPr>
          <w:rFonts w:cs="Times New Roman"/>
          <w:color w:val="222222"/>
          <w:szCs w:val="24"/>
          <w:shd w:val="clear" w:color="auto" w:fill="FFFFFF"/>
        </w:rPr>
        <w:t>.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277</w:t>
      </w:r>
      <w:r w:rsidRPr="006438B5">
        <w:rPr>
          <w:rFonts w:cs="Times New Roman"/>
          <w:color w:val="222222"/>
          <w:szCs w:val="24"/>
          <w:shd w:val="clear" w:color="auto" w:fill="FFFFFF"/>
        </w:rPr>
        <w:t>, p.111471.</w:t>
      </w:r>
    </w:p>
    <w:p w14:paraId="29E9BBD6"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Olaoye</w:t>
      </w:r>
      <w:proofErr w:type="spellEnd"/>
      <w:r w:rsidRPr="006438B5">
        <w:rPr>
          <w:rFonts w:cs="Times New Roman"/>
          <w:szCs w:val="24"/>
          <w:lang w:val="en-GB"/>
        </w:rPr>
        <w:t xml:space="preserve">, O.P., </w:t>
      </w:r>
      <w:proofErr w:type="spellStart"/>
      <w:r w:rsidRPr="006438B5">
        <w:rPr>
          <w:rFonts w:cs="Times New Roman"/>
          <w:szCs w:val="24"/>
          <w:lang w:val="en-GB"/>
        </w:rPr>
        <w:t>Ayomitunde</w:t>
      </w:r>
      <w:proofErr w:type="spellEnd"/>
      <w:r w:rsidRPr="006438B5">
        <w:rPr>
          <w:rFonts w:cs="Times New Roman"/>
          <w:szCs w:val="24"/>
          <w:lang w:val="en-GB"/>
        </w:rPr>
        <w:t xml:space="preserve">, A.T., John, N.C., Jude-Okeke, Y., </w:t>
      </w:r>
      <w:proofErr w:type="spellStart"/>
      <w:r w:rsidRPr="006438B5">
        <w:rPr>
          <w:rFonts w:cs="Times New Roman"/>
          <w:szCs w:val="24"/>
          <w:lang w:val="en-GB"/>
        </w:rPr>
        <w:t>Ezinwa</w:t>
      </w:r>
      <w:proofErr w:type="spellEnd"/>
      <w:r w:rsidRPr="006438B5">
        <w:rPr>
          <w:rFonts w:cs="Times New Roman"/>
          <w:szCs w:val="24"/>
          <w:lang w:val="en-GB"/>
        </w:rPr>
        <w:t>, A.D., 2020. Energy consumption and foreign direct investment inflows in Nigeria: an empirical perspective. International Journal of Energy Economics and Policy, 10, 491–496. https://doi.org/</w:t>
      </w:r>
      <w:hyperlink r:id="rId35" w:history="1">
        <w:r w:rsidRPr="006438B5">
          <w:rPr>
            <w:rFonts w:cs="Times New Roman"/>
            <w:szCs w:val="24"/>
            <w:lang w:val="en-GB"/>
          </w:rPr>
          <w:t>10.32479/ijeep.8489</w:t>
        </w:r>
      </w:hyperlink>
    </w:p>
    <w:p w14:paraId="06D7C0CF"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REN21 (2021). </w:t>
      </w:r>
      <w:r w:rsidRPr="006438B5">
        <w:rPr>
          <w:rFonts w:cs="Times New Roman"/>
          <w:i/>
          <w:iCs/>
          <w:szCs w:val="24"/>
          <w:lang w:val="en-GB"/>
        </w:rPr>
        <w:t>Renewables 2021 Global Status Report. REN21 Secretariat</w:t>
      </w:r>
      <w:r w:rsidRPr="006438B5">
        <w:rPr>
          <w:rFonts w:cs="Times New Roman"/>
          <w:szCs w:val="24"/>
          <w:lang w:val="en-GB"/>
        </w:rPr>
        <w:t xml:space="preserve">. Available online: </w:t>
      </w:r>
      <w:hyperlink r:id="rId36" w:history="1">
        <w:r w:rsidRPr="006438B5">
          <w:rPr>
            <w:rStyle w:val="Hyperlink"/>
            <w:rFonts w:cs="Times New Roman"/>
            <w:szCs w:val="24"/>
            <w:lang w:val="en-GB"/>
          </w:rPr>
          <w:t>https://www.ren21.net/reports/global-status-report/</w:t>
        </w:r>
      </w:hyperlink>
      <w:r w:rsidRPr="006438B5">
        <w:rPr>
          <w:rFonts w:cs="Times New Roman"/>
          <w:szCs w:val="24"/>
          <w:lang w:val="en-GB"/>
        </w:rPr>
        <w:t xml:space="preserve"> </w:t>
      </w:r>
    </w:p>
    <w:p w14:paraId="1E0C844B"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Reuters (2016). China to close more than 1,000 coal mines in 2016: energy. Available at </w:t>
      </w:r>
      <w:hyperlink r:id="rId37" w:history="1">
        <w:r w:rsidRPr="006438B5">
          <w:rPr>
            <w:rStyle w:val="Hyperlink"/>
            <w:rFonts w:cs="Times New Roman"/>
            <w:szCs w:val="24"/>
            <w:lang w:val="en-GB"/>
          </w:rPr>
          <w:t>https://www.reuters.com/article/us-china-energy-coal-idUSKCN0VV0U5</w:t>
        </w:r>
      </w:hyperlink>
      <w:r w:rsidRPr="006438B5">
        <w:rPr>
          <w:rFonts w:cs="Times New Roman"/>
          <w:szCs w:val="24"/>
          <w:lang w:val="en-GB"/>
        </w:rPr>
        <w:t xml:space="preserve"> </w:t>
      </w:r>
    </w:p>
    <w:p w14:paraId="613BE279" w14:textId="77777777" w:rsidR="007A39EB" w:rsidRPr="006438B5" w:rsidRDefault="007A39EB" w:rsidP="007A39EB">
      <w:pPr>
        <w:widowControl w:val="0"/>
        <w:autoSpaceDE w:val="0"/>
        <w:autoSpaceDN w:val="0"/>
        <w:adjustRightInd w:val="0"/>
        <w:spacing w:line="360" w:lineRule="auto"/>
        <w:ind w:left="720" w:hanging="720"/>
        <w:rPr>
          <w:rFonts w:cs="Times New Roman"/>
          <w:color w:val="222222"/>
          <w:szCs w:val="24"/>
          <w:shd w:val="clear" w:color="auto" w:fill="FFFFFF"/>
        </w:rPr>
      </w:pPr>
      <w:r w:rsidRPr="006438B5">
        <w:rPr>
          <w:rFonts w:cs="Times New Roman"/>
          <w:szCs w:val="24"/>
          <w:lang w:val="en-GB"/>
        </w:rPr>
        <w:t xml:space="preserve">Reuters (2017). China's 2017 steel output to rise 3-5 percent despite mill closures: CISA. </w:t>
      </w:r>
      <w:r w:rsidRPr="006438B5">
        <w:rPr>
          <w:rFonts w:cs="Times New Roman"/>
          <w:szCs w:val="24"/>
          <w:lang w:val="en-GB"/>
        </w:rPr>
        <w:lastRenderedPageBreak/>
        <w:t xml:space="preserve">Available at: </w:t>
      </w:r>
      <w:hyperlink r:id="rId38" w:history="1">
        <w:r w:rsidRPr="006438B5">
          <w:rPr>
            <w:rStyle w:val="Hyperlink"/>
            <w:rFonts w:cs="Times New Roman"/>
            <w:szCs w:val="24"/>
            <w:lang w:val="en-GB"/>
          </w:rPr>
          <w:t>https://www.reuters.com/article/us-china-steel-idUSKCN1BR08K</w:t>
        </w:r>
      </w:hyperlink>
      <w:r w:rsidRPr="006438B5">
        <w:rPr>
          <w:rFonts w:cs="Times New Roman"/>
          <w:szCs w:val="24"/>
          <w:lang w:val="en-GB"/>
        </w:rPr>
        <w:t xml:space="preserve"> </w:t>
      </w:r>
    </w:p>
    <w:p w14:paraId="516C22C2"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Pan, Y., Dong, F. and Du, C., 2023. Is China approaching the inflection point of the ecological Kuznets curve? Analysis based on ecosystem service value at the county level.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326</w:t>
      </w:r>
      <w:r w:rsidRPr="006438B5">
        <w:rPr>
          <w:rFonts w:cs="Times New Roman"/>
          <w:color w:val="222222"/>
          <w:szCs w:val="24"/>
          <w:shd w:val="clear" w:color="auto" w:fill="FFFFFF"/>
        </w:rPr>
        <w:t>, p.116629.</w:t>
      </w:r>
    </w:p>
    <w:p w14:paraId="3C7E4E69" w14:textId="77777777" w:rsidR="007A39EB" w:rsidRPr="00981DDC" w:rsidRDefault="007A39EB" w:rsidP="007A39EB">
      <w:pPr>
        <w:widowControl w:val="0"/>
        <w:autoSpaceDE w:val="0"/>
        <w:autoSpaceDN w:val="0"/>
        <w:adjustRightInd w:val="0"/>
        <w:spacing w:line="360" w:lineRule="auto"/>
        <w:ind w:left="720" w:hanging="720"/>
        <w:rPr>
          <w:rFonts w:cs="Times New Roman"/>
          <w:color w:val="FF0000"/>
          <w:lang w:val="en-GB"/>
        </w:rPr>
      </w:pPr>
      <w:r w:rsidRPr="00981DDC">
        <w:rPr>
          <w:rFonts w:cs="Times New Roman"/>
          <w:color w:val="FF0000"/>
          <w:lang w:val="en-GB"/>
        </w:rPr>
        <w:t xml:space="preserve">Pack, D J. 1980. "Practical overview of ARIMA models for time-series forecasting". United States. </w:t>
      </w:r>
    </w:p>
    <w:p w14:paraId="5492D521" w14:textId="77777777" w:rsidR="007A39EB" w:rsidRPr="006438B5" w:rsidRDefault="007A39EB" w:rsidP="007A39EB">
      <w:pPr>
        <w:widowControl w:val="0"/>
        <w:autoSpaceDE w:val="0"/>
        <w:autoSpaceDN w:val="0"/>
        <w:adjustRightInd w:val="0"/>
        <w:spacing w:line="360" w:lineRule="auto"/>
        <w:ind w:left="720" w:hanging="720"/>
        <w:rPr>
          <w:rFonts w:cs="Times New Roman"/>
          <w:lang w:val="en-GB"/>
        </w:rPr>
      </w:pPr>
      <w:proofErr w:type="spellStart"/>
      <w:r w:rsidRPr="76718713">
        <w:rPr>
          <w:rFonts w:cs="Times New Roman"/>
          <w:lang w:val="en-GB"/>
        </w:rPr>
        <w:t>Pinzón</w:t>
      </w:r>
      <w:proofErr w:type="spellEnd"/>
      <w:r w:rsidRPr="76718713">
        <w:rPr>
          <w:rFonts w:cs="Times New Roman"/>
          <w:lang w:val="en-GB"/>
        </w:rPr>
        <w:t>, K., 2018. Dynamics between energy consumption and economic growth in Ecuador: A granger causality analysis. Economic Analysis and Policy 57, 88–101. https://doi.org/</w:t>
      </w:r>
      <w:hyperlink r:id="rId39">
        <w:r w:rsidRPr="76718713">
          <w:rPr>
            <w:rFonts w:cs="Times New Roman"/>
            <w:lang w:val="en-GB"/>
          </w:rPr>
          <w:t>10.1016/j.eap.2017.09.004</w:t>
        </w:r>
      </w:hyperlink>
    </w:p>
    <w:p w14:paraId="20073BAA"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Pham, N.M., Huynh, T.L.D. and Nasir, M.A., 2020. Environmental consequences of population, </w:t>
      </w:r>
      <w:proofErr w:type="gramStart"/>
      <w:r w:rsidRPr="006438B5">
        <w:rPr>
          <w:rFonts w:cs="Times New Roman"/>
          <w:color w:val="222222"/>
          <w:szCs w:val="24"/>
          <w:shd w:val="clear" w:color="auto" w:fill="FFFFFF"/>
        </w:rPr>
        <w:t>affluence</w:t>
      </w:r>
      <w:proofErr w:type="gramEnd"/>
      <w:r w:rsidRPr="006438B5">
        <w:rPr>
          <w:rFonts w:cs="Times New Roman"/>
          <w:color w:val="222222"/>
          <w:szCs w:val="24"/>
          <w:shd w:val="clear" w:color="auto" w:fill="FFFFFF"/>
        </w:rPr>
        <w:t xml:space="preserve"> and technological progress for European countries: A Malthusian view.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260</w:t>
      </w:r>
      <w:r w:rsidRPr="006438B5">
        <w:rPr>
          <w:rFonts w:cs="Times New Roman"/>
          <w:color w:val="222222"/>
          <w:szCs w:val="24"/>
          <w:shd w:val="clear" w:color="auto" w:fill="FFFFFF"/>
        </w:rPr>
        <w:t>, p.110143.</w:t>
      </w:r>
    </w:p>
    <w:p w14:paraId="5088B915"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Roser</w:t>
      </w:r>
      <w:proofErr w:type="spellEnd"/>
      <w:r w:rsidRPr="006438B5">
        <w:rPr>
          <w:rFonts w:cs="Times New Roman"/>
          <w:szCs w:val="24"/>
          <w:lang w:val="en-GB"/>
        </w:rPr>
        <w:t xml:space="preserve">, M., 2021. Data Review: How many people die from air pollution? [WWW Document]. Our World in Data. URL </w:t>
      </w:r>
      <w:hyperlink r:id="rId40" w:history="1">
        <w:r w:rsidRPr="006438B5">
          <w:rPr>
            <w:rFonts w:cs="Times New Roman"/>
            <w:szCs w:val="24"/>
            <w:lang w:val="en-GB"/>
          </w:rPr>
          <w:t>https://ourworldindata.org/data-review-air-pollution-deaths</w:t>
        </w:r>
      </w:hyperlink>
      <w:r w:rsidRPr="006438B5">
        <w:rPr>
          <w:rFonts w:cs="Times New Roman"/>
          <w:szCs w:val="24"/>
          <w:lang w:val="en-GB"/>
        </w:rPr>
        <w:t xml:space="preserve"> (accessed 3.28.22).</w:t>
      </w:r>
    </w:p>
    <w:p w14:paraId="283129AE"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Saint </w:t>
      </w:r>
      <w:proofErr w:type="spellStart"/>
      <w:r w:rsidRPr="006438B5">
        <w:rPr>
          <w:rFonts w:cs="Times New Roman"/>
          <w:szCs w:val="24"/>
          <w:lang w:val="en-GB"/>
        </w:rPr>
        <w:t>Akadiri</w:t>
      </w:r>
      <w:proofErr w:type="spellEnd"/>
      <w:r w:rsidRPr="006438B5">
        <w:rPr>
          <w:rFonts w:cs="Times New Roman"/>
          <w:szCs w:val="24"/>
          <w:lang w:val="en-GB"/>
        </w:rPr>
        <w:t xml:space="preserve">, S., </w:t>
      </w:r>
      <w:proofErr w:type="spellStart"/>
      <w:r w:rsidRPr="006438B5">
        <w:rPr>
          <w:rFonts w:cs="Times New Roman"/>
          <w:szCs w:val="24"/>
          <w:lang w:val="en-GB"/>
        </w:rPr>
        <w:t>Alola</w:t>
      </w:r>
      <w:proofErr w:type="spellEnd"/>
      <w:r w:rsidRPr="006438B5">
        <w:rPr>
          <w:rFonts w:cs="Times New Roman"/>
          <w:szCs w:val="24"/>
          <w:lang w:val="en-GB"/>
        </w:rPr>
        <w:t xml:space="preserve">, A.A., </w:t>
      </w:r>
      <w:proofErr w:type="spellStart"/>
      <w:r w:rsidRPr="006438B5">
        <w:rPr>
          <w:rFonts w:cs="Times New Roman"/>
          <w:szCs w:val="24"/>
          <w:lang w:val="en-GB"/>
        </w:rPr>
        <w:t>Akadiri</w:t>
      </w:r>
      <w:proofErr w:type="spellEnd"/>
      <w:r w:rsidRPr="006438B5">
        <w:rPr>
          <w:rFonts w:cs="Times New Roman"/>
          <w:szCs w:val="24"/>
          <w:lang w:val="en-GB"/>
        </w:rPr>
        <w:t xml:space="preserve">, A.C., </w:t>
      </w:r>
      <w:proofErr w:type="spellStart"/>
      <w:r w:rsidRPr="006438B5">
        <w:rPr>
          <w:rFonts w:cs="Times New Roman"/>
          <w:szCs w:val="24"/>
          <w:lang w:val="en-GB"/>
        </w:rPr>
        <w:t>Alola</w:t>
      </w:r>
      <w:proofErr w:type="spellEnd"/>
      <w:r w:rsidRPr="006438B5">
        <w:rPr>
          <w:rFonts w:cs="Times New Roman"/>
          <w:szCs w:val="24"/>
          <w:lang w:val="en-GB"/>
        </w:rPr>
        <w:t>, U.V., 2019. Renewable energy consumption in EU-28 countries: Policy toward pollution mitigation and economic sustainability. Energy Policy, 132, 803–810. https://doi.org/</w:t>
      </w:r>
      <w:hyperlink r:id="rId41" w:history="1">
        <w:r w:rsidRPr="006438B5">
          <w:rPr>
            <w:rFonts w:cs="Times New Roman"/>
            <w:szCs w:val="24"/>
            <w:lang w:val="en-GB"/>
          </w:rPr>
          <w:t>10.1016/j.enpol.2019.06.040</w:t>
        </w:r>
      </w:hyperlink>
    </w:p>
    <w:p w14:paraId="0118C3E5"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Sharifzadeh</w:t>
      </w:r>
      <w:proofErr w:type="spellEnd"/>
      <w:r w:rsidRPr="006438B5">
        <w:rPr>
          <w:rFonts w:cs="Times New Roman"/>
          <w:szCs w:val="24"/>
          <w:lang w:val="en-GB"/>
        </w:rPr>
        <w:t>, M., Hien, R.K.T. and Shah, N., 2019. China’s roadmap to low-carbon electricity and water: Disentangling greenhouse gas (GHG) emissions from electricity-water nexus via renewable wind and solar power generation, and carbon capture and storage. </w:t>
      </w:r>
      <w:r w:rsidRPr="006438B5">
        <w:rPr>
          <w:rFonts w:cs="Times New Roman"/>
          <w:i/>
          <w:iCs/>
          <w:szCs w:val="24"/>
          <w:lang w:val="en-GB"/>
        </w:rPr>
        <w:t>Applied Energy</w:t>
      </w:r>
      <w:r w:rsidRPr="006438B5">
        <w:rPr>
          <w:rFonts w:cs="Times New Roman"/>
          <w:szCs w:val="24"/>
          <w:lang w:val="en-GB"/>
        </w:rPr>
        <w:t>, 235, pp.31-42.</w:t>
      </w:r>
    </w:p>
    <w:p w14:paraId="2E1FC6D7"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Shen, W., Li, S., Zhuang, Y., He, J., Liu, H. and Zhang, L., 2023. Phosphorus use efficiency has crossed the turning point of the environmental </w:t>
      </w:r>
      <w:proofErr w:type="spellStart"/>
      <w:r w:rsidRPr="006438B5">
        <w:rPr>
          <w:rFonts w:cs="Times New Roman"/>
          <w:color w:val="222222"/>
          <w:szCs w:val="24"/>
          <w:shd w:val="clear" w:color="auto" w:fill="FFFFFF"/>
        </w:rPr>
        <w:t>kuznets</w:t>
      </w:r>
      <w:proofErr w:type="spellEnd"/>
      <w:r w:rsidRPr="006438B5">
        <w:rPr>
          <w:rFonts w:cs="Times New Roman"/>
          <w:color w:val="222222"/>
          <w:szCs w:val="24"/>
          <w:shd w:val="clear" w:color="auto" w:fill="FFFFFF"/>
        </w:rPr>
        <w:t xml:space="preserve"> curve: Opportunities and challenges for crop production in China.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326</w:t>
      </w:r>
      <w:r w:rsidRPr="006438B5">
        <w:rPr>
          <w:rFonts w:cs="Times New Roman"/>
          <w:color w:val="222222"/>
          <w:szCs w:val="24"/>
          <w:shd w:val="clear" w:color="auto" w:fill="FFFFFF"/>
        </w:rPr>
        <w:t>, p.116754.</w:t>
      </w:r>
    </w:p>
    <w:p w14:paraId="141BE4C0"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Song, D., Liu, Y., Qin, T., Gu, H., Cao, Y. and Shi, H., 2022. Overview of the policy instruments for renewable energy development in China. </w:t>
      </w:r>
      <w:r w:rsidRPr="006438B5">
        <w:rPr>
          <w:rFonts w:cs="Times New Roman"/>
          <w:i/>
          <w:iCs/>
          <w:szCs w:val="24"/>
          <w:lang w:val="en-GB"/>
        </w:rPr>
        <w:t>Energies</w:t>
      </w:r>
      <w:r w:rsidRPr="006438B5">
        <w:rPr>
          <w:rFonts w:cs="Times New Roman"/>
          <w:szCs w:val="24"/>
          <w:lang w:val="en-GB"/>
        </w:rPr>
        <w:t>, 15(18), p.6513.</w:t>
      </w:r>
    </w:p>
    <w:p w14:paraId="0D235309" w14:textId="77777777" w:rsidR="007A39EB" w:rsidRPr="006438B5" w:rsidRDefault="007A39EB" w:rsidP="007A39EB">
      <w:pPr>
        <w:widowControl w:val="0"/>
        <w:autoSpaceDE w:val="0"/>
        <w:autoSpaceDN w:val="0"/>
        <w:adjustRightInd w:val="0"/>
        <w:spacing w:line="360" w:lineRule="auto"/>
        <w:ind w:left="720" w:hanging="720"/>
        <w:rPr>
          <w:rFonts w:cs="Times New Roman"/>
          <w:color w:val="222222"/>
          <w:szCs w:val="24"/>
          <w:shd w:val="clear" w:color="auto" w:fill="FFFFFF"/>
        </w:rPr>
      </w:pPr>
      <w:r w:rsidRPr="006438B5">
        <w:rPr>
          <w:rFonts w:cs="Times New Roman"/>
          <w:color w:val="222222"/>
          <w:szCs w:val="24"/>
          <w:shd w:val="clear" w:color="auto" w:fill="FFFFFF"/>
        </w:rPr>
        <w:t xml:space="preserve">Tang, Y., Chen, X.H., </w:t>
      </w:r>
      <w:proofErr w:type="spellStart"/>
      <w:r w:rsidRPr="006438B5">
        <w:rPr>
          <w:rFonts w:cs="Times New Roman"/>
          <w:color w:val="222222"/>
          <w:szCs w:val="24"/>
          <w:shd w:val="clear" w:color="auto" w:fill="FFFFFF"/>
        </w:rPr>
        <w:t>Sarker</w:t>
      </w:r>
      <w:proofErr w:type="spellEnd"/>
      <w:r w:rsidRPr="006438B5">
        <w:rPr>
          <w:rFonts w:cs="Times New Roman"/>
          <w:color w:val="222222"/>
          <w:szCs w:val="24"/>
          <w:shd w:val="clear" w:color="auto" w:fill="FFFFFF"/>
        </w:rPr>
        <w:t>, P.K. and Baroudi, S., 2023. Asymmetric effects of geopolitical risks and uncertainties on green bond markets. </w:t>
      </w:r>
      <w:r w:rsidRPr="006438B5">
        <w:rPr>
          <w:rFonts w:cs="Times New Roman"/>
          <w:i/>
          <w:iCs/>
          <w:color w:val="222222"/>
          <w:szCs w:val="24"/>
          <w:shd w:val="clear" w:color="auto" w:fill="FFFFFF"/>
        </w:rPr>
        <w:t>Technological Forecasting and Social Change</w:t>
      </w:r>
      <w:r w:rsidRPr="006438B5">
        <w:rPr>
          <w:rFonts w:cs="Times New Roman"/>
          <w:color w:val="222222"/>
          <w:szCs w:val="24"/>
          <w:shd w:val="clear" w:color="auto" w:fill="FFFFFF"/>
        </w:rPr>
        <w:t>, </w:t>
      </w:r>
      <w:r w:rsidRPr="006438B5">
        <w:rPr>
          <w:rFonts w:cs="Times New Roman"/>
          <w:i/>
          <w:iCs/>
          <w:color w:val="222222"/>
          <w:szCs w:val="24"/>
          <w:shd w:val="clear" w:color="auto" w:fill="FFFFFF"/>
        </w:rPr>
        <w:t>189</w:t>
      </w:r>
      <w:r w:rsidRPr="006438B5">
        <w:rPr>
          <w:rFonts w:cs="Times New Roman"/>
          <w:color w:val="222222"/>
          <w:szCs w:val="24"/>
          <w:shd w:val="clear" w:color="auto" w:fill="FFFFFF"/>
        </w:rPr>
        <w:t>, p.122348.</w:t>
      </w:r>
    </w:p>
    <w:p w14:paraId="1F3541B9"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Torbat</w:t>
      </w:r>
      <w:proofErr w:type="spellEnd"/>
      <w:r w:rsidRPr="006438B5">
        <w:rPr>
          <w:rFonts w:cs="Times New Roman"/>
          <w:szCs w:val="24"/>
          <w:lang w:val="en-GB"/>
        </w:rPr>
        <w:t xml:space="preserve">, S., </w:t>
      </w:r>
      <w:proofErr w:type="spellStart"/>
      <w:r w:rsidRPr="006438B5">
        <w:rPr>
          <w:rFonts w:cs="Times New Roman"/>
          <w:szCs w:val="24"/>
          <w:lang w:val="en-GB"/>
        </w:rPr>
        <w:t>Khashei</w:t>
      </w:r>
      <w:proofErr w:type="spellEnd"/>
      <w:r w:rsidRPr="006438B5">
        <w:rPr>
          <w:rFonts w:cs="Times New Roman"/>
          <w:szCs w:val="24"/>
          <w:lang w:val="en-GB"/>
        </w:rPr>
        <w:t xml:space="preserve">, M., </w:t>
      </w:r>
      <w:proofErr w:type="spellStart"/>
      <w:r w:rsidRPr="006438B5">
        <w:rPr>
          <w:rFonts w:cs="Times New Roman"/>
          <w:szCs w:val="24"/>
          <w:lang w:val="en-GB"/>
        </w:rPr>
        <w:t>Bijari</w:t>
      </w:r>
      <w:proofErr w:type="spellEnd"/>
      <w:r w:rsidRPr="006438B5">
        <w:rPr>
          <w:rFonts w:cs="Times New Roman"/>
          <w:szCs w:val="24"/>
          <w:lang w:val="en-GB"/>
        </w:rPr>
        <w:t>, M., 2018. A hybrid probabilistic fuzzy ARIMA model for consumption forecasting in commodity markets. Economic Analysis and Policy 58, 22–</w:t>
      </w:r>
      <w:r w:rsidRPr="006438B5">
        <w:rPr>
          <w:rFonts w:cs="Times New Roman"/>
          <w:szCs w:val="24"/>
          <w:lang w:val="en-GB"/>
        </w:rPr>
        <w:lastRenderedPageBreak/>
        <w:t>31. https://doi.org/</w:t>
      </w:r>
      <w:hyperlink r:id="rId42" w:history="1">
        <w:r w:rsidRPr="006438B5">
          <w:rPr>
            <w:rFonts w:cs="Times New Roman"/>
            <w:szCs w:val="24"/>
            <w:lang w:val="en-GB"/>
          </w:rPr>
          <w:t>10.1016/j.eap.2017.12.003</w:t>
        </w:r>
      </w:hyperlink>
    </w:p>
    <w:p w14:paraId="59270FF0"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proofErr w:type="spellStart"/>
      <w:r w:rsidRPr="006438B5">
        <w:rPr>
          <w:rFonts w:cs="Times New Roman"/>
          <w:szCs w:val="24"/>
          <w:lang w:val="en-GB"/>
        </w:rPr>
        <w:t>VoPham</w:t>
      </w:r>
      <w:proofErr w:type="spellEnd"/>
      <w:r w:rsidRPr="006438B5">
        <w:rPr>
          <w:rFonts w:cs="Times New Roman"/>
          <w:szCs w:val="24"/>
          <w:lang w:val="en-GB"/>
        </w:rPr>
        <w:t>, T., Bertrand, K.A., Tamimi, R.M., Laden, F., Hart, J.E., 2018. Ambient PM2.5 air pollution exposure and hepatocellular carcinoma incidence in the United States. Cancer Causes &amp; Control 29, 563–572. https://doi.org/</w:t>
      </w:r>
      <w:hyperlink r:id="rId43" w:history="1">
        <w:r w:rsidRPr="006438B5">
          <w:rPr>
            <w:rFonts w:cs="Times New Roman"/>
            <w:szCs w:val="24"/>
            <w:lang w:val="en-GB"/>
          </w:rPr>
          <w:t>10.1007/s10552-018-1036-x</w:t>
        </w:r>
      </w:hyperlink>
    </w:p>
    <w:p w14:paraId="4A9B5572"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Wang, X., Zhang, C. and Zhang, Z., 2019. Pollution haven or porter? The impact of environmental regulation on location choices of pollution-intensive firms in China.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248</w:t>
      </w:r>
      <w:r w:rsidRPr="006438B5">
        <w:rPr>
          <w:rFonts w:cs="Times New Roman"/>
          <w:color w:val="222222"/>
          <w:szCs w:val="24"/>
          <w:shd w:val="clear" w:color="auto" w:fill="FFFFFF"/>
        </w:rPr>
        <w:t>, p.109248.</w:t>
      </w:r>
      <w:r w:rsidRPr="006438B5">
        <w:rPr>
          <w:rFonts w:cs="Times New Roman"/>
          <w:szCs w:val="24"/>
          <w:lang w:val="en-GB"/>
        </w:rPr>
        <w:t xml:space="preserve"> </w:t>
      </w:r>
    </w:p>
    <w:p w14:paraId="4429E41C"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Wang, G., Deng, J., Zhang, Y., Zhang, Q., Duan, L., Hao, J. and Jiang, J., 2020. Air pollutant emissions from coal-fired power plants in China over the past two decades. </w:t>
      </w:r>
      <w:r w:rsidRPr="006438B5">
        <w:rPr>
          <w:rFonts w:cs="Times New Roman"/>
          <w:i/>
          <w:iCs/>
          <w:szCs w:val="24"/>
          <w:lang w:val="en-GB"/>
        </w:rPr>
        <w:t>Science of the Total Environment</w:t>
      </w:r>
      <w:r w:rsidRPr="006438B5">
        <w:rPr>
          <w:rFonts w:cs="Times New Roman"/>
          <w:szCs w:val="24"/>
          <w:lang w:val="en-GB"/>
        </w:rPr>
        <w:t>, 741, p.140326.</w:t>
      </w:r>
    </w:p>
    <w:p w14:paraId="1620DD04"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Wu, H., Ren, S., Yan, G. and Hao, Y., 2020. Does China's outward direct investment improve green total factor productivity in the “Belt and Road” countries? Evidence from dynamic threshold panel model analysis. </w:t>
      </w:r>
      <w:r w:rsidRPr="006438B5">
        <w:rPr>
          <w:rFonts w:cs="Times New Roman"/>
          <w:i/>
          <w:iCs/>
          <w:color w:val="222222"/>
          <w:szCs w:val="24"/>
          <w:shd w:val="clear" w:color="auto" w:fill="FFFFFF"/>
        </w:rPr>
        <w:t>Journal of Environmental Management</w:t>
      </w:r>
      <w:r w:rsidRPr="006438B5">
        <w:rPr>
          <w:rFonts w:cs="Times New Roman"/>
          <w:color w:val="222222"/>
          <w:szCs w:val="24"/>
          <w:shd w:val="clear" w:color="auto" w:fill="FFFFFF"/>
        </w:rPr>
        <w:t>, </w:t>
      </w:r>
      <w:r w:rsidRPr="006438B5">
        <w:rPr>
          <w:rFonts w:cs="Times New Roman"/>
          <w:i/>
          <w:iCs/>
          <w:color w:val="222222"/>
          <w:szCs w:val="24"/>
          <w:shd w:val="clear" w:color="auto" w:fill="FFFFFF"/>
        </w:rPr>
        <w:t>275</w:t>
      </w:r>
      <w:r w:rsidRPr="006438B5">
        <w:rPr>
          <w:rFonts w:cs="Times New Roman"/>
          <w:color w:val="222222"/>
          <w:szCs w:val="24"/>
          <w:shd w:val="clear" w:color="auto" w:fill="FFFFFF"/>
        </w:rPr>
        <w:t>, p.111295.</w:t>
      </w:r>
    </w:p>
    <w:p w14:paraId="05CBA9F0"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Yang, T., Dong, Q., Du, Q., Du, M., Dong, R., Chen, M., 2021. Carbon dioxide emissions and Chinese OFDI: From the perspective of carbon neutrality targets and environmental management of home country. Journal of Environmental Management 295, 113120. https://doi.org/</w:t>
      </w:r>
      <w:hyperlink r:id="rId44" w:history="1">
        <w:r w:rsidRPr="006438B5">
          <w:rPr>
            <w:rFonts w:cs="Times New Roman"/>
            <w:szCs w:val="24"/>
            <w:lang w:val="en-GB"/>
          </w:rPr>
          <w:t>10.1016/j.jenvman.2021.113120</w:t>
        </w:r>
      </w:hyperlink>
    </w:p>
    <w:p w14:paraId="71431A9A"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Yuan, X., Mu, R., </w:t>
      </w:r>
      <w:proofErr w:type="spellStart"/>
      <w:r w:rsidRPr="006438B5">
        <w:rPr>
          <w:rFonts w:cs="Times New Roman"/>
          <w:szCs w:val="24"/>
          <w:lang w:val="en-GB"/>
        </w:rPr>
        <w:t>Zuo</w:t>
      </w:r>
      <w:proofErr w:type="spellEnd"/>
      <w:r w:rsidRPr="006438B5">
        <w:rPr>
          <w:rFonts w:cs="Times New Roman"/>
          <w:szCs w:val="24"/>
          <w:lang w:val="en-GB"/>
        </w:rPr>
        <w:t>, J., Wang, Q., 2015. Economic Development, Energy Consumption, and Air Pollution: A Critical Assessment in China. Human and Ecological Risk Assessment: An International Journal 21, 781–798. https://doi.org/</w:t>
      </w:r>
      <w:hyperlink r:id="rId45" w:history="1">
        <w:r w:rsidRPr="006438B5">
          <w:rPr>
            <w:rFonts w:cs="Times New Roman"/>
            <w:szCs w:val="24"/>
            <w:lang w:val="en-GB"/>
          </w:rPr>
          <w:t>10.1080/10807039.2014.932204</w:t>
        </w:r>
      </w:hyperlink>
    </w:p>
    <w:p w14:paraId="36606B8D"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color w:val="222222"/>
          <w:szCs w:val="24"/>
          <w:shd w:val="clear" w:color="auto" w:fill="FFFFFF"/>
        </w:rPr>
        <w:t xml:space="preserve">Zhang, D., Chen, X.H., Lau, C.K.M. and </w:t>
      </w:r>
      <w:r>
        <w:rPr>
          <w:rFonts w:cs="Times New Roman"/>
          <w:color w:val="222222"/>
          <w:szCs w:val="24"/>
          <w:shd w:val="clear" w:color="auto" w:fill="FFFFFF"/>
        </w:rPr>
        <w:t>Xu, B</w:t>
      </w:r>
      <w:r w:rsidRPr="006438B5">
        <w:rPr>
          <w:rFonts w:cs="Times New Roman"/>
          <w:color w:val="222222"/>
          <w:szCs w:val="24"/>
          <w:shd w:val="clear" w:color="auto" w:fill="FFFFFF"/>
        </w:rPr>
        <w:t xml:space="preserve">., 2023. The </w:t>
      </w:r>
      <w:r>
        <w:rPr>
          <w:rFonts w:cs="Times New Roman"/>
          <w:color w:val="222222"/>
          <w:szCs w:val="24"/>
          <w:shd w:val="clear" w:color="auto" w:fill="FFFFFF"/>
        </w:rPr>
        <w:t>implications of cryptocurrency energy usage on climate change</w:t>
      </w:r>
      <w:r w:rsidRPr="006438B5">
        <w:rPr>
          <w:rFonts w:cs="Times New Roman"/>
          <w:color w:val="222222"/>
          <w:szCs w:val="24"/>
          <w:shd w:val="clear" w:color="auto" w:fill="FFFFFF"/>
        </w:rPr>
        <w:t>. </w:t>
      </w:r>
      <w:r>
        <w:rPr>
          <w:rFonts w:cs="Times New Roman"/>
          <w:i/>
          <w:iCs/>
          <w:color w:val="222222"/>
          <w:szCs w:val="24"/>
          <w:shd w:val="clear" w:color="auto" w:fill="FFFFFF"/>
        </w:rPr>
        <w:t>Technological Forecasting and Social Change</w:t>
      </w:r>
      <w:r w:rsidRPr="006438B5">
        <w:rPr>
          <w:rFonts w:cs="Times New Roman"/>
          <w:color w:val="222222"/>
          <w:szCs w:val="24"/>
          <w:shd w:val="clear" w:color="auto" w:fill="FFFFFF"/>
        </w:rPr>
        <w:t>, </w:t>
      </w:r>
      <w:r>
        <w:rPr>
          <w:rFonts w:cs="Times New Roman"/>
          <w:i/>
          <w:iCs/>
          <w:color w:val="222222"/>
          <w:szCs w:val="24"/>
          <w:shd w:val="clear" w:color="auto" w:fill="FFFFFF"/>
        </w:rPr>
        <w:t>187</w:t>
      </w:r>
      <w:r w:rsidRPr="006438B5">
        <w:rPr>
          <w:rFonts w:cs="Times New Roman"/>
          <w:color w:val="222222"/>
          <w:szCs w:val="24"/>
          <w:shd w:val="clear" w:color="auto" w:fill="FFFFFF"/>
        </w:rPr>
        <w:t>, p.1</w:t>
      </w:r>
      <w:r>
        <w:rPr>
          <w:rFonts w:cs="Times New Roman"/>
          <w:color w:val="222222"/>
          <w:szCs w:val="24"/>
          <w:shd w:val="clear" w:color="auto" w:fill="FFFFFF"/>
        </w:rPr>
        <w:t>2221</w:t>
      </w:r>
      <w:r w:rsidRPr="006438B5">
        <w:rPr>
          <w:rFonts w:cs="Times New Roman"/>
          <w:color w:val="222222"/>
          <w:szCs w:val="24"/>
          <w:shd w:val="clear" w:color="auto" w:fill="FFFFFF"/>
        </w:rPr>
        <w:t>9.</w:t>
      </w:r>
      <w:r w:rsidRPr="006438B5">
        <w:rPr>
          <w:rFonts w:cs="Times New Roman"/>
          <w:szCs w:val="24"/>
          <w:lang w:val="en-GB"/>
        </w:rPr>
        <w:t xml:space="preserve"> </w:t>
      </w:r>
    </w:p>
    <w:p w14:paraId="2C0ABF64"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Zhang, L., 2023. US computer giant Dell to replace all China-made chips in its products by 2024 [WWW Document]. South China Morning Post. URL </w:t>
      </w:r>
      <w:hyperlink r:id="rId46" w:history="1">
        <w:r w:rsidRPr="006438B5">
          <w:rPr>
            <w:rFonts w:cs="Times New Roman"/>
            <w:szCs w:val="24"/>
            <w:lang w:val="en-GB"/>
          </w:rPr>
          <w:t>https://www.scmp.com/tech/big-tech/article/3205740/us-computer-giant-dell-replace-all-china-made-chips-its-products-2024-amid-tensions-between-beijing</w:t>
        </w:r>
      </w:hyperlink>
      <w:r w:rsidRPr="006438B5">
        <w:rPr>
          <w:rFonts w:cs="Times New Roman"/>
          <w:szCs w:val="24"/>
          <w:lang w:val="en-GB"/>
        </w:rPr>
        <w:t xml:space="preserve"> (accessed 1.9.23).</w:t>
      </w:r>
    </w:p>
    <w:p w14:paraId="335D1787"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t xml:space="preserve">Zheng, X., Lu, Y., Yuan, J., </w:t>
      </w:r>
      <w:proofErr w:type="spellStart"/>
      <w:r w:rsidRPr="006438B5">
        <w:rPr>
          <w:rFonts w:cs="Times New Roman"/>
          <w:szCs w:val="24"/>
          <w:lang w:val="en-GB"/>
        </w:rPr>
        <w:t>Baninla</w:t>
      </w:r>
      <w:proofErr w:type="spellEnd"/>
      <w:r w:rsidRPr="006438B5">
        <w:rPr>
          <w:rFonts w:cs="Times New Roman"/>
          <w:szCs w:val="24"/>
          <w:lang w:val="en-GB"/>
        </w:rPr>
        <w:t xml:space="preserve">, Y., Zhang, S., </w:t>
      </w:r>
      <w:proofErr w:type="spellStart"/>
      <w:r w:rsidRPr="006438B5">
        <w:rPr>
          <w:rFonts w:cs="Times New Roman"/>
          <w:szCs w:val="24"/>
          <w:lang w:val="en-GB"/>
        </w:rPr>
        <w:t>Stenseth</w:t>
      </w:r>
      <w:proofErr w:type="spellEnd"/>
      <w:r w:rsidRPr="006438B5">
        <w:rPr>
          <w:rFonts w:cs="Times New Roman"/>
          <w:szCs w:val="24"/>
          <w:lang w:val="en-GB"/>
        </w:rPr>
        <w:t xml:space="preserve">, N.C., Hessen, D.O., Tian, H., </w:t>
      </w:r>
      <w:proofErr w:type="spellStart"/>
      <w:r w:rsidRPr="006438B5">
        <w:rPr>
          <w:rFonts w:cs="Times New Roman"/>
          <w:szCs w:val="24"/>
          <w:lang w:val="en-GB"/>
        </w:rPr>
        <w:t>Obersteiner</w:t>
      </w:r>
      <w:proofErr w:type="spellEnd"/>
      <w:r w:rsidRPr="006438B5">
        <w:rPr>
          <w:rFonts w:cs="Times New Roman"/>
          <w:szCs w:val="24"/>
          <w:lang w:val="en-GB"/>
        </w:rPr>
        <w:t xml:space="preserve">, M., Chen, D., 2020. Drivers of change in China’s energy-related </w:t>
      </w:r>
      <w:r w:rsidRPr="000A1665">
        <w:rPr>
          <w:rFonts w:cs="Times New Roman"/>
          <w:color w:val="FF0000"/>
          <w:szCs w:val="24"/>
          <w:lang w:val="en-GB"/>
        </w:rPr>
        <w:t>CO</w:t>
      </w:r>
      <w:r w:rsidRPr="000A1665">
        <w:rPr>
          <w:rFonts w:cs="Times New Roman"/>
          <w:color w:val="FF0000"/>
          <w:sz w:val="22"/>
          <w:lang w:val="en-GB"/>
        </w:rPr>
        <w:t xml:space="preserve">2 </w:t>
      </w:r>
      <w:r w:rsidRPr="006438B5">
        <w:rPr>
          <w:rFonts w:cs="Times New Roman"/>
          <w:szCs w:val="24"/>
          <w:lang w:val="en-GB"/>
        </w:rPr>
        <w:t>emissions. Proceedings of the National Academy of Sciences 117, 29–36. https://doi.org/</w:t>
      </w:r>
      <w:hyperlink r:id="rId47" w:history="1">
        <w:r w:rsidRPr="006438B5">
          <w:rPr>
            <w:rFonts w:cs="Times New Roman"/>
            <w:szCs w:val="24"/>
            <w:lang w:val="en-GB"/>
          </w:rPr>
          <w:t>10.1073/pnas.1908513117</w:t>
        </w:r>
      </w:hyperlink>
    </w:p>
    <w:p w14:paraId="155C525D" w14:textId="77777777" w:rsidR="007A39EB" w:rsidRPr="006438B5" w:rsidRDefault="007A39EB" w:rsidP="007A39EB">
      <w:pPr>
        <w:widowControl w:val="0"/>
        <w:autoSpaceDE w:val="0"/>
        <w:autoSpaceDN w:val="0"/>
        <w:adjustRightInd w:val="0"/>
        <w:spacing w:line="360" w:lineRule="auto"/>
        <w:ind w:left="720" w:hanging="720"/>
        <w:rPr>
          <w:rFonts w:cs="Times New Roman"/>
          <w:szCs w:val="24"/>
          <w:lang w:val="en-GB"/>
        </w:rPr>
      </w:pPr>
      <w:r w:rsidRPr="006438B5">
        <w:rPr>
          <w:rFonts w:cs="Times New Roman"/>
          <w:szCs w:val="24"/>
          <w:lang w:val="en-GB"/>
        </w:rPr>
        <w:lastRenderedPageBreak/>
        <w:t xml:space="preserve">Zhou, N., Price, L., </w:t>
      </w:r>
      <w:proofErr w:type="spellStart"/>
      <w:r w:rsidRPr="006438B5">
        <w:rPr>
          <w:rFonts w:cs="Times New Roman"/>
          <w:szCs w:val="24"/>
          <w:lang w:val="en-GB"/>
        </w:rPr>
        <w:t>Yande</w:t>
      </w:r>
      <w:proofErr w:type="spellEnd"/>
      <w:r w:rsidRPr="006438B5">
        <w:rPr>
          <w:rFonts w:cs="Times New Roman"/>
          <w:szCs w:val="24"/>
          <w:lang w:val="en-GB"/>
        </w:rPr>
        <w:t xml:space="preserve">, D., </w:t>
      </w:r>
      <w:proofErr w:type="spellStart"/>
      <w:r w:rsidRPr="006438B5">
        <w:rPr>
          <w:rFonts w:cs="Times New Roman"/>
          <w:szCs w:val="24"/>
          <w:lang w:val="en-GB"/>
        </w:rPr>
        <w:t>Creyts</w:t>
      </w:r>
      <w:proofErr w:type="spellEnd"/>
      <w:r w:rsidRPr="006438B5">
        <w:rPr>
          <w:rFonts w:cs="Times New Roman"/>
          <w:szCs w:val="24"/>
          <w:lang w:val="en-GB"/>
        </w:rPr>
        <w:t xml:space="preserve">, J., Khanna, N., Fridley, D., Lu, H., Feng, W., Liu, X., </w:t>
      </w:r>
      <w:proofErr w:type="spellStart"/>
      <w:r w:rsidRPr="006438B5">
        <w:rPr>
          <w:rFonts w:cs="Times New Roman"/>
          <w:szCs w:val="24"/>
          <w:lang w:val="en-GB"/>
        </w:rPr>
        <w:t>Hasanbeigi</w:t>
      </w:r>
      <w:proofErr w:type="spellEnd"/>
      <w:r w:rsidRPr="006438B5">
        <w:rPr>
          <w:rFonts w:cs="Times New Roman"/>
          <w:szCs w:val="24"/>
          <w:lang w:val="en-GB"/>
        </w:rPr>
        <w:t>, A., Tian, Z., Yang, H., Bai, Q., Zhu, Y., Xiong, H., Zhang, J., Chrisman, K., Agenbroad, J., Ke, Y., McIntosh, R., 2019. A roadmap for China to peak carbon dioxide emissions and achieve a 20% share of non-fossil fuels in primary energy by 2030. Applied Energy 239, 793–819. https://doi.org/</w:t>
      </w:r>
      <w:hyperlink r:id="rId48" w:history="1">
        <w:r w:rsidRPr="006438B5">
          <w:rPr>
            <w:rFonts w:cs="Times New Roman"/>
            <w:szCs w:val="24"/>
            <w:lang w:val="en-GB"/>
          </w:rPr>
          <w:t>10.1016/j.apenergy.2019.01.154</w:t>
        </w:r>
      </w:hyperlink>
    </w:p>
    <w:p w14:paraId="11D075BB" w14:textId="77777777" w:rsidR="007A39EB" w:rsidRPr="00CB6F9C" w:rsidRDefault="007A39EB" w:rsidP="007A39EB">
      <w:pPr>
        <w:widowControl w:val="0"/>
        <w:autoSpaceDE w:val="0"/>
        <w:autoSpaceDN w:val="0"/>
        <w:adjustRightInd w:val="0"/>
        <w:spacing w:line="360" w:lineRule="auto"/>
        <w:ind w:left="720" w:hanging="720"/>
        <w:rPr>
          <w:i/>
          <w:iCs/>
          <w:szCs w:val="24"/>
        </w:rPr>
      </w:pPr>
      <w:r w:rsidRPr="006438B5">
        <w:rPr>
          <w:rFonts w:cs="Times New Roman"/>
          <w:szCs w:val="24"/>
          <w:lang w:val="en-GB"/>
        </w:rPr>
        <w:t>Zhu, Y., Wang, Z., Yang, J., Zhu, L., 2020. Does renewable energy technological innovation control China’s air pollution? A spatial analysis. Journal of Cleaner Production 250, 119515. https://doi.org/</w:t>
      </w:r>
      <w:hyperlink r:id="rId49" w:history="1">
        <w:r w:rsidRPr="006438B5">
          <w:rPr>
            <w:rFonts w:cs="Times New Roman"/>
            <w:szCs w:val="24"/>
            <w:lang w:val="en-GB"/>
          </w:rPr>
          <w:t>10.1016/j.jclepro.2019.119515</w:t>
        </w:r>
      </w:hyperlink>
    </w:p>
    <w:p w14:paraId="476C8373" w14:textId="4E1E0EC5" w:rsidR="007A39EB" w:rsidRDefault="007A39EB">
      <w:pPr>
        <w:spacing w:after="160" w:line="259" w:lineRule="auto"/>
        <w:jc w:val="left"/>
      </w:pPr>
      <w:r>
        <w:br w:type="page"/>
      </w:r>
    </w:p>
    <w:p w14:paraId="3BCC057B" w14:textId="77777777" w:rsidR="007A39EB" w:rsidRPr="007A39EB" w:rsidRDefault="007A39EB" w:rsidP="007A39EB">
      <w:pPr>
        <w:rPr>
          <w:b/>
          <w:bCs/>
          <w:i/>
          <w:iCs/>
          <w:szCs w:val="24"/>
        </w:rPr>
      </w:pPr>
      <w:r w:rsidRPr="007A39EB">
        <w:rPr>
          <w:rFonts w:cs="Times New Roman"/>
          <w:b/>
          <w:bCs/>
        </w:rPr>
        <w:lastRenderedPageBreak/>
        <w:t>Appendix 1 Table of variable definitions</w:t>
      </w:r>
    </w:p>
    <w:tbl>
      <w:tblPr>
        <w:tblW w:w="0" w:type="auto"/>
        <w:tblLook w:val="04A0" w:firstRow="1" w:lastRow="0" w:firstColumn="1" w:lastColumn="0" w:noHBand="0" w:noVBand="1"/>
      </w:tblPr>
      <w:tblGrid>
        <w:gridCol w:w="1642"/>
        <w:gridCol w:w="7384"/>
      </w:tblGrid>
      <w:tr w:rsidR="007A39EB" w14:paraId="2A23C3FC" w14:textId="77777777" w:rsidTr="006962D0">
        <w:trPr>
          <w:trHeight w:val="285"/>
        </w:trPr>
        <w:tc>
          <w:tcPr>
            <w:tcW w:w="0" w:type="auto"/>
            <w:tcBorders>
              <w:top w:val="single" w:sz="8" w:space="0" w:color="auto"/>
              <w:left w:val="nil"/>
              <w:bottom w:val="single" w:sz="8" w:space="0" w:color="auto"/>
              <w:right w:val="single" w:sz="8" w:space="0" w:color="auto"/>
            </w:tcBorders>
            <w:tcMar>
              <w:left w:w="108" w:type="dxa"/>
              <w:right w:w="108" w:type="dxa"/>
            </w:tcMar>
          </w:tcPr>
          <w:p w14:paraId="1CFB0718" w14:textId="77777777" w:rsidR="007A39EB" w:rsidRDefault="007A39EB" w:rsidP="006962D0">
            <w:pPr>
              <w:spacing w:line="360" w:lineRule="auto"/>
            </w:pPr>
            <w:r w:rsidRPr="5C1704F5">
              <w:rPr>
                <w:rFonts w:ascii="Cambria" w:eastAsia="Cambria" w:hAnsi="Cambria" w:cs="Cambria"/>
                <w:b/>
                <w:bCs/>
                <w:sz w:val="19"/>
                <w:szCs w:val="19"/>
              </w:rPr>
              <w:t>Variables</w:t>
            </w:r>
          </w:p>
        </w:tc>
        <w:tc>
          <w:tcPr>
            <w:tcW w:w="0" w:type="auto"/>
            <w:tcBorders>
              <w:top w:val="single" w:sz="8" w:space="0" w:color="auto"/>
              <w:left w:val="single" w:sz="8" w:space="0" w:color="auto"/>
              <w:bottom w:val="single" w:sz="8" w:space="0" w:color="auto"/>
              <w:right w:val="nil"/>
            </w:tcBorders>
            <w:tcMar>
              <w:left w:w="108" w:type="dxa"/>
              <w:right w:w="108" w:type="dxa"/>
            </w:tcMar>
            <w:vAlign w:val="bottom"/>
          </w:tcPr>
          <w:p w14:paraId="654BDB2A" w14:textId="77777777" w:rsidR="007A39EB" w:rsidRDefault="007A39EB" w:rsidP="006962D0">
            <w:pPr>
              <w:spacing w:line="360" w:lineRule="auto"/>
            </w:pPr>
            <w:r w:rsidRPr="5C1704F5">
              <w:rPr>
                <w:rFonts w:ascii="Cambria" w:eastAsia="Cambria" w:hAnsi="Cambria" w:cs="Cambria"/>
                <w:b/>
                <w:bCs/>
                <w:sz w:val="19"/>
                <w:szCs w:val="19"/>
              </w:rPr>
              <w:t>Definitions</w:t>
            </w:r>
          </w:p>
        </w:tc>
      </w:tr>
      <w:tr w:rsidR="007A39EB" w14:paraId="75CA1A52" w14:textId="77777777" w:rsidTr="006962D0">
        <w:trPr>
          <w:trHeight w:val="285"/>
        </w:trPr>
        <w:tc>
          <w:tcPr>
            <w:tcW w:w="0" w:type="auto"/>
            <w:gridSpan w:val="2"/>
            <w:tcBorders>
              <w:top w:val="single" w:sz="8" w:space="0" w:color="auto"/>
              <w:left w:val="nil"/>
              <w:bottom w:val="single" w:sz="8" w:space="0" w:color="auto"/>
              <w:right w:val="nil"/>
            </w:tcBorders>
            <w:tcMar>
              <w:left w:w="108" w:type="dxa"/>
              <w:right w:w="108" w:type="dxa"/>
            </w:tcMar>
          </w:tcPr>
          <w:p w14:paraId="39225956" w14:textId="77777777" w:rsidR="007A39EB" w:rsidRDefault="007A39EB" w:rsidP="006962D0">
            <w:pPr>
              <w:spacing w:line="360" w:lineRule="auto"/>
            </w:pPr>
            <w:r w:rsidRPr="5C1704F5">
              <w:rPr>
                <w:rFonts w:ascii="Cambria" w:eastAsia="Cambria" w:hAnsi="Cambria" w:cs="Cambria"/>
                <w:b/>
                <w:bCs/>
                <w:sz w:val="19"/>
                <w:szCs w:val="19"/>
              </w:rPr>
              <w:t>Independent variables</w:t>
            </w:r>
          </w:p>
        </w:tc>
      </w:tr>
      <w:tr w:rsidR="007A39EB" w14:paraId="4F597450" w14:textId="77777777" w:rsidTr="006962D0">
        <w:trPr>
          <w:trHeight w:val="285"/>
        </w:trPr>
        <w:tc>
          <w:tcPr>
            <w:tcW w:w="0" w:type="auto"/>
            <w:tcBorders>
              <w:top w:val="single" w:sz="8" w:space="0" w:color="auto"/>
              <w:left w:val="nil"/>
              <w:bottom w:val="nil"/>
              <w:right w:val="nil"/>
            </w:tcBorders>
            <w:tcMar>
              <w:left w:w="108" w:type="dxa"/>
              <w:right w:w="108" w:type="dxa"/>
            </w:tcMar>
          </w:tcPr>
          <w:p w14:paraId="6560B313" w14:textId="77777777" w:rsidR="007A39EB" w:rsidRDefault="007A39EB" w:rsidP="006962D0">
            <w:pPr>
              <w:spacing w:line="360" w:lineRule="auto"/>
            </w:pPr>
            <w:r w:rsidRPr="000A1665">
              <w:rPr>
                <w:rFonts w:ascii="Cambria" w:eastAsia="Cambria" w:hAnsi="Cambria" w:cs="Cambria"/>
                <w:color w:val="FF0000"/>
                <w:sz w:val="19"/>
                <w:szCs w:val="19"/>
              </w:rPr>
              <w:t>CO</w:t>
            </w:r>
            <w:r w:rsidRPr="000A1665">
              <w:rPr>
                <w:rFonts w:ascii="Cambria" w:eastAsia="Cambria" w:hAnsi="Cambria" w:cs="Cambria"/>
                <w:color w:val="FF0000"/>
                <w:sz w:val="18"/>
                <w:szCs w:val="18"/>
              </w:rPr>
              <w:t>2</w:t>
            </w:r>
            <w:r w:rsidRPr="5C1704F5">
              <w:rPr>
                <w:rFonts w:ascii="Cambria" w:eastAsia="Cambria" w:hAnsi="Cambria" w:cs="Cambria"/>
                <w:sz w:val="19"/>
                <w:szCs w:val="19"/>
              </w:rPr>
              <w:t>Emission</w:t>
            </w:r>
          </w:p>
        </w:tc>
        <w:tc>
          <w:tcPr>
            <w:tcW w:w="0" w:type="auto"/>
            <w:tcBorders>
              <w:top w:val="nil"/>
              <w:left w:val="nil"/>
              <w:bottom w:val="nil"/>
              <w:right w:val="nil"/>
            </w:tcBorders>
            <w:tcMar>
              <w:left w:w="108" w:type="dxa"/>
              <w:right w:w="108" w:type="dxa"/>
            </w:tcMar>
            <w:vAlign w:val="bottom"/>
          </w:tcPr>
          <w:p w14:paraId="49C2C056" w14:textId="77777777" w:rsidR="007A39EB" w:rsidRDefault="007A39EB" w:rsidP="006962D0">
            <w:pPr>
              <w:spacing w:line="360" w:lineRule="auto"/>
            </w:pPr>
            <w:r w:rsidRPr="5C1704F5">
              <w:rPr>
                <w:rFonts w:ascii="Cambria" w:eastAsia="Cambria" w:hAnsi="Cambria" w:cs="Cambria"/>
                <w:sz w:val="19"/>
                <w:szCs w:val="19"/>
              </w:rPr>
              <w:t xml:space="preserve">Carbon dioxide emissions are measured in kilotons per quarter </w:t>
            </w:r>
            <w:proofErr w:type="gramStart"/>
            <w:r w:rsidRPr="5C1704F5">
              <w:rPr>
                <w:rFonts w:ascii="Cambria" w:eastAsia="Cambria" w:hAnsi="Cambria" w:cs="Cambria"/>
                <w:sz w:val="19"/>
                <w:szCs w:val="19"/>
              </w:rPr>
              <w:t>as a result of</w:t>
            </w:r>
            <w:proofErr w:type="gramEnd"/>
            <w:r w:rsidRPr="5C1704F5">
              <w:rPr>
                <w:rFonts w:ascii="Cambria" w:eastAsia="Cambria" w:hAnsi="Cambria" w:cs="Cambria"/>
                <w:sz w:val="19"/>
                <w:szCs w:val="19"/>
              </w:rPr>
              <w:t xml:space="preserve"> the burning of fossil fuels and the manufacture of cement. Carbon dioxide is produced by the combustion of solid, liquid, and gaseous fuels, as well as the burning of gaseous fuel.</w:t>
            </w:r>
          </w:p>
        </w:tc>
      </w:tr>
      <w:tr w:rsidR="007A39EB" w14:paraId="5F136D49" w14:textId="77777777" w:rsidTr="006962D0">
        <w:trPr>
          <w:trHeight w:val="285"/>
        </w:trPr>
        <w:tc>
          <w:tcPr>
            <w:tcW w:w="0" w:type="auto"/>
            <w:tcMar>
              <w:left w:w="108" w:type="dxa"/>
              <w:right w:w="108" w:type="dxa"/>
            </w:tcMar>
          </w:tcPr>
          <w:p w14:paraId="35D00F6F" w14:textId="77777777" w:rsidR="007A39EB" w:rsidRDefault="007A39EB" w:rsidP="006962D0">
            <w:pPr>
              <w:spacing w:line="360" w:lineRule="auto"/>
            </w:pPr>
            <w:r w:rsidRPr="5C1704F5">
              <w:rPr>
                <w:rFonts w:ascii="Cambria" w:eastAsia="Cambria" w:hAnsi="Cambria" w:cs="Cambria"/>
                <w:sz w:val="19"/>
                <w:szCs w:val="19"/>
              </w:rPr>
              <w:t>Log</w:t>
            </w:r>
            <w:r w:rsidRPr="000A1665">
              <w:rPr>
                <w:rFonts w:ascii="Cambria" w:eastAsia="Cambria" w:hAnsi="Cambria" w:cs="Cambria"/>
                <w:color w:val="FF0000"/>
                <w:sz w:val="19"/>
                <w:szCs w:val="19"/>
              </w:rPr>
              <w:t>CO</w:t>
            </w:r>
            <w:r w:rsidRPr="000A1665">
              <w:rPr>
                <w:rFonts w:ascii="Cambria" w:eastAsia="Cambria" w:hAnsi="Cambria" w:cs="Cambria"/>
                <w:color w:val="FF0000"/>
                <w:sz w:val="18"/>
                <w:szCs w:val="18"/>
              </w:rPr>
              <w:t>2</w:t>
            </w:r>
            <w:r w:rsidRPr="5C1704F5">
              <w:rPr>
                <w:rFonts w:ascii="Cambria" w:eastAsia="Cambria" w:hAnsi="Cambria" w:cs="Cambria"/>
                <w:sz w:val="19"/>
                <w:szCs w:val="19"/>
              </w:rPr>
              <w:t>Emission</w:t>
            </w:r>
          </w:p>
        </w:tc>
        <w:tc>
          <w:tcPr>
            <w:tcW w:w="0" w:type="auto"/>
            <w:tcMar>
              <w:left w:w="108" w:type="dxa"/>
              <w:right w:w="108" w:type="dxa"/>
            </w:tcMar>
            <w:vAlign w:val="bottom"/>
          </w:tcPr>
          <w:p w14:paraId="09ECDE28" w14:textId="77777777" w:rsidR="007A39EB" w:rsidRDefault="007A39EB" w:rsidP="006962D0">
            <w:pPr>
              <w:spacing w:line="360" w:lineRule="auto"/>
            </w:pPr>
            <w:r w:rsidRPr="5C1704F5">
              <w:rPr>
                <w:rFonts w:ascii="Cambria" w:eastAsia="Cambria" w:hAnsi="Cambria" w:cs="Cambria"/>
                <w:sz w:val="19"/>
                <w:szCs w:val="19"/>
              </w:rPr>
              <w:t xml:space="preserve">Log of quarterly </w:t>
            </w:r>
            <w:r w:rsidRPr="000A1665">
              <w:rPr>
                <w:rFonts w:ascii="Cambria" w:eastAsia="Cambria" w:hAnsi="Cambria" w:cs="Cambria"/>
                <w:color w:val="FF0000"/>
                <w:sz w:val="19"/>
                <w:szCs w:val="19"/>
              </w:rPr>
              <w:t>CO</w:t>
            </w:r>
            <w:r w:rsidRPr="000A1665">
              <w:rPr>
                <w:rFonts w:ascii="Cambria" w:eastAsia="Cambria" w:hAnsi="Cambria" w:cs="Cambria"/>
                <w:color w:val="FF0000"/>
                <w:sz w:val="18"/>
                <w:szCs w:val="18"/>
              </w:rPr>
              <w:t>2</w:t>
            </w:r>
            <w:r w:rsidRPr="5C1704F5">
              <w:rPr>
                <w:rFonts w:ascii="Cambria" w:eastAsia="Cambria" w:hAnsi="Cambria" w:cs="Cambria"/>
                <w:sz w:val="19"/>
                <w:szCs w:val="19"/>
              </w:rPr>
              <w:t>Emission</w:t>
            </w:r>
          </w:p>
        </w:tc>
      </w:tr>
      <w:tr w:rsidR="007A39EB" w14:paraId="189E7D3A" w14:textId="77777777" w:rsidTr="006962D0">
        <w:trPr>
          <w:trHeight w:val="285"/>
        </w:trPr>
        <w:tc>
          <w:tcPr>
            <w:tcW w:w="0" w:type="auto"/>
            <w:tcMar>
              <w:left w:w="108" w:type="dxa"/>
              <w:right w:w="108" w:type="dxa"/>
            </w:tcMar>
          </w:tcPr>
          <w:p w14:paraId="075471AC" w14:textId="77777777" w:rsidR="007A39EB" w:rsidRDefault="007A39EB" w:rsidP="006962D0">
            <w:pPr>
              <w:spacing w:line="360" w:lineRule="auto"/>
            </w:pPr>
            <w:r w:rsidRPr="5C1704F5">
              <w:rPr>
                <w:rFonts w:ascii="Cambria" w:eastAsia="Cambria" w:hAnsi="Cambria" w:cs="Cambria"/>
                <w:sz w:val="19"/>
                <w:szCs w:val="19"/>
              </w:rPr>
              <w:t>Greenhouse</w:t>
            </w:r>
          </w:p>
        </w:tc>
        <w:tc>
          <w:tcPr>
            <w:tcW w:w="0" w:type="auto"/>
            <w:tcMar>
              <w:left w:w="108" w:type="dxa"/>
              <w:right w:w="108" w:type="dxa"/>
            </w:tcMar>
            <w:vAlign w:val="bottom"/>
          </w:tcPr>
          <w:p w14:paraId="4D999964" w14:textId="77777777" w:rsidR="007A39EB" w:rsidRDefault="007A39EB" w:rsidP="006962D0">
            <w:pPr>
              <w:spacing w:line="360" w:lineRule="auto"/>
            </w:pPr>
            <w:r w:rsidRPr="5C1704F5">
              <w:rPr>
                <w:rFonts w:ascii="Cambria" w:eastAsia="Cambria" w:hAnsi="Cambria" w:cs="Cambria"/>
                <w:sz w:val="19"/>
                <w:szCs w:val="19"/>
              </w:rPr>
              <w:t xml:space="preserve">To calculate the quarterly greenhouse gas emissions in kt of </w:t>
            </w:r>
            <w:r w:rsidRPr="000A1665">
              <w:rPr>
                <w:rFonts w:ascii="Cambria" w:eastAsia="Cambria" w:hAnsi="Cambria" w:cs="Cambria"/>
                <w:color w:val="FF0000"/>
                <w:sz w:val="19"/>
                <w:szCs w:val="19"/>
              </w:rPr>
              <w:t>CO</w:t>
            </w:r>
            <w:r w:rsidRPr="000A1665">
              <w:rPr>
                <w:rFonts w:ascii="Cambria" w:eastAsia="Cambria" w:hAnsi="Cambria" w:cs="Cambria"/>
                <w:color w:val="FF0000"/>
                <w:sz w:val="18"/>
                <w:szCs w:val="18"/>
              </w:rPr>
              <w:t>2</w:t>
            </w:r>
            <w:r w:rsidRPr="5C1704F5">
              <w:rPr>
                <w:rFonts w:ascii="Cambria" w:eastAsia="Cambria" w:hAnsi="Cambria" w:cs="Cambria"/>
                <w:sz w:val="19"/>
                <w:szCs w:val="19"/>
              </w:rPr>
              <w:t xml:space="preserve"> equivalent, </w:t>
            </w:r>
            <w:r w:rsidRPr="000A1665">
              <w:rPr>
                <w:rFonts w:ascii="Cambria" w:eastAsia="Cambria" w:hAnsi="Cambria" w:cs="Cambria"/>
                <w:color w:val="FF0000"/>
                <w:sz w:val="19"/>
                <w:szCs w:val="19"/>
              </w:rPr>
              <w:t>CO</w:t>
            </w:r>
            <w:r w:rsidRPr="000A1665">
              <w:rPr>
                <w:rFonts w:ascii="Cambria" w:eastAsia="Cambria" w:hAnsi="Cambria" w:cs="Cambria"/>
                <w:color w:val="FF0000"/>
                <w:sz w:val="18"/>
                <w:szCs w:val="18"/>
              </w:rPr>
              <w:t>2</w:t>
            </w:r>
            <w:r w:rsidRPr="5C1704F5">
              <w:rPr>
                <w:rFonts w:ascii="Cambria" w:eastAsia="Cambria" w:hAnsi="Cambria" w:cs="Cambria"/>
                <w:sz w:val="19"/>
                <w:szCs w:val="19"/>
              </w:rPr>
              <w:t xml:space="preserve"> totals are subtracted from short-cycle biomass burning (e.g., agricultural waste burning and savanna burning), but include other biomass burning (e.g., forest fires, post-burn decay, peat fires, and decay of drained peatlands), as well as anthropogenic sources of CH4 and N2O, and F-gases (HFCs, PFCs, and SF6).</w:t>
            </w:r>
          </w:p>
        </w:tc>
      </w:tr>
      <w:tr w:rsidR="007A39EB" w14:paraId="08476C4F" w14:textId="77777777" w:rsidTr="006962D0">
        <w:trPr>
          <w:trHeight w:val="285"/>
        </w:trPr>
        <w:tc>
          <w:tcPr>
            <w:tcW w:w="0" w:type="auto"/>
            <w:tcBorders>
              <w:left w:val="nil"/>
              <w:bottom w:val="single" w:sz="8" w:space="0" w:color="auto"/>
              <w:right w:val="nil"/>
            </w:tcBorders>
            <w:tcMar>
              <w:left w:w="108" w:type="dxa"/>
              <w:right w:w="108" w:type="dxa"/>
            </w:tcMar>
          </w:tcPr>
          <w:p w14:paraId="1336E321" w14:textId="77777777" w:rsidR="007A39EB" w:rsidRDefault="007A39EB" w:rsidP="006962D0">
            <w:pPr>
              <w:spacing w:line="360" w:lineRule="auto"/>
            </w:pPr>
            <w:proofErr w:type="spellStart"/>
            <w:r w:rsidRPr="5C1704F5">
              <w:rPr>
                <w:rFonts w:ascii="Cambria" w:eastAsia="Cambria" w:hAnsi="Cambria" w:cs="Cambria"/>
                <w:sz w:val="19"/>
                <w:szCs w:val="19"/>
              </w:rPr>
              <w:t>LogGreenhouse</w:t>
            </w:r>
            <w:proofErr w:type="spellEnd"/>
          </w:p>
        </w:tc>
        <w:tc>
          <w:tcPr>
            <w:tcW w:w="0" w:type="auto"/>
            <w:tcBorders>
              <w:left w:val="nil"/>
              <w:bottom w:val="single" w:sz="8" w:space="0" w:color="auto"/>
              <w:right w:val="nil"/>
            </w:tcBorders>
            <w:tcMar>
              <w:left w:w="108" w:type="dxa"/>
              <w:right w:w="108" w:type="dxa"/>
            </w:tcMar>
            <w:vAlign w:val="bottom"/>
          </w:tcPr>
          <w:p w14:paraId="3BB42049" w14:textId="77777777" w:rsidR="007A39EB" w:rsidRDefault="007A39EB" w:rsidP="006962D0">
            <w:pPr>
              <w:spacing w:line="360" w:lineRule="auto"/>
            </w:pPr>
            <w:r w:rsidRPr="5C1704F5">
              <w:rPr>
                <w:rFonts w:ascii="Cambria" w:eastAsia="Cambria" w:hAnsi="Cambria" w:cs="Cambria"/>
                <w:sz w:val="19"/>
                <w:szCs w:val="19"/>
              </w:rPr>
              <w:t>Log of quarterly greenhouse gas emissions</w:t>
            </w:r>
          </w:p>
        </w:tc>
      </w:tr>
      <w:tr w:rsidR="007A39EB" w14:paraId="6937BC43" w14:textId="77777777" w:rsidTr="006962D0">
        <w:trPr>
          <w:trHeight w:val="285"/>
        </w:trPr>
        <w:tc>
          <w:tcPr>
            <w:tcW w:w="0" w:type="auto"/>
            <w:gridSpan w:val="2"/>
            <w:tcBorders>
              <w:top w:val="single" w:sz="8" w:space="0" w:color="auto"/>
              <w:left w:val="nil"/>
              <w:bottom w:val="single" w:sz="8" w:space="0" w:color="auto"/>
              <w:right w:val="nil"/>
            </w:tcBorders>
            <w:tcMar>
              <w:left w:w="108" w:type="dxa"/>
              <w:right w:w="108" w:type="dxa"/>
            </w:tcMar>
          </w:tcPr>
          <w:p w14:paraId="3712D9BB" w14:textId="77777777" w:rsidR="007A39EB" w:rsidRDefault="007A39EB" w:rsidP="006962D0">
            <w:pPr>
              <w:spacing w:line="360" w:lineRule="auto"/>
            </w:pPr>
            <w:r w:rsidRPr="5C1704F5">
              <w:rPr>
                <w:rFonts w:ascii="Cambria" w:eastAsia="Cambria" w:hAnsi="Cambria" w:cs="Cambria"/>
                <w:b/>
                <w:bCs/>
                <w:sz w:val="19"/>
                <w:szCs w:val="19"/>
              </w:rPr>
              <w:t>Dependent variables</w:t>
            </w:r>
          </w:p>
        </w:tc>
      </w:tr>
      <w:tr w:rsidR="007A39EB" w14:paraId="7A7FC7BE" w14:textId="77777777" w:rsidTr="006962D0">
        <w:trPr>
          <w:trHeight w:val="285"/>
        </w:trPr>
        <w:tc>
          <w:tcPr>
            <w:tcW w:w="0" w:type="auto"/>
            <w:tcBorders>
              <w:top w:val="single" w:sz="8" w:space="0" w:color="auto"/>
              <w:left w:val="nil"/>
              <w:bottom w:val="nil"/>
              <w:right w:val="nil"/>
            </w:tcBorders>
            <w:tcMar>
              <w:left w:w="108" w:type="dxa"/>
              <w:right w:w="108" w:type="dxa"/>
            </w:tcMar>
          </w:tcPr>
          <w:p w14:paraId="1A3E54AC" w14:textId="77777777" w:rsidR="007A39EB" w:rsidRDefault="007A39EB" w:rsidP="006962D0">
            <w:pPr>
              <w:spacing w:line="360" w:lineRule="auto"/>
            </w:pPr>
            <w:r w:rsidRPr="5C1704F5">
              <w:rPr>
                <w:rFonts w:ascii="Cambria" w:eastAsia="Cambria" w:hAnsi="Cambria" w:cs="Cambria"/>
                <w:sz w:val="19"/>
                <w:szCs w:val="19"/>
              </w:rPr>
              <w:t>Renewable</w:t>
            </w:r>
          </w:p>
        </w:tc>
        <w:tc>
          <w:tcPr>
            <w:tcW w:w="0" w:type="auto"/>
            <w:tcBorders>
              <w:top w:val="nil"/>
              <w:left w:val="nil"/>
              <w:bottom w:val="nil"/>
              <w:right w:val="nil"/>
            </w:tcBorders>
            <w:tcMar>
              <w:left w:w="108" w:type="dxa"/>
              <w:right w:w="108" w:type="dxa"/>
            </w:tcMar>
            <w:vAlign w:val="bottom"/>
          </w:tcPr>
          <w:p w14:paraId="64430766" w14:textId="77777777" w:rsidR="007A39EB" w:rsidRDefault="007A39EB" w:rsidP="006962D0">
            <w:pPr>
              <w:spacing w:line="360" w:lineRule="auto"/>
            </w:pPr>
            <w:r w:rsidRPr="5C1704F5">
              <w:rPr>
                <w:rFonts w:ascii="Cambria" w:eastAsia="Cambria" w:hAnsi="Cambria" w:cs="Cambria"/>
                <w:sz w:val="19"/>
                <w:szCs w:val="19"/>
              </w:rPr>
              <w:t>Percentage of renewable energy in total energy consumption</w:t>
            </w:r>
          </w:p>
        </w:tc>
      </w:tr>
      <w:tr w:rsidR="007A39EB" w14:paraId="7C207EE5" w14:textId="77777777" w:rsidTr="006962D0">
        <w:trPr>
          <w:trHeight w:val="285"/>
        </w:trPr>
        <w:tc>
          <w:tcPr>
            <w:tcW w:w="0" w:type="auto"/>
            <w:tcBorders>
              <w:top w:val="nil"/>
              <w:left w:val="nil"/>
              <w:bottom w:val="single" w:sz="8" w:space="0" w:color="auto"/>
              <w:right w:val="nil"/>
            </w:tcBorders>
            <w:tcMar>
              <w:left w:w="108" w:type="dxa"/>
              <w:right w:w="108" w:type="dxa"/>
            </w:tcMar>
          </w:tcPr>
          <w:p w14:paraId="131EAF40" w14:textId="77777777" w:rsidR="007A39EB" w:rsidRDefault="007A39EB" w:rsidP="006962D0">
            <w:pPr>
              <w:spacing w:line="360" w:lineRule="auto"/>
            </w:pPr>
            <w:proofErr w:type="spellStart"/>
            <w:r w:rsidRPr="5C1704F5">
              <w:rPr>
                <w:rFonts w:ascii="Cambria" w:eastAsia="Cambria" w:hAnsi="Cambria" w:cs="Cambria"/>
                <w:sz w:val="19"/>
                <w:szCs w:val="19"/>
              </w:rPr>
              <w:t>NonRenewable</w:t>
            </w:r>
            <w:proofErr w:type="spellEnd"/>
          </w:p>
        </w:tc>
        <w:tc>
          <w:tcPr>
            <w:tcW w:w="0" w:type="auto"/>
            <w:tcBorders>
              <w:top w:val="nil"/>
              <w:left w:val="nil"/>
              <w:bottom w:val="single" w:sz="8" w:space="0" w:color="auto"/>
              <w:right w:val="nil"/>
            </w:tcBorders>
            <w:tcMar>
              <w:left w:w="108" w:type="dxa"/>
              <w:right w:w="108" w:type="dxa"/>
            </w:tcMar>
            <w:vAlign w:val="bottom"/>
          </w:tcPr>
          <w:p w14:paraId="1B35DB08" w14:textId="77777777" w:rsidR="007A39EB" w:rsidRDefault="007A39EB" w:rsidP="006962D0">
            <w:pPr>
              <w:spacing w:line="360" w:lineRule="auto"/>
            </w:pPr>
            <w:r w:rsidRPr="5C1704F5">
              <w:rPr>
                <w:rFonts w:ascii="Cambria" w:eastAsia="Cambria" w:hAnsi="Cambria" w:cs="Cambria"/>
                <w:sz w:val="19"/>
                <w:szCs w:val="19"/>
              </w:rPr>
              <w:t>Percentage of non-renewable energy production from coal, gas, and oil sources</w:t>
            </w:r>
          </w:p>
        </w:tc>
      </w:tr>
      <w:tr w:rsidR="007A39EB" w14:paraId="75069901" w14:textId="77777777" w:rsidTr="006962D0">
        <w:trPr>
          <w:trHeight w:val="285"/>
        </w:trPr>
        <w:tc>
          <w:tcPr>
            <w:tcW w:w="0" w:type="auto"/>
            <w:gridSpan w:val="2"/>
            <w:tcBorders>
              <w:top w:val="single" w:sz="8" w:space="0" w:color="auto"/>
              <w:left w:val="nil"/>
              <w:bottom w:val="single" w:sz="8" w:space="0" w:color="auto"/>
              <w:right w:val="nil"/>
            </w:tcBorders>
            <w:tcMar>
              <w:left w:w="108" w:type="dxa"/>
              <w:right w:w="108" w:type="dxa"/>
            </w:tcMar>
          </w:tcPr>
          <w:p w14:paraId="05B111DA" w14:textId="77777777" w:rsidR="007A39EB" w:rsidRDefault="007A39EB" w:rsidP="006962D0">
            <w:pPr>
              <w:spacing w:line="360" w:lineRule="auto"/>
            </w:pPr>
            <w:r w:rsidRPr="5C1704F5">
              <w:rPr>
                <w:rFonts w:ascii="Cambria" w:eastAsia="Cambria" w:hAnsi="Cambria" w:cs="Cambria"/>
                <w:b/>
                <w:bCs/>
                <w:sz w:val="19"/>
                <w:szCs w:val="19"/>
              </w:rPr>
              <w:t>Control variables</w:t>
            </w:r>
          </w:p>
        </w:tc>
      </w:tr>
      <w:tr w:rsidR="007A39EB" w14:paraId="36401A0E" w14:textId="77777777" w:rsidTr="006962D0">
        <w:trPr>
          <w:trHeight w:val="285"/>
        </w:trPr>
        <w:tc>
          <w:tcPr>
            <w:tcW w:w="0" w:type="auto"/>
            <w:tcBorders>
              <w:top w:val="single" w:sz="8" w:space="0" w:color="auto"/>
              <w:left w:val="nil"/>
              <w:bottom w:val="nil"/>
              <w:right w:val="nil"/>
            </w:tcBorders>
            <w:tcMar>
              <w:left w:w="108" w:type="dxa"/>
              <w:right w:w="108" w:type="dxa"/>
            </w:tcMar>
          </w:tcPr>
          <w:p w14:paraId="1928C024" w14:textId="77777777" w:rsidR="007A39EB" w:rsidRDefault="007A39EB" w:rsidP="006962D0">
            <w:pPr>
              <w:spacing w:line="360" w:lineRule="auto"/>
            </w:pPr>
            <w:r w:rsidRPr="5C1704F5">
              <w:rPr>
                <w:rFonts w:ascii="Cambria" w:eastAsia="Cambria" w:hAnsi="Cambria" w:cs="Cambria"/>
                <w:sz w:val="19"/>
                <w:szCs w:val="19"/>
              </w:rPr>
              <w:t>Coal rents</w:t>
            </w:r>
          </w:p>
        </w:tc>
        <w:tc>
          <w:tcPr>
            <w:tcW w:w="0" w:type="auto"/>
            <w:tcBorders>
              <w:top w:val="nil"/>
              <w:left w:val="nil"/>
              <w:bottom w:val="nil"/>
              <w:right w:val="nil"/>
            </w:tcBorders>
            <w:tcMar>
              <w:left w:w="108" w:type="dxa"/>
              <w:right w:w="108" w:type="dxa"/>
            </w:tcMar>
            <w:vAlign w:val="bottom"/>
          </w:tcPr>
          <w:p w14:paraId="4B5FD375" w14:textId="77777777" w:rsidR="007A39EB" w:rsidRDefault="007A39EB" w:rsidP="006962D0">
            <w:pPr>
              <w:spacing w:line="360" w:lineRule="auto"/>
            </w:pPr>
            <w:r w:rsidRPr="5C1704F5">
              <w:rPr>
                <w:rFonts w:ascii="Cambria" w:eastAsia="Cambria" w:hAnsi="Cambria" w:cs="Cambria"/>
                <w:sz w:val="19"/>
                <w:szCs w:val="19"/>
              </w:rPr>
              <w:t>The coal rent is the difference between the price of hard coal and soft coal at world market prices and the total cost of production (as a percentage of GDP).</w:t>
            </w:r>
          </w:p>
        </w:tc>
      </w:tr>
      <w:tr w:rsidR="007A39EB" w14:paraId="1FBC078A" w14:textId="77777777" w:rsidTr="006962D0">
        <w:trPr>
          <w:trHeight w:val="285"/>
        </w:trPr>
        <w:tc>
          <w:tcPr>
            <w:tcW w:w="0" w:type="auto"/>
            <w:tcMar>
              <w:left w:w="108" w:type="dxa"/>
              <w:right w:w="108" w:type="dxa"/>
            </w:tcMar>
          </w:tcPr>
          <w:p w14:paraId="543449CD" w14:textId="77777777" w:rsidR="007A39EB" w:rsidRDefault="007A39EB" w:rsidP="006962D0">
            <w:pPr>
              <w:spacing w:line="360" w:lineRule="auto"/>
            </w:pPr>
            <w:r w:rsidRPr="5C1704F5">
              <w:rPr>
                <w:rFonts w:ascii="Cambria" w:eastAsia="Cambria" w:hAnsi="Cambria" w:cs="Cambria"/>
                <w:sz w:val="19"/>
                <w:szCs w:val="19"/>
              </w:rPr>
              <w:t>GDP (in trillion)</w:t>
            </w:r>
          </w:p>
        </w:tc>
        <w:tc>
          <w:tcPr>
            <w:tcW w:w="0" w:type="auto"/>
            <w:tcMar>
              <w:left w:w="108" w:type="dxa"/>
              <w:right w:w="108" w:type="dxa"/>
            </w:tcMar>
            <w:vAlign w:val="bottom"/>
          </w:tcPr>
          <w:p w14:paraId="75001895" w14:textId="77777777" w:rsidR="007A39EB" w:rsidRDefault="007A39EB" w:rsidP="006962D0">
            <w:pPr>
              <w:spacing w:line="360" w:lineRule="auto"/>
            </w:pPr>
            <w:r w:rsidRPr="5C1704F5">
              <w:rPr>
                <w:rFonts w:ascii="Cambria" w:eastAsia="Cambria" w:hAnsi="Cambria" w:cs="Cambria"/>
                <w:sz w:val="19"/>
                <w:szCs w:val="19"/>
              </w:rPr>
              <w:t>The quarterly Gross domestic product (GDP) is calculated as the product of gross value added by all residents of the economy plus any product taxes, minus any subsidies that did not affect product value. It is calculated without deducting depreciation on fabricated assets or for depletion and degradation of natural resources. The data is expressed in constant local currency.</w:t>
            </w:r>
          </w:p>
        </w:tc>
      </w:tr>
      <w:tr w:rsidR="007A39EB" w14:paraId="1FBD3E2D" w14:textId="77777777" w:rsidTr="006962D0">
        <w:trPr>
          <w:trHeight w:val="285"/>
        </w:trPr>
        <w:tc>
          <w:tcPr>
            <w:tcW w:w="0" w:type="auto"/>
            <w:tcMar>
              <w:left w:w="108" w:type="dxa"/>
              <w:right w:w="108" w:type="dxa"/>
            </w:tcMar>
          </w:tcPr>
          <w:p w14:paraId="0B79F2E8" w14:textId="77777777" w:rsidR="007A39EB" w:rsidRDefault="007A39EB" w:rsidP="006962D0">
            <w:pPr>
              <w:spacing w:line="360" w:lineRule="auto"/>
            </w:pPr>
            <w:proofErr w:type="spellStart"/>
            <w:r w:rsidRPr="5C1704F5">
              <w:rPr>
                <w:rFonts w:ascii="Cambria" w:eastAsia="Cambria" w:hAnsi="Cambria" w:cs="Cambria"/>
                <w:sz w:val="19"/>
                <w:szCs w:val="19"/>
              </w:rPr>
              <w:t>LogGDP</w:t>
            </w:r>
            <w:proofErr w:type="spellEnd"/>
          </w:p>
        </w:tc>
        <w:tc>
          <w:tcPr>
            <w:tcW w:w="0" w:type="auto"/>
            <w:tcMar>
              <w:left w:w="108" w:type="dxa"/>
              <w:right w:w="108" w:type="dxa"/>
            </w:tcMar>
            <w:vAlign w:val="bottom"/>
          </w:tcPr>
          <w:p w14:paraId="6068637B" w14:textId="77777777" w:rsidR="007A39EB" w:rsidRDefault="007A39EB" w:rsidP="006962D0">
            <w:pPr>
              <w:spacing w:line="360" w:lineRule="auto"/>
            </w:pPr>
            <w:r w:rsidRPr="5C1704F5">
              <w:rPr>
                <w:rFonts w:ascii="Cambria" w:eastAsia="Cambria" w:hAnsi="Cambria" w:cs="Cambria"/>
                <w:sz w:val="19"/>
                <w:szCs w:val="19"/>
              </w:rPr>
              <w:t>Log of quarterly GDP</w:t>
            </w:r>
          </w:p>
        </w:tc>
      </w:tr>
      <w:tr w:rsidR="007A39EB" w14:paraId="36948592" w14:textId="77777777" w:rsidTr="006962D0">
        <w:trPr>
          <w:trHeight w:val="285"/>
        </w:trPr>
        <w:tc>
          <w:tcPr>
            <w:tcW w:w="0" w:type="auto"/>
            <w:tcMar>
              <w:left w:w="108" w:type="dxa"/>
              <w:right w:w="108" w:type="dxa"/>
            </w:tcMar>
          </w:tcPr>
          <w:p w14:paraId="3A070BAE" w14:textId="77777777" w:rsidR="007A39EB" w:rsidRDefault="007A39EB" w:rsidP="006962D0">
            <w:pPr>
              <w:spacing w:line="360" w:lineRule="auto"/>
            </w:pPr>
            <w:r w:rsidRPr="5C1704F5">
              <w:rPr>
                <w:rFonts w:ascii="Cambria" w:eastAsia="Cambria" w:hAnsi="Cambria" w:cs="Cambria"/>
                <w:sz w:val="19"/>
                <w:szCs w:val="19"/>
              </w:rPr>
              <w:t>Export</w:t>
            </w:r>
          </w:p>
        </w:tc>
        <w:tc>
          <w:tcPr>
            <w:tcW w:w="0" w:type="auto"/>
            <w:tcMar>
              <w:left w:w="108" w:type="dxa"/>
              <w:right w:w="108" w:type="dxa"/>
            </w:tcMar>
            <w:vAlign w:val="bottom"/>
          </w:tcPr>
          <w:p w14:paraId="3B57E90E" w14:textId="77777777" w:rsidR="007A39EB" w:rsidRDefault="007A39EB" w:rsidP="006962D0">
            <w:pPr>
              <w:spacing w:line="360" w:lineRule="auto"/>
            </w:pPr>
            <w:r w:rsidRPr="5C1704F5">
              <w:rPr>
                <w:rFonts w:ascii="Cambria" w:eastAsia="Cambria" w:hAnsi="Cambria" w:cs="Cambria"/>
                <w:sz w:val="19"/>
                <w:szCs w:val="19"/>
              </w:rPr>
              <w:t>The FOB value of goods provided to the rest of the world in current U.S. dollars.</w:t>
            </w:r>
          </w:p>
        </w:tc>
      </w:tr>
      <w:tr w:rsidR="007A39EB" w14:paraId="2A13998E" w14:textId="77777777" w:rsidTr="006962D0">
        <w:trPr>
          <w:trHeight w:val="285"/>
        </w:trPr>
        <w:tc>
          <w:tcPr>
            <w:tcW w:w="0" w:type="auto"/>
            <w:tcMar>
              <w:left w:w="108" w:type="dxa"/>
              <w:right w:w="108" w:type="dxa"/>
            </w:tcMar>
          </w:tcPr>
          <w:p w14:paraId="7AD4F073" w14:textId="77777777" w:rsidR="007A39EB" w:rsidRDefault="007A39EB" w:rsidP="006962D0">
            <w:pPr>
              <w:spacing w:line="360" w:lineRule="auto"/>
            </w:pPr>
            <w:proofErr w:type="spellStart"/>
            <w:r w:rsidRPr="5C1704F5">
              <w:rPr>
                <w:rFonts w:ascii="Cambria" w:eastAsia="Cambria" w:hAnsi="Cambria" w:cs="Cambria"/>
                <w:sz w:val="19"/>
                <w:szCs w:val="19"/>
              </w:rPr>
              <w:t>LogExport</w:t>
            </w:r>
            <w:proofErr w:type="spellEnd"/>
          </w:p>
        </w:tc>
        <w:tc>
          <w:tcPr>
            <w:tcW w:w="0" w:type="auto"/>
            <w:tcMar>
              <w:left w:w="108" w:type="dxa"/>
              <w:right w:w="108" w:type="dxa"/>
            </w:tcMar>
            <w:vAlign w:val="bottom"/>
          </w:tcPr>
          <w:p w14:paraId="561977BE" w14:textId="77777777" w:rsidR="007A39EB" w:rsidRDefault="007A39EB" w:rsidP="006962D0">
            <w:pPr>
              <w:spacing w:line="360" w:lineRule="auto"/>
            </w:pPr>
            <w:r w:rsidRPr="5C1704F5">
              <w:rPr>
                <w:rFonts w:ascii="Cambria" w:eastAsia="Cambria" w:hAnsi="Cambria" w:cs="Cambria"/>
                <w:sz w:val="19"/>
                <w:szCs w:val="19"/>
              </w:rPr>
              <w:t>Log of quarterly Export</w:t>
            </w:r>
          </w:p>
        </w:tc>
      </w:tr>
      <w:tr w:rsidR="007A39EB" w14:paraId="3B0B888C" w14:textId="77777777" w:rsidTr="006962D0">
        <w:trPr>
          <w:trHeight w:val="285"/>
        </w:trPr>
        <w:tc>
          <w:tcPr>
            <w:tcW w:w="0" w:type="auto"/>
            <w:tcMar>
              <w:left w:w="108" w:type="dxa"/>
              <w:right w:w="108" w:type="dxa"/>
            </w:tcMar>
          </w:tcPr>
          <w:p w14:paraId="4CF694C8" w14:textId="77777777" w:rsidR="007A39EB" w:rsidRDefault="007A39EB" w:rsidP="006962D0">
            <w:pPr>
              <w:spacing w:line="360" w:lineRule="auto"/>
            </w:pPr>
            <w:r w:rsidRPr="5C1704F5">
              <w:rPr>
                <w:rFonts w:ascii="Cambria" w:eastAsia="Cambria" w:hAnsi="Cambria" w:cs="Cambria"/>
                <w:sz w:val="19"/>
                <w:szCs w:val="19"/>
              </w:rPr>
              <w:t>Population (million)</w:t>
            </w:r>
          </w:p>
        </w:tc>
        <w:tc>
          <w:tcPr>
            <w:tcW w:w="0" w:type="auto"/>
            <w:tcMar>
              <w:left w:w="108" w:type="dxa"/>
              <w:right w:w="108" w:type="dxa"/>
            </w:tcMar>
            <w:vAlign w:val="bottom"/>
          </w:tcPr>
          <w:p w14:paraId="2AB69F57" w14:textId="77777777" w:rsidR="007A39EB" w:rsidRDefault="007A39EB" w:rsidP="006962D0">
            <w:pPr>
              <w:spacing w:line="360" w:lineRule="auto"/>
            </w:pPr>
            <w:r w:rsidRPr="5C1704F5">
              <w:rPr>
                <w:rFonts w:ascii="Cambria" w:eastAsia="Cambria" w:hAnsi="Cambria" w:cs="Cambria"/>
                <w:sz w:val="19"/>
                <w:szCs w:val="19"/>
              </w:rPr>
              <w:t>The total quarterly population in China is calculated according to de facto definitions of population, which includes all residents regardless of legal status or citizenship. This is an estimate for the midyear period.</w:t>
            </w:r>
          </w:p>
        </w:tc>
      </w:tr>
      <w:tr w:rsidR="007A39EB" w14:paraId="7B758AEB" w14:textId="77777777" w:rsidTr="006962D0">
        <w:trPr>
          <w:trHeight w:val="285"/>
        </w:trPr>
        <w:tc>
          <w:tcPr>
            <w:tcW w:w="0" w:type="auto"/>
            <w:tcBorders>
              <w:left w:val="nil"/>
              <w:bottom w:val="single" w:sz="8" w:space="0" w:color="auto"/>
              <w:right w:val="nil"/>
            </w:tcBorders>
            <w:tcMar>
              <w:left w:w="108" w:type="dxa"/>
              <w:right w:w="108" w:type="dxa"/>
            </w:tcMar>
          </w:tcPr>
          <w:p w14:paraId="448248B0" w14:textId="77777777" w:rsidR="007A39EB" w:rsidRDefault="007A39EB" w:rsidP="006962D0">
            <w:pPr>
              <w:spacing w:line="360" w:lineRule="auto"/>
            </w:pPr>
            <w:proofErr w:type="spellStart"/>
            <w:r w:rsidRPr="5C1704F5">
              <w:rPr>
                <w:rFonts w:ascii="Cambria" w:eastAsia="Cambria" w:hAnsi="Cambria" w:cs="Cambria"/>
                <w:sz w:val="19"/>
                <w:szCs w:val="19"/>
              </w:rPr>
              <w:t>LogPopulation</w:t>
            </w:r>
            <w:proofErr w:type="spellEnd"/>
          </w:p>
        </w:tc>
        <w:tc>
          <w:tcPr>
            <w:tcW w:w="0" w:type="auto"/>
            <w:tcBorders>
              <w:left w:val="nil"/>
              <w:bottom w:val="single" w:sz="8" w:space="0" w:color="auto"/>
              <w:right w:val="nil"/>
            </w:tcBorders>
            <w:tcMar>
              <w:left w:w="108" w:type="dxa"/>
              <w:right w:w="108" w:type="dxa"/>
            </w:tcMar>
            <w:vAlign w:val="bottom"/>
          </w:tcPr>
          <w:p w14:paraId="552B5C02" w14:textId="77777777" w:rsidR="007A39EB" w:rsidRDefault="007A39EB" w:rsidP="006962D0">
            <w:pPr>
              <w:spacing w:line="360" w:lineRule="auto"/>
            </w:pPr>
            <w:r w:rsidRPr="5C1704F5">
              <w:rPr>
                <w:rFonts w:ascii="Cambria" w:eastAsia="Cambria" w:hAnsi="Cambria" w:cs="Cambria"/>
                <w:sz w:val="19"/>
                <w:szCs w:val="19"/>
              </w:rPr>
              <w:t>Log of quarterly Population</w:t>
            </w:r>
          </w:p>
        </w:tc>
      </w:tr>
    </w:tbl>
    <w:p w14:paraId="72297720" w14:textId="45E2B2EA" w:rsidR="00A82D3F" w:rsidRPr="007A39EB" w:rsidRDefault="007A39EB" w:rsidP="007A39EB">
      <w:pPr>
        <w:spacing w:line="240" w:lineRule="auto"/>
        <w:rPr>
          <w:rFonts w:ascii="Cambria" w:eastAsia="Cambria" w:hAnsi="Cambria" w:cs="Cambria"/>
          <w:color w:val="FF0000"/>
          <w:sz w:val="19"/>
          <w:szCs w:val="19"/>
        </w:rPr>
      </w:pPr>
      <w:r w:rsidRPr="003B46B5">
        <w:rPr>
          <w:rFonts w:ascii="Cambria" w:eastAsia="Cambria" w:hAnsi="Cambria" w:cs="Cambria"/>
          <w:color w:val="FF0000"/>
          <w:sz w:val="19"/>
          <w:szCs w:val="19"/>
        </w:rPr>
        <w:t>Note: All the data used in this study were obtained from the World Bank and the National Bureau of Statistics of China</w:t>
      </w:r>
      <w:r>
        <w:rPr>
          <w:rFonts w:ascii="Cambria" w:eastAsia="Cambria" w:hAnsi="Cambria" w:cs="Cambria"/>
          <w:color w:val="FF0000"/>
          <w:sz w:val="19"/>
          <w:szCs w:val="19"/>
        </w:rPr>
        <w:t>.</w:t>
      </w:r>
    </w:p>
    <w:sectPr w:rsidR="00A82D3F" w:rsidRPr="007A39EB">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5DF2" w14:textId="77777777" w:rsidR="00AC7E7E" w:rsidRDefault="00AC7E7E" w:rsidP="007A39EB">
      <w:pPr>
        <w:spacing w:line="240" w:lineRule="auto"/>
      </w:pPr>
      <w:r>
        <w:separator/>
      </w:r>
    </w:p>
  </w:endnote>
  <w:endnote w:type="continuationSeparator" w:id="0">
    <w:p w14:paraId="4BAFE83D" w14:textId="77777777" w:rsidR="00AC7E7E" w:rsidRDefault="00AC7E7E" w:rsidP="007A3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285995"/>
      <w:docPartObj>
        <w:docPartGallery w:val="Page Numbers (Bottom of Page)"/>
        <w:docPartUnique/>
      </w:docPartObj>
    </w:sdtPr>
    <w:sdtContent>
      <w:sdt>
        <w:sdtPr>
          <w:id w:val="-1769616900"/>
          <w:docPartObj>
            <w:docPartGallery w:val="Page Numbers (Top of Page)"/>
            <w:docPartUnique/>
          </w:docPartObj>
        </w:sdtPr>
        <w:sdtContent>
          <w:p w14:paraId="17B9AB37" w14:textId="7337B5E1" w:rsidR="007A39EB" w:rsidRDefault="007A39E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2DAC0F3" w14:textId="77777777" w:rsidR="007A39EB" w:rsidRDefault="007A3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2003" w14:textId="77777777" w:rsidR="00AC7E7E" w:rsidRDefault="00AC7E7E" w:rsidP="007A39EB">
      <w:pPr>
        <w:spacing w:line="240" w:lineRule="auto"/>
      </w:pPr>
      <w:r>
        <w:separator/>
      </w:r>
    </w:p>
  </w:footnote>
  <w:footnote w:type="continuationSeparator" w:id="0">
    <w:p w14:paraId="4E367E7C" w14:textId="77777777" w:rsidR="00AC7E7E" w:rsidRDefault="00AC7E7E" w:rsidP="007A39EB">
      <w:pPr>
        <w:spacing w:line="240" w:lineRule="auto"/>
      </w:pPr>
      <w:r>
        <w:continuationSeparator/>
      </w:r>
    </w:p>
  </w:footnote>
  <w:footnote w:id="1">
    <w:p w14:paraId="1548FE04" w14:textId="77777777" w:rsidR="007A39EB" w:rsidRPr="00ED2B5C" w:rsidRDefault="007A39EB" w:rsidP="007A39EB">
      <w:pPr>
        <w:pStyle w:val="FootnoteText"/>
        <w:rPr>
          <w:lang w:val="en-GB"/>
        </w:rPr>
      </w:pPr>
      <w:r>
        <w:rPr>
          <w:rStyle w:val="FootnoteReference"/>
        </w:rPr>
        <w:footnoteRef/>
      </w:r>
      <w:r>
        <w:t xml:space="preserve"> </w:t>
      </w:r>
      <w:r w:rsidRPr="00ED2B5C">
        <w:t>We define renewable energy as sources of energy that are naturally replenished and can be harnessed without causing depletion or significant environmental harm. Examples of renewable energy include biomass</w:t>
      </w:r>
      <w:r>
        <w:t xml:space="preserve">, </w:t>
      </w:r>
      <w:r w:rsidRPr="00ED2B5C">
        <w:t>geothermal, hydroelectric, solar,</w:t>
      </w:r>
      <w:r>
        <w:t xml:space="preserve"> and</w:t>
      </w:r>
      <w:r w:rsidRPr="00ED2B5C">
        <w:t xml:space="preserve"> wind (</w:t>
      </w:r>
      <w:proofErr w:type="spellStart"/>
      <w:r w:rsidRPr="00ED2B5C">
        <w:t>Doğan</w:t>
      </w:r>
      <w:proofErr w:type="spellEnd"/>
      <w:r w:rsidRPr="00ED2B5C">
        <w:t xml:space="preserve"> </w:t>
      </w:r>
      <w:r>
        <w:t xml:space="preserve">et al., 2020; </w:t>
      </w:r>
      <w:r w:rsidRPr="00ED2B5C">
        <w:t>REN21, 2021). On the other hand, non-renewable energy refers to sources that are finite and cannot be replenished within a human timeframe, resulting in their eventual depletion. These sources often involve extracting and burning fossil fuels</w:t>
      </w:r>
      <w:r>
        <w:t xml:space="preserve">, e.g., </w:t>
      </w:r>
      <w:r w:rsidRPr="00ED2B5C">
        <w:t xml:space="preserve">coal, natural gas, </w:t>
      </w:r>
      <w:r>
        <w:t xml:space="preserve">and </w:t>
      </w:r>
      <w:r w:rsidRPr="00ED2B5C">
        <w:t>oil, which can contribute to environmental pollution and climate change (</w:t>
      </w:r>
      <w:r>
        <w:t>Pham et al., 2020</w:t>
      </w:r>
      <w:r w:rsidRPr="00ED2B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37C"/>
    <w:multiLevelType w:val="hybridMultilevel"/>
    <w:tmpl w:val="2D1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B4DC0"/>
    <w:multiLevelType w:val="hybridMultilevel"/>
    <w:tmpl w:val="F9806CCA"/>
    <w:lvl w:ilvl="0" w:tplc="D9BE1156">
      <w:start w:val="1"/>
      <w:numFmt w:val="decimal"/>
      <w:lvlText w:val="%1."/>
      <w:lvlJc w:val="left"/>
      <w:pPr>
        <w:ind w:left="1640" w:hanging="360"/>
      </w:pPr>
    </w:lvl>
    <w:lvl w:ilvl="1" w:tplc="55701BDA">
      <w:start w:val="1"/>
      <w:numFmt w:val="decimal"/>
      <w:lvlText w:val="%2."/>
      <w:lvlJc w:val="left"/>
      <w:pPr>
        <w:ind w:left="1640" w:hanging="360"/>
      </w:pPr>
    </w:lvl>
    <w:lvl w:ilvl="2" w:tplc="E14A8B26">
      <w:start w:val="1"/>
      <w:numFmt w:val="decimal"/>
      <w:lvlText w:val="%3."/>
      <w:lvlJc w:val="left"/>
      <w:pPr>
        <w:ind w:left="1640" w:hanging="360"/>
      </w:pPr>
    </w:lvl>
    <w:lvl w:ilvl="3" w:tplc="9FB8CB8E">
      <w:start w:val="1"/>
      <w:numFmt w:val="decimal"/>
      <w:lvlText w:val="%4."/>
      <w:lvlJc w:val="left"/>
      <w:pPr>
        <w:ind w:left="1640" w:hanging="360"/>
      </w:pPr>
    </w:lvl>
    <w:lvl w:ilvl="4" w:tplc="9C1C8A36">
      <w:start w:val="1"/>
      <w:numFmt w:val="decimal"/>
      <w:lvlText w:val="%5."/>
      <w:lvlJc w:val="left"/>
      <w:pPr>
        <w:ind w:left="1640" w:hanging="360"/>
      </w:pPr>
    </w:lvl>
    <w:lvl w:ilvl="5" w:tplc="B4FCC1B4">
      <w:start w:val="1"/>
      <w:numFmt w:val="decimal"/>
      <w:lvlText w:val="%6."/>
      <w:lvlJc w:val="left"/>
      <w:pPr>
        <w:ind w:left="1640" w:hanging="360"/>
      </w:pPr>
    </w:lvl>
    <w:lvl w:ilvl="6" w:tplc="CDF2665E">
      <w:start w:val="1"/>
      <w:numFmt w:val="decimal"/>
      <w:lvlText w:val="%7."/>
      <w:lvlJc w:val="left"/>
      <w:pPr>
        <w:ind w:left="1640" w:hanging="360"/>
      </w:pPr>
    </w:lvl>
    <w:lvl w:ilvl="7" w:tplc="A8ECE0A8">
      <w:start w:val="1"/>
      <w:numFmt w:val="decimal"/>
      <w:lvlText w:val="%8."/>
      <w:lvlJc w:val="left"/>
      <w:pPr>
        <w:ind w:left="1640" w:hanging="360"/>
      </w:pPr>
    </w:lvl>
    <w:lvl w:ilvl="8" w:tplc="4C98B462">
      <w:start w:val="1"/>
      <w:numFmt w:val="decimal"/>
      <w:lvlText w:val="%9."/>
      <w:lvlJc w:val="left"/>
      <w:pPr>
        <w:ind w:left="1640" w:hanging="360"/>
      </w:pPr>
    </w:lvl>
  </w:abstractNum>
  <w:abstractNum w:abstractNumId="2" w15:restartNumberingAfterBreak="0">
    <w:nsid w:val="0CFB3D86"/>
    <w:multiLevelType w:val="hybridMultilevel"/>
    <w:tmpl w:val="E564E3DA"/>
    <w:lvl w:ilvl="0" w:tplc="D77C6032">
      <w:start w:val="1"/>
      <w:numFmt w:val="bullet"/>
      <w:lvlText w:val=""/>
      <w:lvlJc w:val="left"/>
      <w:pPr>
        <w:tabs>
          <w:tab w:val="num" w:pos="720"/>
        </w:tabs>
        <w:ind w:left="720" w:hanging="360"/>
      </w:pPr>
      <w:rPr>
        <w:rFonts w:ascii="Wingdings" w:hAnsi="Wingdings" w:hint="default"/>
      </w:rPr>
    </w:lvl>
    <w:lvl w:ilvl="1" w:tplc="DA5EE100">
      <w:start w:val="1"/>
      <w:numFmt w:val="bullet"/>
      <w:lvlText w:val=""/>
      <w:lvlJc w:val="left"/>
      <w:pPr>
        <w:tabs>
          <w:tab w:val="num" w:pos="1440"/>
        </w:tabs>
        <w:ind w:left="1440" w:hanging="360"/>
      </w:pPr>
      <w:rPr>
        <w:rFonts w:ascii="Wingdings" w:hAnsi="Wingdings" w:hint="default"/>
      </w:rPr>
    </w:lvl>
    <w:lvl w:ilvl="2" w:tplc="55B6920E" w:tentative="1">
      <w:start w:val="1"/>
      <w:numFmt w:val="bullet"/>
      <w:lvlText w:val=""/>
      <w:lvlJc w:val="left"/>
      <w:pPr>
        <w:tabs>
          <w:tab w:val="num" w:pos="2160"/>
        </w:tabs>
        <w:ind w:left="2160" w:hanging="360"/>
      </w:pPr>
      <w:rPr>
        <w:rFonts w:ascii="Wingdings" w:hAnsi="Wingdings" w:hint="default"/>
      </w:rPr>
    </w:lvl>
    <w:lvl w:ilvl="3" w:tplc="9F20F54C" w:tentative="1">
      <w:start w:val="1"/>
      <w:numFmt w:val="bullet"/>
      <w:lvlText w:val=""/>
      <w:lvlJc w:val="left"/>
      <w:pPr>
        <w:tabs>
          <w:tab w:val="num" w:pos="2880"/>
        </w:tabs>
        <w:ind w:left="2880" w:hanging="360"/>
      </w:pPr>
      <w:rPr>
        <w:rFonts w:ascii="Wingdings" w:hAnsi="Wingdings" w:hint="default"/>
      </w:rPr>
    </w:lvl>
    <w:lvl w:ilvl="4" w:tplc="107A842E" w:tentative="1">
      <w:start w:val="1"/>
      <w:numFmt w:val="bullet"/>
      <w:lvlText w:val=""/>
      <w:lvlJc w:val="left"/>
      <w:pPr>
        <w:tabs>
          <w:tab w:val="num" w:pos="3600"/>
        </w:tabs>
        <w:ind w:left="3600" w:hanging="360"/>
      </w:pPr>
      <w:rPr>
        <w:rFonts w:ascii="Wingdings" w:hAnsi="Wingdings" w:hint="default"/>
      </w:rPr>
    </w:lvl>
    <w:lvl w:ilvl="5" w:tplc="3EC464FA" w:tentative="1">
      <w:start w:val="1"/>
      <w:numFmt w:val="bullet"/>
      <w:lvlText w:val=""/>
      <w:lvlJc w:val="left"/>
      <w:pPr>
        <w:tabs>
          <w:tab w:val="num" w:pos="4320"/>
        </w:tabs>
        <w:ind w:left="4320" w:hanging="360"/>
      </w:pPr>
      <w:rPr>
        <w:rFonts w:ascii="Wingdings" w:hAnsi="Wingdings" w:hint="default"/>
      </w:rPr>
    </w:lvl>
    <w:lvl w:ilvl="6" w:tplc="213EA3FA" w:tentative="1">
      <w:start w:val="1"/>
      <w:numFmt w:val="bullet"/>
      <w:lvlText w:val=""/>
      <w:lvlJc w:val="left"/>
      <w:pPr>
        <w:tabs>
          <w:tab w:val="num" w:pos="5040"/>
        </w:tabs>
        <w:ind w:left="5040" w:hanging="360"/>
      </w:pPr>
      <w:rPr>
        <w:rFonts w:ascii="Wingdings" w:hAnsi="Wingdings" w:hint="default"/>
      </w:rPr>
    </w:lvl>
    <w:lvl w:ilvl="7" w:tplc="1846BA18" w:tentative="1">
      <w:start w:val="1"/>
      <w:numFmt w:val="bullet"/>
      <w:lvlText w:val=""/>
      <w:lvlJc w:val="left"/>
      <w:pPr>
        <w:tabs>
          <w:tab w:val="num" w:pos="5760"/>
        </w:tabs>
        <w:ind w:left="5760" w:hanging="360"/>
      </w:pPr>
      <w:rPr>
        <w:rFonts w:ascii="Wingdings" w:hAnsi="Wingdings" w:hint="default"/>
      </w:rPr>
    </w:lvl>
    <w:lvl w:ilvl="8" w:tplc="B35A24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43733"/>
    <w:multiLevelType w:val="hybridMultilevel"/>
    <w:tmpl w:val="8E7CCF9C"/>
    <w:lvl w:ilvl="0" w:tplc="52E69E88">
      <w:start w:val="1"/>
      <w:numFmt w:val="decimal"/>
      <w:lvlText w:val="%1."/>
      <w:lvlJc w:val="left"/>
      <w:pPr>
        <w:ind w:left="360" w:hanging="360"/>
      </w:pPr>
      <w:rPr>
        <w:rFonts w:ascii="Times New Roman" w:hAnsi="Times New Roman" w:cs="Times New Roman" w:hint="default"/>
        <w:color w:val="222222"/>
      </w:rPr>
    </w:lvl>
    <w:lvl w:ilvl="1" w:tplc="563CC388" w:tentative="1">
      <w:start w:val="1"/>
      <w:numFmt w:val="lowerLetter"/>
      <w:lvlText w:val="%2)"/>
      <w:lvlJc w:val="left"/>
      <w:pPr>
        <w:ind w:left="840" w:hanging="420"/>
      </w:pPr>
    </w:lvl>
    <w:lvl w:ilvl="2" w:tplc="D0223DB4" w:tentative="1">
      <w:start w:val="1"/>
      <w:numFmt w:val="lowerRoman"/>
      <w:lvlText w:val="%3."/>
      <w:lvlJc w:val="right"/>
      <w:pPr>
        <w:ind w:left="1260" w:hanging="420"/>
      </w:pPr>
    </w:lvl>
    <w:lvl w:ilvl="3" w:tplc="967233B6" w:tentative="1">
      <w:start w:val="1"/>
      <w:numFmt w:val="decimal"/>
      <w:lvlText w:val="%4."/>
      <w:lvlJc w:val="left"/>
      <w:pPr>
        <w:ind w:left="1680" w:hanging="420"/>
      </w:pPr>
    </w:lvl>
    <w:lvl w:ilvl="4" w:tplc="1306540E" w:tentative="1">
      <w:start w:val="1"/>
      <w:numFmt w:val="lowerLetter"/>
      <w:lvlText w:val="%5)"/>
      <w:lvlJc w:val="left"/>
      <w:pPr>
        <w:ind w:left="2100" w:hanging="420"/>
      </w:pPr>
    </w:lvl>
    <w:lvl w:ilvl="5" w:tplc="1E8A0B9C" w:tentative="1">
      <w:start w:val="1"/>
      <w:numFmt w:val="lowerRoman"/>
      <w:lvlText w:val="%6."/>
      <w:lvlJc w:val="right"/>
      <w:pPr>
        <w:ind w:left="2520" w:hanging="420"/>
      </w:pPr>
    </w:lvl>
    <w:lvl w:ilvl="6" w:tplc="BF605F90" w:tentative="1">
      <w:start w:val="1"/>
      <w:numFmt w:val="decimal"/>
      <w:lvlText w:val="%7."/>
      <w:lvlJc w:val="left"/>
      <w:pPr>
        <w:ind w:left="2940" w:hanging="420"/>
      </w:pPr>
    </w:lvl>
    <w:lvl w:ilvl="7" w:tplc="8C82FB1E" w:tentative="1">
      <w:start w:val="1"/>
      <w:numFmt w:val="lowerLetter"/>
      <w:lvlText w:val="%8)"/>
      <w:lvlJc w:val="left"/>
      <w:pPr>
        <w:ind w:left="3360" w:hanging="420"/>
      </w:pPr>
    </w:lvl>
    <w:lvl w:ilvl="8" w:tplc="3AAE81BA" w:tentative="1">
      <w:start w:val="1"/>
      <w:numFmt w:val="lowerRoman"/>
      <w:lvlText w:val="%9."/>
      <w:lvlJc w:val="right"/>
      <w:pPr>
        <w:ind w:left="3780" w:hanging="420"/>
      </w:pPr>
    </w:lvl>
  </w:abstractNum>
  <w:abstractNum w:abstractNumId="4" w15:restartNumberingAfterBreak="0">
    <w:nsid w:val="221820E2"/>
    <w:multiLevelType w:val="hybridMultilevel"/>
    <w:tmpl w:val="65C8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912AD"/>
    <w:multiLevelType w:val="hybridMultilevel"/>
    <w:tmpl w:val="318A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B403E"/>
    <w:multiLevelType w:val="hybridMultilevel"/>
    <w:tmpl w:val="6E10B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335B"/>
    <w:multiLevelType w:val="hybridMultilevel"/>
    <w:tmpl w:val="A98E3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6056BE"/>
    <w:multiLevelType w:val="hybridMultilevel"/>
    <w:tmpl w:val="5726D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9D3D59"/>
    <w:multiLevelType w:val="hybridMultilevel"/>
    <w:tmpl w:val="6FA45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C33B91"/>
    <w:multiLevelType w:val="hybridMultilevel"/>
    <w:tmpl w:val="4A948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7605E"/>
    <w:multiLevelType w:val="hybridMultilevel"/>
    <w:tmpl w:val="682279DA"/>
    <w:lvl w:ilvl="0" w:tplc="7AD00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C65360"/>
    <w:multiLevelType w:val="hybridMultilevel"/>
    <w:tmpl w:val="93549868"/>
    <w:lvl w:ilvl="0" w:tplc="45D21A9A">
      <w:start w:val="1"/>
      <w:numFmt w:val="decimal"/>
      <w:lvlText w:val="%1."/>
      <w:lvlJc w:val="left"/>
      <w:pPr>
        <w:ind w:left="1440" w:hanging="360"/>
      </w:pPr>
    </w:lvl>
    <w:lvl w:ilvl="1" w:tplc="DB88AF62">
      <w:start w:val="1"/>
      <w:numFmt w:val="decimal"/>
      <w:lvlText w:val="%2."/>
      <w:lvlJc w:val="left"/>
      <w:pPr>
        <w:ind w:left="1440" w:hanging="360"/>
      </w:pPr>
    </w:lvl>
    <w:lvl w:ilvl="2" w:tplc="B3F8D7C0">
      <w:start w:val="1"/>
      <w:numFmt w:val="decimal"/>
      <w:lvlText w:val="%3."/>
      <w:lvlJc w:val="left"/>
      <w:pPr>
        <w:ind w:left="1440" w:hanging="360"/>
      </w:pPr>
    </w:lvl>
    <w:lvl w:ilvl="3" w:tplc="7166EED6">
      <w:start w:val="1"/>
      <w:numFmt w:val="decimal"/>
      <w:lvlText w:val="%4."/>
      <w:lvlJc w:val="left"/>
      <w:pPr>
        <w:ind w:left="1440" w:hanging="360"/>
      </w:pPr>
    </w:lvl>
    <w:lvl w:ilvl="4" w:tplc="25FCB550">
      <w:start w:val="1"/>
      <w:numFmt w:val="decimal"/>
      <w:lvlText w:val="%5."/>
      <w:lvlJc w:val="left"/>
      <w:pPr>
        <w:ind w:left="1440" w:hanging="360"/>
      </w:pPr>
    </w:lvl>
    <w:lvl w:ilvl="5" w:tplc="30D23DEE">
      <w:start w:val="1"/>
      <w:numFmt w:val="decimal"/>
      <w:lvlText w:val="%6."/>
      <w:lvlJc w:val="left"/>
      <w:pPr>
        <w:ind w:left="1440" w:hanging="360"/>
      </w:pPr>
    </w:lvl>
    <w:lvl w:ilvl="6" w:tplc="284E879C">
      <w:start w:val="1"/>
      <w:numFmt w:val="decimal"/>
      <w:lvlText w:val="%7."/>
      <w:lvlJc w:val="left"/>
      <w:pPr>
        <w:ind w:left="1440" w:hanging="360"/>
      </w:pPr>
    </w:lvl>
    <w:lvl w:ilvl="7" w:tplc="F87423C6">
      <w:start w:val="1"/>
      <w:numFmt w:val="decimal"/>
      <w:lvlText w:val="%8."/>
      <w:lvlJc w:val="left"/>
      <w:pPr>
        <w:ind w:left="1440" w:hanging="360"/>
      </w:pPr>
    </w:lvl>
    <w:lvl w:ilvl="8" w:tplc="D054B108">
      <w:start w:val="1"/>
      <w:numFmt w:val="decimal"/>
      <w:lvlText w:val="%9."/>
      <w:lvlJc w:val="left"/>
      <w:pPr>
        <w:ind w:left="1440" w:hanging="360"/>
      </w:pPr>
    </w:lvl>
  </w:abstractNum>
  <w:num w:numId="1" w16cid:durableId="742720276">
    <w:abstractNumId w:val="2"/>
  </w:num>
  <w:num w:numId="2" w16cid:durableId="1034230391">
    <w:abstractNumId w:val="4"/>
  </w:num>
  <w:num w:numId="3" w16cid:durableId="2028940117">
    <w:abstractNumId w:val="5"/>
  </w:num>
  <w:num w:numId="4" w16cid:durableId="276327873">
    <w:abstractNumId w:val="0"/>
  </w:num>
  <w:num w:numId="5" w16cid:durableId="1334724423">
    <w:abstractNumId w:val="10"/>
  </w:num>
  <w:num w:numId="6" w16cid:durableId="715085018">
    <w:abstractNumId w:val="6"/>
  </w:num>
  <w:num w:numId="7" w16cid:durableId="89009308">
    <w:abstractNumId w:val="11"/>
  </w:num>
  <w:num w:numId="8" w16cid:durableId="1341350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317891">
    <w:abstractNumId w:val="3"/>
  </w:num>
  <w:num w:numId="10" w16cid:durableId="163712497">
    <w:abstractNumId w:val="8"/>
  </w:num>
  <w:num w:numId="11" w16cid:durableId="451363270">
    <w:abstractNumId w:val="12"/>
  </w:num>
  <w:num w:numId="12" w16cid:durableId="2088114696">
    <w:abstractNumId w:val="1"/>
  </w:num>
  <w:num w:numId="13" w16cid:durableId="1101341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EB"/>
    <w:rsid w:val="00054856"/>
    <w:rsid w:val="000E151B"/>
    <w:rsid w:val="005A2DC0"/>
    <w:rsid w:val="007A39EB"/>
    <w:rsid w:val="008C614F"/>
    <w:rsid w:val="00A82D3F"/>
    <w:rsid w:val="00AA650E"/>
    <w:rsid w:val="00AC7E7E"/>
    <w:rsid w:val="00B139DB"/>
    <w:rsid w:val="00B22296"/>
    <w:rsid w:val="00C87982"/>
    <w:rsid w:val="00DD785A"/>
    <w:rsid w:val="00EC7F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3934"/>
  <w15:chartTrackingRefBased/>
  <w15:docId w15:val="{1E3F490F-54A9-4B4A-B625-FD6AD8D1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EB"/>
    <w:pPr>
      <w:spacing w:after="0" w:line="480" w:lineRule="auto"/>
      <w:jc w:val="both"/>
    </w:pPr>
    <w:rPr>
      <w:rFonts w:ascii="Times New Roman" w:hAnsi="Times New Roman"/>
      <w:kern w:val="0"/>
      <w:sz w:val="24"/>
      <w:lang w:val="en-US"/>
      <w14:ligatures w14:val="none"/>
    </w:rPr>
  </w:style>
  <w:style w:type="paragraph" w:styleId="Heading1">
    <w:name w:val="heading 1"/>
    <w:basedOn w:val="Normal"/>
    <w:next w:val="Normal"/>
    <w:link w:val="Heading1Char"/>
    <w:uiPriority w:val="9"/>
    <w:qFormat/>
    <w:rsid w:val="00DD785A"/>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D785A"/>
    <w:pPr>
      <w:keepNext/>
      <w:keepLines/>
      <w:spacing w:before="40"/>
      <w:outlineLvl w:val="1"/>
    </w:pPr>
    <w:rPr>
      <w:rFonts w:asciiTheme="majorHAnsi" w:eastAsiaTheme="majorEastAsia" w:hAnsiTheme="majorHAnsi" w:cstheme="majorBidi"/>
      <w:b/>
      <w:szCs w:val="26"/>
      <w:lang w:eastAsia="en-US"/>
    </w:rPr>
  </w:style>
  <w:style w:type="paragraph" w:styleId="Heading3">
    <w:name w:val="heading 3"/>
    <w:basedOn w:val="Normal"/>
    <w:next w:val="Normal"/>
    <w:link w:val="Heading3Char"/>
    <w:uiPriority w:val="9"/>
    <w:unhideWhenUsed/>
    <w:qFormat/>
    <w:rsid w:val="007A39EB"/>
    <w:pPr>
      <w:keepNext/>
      <w:keepLines/>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8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D785A"/>
    <w:rPr>
      <w:rFonts w:asciiTheme="majorHAnsi" w:eastAsiaTheme="majorEastAsia" w:hAnsiTheme="majorHAnsi" w:cstheme="majorBidi"/>
      <w:b/>
      <w:sz w:val="24"/>
      <w:szCs w:val="26"/>
      <w:lang w:eastAsia="en-US"/>
    </w:rPr>
  </w:style>
  <w:style w:type="character" w:customStyle="1" w:styleId="Heading3Char">
    <w:name w:val="Heading 3 Char"/>
    <w:basedOn w:val="DefaultParagraphFont"/>
    <w:link w:val="Heading3"/>
    <w:uiPriority w:val="9"/>
    <w:rsid w:val="007A39EB"/>
    <w:rPr>
      <w:rFonts w:ascii="Times New Roman" w:eastAsiaTheme="majorEastAsia" w:hAnsi="Times New Roman" w:cstheme="majorBidi"/>
      <w:b/>
      <w:color w:val="1F3763" w:themeColor="accent1" w:themeShade="7F"/>
      <w:kern w:val="0"/>
      <w:sz w:val="24"/>
      <w:szCs w:val="24"/>
      <w:lang w:val="en-US"/>
      <w14:ligatures w14:val="none"/>
    </w:rPr>
  </w:style>
  <w:style w:type="paragraph" w:customStyle="1" w:styleId="Default">
    <w:name w:val="Default"/>
    <w:rsid w:val="007A39E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7A39EB"/>
    <w:pPr>
      <w:spacing w:line="240" w:lineRule="auto"/>
      <w:ind w:left="720"/>
      <w:contextualSpacing/>
    </w:pPr>
    <w:rPr>
      <w:rFonts w:eastAsia="Times New Roman" w:cs="Times New Roman"/>
      <w:szCs w:val="24"/>
    </w:rPr>
  </w:style>
  <w:style w:type="character" w:styleId="Hyperlink">
    <w:name w:val="Hyperlink"/>
    <w:basedOn w:val="DefaultParagraphFont"/>
    <w:uiPriority w:val="99"/>
    <w:unhideWhenUsed/>
    <w:rsid w:val="007A39EB"/>
    <w:rPr>
      <w:color w:val="0000FF"/>
      <w:u w:val="single"/>
    </w:rPr>
  </w:style>
  <w:style w:type="character" w:styleId="HTMLCite">
    <w:name w:val="HTML Cite"/>
    <w:basedOn w:val="DefaultParagraphFont"/>
    <w:uiPriority w:val="99"/>
    <w:semiHidden/>
    <w:unhideWhenUsed/>
    <w:rsid w:val="007A39EB"/>
    <w:rPr>
      <w:i/>
      <w:iCs/>
    </w:rPr>
  </w:style>
  <w:style w:type="character" w:styleId="CommentReference">
    <w:name w:val="annotation reference"/>
    <w:basedOn w:val="DefaultParagraphFont"/>
    <w:uiPriority w:val="99"/>
    <w:semiHidden/>
    <w:unhideWhenUsed/>
    <w:rsid w:val="007A39EB"/>
    <w:rPr>
      <w:sz w:val="16"/>
      <w:szCs w:val="16"/>
    </w:rPr>
  </w:style>
  <w:style w:type="paragraph" w:styleId="CommentText">
    <w:name w:val="annotation text"/>
    <w:basedOn w:val="Normal"/>
    <w:link w:val="CommentTextChar"/>
    <w:uiPriority w:val="99"/>
    <w:unhideWhenUsed/>
    <w:rsid w:val="007A39EB"/>
    <w:pPr>
      <w:spacing w:line="240" w:lineRule="auto"/>
    </w:pPr>
    <w:rPr>
      <w:sz w:val="20"/>
      <w:szCs w:val="20"/>
    </w:rPr>
  </w:style>
  <w:style w:type="character" w:customStyle="1" w:styleId="CommentTextChar">
    <w:name w:val="Comment Text Char"/>
    <w:basedOn w:val="DefaultParagraphFont"/>
    <w:link w:val="CommentText"/>
    <w:uiPriority w:val="99"/>
    <w:rsid w:val="007A39EB"/>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A39EB"/>
    <w:rPr>
      <w:b/>
      <w:bCs/>
    </w:rPr>
  </w:style>
  <w:style w:type="character" w:customStyle="1" w:styleId="CommentSubjectChar">
    <w:name w:val="Comment Subject Char"/>
    <w:basedOn w:val="CommentTextChar"/>
    <w:link w:val="CommentSubject"/>
    <w:uiPriority w:val="99"/>
    <w:semiHidden/>
    <w:rsid w:val="007A39EB"/>
    <w:rPr>
      <w:rFonts w:ascii="Times New Roman" w:hAnsi="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7A39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9EB"/>
    <w:rPr>
      <w:rFonts w:ascii="Segoe UI" w:hAnsi="Segoe UI" w:cs="Segoe UI"/>
      <w:kern w:val="0"/>
      <w:sz w:val="18"/>
      <w:szCs w:val="18"/>
      <w:lang w:val="en-US"/>
      <w14:ligatures w14:val="none"/>
    </w:rPr>
  </w:style>
  <w:style w:type="character" w:styleId="Emphasis">
    <w:name w:val="Emphasis"/>
    <w:basedOn w:val="DefaultParagraphFont"/>
    <w:uiPriority w:val="20"/>
    <w:qFormat/>
    <w:rsid w:val="007A39EB"/>
    <w:rPr>
      <w:i/>
      <w:iCs/>
    </w:rPr>
  </w:style>
  <w:style w:type="character" w:styleId="UnresolvedMention">
    <w:name w:val="Unresolved Mention"/>
    <w:basedOn w:val="DefaultParagraphFont"/>
    <w:uiPriority w:val="99"/>
    <w:semiHidden/>
    <w:unhideWhenUsed/>
    <w:rsid w:val="007A39EB"/>
    <w:rPr>
      <w:color w:val="605E5C"/>
      <w:shd w:val="clear" w:color="auto" w:fill="E1DFDD"/>
    </w:rPr>
  </w:style>
  <w:style w:type="paragraph" w:styleId="FootnoteText">
    <w:name w:val="footnote text"/>
    <w:basedOn w:val="Normal"/>
    <w:link w:val="FootnoteTextChar"/>
    <w:uiPriority w:val="99"/>
    <w:semiHidden/>
    <w:unhideWhenUsed/>
    <w:rsid w:val="007A39EB"/>
    <w:pPr>
      <w:widowControl w:val="0"/>
      <w:snapToGrid w:val="0"/>
      <w:spacing w:line="240" w:lineRule="auto"/>
    </w:pPr>
    <w:rPr>
      <w:kern w:val="2"/>
      <w:sz w:val="18"/>
      <w:szCs w:val="18"/>
    </w:rPr>
  </w:style>
  <w:style w:type="character" w:customStyle="1" w:styleId="FootnoteTextChar">
    <w:name w:val="Footnote Text Char"/>
    <w:basedOn w:val="DefaultParagraphFont"/>
    <w:link w:val="FootnoteText"/>
    <w:uiPriority w:val="99"/>
    <w:semiHidden/>
    <w:rsid w:val="007A39EB"/>
    <w:rPr>
      <w:rFonts w:ascii="Times New Roman" w:hAnsi="Times New Roman"/>
      <w:sz w:val="18"/>
      <w:szCs w:val="18"/>
      <w:lang w:val="en-US"/>
      <w14:ligatures w14:val="none"/>
    </w:rPr>
  </w:style>
  <w:style w:type="character" w:styleId="FootnoteReference">
    <w:name w:val="footnote reference"/>
    <w:basedOn w:val="DefaultParagraphFont"/>
    <w:uiPriority w:val="99"/>
    <w:semiHidden/>
    <w:unhideWhenUsed/>
    <w:rsid w:val="007A39EB"/>
    <w:rPr>
      <w:vertAlign w:val="superscript"/>
    </w:rPr>
  </w:style>
  <w:style w:type="paragraph" w:customStyle="1" w:styleId="msonormal0">
    <w:name w:val="msonormal"/>
    <w:basedOn w:val="Normal"/>
    <w:rsid w:val="007A39EB"/>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7A39EB"/>
    <w:pPr>
      <w:spacing w:after="0" w:line="240" w:lineRule="auto"/>
    </w:pPr>
    <w:rPr>
      <w:rFonts w:ascii="Times New Roman" w:hAnsi="Times New Roman" w:cs="Times New Roman"/>
      <w:kern w:val="0"/>
      <w:sz w:val="24"/>
      <w:szCs w:val="24"/>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39EB"/>
    <w:rPr>
      <w:b/>
      <w:bCs/>
    </w:rPr>
  </w:style>
  <w:style w:type="character" w:customStyle="1" w:styleId="repostname">
    <w:name w:val="repostname"/>
    <w:basedOn w:val="DefaultParagraphFont"/>
    <w:rsid w:val="007A39EB"/>
  </w:style>
  <w:style w:type="paragraph" w:styleId="Header">
    <w:name w:val="header"/>
    <w:basedOn w:val="Normal"/>
    <w:link w:val="HeaderChar"/>
    <w:uiPriority w:val="99"/>
    <w:unhideWhenUsed/>
    <w:rsid w:val="007A39EB"/>
    <w:pPr>
      <w:tabs>
        <w:tab w:val="center" w:pos="4320"/>
        <w:tab w:val="right" w:pos="8640"/>
      </w:tabs>
      <w:spacing w:line="240" w:lineRule="auto"/>
    </w:pPr>
  </w:style>
  <w:style w:type="character" w:customStyle="1" w:styleId="HeaderChar">
    <w:name w:val="Header Char"/>
    <w:basedOn w:val="DefaultParagraphFont"/>
    <w:link w:val="Header"/>
    <w:uiPriority w:val="99"/>
    <w:rsid w:val="007A39EB"/>
    <w:rPr>
      <w:rFonts w:ascii="Times New Roman" w:hAnsi="Times New Roman"/>
      <w:kern w:val="0"/>
      <w:sz w:val="24"/>
      <w:lang w:val="en-US"/>
      <w14:ligatures w14:val="none"/>
    </w:rPr>
  </w:style>
  <w:style w:type="paragraph" w:styleId="Footer">
    <w:name w:val="footer"/>
    <w:basedOn w:val="Normal"/>
    <w:link w:val="FooterChar"/>
    <w:uiPriority w:val="99"/>
    <w:unhideWhenUsed/>
    <w:rsid w:val="007A39EB"/>
    <w:pPr>
      <w:tabs>
        <w:tab w:val="center" w:pos="4320"/>
        <w:tab w:val="right" w:pos="8640"/>
      </w:tabs>
      <w:spacing w:line="240" w:lineRule="auto"/>
    </w:pPr>
  </w:style>
  <w:style w:type="character" w:customStyle="1" w:styleId="FooterChar">
    <w:name w:val="Footer Char"/>
    <w:basedOn w:val="DefaultParagraphFont"/>
    <w:link w:val="Footer"/>
    <w:uiPriority w:val="99"/>
    <w:rsid w:val="007A39EB"/>
    <w:rPr>
      <w:rFonts w:ascii="Times New Roman" w:hAnsi="Times New Roman"/>
      <w:kern w:val="0"/>
      <w:sz w:val="24"/>
      <w:lang w:val="en-US"/>
      <w14:ligatures w14:val="none"/>
    </w:rPr>
  </w:style>
  <w:style w:type="character" w:customStyle="1" w:styleId="title-text">
    <w:name w:val="title-text"/>
    <w:basedOn w:val="DefaultParagraphFont"/>
    <w:rsid w:val="007A39EB"/>
  </w:style>
  <w:style w:type="character" w:customStyle="1" w:styleId="titleauthoretc">
    <w:name w:val="titleauthoretc"/>
    <w:basedOn w:val="DefaultParagraphFont"/>
    <w:rsid w:val="007A39EB"/>
  </w:style>
  <w:style w:type="character" w:customStyle="1" w:styleId="pdf-label">
    <w:name w:val="pdf-label"/>
    <w:basedOn w:val="DefaultParagraphFont"/>
    <w:rsid w:val="007A39EB"/>
  </w:style>
  <w:style w:type="character" w:customStyle="1" w:styleId="optionlabel">
    <w:name w:val="optionlabel"/>
    <w:basedOn w:val="DefaultParagraphFont"/>
    <w:rsid w:val="007A39EB"/>
  </w:style>
  <w:style w:type="character" w:customStyle="1" w:styleId="sr-only">
    <w:name w:val="sr-only"/>
    <w:basedOn w:val="DefaultParagraphFont"/>
    <w:rsid w:val="007A39EB"/>
  </w:style>
  <w:style w:type="paragraph" w:styleId="NormalWeb">
    <w:name w:val="Normal (Web)"/>
    <w:basedOn w:val="Normal"/>
    <w:uiPriority w:val="99"/>
    <w:semiHidden/>
    <w:unhideWhenUsed/>
    <w:rsid w:val="007A39EB"/>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7A39EB"/>
  </w:style>
  <w:style w:type="character" w:styleId="PlaceholderText">
    <w:name w:val="Placeholder Text"/>
    <w:basedOn w:val="DefaultParagraphFont"/>
    <w:uiPriority w:val="99"/>
    <w:semiHidden/>
    <w:rsid w:val="007A39EB"/>
    <w:rPr>
      <w:color w:val="808080"/>
    </w:rPr>
  </w:style>
  <w:style w:type="paragraph" w:styleId="Revision">
    <w:name w:val="Revision"/>
    <w:hidden/>
    <w:uiPriority w:val="99"/>
    <w:semiHidden/>
    <w:rsid w:val="007A39EB"/>
    <w:pPr>
      <w:spacing w:after="0" w:line="240" w:lineRule="auto"/>
    </w:pPr>
    <w:rPr>
      <w:rFonts w:ascii="Times New Roman" w:hAnsi="Times New Roman"/>
      <w:kern w:val="0"/>
      <w:sz w:val="24"/>
      <w:lang w:val="en-US"/>
      <w14:ligatures w14:val="none"/>
    </w:rPr>
  </w:style>
  <w:style w:type="character" w:styleId="FollowedHyperlink">
    <w:name w:val="FollowedHyperlink"/>
    <w:basedOn w:val="DefaultParagraphFont"/>
    <w:uiPriority w:val="99"/>
    <w:semiHidden/>
    <w:unhideWhenUsed/>
    <w:rsid w:val="007A39EB"/>
    <w:rPr>
      <w:color w:val="954F72" w:themeColor="followedHyperlink"/>
      <w:u w:val="single"/>
    </w:rPr>
  </w:style>
  <w:style w:type="paragraph" w:styleId="Caption">
    <w:name w:val="caption"/>
    <w:basedOn w:val="Normal"/>
    <w:next w:val="Normal"/>
    <w:uiPriority w:val="35"/>
    <w:unhideWhenUsed/>
    <w:qFormat/>
    <w:rsid w:val="007A39E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file:///G:\My%20Drive\Conferences\M%20Ali%20Nasir\JEMA_China%20climate%20change_Kienpin_Rizwan_Marwa\10.1016\j.jenvman.2021.113420" TargetMode="External"/><Relationship Id="rId26" Type="http://schemas.openxmlformats.org/officeDocument/2006/relationships/hyperlink" Target="file:///G:\My%20Drive\Conferences\M%20Ali%20Nasir\JEMA_China%20climate%20change_Kienpin_Rizwan_Marwa\10.1007\s10551-017-3712-2" TargetMode="External"/><Relationship Id="rId39" Type="http://schemas.openxmlformats.org/officeDocument/2006/relationships/hyperlink" Target="file:///G:\My%20Drive\Conferences\M%20Ali%20Nasir\JEMA_China%20climate%20change_Kienpin_Rizwan_Marwa\10.1016\j.eap.2017.09.004" TargetMode="External"/><Relationship Id="rId3" Type="http://schemas.openxmlformats.org/officeDocument/2006/relationships/settings" Target="settings.xml"/><Relationship Id="rId21" Type="http://schemas.openxmlformats.org/officeDocument/2006/relationships/hyperlink" Target="https://doi.org/10.1007/s10368-013-0234-y" TargetMode="External"/><Relationship Id="rId34" Type="http://schemas.openxmlformats.org/officeDocument/2006/relationships/hyperlink" Target="file:///G:\My%20Drive\Conferences\M%20Ali%20Nasir\JEMA_China%20climate%20change_Kienpin_Rizwan_Marwa\10.1007\s11356-020-11212-1" TargetMode="External"/><Relationship Id="rId42" Type="http://schemas.openxmlformats.org/officeDocument/2006/relationships/hyperlink" Target="file:///G:\My%20Drive\Conferences\M%20Ali%20Nasir\JEMA_China%20climate%20change_Kienpin_Rizwan_Marwa\10.1016\j.eap.2017.12.003" TargetMode="External"/><Relationship Id="rId47" Type="http://schemas.openxmlformats.org/officeDocument/2006/relationships/hyperlink" Target="file:///G:\My%20Drive\Conferences\M%20Ali%20Nasir\JEMA_China%20climate%20change_Kienpin_Rizwan_Marwa\10.1073\pnas.1908513117" TargetMode="External"/><Relationship Id="rId50" Type="http://schemas.openxmlformats.org/officeDocument/2006/relationships/footer" Target="footer1.xml"/><Relationship Id="rId7" Type="http://schemas.openxmlformats.org/officeDocument/2006/relationships/hyperlink" Target="mailto:Xihui.chen@hw.ac.uk" TargetMode="External"/><Relationship Id="rId12" Type="http://schemas.openxmlformats.org/officeDocument/2006/relationships/chart" Target="charts/chart2.xml"/><Relationship Id="rId17" Type="http://schemas.openxmlformats.org/officeDocument/2006/relationships/hyperlink" Target="https://www.bp.com/en/global/corporate/energy-economics/statistical-review-of-world-energy.html" TargetMode="External"/><Relationship Id="rId25" Type="http://schemas.openxmlformats.org/officeDocument/2006/relationships/hyperlink" Target="file:///G:\My%20Drive\Conferences\M%20Ali%20Nasir\JEMA_China%20climate%20change_Kienpin_Rizwan_Marwa\10.1016\j.resconrec.2019.02.014" TargetMode="External"/><Relationship Id="rId33" Type="http://schemas.openxmlformats.org/officeDocument/2006/relationships/hyperlink" Target="file:///G:\My%20Drive\Conferences\M%20Ali%20Nasir\JEMA_China%20climate%20change_Kienpin_Rizwan_Marwa\10.1016\j.techfore.2019.04.020" TargetMode="External"/><Relationship Id="rId38" Type="http://schemas.openxmlformats.org/officeDocument/2006/relationships/hyperlink" Target="https://www.reuters.com/article/us-china-steel-idUSKCN1BR08K" TargetMode="External"/><Relationship Id="rId46" Type="http://schemas.openxmlformats.org/officeDocument/2006/relationships/hyperlink" Target="https://www.scmp.com/tech/big-tech/article/3205740/us-computer-giant-dell-replace-all-china-made-chips-its-products-2024-amid-tensions-between-beijing" TargetMode="External"/><Relationship Id="rId2" Type="http://schemas.openxmlformats.org/officeDocument/2006/relationships/styles" Target="styles.xml"/><Relationship Id="rId16" Type="http://schemas.openxmlformats.org/officeDocument/2006/relationships/hyperlink" Target="file:///G:\My%20Drive\Conferences\M%20Ali%20Nasir\JEMA_China%20climate%20change_Kienpin_Rizwan_Marwa\10.2307\2077876" TargetMode="External"/><Relationship Id="rId20" Type="http://schemas.openxmlformats.org/officeDocument/2006/relationships/hyperlink" Target="https://www.eia.gov/outlooks/ieo/" TargetMode="External"/><Relationship Id="rId29" Type="http://schemas.openxmlformats.org/officeDocument/2006/relationships/hyperlink" Target="file:///G:\My%20Drive\Conferences\M%20Ali%20Nasir\JEMA_China%20climate%20change_Kienpin_Rizwan_Marwa\10.1016\j.cclet.2014.03.032" TargetMode="External"/><Relationship Id="rId41" Type="http://schemas.openxmlformats.org/officeDocument/2006/relationships/hyperlink" Target="file:///G:\My%20Drive\Conferences\M%20Ali%20Nasir\JEMA_China%20climate%20change_Kienpin_Rizwan_Marwa\10.1016\j.enpol.2019.06.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file:///G:\My%20Drive\Conferences\M%20Ali%20Nasir\JEMA_China%20climate%20change_Kienpin_Rizwan_Marwa\10.1016\j.apenergy.2022.120056" TargetMode="External"/><Relationship Id="rId32" Type="http://schemas.openxmlformats.org/officeDocument/2006/relationships/hyperlink" Target="file:///G:\My%20Drive\Conferences\M%20Ali%20Nasir\JEMA_China%20climate%20change_Kienpin_Rizwan_Marwa\10.1016\j.apr.2019.01.021" TargetMode="External"/><Relationship Id="rId37" Type="http://schemas.openxmlformats.org/officeDocument/2006/relationships/hyperlink" Target="https://www.reuters.com/article/us-china-energy-coal-idUSKCN0VV0U5" TargetMode="External"/><Relationship Id="rId40" Type="http://schemas.openxmlformats.org/officeDocument/2006/relationships/hyperlink" Target="https://ourworldindata.org/data-review-air-pollution-deaths" TargetMode="External"/><Relationship Id="rId45" Type="http://schemas.openxmlformats.org/officeDocument/2006/relationships/hyperlink" Target="file:///G:\My%20Drive\Conferences\M%20Ali%20Nasir\JEMA_China%20climate%20change_Kienpin_Rizwan_Marwa\10.1080\10807039.2014.932204" TargetMode="External"/><Relationship Id="rId5" Type="http://schemas.openxmlformats.org/officeDocument/2006/relationships/footnotes" Target="footnotes.xml"/><Relationship Id="rId15" Type="http://schemas.openxmlformats.org/officeDocument/2006/relationships/hyperlink" Target="file:///G:\My%20Drive\Conferences\M%20Ali%20Nasir\JEMA_China%20climate%20change_Kienpin_Rizwan_Marwa\10.1016\j.jenvman.2022.116458" TargetMode="External"/><Relationship Id="rId23" Type="http://schemas.openxmlformats.org/officeDocument/2006/relationships/hyperlink" Target="file:///G:\My%20Drive\Conferences\M%20Ali%20Nasir\JEMA_China%20climate%20change_Kienpin_Rizwan_Marwa\10.2307\1912791" TargetMode="External"/><Relationship Id="rId28" Type="http://schemas.openxmlformats.org/officeDocument/2006/relationships/hyperlink" Target="file:///G:\My%20Drive\Conferences\M%20Ali%20Nasir\JEMA_China%20climate%20change_Kienpin_Rizwan_Marwa\10.1016\j.jenvman.2021.113419" TargetMode="External"/><Relationship Id="rId36" Type="http://schemas.openxmlformats.org/officeDocument/2006/relationships/hyperlink" Target="https://www.ren21.net/reports/global-status-report/" TargetMode="External"/><Relationship Id="rId49" Type="http://schemas.openxmlformats.org/officeDocument/2006/relationships/hyperlink" Target="file:///G:\My%20Drive\Conferences\M%20Ali%20Nasir\JEMA_China%20climate%20change_Kienpin_Rizwan_Marwa\10.1016\j.jclepro.2019.119515" TargetMode="External"/><Relationship Id="rId10" Type="http://schemas.openxmlformats.org/officeDocument/2006/relationships/hyperlink" Target="mailto:r.ahmed@kent.ac.uk" TargetMode="External"/><Relationship Id="rId19" Type="http://schemas.openxmlformats.org/officeDocument/2006/relationships/hyperlink" Target="file:///G:\My%20Drive\Conferences\M%20Ali%20Nasir\JEMA_China%20climate%20change_Kienpin_Rizwan_Marwa\10.1038\s41560-020-00698-1" TargetMode="External"/><Relationship Id="rId31" Type="http://schemas.openxmlformats.org/officeDocument/2006/relationships/hyperlink" Target="file:///G:\My%20Drive\Conferences\M%20Ali%20Nasir\JEMA_China%20climate%20change_Kienpin_Rizwan_Marwa\10.1016\j.eng.2020.03.014" TargetMode="External"/><Relationship Id="rId44" Type="http://schemas.openxmlformats.org/officeDocument/2006/relationships/hyperlink" Target="file:///G:\My%20Drive\Conferences\M%20Ali%20Nasir\JEMA_China%20climate%20change_Kienpin_Rizwan_Marwa\10.1016\j.jenvman.2021.1131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wa.elnahas@newcastle.ac.uk" TargetMode="External"/><Relationship Id="rId14" Type="http://schemas.openxmlformats.org/officeDocument/2006/relationships/hyperlink" Target="file:///G:\My%20Drive\Conferences\M%20Ali%20Nasir\JEMA_China%20climate%20change_Kienpin_Rizwan_Marwa\10.2139\ssrn.4142023" TargetMode="External"/><Relationship Id="rId22" Type="http://schemas.openxmlformats.org/officeDocument/2006/relationships/hyperlink" Target="file:///G:\My%20Drive\Conferences\M%20Ali%20Nasir\JEMA_China%20climate%20change_Kienpin_Rizwan_Marwa\10.1016\j.erss.2019.101281" TargetMode="External"/><Relationship Id="rId27" Type="http://schemas.openxmlformats.org/officeDocument/2006/relationships/hyperlink" Target="file:///G:\My%20Drive\Conferences\M%20Ali%20Nasir\JEMA_China%20climate%20change_Kienpin_Rizwan_Marwa\10.1016\j.ijhydene.2021.05.024" TargetMode="External"/><Relationship Id="rId30" Type="http://schemas.openxmlformats.org/officeDocument/2006/relationships/hyperlink" Target="file:///G:\My%20Drive\Conferences\M%20Ali%20Nasir\JEMA_China%20climate%20change_Kienpin_Rizwan_Marwa\10.1016\j.scitotenv.2018.12.449" TargetMode="External"/><Relationship Id="rId35" Type="http://schemas.openxmlformats.org/officeDocument/2006/relationships/hyperlink" Target="file:///G:\My%20Drive\Conferences\M%20Ali%20Nasir\JEMA_China%20climate%20change_Kienpin_Rizwan_Marwa\10.32479\ijeep.8489" TargetMode="External"/><Relationship Id="rId43" Type="http://schemas.openxmlformats.org/officeDocument/2006/relationships/hyperlink" Target="file:///G:\My%20Drive\Conferences\M%20Ali%20Nasir\JEMA_China%20climate%20change_Kienpin_Rizwan_Marwa\10.1007\s10552-018-1036-x" TargetMode="External"/><Relationship Id="rId48" Type="http://schemas.openxmlformats.org/officeDocument/2006/relationships/hyperlink" Target="file:///G:\My%20Drive\Conferences\M%20Ali%20Nasir\JEMA_China%20climate%20change_Kienpin_Rizwan_Marwa\10.1016\j.apenergy.2019.01.154" TargetMode="External"/><Relationship Id="rId8" Type="http://schemas.openxmlformats.org/officeDocument/2006/relationships/hyperlink" Target="mailto:kenny.tee@jcu.edu.au"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c950382\Documents\My%20Document\Xihui\China%20Climate\China%20Macro%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c950382\Documents\My%20Document\Xihui\China%20Climate\China%20Macro%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c950382\Documents\My%20Document\Xihui\China%20Climate\China%20Macro%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1965837093159"/>
          <c:y val="1.8446749571920638E-2"/>
          <c:w val="0.84326621928009782"/>
          <c:h val="0.66625623938065681"/>
        </c:manualLayout>
      </c:layout>
      <c:areaChart>
        <c:grouping val="stacked"/>
        <c:varyColors val="0"/>
        <c:ser>
          <c:idx val="0"/>
          <c:order val="0"/>
          <c:tx>
            <c:strRef>
              <c:f>data2!$AD$1</c:f>
              <c:strCache>
                <c:ptCount val="1"/>
                <c:pt idx="0">
                  <c:v>Electricity coal</c:v>
                </c:pt>
              </c:strCache>
            </c:strRef>
          </c:tx>
          <c:spPr>
            <a:solidFill>
              <a:schemeClr val="accent1"/>
            </a:solidFill>
            <a:ln>
              <a:noFill/>
            </a:ln>
            <a:effectLst/>
          </c:spPr>
          <c:cat>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data2!$AD$2:$AD$33</c:f>
              <c:numCache>
                <c:formatCode>General</c:formatCode>
                <c:ptCount val="32"/>
                <c:pt idx="0">
                  <c:v>71.039068485742106</c:v>
                </c:pt>
                <c:pt idx="1">
                  <c:v>73.507913669064706</c:v>
                </c:pt>
                <c:pt idx="2">
                  <c:v>75.031794088355099</c:v>
                </c:pt>
                <c:pt idx="3">
                  <c:v>73.5037851905835</c:v>
                </c:pt>
                <c:pt idx="4">
                  <c:v>74.789629892970098</c:v>
                </c:pt>
                <c:pt idx="5">
                  <c:v>73.748950803342396</c:v>
                </c:pt>
                <c:pt idx="6">
                  <c:v>76.1976042360957</c:v>
                </c:pt>
                <c:pt idx="7">
                  <c:v>76.359288943980403</c:v>
                </c:pt>
                <c:pt idx="8">
                  <c:v>75.636145610278405</c:v>
                </c:pt>
                <c:pt idx="9">
                  <c:v>77.671185481080698</c:v>
                </c:pt>
                <c:pt idx="10">
                  <c:v>78.213637148180595</c:v>
                </c:pt>
                <c:pt idx="11">
                  <c:v>76.252457039371393</c:v>
                </c:pt>
                <c:pt idx="12">
                  <c:v>77.543580926679596</c:v>
                </c:pt>
                <c:pt idx="13">
                  <c:v>79.555568348637095</c:v>
                </c:pt>
                <c:pt idx="14">
                  <c:v>78.173698049740807</c:v>
                </c:pt>
                <c:pt idx="15">
                  <c:v>79.196117843633999</c:v>
                </c:pt>
                <c:pt idx="16">
                  <c:v>80.339496028198596</c:v>
                </c:pt>
                <c:pt idx="17">
                  <c:v>80.954235341079098</c:v>
                </c:pt>
                <c:pt idx="18">
                  <c:v>78.750513745300594</c:v>
                </c:pt>
                <c:pt idx="19">
                  <c:v>78.382669894249403</c:v>
                </c:pt>
                <c:pt idx="20">
                  <c:v>77.187194141623806</c:v>
                </c:pt>
                <c:pt idx="21">
                  <c:v>78.877123043592604</c:v>
                </c:pt>
                <c:pt idx="22">
                  <c:v>75.658912053847601</c:v>
                </c:pt>
                <c:pt idx="23">
                  <c:v>75.279068573973206</c:v>
                </c:pt>
                <c:pt idx="24">
                  <c:v>72.633907809123102</c:v>
                </c:pt>
                <c:pt idx="25">
                  <c:v>70.3094269525225</c:v>
                </c:pt>
                <c:pt idx="26">
                  <c:v>70.3094269525225</c:v>
                </c:pt>
                <c:pt idx="27">
                  <c:v>70.3094269525225</c:v>
                </c:pt>
                <c:pt idx="28">
                  <c:v>70.3094269525225</c:v>
                </c:pt>
                <c:pt idx="29">
                  <c:v>74.948095609466108</c:v>
                </c:pt>
                <c:pt idx="30">
                  <c:v>74.897000249640143</c:v>
                </c:pt>
                <c:pt idx="31">
                  <c:v>74.845904889814165</c:v>
                </c:pt>
              </c:numCache>
            </c:numRef>
          </c:val>
          <c:extLst>
            <c:ext xmlns:c16="http://schemas.microsoft.com/office/drawing/2014/chart" uri="{C3380CC4-5D6E-409C-BE32-E72D297353CC}">
              <c16:uniqueId val="{00000000-BEDD-417B-B445-8C34BEC4CDDC}"/>
            </c:ext>
          </c:extLst>
        </c:ser>
        <c:ser>
          <c:idx val="1"/>
          <c:order val="1"/>
          <c:tx>
            <c:strRef>
              <c:f>data2!$AE$1</c:f>
              <c:strCache>
                <c:ptCount val="1"/>
                <c:pt idx="0">
                  <c:v>Electricity hydroelectric</c:v>
                </c:pt>
              </c:strCache>
            </c:strRef>
          </c:tx>
          <c:spPr>
            <a:solidFill>
              <a:schemeClr val="accent2"/>
            </a:solidFill>
            <a:ln>
              <a:noFill/>
            </a:ln>
            <a:effectLst/>
          </c:spPr>
          <c:cat>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data2!$AE$2:$AE$33</c:f>
              <c:numCache>
                <c:formatCode>General</c:formatCode>
                <c:ptCount val="32"/>
                <c:pt idx="0">
                  <c:v>20.396994533760001</c:v>
                </c:pt>
                <c:pt idx="1">
                  <c:v>18.4600627190555</c:v>
                </c:pt>
                <c:pt idx="2">
                  <c:v>17.567311300925201</c:v>
                </c:pt>
                <c:pt idx="3">
                  <c:v>18.108203850433998</c:v>
                </c:pt>
                <c:pt idx="4">
                  <c:v>18.034031963544098</c:v>
                </c:pt>
                <c:pt idx="5">
                  <c:v>18.908061600493699</c:v>
                </c:pt>
                <c:pt idx="6">
                  <c:v>17.400392505369201</c:v>
                </c:pt>
                <c:pt idx="7">
                  <c:v>17.253725719437099</c:v>
                </c:pt>
                <c:pt idx="8">
                  <c:v>17.815845824411099</c:v>
                </c:pt>
                <c:pt idx="9">
                  <c:v>16.4370160501384</c:v>
                </c:pt>
                <c:pt idx="10">
                  <c:v>16.40538216086</c:v>
                </c:pt>
                <c:pt idx="11">
                  <c:v>18.733393249868801</c:v>
                </c:pt>
                <c:pt idx="12">
                  <c:v>17.4090356216191</c:v>
                </c:pt>
                <c:pt idx="13">
                  <c:v>14.846539718592901</c:v>
                </c:pt>
                <c:pt idx="14">
                  <c:v>16.044641665857299</c:v>
                </c:pt>
                <c:pt idx="15">
                  <c:v>15.8777203929188</c:v>
                </c:pt>
                <c:pt idx="16">
                  <c:v>15.205617396510901</c:v>
                </c:pt>
                <c:pt idx="17">
                  <c:v>14.786564649170099</c:v>
                </c:pt>
                <c:pt idx="18">
                  <c:v>16.877870664530398</c:v>
                </c:pt>
                <c:pt idx="19">
                  <c:v>16.571464102473701</c:v>
                </c:pt>
                <c:pt idx="20">
                  <c:v>16.948973650077502</c:v>
                </c:pt>
                <c:pt idx="21">
                  <c:v>14.624130234665801</c:v>
                </c:pt>
                <c:pt idx="22">
                  <c:v>17.308733949989701</c:v>
                </c:pt>
                <c:pt idx="23">
                  <c:v>16.731349029635801</c:v>
                </c:pt>
                <c:pt idx="24">
                  <c:v>18.552493979167799</c:v>
                </c:pt>
                <c:pt idx="25">
                  <c:v>19.069812965357901</c:v>
                </c:pt>
                <c:pt idx="26">
                  <c:v>19.691692979947</c:v>
                </c:pt>
                <c:pt idx="27">
                  <c:v>20.402131179510601</c:v>
                </c:pt>
                <c:pt idx="28">
                  <c:v>21.112569379074301</c:v>
                </c:pt>
                <c:pt idx="29">
                  <c:v>17.650113563362392</c:v>
                </c:pt>
                <c:pt idx="30">
                  <c:v>17.659933173247708</c:v>
                </c:pt>
                <c:pt idx="31">
                  <c:v>17.669752783133024</c:v>
                </c:pt>
              </c:numCache>
            </c:numRef>
          </c:val>
          <c:extLst>
            <c:ext xmlns:c16="http://schemas.microsoft.com/office/drawing/2014/chart" uri="{C3380CC4-5D6E-409C-BE32-E72D297353CC}">
              <c16:uniqueId val="{00000001-BEDD-417B-B445-8C34BEC4CDDC}"/>
            </c:ext>
          </c:extLst>
        </c:ser>
        <c:ser>
          <c:idx val="2"/>
          <c:order val="2"/>
          <c:tx>
            <c:strRef>
              <c:f>data2!$AF$1</c:f>
              <c:strCache>
                <c:ptCount val="1"/>
                <c:pt idx="0">
                  <c:v>Electricity natural gas</c:v>
                </c:pt>
              </c:strCache>
            </c:strRef>
          </c:tx>
          <c:spPr>
            <a:solidFill>
              <a:schemeClr val="accent3"/>
            </a:solidFill>
            <a:ln>
              <a:noFill/>
            </a:ln>
            <a:effectLst/>
          </c:spPr>
          <c:cat>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data2!$AF$2:$AF$33</c:f>
              <c:numCache>
                <c:formatCode>General</c:formatCode>
                <c:ptCount val="32"/>
                <c:pt idx="0">
                  <c:v>0.44602329429489401</c:v>
                </c:pt>
                <c:pt idx="1">
                  <c:v>0.35845784910533102</c:v>
                </c:pt>
                <c:pt idx="2">
                  <c:v>0.32715752230227702</c:v>
                </c:pt>
                <c:pt idx="3">
                  <c:v>0.37261494825256197</c:v>
                </c:pt>
                <c:pt idx="4">
                  <c:v>0.339780984546106</c:v>
                </c:pt>
                <c:pt idx="5">
                  <c:v>0.29754522707294501</c:v>
                </c:pt>
                <c:pt idx="6">
                  <c:v>0.26179367547952298</c:v>
                </c:pt>
                <c:pt idx="7">
                  <c:v>0.71107362697730803</c:v>
                </c:pt>
                <c:pt idx="8">
                  <c:v>0.52179871520342602</c:v>
                </c:pt>
                <c:pt idx="9">
                  <c:v>0.38816801311690102</c:v>
                </c:pt>
                <c:pt idx="10">
                  <c:v>0.42581973803197998</c:v>
                </c:pt>
                <c:pt idx="11">
                  <c:v>0.33316474773945598</c:v>
                </c:pt>
                <c:pt idx="12">
                  <c:v>0.25354197044549398</c:v>
                </c:pt>
                <c:pt idx="13">
                  <c:v>0.26978864375600198</c:v>
                </c:pt>
                <c:pt idx="14">
                  <c:v>0.33855199586839502</c:v>
                </c:pt>
                <c:pt idx="15">
                  <c:v>0.48558948611978697</c:v>
                </c:pt>
                <c:pt idx="16">
                  <c:v>0.831101964651212</c:v>
                </c:pt>
                <c:pt idx="17">
                  <c:v>1.03318615755426</c:v>
                </c:pt>
                <c:pt idx="18">
                  <c:v>0.99694709108397705</c:v>
                </c:pt>
                <c:pt idx="19">
                  <c:v>1.53935561219587</c:v>
                </c:pt>
                <c:pt idx="20">
                  <c:v>1.85988100649861</c:v>
                </c:pt>
                <c:pt idx="21">
                  <c:v>2.0390613027675002</c:v>
                </c:pt>
                <c:pt idx="22">
                  <c:v>1.9815709249765101</c:v>
                </c:pt>
                <c:pt idx="23">
                  <c:v>1.96121927679729</c:v>
                </c:pt>
                <c:pt idx="24">
                  <c:v>2.0210051811368102</c:v>
                </c:pt>
                <c:pt idx="25">
                  <c:v>2.02736605046384</c:v>
                </c:pt>
                <c:pt idx="26">
                  <c:v>2.04708317854399</c:v>
                </c:pt>
                <c:pt idx="27">
                  <c:v>2.06680030662414</c:v>
                </c:pt>
                <c:pt idx="28">
                  <c:v>2.0865174347042901</c:v>
                </c:pt>
                <c:pt idx="29">
                  <c:v>2.1573789206232332</c:v>
                </c:pt>
                <c:pt idx="30">
                  <c:v>2.2354065591790104</c:v>
                </c:pt>
                <c:pt idx="31">
                  <c:v>2.3134341977347876</c:v>
                </c:pt>
              </c:numCache>
            </c:numRef>
          </c:val>
          <c:extLst>
            <c:ext xmlns:c16="http://schemas.microsoft.com/office/drawing/2014/chart" uri="{C3380CC4-5D6E-409C-BE32-E72D297353CC}">
              <c16:uniqueId val="{00000002-BEDD-417B-B445-8C34BEC4CDDC}"/>
            </c:ext>
          </c:extLst>
        </c:ser>
        <c:ser>
          <c:idx val="3"/>
          <c:order val="3"/>
          <c:tx>
            <c:strRef>
              <c:f>data2!$AG$1</c:f>
              <c:strCache>
                <c:ptCount val="1"/>
                <c:pt idx="0">
                  <c:v>Electricity nuclear</c:v>
                </c:pt>
              </c:strCache>
            </c:strRef>
          </c:tx>
          <c:spPr>
            <a:solidFill>
              <a:schemeClr val="accent4"/>
            </a:solidFill>
            <a:ln>
              <a:noFill/>
            </a:ln>
            <a:effectLst/>
          </c:spPr>
          <c:cat>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data2!$AG$2:$AG$33</c:f>
              <c:numCache>
                <c:formatCode>General</c:formatCode>
                <c:ptCount val="32"/>
                <c:pt idx="0">
                  <c:v>0</c:v>
                </c:pt>
                <c:pt idx="1">
                  <c:v>0</c:v>
                </c:pt>
                <c:pt idx="2">
                  <c:v>0</c:v>
                </c:pt>
                <c:pt idx="3">
                  <c:v>0.19131702208614301</c:v>
                </c:pt>
                <c:pt idx="4">
                  <c:v>1.58966652123093</c:v>
                </c:pt>
                <c:pt idx="5">
                  <c:v>1.27322370757823</c:v>
                </c:pt>
                <c:pt idx="6">
                  <c:v>1.32729763756202</c:v>
                </c:pt>
                <c:pt idx="7">
                  <c:v>1.26931528460552</c:v>
                </c:pt>
                <c:pt idx="8">
                  <c:v>1.2077087794432499</c:v>
                </c:pt>
                <c:pt idx="9">
                  <c:v>1.2056354930572499</c:v>
                </c:pt>
                <c:pt idx="10">
                  <c:v>1.2345305656402601</c:v>
                </c:pt>
                <c:pt idx="11">
                  <c:v>1.17978404387997</c:v>
                </c:pt>
                <c:pt idx="12">
                  <c:v>1.51901504324843</c:v>
                </c:pt>
                <c:pt idx="13">
                  <c:v>2.2683180208870302</c:v>
                </c:pt>
                <c:pt idx="14">
                  <c:v>2.29039955489035</c:v>
                </c:pt>
                <c:pt idx="15">
                  <c:v>2.1231242496398699</c:v>
                </c:pt>
                <c:pt idx="16">
                  <c:v>1.9136036377415699</c:v>
                </c:pt>
                <c:pt idx="17">
                  <c:v>1.8931741519109999</c:v>
                </c:pt>
                <c:pt idx="18">
                  <c:v>1.9726089031880301</c:v>
                </c:pt>
                <c:pt idx="19">
                  <c:v>1.88782902891769</c:v>
                </c:pt>
                <c:pt idx="20">
                  <c:v>1.7602194222630101</c:v>
                </c:pt>
                <c:pt idx="21">
                  <c:v>1.8353358367016599</c:v>
                </c:pt>
                <c:pt idx="22">
                  <c:v>1.95384626495467</c:v>
                </c:pt>
                <c:pt idx="23">
                  <c:v>2.0530051409280898</c:v>
                </c:pt>
                <c:pt idx="24">
                  <c:v>2.33928636039921</c:v>
                </c:pt>
                <c:pt idx="25">
                  <c:v>2.6255675798703302</c:v>
                </c:pt>
                <c:pt idx="26">
                  <c:v>2.9118487993414499</c:v>
                </c:pt>
                <c:pt idx="27">
                  <c:v>3.1981300188125701</c:v>
                </c:pt>
                <c:pt idx="28">
                  <c:v>3.4844112382836898</c:v>
                </c:pt>
                <c:pt idx="29">
                  <c:v>3.0620635188061973</c:v>
                </c:pt>
                <c:pt idx="30">
                  <c:v>3.154687977974743</c:v>
                </c:pt>
                <c:pt idx="31">
                  <c:v>3.2473124371432891</c:v>
                </c:pt>
              </c:numCache>
            </c:numRef>
          </c:val>
          <c:extLst>
            <c:ext xmlns:c16="http://schemas.microsoft.com/office/drawing/2014/chart" uri="{C3380CC4-5D6E-409C-BE32-E72D297353CC}">
              <c16:uniqueId val="{00000003-BEDD-417B-B445-8C34BEC4CDDC}"/>
            </c:ext>
          </c:extLst>
        </c:ser>
        <c:ser>
          <c:idx val="4"/>
          <c:order val="4"/>
          <c:tx>
            <c:strRef>
              <c:f>data2!$AI$1</c:f>
              <c:strCache>
                <c:ptCount val="1"/>
                <c:pt idx="0">
                  <c:v>Electricity renewable excluding hydroelectric</c:v>
                </c:pt>
              </c:strCache>
            </c:strRef>
          </c:tx>
          <c:spPr>
            <a:solidFill>
              <a:schemeClr val="accent5"/>
            </a:solidFill>
            <a:ln>
              <a:noFill/>
            </a:ln>
            <a:effectLst/>
          </c:spPr>
          <c:cat>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cat>
          <c:val>
            <c:numRef>
              <c:f>data2!$AI$2:$AI$33</c:f>
              <c:numCache>
                <c:formatCode>General</c:formatCode>
                <c:ptCount val="32"/>
                <c:pt idx="0">
                  <c:v>1.09453569152121E-2</c:v>
                </c:pt>
                <c:pt idx="1">
                  <c:v>1.1068068622025499E-2</c:v>
                </c:pt>
                <c:pt idx="2">
                  <c:v>1.73723694453175E-2</c:v>
                </c:pt>
                <c:pt idx="3">
                  <c:v>1.7056318053814499E-2</c:v>
                </c:pt>
                <c:pt idx="4">
                  <c:v>5.4403740391814698E-2</c:v>
                </c:pt>
                <c:pt idx="5">
                  <c:v>0.30607770107370302</c:v>
                </c:pt>
                <c:pt idx="6">
                  <c:v>0.151818114493076</c:v>
                </c:pt>
                <c:pt idx="7">
                  <c:v>0.25874029833927298</c:v>
                </c:pt>
                <c:pt idx="8">
                  <c:v>0.245310492505353</c:v>
                </c:pt>
                <c:pt idx="9">
                  <c:v>0.244449874871666</c:v>
                </c:pt>
                <c:pt idx="10">
                  <c:v>0.234116031268578</c:v>
                </c:pt>
                <c:pt idx="11">
                  <c:v>0.22512591588231601</c:v>
                </c:pt>
                <c:pt idx="12">
                  <c:v>0.20959227742835701</c:v>
                </c:pt>
                <c:pt idx="13">
                  <c:v>0.190500613631784</c:v>
                </c:pt>
                <c:pt idx="14">
                  <c:v>0.17862475277989301</c:v>
                </c:pt>
                <c:pt idx="15">
                  <c:v>0.29730458242583602</c:v>
                </c:pt>
                <c:pt idx="16">
                  <c:v>0.38716601871488499</c:v>
                </c:pt>
                <c:pt idx="17">
                  <c:v>0.47678248760584901</c:v>
                </c:pt>
                <c:pt idx="18">
                  <c:v>0.85957340032331697</c:v>
                </c:pt>
                <c:pt idx="19">
                  <c:v>1.2923340962638299</c:v>
                </c:pt>
                <c:pt idx="20">
                  <c:v>1.6738524026947501</c:v>
                </c:pt>
                <c:pt idx="21">
                  <c:v>2.1376401980844899</c:v>
                </c:pt>
                <c:pt idx="22">
                  <c:v>2.65751498776664</c:v>
                </c:pt>
                <c:pt idx="23">
                  <c:v>3.5648783506209001</c:v>
                </c:pt>
                <c:pt idx="24">
                  <c:v>4.0566598037857302</c:v>
                </c:pt>
                <c:pt idx="25">
                  <c:v>4.8570042083051099</c:v>
                </c:pt>
                <c:pt idx="26">
                  <c:v>5.5061013606506801</c:v>
                </c:pt>
                <c:pt idx="27">
                  <c:v>6.18988864429671</c:v>
                </c:pt>
                <c:pt idx="28">
                  <c:v>6.87367592794274</c:v>
                </c:pt>
                <c:pt idx="29">
                  <c:v>4.5599913791972773</c:v>
                </c:pt>
                <c:pt idx="30">
                  <c:v>4.7647136127640293</c:v>
                </c:pt>
                <c:pt idx="31">
                  <c:v>4.9694358463307822</c:v>
                </c:pt>
              </c:numCache>
            </c:numRef>
          </c:val>
          <c:extLst>
            <c:ext xmlns:c16="http://schemas.microsoft.com/office/drawing/2014/chart" uri="{C3380CC4-5D6E-409C-BE32-E72D297353CC}">
              <c16:uniqueId val="{00000004-BEDD-417B-B445-8C34BEC4CDDC}"/>
            </c:ext>
          </c:extLst>
        </c:ser>
        <c:dLbls>
          <c:showLegendKey val="0"/>
          <c:showVal val="0"/>
          <c:showCatName val="0"/>
          <c:showSerName val="0"/>
          <c:showPercent val="0"/>
          <c:showBubbleSize val="0"/>
        </c:dLbls>
        <c:axId val="1760709039"/>
        <c:axId val="1760711119"/>
      </c:areaChart>
      <c:catAx>
        <c:axId val="17607090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711119"/>
        <c:crosses val="autoZero"/>
        <c:auto val="1"/>
        <c:lblAlgn val="ctr"/>
        <c:lblOffset val="100"/>
        <c:noMultiLvlLbl val="0"/>
      </c:catAx>
      <c:valAx>
        <c:axId val="1760711119"/>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total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70903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data2!$C$1</c:f>
              <c:strCache>
                <c:ptCount val="1"/>
                <c:pt idx="0">
                  <c:v>CO2 emissions (kt)</c:v>
                </c:pt>
              </c:strCache>
            </c:strRef>
          </c:tx>
          <c:spPr>
            <a:ln w="19050" cap="rnd">
              <a:noFill/>
              <a:round/>
            </a:ln>
            <a:effectLst/>
          </c:spPr>
          <c:marker>
            <c:symbol val="circle"/>
            <c:size val="5"/>
            <c:spPr>
              <a:solidFill>
                <a:schemeClr val="accent1"/>
              </a:solidFill>
              <a:ln w="9525">
                <a:solidFill>
                  <a:schemeClr val="accent1"/>
                </a:solidFill>
              </a:ln>
              <a:effectLst/>
            </c:spPr>
          </c:marker>
          <c:xVal>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xVal>
          <c:yVal>
            <c:numRef>
              <c:f>data2!$C$2:$C$33</c:f>
              <c:numCache>
                <c:formatCode>General</c:formatCode>
                <c:ptCount val="32"/>
                <c:pt idx="0">
                  <c:v>2173360</c:v>
                </c:pt>
                <c:pt idx="1">
                  <c:v>2302190</c:v>
                </c:pt>
                <c:pt idx="2">
                  <c:v>2418180</c:v>
                </c:pt>
                <c:pt idx="3">
                  <c:v>2643530</c:v>
                </c:pt>
                <c:pt idx="4">
                  <c:v>2763900</c:v>
                </c:pt>
                <c:pt idx="5">
                  <c:v>3084870</c:v>
                </c:pt>
                <c:pt idx="6">
                  <c:v>3064880</c:v>
                </c:pt>
                <c:pt idx="7">
                  <c:v>3128650</c:v>
                </c:pt>
                <c:pt idx="8">
                  <c:v>3232120</c:v>
                </c:pt>
                <c:pt idx="9">
                  <c:v>3149200</c:v>
                </c:pt>
                <c:pt idx="10">
                  <c:v>3344090</c:v>
                </c:pt>
                <c:pt idx="11">
                  <c:v>3526750</c:v>
                </c:pt>
                <c:pt idx="12">
                  <c:v>3808330</c:v>
                </c:pt>
                <c:pt idx="13">
                  <c:v>4413300</c:v>
                </c:pt>
                <c:pt idx="14">
                  <c:v>5121830</c:v>
                </c:pt>
                <c:pt idx="15">
                  <c:v>5819120</c:v>
                </c:pt>
                <c:pt idx="16">
                  <c:v>6431910</c:v>
                </c:pt>
                <c:pt idx="17">
                  <c:v>6988210</c:v>
                </c:pt>
                <c:pt idx="18">
                  <c:v>7195010</c:v>
                </c:pt>
                <c:pt idx="19">
                  <c:v>7715110</c:v>
                </c:pt>
                <c:pt idx="20">
                  <c:v>8470570</c:v>
                </c:pt>
                <c:pt idx="21">
                  <c:v>9278250</c:v>
                </c:pt>
                <c:pt idx="22">
                  <c:v>9533210</c:v>
                </c:pt>
                <c:pt idx="23">
                  <c:v>9936680</c:v>
                </c:pt>
                <c:pt idx="24">
                  <c:v>9894940</c:v>
                </c:pt>
                <c:pt idx="25">
                  <c:v>9830430</c:v>
                </c:pt>
                <c:pt idx="26">
                  <c:v>9814310</c:v>
                </c:pt>
                <c:pt idx="27">
                  <c:v>10017770</c:v>
                </c:pt>
                <c:pt idx="28">
                  <c:v>10313460</c:v>
                </c:pt>
                <c:pt idx="29">
                  <c:v>10988753.448275864</c:v>
                </c:pt>
                <c:pt idx="30">
                  <c:v>11331879.172413792</c:v>
                </c:pt>
                <c:pt idx="31">
                  <c:v>11675004.896551725</c:v>
                </c:pt>
              </c:numCache>
            </c:numRef>
          </c:yVal>
          <c:smooth val="0"/>
          <c:extLst>
            <c:ext xmlns:c16="http://schemas.microsoft.com/office/drawing/2014/chart" uri="{C3380CC4-5D6E-409C-BE32-E72D297353CC}">
              <c16:uniqueId val="{00000000-BBC0-4CFF-8EC7-090D78B0BE73}"/>
            </c:ext>
          </c:extLst>
        </c:ser>
        <c:ser>
          <c:idx val="1"/>
          <c:order val="1"/>
          <c:tx>
            <c:strRef>
              <c:f>data2!$E$1</c:f>
              <c:strCache>
                <c:ptCount val="1"/>
                <c:pt idx="0">
                  <c:v>Greenhouse gas emissions (kt)</c:v>
                </c:pt>
              </c:strCache>
            </c:strRef>
          </c:tx>
          <c:spPr>
            <a:ln w="19050" cap="rnd">
              <a:noFill/>
              <a:round/>
            </a:ln>
            <a:effectLst/>
          </c:spPr>
          <c:marker>
            <c:symbol val="circle"/>
            <c:size val="5"/>
            <c:spPr>
              <a:solidFill>
                <a:schemeClr val="accent2"/>
              </a:solidFill>
              <a:ln w="9525">
                <a:solidFill>
                  <a:schemeClr val="accent2"/>
                </a:solidFill>
              </a:ln>
              <a:effectLst/>
            </c:spPr>
          </c:marker>
          <c:xVal>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xVal>
          <c:yVal>
            <c:numRef>
              <c:f>data2!$E$2:$E$33</c:f>
              <c:numCache>
                <c:formatCode>General</c:formatCode>
                <c:ptCount val="32"/>
                <c:pt idx="0">
                  <c:v>3222270</c:v>
                </c:pt>
                <c:pt idx="1">
                  <c:v>3371940</c:v>
                </c:pt>
                <c:pt idx="2">
                  <c:v>3503100</c:v>
                </c:pt>
                <c:pt idx="3">
                  <c:v>3726350</c:v>
                </c:pt>
                <c:pt idx="4">
                  <c:v>3877370</c:v>
                </c:pt>
                <c:pt idx="5">
                  <c:v>4266840</c:v>
                </c:pt>
                <c:pt idx="6">
                  <c:v>4302870</c:v>
                </c:pt>
                <c:pt idx="7">
                  <c:v>4311650</c:v>
                </c:pt>
                <c:pt idx="8">
                  <c:v>4451040</c:v>
                </c:pt>
                <c:pt idx="9">
                  <c:v>4401290</c:v>
                </c:pt>
                <c:pt idx="10">
                  <c:v>4597430</c:v>
                </c:pt>
                <c:pt idx="11">
                  <c:v>4791440</c:v>
                </c:pt>
                <c:pt idx="12">
                  <c:v>5100860</c:v>
                </c:pt>
                <c:pt idx="13">
                  <c:v>5717660</c:v>
                </c:pt>
                <c:pt idx="14">
                  <c:v>6467060</c:v>
                </c:pt>
                <c:pt idx="15">
                  <c:v>7194480</c:v>
                </c:pt>
                <c:pt idx="16">
                  <c:v>7879330</c:v>
                </c:pt>
                <c:pt idx="17">
                  <c:v>8497040</c:v>
                </c:pt>
                <c:pt idx="18">
                  <c:v>8786120</c:v>
                </c:pt>
                <c:pt idx="19">
                  <c:v>9377660</c:v>
                </c:pt>
                <c:pt idx="20">
                  <c:v>10203820</c:v>
                </c:pt>
                <c:pt idx="21">
                  <c:v>11074550</c:v>
                </c:pt>
                <c:pt idx="22">
                  <c:v>11399830</c:v>
                </c:pt>
                <c:pt idx="23">
                  <c:v>11854530</c:v>
                </c:pt>
                <c:pt idx="24">
                  <c:v>11865310</c:v>
                </c:pt>
                <c:pt idx="25">
                  <c:v>11859290</c:v>
                </c:pt>
                <c:pt idx="26">
                  <c:v>11857180</c:v>
                </c:pt>
                <c:pt idx="27">
                  <c:v>12058050</c:v>
                </c:pt>
                <c:pt idx="28">
                  <c:v>12355240</c:v>
                </c:pt>
                <c:pt idx="29">
                  <c:v>13065134.605911329</c:v>
                </c:pt>
                <c:pt idx="30">
                  <c:v>13447933.004926108</c:v>
                </c:pt>
                <c:pt idx="31">
                  <c:v>13830731.403940886</c:v>
                </c:pt>
              </c:numCache>
            </c:numRef>
          </c:yVal>
          <c:smooth val="0"/>
          <c:extLst>
            <c:ext xmlns:c16="http://schemas.microsoft.com/office/drawing/2014/chart" uri="{C3380CC4-5D6E-409C-BE32-E72D297353CC}">
              <c16:uniqueId val="{00000001-BBC0-4CFF-8EC7-090D78B0BE73}"/>
            </c:ext>
          </c:extLst>
        </c:ser>
        <c:dLbls>
          <c:showLegendKey val="0"/>
          <c:showVal val="0"/>
          <c:showCatName val="0"/>
          <c:showSerName val="0"/>
          <c:showPercent val="0"/>
          <c:showBubbleSize val="0"/>
        </c:dLbls>
        <c:axId val="596410800"/>
        <c:axId val="596418016"/>
      </c:scatterChart>
      <c:valAx>
        <c:axId val="596410800"/>
        <c:scaling>
          <c:orientation val="minMax"/>
          <c:max val="2021"/>
          <c:min val="199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18016"/>
        <c:crosses val="autoZero"/>
        <c:crossBetween val="midCat"/>
        <c:majorUnit val="1"/>
      </c:valAx>
      <c:valAx>
        <c:axId val="596418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kt of CO</a:t>
                </a:r>
                <a:r>
                  <a:rPr lang="en-US" sz="900"/>
                  <a:t>2</a:t>
                </a:r>
                <a:r>
                  <a:rPr lang="en-US"/>
                  <a:t> equivalent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108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data2!$G$1</c:f>
              <c:strCache>
                <c:ptCount val="1"/>
                <c:pt idx="0">
                  <c:v>Renewable energy</c:v>
                </c:pt>
              </c:strCache>
            </c:strRef>
          </c:tx>
          <c:spPr>
            <a:ln w="19050" cap="rnd">
              <a:solidFill>
                <a:schemeClr val="accent1"/>
              </a:solidFill>
              <a:round/>
            </a:ln>
            <a:effectLst/>
          </c:spPr>
          <c:marker>
            <c:symbol val="none"/>
          </c:marker>
          <c:xVal>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xVal>
          <c:yVal>
            <c:numRef>
              <c:f>data2!$G$2:$G$33</c:f>
              <c:numCache>
                <c:formatCode>General</c:formatCode>
                <c:ptCount val="32"/>
                <c:pt idx="0">
                  <c:v>20.407939890675198</c:v>
                </c:pt>
                <c:pt idx="1">
                  <c:v>18.471130787677598</c:v>
                </c:pt>
                <c:pt idx="2">
                  <c:v>17.584683670370602</c:v>
                </c:pt>
                <c:pt idx="3">
                  <c:v>18.125260168487799</c:v>
                </c:pt>
                <c:pt idx="4">
                  <c:v>18.0884357039359</c:v>
                </c:pt>
                <c:pt idx="5">
                  <c:v>19.2141393015674</c:v>
                </c:pt>
                <c:pt idx="6">
                  <c:v>17.552210619862301</c:v>
                </c:pt>
                <c:pt idx="7">
                  <c:v>17.512466017776401</c:v>
                </c:pt>
                <c:pt idx="8">
                  <c:v>18.061156316916499</c:v>
                </c:pt>
                <c:pt idx="9">
                  <c:v>16.681465925010102</c:v>
                </c:pt>
                <c:pt idx="10">
                  <c:v>16.639498192128599</c:v>
                </c:pt>
                <c:pt idx="11">
                  <c:v>18.958519165751099</c:v>
                </c:pt>
                <c:pt idx="12">
                  <c:v>17.6186278990475</c:v>
                </c:pt>
                <c:pt idx="13">
                  <c:v>15.0370403322247</c:v>
                </c:pt>
                <c:pt idx="14">
                  <c:v>16.223266418637198</c:v>
                </c:pt>
                <c:pt idx="15">
                  <c:v>16.175024975344598</c:v>
                </c:pt>
                <c:pt idx="16">
                  <c:v>15.592783415225799</c:v>
                </c:pt>
                <c:pt idx="17">
                  <c:v>15.263347136776</c:v>
                </c:pt>
                <c:pt idx="18">
                  <c:v>17.737444064853801</c:v>
                </c:pt>
                <c:pt idx="19">
                  <c:v>17.863798198737499</c:v>
                </c:pt>
                <c:pt idx="20">
                  <c:v>18.6228260527723</c:v>
                </c:pt>
                <c:pt idx="21">
                  <c:v>16.7617704327503</c:v>
                </c:pt>
                <c:pt idx="22">
                  <c:v>19.966248937756301</c:v>
                </c:pt>
                <c:pt idx="23">
                  <c:v>20.296227380256699</c:v>
                </c:pt>
                <c:pt idx="24">
                  <c:v>22.609153782953499</c:v>
                </c:pt>
                <c:pt idx="25">
                  <c:v>23.926817173663</c:v>
                </c:pt>
                <c:pt idx="26">
                  <c:v>23.755736047800301</c:v>
                </c:pt>
                <c:pt idx="27">
                  <c:v>24.6518916688741</c:v>
                </c:pt>
                <c:pt idx="28">
                  <c:v>25.548047289947998</c:v>
                </c:pt>
                <c:pt idx="29">
                  <c:v>21.442940420867064</c:v>
                </c:pt>
                <c:pt idx="30">
                  <c:v>21.619718157044911</c:v>
                </c:pt>
                <c:pt idx="31">
                  <c:v>21.796495893222758</c:v>
                </c:pt>
              </c:numCache>
            </c:numRef>
          </c:yVal>
          <c:smooth val="0"/>
          <c:extLst>
            <c:ext xmlns:c16="http://schemas.microsoft.com/office/drawing/2014/chart" uri="{C3380CC4-5D6E-409C-BE32-E72D297353CC}">
              <c16:uniqueId val="{00000000-1E8F-4BED-8510-15DA1A6ADBCC}"/>
            </c:ext>
          </c:extLst>
        </c:ser>
        <c:ser>
          <c:idx val="1"/>
          <c:order val="1"/>
          <c:tx>
            <c:strRef>
              <c:f>data2!$AH$1</c:f>
              <c:strCache>
                <c:ptCount val="1"/>
                <c:pt idx="0">
                  <c:v>Electricity oil, gas and coal</c:v>
                </c:pt>
              </c:strCache>
            </c:strRef>
          </c:tx>
          <c:spPr>
            <a:ln w="19050" cap="rnd">
              <a:solidFill>
                <a:schemeClr val="accent2"/>
              </a:solidFill>
              <a:round/>
            </a:ln>
            <a:effectLst/>
          </c:spPr>
          <c:marker>
            <c:symbol val="none"/>
          </c:marker>
          <c:xVal>
            <c:numRef>
              <c:f>data2!$A$2:$A$33</c:f>
              <c:numCache>
                <c:formatCode>General</c:formatCode>
                <c:ptCount val="32"/>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numCache>
            </c:numRef>
          </c:xVal>
          <c:yVal>
            <c:numRef>
              <c:f>data2!$AH$2:$AH$33</c:f>
              <c:numCache>
                <c:formatCode>General</c:formatCode>
                <c:ptCount val="32"/>
                <c:pt idx="0">
                  <c:v>79.592060109324805</c:v>
                </c:pt>
                <c:pt idx="1">
                  <c:v>81.528869212322405</c:v>
                </c:pt>
                <c:pt idx="2">
                  <c:v>82.415316329629405</c:v>
                </c:pt>
                <c:pt idx="3">
                  <c:v>81.683422809426105</c:v>
                </c:pt>
                <c:pt idx="4">
                  <c:v>80.321897774833104</c:v>
                </c:pt>
                <c:pt idx="5">
                  <c:v>79.512636990854404</c:v>
                </c:pt>
                <c:pt idx="6">
                  <c:v>81.120491742575695</c:v>
                </c:pt>
                <c:pt idx="7">
                  <c:v>81.218218697618099</c:v>
                </c:pt>
                <c:pt idx="8">
                  <c:v>80.731134903640296</c:v>
                </c:pt>
                <c:pt idx="9">
                  <c:v>82.112898581932697</c:v>
                </c:pt>
                <c:pt idx="10">
                  <c:v>82.125971242231202</c:v>
                </c:pt>
                <c:pt idx="11">
                  <c:v>79.861696790368896</c:v>
                </c:pt>
                <c:pt idx="12">
                  <c:v>80.862357057704102</c:v>
                </c:pt>
                <c:pt idx="13">
                  <c:v>82.6946416468883</c:v>
                </c:pt>
                <c:pt idx="14">
                  <c:v>81.486334026472406</c:v>
                </c:pt>
                <c:pt idx="15">
                  <c:v>81.701850775015501</c:v>
                </c:pt>
                <c:pt idx="16">
                  <c:v>82.493612947032602</c:v>
                </c:pt>
                <c:pt idx="17">
                  <c:v>82.843478711312997</c:v>
                </c:pt>
                <c:pt idx="18">
                  <c:v>80.289947031958206</c:v>
                </c:pt>
                <c:pt idx="19">
                  <c:v>80.248372772344794</c:v>
                </c:pt>
                <c:pt idx="20">
                  <c:v>79.401025063351696</c:v>
                </c:pt>
                <c:pt idx="21">
                  <c:v>81.174002802633296</c:v>
                </c:pt>
                <c:pt idx="22">
                  <c:v>77.859892969170701</c:v>
                </c:pt>
                <c:pt idx="23">
                  <c:v>77.424466579736801</c:v>
                </c:pt>
                <c:pt idx="24">
                  <c:v>74.822887369622194</c:v>
                </c:pt>
                <c:pt idx="25">
                  <c:v>72.962075973989798</c:v>
                </c:pt>
                <c:pt idx="26">
                  <c:v>71.443573174215501</c:v>
                </c:pt>
                <c:pt idx="27">
                  <c:v>69.714070154649804</c:v>
                </c:pt>
                <c:pt idx="28">
                  <c:v>67.984567135084106</c:v>
                </c:pt>
                <c:pt idx="29">
                  <c:v>74.371760984076801</c:v>
                </c:pt>
                <c:pt idx="30">
                  <c:v>74.047966264909647</c:v>
                </c:pt>
                <c:pt idx="31">
                  <c:v>73.724171545742479</c:v>
                </c:pt>
              </c:numCache>
            </c:numRef>
          </c:yVal>
          <c:smooth val="0"/>
          <c:extLst>
            <c:ext xmlns:c16="http://schemas.microsoft.com/office/drawing/2014/chart" uri="{C3380CC4-5D6E-409C-BE32-E72D297353CC}">
              <c16:uniqueId val="{00000001-1E8F-4BED-8510-15DA1A6ADBCC}"/>
            </c:ext>
          </c:extLst>
        </c:ser>
        <c:dLbls>
          <c:showLegendKey val="0"/>
          <c:showVal val="0"/>
          <c:showCatName val="0"/>
          <c:showSerName val="0"/>
          <c:showPercent val="0"/>
          <c:showBubbleSize val="0"/>
        </c:dLbls>
        <c:axId val="596429168"/>
        <c:axId val="596423264"/>
      </c:scatterChart>
      <c:valAx>
        <c:axId val="596429168"/>
        <c:scaling>
          <c:orientation val="minMax"/>
          <c:max val="2021"/>
          <c:min val="199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23264"/>
        <c:crosses val="autoZero"/>
        <c:crossBetween val="midCat"/>
        <c:majorUnit val="1"/>
        <c:minorUnit val="1"/>
      </c:valAx>
      <c:valAx>
        <c:axId val="59642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total electricity output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29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46</Pages>
  <Words>13592</Words>
  <Characters>77475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Xihui</dc:creator>
  <cp:keywords/>
  <dc:description/>
  <cp:lastModifiedBy>Chen, Xihui</cp:lastModifiedBy>
  <cp:revision>6</cp:revision>
  <dcterms:created xsi:type="dcterms:W3CDTF">2023-06-23T13:32:00Z</dcterms:created>
  <dcterms:modified xsi:type="dcterms:W3CDTF">2023-06-23T15:23:00Z</dcterms:modified>
</cp:coreProperties>
</file>