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BCC5" w14:textId="1C1C31D2" w:rsidR="007243D1" w:rsidRPr="00A13931" w:rsidRDefault="002A71CB" w:rsidP="003C4A8E">
      <w:pPr>
        <w:ind w:firstLine="720"/>
        <w:jc w:val="center"/>
        <w:rPr>
          <w:b/>
          <w:bCs/>
        </w:rPr>
      </w:pPr>
      <w:r w:rsidRPr="00A13931">
        <w:rPr>
          <w:b/>
          <w:bCs/>
        </w:rPr>
        <w:t>Asymmetric E</w:t>
      </w:r>
      <w:r w:rsidR="00012547">
        <w:rPr>
          <w:b/>
          <w:bCs/>
        </w:rPr>
        <w:t xml:space="preserve">ffects of US </w:t>
      </w:r>
      <w:r w:rsidR="0021252B">
        <w:rPr>
          <w:b/>
          <w:bCs/>
        </w:rPr>
        <w:t xml:space="preserve">Geopolitical Risk </w:t>
      </w:r>
      <w:r w:rsidR="00FB3CF9">
        <w:rPr>
          <w:b/>
          <w:bCs/>
        </w:rPr>
        <w:t xml:space="preserve">and uncertainties </w:t>
      </w:r>
      <w:r w:rsidR="0021252B">
        <w:rPr>
          <w:b/>
          <w:bCs/>
        </w:rPr>
        <w:t>on</w:t>
      </w:r>
      <w:r w:rsidR="00242F1B">
        <w:rPr>
          <w:b/>
          <w:bCs/>
        </w:rPr>
        <w:t xml:space="preserve"> Green Bond </w:t>
      </w:r>
      <w:r w:rsidR="00012547">
        <w:rPr>
          <w:b/>
          <w:bCs/>
        </w:rPr>
        <w:t>Returns</w:t>
      </w:r>
    </w:p>
    <w:p w14:paraId="2DD1D4DA" w14:textId="5E9FC47A" w:rsidR="00D213EC" w:rsidRDefault="00D213EC" w:rsidP="00D11D0C">
      <w:pPr>
        <w:jc w:val="center"/>
      </w:pPr>
    </w:p>
    <w:p w14:paraId="22F7077F" w14:textId="79E74FFA" w:rsidR="006F5452" w:rsidRDefault="006F5452" w:rsidP="00616648"/>
    <w:p w14:paraId="39F4168B" w14:textId="77777777" w:rsidR="006F5452" w:rsidRDefault="006F5452" w:rsidP="00616648"/>
    <w:p w14:paraId="709FD988" w14:textId="77777777" w:rsidR="002E0FA6" w:rsidRPr="00012547" w:rsidRDefault="002E0FA6" w:rsidP="002A4B33">
      <w:pPr>
        <w:pStyle w:val="Heading1"/>
        <w:rPr>
          <w:b w:val="0"/>
        </w:rPr>
      </w:pPr>
      <w:r w:rsidRPr="00012547">
        <w:t>Abstract</w:t>
      </w:r>
    </w:p>
    <w:p w14:paraId="095CEB3D" w14:textId="6E87FBB3" w:rsidR="002E0FA6" w:rsidRPr="006F5452" w:rsidRDefault="002A6482" w:rsidP="000B5833">
      <w:pPr>
        <w:jc w:val="both"/>
      </w:pPr>
      <w:r w:rsidRPr="006F5452">
        <w:t xml:space="preserve">In our study, we discuss the specific role that green bond returns play </w:t>
      </w:r>
      <w:proofErr w:type="gramStart"/>
      <w:r w:rsidRPr="006F5452">
        <w:t>as a result of</w:t>
      </w:r>
      <w:proofErr w:type="gramEnd"/>
      <w:r w:rsidRPr="006F5452">
        <w:t xml:space="preserve"> multiple uncertainties and risks. </w:t>
      </w:r>
      <w:r w:rsidR="00012547" w:rsidRPr="006F5452">
        <w:t xml:space="preserve">We examine the asymmetric effects </w:t>
      </w:r>
      <w:r w:rsidR="007541E3" w:rsidRPr="006F5452">
        <w:t xml:space="preserve">of </w:t>
      </w:r>
      <w:r w:rsidR="007541E3">
        <w:t>US</w:t>
      </w:r>
      <w:r w:rsidR="00012547" w:rsidRPr="006F5452">
        <w:t xml:space="preserve"> economic policy uncertainty (</w:t>
      </w:r>
      <w:r w:rsidR="00C51908" w:rsidRPr="006F5452">
        <w:t>US</w:t>
      </w:r>
      <w:r w:rsidR="00012547" w:rsidRPr="006F5452">
        <w:t>EPU)</w:t>
      </w:r>
      <w:r w:rsidR="00930615" w:rsidRPr="006F5452">
        <w:t>, geopolitical threats (GPRT), geopolitical acts (GPRA)</w:t>
      </w:r>
      <w:r w:rsidR="00C51908" w:rsidRPr="006F5452">
        <w:t xml:space="preserve">, and </w:t>
      </w:r>
      <w:r w:rsidR="00012547" w:rsidRPr="006F5452">
        <w:t xml:space="preserve">WTI oil </w:t>
      </w:r>
      <w:r w:rsidR="00C51908" w:rsidRPr="006F5452">
        <w:t>on</w:t>
      </w:r>
      <w:r w:rsidR="00550215" w:rsidRPr="006F5452">
        <w:t xml:space="preserve"> green bond return</w:t>
      </w:r>
      <w:r w:rsidR="00012547" w:rsidRPr="006F5452">
        <w:t xml:space="preserve">s. </w:t>
      </w:r>
      <w:bookmarkStart w:id="0" w:name="_Hlk114471307"/>
      <w:r w:rsidR="00166B70" w:rsidRPr="006F5452">
        <w:t xml:space="preserve">Our study </w:t>
      </w:r>
      <w:r w:rsidR="00B326EE" w:rsidRPr="006F5452">
        <w:t>analyze</w:t>
      </w:r>
      <w:r w:rsidR="00166B70" w:rsidRPr="006F5452">
        <w:t>s</w:t>
      </w:r>
      <w:r w:rsidR="00B326EE" w:rsidRPr="006F5452">
        <w:t xml:space="preserve"> the</w:t>
      </w:r>
      <w:r w:rsidR="00012547" w:rsidRPr="006F5452">
        <w:t xml:space="preserve"> monthly </w:t>
      </w:r>
      <w:r w:rsidR="00691E70" w:rsidRPr="006F5452">
        <w:t xml:space="preserve">data of </w:t>
      </w:r>
      <w:r w:rsidR="00C51908" w:rsidRPr="006F5452">
        <w:t>US</w:t>
      </w:r>
      <w:r w:rsidR="00012547" w:rsidRPr="006F5452">
        <w:t>EPU, GPR</w:t>
      </w:r>
      <w:r w:rsidR="00C51908" w:rsidRPr="006F5452">
        <w:t>T</w:t>
      </w:r>
      <w:r w:rsidR="00012547" w:rsidRPr="006F5452">
        <w:t xml:space="preserve">, </w:t>
      </w:r>
      <w:r w:rsidR="00C51908" w:rsidRPr="006F5452">
        <w:t xml:space="preserve">GPRA, </w:t>
      </w:r>
      <w:r w:rsidR="00012547" w:rsidRPr="006F5452">
        <w:t xml:space="preserve">WTI, and </w:t>
      </w:r>
      <w:r w:rsidR="00BA5CF1" w:rsidRPr="006F5452">
        <w:t>g</w:t>
      </w:r>
      <w:r w:rsidR="00012547" w:rsidRPr="006F5452">
        <w:t xml:space="preserve">reen bond from </w:t>
      </w:r>
      <w:r w:rsidR="00012210" w:rsidRPr="006F5452">
        <w:t>September 2012</w:t>
      </w:r>
      <w:r w:rsidR="00012547" w:rsidRPr="006F5452">
        <w:t xml:space="preserve"> to August 2022</w:t>
      </w:r>
      <w:r w:rsidR="00BA5CF1" w:rsidRPr="006F5452">
        <w:t>.</w:t>
      </w:r>
      <w:r w:rsidR="00012547" w:rsidRPr="006F5452">
        <w:t xml:space="preserve"> </w:t>
      </w:r>
      <w:r w:rsidRPr="006F5452">
        <w:t>By a</w:t>
      </w:r>
      <w:r w:rsidR="00012547" w:rsidRPr="006F5452">
        <w:t>pply</w:t>
      </w:r>
      <w:r w:rsidRPr="006F5452">
        <w:t>ing</w:t>
      </w:r>
      <w:r w:rsidR="00012547" w:rsidRPr="006F5452">
        <w:t xml:space="preserve"> the</w:t>
      </w:r>
      <w:r w:rsidR="00C51908" w:rsidRPr="006F5452">
        <w:t xml:space="preserve"> N</w:t>
      </w:r>
      <w:r w:rsidR="00012547" w:rsidRPr="006F5452">
        <w:t>onlinear Autoregressive Distributed Lags (NARDL)</w:t>
      </w:r>
      <w:r w:rsidR="00B326EE" w:rsidRPr="006F5452">
        <w:t xml:space="preserve"> model</w:t>
      </w:r>
      <w:bookmarkEnd w:id="0"/>
      <w:r w:rsidRPr="006F5452">
        <w:t>, o</w:t>
      </w:r>
      <w:r w:rsidR="007702DA" w:rsidRPr="006F5452">
        <w:t>ur empirical evidence shows</w:t>
      </w:r>
      <w:r w:rsidR="00166B70" w:rsidRPr="006F5452">
        <w:t xml:space="preserve"> that in</w:t>
      </w:r>
      <w:r w:rsidR="001234F1" w:rsidRPr="006F5452">
        <w:t xml:space="preserve"> the</w:t>
      </w:r>
      <w:r w:rsidR="00166B70" w:rsidRPr="006F5452">
        <w:t xml:space="preserve"> short run, the return on green bonds is negatively affected by </w:t>
      </w:r>
      <w:r w:rsidR="00BA5948" w:rsidRPr="006F5452">
        <w:t xml:space="preserve">an increase in </w:t>
      </w:r>
      <w:r w:rsidR="00166B70" w:rsidRPr="006F5452">
        <w:t>USEPU, GPRA</w:t>
      </w:r>
      <w:r w:rsidR="00BA5948" w:rsidRPr="006F5452">
        <w:t xml:space="preserve"> but positively affected by an increase in GPRT and</w:t>
      </w:r>
      <w:r w:rsidR="00166B70" w:rsidRPr="006F5452">
        <w:t xml:space="preserve"> WTI. In </w:t>
      </w:r>
      <w:r w:rsidR="001234F1" w:rsidRPr="006F5452">
        <w:t xml:space="preserve">the </w:t>
      </w:r>
      <w:r w:rsidR="00166B70" w:rsidRPr="006F5452">
        <w:t xml:space="preserve">long run, the return on green bonds is negatively affected by </w:t>
      </w:r>
      <w:r w:rsidR="00691E70" w:rsidRPr="006F5452">
        <w:t xml:space="preserve">an increase in </w:t>
      </w:r>
      <w:r w:rsidR="00166B70" w:rsidRPr="006F5452">
        <w:t>USEPU, GPRA,</w:t>
      </w:r>
      <w:r w:rsidR="00BA5948" w:rsidRPr="006F5452">
        <w:t xml:space="preserve"> and GPRT</w:t>
      </w:r>
      <w:r w:rsidR="00166B70" w:rsidRPr="006F5452">
        <w:t xml:space="preserve"> but positively affected</w:t>
      </w:r>
      <w:r w:rsidR="00BA5948" w:rsidRPr="006F5452">
        <w:t xml:space="preserve"> WTI</w:t>
      </w:r>
      <w:r w:rsidR="00166B70" w:rsidRPr="006F5452">
        <w:t xml:space="preserve">. </w:t>
      </w:r>
      <w:r w:rsidR="00954AF8" w:rsidRPr="006F5452">
        <w:t>Our results can be used by policymakers for a policy design that will mitigate green bond market volatility caused by external uncertainties and risks.</w:t>
      </w:r>
      <w:r w:rsidR="00CC5A40" w:rsidRPr="006F5452">
        <w:t xml:space="preserve"> </w:t>
      </w:r>
      <w:r w:rsidR="00616648" w:rsidRPr="006F5452">
        <w:t xml:space="preserve">Furthermore, </w:t>
      </w:r>
      <w:r w:rsidR="001D65D7">
        <w:t>w</w:t>
      </w:r>
      <w:r w:rsidR="001D65D7" w:rsidRPr="001D65D7">
        <w:t xml:space="preserve">e conclude that </w:t>
      </w:r>
      <w:r w:rsidR="001D65D7">
        <w:t>there are</w:t>
      </w:r>
      <w:r w:rsidR="001D65D7" w:rsidRPr="001D65D7">
        <w:t xml:space="preserve"> uncertainties should be considered when investing in green bonds and managing investment portfolios.</w:t>
      </w:r>
      <w:r w:rsidR="001D65D7">
        <w:t xml:space="preserve"> </w:t>
      </w:r>
      <w:proofErr w:type="gramStart"/>
      <w:r w:rsidR="0054694B" w:rsidRPr="006F5452">
        <w:t>In light of</w:t>
      </w:r>
      <w:proofErr w:type="gramEnd"/>
      <w:r w:rsidR="0054694B" w:rsidRPr="006F5452">
        <w:t xml:space="preserve"> the climate crisis, </w:t>
      </w:r>
      <w:r w:rsidR="00E01593" w:rsidRPr="006F5452">
        <w:t>i</w:t>
      </w:r>
      <w:r w:rsidR="000B5833" w:rsidRPr="006F5452">
        <w:t>t is important to look at these findings in the context of green bonds as a way to entice green investments.</w:t>
      </w:r>
    </w:p>
    <w:p w14:paraId="74F595D7" w14:textId="77777777" w:rsidR="000B5833" w:rsidRPr="006F5452" w:rsidRDefault="000B5833" w:rsidP="000B5833">
      <w:pPr>
        <w:jc w:val="both"/>
      </w:pPr>
    </w:p>
    <w:p w14:paraId="4CB9391C" w14:textId="770B38E9" w:rsidR="002E0FA6" w:rsidRPr="006F5452" w:rsidRDefault="002E0FA6" w:rsidP="00D11D0C">
      <w:pPr>
        <w:jc w:val="both"/>
      </w:pPr>
      <w:r w:rsidRPr="006F5452">
        <w:rPr>
          <w:b/>
          <w:bCs/>
        </w:rPr>
        <w:t>Keywords</w:t>
      </w:r>
      <w:r w:rsidRPr="006F5452">
        <w:t xml:space="preserve">: </w:t>
      </w:r>
      <w:r w:rsidR="002A71CB" w:rsidRPr="006F5452">
        <w:t xml:space="preserve">Economic policy uncertainty; </w:t>
      </w:r>
      <w:r w:rsidR="00562C88" w:rsidRPr="006F5452">
        <w:t>Geopolitical threats; Geopolitical acts;</w:t>
      </w:r>
      <w:r w:rsidR="002A71CB" w:rsidRPr="006F5452">
        <w:t xml:space="preserve"> </w:t>
      </w:r>
      <w:r w:rsidR="00242F1B" w:rsidRPr="006F5452">
        <w:t>WTI</w:t>
      </w:r>
      <w:r w:rsidR="002A71CB" w:rsidRPr="006F5452">
        <w:t>;</w:t>
      </w:r>
      <w:r w:rsidR="00562C88" w:rsidRPr="006F5452">
        <w:t xml:space="preserve"> Green Bond; NARDL</w:t>
      </w:r>
    </w:p>
    <w:p w14:paraId="78D0B89E" w14:textId="77777777" w:rsidR="002E0FA6" w:rsidRPr="006F5452" w:rsidRDefault="002E0FA6" w:rsidP="00D11D0C"/>
    <w:p w14:paraId="7A47703E" w14:textId="4B3BFF1A" w:rsidR="002E0FA6" w:rsidRPr="006F5452" w:rsidRDefault="002E0FA6" w:rsidP="00D11D0C">
      <w:r w:rsidRPr="006F5452">
        <w:rPr>
          <w:b/>
          <w:bCs/>
        </w:rPr>
        <w:t>JEL Codes</w:t>
      </w:r>
      <w:r w:rsidRPr="006F5452">
        <w:t>:</w:t>
      </w:r>
      <w:r w:rsidR="00012547" w:rsidRPr="006F5452">
        <w:t xml:space="preserve"> </w:t>
      </w:r>
      <w:r w:rsidR="00D666A3" w:rsidRPr="006F5452">
        <w:t>Q41, Q58, G12</w:t>
      </w:r>
      <w:r w:rsidR="00562C88" w:rsidRPr="006F5452">
        <w:t xml:space="preserve">                                  </w:t>
      </w:r>
    </w:p>
    <w:p w14:paraId="21A9FBA1" w14:textId="77777777" w:rsidR="002E0FA6" w:rsidRPr="006F5452" w:rsidRDefault="002E0FA6" w:rsidP="00D11D0C"/>
    <w:p w14:paraId="6FC19A26" w14:textId="77777777" w:rsidR="00616648" w:rsidRPr="006F5452" w:rsidRDefault="00616648">
      <w:pPr>
        <w:rPr>
          <w:b/>
          <w:bCs/>
        </w:rPr>
      </w:pPr>
      <w:r w:rsidRPr="006F5452">
        <w:rPr>
          <w:b/>
          <w:bCs/>
        </w:rPr>
        <w:br w:type="page"/>
      </w:r>
    </w:p>
    <w:p w14:paraId="112701C5" w14:textId="1B5A3C22" w:rsidR="002E0FA6" w:rsidRPr="006F5452" w:rsidRDefault="00677414" w:rsidP="00616648">
      <w:pPr>
        <w:pStyle w:val="Heading1"/>
      </w:pPr>
      <w:r w:rsidRPr="006F5452">
        <w:lastRenderedPageBreak/>
        <w:t>Highlights</w:t>
      </w:r>
    </w:p>
    <w:p w14:paraId="6E9CE049" w14:textId="60EDA7A6" w:rsidR="0017253E" w:rsidRPr="00400ACB" w:rsidRDefault="00A874FC" w:rsidP="00F21915">
      <w:pPr>
        <w:pStyle w:val="ListParagraph"/>
        <w:numPr>
          <w:ilvl w:val="0"/>
          <w:numId w:val="3"/>
        </w:numPr>
        <w:rPr>
          <w:color w:val="0000CC"/>
        </w:rPr>
      </w:pPr>
      <w:r>
        <w:rPr>
          <w:color w:val="0000CC"/>
        </w:rPr>
        <w:t>We are the f</w:t>
      </w:r>
      <w:r w:rsidR="00400ACB">
        <w:rPr>
          <w:color w:val="0000CC"/>
        </w:rPr>
        <w:t>irst</w:t>
      </w:r>
      <w:r w:rsidR="00D92319" w:rsidRPr="00400ACB">
        <w:rPr>
          <w:color w:val="0000CC"/>
        </w:rPr>
        <w:t xml:space="preserve"> to i</w:t>
      </w:r>
      <w:r w:rsidR="00F21915" w:rsidRPr="00400ACB">
        <w:rPr>
          <w:color w:val="0000CC"/>
        </w:rPr>
        <w:t>nvestigat</w:t>
      </w:r>
      <w:r w:rsidR="00D92319" w:rsidRPr="00400ACB">
        <w:rPr>
          <w:color w:val="0000CC"/>
        </w:rPr>
        <w:t>e</w:t>
      </w:r>
      <w:r w:rsidR="00F21915" w:rsidRPr="00400ACB">
        <w:rPr>
          <w:color w:val="0000CC"/>
        </w:rPr>
        <w:t xml:space="preserve"> the asymmetric effects of USEPU, GPRT, GPRA, and WTI oil on green bond returns.</w:t>
      </w:r>
    </w:p>
    <w:p w14:paraId="56936F35" w14:textId="77777777" w:rsidR="00F21915" w:rsidRPr="006F5452" w:rsidRDefault="00F21915" w:rsidP="00F21915"/>
    <w:p w14:paraId="4937CFDA" w14:textId="59DD79BC" w:rsidR="0017253E" w:rsidRPr="00400ACB" w:rsidRDefault="00400ACB" w:rsidP="0017253E">
      <w:pPr>
        <w:pStyle w:val="ListParagraph"/>
        <w:numPr>
          <w:ilvl w:val="0"/>
          <w:numId w:val="3"/>
        </w:numPr>
        <w:rPr>
          <w:color w:val="0000CC"/>
        </w:rPr>
      </w:pPr>
      <w:r>
        <w:rPr>
          <w:color w:val="0000CC"/>
        </w:rPr>
        <w:t>Employs the</w:t>
      </w:r>
      <w:r w:rsidRPr="00400ACB">
        <w:rPr>
          <w:color w:val="0000CC"/>
        </w:rPr>
        <w:t xml:space="preserve"> </w:t>
      </w:r>
      <w:r w:rsidR="0017253E" w:rsidRPr="00400ACB">
        <w:rPr>
          <w:color w:val="0000CC"/>
        </w:rPr>
        <w:t xml:space="preserve">NARDL </w:t>
      </w:r>
      <w:r w:rsidR="0026571E" w:rsidRPr="00400ACB">
        <w:rPr>
          <w:color w:val="0000CC"/>
        </w:rPr>
        <w:t>model</w:t>
      </w:r>
      <w:r>
        <w:rPr>
          <w:color w:val="0000CC"/>
        </w:rPr>
        <w:t xml:space="preserve"> and nonlinear Ganger causality</w:t>
      </w:r>
      <w:r w:rsidR="0017253E" w:rsidRPr="00400ACB">
        <w:rPr>
          <w:color w:val="0000CC"/>
        </w:rPr>
        <w:t>.</w:t>
      </w:r>
    </w:p>
    <w:p w14:paraId="7D2DAA78" w14:textId="77777777" w:rsidR="0017253E" w:rsidRPr="006F5452" w:rsidRDefault="0017253E" w:rsidP="0017253E"/>
    <w:p w14:paraId="3D0F022D" w14:textId="13A331BC" w:rsidR="00463BD1" w:rsidRPr="006F5452" w:rsidRDefault="00757D50" w:rsidP="00CE4A77">
      <w:pPr>
        <w:pStyle w:val="ListParagraph"/>
        <w:numPr>
          <w:ilvl w:val="0"/>
          <w:numId w:val="3"/>
        </w:numPr>
      </w:pPr>
      <w:r w:rsidRPr="006F5452">
        <w:t xml:space="preserve">In </w:t>
      </w:r>
      <w:r w:rsidR="00342444">
        <w:t xml:space="preserve">the </w:t>
      </w:r>
      <w:r w:rsidRPr="006F5452">
        <w:t>short run,</w:t>
      </w:r>
      <w:r w:rsidR="00A874FC">
        <w:t xml:space="preserve"> the return of green bonds is negatively affected by USEPU and GPRA but positively by </w:t>
      </w:r>
      <w:r w:rsidR="00691E70" w:rsidRPr="006F5452">
        <w:t xml:space="preserve">GPRT and </w:t>
      </w:r>
      <w:r w:rsidR="00463BD1" w:rsidRPr="006F5452">
        <w:t>WTI.</w:t>
      </w:r>
      <w:r w:rsidRPr="006F5452">
        <w:t xml:space="preserve"> </w:t>
      </w:r>
    </w:p>
    <w:p w14:paraId="03D341B5" w14:textId="77777777" w:rsidR="00463BD1" w:rsidRPr="006F5452" w:rsidRDefault="00463BD1" w:rsidP="00463BD1">
      <w:pPr>
        <w:pStyle w:val="ListParagraph"/>
      </w:pPr>
    </w:p>
    <w:p w14:paraId="340946C9" w14:textId="2EB77DA7" w:rsidR="00677414" w:rsidRPr="006F5452" w:rsidRDefault="00757D50" w:rsidP="0017253E">
      <w:pPr>
        <w:pStyle w:val="ListParagraph"/>
        <w:numPr>
          <w:ilvl w:val="0"/>
          <w:numId w:val="3"/>
        </w:numPr>
      </w:pPr>
      <w:r w:rsidRPr="006F5452">
        <w:t>In</w:t>
      </w:r>
      <w:r w:rsidR="00342444">
        <w:t xml:space="preserve"> the</w:t>
      </w:r>
      <w:r w:rsidRPr="006F5452">
        <w:t xml:space="preserve"> long run, the return on green bonds is negatively affected by USEPU, GPRT, </w:t>
      </w:r>
      <w:r w:rsidR="00342444">
        <w:t xml:space="preserve">and </w:t>
      </w:r>
      <w:r w:rsidRPr="006F5452">
        <w:t xml:space="preserve">GPRA but positively affected by WTI. </w:t>
      </w:r>
    </w:p>
    <w:p w14:paraId="207B9179" w14:textId="77777777" w:rsidR="002E0FA6" w:rsidRPr="006F5452" w:rsidRDefault="002E0FA6" w:rsidP="00D11D0C"/>
    <w:p w14:paraId="479F1903" w14:textId="77777777" w:rsidR="00616648" w:rsidRPr="006F5452" w:rsidRDefault="00616648">
      <w:pPr>
        <w:rPr>
          <w:rFonts w:eastAsiaTheme="majorEastAsia" w:cstheme="majorBidi"/>
          <w:b/>
          <w:szCs w:val="32"/>
        </w:rPr>
      </w:pPr>
      <w:r w:rsidRPr="006F5452">
        <w:br w:type="page"/>
      </w:r>
    </w:p>
    <w:p w14:paraId="3F889D8F" w14:textId="71438DAD" w:rsidR="002E0FA6" w:rsidRPr="006F5452" w:rsidRDefault="002E0FA6" w:rsidP="002A4B33">
      <w:pPr>
        <w:pStyle w:val="Heading1"/>
      </w:pPr>
      <w:r w:rsidRPr="006F5452">
        <w:lastRenderedPageBreak/>
        <w:t>1. Introduction</w:t>
      </w:r>
    </w:p>
    <w:p w14:paraId="77113F2D" w14:textId="2F70FA85" w:rsidR="002E0FA6" w:rsidRPr="006F5452" w:rsidRDefault="002E0FA6" w:rsidP="00D11D0C"/>
    <w:p w14:paraId="6B1FD01D" w14:textId="50B92F2E" w:rsidR="00E76944" w:rsidRPr="00E76944" w:rsidRDefault="00EC01AD" w:rsidP="00EC01AD">
      <w:pPr>
        <w:ind w:firstLine="720"/>
        <w:jc w:val="both"/>
        <w:rPr>
          <w:color w:val="0000CC"/>
        </w:rPr>
      </w:pPr>
      <w:r w:rsidRPr="006F5452">
        <w:t xml:space="preserve">Green economies have been widely proposed </w:t>
      </w:r>
      <w:proofErr w:type="gramStart"/>
      <w:r w:rsidRPr="006F5452">
        <w:t>as a way to</w:t>
      </w:r>
      <w:proofErr w:type="gramEnd"/>
      <w:r w:rsidRPr="006F5452">
        <w:t xml:space="preserve"> reduce global climate change and are attracting great attention. Green projects require appropriate financial instruments to be able to be financed in the transition to a green economy</w:t>
      </w:r>
      <w:r w:rsidR="007541E3">
        <w:t xml:space="preserve"> </w:t>
      </w:r>
      <w:r w:rsidR="007541E3" w:rsidRPr="007541E3">
        <w:rPr>
          <w:color w:val="0000CC"/>
        </w:rPr>
        <w:t>(Zhang et al., 2023)</w:t>
      </w:r>
      <w:r w:rsidRPr="007541E3">
        <w:rPr>
          <w:color w:val="0000CC"/>
        </w:rPr>
        <w:t>.</w:t>
      </w:r>
      <w:r w:rsidRPr="006F5452">
        <w:t xml:space="preserve"> As a result, green bonds </w:t>
      </w:r>
      <w:proofErr w:type="gramStart"/>
      <w:r w:rsidRPr="006F5452">
        <w:t>are considered to be</w:t>
      </w:r>
      <w:proofErr w:type="gramEnd"/>
      <w:r w:rsidRPr="006F5452">
        <w:t xml:space="preserve"> the most recognized source of funding for climate friendly projects (</w:t>
      </w:r>
      <w:proofErr w:type="spellStart"/>
      <w:r w:rsidRPr="006F5452">
        <w:t>Caramichael</w:t>
      </w:r>
      <w:proofErr w:type="spellEnd"/>
      <w:r w:rsidRPr="006F5452">
        <w:t xml:space="preserve"> and Rapp, 2022; </w:t>
      </w:r>
      <w:proofErr w:type="spellStart"/>
      <w:r w:rsidRPr="006F5452">
        <w:t>Monasterolo</w:t>
      </w:r>
      <w:proofErr w:type="spellEnd"/>
      <w:r w:rsidRPr="006F5452">
        <w:t xml:space="preserve"> and </w:t>
      </w:r>
      <w:proofErr w:type="spellStart"/>
      <w:r w:rsidRPr="006F5452">
        <w:t>Raberto</w:t>
      </w:r>
      <w:proofErr w:type="spellEnd"/>
      <w:r w:rsidRPr="006F5452">
        <w:t xml:space="preserve">, 2018). </w:t>
      </w:r>
      <w:r w:rsidR="00745C48" w:rsidRPr="00E76944">
        <w:rPr>
          <w:color w:val="0000CC"/>
        </w:rPr>
        <w:t>The global green bond market has been growing exponentially</w:t>
      </w:r>
      <w:r w:rsidR="00745C48">
        <w:rPr>
          <w:color w:val="0000CC"/>
        </w:rPr>
        <w:t xml:space="preserve"> (</w:t>
      </w:r>
      <w:proofErr w:type="spellStart"/>
      <w:r w:rsidR="00745C48" w:rsidRPr="00E76944">
        <w:rPr>
          <w:color w:val="0000CC"/>
        </w:rPr>
        <w:t>Kuchtyak</w:t>
      </w:r>
      <w:proofErr w:type="spellEnd"/>
      <w:r w:rsidR="00745C48" w:rsidRPr="00E76944">
        <w:rPr>
          <w:color w:val="0000CC"/>
        </w:rPr>
        <w:t xml:space="preserve"> and Bruce, 2022</w:t>
      </w:r>
      <w:r w:rsidR="00745C48">
        <w:rPr>
          <w:color w:val="0000CC"/>
        </w:rPr>
        <w:t>)</w:t>
      </w:r>
      <w:r w:rsidR="00745C48" w:rsidRPr="00E76944">
        <w:rPr>
          <w:color w:val="0000CC"/>
        </w:rPr>
        <w:t xml:space="preserve">. </w:t>
      </w:r>
      <w:r w:rsidR="00745C48">
        <w:rPr>
          <w:color w:val="0000CC"/>
        </w:rPr>
        <w:t>A</w:t>
      </w:r>
      <w:r w:rsidR="00745C48" w:rsidRPr="006F5452">
        <w:t xml:space="preserve"> </w:t>
      </w:r>
      <w:r w:rsidR="00745C48" w:rsidRPr="00745C48">
        <w:rPr>
          <w:color w:val="0000CC"/>
        </w:rPr>
        <w:t>rapidly growing market for green bonds has seen issuance hit $556 billion in 2021 and is expected to reach £1.35 trillion by 2022 (</w:t>
      </w:r>
      <w:proofErr w:type="spellStart"/>
      <w:r w:rsidR="00745C48" w:rsidRPr="00745C48">
        <w:rPr>
          <w:color w:val="0000CC"/>
        </w:rPr>
        <w:t>Kuchtyak</w:t>
      </w:r>
      <w:proofErr w:type="spellEnd"/>
      <w:r w:rsidR="00745C48" w:rsidRPr="00745C48">
        <w:rPr>
          <w:color w:val="0000CC"/>
        </w:rPr>
        <w:t xml:space="preserve"> and Bruce, 2022). A compound annual growth rate (CAGR) of approximately 50% can be seen for the overall market compared with only $31 billion in 2014. </w:t>
      </w:r>
      <w:bookmarkStart w:id="1" w:name="_Hlk120383934"/>
      <w:r w:rsidR="000916C5">
        <w:rPr>
          <w:color w:val="0000CC"/>
        </w:rPr>
        <w:t>There are several countries</w:t>
      </w:r>
      <w:r w:rsidR="00E76944" w:rsidRPr="00E76944">
        <w:rPr>
          <w:color w:val="0000CC"/>
        </w:rPr>
        <w:t xml:space="preserve"> fueling this growth</w:t>
      </w:r>
      <w:r w:rsidR="000916C5">
        <w:rPr>
          <w:color w:val="0000CC"/>
        </w:rPr>
        <w:t>, including</w:t>
      </w:r>
      <w:r w:rsidR="00E76944" w:rsidRPr="00E76944">
        <w:rPr>
          <w:color w:val="0000CC"/>
        </w:rPr>
        <w:t xml:space="preserve"> the </w:t>
      </w:r>
      <w:r w:rsidR="000916C5">
        <w:rPr>
          <w:color w:val="0000CC"/>
        </w:rPr>
        <w:t>United States (</w:t>
      </w:r>
      <w:r w:rsidR="00E76944" w:rsidRPr="00E76944">
        <w:rPr>
          <w:color w:val="0000CC"/>
        </w:rPr>
        <w:t>US</w:t>
      </w:r>
      <w:r w:rsidR="000916C5">
        <w:rPr>
          <w:color w:val="0000CC"/>
        </w:rPr>
        <w:t>)</w:t>
      </w:r>
      <w:r w:rsidR="00E76944" w:rsidRPr="00E76944">
        <w:rPr>
          <w:color w:val="0000CC"/>
        </w:rPr>
        <w:t>, Germany, France, China, and the Netherlands</w:t>
      </w:r>
      <w:r w:rsidR="000916C5">
        <w:rPr>
          <w:color w:val="0000CC"/>
        </w:rPr>
        <w:t>,</w:t>
      </w:r>
      <w:r w:rsidR="00E76944">
        <w:rPr>
          <w:color w:val="0000CC"/>
        </w:rPr>
        <w:t xml:space="preserve"> but the US is taking the lead among all</w:t>
      </w:r>
      <w:r w:rsidR="00745C48">
        <w:rPr>
          <w:color w:val="0000CC"/>
        </w:rPr>
        <w:t xml:space="preserve"> (</w:t>
      </w:r>
      <w:proofErr w:type="spellStart"/>
      <w:r w:rsidR="00745C48">
        <w:rPr>
          <w:color w:val="0000CC"/>
        </w:rPr>
        <w:t>GlobalData</w:t>
      </w:r>
      <w:proofErr w:type="spellEnd"/>
      <w:r w:rsidR="000916C5">
        <w:rPr>
          <w:color w:val="0000CC"/>
        </w:rPr>
        <w:t>, 2022</w:t>
      </w:r>
      <w:r w:rsidR="00745C48">
        <w:rPr>
          <w:color w:val="0000CC"/>
        </w:rPr>
        <w:t>)</w:t>
      </w:r>
      <w:r w:rsidR="00E76944" w:rsidRPr="00E76944">
        <w:rPr>
          <w:color w:val="0000CC"/>
        </w:rPr>
        <w:t xml:space="preserve">. </w:t>
      </w:r>
      <w:r w:rsidR="000916C5">
        <w:rPr>
          <w:color w:val="0000CC"/>
        </w:rPr>
        <w:t xml:space="preserve">Market value of </w:t>
      </w:r>
      <w:r w:rsidR="00E76944" w:rsidRPr="00E76944">
        <w:rPr>
          <w:color w:val="0000CC"/>
        </w:rPr>
        <w:t xml:space="preserve">green bond in the </w:t>
      </w:r>
      <w:r w:rsidR="00E76944">
        <w:rPr>
          <w:color w:val="0000CC"/>
        </w:rPr>
        <w:t xml:space="preserve">US </w:t>
      </w:r>
      <w:r w:rsidR="000916C5">
        <w:rPr>
          <w:color w:val="0000CC"/>
        </w:rPr>
        <w:t xml:space="preserve">hit </w:t>
      </w:r>
      <w:r w:rsidR="00E76944" w:rsidRPr="00E76944">
        <w:rPr>
          <w:color w:val="0000CC"/>
        </w:rPr>
        <w:t>$67</w:t>
      </w:r>
      <w:r w:rsidR="00745C48">
        <w:rPr>
          <w:color w:val="0000CC"/>
        </w:rPr>
        <w:t>.648 billion</w:t>
      </w:r>
      <w:r w:rsidR="00E76944" w:rsidRPr="00E76944">
        <w:rPr>
          <w:color w:val="0000CC"/>
        </w:rPr>
        <w:t xml:space="preserve"> in 2021, recording a CAGR of 98.3% during 2017–21</w:t>
      </w:r>
      <w:r w:rsidR="00745C48">
        <w:rPr>
          <w:color w:val="0000CC"/>
        </w:rPr>
        <w:t xml:space="preserve">, </w:t>
      </w:r>
      <w:r w:rsidR="00745C48" w:rsidRPr="00E76944">
        <w:rPr>
          <w:color w:val="0000CC"/>
        </w:rPr>
        <w:t xml:space="preserve">and a 29.9% increase </w:t>
      </w:r>
      <w:r w:rsidR="000916C5">
        <w:rPr>
          <w:color w:val="0000CC"/>
        </w:rPr>
        <w:t>over</w:t>
      </w:r>
      <w:r w:rsidR="00745C48" w:rsidRPr="00E76944">
        <w:rPr>
          <w:color w:val="0000CC"/>
        </w:rPr>
        <w:t xml:space="preserve"> 2020.</w:t>
      </w:r>
      <w:r w:rsidR="00745C48">
        <w:rPr>
          <w:color w:val="0000CC"/>
        </w:rPr>
        <w:t xml:space="preserve"> </w:t>
      </w:r>
      <w:r w:rsidR="000916C5" w:rsidRPr="000916C5">
        <w:rPr>
          <w:color w:val="0000CC"/>
        </w:rPr>
        <w:t xml:space="preserve">Furthermore, </w:t>
      </w:r>
      <w:r w:rsidR="009972C3">
        <w:rPr>
          <w:color w:val="0000CC"/>
        </w:rPr>
        <w:t>i</w:t>
      </w:r>
      <w:r w:rsidR="009972C3" w:rsidRPr="009972C3">
        <w:rPr>
          <w:color w:val="0000CC"/>
        </w:rPr>
        <w:t>t is estimated that approximately 12% of the global green bond market is accounted for by the US green bond market.</w:t>
      </w:r>
    </w:p>
    <w:bookmarkEnd w:id="1"/>
    <w:p w14:paraId="24849998" w14:textId="77777777" w:rsidR="00EC01AD" w:rsidRPr="006F5452" w:rsidRDefault="00EC01AD" w:rsidP="00EC01AD">
      <w:pPr>
        <w:ind w:firstLine="720"/>
        <w:jc w:val="both"/>
      </w:pPr>
    </w:p>
    <w:p w14:paraId="65D0B57B" w14:textId="1E3C0585" w:rsidR="00EC01AD" w:rsidRPr="006F5452" w:rsidRDefault="00EC01AD" w:rsidP="00EC01AD">
      <w:pPr>
        <w:ind w:firstLine="720"/>
        <w:jc w:val="both"/>
      </w:pPr>
      <w:r w:rsidRPr="006F5452">
        <w:t xml:space="preserve">We are the first to investigate the impacts of multiple uncertainties (i.e., US economic policy uncertainty, geopolitical threats, geopolitical acts, and WTI oil prices) on green bond returns in both short- and long-run scenarios in the US </w:t>
      </w:r>
      <w:r w:rsidR="00691E70" w:rsidRPr="006F5452">
        <w:t>market</w:t>
      </w:r>
      <w:r w:rsidRPr="006F5452">
        <w:t>. There have been some studies that have examined the performance of different green bond markets, but they have reported mixed empirical results (</w:t>
      </w:r>
      <w:proofErr w:type="spellStart"/>
      <w:r w:rsidRPr="006F5452">
        <w:t>Caramichael</w:t>
      </w:r>
      <w:proofErr w:type="spellEnd"/>
      <w:r w:rsidRPr="006F5452">
        <w:t xml:space="preserve"> and Rapp, 2022) or examined one </w:t>
      </w:r>
      <w:proofErr w:type="gramStart"/>
      <w:r w:rsidRPr="006F5452">
        <w:t>particular external</w:t>
      </w:r>
      <w:proofErr w:type="gramEnd"/>
      <w:r w:rsidRPr="006F5452">
        <w:t xml:space="preserve"> risk and its impact on green bonds. </w:t>
      </w:r>
      <w:r w:rsidRPr="003C62A0">
        <w:rPr>
          <w:color w:val="0000CC"/>
        </w:rPr>
        <w:t>Existing research</w:t>
      </w:r>
      <w:r w:rsidR="003C62A0" w:rsidRPr="003C62A0">
        <w:rPr>
          <w:color w:val="0000CC"/>
        </w:rPr>
        <w:t xml:space="preserve"> (e.g., Pham and Nguyen, 2022; </w:t>
      </w:r>
      <w:proofErr w:type="spellStart"/>
      <w:r w:rsidR="003C62A0" w:rsidRPr="003C62A0">
        <w:rPr>
          <w:color w:val="0000CC"/>
        </w:rPr>
        <w:t>Piñeiro-Chousa</w:t>
      </w:r>
      <w:proofErr w:type="spellEnd"/>
      <w:r w:rsidR="003C62A0" w:rsidRPr="003C62A0">
        <w:rPr>
          <w:color w:val="0000CC"/>
        </w:rPr>
        <w:t xml:space="preserve"> et al., 2021; Lee et al., 2021)</w:t>
      </w:r>
      <w:r w:rsidRPr="003C62A0">
        <w:rPr>
          <w:color w:val="0000CC"/>
        </w:rPr>
        <w:t xml:space="preserve"> </w:t>
      </w:r>
      <w:r w:rsidRPr="006F5452">
        <w:t xml:space="preserve">has examined how uncertainty indexes affect green bond returns. </w:t>
      </w:r>
      <w:r w:rsidR="003C62A0">
        <w:t xml:space="preserve">For example, </w:t>
      </w:r>
      <w:r w:rsidRPr="006F5452">
        <w:t xml:space="preserve">Pham and Nguyen (2022) </w:t>
      </w:r>
      <w:r w:rsidR="00691E70" w:rsidRPr="006F5452">
        <w:t>analyzed</w:t>
      </w:r>
      <w:r w:rsidRPr="006F5452">
        <w:t xml:space="preserve"> the relationship between stock market uncertainty (VIX), oil price uncertainty (OVX) and green bonds using a time-varying and state-dependent approach. As a result of high uncertainty periods</w:t>
      </w:r>
      <w:r w:rsidR="00DB0AA1" w:rsidRPr="006F5452">
        <w:t xml:space="preserve"> (</w:t>
      </w:r>
      <w:r w:rsidRPr="006F5452">
        <w:t>e.g., the COVID-19 crisis</w:t>
      </w:r>
      <w:r w:rsidR="00DB0AA1" w:rsidRPr="006F5452">
        <w:t>)</w:t>
      </w:r>
      <w:r w:rsidRPr="006F5452">
        <w:t xml:space="preserve">, the degree of connectedness between </w:t>
      </w:r>
      <w:r w:rsidR="00DB0AA1" w:rsidRPr="006F5452">
        <w:t xml:space="preserve">uncertainties and </w:t>
      </w:r>
      <w:r w:rsidRPr="006F5452">
        <w:t xml:space="preserve">green bonds </w:t>
      </w:r>
      <w:r w:rsidR="00691E70" w:rsidRPr="006F5452">
        <w:t>increases</w:t>
      </w:r>
      <w:r w:rsidRPr="006F5452">
        <w:t xml:space="preserve">. In contrast, </w:t>
      </w:r>
      <w:proofErr w:type="spellStart"/>
      <w:r w:rsidRPr="006F5452">
        <w:t>Piñeiro-Chousa</w:t>
      </w:r>
      <w:proofErr w:type="spellEnd"/>
      <w:r w:rsidRPr="006F5452">
        <w:t xml:space="preserve"> et al. (2021) </w:t>
      </w:r>
      <w:r w:rsidR="00DB0AA1" w:rsidRPr="006F5452">
        <w:t xml:space="preserve">used VIX to </w:t>
      </w:r>
      <w:r w:rsidRPr="006F5452">
        <w:t xml:space="preserve">measure stock market volatility and provided empirical evidence that the VIX has minimal or no effects on green bond returns. A quantile Granger causality test performed by Lee et al. (2021) shows that geopolitical risk (GPR) is unidirectionally related to green bond prices in the lower quantiles. Their results suggest that the GPR is a significant factor in the returns of green bonds. Nevertheless, </w:t>
      </w:r>
      <w:proofErr w:type="gramStart"/>
      <w:r w:rsidRPr="006F5452">
        <w:t>as a result of</w:t>
      </w:r>
      <w:proofErr w:type="gramEnd"/>
      <w:r w:rsidRPr="006F5452">
        <w:t xml:space="preserve"> their </w:t>
      </w:r>
      <w:r w:rsidRPr="006F5452">
        <w:lastRenderedPageBreak/>
        <w:t>varying sample periods, green bond market segments, and empirical methodologies, it is difficult to compare the findings between existing studies.</w:t>
      </w:r>
    </w:p>
    <w:p w14:paraId="5CC37305" w14:textId="77777777" w:rsidR="00EC01AD" w:rsidRPr="006F5452" w:rsidRDefault="00EC01AD" w:rsidP="00EC01AD">
      <w:pPr>
        <w:ind w:firstLine="720"/>
        <w:jc w:val="both"/>
      </w:pPr>
    </w:p>
    <w:p w14:paraId="12CF0B06" w14:textId="1AF1B388" w:rsidR="00EC01AD" w:rsidRPr="006F5452" w:rsidRDefault="00EC01AD" w:rsidP="00EC01AD">
      <w:pPr>
        <w:ind w:firstLine="720"/>
        <w:jc w:val="both"/>
      </w:pPr>
      <w:r w:rsidRPr="006F5452">
        <w:t xml:space="preserve">Additionally, prior studies have investigated the relationship between green bonds and uncertainty in a particular region or compared different political economies to determine the best investment path for sustainable growth. As an example, Lee et al. (2022) </w:t>
      </w:r>
      <w:proofErr w:type="gramStart"/>
      <w:r w:rsidRPr="006F5452">
        <w:t>use</w:t>
      </w:r>
      <w:proofErr w:type="gramEnd"/>
      <w:r w:rsidRPr="006F5452">
        <w:t xml:space="preserve"> a SVAR framework to analyze the relationship between geopolitical uncertainty, oil shocks, and green bond performance in China. </w:t>
      </w:r>
      <w:r w:rsidR="00E01593" w:rsidRPr="006F5452">
        <w:t>They report</w:t>
      </w:r>
      <w:r w:rsidRPr="006F5452">
        <w:t xml:space="preserve"> that oil price shocks and China's green bond returns are negatively </w:t>
      </w:r>
      <w:r w:rsidR="00E01593" w:rsidRPr="006F5452">
        <w:t>associated</w:t>
      </w:r>
      <w:r w:rsidRPr="006F5452">
        <w:t xml:space="preserve">, whereas GPR and green bond returns are positively correlated. </w:t>
      </w:r>
      <w:r w:rsidR="004A63F6">
        <w:t>Also,</w:t>
      </w:r>
      <w:r w:rsidRPr="006F5452">
        <w:t xml:space="preserve"> </w:t>
      </w:r>
      <w:r w:rsidR="00B21FBD" w:rsidRPr="006F5452">
        <w:t>it</w:t>
      </w:r>
      <w:r w:rsidRPr="006F5452">
        <w:t xml:space="preserve"> is reported by </w:t>
      </w:r>
      <w:r w:rsidR="00DB0AA1" w:rsidRPr="006F5452">
        <w:t xml:space="preserve">Kang et al. (2014), Marques et al. (2018), and </w:t>
      </w:r>
      <w:proofErr w:type="spellStart"/>
      <w:r w:rsidRPr="006F5452">
        <w:t>Reboredo</w:t>
      </w:r>
      <w:proofErr w:type="spellEnd"/>
      <w:r w:rsidRPr="006F5452">
        <w:t xml:space="preserve"> et al. (2020) that stock</w:t>
      </w:r>
      <w:r w:rsidR="00D265EB" w:rsidRPr="006F5452">
        <w:t xml:space="preserve"> and </w:t>
      </w:r>
      <w:r w:rsidRPr="006F5452">
        <w:t>oil market</w:t>
      </w:r>
      <w:r w:rsidR="00D265EB" w:rsidRPr="006F5452">
        <w:t>s’</w:t>
      </w:r>
      <w:r w:rsidRPr="006F5452">
        <w:t xml:space="preserve"> uncertainty contributes significantly to net price volatility shocks in both the European and US green bond markets. As shown by Tian et al., (2022), the green bond markets in the US, Europe, and China display heterogeneous behavior due to climate policy uncertainties, GPR, equity market volatility, and oil volatility. However, there is no conclusive evidence that a green bond market is robust when it issues bonds. Our study aims to select the most appropriate empirical technique to assess the impacts of specific external uncertainties and risks on green bonds.</w:t>
      </w:r>
    </w:p>
    <w:p w14:paraId="6311B43A" w14:textId="77777777" w:rsidR="00EC01AD" w:rsidRPr="006F5452" w:rsidRDefault="00EC01AD" w:rsidP="00EC01AD">
      <w:pPr>
        <w:ind w:firstLine="720"/>
        <w:jc w:val="both"/>
      </w:pPr>
    </w:p>
    <w:p w14:paraId="2BE6A8C4" w14:textId="6D3E9DC7" w:rsidR="00EC01AD" w:rsidRPr="006F5452" w:rsidRDefault="00EC01AD" w:rsidP="00EC01AD">
      <w:pPr>
        <w:ind w:firstLine="720"/>
        <w:jc w:val="both"/>
      </w:pPr>
      <w:r w:rsidRPr="008763ED">
        <w:rPr>
          <w:color w:val="0000CC"/>
        </w:rPr>
        <w:t xml:space="preserve">The green bond market has continued to flourish </w:t>
      </w:r>
      <w:r w:rsidR="00E01593" w:rsidRPr="008763ED">
        <w:rPr>
          <w:color w:val="0000CC"/>
        </w:rPr>
        <w:t>as the world’s first green bond was issued by the European Investment Bank in 2007</w:t>
      </w:r>
      <w:r w:rsidRPr="008763ED">
        <w:rPr>
          <w:color w:val="0000CC"/>
        </w:rPr>
        <w:t xml:space="preserve">. </w:t>
      </w:r>
      <w:proofErr w:type="gramStart"/>
      <w:r w:rsidR="00691E70" w:rsidRPr="008763ED">
        <w:rPr>
          <w:color w:val="0000CC"/>
        </w:rPr>
        <w:t>The</w:t>
      </w:r>
      <w:r w:rsidRPr="008763ED">
        <w:rPr>
          <w:color w:val="0000CC"/>
        </w:rPr>
        <w:t xml:space="preserve"> majority of</w:t>
      </w:r>
      <w:proofErr w:type="gramEnd"/>
      <w:r w:rsidRPr="008763ED">
        <w:rPr>
          <w:color w:val="0000CC"/>
        </w:rPr>
        <w:t xml:space="preserve"> green bond issuances are denominated in euro</w:t>
      </w:r>
      <w:r w:rsidR="00AC1F44" w:rsidRPr="008763ED">
        <w:rPr>
          <w:color w:val="0000CC"/>
        </w:rPr>
        <w:t>s</w:t>
      </w:r>
      <w:r w:rsidRPr="008763ED">
        <w:rPr>
          <w:color w:val="0000CC"/>
        </w:rPr>
        <w:t xml:space="preserve"> or US dollar</w:t>
      </w:r>
      <w:r w:rsidR="00AC1F44" w:rsidRPr="008763ED">
        <w:rPr>
          <w:color w:val="0000CC"/>
        </w:rPr>
        <w:t>s</w:t>
      </w:r>
      <w:r w:rsidR="000916C5">
        <w:rPr>
          <w:color w:val="0000CC"/>
        </w:rPr>
        <w:t xml:space="preserve"> (</w:t>
      </w:r>
      <w:proofErr w:type="spellStart"/>
      <w:r w:rsidR="000916C5" w:rsidRPr="00745C48">
        <w:rPr>
          <w:color w:val="0000CC"/>
        </w:rPr>
        <w:t>Kuchtyak</w:t>
      </w:r>
      <w:proofErr w:type="spellEnd"/>
      <w:r w:rsidR="000916C5" w:rsidRPr="00745C48">
        <w:rPr>
          <w:color w:val="0000CC"/>
        </w:rPr>
        <w:t xml:space="preserve"> and Bruce, 2022</w:t>
      </w:r>
      <w:r w:rsidR="000916C5">
        <w:rPr>
          <w:color w:val="0000CC"/>
        </w:rPr>
        <w:t>)</w:t>
      </w:r>
      <w:r w:rsidRPr="008763ED">
        <w:rPr>
          <w:color w:val="0000CC"/>
        </w:rPr>
        <w:t xml:space="preserve">. </w:t>
      </w:r>
      <w:proofErr w:type="gramStart"/>
      <w:r w:rsidR="00AC1F44" w:rsidRPr="006F5452">
        <w:t>In spite of</w:t>
      </w:r>
      <w:proofErr w:type="gramEnd"/>
      <w:r w:rsidR="00AC1F44" w:rsidRPr="006F5452">
        <w:t xml:space="preserve"> the numerous green bonds issued across the world, the US has been the most active </w:t>
      </w:r>
      <w:proofErr w:type="spellStart"/>
      <w:r w:rsidR="00AC1F44" w:rsidRPr="006F5452">
        <w:t>issuer</w:t>
      </w:r>
      <w:proofErr w:type="spellEnd"/>
      <w:r w:rsidR="00AC1F44" w:rsidRPr="006F5452">
        <w:t xml:space="preserve">, making it the country with the most cumulative issuers. </w:t>
      </w:r>
      <w:r w:rsidRPr="006F5452">
        <w:t>Thus, the US green bond markets need to be examined for their anti-risk capabilities, which will allow us to explore the effects of various uncertainties and provide market stakeholders (e.g., policymakers, investors, and issuers) with hedging and investment diversification options.</w:t>
      </w:r>
    </w:p>
    <w:p w14:paraId="4AE53AE6" w14:textId="77777777" w:rsidR="00EC01AD" w:rsidRPr="006F5452" w:rsidRDefault="00EC01AD" w:rsidP="00EC01AD">
      <w:pPr>
        <w:ind w:firstLine="720"/>
        <w:jc w:val="both"/>
      </w:pPr>
    </w:p>
    <w:p w14:paraId="57115F46" w14:textId="59E7AE78" w:rsidR="00EC01AD" w:rsidRPr="006F5452" w:rsidRDefault="002A6482" w:rsidP="00EC01AD">
      <w:pPr>
        <w:ind w:firstLine="720"/>
        <w:jc w:val="both"/>
      </w:pPr>
      <w:r w:rsidRPr="006F5452">
        <w:t>Our study analyzes the monthly data of USEPU, GPRT, GPRA, WTI, and green bond</w:t>
      </w:r>
      <w:r w:rsidR="00EF69E8">
        <w:t>s</w:t>
      </w:r>
      <w:r w:rsidRPr="006F5452">
        <w:t xml:space="preserve"> from September 2012 to August 2022. </w:t>
      </w:r>
      <w:r w:rsidRPr="00E0407E">
        <w:rPr>
          <w:color w:val="0000CC"/>
        </w:rPr>
        <w:t xml:space="preserve">By applying the Nonlinear Autoregressive Distributed Lags (NARDL) model, we find </w:t>
      </w:r>
      <w:r w:rsidR="00EF4180">
        <w:rPr>
          <w:color w:val="0000CC"/>
        </w:rPr>
        <w:t>asymmetric</w:t>
      </w:r>
      <w:r w:rsidRPr="00E0407E">
        <w:rPr>
          <w:color w:val="0000CC"/>
        </w:rPr>
        <w:t xml:space="preserve"> impact</w:t>
      </w:r>
      <w:r w:rsidR="00EF4180">
        <w:rPr>
          <w:color w:val="0000CC"/>
        </w:rPr>
        <w:t>s</w:t>
      </w:r>
      <w:r w:rsidRPr="00E0407E">
        <w:rPr>
          <w:color w:val="0000CC"/>
        </w:rPr>
        <w:t xml:space="preserve"> of USEPU, GPRT, GPRA, </w:t>
      </w:r>
      <w:r w:rsidR="00EF69E8">
        <w:rPr>
          <w:color w:val="0000CC"/>
        </w:rPr>
        <w:t xml:space="preserve">and </w:t>
      </w:r>
      <w:r w:rsidRPr="00E0407E">
        <w:rPr>
          <w:color w:val="0000CC"/>
        </w:rPr>
        <w:t>WTI on green bond</w:t>
      </w:r>
      <w:r w:rsidR="00EF4180">
        <w:rPr>
          <w:color w:val="0000CC"/>
        </w:rPr>
        <w:t xml:space="preserve"> returns</w:t>
      </w:r>
      <w:r w:rsidRPr="00E0407E">
        <w:rPr>
          <w:color w:val="0000CC"/>
        </w:rPr>
        <w:t>.</w:t>
      </w:r>
      <w:r w:rsidRPr="00E0407E">
        <w:rPr>
          <w:color w:val="0070C0"/>
        </w:rPr>
        <w:t xml:space="preserve"> </w:t>
      </w:r>
      <w:r w:rsidR="00EC01AD" w:rsidRPr="006F5452">
        <w:t xml:space="preserve">We summarize the main contributions of our paper into three points. </w:t>
      </w:r>
      <w:r w:rsidR="00D265EB" w:rsidRPr="00A66FC6">
        <w:rPr>
          <w:color w:val="0000CC"/>
        </w:rPr>
        <w:t>First, this study is the first attempt to examine the short- and long-run asymmetric effects of green bond return responding to the fluctuations in uncertainties</w:t>
      </w:r>
      <w:r w:rsidR="00087399" w:rsidRPr="00A66FC6">
        <w:rPr>
          <w:color w:val="0000CC"/>
        </w:rPr>
        <w:t xml:space="preserve"> by using the NARDL model</w:t>
      </w:r>
      <w:r w:rsidR="00D265EB" w:rsidRPr="00A66FC6">
        <w:rPr>
          <w:color w:val="0000CC"/>
        </w:rPr>
        <w:t>.</w:t>
      </w:r>
      <w:r w:rsidR="00A66FC6">
        <w:t xml:space="preserve"> </w:t>
      </w:r>
      <w:r w:rsidR="00400ACB" w:rsidRPr="00400ACB">
        <w:rPr>
          <w:color w:val="0000CC"/>
        </w:rPr>
        <w:t xml:space="preserve">Investors may react differently from the positive change in UESPU, GPRA, GPRT, and </w:t>
      </w:r>
      <w:r w:rsidR="004A63F6" w:rsidRPr="00400ACB">
        <w:rPr>
          <w:color w:val="0000CC"/>
        </w:rPr>
        <w:t xml:space="preserve">WTI </w:t>
      </w:r>
      <w:r w:rsidR="004A63F6" w:rsidRPr="00400ACB">
        <w:rPr>
          <w:color w:val="0000CC"/>
        </w:rPr>
        <w:lastRenderedPageBreak/>
        <w:t>to</w:t>
      </w:r>
      <w:r w:rsidR="00400ACB" w:rsidRPr="00400ACB">
        <w:rPr>
          <w:color w:val="0000CC"/>
        </w:rPr>
        <w:t xml:space="preserve"> the negative changes in UESPU, GPRA, GPRT, and WTI. The nonlinear model can capture investors’ positive and negative reactions to the green bond prices due to the positive and negative changes in the USEPU, GPRA, GPRT, and WTI. The linear econometric methods, such as the ARDL model, cannot capture because of linear assumptions</w:t>
      </w:r>
      <w:r w:rsidR="00400ACB">
        <w:rPr>
          <w:color w:val="0000CC"/>
        </w:rPr>
        <w:t>.</w:t>
      </w:r>
      <w:r w:rsidR="00A66FC6" w:rsidRPr="00A66FC6">
        <w:rPr>
          <w:color w:val="0000CC"/>
        </w:rPr>
        <w:t xml:space="preserve"> </w:t>
      </w:r>
      <w:r w:rsidR="00D71313">
        <w:rPr>
          <w:color w:val="0000CC"/>
        </w:rPr>
        <w:t xml:space="preserve">This study is </w:t>
      </w:r>
      <w:r w:rsidR="00400ACB">
        <w:rPr>
          <w:color w:val="0000CC"/>
        </w:rPr>
        <w:t xml:space="preserve">also </w:t>
      </w:r>
      <w:r w:rsidR="00D71313">
        <w:rPr>
          <w:color w:val="0000CC"/>
        </w:rPr>
        <w:t>unique because it</w:t>
      </w:r>
      <w:r w:rsidR="00D265EB" w:rsidRPr="009B1A7A">
        <w:rPr>
          <w:color w:val="0000CC"/>
        </w:rPr>
        <w:t xml:space="preserve"> explor</w:t>
      </w:r>
      <w:r w:rsidR="00D71313">
        <w:rPr>
          <w:color w:val="0000CC"/>
        </w:rPr>
        <w:t xml:space="preserve">ed </w:t>
      </w:r>
      <w:r w:rsidR="00D265EB" w:rsidRPr="009B1A7A">
        <w:rPr>
          <w:color w:val="0000CC"/>
        </w:rPr>
        <w:t>the characteristics of green bonds in a different time-horizon</w:t>
      </w:r>
      <w:r w:rsidR="009B1A7A">
        <w:rPr>
          <w:color w:val="0000CC"/>
        </w:rPr>
        <w:t xml:space="preserve"> and other events</w:t>
      </w:r>
      <w:r w:rsidR="00400ACB">
        <w:rPr>
          <w:color w:val="0000CC"/>
        </w:rPr>
        <w:t>,</w:t>
      </w:r>
      <w:r w:rsidR="009B1A7A">
        <w:rPr>
          <w:color w:val="0000CC"/>
        </w:rPr>
        <w:t xml:space="preserve"> such as </w:t>
      </w:r>
      <w:r w:rsidR="00EF69E8">
        <w:rPr>
          <w:color w:val="0000CC"/>
        </w:rPr>
        <w:t xml:space="preserve">the </w:t>
      </w:r>
      <w:r w:rsidR="009B1A7A">
        <w:rPr>
          <w:color w:val="0000CC"/>
        </w:rPr>
        <w:t>COVID-19 pandemic and COP26</w:t>
      </w:r>
      <w:r w:rsidR="00400ACB">
        <w:rPr>
          <w:color w:val="0000CC"/>
        </w:rPr>
        <w:t>,</w:t>
      </w:r>
      <w:r w:rsidR="00D71313">
        <w:rPr>
          <w:color w:val="0000CC"/>
        </w:rPr>
        <w:t xml:space="preserve"> </w:t>
      </w:r>
      <w:r w:rsidR="00CC4471">
        <w:rPr>
          <w:color w:val="0000CC"/>
        </w:rPr>
        <w:t>using</w:t>
      </w:r>
      <w:r w:rsidR="009B1A7A">
        <w:rPr>
          <w:color w:val="0000CC"/>
        </w:rPr>
        <w:t xml:space="preserve"> data from </w:t>
      </w:r>
      <w:r w:rsidR="009B1A7A" w:rsidRPr="009B1A7A">
        <w:rPr>
          <w:color w:val="0000CC"/>
        </w:rPr>
        <w:t>September 2012 and August 2022</w:t>
      </w:r>
      <w:r w:rsidR="009B1A7A">
        <w:rPr>
          <w:color w:val="0000CC"/>
        </w:rPr>
        <w:t xml:space="preserve"> and, thus, </w:t>
      </w:r>
      <w:r w:rsidR="00D71313">
        <w:rPr>
          <w:color w:val="0000CC"/>
        </w:rPr>
        <w:t>provid</w:t>
      </w:r>
      <w:r w:rsidR="00EF69E8">
        <w:rPr>
          <w:color w:val="0000CC"/>
        </w:rPr>
        <w:t>ing</w:t>
      </w:r>
      <w:r w:rsidR="00D71313">
        <w:rPr>
          <w:color w:val="0000CC"/>
        </w:rPr>
        <w:t xml:space="preserve"> conclusive findings</w:t>
      </w:r>
      <w:r w:rsidR="009B1A7A">
        <w:rPr>
          <w:color w:val="0000CC"/>
        </w:rPr>
        <w:t xml:space="preserve">. </w:t>
      </w:r>
      <w:r w:rsidR="00EC01AD" w:rsidRPr="006F5452">
        <w:t xml:space="preserve">Neglecting that will undermine the goal of maximizing return and minimizing risk for investors. Second, we contribute to the literature by examining the primary market pricing of green bonds using a well-defined empirical method, while </w:t>
      </w:r>
      <w:proofErr w:type="gramStart"/>
      <w:r w:rsidR="00EC01AD" w:rsidRPr="006F5452">
        <w:t>taking into account</w:t>
      </w:r>
      <w:proofErr w:type="gramEnd"/>
      <w:r w:rsidR="00EC01AD" w:rsidRPr="006F5452">
        <w:t xml:space="preserve"> the short- and long-run impacts of multiple uncertainties (i.e., uncertainty regarding US economic policy, geopolitical threats, geopolitical acts, and WTI oil prices) simultaneously. Investment returns for green bonds will likely be influenced by geopolitical and climate policy uncertainties since green bonds were developed to address concerns about future climate change. Third, it is the </w:t>
      </w:r>
      <w:r w:rsidR="004A63F6" w:rsidRPr="006F5452">
        <w:t>first-time</w:t>
      </w:r>
      <w:r w:rsidR="00EC01AD" w:rsidRPr="006F5452">
        <w:t xml:space="preserve"> multiple uncertainties are studied in the US market and their heterogeneous effects are examined. </w:t>
      </w:r>
      <w:r w:rsidR="00B17E08" w:rsidRPr="00B17E08">
        <w:rPr>
          <w:color w:val="0000CC"/>
        </w:rPr>
        <w:t xml:space="preserve">More precisely, we </w:t>
      </w:r>
      <w:r w:rsidR="00B17E08">
        <w:rPr>
          <w:color w:val="0000CC"/>
        </w:rPr>
        <w:t>apply</w:t>
      </w:r>
      <w:r w:rsidR="00B17E08" w:rsidRPr="00B17E08">
        <w:rPr>
          <w:color w:val="0000CC"/>
        </w:rPr>
        <w:t xml:space="preserve"> portfolio theory to explain the connection between uncertainties and green bond volatility. </w:t>
      </w:r>
      <w:r w:rsidR="00EC01AD" w:rsidRPr="006F5452">
        <w:t>We provide empirical evidence for hedging uncertainties by comparing the short- and long-run responses of green bond returns to uncertainties. Fund managers and retail investors can take advantage of our results to control and optimize their investment portfolio strategies involving green bonds. Furthermore, our results offer policymakers important insights to formulate policies aim</w:t>
      </w:r>
      <w:r w:rsidR="00F80F7F" w:rsidRPr="006F5452">
        <w:t>ed</w:t>
      </w:r>
      <w:r w:rsidR="00EC01AD" w:rsidRPr="006F5452">
        <w:t xml:space="preserve"> </w:t>
      </w:r>
      <w:r w:rsidR="00F80F7F" w:rsidRPr="006F5452">
        <w:t xml:space="preserve">at </w:t>
      </w:r>
      <w:r w:rsidR="00EC01AD" w:rsidRPr="006F5452">
        <w:t>stabiliz</w:t>
      </w:r>
      <w:r w:rsidR="00F80F7F" w:rsidRPr="006F5452">
        <w:t>ing</w:t>
      </w:r>
      <w:r w:rsidR="00EC01AD" w:rsidRPr="006F5452">
        <w:t xml:space="preserve"> the green bond market.</w:t>
      </w:r>
    </w:p>
    <w:p w14:paraId="1204D96C" w14:textId="77777777" w:rsidR="00EC01AD" w:rsidRPr="006F5452" w:rsidRDefault="00EC01AD" w:rsidP="00EC01AD">
      <w:pPr>
        <w:ind w:firstLine="720"/>
        <w:jc w:val="both"/>
      </w:pPr>
    </w:p>
    <w:p w14:paraId="3078BBDA" w14:textId="6D0A3721" w:rsidR="002C60A1" w:rsidRPr="006F5452" w:rsidRDefault="00EC01AD" w:rsidP="00EC01AD">
      <w:pPr>
        <w:ind w:firstLine="720"/>
        <w:jc w:val="both"/>
      </w:pPr>
      <w:r w:rsidRPr="006F5452">
        <w:t>The rem</w:t>
      </w:r>
      <w:r w:rsidR="00C604FC">
        <w:t>a</w:t>
      </w:r>
      <w:r w:rsidRPr="006F5452">
        <w:t xml:space="preserve">inder of this paper is arranged as follows. In Section 2, we discuss the existing literature on the relationship between US economic policy uncertainty (USEPU), </w:t>
      </w:r>
      <w:r w:rsidR="00DB0AA1" w:rsidRPr="006F5452">
        <w:t xml:space="preserve">geopolitical acts (GPRA), </w:t>
      </w:r>
      <w:r w:rsidRPr="006F5452">
        <w:t xml:space="preserve">geopolitical threats (GPRT), WTI oil prices, and green bond returns. In Section 3, we describe our regression method and how we constructed the model. Detailed information about the data can be found in Section 4. </w:t>
      </w:r>
      <w:r w:rsidRPr="004A63F6">
        <w:rPr>
          <w:color w:val="0000CC"/>
        </w:rPr>
        <w:t>In Section</w:t>
      </w:r>
      <w:r w:rsidR="004A63F6" w:rsidRPr="004A63F6">
        <w:rPr>
          <w:color w:val="0000CC"/>
        </w:rPr>
        <w:t>s</w:t>
      </w:r>
      <w:r w:rsidRPr="004A63F6">
        <w:rPr>
          <w:color w:val="0000CC"/>
        </w:rPr>
        <w:t xml:space="preserve"> 5</w:t>
      </w:r>
      <w:r w:rsidR="004A63F6" w:rsidRPr="004A63F6">
        <w:rPr>
          <w:color w:val="0000CC"/>
        </w:rPr>
        <w:t xml:space="preserve"> and 6</w:t>
      </w:r>
      <w:r w:rsidRPr="004A63F6">
        <w:rPr>
          <w:color w:val="0000CC"/>
        </w:rPr>
        <w:t xml:space="preserve">, we present </w:t>
      </w:r>
      <w:r w:rsidR="004A63F6">
        <w:rPr>
          <w:color w:val="0000CC"/>
        </w:rPr>
        <w:t xml:space="preserve">result discussions </w:t>
      </w:r>
      <w:r w:rsidRPr="004A63F6">
        <w:rPr>
          <w:color w:val="0000CC"/>
        </w:rPr>
        <w:t>and policy implication</w:t>
      </w:r>
      <w:r w:rsidR="00C73D53">
        <w:rPr>
          <w:color w:val="0000CC"/>
        </w:rPr>
        <w:t>, respectively</w:t>
      </w:r>
      <w:r w:rsidRPr="004A63F6">
        <w:rPr>
          <w:color w:val="0000CC"/>
        </w:rPr>
        <w:t xml:space="preserve">. In Section </w:t>
      </w:r>
      <w:r w:rsidR="004A63F6">
        <w:rPr>
          <w:color w:val="0000CC"/>
        </w:rPr>
        <w:t>7</w:t>
      </w:r>
      <w:r w:rsidRPr="004A63F6">
        <w:rPr>
          <w:color w:val="0000CC"/>
        </w:rPr>
        <w:t>, we provide conclusions, limitations, and recommendations</w:t>
      </w:r>
      <w:r w:rsidR="00C73D53">
        <w:rPr>
          <w:color w:val="0000CC"/>
        </w:rPr>
        <w:t xml:space="preserve"> for future studies</w:t>
      </w:r>
      <w:r w:rsidRPr="004A63F6">
        <w:rPr>
          <w:color w:val="0000CC"/>
        </w:rPr>
        <w:t>.</w:t>
      </w:r>
    </w:p>
    <w:p w14:paraId="5E871408" w14:textId="051B0C5D" w:rsidR="00012547" w:rsidRPr="006F5452" w:rsidRDefault="002E0FA6" w:rsidP="00EC01AD">
      <w:pPr>
        <w:pStyle w:val="Heading1"/>
      </w:pPr>
      <w:r w:rsidRPr="006F5452">
        <w:t>2. Literature review</w:t>
      </w:r>
    </w:p>
    <w:p w14:paraId="43D30961" w14:textId="121B9DF7" w:rsidR="00B17E08" w:rsidRDefault="00AD4CB1" w:rsidP="00B17E08">
      <w:pPr>
        <w:autoSpaceDE w:val="0"/>
        <w:autoSpaceDN w:val="0"/>
        <w:adjustRightInd w:val="0"/>
        <w:ind w:firstLine="720"/>
        <w:jc w:val="both"/>
        <w:rPr>
          <w:rFonts w:cs="Times New Roman"/>
          <w:szCs w:val="24"/>
        </w:rPr>
      </w:pPr>
      <w:bookmarkStart w:id="2" w:name="_Hlk120798938"/>
      <w:r w:rsidRPr="006F5452">
        <w:rPr>
          <w:rFonts w:cs="Times New Roman"/>
          <w:szCs w:val="24"/>
        </w:rPr>
        <w:t xml:space="preserve">It is suggested that investing in green bonds improves environmental performance while providing high investment returns </w:t>
      </w:r>
      <w:r w:rsidRPr="006F5452">
        <w:rPr>
          <w:rFonts w:cs="Times New Roman"/>
          <w:szCs w:val="24"/>
        </w:rPr>
        <w:fldChar w:fldCharType="begin"/>
      </w:r>
      <w:r w:rsidR="00E97657">
        <w:rPr>
          <w:rFonts w:cs="Times New Roman"/>
          <w:szCs w:val="24"/>
        </w:rPr>
        <w:instrText xml:space="preserve"> ADDIN EN.CITE &lt;EndNote&gt;&lt;Cite&gt;&lt;Author&gt;Flammer&lt;/Author&gt;&lt;Year&gt;2019&lt;/Year&gt;&lt;RecNum&gt;1&lt;/RecNum&gt;&lt;DisplayText&gt;(Flammer, 2019); Maltais and Nykvist (2020)&lt;/DisplayText&gt;&lt;record&gt;&lt;rec-number&gt;1&lt;/rec-number&gt;&lt;foreign-keys&gt;&lt;key app="EN" db-id="azfxvt991df2r2ew2adxzdekws2tx55feewr" timestamp="1663922063"&gt;1&lt;/key&gt;&lt;/foreign-keys&gt;&lt;ref-type name="Journal Article"&gt;17&lt;/ref-type&gt;&lt;contributors&gt;&lt;authors&gt;&lt;author&gt;Flammer, Caroline&lt;/author&gt;&lt;/authors&gt;&lt;/contributors&gt;&lt;titles&gt;&lt;title&gt;Corporate green bonds&lt;/title&gt;&lt;secondary-title&gt;Academy of Management Global Proceedings&lt;/secondary-title&gt;&lt;/titles&gt;&lt;periodical&gt;&lt;full-title&gt;Academy of Management Global Proceedings&lt;/full-title&gt;&lt;/periodical&gt;&lt;pages&gt;136&lt;/pages&gt;&lt;number&gt;2019&lt;/number&gt;&lt;dates&gt;&lt;year&gt;2019&lt;/year&gt;&lt;/dates&gt;&lt;isbn&gt;2638-4892&lt;/isbn&gt;&lt;urls&gt;&lt;/urls&gt;&lt;/record&gt;&lt;/Cite&gt;&lt;Cite AuthorYear="1"&gt;&lt;Author&gt;Maltais&lt;/Author&gt;&lt;Year&gt;2020&lt;/Year&gt;&lt;RecNum&gt;2&lt;/RecNum&gt;&lt;record&gt;&lt;rec-number&gt;2&lt;/rec-number&gt;&lt;foreign-keys&gt;&lt;key app="EN" db-id="azfxvt991df2r2ew2adxzdekws2tx55feewr" timestamp="1663922249"&gt;2&lt;/key&gt;&lt;/foreign-keys&gt;&lt;ref-type name="Journal Article"&gt;17&lt;/ref-type&gt;&lt;contributors&gt;&lt;authors&gt;&lt;author&gt;Maltais, Aaron&lt;/author&gt;&lt;author&gt;Nykvist, Björn&lt;/author&gt;&lt;/authors&gt;&lt;/contributors&gt;&lt;titles&gt;&lt;title&gt;Understanding the role of green bonds in advancing sustainability&lt;/title&gt;&lt;secondary-title&gt;Journal of Sustainable Finance &amp;amp; Investment&lt;/secondary-title&gt;&lt;/titles&gt;&lt;periodical&gt;&lt;full-title&gt;Journal of Sustainable Finance &amp;amp; Investment&lt;/full-title&gt;&lt;/periodical&gt;&lt;pages&gt;1-20&lt;/pages&gt;&lt;dates&gt;&lt;year&gt;2020&lt;/year&gt;&lt;/dates&gt;&lt;isbn&gt;2043-0795&lt;/isbn&gt;&lt;urls&gt;&lt;/urls&gt;&lt;/record&gt;&lt;/Cite&gt;&lt;/EndNote&gt;</w:instrText>
      </w:r>
      <w:r w:rsidRPr="006F5452">
        <w:rPr>
          <w:rFonts w:cs="Times New Roman"/>
          <w:szCs w:val="24"/>
        </w:rPr>
        <w:fldChar w:fldCharType="separate"/>
      </w:r>
      <w:r w:rsidR="00E97657">
        <w:rPr>
          <w:rFonts w:cs="Times New Roman"/>
          <w:noProof/>
          <w:szCs w:val="24"/>
        </w:rPr>
        <w:t>(Flammer, 2019; Maltais and Nykvist</w:t>
      </w:r>
      <w:r w:rsidR="00B17E08">
        <w:rPr>
          <w:rFonts w:cs="Times New Roman"/>
          <w:noProof/>
          <w:szCs w:val="24"/>
        </w:rPr>
        <w:t>,</w:t>
      </w:r>
      <w:r w:rsidR="00E97657">
        <w:rPr>
          <w:rFonts w:cs="Times New Roman"/>
          <w:noProof/>
          <w:szCs w:val="24"/>
        </w:rPr>
        <w:t xml:space="preserve"> 2020)</w:t>
      </w:r>
      <w:r w:rsidRPr="006F5452">
        <w:rPr>
          <w:rFonts w:cs="Times New Roman"/>
          <w:szCs w:val="24"/>
        </w:rPr>
        <w:fldChar w:fldCharType="end"/>
      </w:r>
      <w:r w:rsidRPr="006F5452">
        <w:rPr>
          <w:rFonts w:cs="Times New Roman"/>
          <w:szCs w:val="24"/>
        </w:rPr>
        <w:t xml:space="preserve">. </w:t>
      </w:r>
      <w:r w:rsidR="00B17E08">
        <w:rPr>
          <w:rFonts w:cs="Times New Roman"/>
          <w:szCs w:val="24"/>
        </w:rPr>
        <w:t>In fact</w:t>
      </w:r>
      <w:r w:rsidRPr="006F5452">
        <w:rPr>
          <w:rFonts w:cs="Times New Roman"/>
          <w:szCs w:val="24"/>
        </w:rPr>
        <w:t xml:space="preserve">, green bonds enable investors to diversify their portfolios and allow them to achieve financial </w:t>
      </w:r>
      <w:r w:rsidRPr="006F5452">
        <w:rPr>
          <w:rFonts w:cs="Times New Roman"/>
          <w:szCs w:val="24"/>
        </w:rPr>
        <w:lastRenderedPageBreak/>
        <w:t xml:space="preserve">gains while preserving the environment </w:t>
      </w:r>
      <w:r w:rsidRPr="006F5452">
        <w:rPr>
          <w:rFonts w:cs="Times New Roman"/>
          <w:szCs w:val="24"/>
        </w:rPr>
        <w:fldChar w:fldCharType="begin"/>
      </w:r>
      <w:r w:rsidRPr="006F5452">
        <w:rPr>
          <w:rFonts w:cs="Times New Roman"/>
          <w:szCs w:val="24"/>
        </w:rPr>
        <w:instrText xml:space="preserve"> ADDIN EN.CITE &lt;EndNote&gt;&lt;Cite&gt;&lt;Author&gt;Huynh&lt;/Author&gt;&lt;Year&gt;2020&lt;/Year&gt;&lt;RecNum&gt;3&lt;/RecNum&gt;&lt;DisplayText&gt;(Huynh et al., 2020)&lt;/DisplayText&gt;&lt;record&gt;&lt;rec-number&gt;3&lt;/rec-number&gt;&lt;foreign-keys&gt;&lt;key app="EN" db-id="azfxvt991df2r2ew2adxzdekws2tx55feewr" timestamp="1663922983"&gt;3&lt;/key&gt;&lt;/foreign-keys&gt;&lt;ref-type name="Journal Article"&gt;17&lt;/ref-type&gt;&lt;contributors&gt;&lt;authors&gt;&lt;author&gt;Huynh, Toan Luu Duc&lt;/author&gt;&lt;author&gt;Hille, Erik&lt;/author&gt;&lt;author&gt;Nasir, Muhammad Ali&lt;/author&gt;&lt;/authors&gt;&lt;/contributors&gt;&lt;titles&gt;&lt;title&gt;Diversification in the age of the 4th industrial revolution: The role of artificial intelligence, green bonds and cryptocurrencies&lt;/title&gt;&lt;secondary-title&gt;Technological Forecasting and Social Change&lt;/secondary-title&gt;&lt;/titles&gt;&lt;periodical&gt;&lt;full-title&gt;Technological Forecasting and Social Change&lt;/full-title&gt;&lt;/periodical&gt;&lt;pages&gt;120188&lt;/pages&gt;&lt;volume&gt;159&lt;/volume&gt;&lt;dates&gt;&lt;year&gt;2020&lt;/year&gt;&lt;/dates&gt;&lt;isbn&gt;0040-1625&lt;/isbn&gt;&lt;urls&gt;&lt;/urls&gt;&lt;/record&gt;&lt;/Cite&gt;&lt;/EndNote&gt;</w:instrText>
      </w:r>
      <w:r w:rsidRPr="006F5452">
        <w:rPr>
          <w:rFonts w:cs="Times New Roman"/>
          <w:szCs w:val="24"/>
        </w:rPr>
        <w:fldChar w:fldCharType="separate"/>
      </w:r>
      <w:r w:rsidRPr="006F5452">
        <w:rPr>
          <w:rFonts w:cs="Times New Roman"/>
          <w:noProof/>
          <w:szCs w:val="24"/>
        </w:rPr>
        <w:t>(Huynh et al., 2020)</w:t>
      </w:r>
      <w:r w:rsidRPr="006F5452">
        <w:rPr>
          <w:rFonts w:cs="Times New Roman"/>
          <w:szCs w:val="24"/>
        </w:rPr>
        <w:fldChar w:fldCharType="end"/>
      </w:r>
      <w:r w:rsidRPr="006F5452">
        <w:rPr>
          <w:rFonts w:cs="Times New Roman"/>
          <w:szCs w:val="24"/>
        </w:rPr>
        <w:t xml:space="preserve">. Ever since its introduction in 2007, green bond markets have expanded dramatically </w:t>
      </w:r>
      <w:r w:rsidRPr="006F5452">
        <w:rPr>
          <w:rFonts w:cs="Times New Roman"/>
          <w:szCs w:val="24"/>
        </w:rPr>
        <w:fldChar w:fldCharType="begin">
          <w:fldData xml:space="preserve">PEVuZE5vdGU+PENpdGU+PEF1dGhvcj5GZWJpPC9BdXRob3I+PFllYXI+MjAxODwvWWVhcj48UmVj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==
</w:fldData>
        </w:fldChar>
      </w:r>
      <w:r w:rsidR="00E97657">
        <w:rPr>
          <w:rFonts w:cs="Times New Roman"/>
          <w:szCs w:val="24"/>
        </w:rPr>
        <w:instrText xml:space="preserve"> ADDIN EN.CITE </w:instrText>
      </w:r>
      <w:r w:rsidR="00E97657">
        <w:rPr>
          <w:rFonts w:cs="Times New Roman"/>
          <w:szCs w:val="24"/>
        </w:rPr>
        <w:fldChar w:fldCharType="begin">
          <w:fldData xml:space="preserve">PEVuZE5vdGU+PENpdGU+PEF1dGhvcj5GZWJpPC9BdXRob3I+PFllYXI+MjAxODwvWWVhcj48UmVj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==
</w:fldData>
        </w:fldChar>
      </w:r>
      <w:r w:rsidR="00E97657">
        <w:rPr>
          <w:rFonts w:cs="Times New Roman"/>
          <w:szCs w:val="24"/>
        </w:rPr>
        <w:instrText xml:space="preserve"> ADDIN EN.CITE.DATA </w:instrText>
      </w:r>
      <w:r w:rsidR="00E97657">
        <w:rPr>
          <w:rFonts w:cs="Times New Roman"/>
          <w:szCs w:val="24"/>
        </w:rPr>
      </w:r>
      <w:r w:rsidR="00E97657">
        <w:rPr>
          <w:rFonts w:cs="Times New Roman"/>
          <w:szCs w:val="24"/>
        </w:rPr>
        <w:fldChar w:fldCharType="end"/>
      </w:r>
      <w:r w:rsidRPr="006F5452">
        <w:rPr>
          <w:rFonts w:cs="Times New Roman"/>
          <w:szCs w:val="24"/>
        </w:rPr>
      </w:r>
      <w:r w:rsidRPr="006F5452">
        <w:rPr>
          <w:rFonts w:cs="Times New Roman"/>
          <w:szCs w:val="24"/>
        </w:rPr>
        <w:fldChar w:fldCharType="separate"/>
      </w:r>
      <w:r w:rsidR="00E97657">
        <w:rPr>
          <w:rFonts w:cs="Times New Roman"/>
          <w:noProof/>
          <w:szCs w:val="24"/>
        </w:rPr>
        <w:t>(Febi et al., 2018; Reboredo &amp; Ugolini, 2020; Tang &amp; Zhang, 2020)</w:t>
      </w:r>
      <w:r w:rsidRPr="006F5452">
        <w:rPr>
          <w:rFonts w:cs="Times New Roman"/>
          <w:szCs w:val="24"/>
        </w:rPr>
        <w:fldChar w:fldCharType="end"/>
      </w:r>
      <w:r w:rsidRPr="006F5452">
        <w:rPr>
          <w:rFonts w:cs="Times New Roman"/>
          <w:szCs w:val="24"/>
        </w:rPr>
        <w:t xml:space="preserve">. </w:t>
      </w:r>
      <w:r w:rsidR="00B17E08">
        <w:rPr>
          <w:rFonts w:cs="Times New Roman"/>
          <w:szCs w:val="24"/>
        </w:rPr>
        <w:t>Indeed, g</w:t>
      </w:r>
      <w:r w:rsidRPr="006F5452">
        <w:rPr>
          <w:rFonts w:cs="Times New Roman"/>
          <w:szCs w:val="24"/>
        </w:rPr>
        <w:t xml:space="preserve">reen bonds are found to perform better than conventional bonds </w:t>
      </w:r>
      <w:r w:rsidRPr="006F5452">
        <w:rPr>
          <w:rFonts w:cs="Times New Roman"/>
          <w:szCs w:val="24"/>
        </w:rPr>
        <w:fldChar w:fldCharType="begin"/>
      </w:r>
      <w:r w:rsidRPr="006F5452">
        <w:rPr>
          <w:rFonts w:cs="Times New Roman"/>
          <w:szCs w:val="24"/>
        </w:rPr>
        <w:instrText xml:space="preserve"> ADDIN EN.CITE &lt;EndNote&gt;&lt;Cite&gt;&lt;Author&gt;Kanamura&lt;/Author&gt;&lt;Year&gt;2020&lt;/Year&gt;&lt;RecNum&gt;7&lt;/RecNum&gt;&lt;DisplayText&gt;(Kanamura, 2020)&lt;/DisplayText&gt;&lt;record&gt;&lt;rec-number&gt;7&lt;/rec-number&gt;&lt;foreign-keys&gt;&lt;key app="EN" db-id="azfxvt991df2r2ew2adxzdekws2tx55feewr" timestamp="1663923145"&gt;7&lt;/key&gt;&lt;/foreign-keys&gt;&lt;ref-type name="Journal Article"&gt;17&lt;/ref-type&gt;&lt;contributors&gt;&lt;authors&gt;&lt;author&gt;Kanamura, Takashi&lt;/author&gt;&lt;/authors&gt;&lt;/contributors&gt;&lt;titles&gt;&lt;title&gt;Are green bonds environmentally friendly and good performing assets?&lt;/title&gt;&lt;secondary-title&gt;Energy Economics&lt;/secondary-title&gt;&lt;/titles&gt;&lt;periodical&gt;&lt;full-title&gt;Energy Economics&lt;/full-title&gt;&lt;/periodical&gt;&lt;pages&gt;104767&lt;/pages&gt;&lt;volume&gt;88&lt;/volume&gt;&lt;dates&gt;&lt;year&gt;2020&lt;/year&gt;&lt;/dates&gt;&lt;isbn&gt;0140-9883&lt;/isbn&gt;&lt;urls&gt;&lt;/urls&gt;&lt;/record&gt;&lt;/Cite&gt;&lt;/EndNote&gt;</w:instrText>
      </w:r>
      <w:r w:rsidRPr="006F5452">
        <w:rPr>
          <w:rFonts w:cs="Times New Roman"/>
          <w:szCs w:val="24"/>
        </w:rPr>
        <w:fldChar w:fldCharType="separate"/>
      </w:r>
      <w:r w:rsidRPr="006F5452">
        <w:rPr>
          <w:rFonts w:cs="Times New Roman"/>
          <w:noProof/>
          <w:szCs w:val="24"/>
        </w:rPr>
        <w:t>(Kanamura, 2020)</w:t>
      </w:r>
      <w:r w:rsidRPr="006F5452">
        <w:rPr>
          <w:rFonts w:cs="Times New Roman"/>
          <w:szCs w:val="24"/>
        </w:rPr>
        <w:fldChar w:fldCharType="end"/>
      </w:r>
      <w:r w:rsidRPr="006F5452">
        <w:rPr>
          <w:rFonts w:cs="Times New Roman"/>
          <w:szCs w:val="24"/>
        </w:rPr>
        <w:t xml:space="preserve">. As a result, green bonds are expected to become a significant sustainable investing asset </w:t>
      </w:r>
      <w:r w:rsidRPr="006F5452">
        <w:rPr>
          <w:rFonts w:cs="Times New Roman"/>
          <w:szCs w:val="24"/>
        </w:rPr>
        <w:fldChar w:fldCharType="begin"/>
      </w:r>
      <w:r w:rsidRPr="006F5452">
        <w:rPr>
          <w:rFonts w:cs="Times New Roman"/>
          <w:szCs w:val="24"/>
        </w:rPr>
        <w:instrText xml:space="preserve"> ADDIN EN.CITE &lt;EndNote&gt;&lt;Cite&gt;&lt;Author&gt;Maltais&lt;/Author&gt;&lt;Year&gt;2020&lt;/Year&gt;&lt;RecNum&gt;2&lt;/RecNum&gt;&lt;DisplayText&gt;(Maltais &amp;amp; Nykvist, 2020)&lt;/DisplayText&gt;&lt;record&gt;&lt;rec-number&gt;2&lt;/rec-number&gt;&lt;foreign-keys&gt;&lt;key app="EN" db-id="azfxvt991df2r2ew2adxzdekws2tx55feewr" timestamp="1663922249"&gt;2&lt;/key&gt;&lt;/foreign-keys&gt;&lt;ref-type name="Journal Article"&gt;17&lt;/ref-type&gt;&lt;contributors&gt;&lt;authors&gt;&lt;author&gt;Maltais, Aaron&lt;/author&gt;&lt;author&gt;Nykvist, Björn&lt;/author&gt;&lt;/authors&gt;&lt;/contributors&gt;&lt;titles&gt;&lt;title&gt;Understanding the role of green bonds in advancing sustainability&lt;/title&gt;&lt;secondary-title&gt;Journal of Sustainable Finance &amp;amp; Investment&lt;/secondary-title&gt;&lt;/titles&gt;&lt;periodical&gt;&lt;full-title&gt;Journal of Sustainable Finance &amp;amp; Investment&lt;/full-title&gt;&lt;/periodical&gt;&lt;pages&gt;1-20&lt;/pages&gt;&lt;dates&gt;&lt;year&gt;2020&lt;/year&gt;&lt;/dates&gt;&lt;isbn&gt;2043-0795&lt;/isbn&gt;&lt;urls&gt;&lt;/urls&gt;&lt;/record&gt;&lt;/Cite&gt;&lt;/EndNote&gt;</w:instrText>
      </w:r>
      <w:r w:rsidRPr="006F5452">
        <w:rPr>
          <w:rFonts w:cs="Times New Roman"/>
          <w:szCs w:val="24"/>
        </w:rPr>
        <w:fldChar w:fldCharType="separate"/>
      </w:r>
      <w:r w:rsidRPr="006F5452">
        <w:rPr>
          <w:rFonts w:cs="Times New Roman"/>
          <w:noProof/>
          <w:szCs w:val="24"/>
        </w:rPr>
        <w:t>(Maltais &amp; Nykvist, 2020)</w:t>
      </w:r>
      <w:r w:rsidRPr="006F5452">
        <w:rPr>
          <w:rFonts w:cs="Times New Roman"/>
          <w:szCs w:val="24"/>
        </w:rPr>
        <w:fldChar w:fldCharType="end"/>
      </w:r>
      <w:r w:rsidRPr="006F5452">
        <w:rPr>
          <w:rFonts w:cs="Times New Roman"/>
          <w:szCs w:val="24"/>
        </w:rPr>
        <w:t>. There is no doubt that green bond prices are affected to a great extent by macroeconomic indicators</w:t>
      </w:r>
      <w:r w:rsidR="004633F5" w:rsidRPr="006F5452">
        <w:rPr>
          <w:rFonts w:cs="Times New Roman"/>
          <w:szCs w:val="24"/>
        </w:rPr>
        <w:t xml:space="preserve">, for instance, </w:t>
      </w:r>
      <w:r w:rsidRPr="006F5452">
        <w:rPr>
          <w:rFonts w:cs="Times New Roman"/>
          <w:szCs w:val="24"/>
        </w:rPr>
        <w:t xml:space="preserve">geopolitical risk and economic policy uncertainty </w:t>
      </w:r>
      <w:r w:rsidRPr="006F5452">
        <w:rPr>
          <w:rFonts w:cs="Times New Roman"/>
          <w:szCs w:val="24"/>
        </w:rPr>
        <w:fldChar w:fldCharType="begin"/>
      </w:r>
      <w:r w:rsidR="00E97657">
        <w:rPr>
          <w:rFonts w:cs="Times New Roman"/>
          <w:szCs w:val="24"/>
        </w:rPr>
        <w:instrText xml:space="preserve"> ADDIN EN.CITE &lt;EndNote&gt;&lt;Cite&gt;&lt;Author&gt;Broadstock&lt;/Author&gt;&lt;Year&gt;2019&lt;/Year&gt;&lt;RecNum&gt;9&lt;/RecNum&gt;&lt;DisplayText&gt;(Broadstock &amp;amp; Cheng, 2019)&lt;/DisplayText&gt;&lt;record&gt;&lt;rec-number&gt;9&lt;/rec-number&gt;&lt;foreign-keys&gt;&lt;key app="EN" db-id="azfxvt991df2r2ew2adxzdekws2tx55feewr" timestamp="1663923217"&gt;9&lt;/key&gt;&lt;/foreign-keys&gt;&lt;ref-type name="Journal Article"&gt;17&lt;/ref-type&gt;&lt;contributors&gt;&lt;authors&gt;&lt;author&gt;Broadstock, David C&lt;/author&gt;&lt;author&gt;Cheng, Louis TW&lt;/author&gt;&lt;/authors&gt;&lt;/contributors&gt;&lt;titles&gt;&lt;title&gt;Time-varying relation between black and green bond price benchmarks: Macroeconomic determinants for the first decade&lt;/title&gt;&lt;secondary-title&gt;Finance research letters&lt;/secondary-title&gt;&lt;/titles&gt;&lt;periodical&gt;&lt;full-title&gt;Finance Research Letters&lt;/full-title&gt;&lt;/periodical&gt;&lt;pages&gt;17-22&lt;/pages&gt;&lt;volume&gt;29&lt;/volume&gt;&lt;dates&gt;&lt;year&gt;2019&lt;/year&gt;&lt;/dates&gt;&lt;isbn&gt;1544-6123&lt;/isbn&gt;&lt;urls&gt;&lt;/urls&gt;&lt;/record&gt;&lt;/Cite&gt;&lt;/EndNote&gt;</w:instrText>
      </w:r>
      <w:r w:rsidRPr="006F5452">
        <w:rPr>
          <w:rFonts w:cs="Times New Roman"/>
          <w:szCs w:val="24"/>
        </w:rPr>
        <w:fldChar w:fldCharType="separate"/>
      </w:r>
      <w:r w:rsidR="00E97657">
        <w:rPr>
          <w:rFonts w:cs="Times New Roman"/>
          <w:noProof/>
          <w:szCs w:val="24"/>
        </w:rPr>
        <w:t>(Broadstock &amp; Cheng, 2019)</w:t>
      </w:r>
      <w:r w:rsidRPr="006F5452">
        <w:rPr>
          <w:rFonts w:cs="Times New Roman"/>
          <w:szCs w:val="24"/>
        </w:rPr>
        <w:fldChar w:fldCharType="end"/>
      </w:r>
      <w:r w:rsidRPr="006F5452">
        <w:rPr>
          <w:rFonts w:cs="Times New Roman"/>
          <w:szCs w:val="24"/>
        </w:rPr>
        <w:t xml:space="preserve">. </w:t>
      </w:r>
      <w:bookmarkStart w:id="3" w:name="_Hlk120809363"/>
      <w:bookmarkEnd w:id="2"/>
    </w:p>
    <w:p w14:paraId="4887CA65" w14:textId="77777777" w:rsidR="00B17E08" w:rsidRDefault="00B17E08" w:rsidP="00B17E08">
      <w:pPr>
        <w:autoSpaceDE w:val="0"/>
        <w:autoSpaceDN w:val="0"/>
        <w:adjustRightInd w:val="0"/>
        <w:ind w:firstLine="720"/>
        <w:jc w:val="both"/>
        <w:rPr>
          <w:rFonts w:cs="Times New Roman"/>
          <w:szCs w:val="24"/>
        </w:rPr>
      </w:pPr>
    </w:p>
    <w:p w14:paraId="07AEC952" w14:textId="37405D8D" w:rsidR="007D6C2B" w:rsidRDefault="00B17E08" w:rsidP="00B17E08">
      <w:pPr>
        <w:autoSpaceDE w:val="0"/>
        <w:autoSpaceDN w:val="0"/>
        <w:adjustRightInd w:val="0"/>
        <w:ind w:firstLine="720"/>
        <w:jc w:val="both"/>
        <w:rPr>
          <w:rFonts w:cs="Times New Roman"/>
          <w:color w:val="0000CC"/>
          <w:szCs w:val="24"/>
        </w:rPr>
      </w:pPr>
      <w:r w:rsidRPr="00B17E08">
        <w:rPr>
          <w:rFonts w:cs="Times New Roman"/>
          <w:color w:val="0000CC"/>
          <w:szCs w:val="24"/>
        </w:rPr>
        <w:t xml:space="preserve">The link between green bonds and firm value in the context of political uncertainty and geopolitical risk can be explained by </w:t>
      </w:r>
      <w:r w:rsidR="00973710">
        <w:rPr>
          <w:rFonts w:cs="Times New Roman"/>
          <w:color w:val="0000CC"/>
          <w:szCs w:val="24"/>
        </w:rPr>
        <w:t>portfolio</w:t>
      </w:r>
      <w:r w:rsidRPr="00B17E08">
        <w:rPr>
          <w:rFonts w:cs="Times New Roman"/>
          <w:color w:val="0000CC"/>
          <w:szCs w:val="24"/>
        </w:rPr>
        <w:t xml:space="preserve"> theory. </w:t>
      </w:r>
      <w:r w:rsidR="00973710">
        <w:rPr>
          <w:rFonts w:cs="Times New Roman"/>
          <w:color w:val="0000CC"/>
          <w:szCs w:val="24"/>
        </w:rPr>
        <w:t>Portfolio</w:t>
      </w:r>
      <w:r w:rsidRPr="00B17E08">
        <w:rPr>
          <w:rFonts w:cs="Times New Roman"/>
          <w:color w:val="0000CC"/>
          <w:szCs w:val="24"/>
        </w:rPr>
        <w:t xml:space="preserve"> theory suggests that </w:t>
      </w:r>
      <w:r w:rsidR="00973710">
        <w:rPr>
          <w:rFonts w:cs="Times New Roman"/>
          <w:color w:val="0000CC"/>
          <w:szCs w:val="24"/>
        </w:rPr>
        <w:t xml:space="preserve">investors should construct a diversified portfolio that maximize their returns with acceptable levels of risks. </w:t>
      </w:r>
      <w:r w:rsidR="007D6C2B">
        <w:rPr>
          <w:rFonts w:cs="Times New Roman"/>
          <w:color w:val="0000CC"/>
          <w:szCs w:val="24"/>
        </w:rPr>
        <w:t xml:space="preserve">We argue that </w:t>
      </w:r>
      <w:r w:rsidRPr="00B17E08">
        <w:rPr>
          <w:rFonts w:cs="Times New Roman"/>
          <w:color w:val="0000CC"/>
          <w:szCs w:val="24"/>
        </w:rPr>
        <w:t>incorporating social and environmental considerations into firm strategies and operations reduces company risk</w:t>
      </w:r>
      <w:r w:rsidR="007D6C2B">
        <w:rPr>
          <w:rFonts w:cs="Times New Roman"/>
          <w:color w:val="0000CC"/>
          <w:szCs w:val="24"/>
        </w:rPr>
        <w:t xml:space="preserve"> would</w:t>
      </w:r>
      <w:r w:rsidRPr="00B17E08">
        <w:rPr>
          <w:rFonts w:cs="Times New Roman"/>
          <w:color w:val="0000CC"/>
          <w:szCs w:val="24"/>
        </w:rPr>
        <w:t xml:space="preserve"> promot</w:t>
      </w:r>
      <w:r w:rsidR="007D6C2B">
        <w:rPr>
          <w:rFonts w:cs="Times New Roman"/>
          <w:color w:val="0000CC"/>
          <w:szCs w:val="24"/>
        </w:rPr>
        <w:t>e</w:t>
      </w:r>
      <w:r w:rsidRPr="00B17E08">
        <w:rPr>
          <w:rFonts w:cs="Times New Roman"/>
          <w:color w:val="0000CC"/>
          <w:szCs w:val="24"/>
        </w:rPr>
        <w:t xml:space="preserve"> value creation in the long term</w:t>
      </w:r>
      <w:r w:rsidR="00973710">
        <w:rPr>
          <w:rFonts w:cs="Times New Roman"/>
          <w:color w:val="0000CC"/>
          <w:szCs w:val="24"/>
        </w:rPr>
        <w:t xml:space="preserve"> </w:t>
      </w:r>
      <w:r w:rsidR="007D6C2B">
        <w:rPr>
          <w:rFonts w:cs="Times New Roman"/>
          <w:color w:val="0000CC"/>
          <w:szCs w:val="24"/>
        </w:rPr>
        <w:t xml:space="preserve">and lower the investment risks </w:t>
      </w:r>
      <w:r w:rsidR="00973710">
        <w:rPr>
          <w:rFonts w:cs="Times New Roman"/>
          <w:color w:val="0000CC"/>
          <w:szCs w:val="24"/>
        </w:rPr>
        <w:t>(</w:t>
      </w:r>
      <w:proofErr w:type="spellStart"/>
      <w:r w:rsidR="007D6C2B">
        <w:rPr>
          <w:rFonts w:cs="Times New Roman"/>
          <w:color w:val="0000CC"/>
          <w:szCs w:val="24"/>
        </w:rPr>
        <w:t>Masini</w:t>
      </w:r>
      <w:proofErr w:type="spellEnd"/>
      <w:r w:rsidR="007D6C2B">
        <w:rPr>
          <w:rFonts w:cs="Times New Roman"/>
          <w:color w:val="0000CC"/>
          <w:szCs w:val="24"/>
        </w:rPr>
        <w:t xml:space="preserve"> and </w:t>
      </w:r>
      <w:proofErr w:type="spellStart"/>
      <w:r w:rsidR="007D6C2B">
        <w:rPr>
          <w:rFonts w:cs="Times New Roman"/>
          <w:color w:val="0000CC"/>
          <w:szCs w:val="24"/>
        </w:rPr>
        <w:t>Menichetti</w:t>
      </w:r>
      <w:proofErr w:type="spellEnd"/>
      <w:r w:rsidR="00973710">
        <w:rPr>
          <w:rFonts w:cs="Times New Roman"/>
          <w:color w:val="0000CC"/>
          <w:szCs w:val="24"/>
        </w:rPr>
        <w:t>, 201</w:t>
      </w:r>
      <w:r w:rsidR="007D6C2B">
        <w:rPr>
          <w:rFonts w:cs="Times New Roman"/>
          <w:color w:val="0000CC"/>
          <w:szCs w:val="24"/>
        </w:rPr>
        <w:t>3</w:t>
      </w:r>
      <w:r w:rsidR="00973710">
        <w:rPr>
          <w:rFonts w:cs="Times New Roman"/>
          <w:color w:val="0000CC"/>
          <w:szCs w:val="24"/>
        </w:rPr>
        <w:t>)</w:t>
      </w:r>
      <w:r w:rsidRPr="00B17E08">
        <w:rPr>
          <w:rFonts w:cs="Times New Roman"/>
          <w:color w:val="0000CC"/>
          <w:szCs w:val="24"/>
        </w:rPr>
        <w:t xml:space="preserve">. </w:t>
      </w:r>
      <w:r w:rsidR="007D6C2B" w:rsidRPr="007D6C2B">
        <w:rPr>
          <w:rFonts w:cs="Times New Roman"/>
          <w:color w:val="0000CC"/>
          <w:szCs w:val="24"/>
        </w:rPr>
        <w:t xml:space="preserve">In the context of economic policy uncertainty, firms are encouraged to diversify to mitigate the negative effects of EPU, GPR, and oil price volatility. Therefore, the company's value will be enhanced, and potential investors will </w:t>
      </w:r>
      <w:r w:rsidR="007D6C2B">
        <w:rPr>
          <w:rFonts w:cs="Times New Roman"/>
          <w:color w:val="0000CC"/>
          <w:szCs w:val="24"/>
        </w:rPr>
        <w:t>be able to better predict the returns on their investments</w:t>
      </w:r>
      <w:r w:rsidR="007D6C2B" w:rsidRPr="007D6C2B">
        <w:rPr>
          <w:rFonts w:cs="Times New Roman"/>
          <w:color w:val="0000CC"/>
          <w:szCs w:val="24"/>
        </w:rPr>
        <w:t>.</w:t>
      </w:r>
      <w:r w:rsidR="007D6C2B">
        <w:rPr>
          <w:rFonts w:cs="Times New Roman"/>
          <w:color w:val="0000CC"/>
          <w:szCs w:val="24"/>
        </w:rPr>
        <w:t xml:space="preserve"> </w:t>
      </w:r>
      <w:r w:rsidR="00973710" w:rsidRPr="00973710">
        <w:rPr>
          <w:rFonts w:cs="Times New Roman"/>
          <w:color w:val="0000CC"/>
          <w:szCs w:val="24"/>
        </w:rPr>
        <w:t xml:space="preserve">Furthermore, Bona-Sanchez et al. (2017) argue that sustainability helps inventors analyze financial information in an uncertain context which is in line with </w:t>
      </w:r>
      <w:r w:rsidR="007D6C2B">
        <w:rPr>
          <w:rFonts w:cs="Times New Roman"/>
          <w:color w:val="0000CC"/>
          <w:szCs w:val="24"/>
        </w:rPr>
        <w:t>portfolio</w:t>
      </w:r>
      <w:r w:rsidR="00973710" w:rsidRPr="00973710">
        <w:rPr>
          <w:rFonts w:cs="Times New Roman"/>
          <w:color w:val="0000CC"/>
          <w:szCs w:val="24"/>
        </w:rPr>
        <w:t xml:space="preserve"> theory.</w:t>
      </w:r>
      <w:r w:rsidR="00973710">
        <w:rPr>
          <w:rFonts w:cs="Times New Roman"/>
          <w:color w:val="0000CC"/>
          <w:szCs w:val="24"/>
        </w:rPr>
        <w:t xml:space="preserve"> </w:t>
      </w:r>
      <w:r w:rsidR="00B60C49" w:rsidRPr="00B60C49">
        <w:rPr>
          <w:rFonts w:cs="Times New Roman"/>
          <w:color w:val="0000CC"/>
          <w:szCs w:val="24"/>
        </w:rPr>
        <w:t>Investors who are risk averse can minimize uncertainty risks by investing in securities (e.g., green bonds) that reduce risk and maximize returns. As a result, diversification is an important aspect of this investment strategy. Indeed, Chopra and Mehta (2023) found that green bonds acted as a strong hedge for eleven US stock sectors during the COVID-19 crisis. They suggest that investors hedge their equity portfolios with green bonds regardless of the economic consciousness of the companies in their portfolio.</w:t>
      </w:r>
    </w:p>
    <w:p w14:paraId="79B60494" w14:textId="77777777" w:rsidR="00AD4CB1" w:rsidRPr="006F5452" w:rsidRDefault="00AD4CB1" w:rsidP="00AD4CB1"/>
    <w:bookmarkEnd w:id="3"/>
    <w:p w14:paraId="7F1870A9" w14:textId="3D0A900B" w:rsidR="00242F1B" w:rsidRPr="006F5452" w:rsidRDefault="00242F1B" w:rsidP="002A4B33">
      <w:pPr>
        <w:pStyle w:val="Heading2"/>
        <w:rPr>
          <w:noProof/>
        </w:rPr>
      </w:pPr>
      <w:r w:rsidRPr="006F5452">
        <w:rPr>
          <w:noProof/>
        </w:rPr>
        <w:t xml:space="preserve">2.1 </w:t>
      </w:r>
      <w:r w:rsidR="00AD4CB1" w:rsidRPr="006F5452">
        <w:rPr>
          <w:noProof/>
        </w:rPr>
        <w:t xml:space="preserve">Economic policy uncertainty, oil prices, and green bond returns </w:t>
      </w:r>
    </w:p>
    <w:p w14:paraId="7F22ED3D" w14:textId="196E9E63" w:rsidR="00AD4CB1" w:rsidRPr="006F5452" w:rsidRDefault="00AD4CB1" w:rsidP="00DB0AA1">
      <w:pPr>
        <w:ind w:firstLine="720"/>
        <w:jc w:val="both"/>
        <w:rPr>
          <w:rFonts w:cs="Times New Roman"/>
          <w:szCs w:val="24"/>
        </w:rPr>
      </w:pPr>
      <w:r w:rsidRPr="006F5452">
        <w:rPr>
          <w:rFonts w:cs="Times New Roman"/>
          <w:szCs w:val="24"/>
        </w:rPr>
        <w:t xml:space="preserve">Economic policy uncertainty relates to financial system risk due to unclear strategies of government spending, taxation, monetary, and other regulations </w:t>
      </w:r>
      <w:r w:rsidRPr="006F5452">
        <w:rPr>
          <w:rFonts w:cs="Times New Roman"/>
          <w:szCs w:val="24"/>
        </w:rPr>
        <w:fldChar w:fldCharType="begin"/>
      </w:r>
      <w:r w:rsidRPr="006F5452">
        <w:rPr>
          <w:rFonts w:cs="Times New Roman"/>
          <w:szCs w:val="24"/>
        </w:rPr>
        <w:instrText xml:space="preserve"> ADDIN EN.CITE &lt;EndNote&gt;&lt;Cite&gt;&lt;Author&gt;Baker&lt;/Author&gt;&lt;Year&gt;2016&lt;/Year&gt;&lt;RecNum&gt;10&lt;/RecNum&gt;&lt;DisplayText&gt;(Baker et al., 2016)&lt;/DisplayText&gt;&lt;record&gt;&lt;rec-number&gt;10&lt;/rec-number&gt;&lt;foreign-keys&gt;&lt;key app="EN" db-id="azfxvt991df2r2ew2adxzdekws2tx55feewr" timestamp="1663923682"&gt;10&lt;/key&gt;&lt;/foreign-keys&gt;&lt;ref-type name="Journal Article"&gt;17&lt;/ref-type&gt;&lt;contributors&gt;&lt;authors&gt;&lt;author&gt;Baker, Scott R&lt;/author&gt;&lt;author&gt;Bloom, Nicholas&lt;/author&gt;&lt;author&gt;Davis, Steven J&lt;/author&gt;&lt;/authors&gt;&lt;/contributors&gt;&lt;titles&gt;&lt;title&gt;Measuring economic policy uncertainty&lt;/title&gt;&lt;secondary-title&gt;The quarterly journal of economics&lt;/secondary-title&gt;&lt;/titles&gt;&lt;periodical&gt;&lt;full-title&gt;The quarterly journal of economics&lt;/full-title&gt;&lt;/periodical&gt;&lt;pages&gt;1593-1636&lt;/pages&gt;&lt;volume&gt;131&lt;/volume&gt;&lt;number&gt;4&lt;/number&gt;&lt;dates&gt;&lt;year&gt;2016&lt;/year&gt;&lt;/dates&gt;&lt;isbn&gt;0033-5533&lt;/isbn&gt;&lt;urls&gt;&lt;/urls&gt;&lt;/record&gt;&lt;/Cite&gt;&lt;/EndNote&gt;</w:instrText>
      </w:r>
      <w:r w:rsidRPr="006F5452">
        <w:rPr>
          <w:rFonts w:cs="Times New Roman"/>
          <w:szCs w:val="24"/>
        </w:rPr>
        <w:fldChar w:fldCharType="separate"/>
      </w:r>
      <w:r w:rsidRPr="006F5452">
        <w:rPr>
          <w:rFonts w:cs="Times New Roman"/>
          <w:noProof/>
          <w:szCs w:val="24"/>
        </w:rPr>
        <w:t>(Baker et al., 2016)</w:t>
      </w:r>
      <w:r w:rsidRPr="006F5452">
        <w:rPr>
          <w:rFonts w:cs="Times New Roman"/>
          <w:szCs w:val="24"/>
        </w:rPr>
        <w:fldChar w:fldCharType="end"/>
      </w:r>
      <w:r w:rsidRPr="006F5452">
        <w:rPr>
          <w:rFonts w:cs="Times New Roman"/>
          <w:szCs w:val="24"/>
        </w:rPr>
        <w:t xml:space="preserve">. Due to international trade conflicts and financial globalization, economic policy uncertainty has increased immensely </w:t>
      </w:r>
      <w:r w:rsidRPr="006F5452">
        <w:rPr>
          <w:rFonts w:cs="Times New Roman"/>
          <w:szCs w:val="24"/>
        </w:rPr>
        <w:fldChar w:fldCharType="begin"/>
      </w:r>
      <w:r w:rsidRPr="006F5452">
        <w:rPr>
          <w:rFonts w:cs="Times New Roman"/>
          <w:szCs w:val="24"/>
        </w:rPr>
        <w:instrText xml:space="preserve"> ADDIN EN.CITE &lt;EndNote&gt;&lt;Cite&gt;&lt;Author&gt;Al-Thaqeb&lt;/Author&gt;&lt;Year&gt;2019&lt;/Year&gt;&lt;RecNum&gt;11&lt;/RecNum&gt;&lt;DisplayText&gt;(Al-Thaqeb &amp;amp; Algharabali, 2019)&lt;/DisplayText&gt;&lt;record&gt;&lt;rec-number&gt;11&lt;/rec-number&gt;&lt;foreign-keys&gt;&lt;key app="EN" db-id="azfxvt991df2r2ew2adxzdekws2tx55feewr" timestamp="1663923735"&gt;11&lt;/key&gt;&lt;/foreign-keys&gt;&lt;ref-type name="Journal Article"&gt;17&lt;/ref-type&gt;&lt;contributors&gt;&lt;authors&gt;&lt;author&gt;Al-Thaqeb, Saud Asaad&lt;/author&gt;&lt;author&gt;Algharabali, Barrak Ghanim&lt;/author&gt;&lt;/authors&gt;&lt;/contributors&gt;&lt;titles&gt;&lt;title&gt;Economic policy uncertainty: A literature review&lt;/title&gt;&lt;secondary-title&gt;The Journal of Economic Asymmetries&lt;/secondary-title&gt;&lt;/titles&gt;&lt;periodical&gt;&lt;full-title&gt;The Journal of Economic Asymmetries&lt;/full-title&gt;&lt;/periodical&gt;&lt;pages&gt;e00133&lt;/pages&gt;&lt;volume&gt;20&lt;/volume&gt;&lt;dates&gt;&lt;year&gt;2019&lt;/year&gt;&lt;/dates&gt;&lt;isbn&gt;1703-4949&lt;/isbn&gt;&lt;urls&gt;&lt;/urls&gt;&lt;/record&gt;&lt;/Cite&gt;&lt;/EndNote&gt;</w:instrText>
      </w:r>
      <w:r w:rsidRPr="006F5452">
        <w:rPr>
          <w:rFonts w:cs="Times New Roman"/>
          <w:szCs w:val="24"/>
        </w:rPr>
        <w:fldChar w:fldCharType="separate"/>
      </w:r>
      <w:r w:rsidRPr="006F5452">
        <w:rPr>
          <w:rFonts w:cs="Times New Roman"/>
          <w:noProof/>
          <w:szCs w:val="24"/>
        </w:rPr>
        <w:t>(Al-Thaqeb &amp; Algharabali, 2019)</w:t>
      </w:r>
      <w:r w:rsidRPr="006F5452">
        <w:rPr>
          <w:rFonts w:cs="Times New Roman"/>
          <w:szCs w:val="24"/>
        </w:rPr>
        <w:fldChar w:fldCharType="end"/>
      </w:r>
      <w:r w:rsidRPr="006F5452">
        <w:rPr>
          <w:rFonts w:cs="Times New Roman"/>
          <w:szCs w:val="24"/>
        </w:rPr>
        <w:t xml:space="preserve">. Furthermore, the COVID-19 crisis has exacerbated the economic policy uncertainty around the world, making it a more devastating catastrophe than the world economic downturn and the Eurozone crisis </w:t>
      </w:r>
      <w:r w:rsidRPr="006F5452">
        <w:rPr>
          <w:rFonts w:cs="Times New Roman"/>
          <w:szCs w:val="24"/>
        </w:rPr>
        <w:fldChar w:fldCharType="begin"/>
      </w:r>
      <w:r w:rsidRPr="006F5452">
        <w:rPr>
          <w:rFonts w:cs="Times New Roman"/>
          <w:szCs w:val="24"/>
        </w:rPr>
        <w:instrText xml:space="preserve"> ADDIN EN.CITE &lt;EndNote&gt;&lt;Cite&gt;&lt;Author&gt;Baker&lt;/Author&gt;&lt;Year&gt;2020&lt;/Year&gt;&lt;RecNum&gt;12&lt;/RecNum&gt;&lt;DisplayText&gt;(Baker et al., 2020)&lt;/DisplayText&gt;&lt;record&gt;&lt;rec-number&gt;12&lt;/rec-number&gt;&lt;foreign-keys&gt;&lt;key app="EN" db-id="azfxvt991df2r2ew2adxzdekws2tx55feewr" timestamp="1663923811"&gt;12&lt;/key&gt;&lt;/foreign-keys&gt;&lt;ref-type name="Journal Article"&gt;17&lt;/ref-type&gt;&lt;contributors&gt;&lt;authors&gt;&lt;author&gt;Baker, Scott R&lt;/author&gt;&lt;author&gt;Bloom, Nicholas&lt;/author&gt;&lt;author&gt;Davis, Steven J&lt;/author&gt;&lt;author&gt;Kost, Kyle&lt;/author&gt;&lt;author&gt;Sammon, Marco&lt;/author&gt;&lt;author&gt;Viratyosin, Tasaneeya&lt;/author&gt;&lt;/authors&gt;&lt;/contributors&gt;&lt;titles&gt;&lt;title&gt;The unprecedented stock market reaction to COVID-19&lt;/title&gt;&lt;secondary-title&gt;The review of asset pricing studies&lt;/secondary-title&gt;&lt;/titles&gt;&lt;periodical&gt;&lt;full-title&gt;The review of asset pricing studies&lt;/full-title&gt;&lt;/periodical&gt;&lt;pages&gt;742-758&lt;/pages&gt;&lt;volume&gt;10&lt;/volume&gt;&lt;number&gt;4&lt;/number&gt;&lt;dates&gt;&lt;year&gt;2020&lt;/year&gt;&lt;/dates&gt;&lt;isbn&gt;2045-9920&lt;/isbn&gt;&lt;urls&gt;&lt;/urls&gt;&lt;/record&gt;&lt;/Cite&gt;&lt;/EndNote&gt;</w:instrText>
      </w:r>
      <w:r w:rsidRPr="006F5452">
        <w:rPr>
          <w:rFonts w:cs="Times New Roman"/>
          <w:szCs w:val="24"/>
        </w:rPr>
        <w:fldChar w:fldCharType="separate"/>
      </w:r>
      <w:r w:rsidRPr="006F5452">
        <w:rPr>
          <w:rFonts w:cs="Times New Roman"/>
          <w:noProof/>
          <w:szCs w:val="24"/>
        </w:rPr>
        <w:t>(Baker et al., 2020)</w:t>
      </w:r>
      <w:r w:rsidRPr="006F5452">
        <w:rPr>
          <w:rFonts w:cs="Times New Roman"/>
          <w:szCs w:val="24"/>
        </w:rPr>
        <w:fldChar w:fldCharType="end"/>
      </w:r>
      <w:r w:rsidRPr="006F5452">
        <w:rPr>
          <w:rFonts w:cs="Times New Roman"/>
          <w:szCs w:val="24"/>
        </w:rPr>
        <w:t xml:space="preserve">. </w:t>
      </w:r>
      <w:r w:rsidR="00B60C49" w:rsidRPr="00B60C49">
        <w:rPr>
          <w:rFonts w:cs="Times New Roman"/>
          <w:color w:val="0000CC"/>
          <w:szCs w:val="24"/>
        </w:rPr>
        <w:lastRenderedPageBreak/>
        <w:t>From portfolio theory perspective,</w:t>
      </w:r>
      <w:r w:rsidR="00CC1F16" w:rsidRPr="00B60C49">
        <w:rPr>
          <w:rFonts w:cs="Times New Roman"/>
          <w:color w:val="0000CC"/>
          <w:szCs w:val="24"/>
        </w:rPr>
        <w:t xml:space="preserve"> </w:t>
      </w:r>
      <w:r w:rsidRPr="00B60C49">
        <w:rPr>
          <w:rFonts w:cs="Times New Roman"/>
          <w:color w:val="0000CC"/>
          <w:szCs w:val="24"/>
        </w:rPr>
        <w:t>investors always seek</w:t>
      </w:r>
      <w:r w:rsidR="00B60C49">
        <w:rPr>
          <w:rFonts w:cs="Times New Roman"/>
          <w:color w:val="0000CC"/>
          <w:szCs w:val="24"/>
        </w:rPr>
        <w:t xml:space="preserve"> to diversify</w:t>
      </w:r>
      <w:r w:rsidRPr="00B60C49">
        <w:rPr>
          <w:rFonts w:cs="Times New Roman"/>
          <w:color w:val="0000CC"/>
          <w:szCs w:val="24"/>
        </w:rPr>
        <w:t xml:space="preserve"> </w:t>
      </w:r>
      <w:r w:rsidR="00B60C49">
        <w:rPr>
          <w:rFonts w:cs="Times New Roman"/>
          <w:color w:val="0000CC"/>
          <w:szCs w:val="24"/>
        </w:rPr>
        <w:t xml:space="preserve">their investment portfolio </w:t>
      </w:r>
      <w:r w:rsidRPr="00B60C49">
        <w:rPr>
          <w:rFonts w:cs="Times New Roman"/>
          <w:color w:val="0000CC"/>
          <w:szCs w:val="24"/>
        </w:rPr>
        <w:t>to reduce the risk</w:t>
      </w:r>
      <w:r w:rsidR="00B60C49">
        <w:rPr>
          <w:rFonts w:cs="Times New Roman"/>
          <w:color w:val="0000CC"/>
          <w:szCs w:val="24"/>
        </w:rPr>
        <w:t xml:space="preserve"> (</w:t>
      </w:r>
      <w:proofErr w:type="spellStart"/>
      <w:r w:rsidR="00B60C49">
        <w:rPr>
          <w:rFonts w:cs="Times New Roman"/>
          <w:color w:val="0000CC"/>
          <w:szCs w:val="24"/>
        </w:rPr>
        <w:t>Masini</w:t>
      </w:r>
      <w:proofErr w:type="spellEnd"/>
      <w:r w:rsidR="00B60C49">
        <w:rPr>
          <w:rFonts w:cs="Times New Roman"/>
          <w:color w:val="0000CC"/>
          <w:szCs w:val="24"/>
        </w:rPr>
        <w:t xml:space="preserve"> and </w:t>
      </w:r>
      <w:proofErr w:type="spellStart"/>
      <w:r w:rsidR="00B60C49">
        <w:rPr>
          <w:rFonts w:cs="Times New Roman"/>
          <w:color w:val="0000CC"/>
          <w:szCs w:val="24"/>
        </w:rPr>
        <w:t>Menichetti</w:t>
      </w:r>
      <w:proofErr w:type="spellEnd"/>
      <w:r w:rsidR="00B60C49">
        <w:rPr>
          <w:rFonts w:cs="Times New Roman"/>
          <w:color w:val="0000CC"/>
          <w:szCs w:val="24"/>
        </w:rPr>
        <w:t>, 2013)</w:t>
      </w:r>
      <w:r w:rsidRPr="00B60C49">
        <w:rPr>
          <w:rFonts w:cs="Times New Roman"/>
          <w:color w:val="0000CC"/>
          <w:szCs w:val="24"/>
        </w:rPr>
        <w:t xml:space="preserve">. </w:t>
      </w:r>
      <w:r w:rsidRPr="006F5452">
        <w:rPr>
          <w:rFonts w:cs="Times New Roman"/>
          <w:szCs w:val="24"/>
        </w:rPr>
        <w:t xml:space="preserve">Economic political uncertainty presents a serious issue for investors and policymakers and is expected to curtail the volume of investment </w:t>
      </w:r>
      <w:r w:rsidRPr="006F5452">
        <w:rPr>
          <w:rFonts w:cs="Times New Roman"/>
          <w:szCs w:val="24"/>
        </w:rPr>
        <w:fldChar w:fldCharType="begin"/>
      </w:r>
      <w:r w:rsidRPr="006F5452">
        <w:rPr>
          <w:rFonts w:cs="Times New Roman"/>
          <w:szCs w:val="24"/>
        </w:rPr>
        <w:instrText xml:space="preserve"> ADDIN EN.CITE &lt;EndNote&gt;&lt;Cite&gt;&lt;Author&gt;Bernanke&lt;/Author&gt;&lt;Year&gt;1983&lt;/Year&gt;&lt;RecNum&gt;13&lt;/RecNum&gt;&lt;DisplayText&gt;(Bernanke, 1983)&lt;/DisplayText&gt;&lt;record&gt;&lt;rec-number&gt;13&lt;/rec-number&gt;&lt;foreign-keys&gt;&lt;key app="EN" db-id="azfxvt991df2r2ew2adxzdekws2tx55feewr" timestamp="1663923843"&gt;13&lt;/key&gt;&lt;/foreign-keys&gt;&lt;ref-type name="Journal Article"&gt;17&lt;/ref-type&gt;&lt;contributors&gt;&lt;authors&gt;&lt;author&gt;Bernanke, Ben S&lt;/author&gt;&lt;/authors&gt;&lt;/contributors&gt;&lt;titles&gt;&lt;title&gt;Irreversibility, uncertainty, and cyclical investment&lt;/title&gt;&lt;secondary-title&gt;The quarterly journal of economics&lt;/secondary-title&gt;&lt;/titles&gt;&lt;periodical&gt;&lt;full-title&gt;The quarterly journal of economics&lt;/full-title&gt;&lt;/periodical&gt;&lt;pages&gt;85-106&lt;/pages&gt;&lt;volume&gt;98&lt;/volume&gt;&lt;number&gt;1&lt;/number&gt;&lt;dates&gt;&lt;year&gt;1983&lt;/year&gt;&lt;/dates&gt;&lt;isbn&gt;1531-4650&lt;/isbn&gt;&lt;urls&gt;&lt;/urls&gt;&lt;/record&gt;&lt;/Cite&gt;&lt;/EndNote&gt;</w:instrText>
      </w:r>
      <w:r w:rsidRPr="006F5452">
        <w:rPr>
          <w:rFonts w:cs="Times New Roman"/>
          <w:szCs w:val="24"/>
        </w:rPr>
        <w:fldChar w:fldCharType="separate"/>
      </w:r>
      <w:r w:rsidRPr="006F5452">
        <w:rPr>
          <w:rFonts w:cs="Times New Roman"/>
          <w:noProof/>
          <w:szCs w:val="24"/>
        </w:rPr>
        <w:t>(Bernanke, 1983)</w:t>
      </w:r>
      <w:r w:rsidRPr="006F5452">
        <w:rPr>
          <w:rFonts w:cs="Times New Roman"/>
          <w:szCs w:val="24"/>
        </w:rPr>
        <w:fldChar w:fldCharType="end"/>
      </w:r>
      <w:r w:rsidRPr="006F5452">
        <w:rPr>
          <w:rFonts w:cs="Times New Roman"/>
          <w:szCs w:val="24"/>
        </w:rPr>
        <w:t>.</w:t>
      </w:r>
    </w:p>
    <w:p w14:paraId="47E3E1A5" w14:textId="77777777" w:rsidR="00DB0AA1" w:rsidRPr="006F5452" w:rsidRDefault="00DB0AA1" w:rsidP="00DB0AA1">
      <w:pPr>
        <w:ind w:firstLine="720"/>
        <w:jc w:val="both"/>
        <w:rPr>
          <w:rFonts w:cs="Times New Roman"/>
          <w:szCs w:val="24"/>
        </w:rPr>
      </w:pPr>
    </w:p>
    <w:p w14:paraId="29812EEE" w14:textId="53FCBE47" w:rsidR="00AD4CB1" w:rsidRPr="006F5452" w:rsidRDefault="00AD4CB1" w:rsidP="00DB0AA1">
      <w:pPr>
        <w:autoSpaceDE w:val="0"/>
        <w:autoSpaceDN w:val="0"/>
        <w:adjustRightInd w:val="0"/>
        <w:ind w:firstLine="720"/>
        <w:jc w:val="both"/>
        <w:rPr>
          <w:rFonts w:cs="Times New Roman"/>
          <w:szCs w:val="24"/>
        </w:rPr>
      </w:pPr>
      <w:r w:rsidRPr="006F5452">
        <w:rPr>
          <w:rFonts w:cs="Times New Roman"/>
          <w:szCs w:val="24"/>
        </w:rPr>
        <w:t>Existing literature examines the correlation between financial asset performances</w:t>
      </w:r>
      <w:r w:rsidR="00D319A4" w:rsidRPr="006F5452">
        <w:rPr>
          <w:rFonts w:cs="Times New Roman"/>
          <w:szCs w:val="24"/>
        </w:rPr>
        <w:t>,</w:t>
      </w:r>
      <w:r w:rsidRPr="006F5452">
        <w:rPr>
          <w:rFonts w:cs="Times New Roman"/>
          <w:szCs w:val="24"/>
        </w:rPr>
        <w:t xml:space="preserve"> such as cryptocurrency, international stocks, and conventional stocks</w:t>
      </w:r>
      <w:r w:rsidR="00C604FC">
        <w:rPr>
          <w:rFonts w:cs="Times New Roman"/>
          <w:szCs w:val="24"/>
        </w:rPr>
        <w:t>,</w:t>
      </w:r>
      <w:r w:rsidRPr="006F5452">
        <w:rPr>
          <w:rFonts w:cs="Times New Roman"/>
          <w:szCs w:val="24"/>
        </w:rPr>
        <w:t xml:space="preserve"> against economic political uncertainty </w:t>
      </w:r>
      <w:r w:rsidRPr="006F5452">
        <w:rPr>
          <w:rFonts w:cs="Times New Roman"/>
          <w:szCs w:val="24"/>
        </w:rPr>
        <w:fldChar w:fldCharType="begin"/>
      </w:r>
      <w:r w:rsidRPr="006F5452">
        <w:rPr>
          <w:rFonts w:cs="Times New Roman"/>
          <w:szCs w:val="24"/>
        </w:rPr>
        <w:instrText xml:space="preserve"> ADDIN EN.CITE &lt;EndNote&gt;&lt;Cite&gt;&lt;Author&gt;Yen&lt;/Author&gt;&lt;Year&gt;2021&lt;/Year&gt;&lt;RecNum&gt;14&lt;/RecNum&gt;&lt;DisplayText&gt;(Yen &amp;amp; Cheng, 2021)&lt;/DisplayText&gt;&lt;record&gt;&lt;rec-number&gt;14&lt;/rec-number&gt;&lt;foreign-keys&gt;&lt;key app="EN" db-id="azfxvt991df2r2ew2adxzdekws2tx55feewr" timestamp="1663923959"&gt;14&lt;/key&gt;&lt;/foreign-keys&gt;&lt;ref-type name="Journal Article"&gt;17&lt;/ref-type&gt;&lt;contributors&gt;&lt;authors&gt;&lt;author&gt;Yen, Kuang-Chieh&lt;/author&gt;&lt;author&gt;Cheng, Hui-Pei&lt;/author&gt;&lt;/authors&gt;&lt;/contributors&gt;&lt;titles&gt;&lt;title&gt;Economic policy uncertainty and cryptocurrency volatility&lt;/title&gt;&lt;secondary-title&gt;Finance Research Letters&lt;/secondary-title&gt;&lt;/titles&gt;&lt;periodical&gt;&lt;full-title&gt;Finance Research Letters&lt;/full-title&gt;&lt;/periodical&gt;&lt;pages&gt;101428&lt;/pages&gt;&lt;volume&gt;38&lt;/volume&gt;&lt;dates&gt;&lt;year&gt;2021&lt;/year&gt;&lt;/dates&gt;&lt;isbn&gt;1544-6123&lt;/isbn&gt;&lt;urls&gt;&lt;/urls&gt;&lt;/record&gt;&lt;/Cite&gt;&lt;/EndNote&gt;</w:instrText>
      </w:r>
      <w:r w:rsidRPr="006F5452">
        <w:rPr>
          <w:rFonts w:cs="Times New Roman"/>
          <w:szCs w:val="24"/>
        </w:rPr>
        <w:fldChar w:fldCharType="separate"/>
      </w:r>
      <w:r w:rsidRPr="006F5452">
        <w:rPr>
          <w:rFonts w:cs="Times New Roman"/>
          <w:noProof/>
          <w:szCs w:val="24"/>
        </w:rPr>
        <w:t>(Yen &amp; Cheng, 2021</w:t>
      </w:r>
      <w:r w:rsidR="00B60C49">
        <w:rPr>
          <w:rFonts w:cs="Times New Roman"/>
          <w:noProof/>
          <w:szCs w:val="24"/>
        </w:rPr>
        <w:t>; Zhang et al., 2023</w:t>
      </w:r>
      <w:r w:rsidRPr="006F5452">
        <w:rPr>
          <w:rFonts w:cs="Times New Roman"/>
          <w:noProof/>
          <w:szCs w:val="24"/>
        </w:rPr>
        <w:t>)</w:t>
      </w:r>
      <w:r w:rsidRPr="006F5452">
        <w:rPr>
          <w:rFonts w:cs="Times New Roman"/>
          <w:szCs w:val="24"/>
        </w:rPr>
        <w:fldChar w:fldCharType="end"/>
      </w:r>
      <w:r w:rsidRPr="006F5452">
        <w:rPr>
          <w:rFonts w:cs="Times New Roman"/>
          <w:szCs w:val="24"/>
        </w:rPr>
        <w:t>. Furthermore, some studies investigated the influencing factors of green bonds' performance, in particular</w:t>
      </w:r>
      <w:r w:rsidR="00C604FC">
        <w:rPr>
          <w:rFonts w:cs="Times New Roman"/>
          <w:szCs w:val="24"/>
        </w:rPr>
        <w:t>,</w:t>
      </w:r>
      <w:r w:rsidRPr="006F5452">
        <w:rPr>
          <w:rFonts w:cs="Times New Roman"/>
          <w:szCs w:val="24"/>
        </w:rPr>
        <w:t xml:space="preserve"> the relationship between sustainable bonds and traditional bonds </w:t>
      </w:r>
      <w:r w:rsidRPr="006F5452">
        <w:rPr>
          <w:rFonts w:cs="Times New Roman"/>
          <w:szCs w:val="24"/>
        </w:rPr>
        <w:fldChar w:fldCharType="begin"/>
      </w:r>
      <w:r w:rsidR="00E97657">
        <w:rPr>
          <w:rFonts w:cs="Times New Roman"/>
          <w:szCs w:val="24"/>
        </w:rPr>
        <w:instrText xml:space="preserve"> ADDIN EN.CITE &lt;EndNote&gt;&lt;Cite&gt;&lt;Author&gt;Nguyen&lt;/Author&gt;&lt;Year&gt;2021&lt;/Year&gt;&lt;RecNum&gt;15&lt;/RecNum&gt;&lt;DisplayText&gt;(Nguyen et al., 2021)&lt;/DisplayText&gt;&lt;record&gt;&lt;rec-number&gt;15&lt;/rec-number&gt;&lt;foreign-keys&gt;&lt;key app="EN" db-id="azfxvt991df2r2ew2adxzdekws2tx55feewr" timestamp="1663924023"&gt;15&lt;/key&gt;&lt;/foreign-keys&gt;&lt;ref-type name="Journal Article"&gt;17&lt;/ref-type&gt;&lt;contributors&gt;&lt;authors&gt;&lt;author&gt;Nguyen, Thi Thu Ha&lt;/author&gt;&lt;author&gt;Naeem, Muhammad Abubakr&lt;/author&gt;&lt;author&gt;Balli, Faruk&lt;/author&gt;&lt;author&gt;Balli, Hatice Ozer&lt;/author&gt;&lt;author&gt;Vo, Xuan Vinh&lt;/author&gt;&lt;/authors&gt;&lt;/contributors&gt;&lt;titles&gt;&lt;title&gt;Time-frequency comovement among green bonds, stocks, commodities, clean energy, and conventional bonds&lt;/title&gt;&lt;secondary-title&gt;Finance Research Letters&lt;/secondary-title&gt;&lt;/titles&gt;&lt;periodical&gt;&lt;full-title&gt;Finance Research Letters&lt;/full-title&gt;&lt;/periodical&gt;&lt;pages&gt;101739&lt;/pages&gt;&lt;volume&gt;40&lt;/volume&gt;&lt;dates&gt;&lt;year&gt;2021&lt;/year&gt;&lt;/dates&gt;&lt;isbn&gt;1544-6123&lt;/isbn&gt;&lt;urls&gt;&lt;/urls&gt;&lt;/record&gt;&lt;/Cite&gt;&lt;/EndNote&gt;</w:instrText>
      </w:r>
      <w:r w:rsidRPr="006F5452">
        <w:rPr>
          <w:rFonts w:cs="Times New Roman"/>
          <w:szCs w:val="24"/>
        </w:rPr>
        <w:fldChar w:fldCharType="separate"/>
      </w:r>
      <w:r w:rsidR="00E97657">
        <w:rPr>
          <w:rFonts w:cs="Times New Roman"/>
          <w:noProof/>
          <w:szCs w:val="24"/>
        </w:rPr>
        <w:t>(Nguyen et al., 2021)</w:t>
      </w:r>
      <w:r w:rsidRPr="006F5452">
        <w:rPr>
          <w:rFonts w:cs="Times New Roman"/>
          <w:szCs w:val="24"/>
        </w:rPr>
        <w:fldChar w:fldCharType="end"/>
      </w:r>
      <w:r w:rsidRPr="006F5452">
        <w:rPr>
          <w:rFonts w:cs="Times New Roman"/>
          <w:szCs w:val="24"/>
        </w:rPr>
        <w:t xml:space="preserve">, sustainable bonds and black bonds </w:t>
      </w:r>
      <w:r w:rsidRPr="006F5452">
        <w:rPr>
          <w:rFonts w:cs="Times New Roman"/>
          <w:szCs w:val="24"/>
        </w:rPr>
        <w:fldChar w:fldCharType="begin"/>
      </w:r>
      <w:r w:rsidR="00E97657">
        <w:rPr>
          <w:rFonts w:cs="Times New Roman"/>
          <w:szCs w:val="24"/>
        </w:rPr>
        <w:instrText xml:space="preserve"> ADDIN EN.CITE &lt;EndNote&gt;&lt;Cite&gt;&lt;Author&gt;Broadstock&lt;/Author&gt;&lt;Year&gt;2019&lt;/Year&gt;&lt;RecNum&gt;9&lt;/RecNum&gt;&lt;DisplayText&gt;(Broadstock &amp;amp; Cheng, 2019)&lt;/DisplayText&gt;&lt;record&gt;&lt;rec-number&gt;9&lt;/rec-number&gt;&lt;foreign-keys&gt;&lt;key app="EN" db-id="azfxvt991df2r2ew2adxzdekws2tx55feewr" timestamp="1663923217"&gt;9&lt;/key&gt;&lt;/foreign-keys&gt;&lt;ref-type name="Journal Article"&gt;17&lt;/ref-type&gt;&lt;contributors&gt;&lt;authors&gt;&lt;author&gt;Broadstock, David C&lt;/author&gt;&lt;author&gt;Cheng, Louis TW&lt;/author&gt;&lt;/authors&gt;&lt;/contributors&gt;&lt;titles&gt;&lt;title&gt;Time-varying relation between black and green bond price benchmarks: Macroeconomic determinants for the first decade&lt;/title&gt;&lt;secondary-title&gt;Finance research letters&lt;/secondary-title&gt;&lt;/titles&gt;&lt;periodical&gt;&lt;full-title&gt;Finance Research Letters&lt;/full-title&gt;&lt;/periodical&gt;&lt;pages&gt;17-22&lt;/pages&gt;&lt;volume&gt;29&lt;/volume&gt;&lt;dates&gt;&lt;year&gt;2019&lt;/year&gt;&lt;/dates&gt;&lt;isbn&gt;1544-6123&lt;/isbn&gt;&lt;urls&gt;&lt;/urls&gt;&lt;/record&gt;&lt;/Cite&gt;&lt;/EndNote&gt;</w:instrText>
      </w:r>
      <w:r w:rsidRPr="006F5452">
        <w:rPr>
          <w:rFonts w:cs="Times New Roman"/>
          <w:szCs w:val="24"/>
        </w:rPr>
        <w:fldChar w:fldCharType="separate"/>
      </w:r>
      <w:r w:rsidR="00E97657">
        <w:rPr>
          <w:rFonts w:cs="Times New Roman"/>
          <w:noProof/>
          <w:szCs w:val="24"/>
        </w:rPr>
        <w:t>(Broadstock &amp; Cheng, 2019)</w:t>
      </w:r>
      <w:r w:rsidRPr="006F5452">
        <w:rPr>
          <w:rFonts w:cs="Times New Roman"/>
          <w:szCs w:val="24"/>
        </w:rPr>
        <w:fldChar w:fldCharType="end"/>
      </w:r>
      <w:r w:rsidRPr="006F5452">
        <w:rPr>
          <w:rFonts w:cs="Times New Roman"/>
          <w:szCs w:val="24"/>
        </w:rPr>
        <w:t xml:space="preserve"> and green bonds prices</w:t>
      </w:r>
      <w:r w:rsidR="00CC1F16" w:rsidRPr="006F5452">
        <w:rPr>
          <w:rFonts w:cs="Times New Roman"/>
          <w:szCs w:val="24"/>
        </w:rPr>
        <w:t>,</w:t>
      </w:r>
      <w:r w:rsidRPr="006F5452">
        <w:rPr>
          <w:rFonts w:cs="Times New Roman"/>
          <w:szCs w:val="24"/>
        </w:rPr>
        <w:t xml:space="preserve"> and spillovers </w:t>
      </w:r>
      <w:r w:rsidRPr="006F5452">
        <w:rPr>
          <w:rFonts w:cs="Times New Roman"/>
          <w:szCs w:val="24"/>
        </w:rPr>
        <w:fldChar w:fldCharType="begin"/>
      </w:r>
      <w:r w:rsidRPr="006F5452">
        <w:rPr>
          <w:rFonts w:cs="Times New Roman"/>
          <w:szCs w:val="24"/>
        </w:rPr>
        <w:instrText xml:space="preserve"> ADDIN EN.CITE &lt;EndNote&gt;&lt;Cite&gt;&lt;Author&gt;Reboredo&lt;/Author&gt;&lt;Year&gt;2018&lt;/Year&gt;&lt;RecNum&gt;17&lt;/RecNum&gt;&lt;DisplayText&gt;(Reboredo, 2018)&lt;/DisplayText&gt;&lt;record&gt;&lt;rec-number&gt;17&lt;/rec-number&gt;&lt;foreign-keys&gt;&lt;key app="EN" db-id="azfxvt991df2r2ew2adxzdekws2tx55feewr" timestamp="1663924091"&gt;17&lt;/key&gt;&lt;/foreign-keys&gt;&lt;ref-type name="Journal Article"&gt;17&lt;/ref-type&gt;&lt;contributors&gt;&lt;authors&gt;&lt;author&gt;Reboredo, Juan C&lt;/author&gt;&lt;/authors&gt;&lt;/contributors&gt;&lt;titles&gt;&lt;title&gt;Green bond and financial markets: Co-movement, diversification and price spillover effects&lt;/title&gt;&lt;secondary-title&gt;Energy Economics&lt;/secondary-title&gt;&lt;/titles&gt;&lt;periodical&gt;&lt;full-title&gt;Energy Economics&lt;/full-title&gt;&lt;/periodical&gt;&lt;pages&gt;38-50&lt;/pages&gt;&lt;volume&gt;74&lt;/volume&gt;&lt;dates&gt;&lt;year&gt;2018&lt;/year&gt;&lt;/dates&gt;&lt;isbn&gt;0140-9883&lt;/isbn&gt;&lt;urls&gt;&lt;/urls&gt;&lt;/record&gt;&lt;/Cite&gt;&lt;/EndNote&gt;</w:instrText>
      </w:r>
      <w:r w:rsidRPr="006F5452">
        <w:rPr>
          <w:rFonts w:cs="Times New Roman"/>
          <w:szCs w:val="24"/>
        </w:rPr>
        <w:fldChar w:fldCharType="separate"/>
      </w:r>
      <w:r w:rsidRPr="006F5452">
        <w:rPr>
          <w:rFonts w:cs="Times New Roman"/>
          <w:noProof/>
          <w:szCs w:val="24"/>
        </w:rPr>
        <w:t>(Reboredo, 2018)</w:t>
      </w:r>
      <w:r w:rsidRPr="006F5452">
        <w:rPr>
          <w:rFonts w:cs="Times New Roman"/>
          <w:szCs w:val="24"/>
        </w:rPr>
        <w:fldChar w:fldCharType="end"/>
      </w:r>
      <w:r w:rsidRPr="006F5452">
        <w:rPr>
          <w:rFonts w:cs="Times New Roman"/>
          <w:szCs w:val="24"/>
        </w:rPr>
        <w:t>. It is, however, important to note that there is little evidence o</w:t>
      </w:r>
      <w:r w:rsidR="00C604FC">
        <w:rPr>
          <w:rFonts w:cs="Times New Roman"/>
          <w:szCs w:val="24"/>
        </w:rPr>
        <w:t>f</w:t>
      </w:r>
      <w:r w:rsidRPr="006F5452">
        <w:rPr>
          <w:rFonts w:cs="Times New Roman"/>
          <w:szCs w:val="24"/>
        </w:rPr>
        <w:t xml:space="preserve"> the impact of EPU on green bond prices</w:t>
      </w:r>
      <w:r w:rsidR="00C604FC">
        <w:rPr>
          <w:rFonts w:cs="Times New Roman"/>
          <w:szCs w:val="24"/>
        </w:rPr>
        <w:t>,</w:t>
      </w:r>
      <w:r w:rsidR="00B60C49">
        <w:rPr>
          <w:rFonts w:cs="Times New Roman"/>
          <w:szCs w:val="24"/>
        </w:rPr>
        <w:t xml:space="preserve"> thus,</w:t>
      </w:r>
      <w:r w:rsidRPr="006F5452">
        <w:rPr>
          <w:rFonts w:cs="Times New Roman"/>
          <w:szCs w:val="24"/>
        </w:rPr>
        <w:t xml:space="preserve"> the emerging green market requires more empirical evidence.</w:t>
      </w:r>
      <w:r w:rsidR="00FC4384" w:rsidRPr="006F5452">
        <w:rPr>
          <w:rFonts w:cs="Times New Roman"/>
          <w:szCs w:val="24"/>
        </w:rPr>
        <w:t xml:space="preserve"> </w:t>
      </w:r>
      <w:r w:rsidRPr="006F5452">
        <w:rPr>
          <w:rFonts w:cs="Times New Roman"/>
          <w:szCs w:val="24"/>
        </w:rPr>
        <w:t xml:space="preserve">In this </w:t>
      </w:r>
      <w:r w:rsidR="00FC4384" w:rsidRPr="006F5452">
        <w:rPr>
          <w:rFonts w:cs="Times New Roman"/>
          <w:szCs w:val="24"/>
        </w:rPr>
        <w:t>study</w:t>
      </w:r>
      <w:r w:rsidRPr="006F5452">
        <w:rPr>
          <w:rFonts w:cs="Times New Roman"/>
          <w:szCs w:val="24"/>
        </w:rPr>
        <w:t xml:space="preserve">, we respond to </w:t>
      </w:r>
      <w:proofErr w:type="spellStart"/>
      <w:r w:rsidRPr="006F5452">
        <w:rPr>
          <w:rFonts w:cs="Times New Roman"/>
          <w:szCs w:val="24"/>
        </w:rPr>
        <w:t>Broadstock</w:t>
      </w:r>
      <w:proofErr w:type="spellEnd"/>
      <w:r w:rsidRPr="006F5452">
        <w:rPr>
          <w:rFonts w:cs="Times New Roman"/>
          <w:szCs w:val="24"/>
        </w:rPr>
        <w:t xml:space="preserve"> and Cheng’s</w:t>
      </w:r>
      <w:r w:rsidR="00FC4384" w:rsidRPr="006F5452">
        <w:rPr>
          <w:rFonts w:cs="Times New Roman"/>
          <w:szCs w:val="24"/>
        </w:rPr>
        <w:t xml:space="preserve"> (2019)</w:t>
      </w:r>
      <w:r w:rsidRPr="006F5452">
        <w:rPr>
          <w:rFonts w:cs="Times New Roman"/>
          <w:szCs w:val="24"/>
        </w:rPr>
        <w:t xml:space="preserve"> recommendation that research should be directed towards the relationship between environmentally friendly securities and macroeconomic indicators.</w:t>
      </w:r>
    </w:p>
    <w:p w14:paraId="5BF2338E" w14:textId="77777777" w:rsidR="00AD4CB1" w:rsidRPr="006F5452" w:rsidRDefault="00AD4CB1" w:rsidP="00DB0AA1">
      <w:pPr>
        <w:autoSpaceDE w:val="0"/>
        <w:autoSpaceDN w:val="0"/>
        <w:adjustRightInd w:val="0"/>
        <w:ind w:firstLine="720"/>
        <w:jc w:val="both"/>
        <w:rPr>
          <w:rFonts w:cs="Times New Roman"/>
          <w:szCs w:val="24"/>
        </w:rPr>
      </w:pPr>
    </w:p>
    <w:p w14:paraId="17C0F22D" w14:textId="55A6413C" w:rsidR="00AD4CB1" w:rsidRPr="006F5452" w:rsidRDefault="00AD4CB1" w:rsidP="00DB0AA1">
      <w:pPr>
        <w:ind w:firstLine="720"/>
        <w:jc w:val="both"/>
        <w:rPr>
          <w:rFonts w:cs="Times New Roman"/>
          <w:szCs w:val="24"/>
        </w:rPr>
      </w:pPr>
      <w:r w:rsidRPr="006F5452">
        <w:rPr>
          <w:rFonts w:cs="Times New Roman"/>
          <w:szCs w:val="24"/>
        </w:rPr>
        <w:t xml:space="preserve">According to </w:t>
      </w:r>
      <w:r w:rsidRPr="006F5452">
        <w:rPr>
          <w:rFonts w:cs="Times New Roman"/>
          <w:szCs w:val="24"/>
        </w:rPr>
        <w:fldChar w:fldCharType="begin"/>
      </w:r>
      <w:r w:rsidRPr="006F5452">
        <w:rPr>
          <w:rFonts w:cs="Times New Roman"/>
          <w:szCs w:val="24"/>
        </w:rPr>
        <w:instrText xml:space="preserve"> ADDIN EN.CITE &lt;EndNote&gt;&lt;Cite AuthorYear="1"&gt;&lt;Author&gt;Afonso&lt;/Author&gt;&lt;Year&gt;2020&lt;/Year&gt;&lt;RecNum&gt;18&lt;/RecNum&gt;&lt;DisplayText&gt;Afonso et al. (2020)&lt;/DisplayText&gt;&lt;record&gt;&lt;rec-number&gt;18&lt;/rec-number&gt;&lt;foreign-keys&gt;&lt;key app="EN" db-id="azfxvt991df2r2ew2adxzdekws2tx55feewr" timestamp="1663924789"&gt;18&lt;/key&gt;&lt;/foreign-keys&gt;&lt;ref-type name="Journal Article"&gt;17&lt;/ref-type&gt;&lt;contributors&gt;&lt;authors&gt;&lt;author&gt;Afonso, Antonio&lt;/author&gt;&lt;author&gt;Jalles, João Tovar&lt;/author&gt;&lt;author&gt;Kazemi, Mina&lt;/author&gt;&lt;/authors&gt;&lt;/contributors&gt;&lt;titles&gt;&lt;title&gt;The effects of macroeconomic, fiscal and monetary policy announcements on sovereign bond spreads&lt;/title&gt;&lt;secondary-title&gt;International Review of Law and Economics&lt;/secondary-title&gt;&lt;/titles&gt;&lt;periodical&gt;&lt;full-title&gt;International Review of Law and Economics&lt;/full-title&gt;&lt;/periodical&gt;&lt;pages&gt;105924&lt;/pages&gt;&lt;volume&gt;63&lt;/volume&gt;&lt;dates&gt;&lt;year&gt;2020&lt;/year&gt;&lt;/dates&gt;&lt;isbn&gt;0144-8188&lt;/isbn&gt;&lt;urls&gt;&lt;/urls&gt;&lt;/record&gt;&lt;/Cite&gt;&lt;/EndNote&gt;</w:instrText>
      </w:r>
      <w:r w:rsidRPr="006F5452">
        <w:rPr>
          <w:rFonts w:cs="Times New Roman"/>
          <w:szCs w:val="24"/>
        </w:rPr>
        <w:fldChar w:fldCharType="separate"/>
      </w:r>
      <w:r w:rsidRPr="006F5452">
        <w:rPr>
          <w:rFonts w:cs="Times New Roman"/>
          <w:noProof/>
          <w:szCs w:val="24"/>
        </w:rPr>
        <w:t>Afonso et al. (2020)</w:t>
      </w:r>
      <w:r w:rsidRPr="006F5452">
        <w:rPr>
          <w:rFonts w:cs="Times New Roman"/>
          <w:szCs w:val="24"/>
        </w:rPr>
        <w:fldChar w:fldCharType="end"/>
      </w:r>
      <w:r w:rsidRPr="006F5452">
        <w:rPr>
          <w:rFonts w:cs="Times New Roman"/>
          <w:szCs w:val="24"/>
        </w:rPr>
        <w:t xml:space="preserve">, the financial market perceives unfavorable monetary and fiscal strategy announcements as an indicator of government bond failure. Further analysis by </w:t>
      </w:r>
      <w:r w:rsidRPr="006F5452">
        <w:rPr>
          <w:rFonts w:cs="Times New Roman"/>
          <w:szCs w:val="24"/>
        </w:rPr>
        <w:fldChar w:fldCharType="begin"/>
      </w:r>
      <w:r w:rsidRPr="006F5452">
        <w:rPr>
          <w:rFonts w:cs="Times New Roman"/>
          <w:szCs w:val="24"/>
        </w:rPr>
        <w:instrText xml:space="preserve"> ADDIN EN.CITE &lt;EndNote&gt;&lt;Cite AuthorYear="1"&gt;&lt;Author&gt;Žigman&lt;/Author&gt;&lt;Year&gt;2011&lt;/Year&gt;&lt;RecNum&gt;19&lt;/RecNum&gt;&lt;DisplayText&gt;Žigman and Cota (2011)&lt;/DisplayText&gt;&lt;record&gt;&lt;rec-number&gt;19&lt;/rec-number&gt;&lt;foreign-keys&gt;&lt;key app="EN" db-id="azfxvt991df2r2ew2adxzdekws2tx55feewr" timestamp="1663924827"&gt;19&lt;/key&gt;&lt;/foreign-keys&gt;&lt;ref-type name="Journal Article"&gt;17&lt;/ref-type&gt;&lt;contributors&gt;&lt;authors&gt;&lt;author&gt;Žigman, Ante&lt;/author&gt;&lt;author&gt;Cota, Boris&lt;/author&gt;&lt;/authors&gt;&lt;/contributors&gt;&lt;titles&gt;&lt;title&gt;The impact of fiscal policy on government bond spreads in emerging markets&lt;/title&gt;&lt;secondary-title&gt;Financial Theory and Practice&lt;/secondary-title&gt;&lt;/titles&gt;&lt;periodical&gt;&lt;full-title&gt;Financial Theory and Practice&lt;/full-title&gt;&lt;/periodical&gt;&lt;pages&gt;385-412&lt;/pages&gt;&lt;volume&gt;35&lt;/volume&gt;&lt;number&gt;4&lt;/number&gt;&lt;dates&gt;&lt;year&gt;2011&lt;/year&gt;&lt;/dates&gt;&lt;isbn&gt;1846-887X&lt;/isbn&gt;&lt;urls&gt;&lt;/urls&gt;&lt;/record&gt;&lt;/Cite&gt;&lt;/EndNote&gt;</w:instrText>
      </w:r>
      <w:r w:rsidRPr="006F5452">
        <w:rPr>
          <w:rFonts w:cs="Times New Roman"/>
          <w:szCs w:val="24"/>
        </w:rPr>
        <w:fldChar w:fldCharType="separate"/>
      </w:r>
      <w:r w:rsidRPr="006F5452">
        <w:rPr>
          <w:rFonts w:cs="Times New Roman"/>
          <w:noProof/>
          <w:szCs w:val="24"/>
        </w:rPr>
        <w:t>Žigman and Cota (2011)</w:t>
      </w:r>
      <w:r w:rsidRPr="006F5452">
        <w:rPr>
          <w:rFonts w:cs="Times New Roman"/>
          <w:szCs w:val="24"/>
        </w:rPr>
        <w:fldChar w:fldCharType="end"/>
      </w:r>
      <w:r w:rsidRPr="006F5452">
        <w:rPr>
          <w:rFonts w:cs="Times New Roman"/>
          <w:szCs w:val="24"/>
        </w:rPr>
        <w:t xml:space="preserve"> suggests that investors do not value the government deficit ratios. The debt-to-GDP ratio has received significant attention, particularly during the worldwide economic crisis </w:t>
      </w:r>
      <w:r w:rsidRPr="006F5452">
        <w:rPr>
          <w:rFonts w:cs="Times New Roman"/>
          <w:szCs w:val="24"/>
        </w:rPr>
        <w:fldChar w:fldCharType="begin"/>
      </w:r>
      <w:r w:rsidR="00E97657">
        <w:rPr>
          <w:rFonts w:cs="Times New Roman"/>
          <w:szCs w:val="24"/>
        </w:rPr>
        <w:instrText xml:space="preserve"> ADDIN EN.CITE &lt;EndNote&gt;&lt;Cite&gt;&lt;Author&gt;Capelle-Blancard&lt;/Author&gt;&lt;Year&gt;2019&lt;/Year&gt;&lt;RecNum&gt;20&lt;/RecNum&gt;&lt;DisplayText&gt;(Capelle-Blancard et al., 2019; Silvapulle et al., 2016)&lt;/DisplayText&gt;&lt;record&gt;&lt;rec-number&gt;20&lt;/rec-number&gt;&lt;foreign-keys&gt;&lt;key app="EN" db-id="azfxvt991df2r2ew2adxzdekws2tx55feewr" timestamp="1663924901"&gt;20&lt;/key&gt;&lt;/foreign-keys&gt;&lt;ref-type name="Journal Article"&gt;17&lt;/ref-type&gt;&lt;contributors&gt;&lt;authors&gt;&lt;author&gt;Capelle-Blancard, Gunther&lt;/author&gt;&lt;author&gt;Crifo, Patricia&lt;/author&gt;&lt;author&gt;Diaye, Marc-Arthur&lt;/author&gt;&lt;author&gt;Oueghlissi, Rim&lt;/author&gt;&lt;author&gt;Scholtens, Bert&lt;/author&gt;&lt;/authors&gt;&lt;/contributors&gt;&lt;titles&gt;&lt;title&gt;Sovereign bond yield spreads and sustainability: An empirical analysis of OECD countries&lt;/title&gt;&lt;secondary-title&gt;Journal of Banking &amp;amp; Finance&lt;/secondary-title&gt;&lt;/titles&gt;&lt;periodical&gt;&lt;full-title&gt;Journal of Banking &amp;amp; Finance&lt;/full-title&gt;&lt;/periodical&gt;&lt;pages&gt;156-169&lt;/pages&gt;&lt;volume&gt;98&lt;/volume&gt;&lt;dates&gt;&lt;year&gt;2019&lt;/year&gt;&lt;/dates&gt;&lt;isbn&gt;0378-4266&lt;/isbn&gt;&lt;urls&gt;&lt;/urls&gt;&lt;/record&gt;&lt;/Cite&gt;&lt;Cite&gt;&lt;Author&gt;Silvapulle&lt;/Author&gt;&lt;Year&gt;2016&lt;/Year&gt;&lt;RecNum&gt;21&lt;/RecNum&gt;&lt;record&gt;&lt;rec-number&gt;21&lt;/rec-number&gt;&lt;foreign-keys&gt;&lt;key app="EN" db-id="azfxvt991df2r2ew2adxzdekws2tx55feewr" timestamp="1663924939"&gt;21&lt;/key&gt;&lt;/foreign-keys&gt;&lt;ref-type name="Journal Article"&gt;17&lt;/ref-type&gt;&lt;contributors&gt;&lt;authors&gt;&lt;author&gt;Silvapulle, Param&lt;/author&gt;&lt;author&gt;Fenech, Jean Pierre&lt;/author&gt;&lt;author&gt;Thomas, Alice&lt;/author&gt;&lt;author&gt;Brooks, Rob&lt;/author&gt;&lt;/authors&gt;&lt;/contributors&gt;&lt;titles&gt;&lt;title&gt;Determinants of sovereign bond yield spreads and contagion in the peripheral EU countries&lt;/title&gt;&lt;secondary-title&gt;Economic Modelling&lt;/secondary-title&gt;&lt;/titles&gt;&lt;periodical&gt;&lt;full-title&gt;Economic Modelling&lt;/full-title&gt;&lt;/periodical&gt;&lt;pages&gt;83-92&lt;/pages&gt;&lt;volume&gt;58&lt;/volume&gt;&lt;dates&gt;&lt;year&gt;2016&lt;/year&gt;&lt;/dates&gt;&lt;isbn&gt;0264-9993&lt;/isbn&gt;&lt;urls&gt;&lt;/urls&gt;&lt;/record&gt;&lt;/Cite&gt;&lt;/EndNote&gt;</w:instrText>
      </w:r>
      <w:r w:rsidRPr="006F5452">
        <w:rPr>
          <w:rFonts w:cs="Times New Roman"/>
          <w:szCs w:val="24"/>
        </w:rPr>
        <w:fldChar w:fldCharType="separate"/>
      </w:r>
      <w:r w:rsidR="00E97657">
        <w:rPr>
          <w:rFonts w:cs="Times New Roman"/>
          <w:noProof/>
          <w:szCs w:val="24"/>
        </w:rPr>
        <w:t>(Capelle-Blancard et al., 2019; Silvapulle et al., 2016)</w:t>
      </w:r>
      <w:r w:rsidRPr="006F5452">
        <w:rPr>
          <w:rFonts w:cs="Times New Roman"/>
          <w:szCs w:val="24"/>
        </w:rPr>
        <w:fldChar w:fldCharType="end"/>
      </w:r>
      <w:r w:rsidRPr="006F5452">
        <w:rPr>
          <w:rFonts w:cs="Times New Roman"/>
          <w:szCs w:val="24"/>
        </w:rPr>
        <w:t xml:space="preserve"> and there was evidence of its negative impact on the Eurobond market. Furthermore, </w:t>
      </w:r>
      <w:r w:rsidRPr="006F5452">
        <w:rPr>
          <w:rFonts w:cs="Times New Roman"/>
          <w:szCs w:val="24"/>
        </w:rPr>
        <w:fldChar w:fldCharType="begin"/>
      </w:r>
      <w:r w:rsidRPr="006F5452">
        <w:rPr>
          <w:rFonts w:cs="Times New Roman"/>
          <w:szCs w:val="24"/>
        </w:rPr>
        <w:instrText xml:space="preserve"> ADDIN EN.CITE &lt;EndNote&gt;&lt;Cite AuthorYear="1"&gt;&lt;Author&gt;Baumeister&lt;/Author&gt;&lt;Year&gt;2010&lt;/Year&gt;&lt;RecNum&gt;22&lt;/RecNum&gt;&lt;DisplayText&gt;Baumeister and Benati (2010)&lt;/DisplayText&gt;&lt;record&gt;&lt;rec-number&gt;22&lt;/rec-number&gt;&lt;foreign-keys&gt;&lt;key app="EN" db-id="azfxvt991df2r2ew2adxzdekws2tx55feewr" timestamp="1663925158"&gt;22&lt;/key&gt;&lt;/foreign-keys&gt;&lt;ref-type name="Journal Article"&gt;17&lt;/ref-type&gt;&lt;contributors&gt;&lt;authors&gt;&lt;author&gt;Baumeister, Christiane&lt;/author&gt;&lt;author&gt;Benati, Luca&lt;/author&gt;&lt;/authors&gt;&lt;/contributors&gt;&lt;titles&gt;&lt;title&gt;Unconventional monetary policy and the Great Recession&lt;/title&gt;&lt;secondary-title&gt;European Central Bank WP&lt;/secondary-title&gt;&lt;/titles&gt;&lt;periodical&gt;&lt;full-title&gt;European Central Bank WP&lt;/full-title&gt;&lt;/periodical&gt;&lt;volume&gt;1258&lt;/volume&gt;&lt;dates&gt;&lt;year&gt;2010&lt;/year&gt;&lt;/dates&gt;&lt;urls&gt;&lt;/urls&gt;&lt;/record&gt;&lt;/Cite&gt;&lt;/EndNote&gt;</w:instrText>
      </w:r>
      <w:r w:rsidRPr="006F5452">
        <w:rPr>
          <w:rFonts w:cs="Times New Roman"/>
          <w:szCs w:val="24"/>
        </w:rPr>
        <w:fldChar w:fldCharType="separate"/>
      </w:r>
      <w:r w:rsidRPr="006F5452">
        <w:rPr>
          <w:rFonts w:cs="Times New Roman"/>
          <w:noProof/>
          <w:szCs w:val="24"/>
        </w:rPr>
        <w:t>Baumeister and Benati (2010)</w:t>
      </w:r>
      <w:r w:rsidRPr="006F5452">
        <w:rPr>
          <w:rFonts w:cs="Times New Roman"/>
          <w:szCs w:val="24"/>
        </w:rPr>
        <w:fldChar w:fldCharType="end"/>
      </w:r>
      <w:r w:rsidRPr="006F5452">
        <w:rPr>
          <w:rFonts w:cs="Times New Roman"/>
          <w:szCs w:val="24"/>
        </w:rPr>
        <w:t xml:space="preserve"> indicate that when assets are purchased by central banks in a deteriorating economic situation, it results in a decrease in long-term bond yield. </w:t>
      </w:r>
      <w:r w:rsidR="00FC4384" w:rsidRPr="006F5452">
        <w:rPr>
          <w:rFonts w:cs="Times New Roman"/>
          <w:szCs w:val="24"/>
        </w:rPr>
        <w:t xml:space="preserve">It has been shown in previous literature that government bond yields and negative economic forecasts are negatively correlated. </w:t>
      </w:r>
      <w:r w:rsidRPr="006F5452">
        <w:rPr>
          <w:rFonts w:cs="Times New Roman"/>
          <w:szCs w:val="24"/>
        </w:rPr>
        <w:t xml:space="preserve">In particular, </w:t>
      </w:r>
      <w:r w:rsidRPr="006F5452">
        <w:rPr>
          <w:rFonts w:cs="Times New Roman"/>
          <w:szCs w:val="24"/>
        </w:rPr>
        <w:fldChar w:fldCharType="begin"/>
      </w:r>
      <w:r w:rsidRPr="006F5452">
        <w:rPr>
          <w:rFonts w:cs="Times New Roman"/>
          <w:szCs w:val="24"/>
        </w:rPr>
        <w:instrText xml:space="preserve"> ADDIN EN.CITE &lt;EndNote&gt;&lt;Cite AuthorYear="1"&gt;&lt;Author&gt;De Grauwe&lt;/Author&gt;&lt;Year&gt;2017&lt;/Year&gt;&lt;RecNum&gt;23&lt;/RecNum&gt;&lt;DisplayText&gt;De Grauwe et al. (2017)&lt;/DisplayText&gt;&lt;record&gt;&lt;rec-number&gt;23&lt;/rec-number&gt;&lt;foreign-keys&gt;&lt;key app="EN" db-id="azfxvt991df2r2ew2adxzdekws2tx55feewr" timestamp="1663925202"&gt;23&lt;/key&gt;&lt;/foreign-keys&gt;&lt;ref-type name="Journal Article"&gt;17&lt;/ref-type&gt;&lt;contributors&gt;&lt;authors&gt;&lt;author&gt;De Grauwe, Paul&lt;/author&gt;&lt;author&gt;Ji, Yuemei&lt;/author&gt;&lt;author&gt;Macchiarelli, Corrado&lt;/author&gt;&lt;/authors&gt;&lt;/contributors&gt;&lt;titles&gt;&lt;title&gt;Fundamentals versus market sentiments in the euro bond markets: implications for QE&lt;/title&gt;&lt;/titles&gt;&lt;dates&gt;&lt;year&gt;2017&lt;/year&gt;&lt;/dates&gt;&lt;isbn&gt;2055-0375&lt;/isbn&gt;&lt;urls&gt;&lt;/urls&gt;&lt;/record&gt;&lt;/Cite&gt;&lt;/EndNote&gt;</w:instrText>
      </w:r>
      <w:r w:rsidRPr="006F5452">
        <w:rPr>
          <w:rFonts w:cs="Times New Roman"/>
          <w:szCs w:val="24"/>
        </w:rPr>
        <w:fldChar w:fldCharType="separate"/>
      </w:r>
      <w:r w:rsidRPr="006F5452">
        <w:rPr>
          <w:rFonts w:cs="Times New Roman"/>
          <w:noProof/>
          <w:szCs w:val="24"/>
        </w:rPr>
        <w:t>De Grauwe et al. (2017)</w:t>
      </w:r>
      <w:r w:rsidRPr="006F5452">
        <w:rPr>
          <w:rFonts w:cs="Times New Roman"/>
          <w:szCs w:val="24"/>
        </w:rPr>
        <w:fldChar w:fldCharType="end"/>
      </w:r>
      <w:r w:rsidRPr="006F5452">
        <w:rPr>
          <w:rFonts w:cs="Times New Roman"/>
          <w:szCs w:val="24"/>
        </w:rPr>
        <w:t xml:space="preserve"> conclude that fundamental indicators affect sovereign bonds. </w:t>
      </w:r>
    </w:p>
    <w:p w14:paraId="56FF43AB" w14:textId="77777777" w:rsidR="00DB0AA1" w:rsidRPr="006F5452" w:rsidRDefault="00DB0AA1" w:rsidP="00DB0AA1">
      <w:pPr>
        <w:ind w:firstLine="720"/>
        <w:jc w:val="both"/>
        <w:rPr>
          <w:rFonts w:cs="Times New Roman"/>
          <w:szCs w:val="24"/>
        </w:rPr>
      </w:pPr>
    </w:p>
    <w:p w14:paraId="601754EE" w14:textId="15FE5A06" w:rsidR="00AD4CB1" w:rsidRPr="00E77571" w:rsidRDefault="00AD4CB1" w:rsidP="00DB0AA1">
      <w:pPr>
        <w:ind w:firstLine="720"/>
        <w:jc w:val="both"/>
        <w:rPr>
          <w:rFonts w:cs="Times New Roman"/>
          <w:color w:val="0000CC"/>
          <w:szCs w:val="24"/>
        </w:rPr>
      </w:pPr>
      <w:r w:rsidRPr="006F5452">
        <w:rPr>
          <w:rFonts w:cs="Times New Roman"/>
          <w:noProof/>
          <w:szCs w:val="24"/>
        </w:rPr>
        <w:fldChar w:fldCharType="begin"/>
      </w:r>
      <w:r w:rsidRPr="006F5452">
        <w:rPr>
          <w:rFonts w:cs="Times New Roman"/>
          <w:noProof/>
          <w:szCs w:val="24"/>
        </w:rPr>
        <w:instrText xml:space="preserve"> ADDIN EN.CITE &lt;EndNote&gt;&lt;Cite AuthorYear="1"&gt;&lt;Author&gt;Pham&lt;/Author&gt;&lt;Year&gt;2022&lt;/Year&gt;&lt;RecNum&gt;24&lt;/RecNum&gt;&lt;DisplayText&gt;Pham and Nguyen (2022)&lt;/DisplayText&gt;&lt;record&gt;&lt;rec-number&gt;24&lt;/rec-number&gt;&lt;foreign-keys&gt;&lt;key app="EN" db-id="azfxvt991df2r2ew2adxzdekws2tx55feewr" timestamp="1663925406"&gt;24&lt;/key&gt;&lt;/foreign-keys&gt;&lt;ref-type name="Journal Article"&gt;17&lt;/ref-type&gt;&lt;contributors&gt;&lt;authors&gt;&lt;author&gt;Pham, Linh&lt;/author&gt;&lt;author&gt;Nguyen, Canh Phuc&lt;/author&gt;&lt;/authors&gt;&lt;/contributors&gt;&lt;titles&gt;&lt;title&gt;How do stock, oil, and economic policy uncertainty influence the green bond market?&lt;/title&gt;&lt;secondary-title&gt;Finance Research Letters&lt;/secondary-title&gt;&lt;/titles&gt;&lt;periodical&gt;&lt;full-title&gt;Finance Research Letters&lt;/full-title&gt;&lt;/periodical&gt;&lt;pages&gt;102128&lt;/pages&gt;&lt;volume&gt;45&lt;/volume&gt;&lt;dates&gt;&lt;year&gt;2022&lt;/year&gt;&lt;/dates&gt;&lt;isbn&gt;1544-6123&lt;/isbn&gt;&lt;urls&gt;&lt;/urls&gt;&lt;/record&gt;&lt;/Cite&gt;&lt;/EndNote&gt;</w:instrText>
      </w:r>
      <w:r w:rsidRPr="006F5452">
        <w:rPr>
          <w:rFonts w:cs="Times New Roman"/>
          <w:noProof/>
          <w:szCs w:val="24"/>
        </w:rPr>
        <w:fldChar w:fldCharType="separate"/>
      </w:r>
      <w:r w:rsidRPr="006F5452">
        <w:rPr>
          <w:rFonts w:cs="Times New Roman"/>
          <w:noProof/>
          <w:szCs w:val="24"/>
        </w:rPr>
        <w:t>Pham and Nguyen (2022)</w:t>
      </w:r>
      <w:r w:rsidRPr="006F5452">
        <w:rPr>
          <w:rFonts w:cs="Times New Roman"/>
          <w:noProof/>
          <w:szCs w:val="24"/>
        </w:rPr>
        <w:fldChar w:fldCharType="end"/>
      </w:r>
      <w:r w:rsidRPr="006F5452">
        <w:rPr>
          <w:rFonts w:cs="Times New Roman"/>
          <w:noProof/>
          <w:szCs w:val="24"/>
        </w:rPr>
        <w:t>,</w:t>
      </w:r>
      <w:r w:rsidRPr="006F5452">
        <w:rPr>
          <w:rFonts w:cs="Times New Roman"/>
          <w:szCs w:val="24"/>
        </w:rPr>
        <w:t xml:space="preserve"> using the Markov Switching Dynamic Regression (MSDR), find that the linkage between sustainable bonds and economic policy ambiguity is not consistent over time; their analysis suggests that unclear policies related to the economy influence these financial instruments in particular when governments did not disclose clear and certain economic policies. </w:t>
      </w:r>
      <w:r w:rsidRPr="006F5452">
        <w:rPr>
          <w:rFonts w:cs="Times New Roman"/>
          <w:szCs w:val="24"/>
        </w:rPr>
        <w:fldChar w:fldCharType="begin"/>
      </w:r>
      <w:r w:rsidRPr="006F5452">
        <w:rPr>
          <w:rFonts w:cs="Times New Roman"/>
          <w:szCs w:val="24"/>
        </w:rPr>
        <w:instrText xml:space="preserve"> ADDIN EN.CITE &lt;EndNote&gt;&lt;Cite AuthorYear="1"&gt;&lt;Author&gt;Wei&lt;/Author&gt;&lt;Year&gt;2022&lt;/Year&gt;&lt;RecNum&gt;25&lt;/RecNum&gt;&lt;DisplayText&gt;Wei et al. (2022)&lt;/DisplayText&gt;&lt;record&gt;&lt;rec-number&gt;25&lt;/rec-number&gt;&lt;foreign-keys&gt;&lt;key app="EN" db-id="azfxvt991df2r2ew2adxzdekws2tx55feewr" timestamp="1663925454"&gt;25&lt;/key&gt;&lt;/foreign-keys&gt;&lt;ref-type name="Journal Article"&gt;17&lt;/ref-type&gt;&lt;contributors&gt;&lt;authors&gt;&lt;author&gt;Wei, Wei&lt;/author&gt;&lt;author&gt;Hu, Haiqing&lt;/author&gt;&lt;author&gt;Chang, Chun-Ping&lt;/author&gt;&lt;/authors&gt;&lt;/contributors&gt;&lt;titles&gt;&lt;title&gt;Why the same degree of economic policy uncertainty can produce different outcomes in energy efficiency? New evidence from China&lt;/title&gt;&lt;secondary-title&gt;Structural Change and Economic Dynamics&lt;/secondary-title&gt;&lt;/titles&gt;&lt;periodical&gt;&lt;full-title&gt;Structural Change and Economic Dynamics&lt;/full-title&gt;&lt;/periodical&gt;&lt;pages&gt;467-481&lt;/pages&gt;&lt;volume&gt;60&lt;/volume&gt;&lt;dates&gt;&lt;year&gt;2022&lt;/year&gt;&lt;/dates&gt;&lt;isbn&gt;0954-349X&lt;/isbn&gt;&lt;urls&gt;&lt;/urls&gt;&lt;/record&gt;&lt;/Cite&gt;&lt;/EndNote&gt;</w:instrText>
      </w:r>
      <w:r w:rsidRPr="006F5452">
        <w:rPr>
          <w:rFonts w:cs="Times New Roman"/>
          <w:szCs w:val="24"/>
        </w:rPr>
        <w:fldChar w:fldCharType="separate"/>
      </w:r>
      <w:r w:rsidRPr="006F5452">
        <w:rPr>
          <w:rFonts w:cs="Times New Roman"/>
          <w:noProof/>
          <w:szCs w:val="24"/>
        </w:rPr>
        <w:t>Wei et al. (2022)</w:t>
      </w:r>
      <w:r w:rsidRPr="006F5452">
        <w:rPr>
          <w:rFonts w:cs="Times New Roman"/>
          <w:szCs w:val="24"/>
        </w:rPr>
        <w:fldChar w:fldCharType="end"/>
      </w:r>
      <w:r w:rsidRPr="006F5452">
        <w:rPr>
          <w:rFonts w:cs="Times New Roman"/>
          <w:szCs w:val="24"/>
        </w:rPr>
        <w:t xml:space="preserve"> </w:t>
      </w:r>
      <w:r w:rsidRPr="006F5452">
        <w:rPr>
          <w:rFonts w:cs="Times New Roman"/>
          <w:noProof/>
          <w:szCs w:val="24"/>
        </w:rPr>
        <w:t xml:space="preserve">investigate the quantile influence of Economic </w:t>
      </w:r>
      <w:r w:rsidRPr="006F5452">
        <w:rPr>
          <w:rFonts w:cs="Times New Roman"/>
          <w:noProof/>
          <w:szCs w:val="24"/>
        </w:rPr>
        <w:lastRenderedPageBreak/>
        <w:t>Policy Uncertainty on green bond performan</w:t>
      </w:r>
      <w:r w:rsidR="00CC1F16" w:rsidRPr="006F5452">
        <w:rPr>
          <w:rFonts w:cs="Times New Roman"/>
          <w:noProof/>
          <w:szCs w:val="24"/>
        </w:rPr>
        <w:t>c</w:t>
      </w:r>
      <w:r w:rsidRPr="006F5452">
        <w:rPr>
          <w:rFonts w:cs="Times New Roman"/>
          <w:noProof/>
          <w:szCs w:val="24"/>
        </w:rPr>
        <w:t>e using wavelet analysis</w:t>
      </w:r>
      <w:r w:rsidRPr="006F5452" w:rsidDel="00C80B14">
        <w:rPr>
          <w:rFonts w:cs="Times New Roman"/>
          <w:noProof/>
          <w:szCs w:val="24"/>
        </w:rPr>
        <w:t xml:space="preserve"> </w:t>
      </w:r>
      <w:r w:rsidRPr="006F5452">
        <w:rPr>
          <w:rFonts w:cs="Times New Roman"/>
          <w:noProof/>
          <w:szCs w:val="24"/>
        </w:rPr>
        <w:t xml:space="preserve">and show that EPU has </w:t>
      </w:r>
      <w:r w:rsidR="00CC1F16" w:rsidRPr="006F5452">
        <w:rPr>
          <w:rFonts w:cs="Times New Roman"/>
          <w:noProof/>
          <w:szCs w:val="24"/>
        </w:rPr>
        <w:t xml:space="preserve">an </w:t>
      </w:r>
      <w:r w:rsidRPr="006F5452">
        <w:rPr>
          <w:rFonts w:cs="Times New Roman"/>
          <w:noProof/>
          <w:szCs w:val="24"/>
        </w:rPr>
        <w:t xml:space="preserve">asymmetric causal relationship with green bonds. </w:t>
      </w:r>
      <w:r w:rsidRPr="006F5452">
        <w:rPr>
          <w:rFonts w:cs="Times New Roman"/>
          <w:noProof/>
          <w:szCs w:val="24"/>
        </w:rPr>
        <w:fldChar w:fldCharType="begin"/>
      </w:r>
      <w:r w:rsidRPr="006F5452">
        <w:rPr>
          <w:rFonts w:cs="Times New Roman"/>
          <w:noProof/>
          <w:szCs w:val="24"/>
        </w:rPr>
        <w:instrText xml:space="preserve"> ADDIN EN.CITE &lt;EndNote&gt;&lt;Cite AuthorYear="1"&gt;&lt;Author&gt;Ren&lt;/Author&gt;&lt;Year&gt;2022&lt;/Year&gt;&lt;RecNum&gt;26&lt;/RecNum&gt;&lt;DisplayText&gt;Ren et al. (2022)&lt;/DisplayText&gt;&lt;record&gt;&lt;rec-number&gt;26&lt;/rec-number&gt;&lt;foreign-keys&gt;&lt;key app="EN" db-id="azfxvt991df2r2ew2adxzdekws2tx55feewr" timestamp="1663925519"&gt;26&lt;/key&gt;&lt;/foreign-keys&gt;&lt;ref-type name="Journal Article"&gt;17&lt;/ref-type&gt;&lt;contributors&gt;&lt;authors&gt;&lt;author&gt;Ren, Xiaohang&lt;/author&gt;&lt;author&gt;Li, Yiying&lt;/author&gt;&lt;author&gt;Wen, Fenghua&lt;/author&gt;&lt;author&gt;Lu, Zudi&lt;/author&gt;&lt;/authors&gt;&lt;/contributors&gt;&lt;titles&gt;&lt;title&gt;The interrelationship between the carbon market and the green bonds market: Evidence from wavelet quantile-on-quantile method&lt;/title&gt;&lt;secondary-title&gt;Technological Forecasting and Social Change&lt;/secondary-title&gt;&lt;/titles&gt;&lt;periodical&gt;&lt;full-title&gt;Technological Forecasting and Social Change&lt;/full-title&gt;&lt;/periodical&gt;&lt;pages&gt;121611&lt;/pages&gt;&lt;volume&gt;179&lt;/volume&gt;&lt;dates&gt;&lt;year&gt;2022&lt;/year&gt;&lt;/dates&gt;&lt;isbn&gt;0040-1625&lt;/isbn&gt;&lt;urls&gt;&lt;/urls&gt;&lt;/record&gt;&lt;/Cite&gt;&lt;/EndNote&gt;</w:instrText>
      </w:r>
      <w:r w:rsidRPr="006F5452">
        <w:rPr>
          <w:rFonts w:cs="Times New Roman"/>
          <w:noProof/>
          <w:szCs w:val="24"/>
        </w:rPr>
        <w:fldChar w:fldCharType="separate"/>
      </w:r>
      <w:r w:rsidRPr="006F5452">
        <w:rPr>
          <w:rFonts w:cs="Times New Roman"/>
          <w:noProof/>
          <w:szCs w:val="24"/>
        </w:rPr>
        <w:t>Ren et al. (2022)</w:t>
      </w:r>
      <w:r w:rsidRPr="006F5452">
        <w:rPr>
          <w:rFonts w:cs="Times New Roman"/>
          <w:noProof/>
          <w:szCs w:val="24"/>
        </w:rPr>
        <w:fldChar w:fldCharType="end"/>
      </w:r>
      <w:r w:rsidRPr="006F5452">
        <w:rPr>
          <w:rFonts w:cs="Times New Roman"/>
          <w:noProof/>
          <w:szCs w:val="24"/>
        </w:rPr>
        <w:t xml:space="preserve"> </w:t>
      </w:r>
      <w:r w:rsidRPr="006F5452">
        <w:rPr>
          <w:rFonts w:cs="Times New Roman"/>
          <w:szCs w:val="24"/>
        </w:rPr>
        <w:t>reveal that carbon prices mostly positively affect green bonds.</w:t>
      </w:r>
      <w:r w:rsidR="00E77571" w:rsidRPr="00E77571">
        <w:t xml:space="preserve"> </w:t>
      </w:r>
      <w:r w:rsidR="00E77571" w:rsidRPr="00E77571">
        <w:rPr>
          <w:rFonts w:cs="Times New Roman"/>
          <w:color w:val="0000CC"/>
          <w:szCs w:val="24"/>
        </w:rPr>
        <w:t>Therefore, we assume that green bonds, which are issued with the purpose of funding projects aimed at maintaining environmental sustainability, can reduce the volatility induced by economic uncertainty when they are added to an investment portfolio</w:t>
      </w:r>
      <w:r w:rsidR="00E77571">
        <w:rPr>
          <w:rFonts w:cs="Times New Roman"/>
          <w:color w:val="0000CC"/>
          <w:szCs w:val="24"/>
        </w:rPr>
        <w:t xml:space="preserve"> (Chopra and Mehta, 2023)</w:t>
      </w:r>
      <w:r w:rsidR="00E77571" w:rsidRPr="00E77571">
        <w:rPr>
          <w:rFonts w:cs="Times New Roman"/>
          <w:color w:val="0000CC"/>
          <w:szCs w:val="24"/>
        </w:rPr>
        <w:t>. Thus, green bonds become an important criterion for portfolio managers to consider when hedging their investments.</w:t>
      </w:r>
    </w:p>
    <w:p w14:paraId="2E96F4D3" w14:textId="77777777" w:rsidR="00DB0AA1" w:rsidRPr="006F5452" w:rsidRDefault="00DB0AA1" w:rsidP="00DB0AA1">
      <w:pPr>
        <w:ind w:firstLine="720"/>
        <w:jc w:val="both"/>
        <w:rPr>
          <w:rFonts w:cs="Times New Roman"/>
          <w:szCs w:val="24"/>
        </w:rPr>
      </w:pPr>
    </w:p>
    <w:p w14:paraId="7A220B38" w14:textId="30B216EE" w:rsidR="00AD4CB1" w:rsidRPr="006F5452" w:rsidRDefault="00AD4CB1" w:rsidP="00DB0AA1">
      <w:pPr>
        <w:ind w:firstLine="720"/>
        <w:jc w:val="both"/>
        <w:rPr>
          <w:rFonts w:cs="Times New Roman"/>
          <w:noProof/>
          <w:szCs w:val="24"/>
        </w:rPr>
      </w:pPr>
      <w:r w:rsidRPr="006F5452">
        <w:rPr>
          <w:rFonts w:cs="Times New Roman"/>
          <w:noProof/>
          <w:szCs w:val="24"/>
        </w:rPr>
        <w:t xml:space="preserve">Although the performance of green bonds </w:t>
      </w:r>
      <w:r w:rsidR="00CC1F16" w:rsidRPr="006F5452">
        <w:rPr>
          <w:rFonts w:cs="Times New Roman"/>
          <w:noProof/>
          <w:szCs w:val="24"/>
        </w:rPr>
        <w:t>with</w:t>
      </w:r>
      <w:r w:rsidRPr="006F5452">
        <w:rPr>
          <w:rFonts w:cs="Times New Roman"/>
          <w:noProof/>
          <w:szCs w:val="24"/>
        </w:rPr>
        <w:t xml:space="preserve"> respect to other financial instruments has been studied from many perspectives in previous research, the link between green bonds and economic political uncertainties has not been ascertained. </w:t>
      </w:r>
      <w:r w:rsidR="00E77571" w:rsidRPr="00E77571">
        <w:rPr>
          <w:rFonts w:cs="Times New Roman"/>
          <w:noProof/>
          <w:color w:val="0000CC"/>
          <w:szCs w:val="24"/>
        </w:rPr>
        <w:t xml:space="preserve">As we have established uncertainty measurements (e.g., VIX and OVX) and their impact on financial markets has been demonstrated, determining their influence on green bonds is critical considering the expansion of green </w:t>
      </w:r>
      <w:r w:rsidR="00E77571" w:rsidRPr="005D416F">
        <w:rPr>
          <w:rFonts w:cs="Times New Roman"/>
          <w:noProof/>
          <w:color w:val="0000CC"/>
          <w:szCs w:val="24"/>
        </w:rPr>
        <w:t>bonds. </w:t>
      </w:r>
      <w:r w:rsidRPr="005D416F">
        <w:rPr>
          <w:rFonts w:cs="Times New Roman"/>
          <w:noProof/>
          <w:color w:val="0000CC"/>
          <w:szCs w:val="24"/>
        </w:rPr>
        <w:t>Furthermore, the</w:t>
      </w:r>
      <w:r w:rsidR="005D416F" w:rsidRPr="005D416F">
        <w:rPr>
          <w:rFonts w:cs="Times New Roman"/>
          <w:noProof/>
          <w:color w:val="0000CC"/>
          <w:szCs w:val="24"/>
        </w:rPr>
        <w:t xml:space="preserve"> possible hedge and safe haven</w:t>
      </w:r>
      <w:r w:rsidRPr="005D416F">
        <w:rPr>
          <w:rFonts w:cs="Times New Roman"/>
          <w:noProof/>
          <w:color w:val="0000CC"/>
          <w:szCs w:val="24"/>
        </w:rPr>
        <w:t xml:space="preserve"> characteristics of green bonds</w:t>
      </w:r>
      <w:r w:rsidR="005D416F" w:rsidRPr="005D416F">
        <w:rPr>
          <w:rFonts w:cs="Times New Roman"/>
          <w:noProof/>
          <w:color w:val="0000CC"/>
          <w:szCs w:val="24"/>
        </w:rPr>
        <w:t xml:space="preserve"> would have significant implications</w:t>
      </w:r>
      <w:r w:rsidRPr="005D416F">
        <w:rPr>
          <w:rFonts w:cs="Times New Roman"/>
          <w:noProof/>
          <w:color w:val="0000CC"/>
          <w:szCs w:val="24"/>
        </w:rPr>
        <w:t xml:space="preserve"> for portfolio diversification</w:t>
      </w:r>
      <w:r w:rsidR="005D416F">
        <w:rPr>
          <w:rFonts w:cs="Times New Roman"/>
          <w:noProof/>
          <w:color w:val="0000CC"/>
          <w:szCs w:val="24"/>
        </w:rPr>
        <w:t xml:space="preserve"> (</w:t>
      </w:r>
      <w:r w:rsidR="005D416F">
        <w:rPr>
          <w:rFonts w:cs="Times New Roman"/>
          <w:color w:val="0000CC"/>
          <w:szCs w:val="24"/>
        </w:rPr>
        <w:t>Chopra and Mehta, 2023)</w:t>
      </w:r>
      <w:r w:rsidRPr="005D416F">
        <w:rPr>
          <w:rFonts w:cs="Times New Roman"/>
          <w:noProof/>
          <w:color w:val="0000CC"/>
          <w:szCs w:val="24"/>
        </w:rPr>
        <w:t xml:space="preserve">. </w:t>
      </w:r>
      <w:r w:rsidRPr="006F5452">
        <w:rPr>
          <w:rFonts w:cs="Times New Roman"/>
          <w:noProof/>
          <w:szCs w:val="24"/>
        </w:rPr>
        <w:t>This information may pique market interest in green bonds resulting in more sustainable econom</w:t>
      </w:r>
      <w:r w:rsidR="00CC1F16" w:rsidRPr="006F5452">
        <w:rPr>
          <w:rFonts w:cs="Times New Roman"/>
          <w:noProof/>
          <w:szCs w:val="24"/>
        </w:rPr>
        <w:t>ic</w:t>
      </w:r>
      <w:r w:rsidRPr="006F5452">
        <w:rPr>
          <w:rFonts w:cs="Times New Roman"/>
          <w:noProof/>
          <w:szCs w:val="24"/>
        </w:rPr>
        <w:t> growth.</w:t>
      </w:r>
    </w:p>
    <w:p w14:paraId="36B677A3" w14:textId="77777777" w:rsidR="00AD4CB1" w:rsidRPr="006F5452" w:rsidRDefault="00AD4CB1" w:rsidP="00AD4CB1"/>
    <w:p w14:paraId="3D284FF9" w14:textId="002DB3E5" w:rsidR="00242F1B" w:rsidRPr="006F5452" w:rsidRDefault="00242F1B" w:rsidP="002A4B33">
      <w:pPr>
        <w:pStyle w:val="Heading2"/>
      </w:pPr>
      <w:r w:rsidRPr="006F5452">
        <w:t xml:space="preserve">2.2 </w:t>
      </w:r>
      <w:r w:rsidR="00AD4CB1" w:rsidRPr="006F5452">
        <w:t>GPR</w:t>
      </w:r>
      <w:r w:rsidRPr="006F5452">
        <w:t>, oil prices</w:t>
      </w:r>
      <w:r w:rsidR="008D0937" w:rsidRPr="006F5452">
        <w:t>,</w:t>
      </w:r>
      <w:r w:rsidRPr="006F5452">
        <w:t xml:space="preserve"> and green bond</w:t>
      </w:r>
      <w:r w:rsidR="009843EA" w:rsidRPr="006F5452">
        <w:t xml:space="preserve"> returns</w:t>
      </w:r>
    </w:p>
    <w:p w14:paraId="728A0271" w14:textId="20367DD6" w:rsidR="00AD4CB1" w:rsidRPr="006F5452" w:rsidRDefault="00AD4CB1" w:rsidP="00DB0AA1">
      <w:pPr>
        <w:ind w:firstLine="720"/>
        <w:jc w:val="both"/>
        <w:rPr>
          <w:rFonts w:cs="Times New Roman"/>
          <w:szCs w:val="24"/>
        </w:rPr>
      </w:pPr>
      <w:r w:rsidRPr="006F5452">
        <w:rPr>
          <w:rFonts w:cs="Times New Roman"/>
          <w:szCs w:val="24"/>
        </w:rPr>
        <w:t xml:space="preserve">Geopolitical risks occur when doubts about the stability of the government and its institutions adversely influence the sustainability goals of a country’s economy. </w:t>
      </w:r>
      <w:r w:rsidR="00C604FC">
        <w:rPr>
          <w:rFonts w:cs="Times New Roman"/>
          <w:szCs w:val="24"/>
        </w:rPr>
        <w:t>T</w:t>
      </w:r>
      <w:r w:rsidRPr="006F5452">
        <w:rPr>
          <w:rFonts w:cs="Times New Roman"/>
          <w:szCs w:val="24"/>
        </w:rPr>
        <w:t xml:space="preserve">his risk consists of a system of interrelated pressure factors that have a significant effect on nations’ long-term development </w:t>
      </w:r>
      <w:r w:rsidRPr="006F5452">
        <w:rPr>
          <w:rFonts w:cs="Times New Roman"/>
          <w:szCs w:val="24"/>
        </w:rPr>
        <w:fldChar w:fldCharType="begin"/>
      </w:r>
      <w:r w:rsidR="00E97657">
        <w:rPr>
          <w:rFonts w:cs="Times New Roman" w:hint="eastAsia"/>
          <w:szCs w:val="24"/>
        </w:rPr>
        <w:instrText xml:space="preserve"> ADDIN EN.CITE &lt;EndNote&gt;&lt;Cite&gt;&lt;Author&gt;Castells</w:instrText>
      </w:r>
      <w:r w:rsidR="00E97657">
        <w:rPr>
          <w:rFonts w:cs="Times New Roman" w:hint="eastAsia"/>
          <w:szCs w:val="24"/>
        </w:rPr>
        <w:instrText>‐</w:instrText>
      </w:r>
      <w:r w:rsidR="00E97657">
        <w:rPr>
          <w:rFonts w:cs="Times New Roman" w:hint="eastAsia"/>
          <w:szCs w:val="24"/>
        </w:rPr>
        <w:instrText>Quintana&lt;/Author&gt;&lt;Year&gt;2019&lt;/Year&gt;&lt;RecNum&gt;27&lt;/RecNum&gt;&lt;DisplayText&gt;(Castells</w:instrText>
      </w:r>
      <w:r w:rsidR="00E97657">
        <w:rPr>
          <w:rFonts w:cs="Times New Roman" w:hint="eastAsia"/>
          <w:szCs w:val="24"/>
        </w:rPr>
        <w:instrText>‐</w:instrText>
      </w:r>
      <w:r w:rsidR="00E97657">
        <w:rPr>
          <w:rFonts w:cs="Times New Roman" w:hint="eastAsia"/>
          <w:szCs w:val="24"/>
        </w:rPr>
        <w:instrText>Quintana et al., 2019)&lt;/DisplayText&gt;&lt;record&gt;&lt;rec-number&gt;27&lt;/rec-number&gt;&lt;foreign-keys&gt;&lt;key app="EN" db-id="azfxvt991df2r2ew2adxzdekws2tx55feewr" timestamp="1663925985"&gt;27&lt;/key&gt;&lt;/foreign-keys&gt;&lt;ref-type name="Journal Article"&gt;17&lt;/ref-type&gt;&lt;contributors&gt;&lt;authors&gt;&lt;author&gt;Castells</w:instrText>
      </w:r>
      <w:r w:rsidR="00E97657">
        <w:rPr>
          <w:rFonts w:cs="Times New Roman" w:hint="eastAsia"/>
          <w:szCs w:val="24"/>
        </w:rPr>
        <w:instrText>‐</w:instrText>
      </w:r>
      <w:r w:rsidR="00E97657">
        <w:rPr>
          <w:rFonts w:cs="Times New Roman" w:hint="eastAsia"/>
          <w:szCs w:val="24"/>
        </w:rPr>
        <w:instrText>Quintana, David&lt;/author&gt;&lt;author&gt;Royuela, Vicente&lt;/author&gt;&lt;author&gt;Thiel, Fabian&lt;/author&gt;&lt;/authors&gt;&lt;/contributors</w:instrText>
      </w:r>
      <w:r w:rsidR="00E97657">
        <w:rPr>
          <w:rFonts w:cs="Times New Roman"/>
          <w:szCs w:val="24"/>
        </w:rPr>
        <w:instrText>&gt;&lt;titles&gt;&lt;title&gt;Inequality and sustainable development: Insights from an analysis of the human development index&lt;/title&gt;&lt;secondary-title&gt;Sustainable Development&lt;/secondary-title&gt;&lt;/titles&gt;&lt;periodical&gt;&lt;full-title&gt;Sustainable Development&lt;/full-title&gt;&lt;/periodical&gt;&lt;pages&gt;448-460&lt;/pages&gt;&lt;volume&gt;27&lt;/volume&gt;&lt;number&gt;3&lt;/number&gt;&lt;dates&gt;&lt;year&gt;2019&lt;/year&gt;&lt;/dates&gt;&lt;isbn&gt;0968-0802&lt;/isbn&gt;&lt;urls&gt;&lt;/urls&gt;&lt;/record&gt;&lt;/Cite&gt;&lt;/EndNote&gt;</w:instrText>
      </w:r>
      <w:r w:rsidRPr="006F5452">
        <w:rPr>
          <w:rFonts w:cs="Times New Roman"/>
          <w:szCs w:val="24"/>
        </w:rPr>
        <w:fldChar w:fldCharType="separate"/>
      </w:r>
      <w:r w:rsidR="00E97657">
        <w:rPr>
          <w:rFonts w:cs="Times New Roman" w:hint="eastAsia"/>
          <w:noProof/>
          <w:szCs w:val="24"/>
        </w:rPr>
        <w:t>(Castells</w:t>
      </w:r>
      <w:r w:rsidR="00E97657">
        <w:rPr>
          <w:rFonts w:cs="Times New Roman" w:hint="eastAsia"/>
          <w:noProof/>
          <w:szCs w:val="24"/>
        </w:rPr>
        <w:t>‐</w:t>
      </w:r>
      <w:r w:rsidR="00E97657">
        <w:rPr>
          <w:rFonts w:cs="Times New Roman" w:hint="eastAsia"/>
          <w:noProof/>
          <w:szCs w:val="24"/>
        </w:rPr>
        <w:t>Quintana et al., 2019)</w:t>
      </w:r>
      <w:r w:rsidRPr="006F5452">
        <w:rPr>
          <w:rFonts w:cs="Times New Roman"/>
          <w:szCs w:val="24"/>
        </w:rPr>
        <w:fldChar w:fldCharType="end"/>
      </w:r>
      <w:r w:rsidRPr="006F5452">
        <w:rPr>
          <w:rFonts w:cs="Times New Roman"/>
          <w:szCs w:val="24"/>
        </w:rPr>
        <w:t>. Therefore, in order to achieve sustainable development goals, countries need to control a knotty system of variables related to the economy, the environment</w:t>
      </w:r>
      <w:r w:rsidR="00CC1F16" w:rsidRPr="006F5452">
        <w:rPr>
          <w:rFonts w:cs="Times New Roman"/>
          <w:szCs w:val="24"/>
        </w:rPr>
        <w:t>,</w:t>
      </w:r>
      <w:r w:rsidRPr="006F5452">
        <w:rPr>
          <w:rFonts w:cs="Times New Roman"/>
          <w:szCs w:val="24"/>
        </w:rPr>
        <w:t xml:space="preserve"> and society development regulations </w:t>
      </w:r>
      <w:r w:rsidRPr="006F5452">
        <w:rPr>
          <w:rFonts w:cs="Times New Roman"/>
          <w:szCs w:val="24"/>
        </w:rPr>
        <w:fldChar w:fldCharType="begin"/>
      </w:r>
      <w:r w:rsidRPr="006F5452">
        <w:rPr>
          <w:rFonts w:cs="Times New Roman" w:hint="eastAsia"/>
          <w:szCs w:val="24"/>
        </w:rPr>
        <w:instrText xml:space="preserve"> ADDIN EN.CITE &lt;EndNote&gt;&lt;Cite&gt;&lt;Author&gt;Castells</w:instrText>
      </w:r>
      <w:r w:rsidRPr="006F5452">
        <w:rPr>
          <w:rFonts w:cs="Times New Roman" w:hint="eastAsia"/>
          <w:szCs w:val="24"/>
        </w:rPr>
        <w:instrText>‐</w:instrText>
      </w:r>
      <w:r w:rsidRPr="006F5452">
        <w:rPr>
          <w:rFonts w:cs="Times New Roman" w:hint="eastAsia"/>
          <w:szCs w:val="24"/>
        </w:rPr>
        <w:instrText>Quintana&lt;/Author&gt;&lt;Year&gt;2019&lt;/Year&gt;&lt;RecNum&gt;27&lt;/RecNum&gt;&lt;DisplayText&gt;(Castells</w:instrText>
      </w:r>
      <w:r w:rsidRPr="006F5452">
        <w:rPr>
          <w:rFonts w:cs="Times New Roman" w:hint="eastAsia"/>
          <w:szCs w:val="24"/>
        </w:rPr>
        <w:instrText>‐</w:instrText>
      </w:r>
      <w:r w:rsidRPr="006F5452">
        <w:rPr>
          <w:rFonts w:cs="Times New Roman" w:hint="eastAsia"/>
          <w:szCs w:val="24"/>
        </w:rPr>
        <w:instrText>Quintana et al., 2019; Hopwood et al., 2005)&lt;/DisplayText&gt;&lt;record&gt;&lt;rec-number&gt;27&lt;/rec-number&gt;&lt;foreign-keys&gt;&lt;key app="EN" db-id="azfxvt991df2r2ew2adxzdekws2tx55feewr" timestamp="1663925985"&gt;27&lt;/key&gt;&lt;/foreign-keys&gt;&lt;ref-type name="Journal Article"&gt;17&lt;/ref-type&gt;&lt;contributors&gt;&lt;authors&gt;&lt;author&gt;Castells</w:instrText>
      </w:r>
      <w:r w:rsidRPr="006F5452">
        <w:rPr>
          <w:rFonts w:cs="Times New Roman" w:hint="eastAsia"/>
          <w:szCs w:val="24"/>
        </w:rPr>
        <w:instrText>‐</w:instrText>
      </w:r>
      <w:r w:rsidRPr="006F5452">
        <w:rPr>
          <w:rFonts w:cs="Times New Roman" w:hint="eastAsia"/>
          <w:szCs w:val="24"/>
        </w:rPr>
        <w:instrText>Quintana, David&lt;/author&gt;&lt;author&gt;Royuela, Vicente&lt;/author&gt;&lt;author&gt;Thiel, Fabian&lt;/author&gt;&lt;/</w:instrText>
      </w:r>
      <w:r w:rsidRPr="006F5452">
        <w:rPr>
          <w:rFonts w:cs="Times New Roman"/>
          <w:szCs w:val="24"/>
        </w:rPr>
        <w:instrText>authors&gt;&lt;/contributors&gt;&lt;titles&gt;&lt;title&gt;Inequality and sustainable development: Insights from an analysis of the human development index&lt;/title&gt;&lt;secondary-title&gt;Sustainable Development&lt;/secondary-title&gt;&lt;/titles&gt;&lt;periodical&gt;&lt;full-title&gt;Sustainable Development&lt;/full-title&gt;&lt;/periodical&gt;&lt;pages&gt;448-460&lt;/pages&gt;&lt;volume&gt;27&lt;/volume&gt;&lt;number&gt;3&lt;/number&gt;&lt;dates&gt;&lt;year&gt;2019&lt;/year&gt;&lt;/dates&gt;&lt;isbn&gt;0968-0802&lt;/isbn&gt;&lt;urls&gt;&lt;/urls&gt;&lt;/record&gt;&lt;/Cite&gt;&lt;Cite&gt;&lt;Author&gt;Hopwood&lt;/Author&gt;&lt;Year&gt;2005&lt;/Year&gt;&lt;RecNum&gt;28&lt;/RecNum&gt;&lt;record&gt;&lt;rec-number&gt;28&lt;/rec-number&gt;&lt;foreign-keys&gt;&lt;key app="EN" db-id="azfxvt991df2r2ew2adxzdekws2tx55feewr" timestamp="1663926053"&gt;28&lt;/key&gt;&lt;/foreign-keys&gt;&lt;ref-type name="Journal Article"&gt;17&lt;/ref-type&gt;&lt;contributors&gt;&lt;authors&gt;&lt;author&gt;Hopwood, Bill&lt;/author&gt;&lt;author&gt;Mellor, Mary&lt;/author&gt;&lt;author&gt;O&amp;apos;Brien, Geoff&lt;/author&gt;&lt;/authors&gt;&lt;/contributors&gt;&lt;titles&gt;&lt;title&gt;Sustainable development: mapping different approaches&lt;/title&gt;&lt;secondary-title&gt;Sustainable development&lt;/secondary-title&gt;&lt;/titles&gt;&lt;periodical&gt;&lt;full-title&gt;Sustainable Development&lt;/full-title&gt;&lt;/periodical&gt;&lt;pages&gt;38-52&lt;/pages&gt;&lt;volume&gt;13&lt;/volume&gt;&lt;number&gt;1&lt;/number&gt;&lt;dates&gt;&lt;year&gt;2005&lt;/year&gt;&lt;/dates&gt;&lt;isbn&gt;0968-0802&lt;/isbn&gt;&lt;urls&gt;&lt;/urls&gt;&lt;/record&gt;&lt;/Cite&gt;&lt;/EndNote&gt;</w:instrText>
      </w:r>
      <w:r w:rsidRPr="006F5452">
        <w:rPr>
          <w:rFonts w:cs="Times New Roman"/>
          <w:szCs w:val="24"/>
        </w:rPr>
        <w:fldChar w:fldCharType="separate"/>
      </w:r>
      <w:r w:rsidRPr="006F5452">
        <w:rPr>
          <w:rFonts w:cs="Times New Roman" w:hint="eastAsia"/>
          <w:noProof/>
          <w:szCs w:val="24"/>
        </w:rPr>
        <w:t>(Castells</w:t>
      </w:r>
      <w:r w:rsidRPr="006F5452">
        <w:rPr>
          <w:rFonts w:cs="Times New Roman" w:hint="eastAsia"/>
          <w:noProof/>
          <w:szCs w:val="24"/>
        </w:rPr>
        <w:t>‐</w:t>
      </w:r>
      <w:r w:rsidRPr="006F5452">
        <w:rPr>
          <w:rFonts w:cs="Times New Roman" w:hint="eastAsia"/>
          <w:noProof/>
          <w:szCs w:val="24"/>
        </w:rPr>
        <w:t>Quintana et al., 2019; Hopwood et al., 2005)</w:t>
      </w:r>
      <w:r w:rsidRPr="006F5452">
        <w:rPr>
          <w:rFonts w:cs="Times New Roman"/>
          <w:szCs w:val="24"/>
        </w:rPr>
        <w:fldChar w:fldCharType="end"/>
      </w:r>
      <w:r w:rsidRPr="006F5452">
        <w:rPr>
          <w:rFonts w:cs="Times New Roman"/>
          <w:szCs w:val="24"/>
        </w:rPr>
        <w:t xml:space="preserve">. </w:t>
      </w:r>
    </w:p>
    <w:p w14:paraId="6254203C" w14:textId="77777777" w:rsidR="00DB0AA1" w:rsidRPr="006F5452" w:rsidRDefault="00DB0AA1" w:rsidP="00DB0AA1">
      <w:pPr>
        <w:ind w:firstLine="720"/>
        <w:jc w:val="both"/>
        <w:rPr>
          <w:rFonts w:cs="Times New Roman"/>
          <w:szCs w:val="24"/>
        </w:rPr>
      </w:pPr>
    </w:p>
    <w:p w14:paraId="338C933A" w14:textId="64DF9268" w:rsidR="00AD4CB1" w:rsidRPr="006F5452" w:rsidRDefault="00DB0AA1" w:rsidP="00DB0AA1">
      <w:pPr>
        <w:pStyle w:val="Heading3"/>
        <w:rPr>
          <w:i w:val="0"/>
        </w:rPr>
      </w:pPr>
      <w:r w:rsidRPr="006F5452">
        <w:t xml:space="preserve">2.2.1 </w:t>
      </w:r>
      <w:r w:rsidR="00AD4CB1" w:rsidRPr="006F5452">
        <w:t>GPU and equity market</w:t>
      </w:r>
    </w:p>
    <w:p w14:paraId="6D5CA025" w14:textId="715C250D" w:rsidR="00AD4CB1" w:rsidRPr="006F5452" w:rsidRDefault="00AD4CB1" w:rsidP="00DB0AA1">
      <w:pPr>
        <w:ind w:firstLine="720"/>
        <w:jc w:val="both"/>
        <w:rPr>
          <w:rFonts w:cs="Times New Roman"/>
          <w:szCs w:val="24"/>
        </w:rPr>
      </w:pPr>
      <w:r w:rsidRPr="006F5452">
        <w:rPr>
          <w:rFonts w:cs="Times New Roman"/>
          <w:szCs w:val="24"/>
        </w:rPr>
        <w:t xml:space="preserve">A well-established research body addresses the impact of geopolitical uncertainty risk on capital market fluctuations </w:t>
      </w:r>
      <w:r w:rsidRPr="006F5452">
        <w:rPr>
          <w:rFonts w:cs="Times New Roman"/>
          <w:szCs w:val="24"/>
        </w:rPr>
        <w:fldChar w:fldCharType="begin"/>
      </w:r>
      <w:r w:rsidRPr="006F5452">
        <w:rPr>
          <w:rFonts w:cs="Times New Roman"/>
          <w:szCs w:val="24"/>
        </w:rPr>
        <w:instrText xml:space="preserve"> ADDIN EN.CITE &lt;EndNote&gt;&lt;Cite&gt;&lt;Author&gt;Balcilar&lt;/Author&gt;&lt;Year&gt;2018&lt;/Year&gt;&lt;RecNum&gt;29&lt;/RecNum&gt;&lt;DisplayText&gt;(Balcilar et al., 2018; Fernandez, 2008)&lt;/DisplayText&gt;&lt;record&gt;&lt;rec-number&gt;29&lt;/rec-number&gt;&lt;foreign-keys&gt;&lt;key app="EN" db-id="azfxvt991df2r2ew2adxzdekws2tx55feewr" timestamp="1663926090"&gt;29&lt;/key&gt;&lt;/foreign-keys&gt;&lt;ref-type name="Journal Article"&gt;17&lt;/ref-type&gt;&lt;contributors&gt;&lt;authors&gt;&lt;author&gt;Balcilar, Mehmet&lt;/author&gt;&lt;author&gt;Bonato, Matteo&lt;/author&gt;&lt;author&gt;Demirer, Riza&lt;/author&gt;&lt;author&gt;Gupta, Rangan&lt;/author&gt;&lt;/authors&gt;&lt;/contributors&gt;&lt;titles&gt;&lt;title&gt;Geopolitical risks and stock market dynamics of the BRICS&lt;/title&gt;&lt;secondary-title&gt;Economic Systems&lt;/secondary-title&gt;&lt;/titles&gt;&lt;periodical&gt;&lt;full-title&gt;Economic Systems&lt;/full-title&gt;&lt;/periodical&gt;&lt;pages&gt;295-306&lt;/pages&gt;&lt;volume&gt;42&lt;/volume&gt;&lt;number&gt;2&lt;/number&gt;&lt;dates&gt;&lt;year&gt;2018&lt;/year&gt;&lt;/dates&gt;&lt;isbn&gt;0939-3625&lt;/isbn&gt;&lt;urls&gt;&lt;/urls&gt;&lt;/record&gt;&lt;/Cite&gt;&lt;Cite&gt;&lt;Author&gt;Fernandez&lt;/Author&gt;&lt;Year&gt;2008&lt;/Year&gt;&lt;RecNum&gt;30&lt;/RecNum&gt;&lt;record&gt;&lt;rec-number&gt;30&lt;/rec-number&gt;&lt;foreign-keys&gt;&lt;key app="EN" db-id="azfxvt991df2r2ew2adxzdekws2tx55feewr" timestamp="1663926194"&gt;30&lt;/key&gt;&lt;/foreign-keys&gt;&lt;ref-type name="Journal Article"&gt;17&lt;/ref-type&gt;&lt;contributors&gt;&lt;authors&gt;&lt;author&gt;Fernandez, Viviana&lt;/author&gt;&lt;/authors&gt;&lt;/contributors&gt;&lt;titles&gt;&lt;title&gt;The war on terror and its impact on the long-term volatility of financial markets&lt;/title&gt;&lt;secondary-title&gt;International Review of Financial Analysis&lt;/secondary-title&gt;&lt;/titles&gt;&lt;periodical&gt;&lt;full-title&gt;International Review of Financial Analysis&lt;/full-title&gt;&lt;/periodical&gt;&lt;pages&gt;1-26&lt;/pages&gt;&lt;volume&gt;17&lt;/volume&gt;&lt;number&gt;1&lt;/number&gt;&lt;dates&gt;&lt;year&gt;2008&lt;/year&gt;&lt;/dates&gt;&lt;isbn&gt;1057-5219&lt;/isbn&gt;&lt;urls&gt;&lt;/urls&gt;&lt;/record&gt;&lt;/Cite&gt;&lt;/EndNote&gt;</w:instrText>
      </w:r>
      <w:r w:rsidRPr="006F5452">
        <w:rPr>
          <w:rFonts w:cs="Times New Roman"/>
          <w:szCs w:val="24"/>
        </w:rPr>
        <w:fldChar w:fldCharType="separate"/>
      </w:r>
      <w:r w:rsidRPr="006F5452">
        <w:rPr>
          <w:rFonts w:cs="Times New Roman"/>
          <w:noProof/>
          <w:szCs w:val="24"/>
        </w:rPr>
        <w:t>(Balcilar et al., 2018; Fernandez, 2008)</w:t>
      </w:r>
      <w:r w:rsidRPr="006F5452">
        <w:rPr>
          <w:rFonts w:cs="Times New Roman"/>
          <w:szCs w:val="24"/>
        </w:rPr>
        <w:fldChar w:fldCharType="end"/>
      </w:r>
      <w:r w:rsidR="00CC1F16" w:rsidRPr="006F5452">
        <w:rPr>
          <w:rFonts w:cs="Times New Roman"/>
          <w:szCs w:val="24"/>
        </w:rPr>
        <w:t xml:space="preserve">. </w:t>
      </w:r>
      <w:r w:rsidR="00B21FBD" w:rsidRPr="006F5452">
        <w:rPr>
          <w:rFonts w:cs="Times New Roman"/>
          <w:szCs w:val="24"/>
        </w:rPr>
        <w:t>It</w:t>
      </w:r>
      <w:r w:rsidRPr="006F5452">
        <w:rPr>
          <w:rFonts w:cs="Times New Roman"/>
          <w:szCs w:val="24"/>
        </w:rPr>
        <w:t xml:space="preserve"> is well</w:t>
      </w:r>
      <w:r w:rsidR="00C604FC">
        <w:rPr>
          <w:rFonts w:cs="Times New Roman"/>
          <w:szCs w:val="24"/>
        </w:rPr>
        <w:t>-</w:t>
      </w:r>
      <w:r w:rsidRPr="006F5452">
        <w:rPr>
          <w:rFonts w:cs="Times New Roman"/>
          <w:szCs w:val="24"/>
        </w:rPr>
        <w:t>recognized that political uncertainties have a considerable impact on investment decisions</w:t>
      </w:r>
      <w:r w:rsidR="00CC1F16" w:rsidRPr="006F5452">
        <w:rPr>
          <w:rFonts w:cs="Times New Roman"/>
          <w:szCs w:val="24"/>
        </w:rPr>
        <w:t>. I</w:t>
      </w:r>
      <w:r w:rsidRPr="006F5452">
        <w:rPr>
          <w:rFonts w:cs="Times New Roman"/>
          <w:szCs w:val="24"/>
        </w:rPr>
        <w:t>n turn</w:t>
      </w:r>
      <w:r w:rsidR="00CC1F16" w:rsidRPr="006F5452">
        <w:rPr>
          <w:rFonts w:cs="Times New Roman"/>
          <w:szCs w:val="24"/>
        </w:rPr>
        <w:t>,</w:t>
      </w:r>
      <w:r w:rsidRPr="006F5452">
        <w:rPr>
          <w:rFonts w:cs="Times New Roman"/>
          <w:szCs w:val="24"/>
        </w:rPr>
        <w:t xml:space="preserve"> influence the returns of </w:t>
      </w:r>
      <w:r w:rsidR="00C604FC">
        <w:rPr>
          <w:rFonts w:cs="Times New Roman"/>
          <w:szCs w:val="24"/>
        </w:rPr>
        <w:t xml:space="preserve">the </w:t>
      </w:r>
      <w:r w:rsidRPr="006F5452">
        <w:rPr>
          <w:rFonts w:cs="Times New Roman"/>
          <w:szCs w:val="24"/>
        </w:rPr>
        <w:t>financial instruments in question </w:t>
      </w:r>
      <w:r w:rsidRPr="006F5452">
        <w:rPr>
          <w:rFonts w:cs="Times New Roman"/>
          <w:szCs w:val="24"/>
        </w:rPr>
        <w:fldChar w:fldCharType="begin"/>
      </w:r>
      <w:r w:rsidRPr="006F5452">
        <w:rPr>
          <w:rFonts w:cs="Times New Roman"/>
          <w:szCs w:val="24"/>
        </w:rPr>
        <w:instrText xml:space="preserve"> ADDIN EN.CITE &lt;EndNote&gt;&lt;Cite&gt;&lt;Author&gt;Apergis&lt;/Author&gt;&lt;Year&gt;2017&lt;/Year&gt;&lt;RecNum&gt;31&lt;/RecNum&gt;&lt;DisplayText&gt;(Apergis et al., 2017; Caldara &amp;amp; Iacoviello, 2022)&lt;/DisplayText&gt;&lt;record&gt;&lt;rec-number&gt;31&lt;/rec-number&gt;&lt;foreign-keys&gt;&lt;key app="EN" db-id="azfxvt991df2r2ew2adxzdekws2tx55feewr" timestamp="1663926244"&gt;31&lt;/key&gt;&lt;/foreign-keys&gt;&lt;ref-type name="Journal Article"&gt;17&lt;/ref-type&gt;&lt;contributors&gt;&lt;authors&gt;&lt;author&gt;Apergis, Nicholas&lt;/author&gt;&lt;author&gt;Baruník, Jozef&lt;/author&gt;&lt;author&gt;Lau, Marco Chi Keung&lt;/author&gt;&lt;/authors&gt;&lt;/contributors&gt;&lt;titles&gt;&lt;title&gt;Good volatility, bad volatility: What drives the asymmetric connectedness of Australian electricity markets?&lt;/title&gt;&lt;secondary-title&gt;Energy Economics&lt;/secondary-title&gt;&lt;/titles&gt;&lt;periodical&gt;&lt;full-title&gt;Energy Economics&lt;/full-title&gt;&lt;/periodical&gt;&lt;pages&gt;108-115&lt;/pages&gt;&lt;volume&gt;66&lt;/volume&gt;&lt;dates&gt;&lt;year&gt;2017&lt;/year&gt;&lt;/dates&gt;&lt;isbn&gt;0140-9883&lt;/isbn&gt;&lt;urls&gt;&lt;/urls&gt;&lt;/record&gt;&lt;/Cite&gt;&lt;Cite&gt;&lt;Author&gt;Caldara&lt;/Author&gt;&lt;Year&gt;2022&lt;/Year&gt;&lt;RecNum&gt;32&lt;/RecNum&gt;&lt;record&gt;&lt;rec-number&gt;32&lt;/rec-number&gt;&lt;foreign-keys&gt;&lt;key app="EN" db-id="azfxvt991df2r2ew2adxzdekws2tx55feewr" timestamp="1663926418"&gt;32&lt;/key&gt;&lt;/foreign-keys&gt;&lt;ref-type name="Journal Article"&gt;17&lt;/ref-type&gt;&lt;contributors&gt;&lt;authors&gt;&lt;author&gt;Caldara, Dario&lt;/author&gt;&lt;author&gt;Iacoviello, Matteo&lt;/author&gt;&lt;/authors&gt;&lt;/contributors&gt;&lt;titles&gt;&lt;title&gt;Measuring geopolitical risk&lt;/title&gt;&lt;secondary-title&gt;American Economic Review&lt;/secondary-title&gt;&lt;/titles&gt;&lt;periodical&gt;&lt;full-title&gt;American Economic Review&lt;/full-title&gt;&lt;/periodical&gt;&lt;pages&gt;1194-1225&lt;/pages&gt;&lt;volume&gt;112&lt;/volume&gt;&lt;number&gt;4&lt;/number&gt;&lt;dates&gt;&lt;year&gt;2022&lt;/year&gt;&lt;/dates&gt;&lt;isbn&gt;0002-8282&lt;/isbn&gt;&lt;urls&gt;&lt;/urls&gt;&lt;/record&gt;&lt;/Cite&gt;&lt;/EndNote&gt;</w:instrText>
      </w:r>
      <w:r w:rsidRPr="006F5452">
        <w:rPr>
          <w:rFonts w:cs="Times New Roman"/>
          <w:szCs w:val="24"/>
        </w:rPr>
        <w:fldChar w:fldCharType="separate"/>
      </w:r>
      <w:r w:rsidRPr="006F5452">
        <w:rPr>
          <w:rFonts w:cs="Times New Roman"/>
          <w:noProof/>
          <w:szCs w:val="24"/>
        </w:rPr>
        <w:t>(Apergis et al., 2017; Caldara &amp; Iacoviello, 2022)</w:t>
      </w:r>
      <w:r w:rsidRPr="006F5452">
        <w:rPr>
          <w:rFonts w:cs="Times New Roman"/>
          <w:szCs w:val="24"/>
        </w:rPr>
        <w:fldChar w:fldCharType="end"/>
      </w:r>
      <w:r w:rsidRPr="006F5452">
        <w:rPr>
          <w:rFonts w:cs="Times New Roman"/>
          <w:szCs w:val="24"/>
        </w:rPr>
        <w:t xml:space="preserve">. The repercussions of geopolitical risk on financial markets are </w:t>
      </w:r>
      <w:r w:rsidR="00CC1F16" w:rsidRPr="006F5452">
        <w:rPr>
          <w:rFonts w:cs="Times New Roman"/>
          <w:szCs w:val="24"/>
        </w:rPr>
        <w:t xml:space="preserve">particularly </w:t>
      </w:r>
      <w:r w:rsidR="00CC1F16" w:rsidRPr="006F5452">
        <w:rPr>
          <w:rFonts w:cs="Times New Roman"/>
          <w:szCs w:val="24"/>
        </w:rPr>
        <w:lastRenderedPageBreak/>
        <w:t>severe</w:t>
      </w:r>
      <w:r w:rsidRPr="006F5452">
        <w:rPr>
          <w:rFonts w:cs="Times New Roman"/>
          <w:szCs w:val="24"/>
        </w:rPr>
        <w:t xml:space="preserve"> in nations with higher geopolitical turmoil. </w:t>
      </w:r>
      <w:r w:rsidRPr="006F5452">
        <w:rPr>
          <w:rFonts w:cs="Times New Roman"/>
          <w:szCs w:val="24"/>
        </w:rPr>
        <w:fldChar w:fldCharType="begin"/>
      </w:r>
      <w:r w:rsidRPr="006F5452">
        <w:rPr>
          <w:rFonts w:cs="Times New Roman"/>
          <w:szCs w:val="24"/>
        </w:rPr>
        <w:instrText xml:space="preserve"> ADDIN EN.CITE &lt;EndNote&gt;&lt;Cite AuthorYear="1"&gt;&lt;Author&gt;Balcilar&lt;/Author&gt;&lt;Year&gt;2018&lt;/Year&gt;&lt;RecNum&gt;29&lt;/RecNum&gt;&lt;DisplayText&gt;Balcilar et al. (2018)&lt;/DisplayText&gt;&lt;record&gt;&lt;rec-number&gt;29&lt;/rec-number&gt;&lt;foreign-keys&gt;&lt;key app="EN" db-id="azfxvt991df2r2ew2adxzdekws2tx55feewr" timestamp="1663926090"&gt;29&lt;/key&gt;&lt;/foreign-keys&gt;&lt;ref-type name="Journal Article"&gt;17&lt;/ref-type&gt;&lt;contributors&gt;&lt;authors&gt;&lt;author&gt;Balcilar, Mehmet&lt;/author&gt;&lt;author&gt;Bonato, Matteo&lt;/author&gt;&lt;author&gt;Demirer, Riza&lt;/author&gt;&lt;author&gt;Gupta, Rangan&lt;/author&gt;&lt;/authors&gt;&lt;/contributors&gt;&lt;titles&gt;&lt;title&gt;Geopolitical risks and stock market dynamics of the BRICS&lt;/title&gt;&lt;secondary-title&gt;Economic Systems&lt;/secondary-title&gt;&lt;/titles&gt;&lt;periodical&gt;&lt;full-title&gt;Economic Systems&lt;/full-title&gt;&lt;/periodical&gt;&lt;pages&gt;295-306&lt;/pages&gt;&lt;volume&gt;42&lt;/volume&gt;&lt;number&gt;2&lt;/number&gt;&lt;dates&gt;&lt;year&gt;2018&lt;/year&gt;&lt;/dates&gt;&lt;isbn&gt;0939-3625&lt;/isbn&gt;&lt;urls&gt;&lt;/urls&gt;&lt;/record&gt;&lt;/Cite&gt;&lt;/EndNote&gt;</w:instrText>
      </w:r>
      <w:r w:rsidRPr="006F5452">
        <w:rPr>
          <w:rFonts w:cs="Times New Roman"/>
          <w:szCs w:val="24"/>
        </w:rPr>
        <w:fldChar w:fldCharType="separate"/>
      </w:r>
      <w:r w:rsidRPr="006F5452">
        <w:rPr>
          <w:rFonts w:cs="Times New Roman"/>
          <w:noProof/>
          <w:szCs w:val="24"/>
        </w:rPr>
        <w:t>Balcilar et al. (2018)</w:t>
      </w:r>
      <w:r w:rsidRPr="006F5452">
        <w:rPr>
          <w:rFonts w:cs="Times New Roman"/>
          <w:szCs w:val="24"/>
        </w:rPr>
        <w:fldChar w:fldCharType="end"/>
      </w:r>
      <w:r w:rsidRPr="006F5452">
        <w:rPr>
          <w:rFonts w:cs="Times New Roman"/>
          <w:szCs w:val="24"/>
        </w:rPr>
        <w:t xml:space="preserve"> </w:t>
      </w:r>
      <w:r w:rsidR="00DF0983" w:rsidRPr="006F5452">
        <w:rPr>
          <w:rFonts w:cs="Times New Roman"/>
          <w:szCs w:val="24"/>
        </w:rPr>
        <w:t xml:space="preserve">and </w:t>
      </w:r>
      <w:proofErr w:type="spellStart"/>
      <w:r w:rsidR="00DF0983" w:rsidRPr="006F5452">
        <w:rPr>
          <w:rFonts w:cs="Times New Roman"/>
          <w:szCs w:val="24"/>
        </w:rPr>
        <w:t>Mensi</w:t>
      </w:r>
      <w:proofErr w:type="spellEnd"/>
      <w:r w:rsidR="00DF0983" w:rsidRPr="006F5452">
        <w:rPr>
          <w:rFonts w:cs="Times New Roman"/>
          <w:szCs w:val="24"/>
        </w:rPr>
        <w:t xml:space="preserve"> et al (2016) </w:t>
      </w:r>
      <w:r w:rsidRPr="006F5452">
        <w:rPr>
          <w:rFonts w:cs="Times New Roman"/>
          <w:szCs w:val="24"/>
        </w:rPr>
        <w:t xml:space="preserve">study the effect of GPR </w:t>
      </w:r>
      <w:r w:rsidR="00CC1F16" w:rsidRPr="006F5452">
        <w:rPr>
          <w:rFonts w:cs="Times New Roman"/>
          <w:szCs w:val="24"/>
        </w:rPr>
        <w:t>on</w:t>
      </w:r>
      <w:r w:rsidRPr="006F5452">
        <w:rPr>
          <w:rFonts w:cs="Times New Roman"/>
          <w:szCs w:val="24"/>
        </w:rPr>
        <w:t xml:space="preserve"> the BRICS financial market using a geopolitical risk index which incorporates terrorism acts and different types of political conflicts and discover that GPR determines fluctuation more than returns. </w:t>
      </w:r>
      <w:r w:rsidRPr="006F5452">
        <w:rPr>
          <w:rFonts w:cs="Times New Roman"/>
          <w:szCs w:val="24"/>
        </w:rPr>
        <w:fldChar w:fldCharType="begin"/>
      </w:r>
      <w:r w:rsidRPr="006F5452">
        <w:rPr>
          <w:rFonts w:cs="Times New Roman"/>
          <w:szCs w:val="24"/>
        </w:rPr>
        <w:instrText xml:space="preserve"> ADDIN EN.CITE &lt;EndNote&gt;&lt;Cite AuthorYear="1"&gt;&lt;Author&gt;Bouri&lt;/Author&gt;&lt;Year&gt;2019&lt;/Year&gt;&lt;RecNum&gt;34&lt;/RecNum&gt;&lt;DisplayText&gt;Bouri et al. (2019)&lt;/DisplayText&gt;&lt;record&gt;&lt;rec-number&gt;34&lt;/rec-number&gt;&lt;foreign-keys&gt;&lt;key app="EN" db-id="azfxvt991df2r2ew2adxzdekws2tx55feewr" timestamp="1663926570"&gt;34&lt;/key&gt;&lt;/foreign-keys&gt;&lt;ref-type name="Journal Article"&gt;17&lt;/ref-type&gt;&lt;contributors&gt;&lt;authors&gt;&lt;author&gt;Bouri, Elie&lt;/author&gt;&lt;author&gt;Demirer, Riza&lt;/author&gt;&lt;author&gt;Gupta, Rangan&lt;/author&gt;&lt;author&gt;Marfatia, Hardik A&lt;/author&gt;&lt;/authors&gt;&lt;/contributors&gt;&lt;titles&gt;&lt;title&gt;Geopolitical risks and movements in Islamic bond and equity markets: A note&lt;/title&gt;&lt;secondary-title&gt;Defence and Peace Economics&lt;/secondary-title&gt;&lt;/titles&gt;&lt;periodical&gt;&lt;full-title&gt;Defence and Peace Economics&lt;/full-title&gt;&lt;/periodical&gt;&lt;pages&gt;367-379&lt;/pages&gt;&lt;volume&gt;30&lt;/volume&gt;&lt;number&gt;3&lt;/number&gt;&lt;dates&gt;&lt;year&gt;2019&lt;/year&gt;&lt;/dates&gt;&lt;isbn&gt;1024-2694&lt;/isbn&gt;&lt;urls&gt;&lt;/urls&gt;&lt;/record&gt;&lt;/Cite&gt;&lt;/EndNote&gt;</w:instrText>
      </w:r>
      <w:r w:rsidRPr="006F5452">
        <w:rPr>
          <w:rFonts w:cs="Times New Roman"/>
          <w:szCs w:val="24"/>
        </w:rPr>
        <w:fldChar w:fldCharType="separate"/>
      </w:r>
      <w:r w:rsidRPr="006F5452">
        <w:rPr>
          <w:rFonts w:cs="Times New Roman"/>
          <w:noProof/>
          <w:szCs w:val="24"/>
        </w:rPr>
        <w:t>Bouri et al. (2019)</w:t>
      </w:r>
      <w:r w:rsidRPr="006F5452">
        <w:rPr>
          <w:rFonts w:cs="Times New Roman"/>
          <w:szCs w:val="24"/>
        </w:rPr>
        <w:fldChar w:fldCharType="end"/>
      </w:r>
      <w:r w:rsidRPr="006F5452">
        <w:rPr>
          <w:rFonts w:cs="Times New Roman"/>
          <w:szCs w:val="24"/>
        </w:rPr>
        <w:t xml:space="preserve"> </w:t>
      </w:r>
      <w:r w:rsidR="00DF0983" w:rsidRPr="006F5452">
        <w:rPr>
          <w:rFonts w:cs="Times New Roman"/>
          <w:szCs w:val="24"/>
        </w:rPr>
        <w:t>examine</w:t>
      </w:r>
      <w:r w:rsidRPr="006F5452">
        <w:rPr>
          <w:rFonts w:cs="Times New Roman"/>
          <w:szCs w:val="24"/>
        </w:rPr>
        <w:t xml:space="preserve"> the relationship between geopolitical uncertainties and both the return and volatility patterns of Islamic equities. Their results suggest these risks are likely to influence equity market volatility rather than bond returns and volatility.</w:t>
      </w:r>
      <w:r w:rsidR="00CC1F16" w:rsidRPr="006F5452">
        <w:rPr>
          <w:rFonts w:cs="Times New Roman"/>
          <w:szCs w:val="24"/>
        </w:rPr>
        <w:t xml:space="preserve"> </w:t>
      </w:r>
      <w:r w:rsidRPr="006F5452">
        <w:rPr>
          <w:rFonts w:cs="Times New Roman"/>
          <w:szCs w:val="24"/>
        </w:rPr>
        <w:t>In this paper, we turn our attention to green bonds. Green bonds generate fixed income like all traditional bonds. In addition, their component and risk</w:t>
      </w:r>
      <w:r w:rsidR="00CC1F16" w:rsidRPr="006F5452">
        <w:rPr>
          <w:rFonts w:cs="Times New Roman"/>
          <w:szCs w:val="24"/>
        </w:rPr>
        <w:t>-</w:t>
      </w:r>
      <w:r w:rsidRPr="006F5452">
        <w:rPr>
          <w:rFonts w:cs="Times New Roman"/>
          <w:szCs w:val="24"/>
        </w:rPr>
        <w:t>to</w:t>
      </w:r>
      <w:r w:rsidR="00CC1F16" w:rsidRPr="006F5452">
        <w:rPr>
          <w:rFonts w:cs="Times New Roman"/>
          <w:szCs w:val="24"/>
        </w:rPr>
        <w:t>-</w:t>
      </w:r>
      <w:r w:rsidRPr="006F5452">
        <w:rPr>
          <w:rFonts w:cs="Times New Roman"/>
          <w:szCs w:val="24"/>
        </w:rPr>
        <w:t xml:space="preserve">return features are </w:t>
      </w:r>
      <w:proofErr w:type="gramStart"/>
      <w:r w:rsidRPr="006F5452">
        <w:rPr>
          <w:rFonts w:cs="Times New Roman"/>
          <w:szCs w:val="24"/>
        </w:rPr>
        <w:t>similar to</w:t>
      </w:r>
      <w:proofErr w:type="gramEnd"/>
      <w:r w:rsidRPr="006F5452">
        <w:rPr>
          <w:rFonts w:cs="Times New Roman"/>
          <w:szCs w:val="24"/>
        </w:rPr>
        <w:t xml:space="preserve"> those of a traditional bond. The main distinction is the green use of revenues. </w:t>
      </w:r>
    </w:p>
    <w:p w14:paraId="274DB91C" w14:textId="77777777" w:rsidR="00DB0AA1" w:rsidRPr="006F5452" w:rsidRDefault="00DB0AA1" w:rsidP="00DB0AA1">
      <w:pPr>
        <w:ind w:firstLine="720"/>
        <w:jc w:val="both"/>
        <w:rPr>
          <w:rFonts w:cs="Times New Roman"/>
          <w:szCs w:val="24"/>
        </w:rPr>
      </w:pPr>
    </w:p>
    <w:p w14:paraId="29D61B48" w14:textId="1C5D6D6A" w:rsidR="00AD4CB1" w:rsidRPr="006F5452" w:rsidRDefault="00C36B4E" w:rsidP="00DB0AA1">
      <w:pPr>
        <w:ind w:firstLine="720"/>
        <w:jc w:val="both"/>
        <w:rPr>
          <w:rFonts w:cs="Times New Roman"/>
          <w:szCs w:val="24"/>
        </w:rPr>
      </w:pPr>
      <w:r w:rsidRPr="006F5452">
        <w:rPr>
          <w:rFonts w:cs="Times New Roman"/>
          <w:szCs w:val="24"/>
        </w:rPr>
        <w:t>S</w:t>
      </w:r>
      <w:r w:rsidR="00AD4CB1" w:rsidRPr="006F5452">
        <w:rPr>
          <w:rFonts w:cs="Times New Roman"/>
          <w:szCs w:val="24"/>
        </w:rPr>
        <w:t>ocio-political research suggests that ethnic</w:t>
      </w:r>
      <w:r w:rsidRPr="006F5452">
        <w:rPr>
          <w:rFonts w:cs="Times New Roman"/>
          <w:szCs w:val="24"/>
        </w:rPr>
        <w:t xml:space="preserve"> </w:t>
      </w:r>
      <w:r w:rsidR="00AD4CB1" w:rsidRPr="006F5452">
        <w:rPr>
          <w:rFonts w:cs="Times New Roman"/>
          <w:szCs w:val="24"/>
        </w:rPr>
        <w:t xml:space="preserve">strife undermines the political-legal system, particularly when members of political society are divided into different ethnic affiliations </w:t>
      </w:r>
      <w:r w:rsidR="00AD4CB1" w:rsidRPr="006F5452">
        <w:rPr>
          <w:rFonts w:cs="Times New Roman"/>
          <w:szCs w:val="24"/>
        </w:rPr>
        <w:fldChar w:fldCharType="begin"/>
      </w:r>
      <w:r w:rsidR="00AD4CB1" w:rsidRPr="006F5452">
        <w:rPr>
          <w:rFonts w:cs="Times New Roman"/>
          <w:szCs w:val="24"/>
        </w:rPr>
        <w:instrText xml:space="preserve"> ADDIN EN.CITE &lt;EndNote&gt;&lt;Cite&gt;&lt;Author&gt;Suarez&lt;/Author&gt;&lt;Year&gt;2018&lt;/Year&gt;&lt;RecNum&gt;35&lt;/RecNum&gt;&lt;DisplayText&gt;(Suarez et al., 2018)&lt;/DisplayText&gt;&lt;record&gt;&lt;rec-number&gt;35&lt;/rec-number&gt;&lt;foreign-keys&gt;&lt;key app="EN" db-id="azfxvt991df2r2ew2adxzdekws2tx55feewr" timestamp="1663926632"&gt;35&lt;/key&gt;&lt;/foreign-keys&gt;&lt;ref-type name="Journal Article"&gt;17&lt;/ref-type&gt;&lt;contributors&gt;&lt;authors&gt;&lt;author&gt;Suarez, Andres&lt;/author&gt;&lt;author&gt;Arias-Arévalo, Paola&lt;/author&gt;&lt;author&gt;Martinez-Mera, Eliana&lt;/author&gt;&lt;author&gt;Granobles-Torres, Juan Carlos&lt;/author&gt;&lt;author&gt;Enríquez-Acevedo, Tatiana&lt;/author&gt;&lt;/authors&gt;&lt;/contributors&gt;&lt;titles&gt;&lt;title&gt;Involving victim population in environmentally sustainable strategies: An analysis for post-conflict Colombia&lt;/title&gt;&lt;secondary-title&gt;Science of the total environment&lt;/secondary-title&gt;&lt;/titles&gt;&lt;periodical&gt;&lt;full-title&gt;Science of the total environment&lt;/full-title&gt;&lt;/periodical&gt;&lt;pages&gt;1223-1231&lt;/pages&gt;&lt;volume&gt;643&lt;/volume&gt;&lt;dates&gt;&lt;year&gt;2018&lt;/year&gt;&lt;/dates&gt;&lt;isbn&gt;0048-9697&lt;/isbn&gt;&lt;urls&gt;&lt;/urls&gt;&lt;/record&gt;&lt;/Cite&gt;&lt;/EndNote&gt;</w:instrText>
      </w:r>
      <w:r w:rsidR="00AD4CB1" w:rsidRPr="006F5452">
        <w:rPr>
          <w:rFonts w:cs="Times New Roman"/>
          <w:szCs w:val="24"/>
        </w:rPr>
        <w:fldChar w:fldCharType="separate"/>
      </w:r>
      <w:r w:rsidR="00AD4CB1" w:rsidRPr="006F5452">
        <w:rPr>
          <w:rFonts w:cs="Times New Roman"/>
          <w:noProof/>
          <w:szCs w:val="24"/>
        </w:rPr>
        <w:t>(Suarez et al., 2018)</w:t>
      </w:r>
      <w:r w:rsidR="00AD4CB1" w:rsidRPr="006F5452">
        <w:rPr>
          <w:rFonts w:cs="Times New Roman"/>
          <w:szCs w:val="24"/>
        </w:rPr>
        <w:fldChar w:fldCharType="end"/>
      </w:r>
      <w:r w:rsidR="00AD4CB1" w:rsidRPr="006F5452">
        <w:rPr>
          <w:rFonts w:cs="Times New Roman"/>
          <w:szCs w:val="24"/>
        </w:rPr>
        <w:t xml:space="preserve">. This conflict creates tension between political leaders and makes reaching a consensus on sustainability projects difficult to achieve </w:t>
      </w:r>
      <w:r w:rsidR="00AD4CB1" w:rsidRPr="006F5452">
        <w:rPr>
          <w:rFonts w:cs="Times New Roman"/>
          <w:szCs w:val="24"/>
        </w:rPr>
        <w:fldChar w:fldCharType="begin"/>
      </w:r>
      <w:r w:rsidR="00AD4CB1" w:rsidRPr="006F5452">
        <w:rPr>
          <w:rFonts w:cs="Times New Roman"/>
          <w:szCs w:val="24"/>
        </w:rPr>
        <w:instrText xml:space="preserve"> ADDIN EN.CITE &lt;EndNote&gt;&lt;Cite&gt;&lt;Author&gt;Doyle&lt;/Author&gt;&lt;Year&gt;2014&lt;/Year&gt;&lt;RecNum&gt;36&lt;/RecNum&gt;&lt;DisplayText&gt;(Doyle &amp;amp; Stiglitz, 2014; Koziuk et al., 2020)&lt;/DisplayText&gt;&lt;record&gt;&lt;rec-number&gt;36&lt;/rec-number&gt;&lt;foreign-keys&gt;&lt;key app="EN" db-id="azfxvt991df2r2ew2adxzdekws2tx55feewr" timestamp="1663926681"&gt;36&lt;/key&gt;&lt;/foreign-keys&gt;&lt;ref-type name="Journal Article"&gt;17&lt;/ref-type&gt;&lt;contributors&gt;&lt;authors&gt;&lt;author&gt;Doyle, Michael W&lt;/author&gt;&lt;author&gt;Stiglitz, Joseph E&lt;/author&gt;&lt;/authors&gt;&lt;/contributors&gt;&lt;titles&gt;&lt;title&gt;Eliminating extreme inequality: A sustainable development goal, 2015–2030&lt;/title&gt;&lt;secondary-title&gt;Ethics &amp;amp; International Affairs&lt;/secondary-title&gt;&lt;/titles&gt;&lt;periodical&gt;&lt;full-title&gt;Ethics &amp;amp; International Affairs&lt;/full-title&gt;&lt;/periodical&gt;&lt;pages&gt;5-13&lt;/pages&gt;&lt;volume&gt;28&lt;/volume&gt;&lt;number&gt;1&lt;/number&gt;&lt;dates&gt;&lt;year&gt;2014&lt;/year&gt;&lt;/dates&gt;&lt;isbn&gt;0892-6794&lt;/isbn&gt;&lt;urls&gt;&lt;/urls&gt;&lt;/record&gt;&lt;/Cite&gt;&lt;Cite&gt;&lt;Author&gt;Koziuk&lt;/Author&gt;&lt;Year&gt;2020&lt;/Year&gt;&lt;RecNum&gt;37&lt;/RecNum&gt;&lt;record&gt;&lt;rec-number&gt;37&lt;/rec-number&gt;&lt;foreign-keys&gt;&lt;key app="EN" db-id="azfxvt991df2r2ew2adxzdekws2tx55feewr" timestamp="1663926726"&gt;37&lt;/key&gt;&lt;/foreign-keys&gt;&lt;ref-type name="Book Section"&gt;5&lt;/ref-type&gt;&lt;contributors&gt;&lt;authors&gt;&lt;author&gt;Koziuk, Viktor&lt;/author&gt;&lt;author&gt;Hayda, Yuryi&lt;/author&gt;&lt;author&gt;Dluhopolskyi, Oleksandr&lt;/author&gt;&lt;author&gt;Kozlovskyi, Serhii&lt;/author&gt;&lt;/authors&gt;&lt;/contributors&gt;&lt;titles&gt;&lt;title&gt;Ecological performance: ethnic fragmentation versus governance quality and sustainable development&lt;/title&gt;&lt;/titles&gt;&lt;dates&gt;&lt;year&gt;2020&lt;/year&gt;&lt;/dates&gt;&lt;urls&gt;&lt;/urls&gt;&lt;/record&gt;&lt;/Cite&gt;&lt;/EndNote&gt;</w:instrText>
      </w:r>
      <w:r w:rsidR="00AD4CB1" w:rsidRPr="006F5452">
        <w:rPr>
          <w:rFonts w:cs="Times New Roman"/>
          <w:szCs w:val="24"/>
        </w:rPr>
        <w:fldChar w:fldCharType="separate"/>
      </w:r>
      <w:r w:rsidR="00AD4CB1" w:rsidRPr="006F5452">
        <w:rPr>
          <w:rFonts w:cs="Times New Roman"/>
          <w:noProof/>
          <w:szCs w:val="24"/>
        </w:rPr>
        <w:t>(Doyle &amp; Stiglitz, 2014; Koziuk et al., 2020)</w:t>
      </w:r>
      <w:r w:rsidR="00AD4CB1" w:rsidRPr="006F5452">
        <w:rPr>
          <w:rFonts w:cs="Times New Roman"/>
          <w:szCs w:val="24"/>
        </w:rPr>
        <w:fldChar w:fldCharType="end"/>
      </w:r>
      <w:r w:rsidR="00AD4CB1" w:rsidRPr="006F5452">
        <w:rPr>
          <w:rFonts w:cs="Times New Roman"/>
          <w:szCs w:val="24"/>
        </w:rPr>
        <w:t>.</w:t>
      </w:r>
      <w:r w:rsidR="00DF0983" w:rsidRPr="006F5452">
        <w:rPr>
          <w:rFonts w:cs="Times New Roman"/>
          <w:szCs w:val="24"/>
        </w:rPr>
        <w:t xml:space="preserve"> </w:t>
      </w:r>
      <w:r w:rsidR="00AD4CB1" w:rsidRPr="006F5452">
        <w:rPr>
          <w:rFonts w:cs="Times New Roman"/>
          <w:szCs w:val="24"/>
        </w:rPr>
        <w:t xml:space="preserve">Recent research looks at the role of GPR in the green economy </w:t>
      </w:r>
      <w:r w:rsidR="00AD4CB1" w:rsidRPr="006F5452">
        <w:rPr>
          <w:rFonts w:cs="Times New Roman"/>
          <w:szCs w:val="24"/>
        </w:rPr>
        <w:fldChar w:fldCharType="begin"/>
      </w:r>
      <w:r w:rsidR="00AD4CB1" w:rsidRPr="006F5452">
        <w:rPr>
          <w:rFonts w:cs="Times New Roman"/>
          <w:szCs w:val="24"/>
        </w:rPr>
        <w:instrText xml:space="preserve"> ADDIN EN.CITE &lt;EndNote&gt;&lt;Cite&gt;&lt;Author&gt;Forouli&lt;/Author&gt;&lt;Year&gt;2020&lt;/Year&gt;&lt;RecNum&gt;38&lt;/RecNum&gt;&lt;DisplayText&gt;(Forouli et al., 2020)&lt;/DisplayText&gt;&lt;record&gt;&lt;rec-number&gt;38&lt;/rec-number&gt;&lt;foreign-keys&gt;&lt;key app="EN" db-id="azfxvt991df2r2ew2adxzdekws2tx55feewr" timestamp="1663927636"&gt;38&lt;/key&gt;&lt;/foreign-keys&gt;&lt;ref-type name="Journal Article"&gt;17&lt;/ref-type&gt;&lt;contributors&gt;&lt;authors&gt;&lt;author&gt;Forouli, Aikaterini&lt;/author&gt;&lt;author&gt;Nikas, Alexandros&lt;/author&gt;&lt;author&gt;Van de Ven, Dirk-Jan&lt;/author&gt;&lt;author&gt;Sampedro, Jon&lt;/author&gt;&lt;author&gt;Doukas, Haris&lt;/author&gt;&lt;/authors&gt;&lt;/contributors&gt;&lt;titles&gt;&lt;title&gt;A multiple-uncertainty analysis framework for integrated assessment modelling of several sustainable development goals&lt;/title&gt;&lt;secondary-title&gt;Environmental Modelling &amp;amp; Software&lt;/secondary-title&gt;&lt;/titles&gt;&lt;periodical&gt;&lt;full-title&gt;Environmental Modelling &amp;amp; Software&lt;/full-title&gt;&lt;/periodical&gt;&lt;pages&gt;104795&lt;/pages&gt;&lt;volume&gt;131&lt;/volume&gt;&lt;dates&gt;&lt;year&gt;2020&lt;/year&gt;&lt;/dates&gt;&lt;isbn&gt;1364-8152&lt;/isbn&gt;&lt;urls&gt;&lt;/urls&gt;&lt;/record&gt;&lt;/Cite&gt;&lt;/EndNote&gt;</w:instrText>
      </w:r>
      <w:r w:rsidR="00AD4CB1" w:rsidRPr="006F5452">
        <w:rPr>
          <w:rFonts w:cs="Times New Roman"/>
          <w:szCs w:val="24"/>
        </w:rPr>
        <w:fldChar w:fldCharType="separate"/>
      </w:r>
      <w:r w:rsidR="00AD4CB1" w:rsidRPr="006F5452">
        <w:rPr>
          <w:rFonts w:cs="Times New Roman"/>
          <w:noProof/>
          <w:szCs w:val="24"/>
        </w:rPr>
        <w:t>(Forouli et al., 2020)</w:t>
      </w:r>
      <w:r w:rsidR="00AD4CB1" w:rsidRPr="006F5452">
        <w:rPr>
          <w:rFonts w:cs="Times New Roman"/>
          <w:szCs w:val="24"/>
        </w:rPr>
        <w:fldChar w:fldCharType="end"/>
      </w:r>
      <w:r w:rsidR="00AD4CB1" w:rsidRPr="006F5452">
        <w:rPr>
          <w:rFonts w:cs="Times New Roman"/>
          <w:szCs w:val="24"/>
        </w:rPr>
        <w:t>, covering the effectiveness of institutions, domestic conflicts, army power, religion, social</w:t>
      </w:r>
      <w:r w:rsidR="00DF0983" w:rsidRPr="006F5452">
        <w:rPr>
          <w:rFonts w:cs="Times New Roman"/>
          <w:szCs w:val="24"/>
        </w:rPr>
        <w:t>,</w:t>
      </w:r>
      <w:r w:rsidR="00AD4CB1" w:rsidRPr="006F5452">
        <w:rPr>
          <w:rFonts w:cs="Times New Roman"/>
          <w:szCs w:val="24"/>
        </w:rPr>
        <w:t xml:space="preserve"> and economic factors </w:t>
      </w:r>
      <w:r w:rsidR="00AD4CB1" w:rsidRPr="006F5452">
        <w:rPr>
          <w:rFonts w:cs="Times New Roman"/>
          <w:szCs w:val="24"/>
        </w:rPr>
        <w:fldChar w:fldCharType="begin"/>
      </w:r>
      <w:r w:rsidR="00AD4CB1" w:rsidRPr="006F5452">
        <w:rPr>
          <w:rFonts w:cs="Times New Roman"/>
          <w:szCs w:val="24"/>
        </w:rPr>
        <w:instrText xml:space="preserve"> ADDIN EN.CITE &lt;EndNote&gt;&lt;Cite&gt;&lt;Author&gt;Cernev&lt;/Author&gt;&lt;Year&gt;2020&lt;/Year&gt;&lt;RecNum&gt;39&lt;/RecNum&gt;&lt;DisplayText&gt;(Cernev &amp;amp; Fenner, 2020)&lt;/DisplayText&gt;&lt;record&gt;&lt;rec-number&gt;39&lt;/rec-number&gt;&lt;foreign-keys&gt;&lt;key app="EN" db-id="azfxvt991df2r2ew2adxzdekws2tx55feewr" timestamp="1663927676"&gt;39&lt;/key&gt;&lt;/foreign-keys&gt;&lt;ref-type name="Journal Article"&gt;17&lt;/ref-type&gt;&lt;contributors&gt;&lt;authors&gt;&lt;author&gt;Cernev, Tom&lt;/author&gt;&lt;author&gt;Fenner, Richard&lt;/author&gt;&lt;/authors&gt;&lt;/contributors&gt;&lt;titles&gt;&lt;title&gt;The importance of achieving foundational Sustainable Development Goals in reducing global risk&lt;/title&gt;&lt;secondary-title&gt;Futures&lt;/secondary-title&gt;&lt;/titles&gt;&lt;periodical&gt;&lt;full-title&gt;Futures&lt;/full-title&gt;&lt;/periodical&gt;&lt;pages&gt;102492&lt;/pages&gt;&lt;volume&gt;115&lt;/volume&gt;&lt;dates&gt;&lt;year&gt;2020&lt;/year&gt;&lt;/dates&gt;&lt;isbn&gt;0016-3287&lt;/isbn&gt;&lt;urls&gt;&lt;/urls&gt;&lt;/record&gt;&lt;/Cite&gt;&lt;/EndNote&gt;</w:instrText>
      </w:r>
      <w:r w:rsidR="00AD4CB1" w:rsidRPr="006F5452">
        <w:rPr>
          <w:rFonts w:cs="Times New Roman"/>
          <w:szCs w:val="24"/>
        </w:rPr>
        <w:fldChar w:fldCharType="separate"/>
      </w:r>
      <w:r w:rsidR="00AD4CB1" w:rsidRPr="006F5452">
        <w:rPr>
          <w:rFonts w:cs="Times New Roman"/>
          <w:noProof/>
          <w:szCs w:val="24"/>
        </w:rPr>
        <w:t>(Cernev &amp; Fenner, 2020)</w:t>
      </w:r>
      <w:r w:rsidR="00AD4CB1" w:rsidRPr="006F5452">
        <w:rPr>
          <w:rFonts w:cs="Times New Roman"/>
          <w:szCs w:val="24"/>
        </w:rPr>
        <w:fldChar w:fldCharType="end"/>
      </w:r>
      <w:r w:rsidR="00AD4CB1" w:rsidRPr="006F5452">
        <w:rPr>
          <w:rFonts w:cs="Times New Roman"/>
          <w:szCs w:val="24"/>
        </w:rPr>
        <w:t xml:space="preserve">. Furthermore, </w:t>
      </w:r>
      <w:r w:rsidR="00AD4CB1" w:rsidRPr="006F5452">
        <w:rPr>
          <w:rFonts w:cs="Times New Roman"/>
          <w:szCs w:val="24"/>
        </w:rPr>
        <w:fldChar w:fldCharType="begin"/>
      </w:r>
      <w:r w:rsidR="00AD4CB1" w:rsidRPr="006F5452">
        <w:rPr>
          <w:rFonts w:cs="Times New Roman"/>
          <w:szCs w:val="24"/>
        </w:rPr>
        <w:instrText xml:space="preserve"> ADDIN EN.CITE &lt;EndNote&gt;&lt;Cite AuthorYear="1"&gt;&lt;Author&gt;Mauerhofer&lt;/Author&gt;&lt;Year&gt;2019&lt;/Year&gt;&lt;RecNum&gt;40&lt;/RecNum&gt;&lt;DisplayText&gt;Mauerhofer (2019)&lt;/DisplayText&gt;&lt;record&gt;&lt;rec-number&gt;40&lt;/rec-number&gt;&lt;foreign-keys&gt;&lt;key app="EN" db-id="azfxvt991df2r2ew2adxzdekws2tx55feewr" timestamp="1663927750"&gt;40&lt;/key&gt;&lt;/foreign-keys&gt;&lt;ref-type name="Journal Article"&gt;17&lt;/ref-type&gt;&lt;contributors&gt;&lt;authors&gt;&lt;author&gt;Mauerhofer, Volker&lt;/author&gt;&lt;/authors&gt;&lt;/contributors&gt;&lt;titles&gt;&lt;title&gt;Legal institutions and ecological economics: Their common contribution for achieving a sustainable development&lt;/title&gt;&lt;secondary-title&gt;Ecological Economics&lt;/secondary-title&gt;&lt;/titles&gt;&lt;periodical&gt;&lt;full-title&gt;Ecological Economics&lt;/full-title&gt;&lt;/periodical&gt;&lt;pages&gt;350-359&lt;/pages&gt;&lt;volume&gt;156&lt;/volume&gt;&lt;dates&gt;&lt;year&gt;2019&lt;/year&gt;&lt;/dates&gt;&lt;isbn&gt;0921-8009&lt;/isbn&gt;&lt;urls&gt;&lt;/urls&gt;&lt;/record&gt;&lt;/Cite&gt;&lt;/EndNote&gt;</w:instrText>
      </w:r>
      <w:r w:rsidR="00AD4CB1" w:rsidRPr="006F5452">
        <w:rPr>
          <w:rFonts w:cs="Times New Roman"/>
          <w:szCs w:val="24"/>
        </w:rPr>
        <w:fldChar w:fldCharType="separate"/>
      </w:r>
      <w:r w:rsidR="00AD4CB1" w:rsidRPr="006F5452">
        <w:rPr>
          <w:rFonts w:cs="Times New Roman"/>
          <w:noProof/>
          <w:szCs w:val="24"/>
        </w:rPr>
        <w:t>Mauerhofer (2019)</w:t>
      </w:r>
      <w:r w:rsidR="00AD4CB1" w:rsidRPr="006F5452">
        <w:rPr>
          <w:rFonts w:cs="Times New Roman"/>
          <w:szCs w:val="24"/>
        </w:rPr>
        <w:fldChar w:fldCharType="end"/>
      </w:r>
      <w:r w:rsidR="00AD4CB1" w:rsidRPr="006F5452">
        <w:rPr>
          <w:rFonts w:cs="Times New Roman"/>
          <w:szCs w:val="24"/>
        </w:rPr>
        <w:t xml:space="preserve"> suggests that order and law order are intertwined with the implementation of sustainability policies </w:t>
      </w:r>
      <w:r w:rsidR="00DF0983" w:rsidRPr="006F5452">
        <w:rPr>
          <w:rFonts w:cs="Times New Roman"/>
          <w:szCs w:val="24"/>
        </w:rPr>
        <w:t>that</w:t>
      </w:r>
      <w:r w:rsidR="00AD4CB1" w:rsidRPr="006F5452">
        <w:rPr>
          <w:rFonts w:cs="Times New Roman"/>
          <w:szCs w:val="24"/>
        </w:rPr>
        <w:t xml:space="preserve"> affect sustainable investment. Using a GPR index that accounts for government instability, socioeconomic factors, investment characteristics, domestic and foreign wars, corruption, the interference of the army and religion in politi</w:t>
      </w:r>
      <w:r w:rsidR="00D94A8E" w:rsidRPr="006F5452">
        <w:rPr>
          <w:rFonts w:cs="Times New Roman"/>
          <w:szCs w:val="24"/>
        </w:rPr>
        <w:t>cs</w:t>
      </w:r>
      <w:r w:rsidR="00AD4CB1" w:rsidRPr="006F5452">
        <w:rPr>
          <w:rFonts w:cs="Times New Roman"/>
          <w:szCs w:val="24"/>
        </w:rPr>
        <w:t xml:space="preserve"> and regulations</w:t>
      </w:r>
      <w:r w:rsidR="00D94A8E" w:rsidRPr="006F5452">
        <w:rPr>
          <w:rFonts w:cs="Times New Roman"/>
          <w:szCs w:val="24"/>
        </w:rPr>
        <w:t>,</w:t>
      </w:r>
      <w:r w:rsidR="00AD4CB1" w:rsidRPr="006F5452">
        <w:rPr>
          <w:rFonts w:cs="Times New Roman"/>
          <w:szCs w:val="24"/>
        </w:rPr>
        <w:t xml:space="preserve"> and democratic accountability</w:t>
      </w:r>
      <w:r w:rsidR="00C13D2E" w:rsidRPr="006F5452">
        <w:rPr>
          <w:rFonts w:cs="Times New Roman"/>
          <w:szCs w:val="24"/>
        </w:rPr>
        <w:t>,</w:t>
      </w:r>
      <w:r w:rsidR="00AD4CB1" w:rsidRPr="006F5452">
        <w:rPr>
          <w:rFonts w:cs="Times New Roman"/>
          <w:szCs w:val="24"/>
        </w:rPr>
        <w:t xml:space="preserve"> </w:t>
      </w:r>
      <w:r w:rsidR="00AD4CB1" w:rsidRPr="006F5452">
        <w:rPr>
          <w:rFonts w:cs="Times New Roman"/>
          <w:szCs w:val="24"/>
        </w:rPr>
        <w:fldChar w:fldCharType="begin"/>
      </w:r>
      <w:r w:rsidR="00C13D2E" w:rsidRPr="006F5452">
        <w:rPr>
          <w:rFonts w:cs="Times New Roman"/>
          <w:szCs w:val="24"/>
        </w:rPr>
        <w:instrText xml:space="preserve"> ADDIN EN.CITE &lt;EndNote&gt;&lt;Cite AuthorYear="1"&gt;&lt;Author&gt;Hunjra&lt;/Author&gt;&lt;Year&gt;2022&lt;/Year&gt;&lt;RecNum&gt;69&lt;/RecNum&gt;&lt;DisplayText&gt;Hunjra et al. (2022)&lt;/DisplayText&gt;&lt;record&gt;&lt;rec-number&gt;69&lt;/rec-number&gt;&lt;foreign-keys&gt;&lt;key app="EN" db-id="azfxvt991df2r2ew2adxzdekws2tx55feewr" timestamp="1663933435"&gt;69&lt;/key&gt;&lt;/foreign-keys&gt;&lt;ref-type name="Journal Article"&gt;17&lt;/ref-type&gt;&lt;contributors&gt;&lt;authors&gt;&lt;author&gt;Hunjra, Ahmed Imran&lt;/author&gt;&lt;author&gt;Azam, Muhammad&lt;/author&gt;&lt;author&gt;Bruna, Maria Giuseppina&lt;/author&gt;&lt;author&gt;Verhoeven, Peter&lt;/author&gt;&lt;author&gt;Al-Faryan, Mamdouh Abdulaziz Saleh&lt;/author&gt;&lt;/authors&gt;&lt;/contributors&gt;&lt;titles&gt;&lt;title&gt;Sustainable development: The impact of political risk, macroeconomic policy uncertainty and ethnic conflict&lt;/title&gt;&lt;secondary-title&gt;International Review of Financial Analysis&lt;/secondary-title&gt;&lt;/titles&gt;&lt;periodical&gt;&lt;full-title&gt;International Review of Financial Analysis&lt;/full-title&gt;&lt;/periodical&gt;&lt;pages&gt;102370&lt;/pages&gt;&lt;dates&gt;&lt;year&gt;2022&lt;/year&gt;&lt;/dates&gt;&lt;isbn&gt;1057-5219&lt;/isbn&gt;&lt;urls&gt;&lt;/urls&gt;&lt;/record&gt;&lt;/Cite&gt;&lt;/EndNote&gt;</w:instrText>
      </w:r>
      <w:r w:rsidR="00AD4CB1" w:rsidRPr="006F5452">
        <w:rPr>
          <w:rFonts w:cs="Times New Roman"/>
          <w:szCs w:val="24"/>
        </w:rPr>
        <w:fldChar w:fldCharType="separate"/>
      </w:r>
      <w:r w:rsidR="00C13D2E" w:rsidRPr="006F5452">
        <w:rPr>
          <w:rFonts w:cs="Times New Roman"/>
          <w:noProof/>
          <w:szCs w:val="24"/>
        </w:rPr>
        <w:t>Hunjra et al. (2022)</w:t>
      </w:r>
      <w:r w:rsidR="00AD4CB1" w:rsidRPr="006F5452">
        <w:rPr>
          <w:rFonts w:cs="Times New Roman"/>
          <w:szCs w:val="24"/>
        </w:rPr>
        <w:fldChar w:fldCharType="end"/>
      </w:r>
      <w:r w:rsidR="00AD4CB1" w:rsidRPr="006F5452">
        <w:rPr>
          <w:rFonts w:cs="Times New Roman"/>
          <w:szCs w:val="24"/>
        </w:rPr>
        <w:t xml:space="preserve"> found that high political risk negatively affects sustainable development due to the disinterest of investors </w:t>
      </w:r>
      <w:r w:rsidR="00D94A8E" w:rsidRPr="006F5452">
        <w:rPr>
          <w:rFonts w:cs="Times New Roman"/>
          <w:szCs w:val="24"/>
        </w:rPr>
        <w:t>in buying</w:t>
      </w:r>
      <w:r w:rsidR="00AD4CB1" w:rsidRPr="006F5452">
        <w:rPr>
          <w:rFonts w:cs="Times New Roman"/>
          <w:szCs w:val="24"/>
        </w:rPr>
        <w:t xml:space="preserve"> in the long term. Additionally, </w:t>
      </w:r>
      <w:r w:rsidR="00AD4CB1" w:rsidRPr="006F5452">
        <w:rPr>
          <w:rFonts w:cs="Times New Roman"/>
          <w:szCs w:val="24"/>
        </w:rPr>
        <w:fldChar w:fldCharType="begin"/>
      </w:r>
      <w:r w:rsidR="00E97657">
        <w:rPr>
          <w:rFonts w:cs="Times New Roman"/>
          <w:szCs w:val="24"/>
        </w:rPr>
        <w:instrText xml:space="preserve"> ADDIN EN.CITE &lt;EndNote&gt;&lt;Cite AuthorYear="1"&gt;&lt;Author&gt;Bouri&lt;/Author&gt;&lt;Year&gt;2019&lt;/Year&gt;&lt;RecNum&gt;34&lt;/RecNum&gt;&lt;DisplayText&gt;Bouri et al. (2019); Caldara and Iacoviello (2022)&lt;/DisplayText&gt;&lt;record&gt;&lt;rec-number&gt;34&lt;/rec-number&gt;&lt;foreign-keys&gt;&lt;key app="EN" db-id="azfxvt991df2r2ew2adxzdekws2tx55feewr" timestamp="1663926570"&gt;34&lt;/key&gt;&lt;/foreign-keys&gt;&lt;ref-type name="Journal Article"&gt;17&lt;/ref-type&gt;&lt;contributors&gt;&lt;authors&gt;&lt;author&gt;Bouri, Elie&lt;/author&gt;&lt;author&gt;Demirer, Riza&lt;/author&gt;&lt;author&gt;Gupta, Rangan&lt;/author&gt;&lt;author&gt;Marfatia, Hardik A&lt;/author&gt;&lt;/authors&gt;&lt;/contributors&gt;&lt;titles&gt;&lt;title&gt;Geopolitical risks and movements in Islamic bond and equity markets: A note&lt;/title&gt;&lt;secondary-title&gt;Defence and Peace Economics&lt;/secondary-title&gt;&lt;/titles&gt;&lt;periodical&gt;&lt;full-title&gt;Defence and Peace Economics&lt;/full-title&gt;&lt;/periodical&gt;&lt;pages&gt;367-379&lt;/pages&gt;&lt;volume&gt;30&lt;/volume&gt;&lt;number&gt;3&lt;/number&gt;&lt;dates&gt;&lt;year&gt;2019&lt;/year&gt;&lt;/dates&gt;&lt;isbn&gt;1024-2694&lt;/isbn&gt;&lt;urls&gt;&lt;/urls&gt;&lt;/record&gt;&lt;/Cite&gt;&lt;Cite AuthorYear="1"&gt;&lt;Author&gt;Caldara&lt;/Author&gt;&lt;Year&gt;2022&lt;/Year&gt;&lt;RecNum&gt;32&lt;/RecNum&gt;&lt;record&gt;&lt;rec-number&gt;32&lt;/rec-number&gt;&lt;foreign-keys&gt;&lt;key app="EN" db-id="azfxvt991df2r2ew2adxzdekws2tx55feewr" timestamp="1663926418"&gt;32&lt;/key&gt;&lt;/foreign-keys&gt;&lt;ref-type name="Journal Article"&gt;17&lt;/ref-type&gt;&lt;contributors&gt;&lt;authors&gt;&lt;author&gt;Caldara, Dario&lt;/author&gt;&lt;author&gt;Iacoviello, Matteo&lt;/author&gt;&lt;/authors&gt;&lt;/contributors&gt;&lt;titles&gt;&lt;title&gt;Measuring geopolitical risk&lt;/title&gt;&lt;secondary-title&gt;American Economic Review&lt;/secondary-title&gt;&lt;/titles&gt;&lt;periodical&gt;&lt;full-title&gt;American Economic Review&lt;/full-title&gt;&lt;/periodical&gt;&lt;pages&gt;1194-1225&lt;/pages&gt;&lt;volume&gt;112&lt;/volume&gt;&lt;number&gt;4&lt;/number&gt;&lt;dates&gt;&lt;year&gt;2022&lt;/year&gt;&lt;/dates&gt;&lt;isbn&gt;0002-8282&lt;/isbn&gt;&lt;urls&gt;&lt;/urls&gt;&lt;/record&gt;&lt;/Cite&gt;&lt;/EndNote&gt;</w:instrText>
      </w:r>
      <w:r w:rsidR="00AD4CB1" w:rsidRPr="006F5452">
        <w:rPr>
          <w:rFonts w:cs="Times New Roman"/>
          <w:szCs w:val="24"/>
        </w:rPr>
        <w:fldChar w:fldCharType="separate"/>
      </w:r>
      <w:r w:rsidR="00E97657">
        <w:rPr>
          <w:rFonts w:cs="Times New Roman"/>
          <w:noProof/>
          <w:szCs w:val="24"/>
        </w:rPr>
        <w:t>Bouri et al. (2019); Caldara and Iacoviello (2022)</w:t>
      </w:r>
      <w:r w:rsidR="00AD4CB1" w:rsidRPr="006F5452">
        <w:rPr>
          <w:rFonts w:cs="Times New Roman"/>
          <w:szCs w:val="24"/>
        </w:rPr>
        <w:fldChar w:fldCharType="end"/>
      </w:r>
      <w:r w:rsidR="00AD4CB1" w:rsidRPr="006F5452">
        <w:rPr>
          <w:rFonts w:cs="Times New Roman"/>
          <w:szCs w:val="24"/>
        </w:rPr>
        <w:t xml:space="preserve"> found that investment decisions are largely affected by extraordinary geopolitical events. We add to this research body by looking at green bonds as a financial instrument.</w:t>
      </w:r>
      <w:r w:rsidR="00DF0983" w:rsidRPr="006F5452">
        <w:rPr>
          <w:rFonts w:cs="Times New Roman"/>
          <w:szCs w:val="24"/>
        </w:rPr>
        <w:t xml:space="preserve"> </w:t>
      </w:r>
      <w:r w:rsidR="00AD4CB1" w:rsidRPr="006F5452">
        <w:rPr>
          <w:rFonts w:cs="Times New Roman"/>
          <w:noProof/>
          <w:szCs w:val="24"/>
        </w:rPr>
        <w:t xml:space="preserve">Tian et al. (2022) </w:t>
      </w:r>
      <w:r w:rsidR="00AD4CB1" w:rsidRPr="006F5452">
        <w:rPr>
          <w:rFonts w:cs="Times New Roman"/>
          <w:szCs w:val="24"/>
        </w:rPr>
        <w:t>examine the asymmetric effects of green bonds on multiple uncertainties in the long term and short term by the nonlinear ARDL (NARDL) approach and reveal that uncertainty ha</w:t>
      </w:r>
      <w:r w:rsidR="00DF0983" w:rsidRPr="006F5452">
        <w:rPr>
          <w:rFonts w:cs="Times New Roman"/>
          <w:szCs w:val="24"/>
        </w:rPr>
        <w:t>s</w:t>
      </w:r>
      <w:r w:rsidR="00AD4CB1" w:rsidRPr="006F5452">
        <w:rPr>
          <w:rFonts w:cs="Times New Roman"/>
          <w:szCs w:val="24"/>
        </w:rPr>
        <w:t xml:space="preserve"> an asymmetric effect</w:t>
      </w:r>
      <w:r w:rsidR="00D94A8E" w:rsidRPr="006F5452">
        <w:rPr>
          <w:rFonts w:cs="Times New Roman"/>
          <w:szCs w:val="24"/>
        </w:rPr>
        <w:t xml:space="preserve"> </w:t>
      </w:r>
      <w:r w:rsidR="00AD4CB1" w:rsidRPr="006F5452">
        <w:rPr>
          <w:rFonts w:cs="Times New Roman"/>
          <w:szCs w:val="24"/>
        </w:rPr>
        <w:t>on Chinese green bond</w:t>
      </w:r>
      <w:r w:rsidR="00D94A8E" w:rsidRPr="006F5452">
        <w:rPr>
          <w:rFonts w:cs="Times New Roman"/>
          <w:szCs w:val="24"/>
        </w:rPr>
        <w:t>s</w:t>
      </w:r>
      <w:r w:rsidR="00DF0983" w:rsidRPr="006F5452">
        <w:rPr>
          <w:rFonts w:cs="Times New Roman"/>
          <w:szCs w:val="24"/>
        </w:rPr>
        <w:t>.</w:t>
      </w:r>
      <w:r w:rsidR="00AD4CB1" w:rsidRPr="006F5452">
        <w:rPr>
          <w:rFonts w:cs="Times New Roman"/>
          <w:szCs w:val="24"/>
        </w:rPr>
        <w:t xml:space="preserve"> </w:t>
      </w:r>
      <w:r w:rsidR="00D94A8E" w:rsidRPr="006F5452">
        <w:rPr>
          <w:rFonts w:cs="Times New Roman"/>
          <w:szCs w:val="24"/>
        </w:rPr>
        <w:t>Tian et al. (2022)</w:t>
      </w:r>
      <w:r w:rsidR="00AD4CB1" w:rsidRPr="006F5452">
        <w:rPr>
          <w:rFonts w:cs="Times New Roman"/>
          <w:szCs w:val="24"/>
        </w:rPr>
        <w:t xml:space="preserve"> also find that </w:t>
      </w:r>
      <w:r w:rsidR="00DF0983" w:rsidRPr="006F5452">
        <w:rPr>
          <w:rFonts w:cs="Times New Roman"/>
          <w:szCs w:val="24"/>
        </w:rPr>
        <w:t>i</w:t>
      </w:r>
      <w:r w:rsidR="00AD4CB1" w:rsidRPr="006F5452">
        <w:rPr>
          <w:rFonts w:cs="Times New Roman"/>
          <w:szCs w:val="24"/>
        </w:rPr>
        <w:t>n the long run, Europe</w:t>
      </w:r>
      <w:r w:rsidR="00D94A8E" w:rsidRPr="006F5452">
        <w:rPr>
          <w:rFonts w:cs="Times New Roman"/>
          <w:szCs w:val="24"/>
        </w:rPr>
        <w:t>’s</w:t>
      </w:r>
      <w:r w:rsidR="00AD4CB1" w:rsidRPr="006F5452">
        <w:rPr>
          <w:rFonts w:cs="Times New Roman"/>
          <w:szCs w:val="24"/>
        </w:rPr>
        <w:t xml:space="preserve"> sustainable bonds markets have </w:t>
      </w:r>
      <w:r w:rsidR="00D94A8E" w:rsidRPr="006F5452">
        <w:rPr>
          <w:rFonts w:cs="Times New Roman"/>
          <w:szCs w:val="24"/>
        </w:rPr>
        <w:t xml:space="preserve">a </w:t>
      </w:r>
      <w:r w:rsidR="00AD4CB1" w:rsidRPr="006F5452">
        <w:rPr>
          <w:rFonts w:cs="Times New Roman"/>
          <w:szCs w:val="24"/>
        </w:rPr>
        <w:t>considerable asymmetrical effect and share this effect with</w:t>
      </w:r>
      <w:r w:rsidR="00D94A8E" w:rsidRPr="006F5452">
        <w:rPr>
          <w:rFonts w:cs="Times New Roman"/>
          <w:szCs w:val="24"/>
        </w:rPr>
        <w:t xml:space="preserve"> the</w:t>
      </w:r>
      <w:r w:rsidR="00AD4CB1" w:rsidRPr="006F5452">
        <w:rPr>
          <w:rFonts w:cs="Times New Roman"/>
          <w:szCs w:val="24"/>
        </w:rPr>
        <w:t xml:space="preserve"> United States market. </w:t>
      </w:r>
      <w:r w:rsidR="00AD4CB1" w:rsidRPr="006F5452">
        <w:rPr>
          <w:rFonts w:cs="Times New Roman"/>
          <w:noProof/>
          <w:szCs w:val="24"/>
        </w:rPr>
        <w:t>Yang &amp; Yang (2021)</w:t>
      </w:r>
      <w:r w:rsidR="00AD4CB1" w:rsidRPr="006F5452">
        <w:rPr>
          <w:rFonts w:cs="Times New Roman"/>
          <w:szCs w:val="24"/>
        </w:rPr>
        <w:t xml:space="preserve"> demonstrated that geopolitical risk enhances stock market accuracy forecasts. provides more accurate stock market predictions.</w:t>
      </w:r>
    </w:p>
    <w:p w14:paraId="2F5ECC36" w14:textId="77777777" w:rsidR="00DB0AA1" w:rsidRPr="006F5452" w:rsidRDefault="00DB0AA1" w:rsidP="00DB0AA1">
      <w:pPr>
        <w:ind w:firstLine="720"/>
        <w:jc w:val="both"/>
        <w:rPr>
          <w:rFonts w:cs="Times New Roman"/>
          <w:szCs w:val="24"/>
        </w:rPr>
      </w:pPr>
    </w:p>
    <w:p w14:paraId="15E17313" w14:textId="2790557F" w:rsidR="00AD4CB1" w:rsidRPr="006F5452" w:rsidRDefault="00DB0AA1" w:rsidP="00DB0AA1">
      <w:pPr>
        <w:pStyle w:val="Heading3"/>
      </w:pPr>
      <w:r w:rsidRPr="006F5452">
        <w:lastRenderedPageBreak/>
        <w:t xml:space="preserve">2.2.2 </w:t>
      </w:r>
      <w:r w:rsidR="00AD4CB1" w:rsidRPr="006F5452">
        <w:t xml:space="preserve">Oil price and financial market </w:t>
      </w:r>
    </w:p>
    <w:p w14:paraId="24E502C9" w14:textId="491ACB4B" w:rsidR="00AD4CB1" w:rsidRPr="006F5452" w:rsidRDefault="00AD4CB1" w:rsidP="00DB0AA1">
      <w:pPr>
        <w:ind w:firstLine="720"/>
        <w:jc w:val="both"/>
        <w:rPr>
          <w:rFonts w:cs="Times New Roman"/>
          <w:szCs w:val="24"/>
        </w:rPr>
      </w:pPr>
      <w:r w:rsidRPr="006F5452">
        <w:rPr>
          <w:rFonts w:cs="Times New Roman"/>
          <w:szCs w:val="24"/>
        </w:rPr>
        <w:t>Although oil prices and equity market dynamics have been investigated widely by previous</w:t>
      </w:r>
      <w:r w:rsidR="00D94A8E" w:rsidRPr="006F5452">
        <w:rPr>
          <w:rFonts w:cs="Times New Roman"/>
          <w:szCs w:val="24"/>
        </w:rPr>
        <w:t xml:space="preserve"> literature</w:t>
      </w:r>
      <w:r w:rsidRPr="006F5452">
        <w:rPr>
          <w:rFonts w:cs="Times New Roman"/>
          <w:szCs w:val="24"/>
        </w:rPr>
        <w:t xml:space="preserve"> </w:t>
      </w:r>
      <w:r w:rsidRPr="006F5452">
        <w:rPr>
          <w:rFonts w:cs="Times New Roman"/>
          <w:szCs w:val="24"/>
        </w:rPr>
        <w:fldChar w:fldCharType="begin"/>
      </w:r>
      <w:r w:rsidRPr="006F5452">
        <w:rPr>
          <w:rFonts w:cs="Times New Roman"/>
          <w:szCs w:val="24"/>
        </w:rPr>
        <w:instrText xml:space="preserve"> ADDIN EN.CITE &lt;EndNote&gt;&lt;Cite&gt;&lt;Author&gt;Arouri&lt;/Author&gt;&lt;Year&gt;2010&lt;/Year&gt;&lt;RecNum&gt;43&lt;/RecNum&gt;&lt;DisplayText&gt;(Arouri &amp;amp; Nguyen, 2010; Xia et al., 2019)&lt;/DisplayText&gt;&lt;record&gt;&lt;rec-number&gt;43&lt;/rec-number&gt;&lt;foreign-keys&gt;&lt;key app="EN" db-id="azfxvt991df2r2ew2adxzdekws2tx55feewr" timestamp="1663928683"&gt;43&lt;/key&gt;&lt;/foreign-keys&gt;&lt;ref-type name="Journal Article"&gt;17&lt;/ref-type&gt;&lt;contributors&gt;&lt;authors&gt;&lt;author&gt;Arouri, Mohamed El Hedi&lt;/author&gt;&lt;author&gt;Nguyen, Duc Khuong&lt;/author&gt;&lt;/authors&gt;&lt;/contributors&gt;&lt;titles&gt;&lt;title&gt;Oil prices, stock markets and portfolio investment: Evidence from sector analysis in Europe over the last decade&lt;/title&gt;&lt;secondary-title&gt;Energy policy&lt;/secondary-title&gt;&lt;/titles&gt;&lt;periodical&gt;&lt;full-title&gt;Energy policy&lt;/full-title&gt;&lt;/periodical&gt;&lt;pages&gt;4528-4539&lt;/pages&gt;&lt;volume&gt;38&lt;/volume&gt;&lt;number&gt;8&lt;/number&gt;&lt;dates&gt;&lt;year&gt;2010&lt;/year&gt;&lt;/dates&gt;&lt;isbn&gt;0301-4215&lt;/isbn&gt;&lt;urls&gt;&lt;/urls&gt;&lt;/record&gt;&lt;/Cite&gt;&lt;Cite&gt;&lt;Author&gt;Xia&lt;/Author&gt;&lt;Year&gt;2019&lt;/Year&gt;&lt;RecNum&gt;44&lt;/RecNum&gt;&lt;record&gt;&lt;rec-number&gt;44&lt;/rec-number&gt;&lt;foreign-keys&gt;&lt;key app="EN" db-id="azfxvt991df2r2ew2adxzdekws2tx55feewr" timestamp="1663928770"&gt;44&lt;/key&gt;&lt;/foreign-keys&gt;&lt;ref-type name="Journal Article"&gt;17&lt;/ref-type&gt;&lt;contributors&gt;&lt;authors&gt;&lt;author&gt;Xia, Tongshui&lt;/author&gt;&lt;author&gt;Ji, Qiang&lt;/author&gt;&lt;author&gt;Zhang, Dayong&lt;/author&gt;&lt;author&gt;Han, Jinhong&lt;/author&gt;&lt;/authors&gt;&lt;/contributors&gt;&lt;titles&gt;&lt;title&gt;Asymmetric and extreme influence of energy price changes on renewable energy stock performance&lt;/title&gt;&lt;secondary-title&gt;Journal of Cleaner Production&lt;/secondary-title&gt;&lt;/titles&gt;&lt;periodical&gt;&lt;full-title&gt;Journal of Cleaner Production&lt;/full-title&gt;&lt;/periodical&gt;&lt;pages&gt;118338&lt;/pages&gt;&lt;volume&gt;241&lt;/volume&gt;&lt;dates&gt;&lt;year&gt;2019&lt;/year&gt;&lt;/dates&gt;&lt;isbn&gt;0959-6526&lt;/isbn&gt;&lt;urls&gt;&lt;/urls&gt;&lt;/record&gt;&lt;/Cite&gt;&lt;/EndNote&gt;</w:instrText>
      </w:r>
      <w:r w:rsidRPr="006F5452">
        <w:rPr>
          <w:rFonts w:cs="Times New Roman"/>
          <w:szCs w:val="24"/>
        </w:rPr>
        <w:fldChar w:fldCharType="separate"/>
      </w:r>
      <w:r w:rsidRPr="006F5452">
        <w:rPr>
          <w:rFonts w:cs="Times New Roman"/>
          <w:noProof/>
          <w:szCs w:val="24"/>
        </w:rPr>
        <w:t>(Arouri &amp; Nguyen, 2010; Xia et al., 2019)</w:t>
      </w:r>
      <w:r w:rsidRPr="006F5452">
        <w:rPr>
          <w:rFonts w:cs="Times New Roman"/>
          <w:szCs w:val="24"/>
        </w:rPr>
        <w:fldChar w:fldCharType="end"/>
      </w:r>
      <w:r w:rsidRPr="006F5452">
        <w:rPr>
          <w:rFonts w:cs="Times New Roman"/>
          <w:szCs w:val="24"/>
        </w:rPr>
        <w:t xml:space="preserve">, results regarding this link are not conclusive. </w:t>
      </w:r>
      <w:r w:rsidRPr="006F5452">
        <w:rPr>
          <w:rFonts w:cs="Times New Roman"/>
          <w:szCs w:val="24"/>
        </w:rPr>
        <w:fldChar w:fldCharType="begin"/>
      </w:r>
      <w:r w:rsidRPr="006F5452">
        <w:rPr>
          <w:rFonts w:cs="Times New Roman"/>
          <w:szCs w:val="24"/>
        </w:rPr>
        <w:instrText xml:space="preserve"> ADDIN EN.CITE &lt;EndNote&gt;&lt;Cite AuthorYear="1"&gt;&lt;Author&gt;Antonakakis&lt;/Author&gt;&lt;Year&gt;2017&lt;/Year&gt;&lt;RecNum&gt;45&lt;/RecNum&gt;&lt;DisplayText&gt;Antonakakis et al. (2017)&lt;/DisplayText&gt;&lt;record&gt;&lt;rec-number&gt;45&lt;/rec-number&gt;&lt;foreign-keys&gt;&lt;key app="EN" db-id="azfxvt991df2r2ew2adxzdekws2tx55feewr" timestamp="1663928837"&gt;45&lt;/key&gt;&lt;/foreign-keys&gt;&lt;ref-type name="Journal Article"&gt;17&lt;/ref-type&gt;&lt;contributors&gt;&lt;authors&gt;&lt;author&gt;Antonakakis, Nikolaos&lt;/author&gt;&lt;author&gt;Gupta, Rangan&lt;/author&gt;&lt;author&gt;Kollias, Christos&lt;/author&gt;&lt;author&gt;Papadamou, Stephanos&lt;/author&gt;&lt;/authors&gt;&lt;/contributors&gt;&lt;titles&gt;&lt;title&gt;Geopolitical risks and the oil-stock nexus over 1899–2016&lt;/title&gt;&lt;secondary-title&gt;Finance Research Letters&lt;/secondary-title&gt;&lt;/titles&gt;&lt;periodical&gt;&lt;full-title&gt;Finance Research Letters&lt;/full-title&gt;&lt;/periodical&gt;&lt;pages&gt;165-173&lt;/pages&gt;&lt;volume&gt;23&lt;/volume&gt;&lt;dates&gt;&lt;year&gt;2017&lt;/year&gt;&lt;/dates&gt;&lt;isbn&gt;1544-6123&lt;/isbn&gt;&lt;urls&gt;&lt;/urls&gt;&lt;/record&gt;&lt;/Cite&gt;&lt;/EndNote&gt;</w:instrText>
      </w:r>
      <w:r w:rsidRPr="006F5452">
        <w:rPr>
          <w:rFonts w:cs="Times New Roman"/>
          <w:szCs w:val="24"/>
        </w:rPr>
        <w:fldChar w:fldCharType="separate"/>
      </w:r>
      <w:r w:rsidRPr="006F5452">
        <w:rPr>
          <w:rFonts w:cs="Times New Roman"/>
          <w:noProof/>
          <w:szCs w:val="24"/>
        </w:rPr>
        <w:t>Antonakakis et al. (2017)</w:t>
      </w:r>
      <w:r w:rsidRPr="006F5452">
        <w:rPr>
          <w:rFonts w:cs="Times New Roman"/>
          <w:szCs w:val="24"/>
        </w:rPr>
        <w:fldChar w:fldCharType="end"/>
      </w:r>
      <w:r w:rsidRPr="006F5452">
        <w:rPr>
          <w:rFonts w:cs="Times New Roman"/>
          <w:szCs w:val="24"/>
        </w:rPr>
        <w:t xml:space="preserve"> documented a negative impact of oil prices on stock markets. </w:t>
      </w:r>
      <w:r w:rsidRPr="006F5452">
        <w:rPr>
          <w:rFonts w:cs="Times New Roman"/>
          <w:szCs w:val="24"/>
        </w:rPr>
        <w:fldChar w:fldCharType="begin"/>
      </w:r>
      <w:r w:rsidRPr="006F5452">
        <w:rPr>
          <w:rFonts w:cs="Times New Roman"/>
          <w:szCs w:val="24"/>
        </w:rPr>
        <w:instrText xml:space="preserve"> ADDIN EN.CITE &lt;EndNote&gt;&lt;Cite AuthorYear="1"&gt;&lt;Author&gt;Kang&lt;/Author&gt;&lt;Year&gt;2014&lt;/Year&gt;&lt;RecNum&gt;47&lt;/RecNum&gt;&lt;DisplayText&gt;Kang et al. (2014)&lt;/DisplayText&gt;&lt;record&gt;&lt;rec-number&gt;47&lt;/rec-number&gt;&lt;foreign-keys&gt;&lt;key app="EN" db-id="azfxvt991df2r2ew2adxzdekws2tx55feewr" timestamp="1663929188"&gt;47&lt;/key&gt;&lt;/foreign-keys&gt;&lt;ref-type name="Journal Article"&gt;17&lt;/ref-type&gt;&lt;contributors&gt;&lt;authors&gt;&lt;author&gt;Kang, Wensheng&lt;/author&gt;&lt;author&gt;Ratti, Ronald A&lt;/author&gt;&lt;author&gt;Yoon, Kyung Hwan&lt;/author&gt;&lt;/authors&gt;&lt;/contributors&gt;&lt;titles&gt;&lt;title&gt;The impact of oil price shocks on US bond market returns&lt;/title&gt;&lt;secondary-title&gt;Energy Economics&lt;/secondary-title&gt;&lt;/titles&gt;&lt;periodical&gt;&lt;full-title&gt;Energy Economics&lt;/full-title&gt;&lt;/periodical&gt;&lt;pages&gt;248-258&lt;/pages&gt;&lt;volume&gt;44&lt;/volume&gt;&lt;dates&gt;&lt;year&gt;2014&lt;/year&gt;&lt;/dates&gt;&lt;isbn&gt;0140-9883&lt;/isbn&gt;&lt;urls&gt;&lt;/urls&gt;&lt;/record&gt;&lt;/Cite&gt;&lt;/EndNote&gt;</w:instrText>
      </w:r>
      <w:r w:rsidRPr="006F5452">
        <w:rPr>
          <w:rFonts w:cs="Times New Roman"/>
          <w:szCs w:val="24"/>
        </w:rPr>
        <w:fldChar w:fldCharType="separate"/>
      </w:r>
      <w:r w:rsidRPr="006F5452">
        <w:rPr>
          <w:rFonts w:cs="Times New Roman"/>
          <w:noProof/>
          <w:szCs w:val="24"/>
        </w:rPr>
        <w:t>Kang et al. (2014)</w:t>
      </w:r>
      <w:r w:rsidRPr="006F5452">
        <w:rPr>
          <w:rFonts w:cs="Times New Roman"/>
          <w:szCs w:val="24"/>
        </w:rPr>
        <w:fldChar w:fldCharType="end"/>
      </w:r>
      <w:r w:rsidR="00D94A8E" w:rsidRPr="006F5452">
        <w:rPr>
          <w:rFonts w:cs="Times New Roman"/>
          <w:szCs w:val="24"/>
        </w:rPr>
        <w:t xml:space="preserve"> and </w:t>
      </w:r>
      <w:r w:rsidR="00D94A8E" w:rsidRPr="006F5452">
        <w:rPr>
          <w:rFonts w:cs="Times New Roman"/>
          <w:szCs w:val="24"/>
        </w:rPr>
        <w:fldChar w:fldCharType="begin"/>
      </w:r>
      <w:r w:rsidR="00D94A8E" w:rsidRPr="006F5452">
        <w:rPr>
          <w:rFonts w:cs="Times New Roman"/>
          <w:szCs w:val="24"/>
        </w:rPr>
        <w:instrText xml:space="preserve"> ADDIN EN.CITE &lt;EndNote&gt;&lt;Cite AuthorYear="1"&gt;&lt;Author&gt;Tang&lt;/Author&gt;&lt;Year&gt;2010&lt;/Year&gt;&lt;RecNum&gt;46&lt;/RecNum&gt;&lt;DisplayText&gt;Tang et al. (2010)&lt;/DisplayText&gt;&lt;record&gt;&lt;rec-number&gt;46&lt;/rec-number&gt;&lt;foreign-keys&gt;&lt;key app="EN" db-id="azfxvt991df2r2ew2adxzdekws2tx55feewr" timestamp="1663928926"&gt;46&lt;/key&gt;&lt;/foreign-keys&gt;&lt;ref-type name="Journal Article"&gt;17&lt;/ref-type&gt;&lt;contributors&gt;&lt;authors&gt;&lt;author&gt;Tang, Weiqi&lt;/author&gt;&lt;author&gt;Wu, Libo&lt;/author&gt;&lt;author&gt;Zhang, ZhongXiang&lt;/author&gt;&lt;/authors&gt;&lt;/contributors&gt;&lt;titles&gt;&lt;title&gt;Oil price shocks and their short-and long-term effects on the Chinese economy&lt;/title&gt;&lt;secondary-title&gt;Energy Economics&lt;/secondary-title&gt;&lt;/titles&gt;&lt;periodical&gt;&lt;full-title&gt;Energy Economics&lt;/full-title&gt;&lt;/periodical&gt;&lt;pages&gt;S3-S14&lt;/pages&gt;&lt;volume&gt;32&lt;/volume&gt;&lt;dates&gt;&lt;year&gt;2010&lt;/year&gt;&lt;/dates&gt;&lt;isbn&gt;0140-9883&lt;/isbn&gt;&lt;urls&gt;&lt;/urls&gt;&lt;/record&gt;&lt;/Cite&gt;&lt;/EndNote&gt;</w:instrText>
      </w:r>
      <w:r w:rsidR="00D94A8E" w:rsidRPr="006F5452">
        <w:rPr>
          <w:rFonts w:cs="Times New Roman"/>
          <w:szCs w:val="24"/>
        </w:rPr>
        <w:fldChar w:fldCharType="separate"/>
      </w:r>
      <w:r w:rsidR="00D94A8E" w:rsidRPr="006F5452">
        <w:rPr>
          <w:rFonts w:cs="Times New Roman"/>
          <w:noProof/>
          <w:szCs w:val="24"/>
        </w:rPr>
        <w:t>Tang et al. (2010)</w:t>
      </w:r>
      <w:r w:rsidR="00D94A8E" w:rsidRPr="006F5452">
        <w:rPr>
          <w:rFonts w:cs="Times New Roman"/>
          <w:szCs w:val="24"/>
        </w:rPr>
        <w:fldChar w:fldCharType="end"/>
      </w:r>
      <w:r w:rsidRPr="006F5452">
        <w:rPr>
          <w:rFonts w:cs="Times New Roman"/>
          <w:szCs w:val="24"/>
        </w:rPr>
        <w:t xml:space="preserve"> found that increments in oil demand ha</w:t>
      </w:r>
      <w:r w:rsidR="00D94A8E" w:rsidRPr="006F5452">
        <w:rPr>
          <w:rFonts w:cs="Times New Roman"/>
          <w:szCs w:val="24"/>
        </w:rPr>
        <w:t>d</w:t>
      </w:r>
      <w:r w:rsidRPr="006F5452">
        <w:rPr>
          <w:rFonts w:cs="Times New Roman"/>
          <w:szCs w:val="24"/>
        </w:rPr>
        <w:t xml:space="preserve"> a negative impact on bond return when they investigated the impact of oil price volatility </w:t>
      </w:r>
      <w:r w:rsidR="00D94A8E" w:rsidRPr="006F5452">
        <w:rPr>
          <w:rFonts w:cs="Times New Roman"/>
          <w:szCs w:val="24"/>
        </w:rPr>
        <w:t>o</w:t>
      </w:r>
      <w:r w:rsidRPr="006F5452">
        <w:rPr>
          <w:rFonts w:cs="Times New Roman"/>
          <w:szCs w:val="24"/>
        </w:rPr>
        <w:t>n the US bond market.</w:t>
      </w:r>
      <w:r w:rsidR="003F320E" w:rsidRPr="006F5452">
        <w:rPr>
          <w:rFonts w:cs="Times New Roman"/>
          <w:szCs w:val="24"/>
        </w:rPr>
        <w:t xml:space="preserve"> </w:t>
      </w:r>
      <w:r w:rsidR="00915F47" w:rsidRPr="006F5452">
        <w:rPr>
          <w:rFonts w:cs="Times New Roman"/>
          <w:szCs w:val="24"/>
        </w:rPr>
        <w:t xml:space="preserve">Studies (Dutta et al., 2020; </w:t>
      </w:r>
      <w:proofErr w:type="spellStart"/>
      <w:r w:rsidR="00915F47" w:rsidRPr="006F5452">
        <w:rPr>
          <w:rFonts w:cs="Times New Roman"/>
          <w:szCs w:val="24"/>
        </w:rPr>
        <w:t>Forouli</w:t>
      </w:r>
      <w:proofErr w:type="spellEnd"/>
      <w:r w:rsidR="00915F47" w:rsidRPr="006F5452">
        <w:rPr>
          <w:rFonts w:cs="Times New Roman"/>
          <w:szCs w:val="24"/>
        </w:rPr>
        <w:t xml:space="preserve"> et al., 2020; Hunjra et al., 2022) </w:t>
      </w:r>
      <w:r w:rsidRPr="006F5452">
        <w:rPr>
          <w:rFonts w:cs="Times New Roman"/>
          <w:szCs w:val="24"/>
        </w:rPr>
        <w:t>examined the association between oil prices and sustainable investment performance and identified a volatility transfer between oil and sustainable stock markets</w:t>
      </w:r>
      <w:r w:rsidR="00915F47" w:rsidRPr="006F5452">
        <w:rPr>
          <w:rFonts w:cs="Times New Roman"/>
          <w:szCs w:val="24"/>
        </w:rPr>
        <w:t>.</w:t>
      </w:r>
      <w:r w:rsidRPr="006F5452">
        <w:rPr>
          <w:rFonts w:cs="Times New Roman"/>
          <w:szCs w:val="24"/>
        </w:rPr>
        <w:t xml:space="preserve"> </w:t>
      </w:r>
      <w:r w:rsidR="00915F47" w:rsidRPr="006F5452">
        <w:rPr>
          <w:rFonts w:cs="Times New Roman"/>
          <w:szCs w:val="24"/>
        </w:rPr>
        <w:t>Re</w:t>
      </w:r>
      <w:r w:rsidRPr="006F5452">
        <w:rPr>
          <w:rFonts w:cs="Times New Roman"/>
          <w:szCs w:val="24"/>
        </w:rPr>
        <w:t xml:space="preserve">sults corroborate the causal relationship between oil and clean energy markets </w:t>
      </w:r>
      <w:r w:rsidRPr="006F5452">
        <w:rPr>
          <w:rFonts w:cs="Times New Roman"/>
          <w:szCs w:val="24"/>
        </w:rPr>
        <w:fldChar w:fldCharType="begin"/>
      </w:r>
      <w:r w:rsidRPr="006F5452">
        <w:rPr>
          <w:rFonts w:cs="Times New Roman"/>
          <w:szCs w:val="24"/>
        </w:rPr>
        <w:instrText xml:space="preserve"> ADDIN EN.CITE &lt;EndNote&gt;&lt;Cite&gt;&lt;Author&gt;Reboredo&lt;/Author&gt;&lt;Year&gt;2017&lt;/Year&gt;&lt;RecNum&gt;48&lt;/RecNum&gt;&lt;DisplayText&gt;(Reboredo et al., 2017)&lt;/DisplayText&gt;&lt;record&gt;&lt;rec-number&gt;48&lt;/rec-number&gt;&lt;foreign-keys&gt;&lt;key app="EN" db-id="azfxvt991df2r2ew2adxzdekws2tx55feewr" timestamp="1663929731"&gt;48&lt;/key&gt;&lt;/foreign-keys&gt;&lt;ref-type name="Journal Article"&gt;17&lt;/ref-type&gt;&lt;contributors&gt;&lt;authors&gt;&lt;author&gt;Reboredo, Juan C&lt;/author&gt;&lt;author&gt;Rivera-Castro, Miguel A&lt;/author&gt;&lt;author&gt;Ugolini, Andrea&lt;/author&gt;&lt;/authors&gt;&lt;/contributors&gt;&lt;titles&gt;&lt;title&gt;Wavelet-based test of co-movement and causality between oil and renewable energy stock prices&lt;/title&gt;&lt;secondary-title&gt;Energy Economics&lt;/secondary-title&gt;&lt;/titles&gt;&lt;periodical&gt;&lt;full-title&gt;Energy Economics&lt;/full-title&gt;&lt;/periodical&gt;&lt;pages&gt;241-252&lt;/pages&gt;&lt;volume&gt;61&lt;/volume&gt;&lt;dates&gt;&lt;year&gt;2017&lt;/year&gt;&lt;/dates&gt;&lt;isbn&gt;0140-9883&lt;/isbn&gt;&lt;urls&gt;&lt;/urls&gt;&lt;/record&gt;&lt;/Cite&gt;&lt;/EndNote&gt;</w:instrText>
      </w:r>
      <w:r w:rsidRPr="006F5452">
        <w:rPr>
          <w:rFonts w:cs="Times New Roman"/>
          <w:szCs w:val="24"/>
        </w:rPr>
        <w:fldChar w:fldCharType="separate"/>
      </w:r>
      <w:r w:rsidRPr="006F5452">
        <w:rPr>
          <w:rFonts w:cs="Times New Roman"/>
          <w:noProof/>
          <w:szCs w:val="24"/>
        </w:rPr>
        <w:t>(Reboredo et al., 2017)</w:t>
      </w:r>
      <w:r w:rsidRPr="006F5452">
        <w:rPr>
          <w:rFonts w:cs="Times New Roman"/>
          <w:szCs w:val="24"/>
        </w:rPr>
        <w:fldChar w:fldCharType="end"/>
      </w:r>
      <w:r w:rsidRPr="006F5452">
        <w:rPr>
          <w:rFonts w:cs="Times New Roman"/>
          <w:szCs w:val="24"/>
        </w:rPr>
        <w:t xml:space="preserve">. Since conventional energy and renewable energy are substitutes </w:t>
      </w:r>
      <w:r w:rsidRPr="006F5452">
        <w:rPr>
          <w:rFonts w:cs="Times New Roman"/>
          <w:szCs w:val="24"/>
        </w:rPr>
        <w:fldChar w:fldCharType="begin"/>
      </w:r>
      <w:r w:rsidR="00E97657">
        <w:rPr>
          <w:rFonts w:cs="Times New Roman"/>
          <w:szCs w:val="24"/>
        </w:rPr>
        <w:instrText xml:space="preserve"> ADDIN EN.CITE &lt;EndNote&gt;&lt;Cite&gt;&lt;Author&gt;Ferrer&lt;/Author&gt;&lt;Year&gt;2018&lt;/Year&gt;&lt;RecNum&gt;49&lt;/RecNum&gt;&lt;DisplayText&gt;(Ferrer et al., 2018)&lt;/DisplayText&gt;&lt;record&gt;&lt;rec-number&gt;49&lt;/rec-number&gt;&lt;foreign-keys&gt;&lt;key app="EN" db-id="azfxvt991df2r2ew2adxzdekws2tx55feewr" timestamp="1663929972"&gt;49&lt;/key&gt;&lt;/foreign-keys&gt;&lt;ref-type name="Journal Article"&gt;17&lt;/ref-type&gt;&lt;contributors&gt;&lt;authors&gt;&lt;author&gt;Ferrer, Román&lt;/author&gt;&lt;author&gt;Shahzad, Syed Jawad Hussain&lt;/author&gt;&lt;author&gt;López, Raquel&lt;/author&gt;&lt;author&gt;Jareño, Francisco&lt;/author&gt;&lt;/authors&gt;&lt;/contributors&gt;&lt;titles&gt;&lt;title&gt;Time and frequency dynamics of connectedness between renewable energy stocks and crude oil prices&lt;/title&gt;&lt;secondary-title&gt;Energy Economics&lt;/secondary-title&gt;&lt;/titles&gt;&lt;periodical&gt;&lt;full-title&gt;Energy Economics&lt;/full-title&gt;&lt;/periodical&gt;&lt;pages&gt;1-20&lt;/pages&gt;&lt;volume&gt;76&lt;/volume&gt;&lt;dates&gt;&lt;year&gt;2018&lt;/year&gt;&lt;/dates&gt;&lt;isbn&gt;0140-9883&lt;/isbn&gt;&lt;urls&gt;&lt;/urls&gt;&lt;/record&gt;&lt;/Cite&gt;&lt;/EndNote&gt;</w:instrText>
      </w:r>
      <w:r w:rsidRPr="006F5452">
        <w:rPr>
          <w:rFonts w:cs="Times New Roman"/>
          <w:szCs w:val="24"/>
        </w:rPr>
        <w:fldChar w:fldCharType="separate"/>
      </w:r>
      <w:r w:rsidR="00E97657">
        <w:rPr>
          <w:rFonts w:cs="Times New Roman"/>
          <w:noProof/>
          <w:szCs w:val="24"/>
        </w:rPr>
        <w:t>(Ferrer et al., 2018)</w:t>
      </w:r>
      <w:r w:rsidRPr="006F5452">
        <w:rPr>
          <w:rFonts w:cs="Times New Roman"/>
          <w:szCs w:val="24"/>
        </w:rPr>
        <w:fldChar w:fldCharType="end"/>
      </w:r>
      <w:r w:rsidRPr="006F5452">
        <w:rPr>
          <w:rFonts w:cs="Times New Roman"/>
          <w:szCs w:val="24"/>
        </w:rPr>
        <w:t xml:space="preserve">, it is commonly assumed that sustainable investment is influenced heavily by the price of energy </w:t>
      </w:r>
      <w:r w:rsidRPr="006F5452">
        <w:rPr>
          <w:rFonts w:cs="Times New Roman"/>
          <w:szCs w:val="24"/>
        </w:rPr>
        <w:fldChar w:fldCharType="begin"/>
      </w:r>
      <w:r w:rsidRPr="006F5452">
        <w:rPr>
          <w:rFonts w:cs="Times New Roman"/>
          <w:szCs w:val="24"/>
        </w:rPr>
        <w:instrText xml:space="preserve"> ADDIN EN.CITE &lt;EndNote&gt;&lt;Cite&gt;&lt;Author&gt;Troster&lt;/Author&gt;&lt;Year&gt;2018&lt;/Year&gt;&lt;RecNum&gt;50&lt;/RecNum&gt;&lt;DisplayText&gt;(Troster et al., 2018)&lt;/DisplayText&gt;&lt;record&gt;&lt;rec-number&gt;50&lt;/rec-number&gt;&lt;foreign-keys&gt;&lt;key app="EN" db-id="azfxvt991df2r2ew2adxzdekws2tx55feewr" timestamp="1663930220"&gt;50&lt;/key&gt;&lt;/foreign-keys&gt;&lt;ref-type name="Journal Article"&gt;17&lt;/ref-type&gt;&lt;contributors&gt;&lt;authors&gt;&lt;author&gt;Troster, Victor&lt;/author&gt;&lt;author&gt;Shahbaz, Muhammad&lt;/author&gt;&lt;author&gt;Uddin, Gazi Salah&lt;/author&gt;&lt;/authors&gt;&lt;/contributors&gt;&lt;titles&gt;&lt;title&gt;Renewable energy, oil prices, and economic activity: A Granger-causality in quantiles analysis&lt;/title&gt;&lt;secondary-title&gt;Energy Economics&lt;/secondary-title&gt;&lt;/titles&gt;&lt;periodical&gt;&lt;full-title&gt;Energy Economics&lt;/full-title&gt;&lt;/periodical&gt;&lt;pages&gt;440-452&lt;/pages&gt;&lt;volume&gt;70&lt;/volume&gt;&lt;dates&gt;&lt;year&gt;2018&lt;/year&gt;&lt;/dates&gt;&lt;isbn&gt;0140-9883&lt;/isbn&gt;&lt;urls&gt;&lt;/urls&gt;&lt;/record&gt;&lt;/Cite&gt;&lt;/EndNote&gt;</w:instrText>
      </w:r>
      <w:r w:rsidRPr="006F5452">
        <w:rPr>
          <w:rFonts w:cs="Times New Roman"/>
          <w:szCs w:val="24"/>
        </w:rPr>
        <w:fldChar w:fldCharType="separate"/>
      </w:r>
      <w:r w:rsidRPr="006F5452">
        <w:rPr>
          <w:rFonts w:cs="Times New Roman"/>
          <w:noProof/>
          <w:szCs w:val="24"/>
        </w:rPr>
        <w:t>(Troster et al., 2018)</w:t>
      </w:r>
      <w:r w:rsidRPr="006F5452">
        <w:rPr>
          <w:rFonts w:cs="Times New Roman"/>
          <w:szCs w:val="24"/>
        </w:rPr>
        <w:fldChar w:fldCharType="end"/>
      </w:r>
      <w:r w:rsidRPr="006F5452">
        <w:rPr>
          <w:rFonts w:cs="Times New Roman"/>
          <w:szCs w:val="24"/>
        </w:rPr>
        <w:t xml:space="preserve">. </w:t>
      </w:r>
      <w:r w:rsidRPr="006F5452">
        <w:rPr>
          <w:rFonts w:cs="Times New Roman"/>
          <w:szCs w:val="24"/>
        </w:rPr>
        <w:fldChar w:fldCharType="begin"/>
      </w:r>
      <w:r w:rsidRPr="006F5452">
        <w:rPr>
          <w:rFonts w:cs="Times New Roman"/>
          <w:szCs w:val="24"/>
        </w:rPr>
        <w:instrText xml:space="preserve"> ADDIN EN.CITE &lt;EndNote&gt;&lt;Cite AuthorYear="1"&gt;&lt;Author&gt;Dutta&lt;/Author&gt;&lt;Year&gt;2020&lt;/Year&gt;&lt;RecNum&gt;51&lt;/RecNum&gt;&lt;DisplayText&gt;Dutta et al. (2020)&lt;/DisplayText&gt;&lt;record&gt;&lt;rec-number&gt;51&lt;/rec-number&gt;&lt;foreign-keys&gt;&lt;key app="EN" db-id="azfxvt991df2r2ew2adxzdekws2tx55feewr" timestamp="1663930563"&gt;51&lt;/key&gt;&lt;/foreign-keys&gt;&lt;ref-type name="Journal Article"&gt;17&lt;/ref-type&gt;&lt;contributors&gt;&lt;authors&gt;&lt;author&gt;Dutta, Anupam&lt;/author&gt;&lt;author&gt;Jana, RK&lt;/author&gt;&lt;author&gt;Das, Debojyoti&lt;/author&gt;&lt;/authors&gt;&lt;/contributors&gt;&lt;titles&gt;&lt;title&gt;Do green investments react to oil price shocks? Implications for sustainable development&lt;/title&gt;&lt;secondary-title&gt;Journal of Cleaner Production&lt;/secondary-title&gt;&lt;/titles&gt;&lt;periodical&gt;&lt;full-title&gt;Journal of Cleaner Production&lt;/full-title&gt;&lt;/periodical&gt;&lt;pages&gt;121956&lt;/pages&gt;&lt;volume&gt;266&lt;/volume&gt;&lt;dates&gt;&lt;year&gt;2020&lt;/year&gt;&lt;/dates&gt;&lt;isbn&gt;0959-6526&lt;/isbn&gt;&lt;urls&gt;&lt;/urls&gt;&lt;/record&gt;&lt;/Cite&gt;&lt;/EndNote&gt;</w:instrText>
      </w:r>
      <w:r w:rsidRPr="006F5452">
        <w:rPr>
          <w:rFonts w:cs="Times New Roman"/>
          <w:szCs w:val="24"/>
        </w:rPr>
        <w:fldChar w:fldCharType="separate"/>
      </w:r>
      <w:r w:rsidRPr="006F5452">
        <w:rPr>
          <w:rFonts w:cs="Times New Roman"/>
          <w:noProof/>
          <w:szCs w:val="24"/>
        </w:rPr>
        <w:t>Dutta et al. (2020)</w:t>
      </w:r>
      <w:r w:rsidRPr="006F5452">
        <w:rPr>
          <w:rFonts w:cs="Times New Roman"/>
          <w:szCs w:val="24"/>
        </w:rPr>
        <w:fldChar w:fldCharType="end"/>
      </w:r>
      <w:r w:rsidRPr="006F5452">
        <w:rPr>
          <w:rFonts w:cs="Times New Roman"/>
          <w:szCs w:val="24"/>
        </w:rPr>
        <w:t xml:space="preserve"> point out </w:t>
      </w:r>
      <w:r w:rsidR="00C604FC">
        <w:rPr>
          <w:rFonts w:cs="Times New Roman"/>
          <w:szCs w:val="24"/>
        </w:rPr>
        <w:t xml:space="preserve">that </w:t>
      </w:r>
      <w:r w:rsidRPr="006F5452">
        <w:rPr>
          <w:rFonts w:cs="Times New Roman"/>
          <w:szCs w:val="24"/>
        </w:rPr>
        <w:t xml:space="preserve">when crude oil markets undergo significant negative volatility, investors will be less interested in green products. Conversely, when oil market prices increase, investors will be more interested in this type of product, hence the price of green bonds will be expected to increase </w:t>
      </w:r>
      <w:r w:rsidRPr="006F5452">
        <w:rPr>
          <w:rFonts w:cs="Times New Roman"/>
          <w:szCs w:val="24"/>
        </w:rPr>
        <w:fldChar w:fldCharType="begin"/>
      </w:r>
      <w:r w:rsidRPr="006F5452">
        <w:rPr>
          <w:rFonts w:cs="Times New Roman"/>
          <w:szCs w:val="24"/>
        </w:rPr>
        <w:instrText xml:space="preserve"> ADDIN EN.CITE &lt;EndNote&gt;&lt;Cite&gt;&lt;Author&gt;Bondia&lt;/Author&gt;&lt;Year&gt;2016&lt;/Year&gt;&lt;RecNum&gt;52&lt;/RecNum&gt;&lt;DisplayText&gt;(Bondia et al., 2016)&lt;/DisplayText&gt;&lt;record&gt;&lt;rec-number&gt;52&lt;/rec-number&gt;&lt;foreign-keys&gt;&lt;key app="EN" db-id="azfxvt991df2r2ew2adxzdekws2tx55feewr" timestamp="1663930664"&gt;52&lt;/key&gt;&lt;/foreign-keys&gt;&lt;ref-type name="Journal Article"&gt;17&lt;/ref-type&gt;&lt;contributors&gt;&lt;authors&gt;&lt;author&gt;Bondia, Ripsy&lt;/author&gt;&lt;author&gt;Ghosh, Sajal&lt;/author&gt;&lt;author&gt;Kanjilal, Kakali&lt;/author&gt;&lt;/authors&gt;&lt;/contributors&gt;&lt;titles&gt;&lt;title&gt;International crude oil prices and the stock prices of clean energy and technology companies: Evidence from non-linear cointegration tests with unknown structural breaks&lt;/title&gt;&lt;secondary-title&gt;Energy&lt;/secondary-title&gt;&lt;/titles&gt;&lt;periodical&gt;&lt;full-title&gt;Energy&lt;/full-title&gt;&lt;/periodical&gt;&lt;pages&gt;558-565&lt;/pages&gt;&lt;volume&gt;101&lt;/volume&gt;&lt;dates&gt;&lt;year&gt;2016&lt;/year&gt;&lt;/dates&gt;&lt;isbn&gt;0360-5442&lt;/isbn&gt;&lt;urls&gt;&lt;/urls&gt;&lt;/record&gt;&lt;/Cite&gt;&lt;/EndNote&gt;</w:instrText>
      </w:r>
      <w:r w:rsidRPr="006F5452">
        <w:rPr>
          <w:rFonts w:cs="Times New Roman"/>
          <w:szCs w:val="24"/>
        </w:rPr>
        <w:fldChar w:fldCharType="separate"/>
      </w:r>
      <w:r w:rsidRPr="006F5452">
        <w:rPr>
          <w:rFonts w:cs="Times New Roman"/>
          <w:noProof/>
          <w:szCs w:val="24"/>
        </w:rPr>
        <w:t>(Bondia et al., 2016)</w:t>
      </w:r>
      <w:r w:rsidRPr="006F5452">
        <w:rPr>
          <w:rFonts w:cs="Times New Roman"/>
          <w:szCs w:val="24"/>
        </w:rPr>
        <w:fldChar w:fldCharType="end"/>
      </w:r>
      <w:r w:rsidRPr="006F5452">
        <w:rPr>
          <w:rFonts w:cs="Times New Roman"/>
          <w:szCs w:val="24"/>
        </w:rPr>
        <w:t xml:space="preserve">. </w:t>
      </w:r>
      <w:r w:rsidR="00433B7F" w:rsidRPr="00433B7F">
        <w:rPr>
          <w:rFonts w:cs="Times New Roman"/>
          <w:color w:val="0000CC"/>
          <w:szCs w:val="24"/>
        </w:rPr>
        <w:t xml:space="preserve">It is also found that </w:t>
      </w:r>
      <w:r w:rsidR="008D4788" w:rsidRPr="00433B7F">
        <w:rPr>
          <w:rFonts w:cs="Times New Roman"/>
          <w:color w:val="0000CC"/>
          <w:szCs w:val="24"/>
        </w:rPr>
        <w:t xml:space="preserve">crude oil prices promote </w:t>
      </w:r>
      <w:r w:rsidR="00C604FC">
        <w:rPr>
          <w:rFonts w:cs="Times New Roman"/>
          <w:color w:val="0000CC"/>
          <w:szCs w:val="24"/>
        </w:rPr>
        <w:t xml:space="preserve">the </w:t>
      </w:r>
      <w:r w:rsidR="008D4788" w:rsidRPr="00433B7F">
        <w:rPr>
          <w:rFonts w:cs="Times New Roman"/>
          <w:color w:val="0000CC"/>
          <w:szCs w:val="24"/>
        </w:rPr>
        <w:t xml:space="preserve">non-renewable energy </w:t>
      </w:r>
      <w:r w:rsidR="00E11009">
        <w:rPr>
          <w:rFonts w:cs="Times New Roman"/>
          <w:color w:val="0000CC"/>
          <w:szCs w:val="24"/>
        </w:rPr>
        <w:t>market</w:t>
      </w:r>
      <w:r w:rsidR="00B60C49">
        <w:rPr>
          <w:rFonts w:cs="Times New Roman"/>
          <w:color w:val="0000CC"/>
          <w:szCs w:val="24"/>
        </w:rPr>
        <w:t>, while</w:t>
      </w:r>
      <w:r w:rsidR="008D4788" w:rsidRPr="00433B7F">
        <w:rPr>
          <w:rFonts w:cs="Times New Roman"/>
          <w:color w:val="0000CC"/>
          <w:szCs w:val="24"/>
        </w:rPr>
        <w:t xml:space="preserve"> climate policy uncertainty </w:t>
      </w:r>
      <w:r w:rsidR="00B60C49">
        <w:rPr>
          <w:rFonts w:cs="Times New Roman"/>
          <w:color w:val="0000CC"/>
          <w:szCs w:val="24"/>
        </w:rPr>
        <w:t xml:space="preserve">lowers </w:t>
      </w:r>
      <w:r w:rsidR="00E11009">
        <w:rPr>
          <w:rFonts w:cs="Times New Roman"/>
          <w:color w:val="0000CC"/>
          <w:szCs w:val="24"/>
        </w:rPr>
        <w:t>crude oil prices</w:t>
      </w:r>
      <w:r w:rsidR="008D4788" w:rsidRPr="00433B7F">
        <w:rPr>
          <w:rFonts w:cs="Times New Roman"/>
          <w:noProof/>
          <w:color w:val="0000CC"/>
          <w:szCs w:val="24"/>
        </w:rPr>
        <w:t xml:space="preserve"> (Shang et al., 2022)</w:t>
      </w:r>
      <w:r w:rsidR="008D4788" w:rsidRPr="00433B7F">
        <w:rPr>
          <w:rFonts w:cs="Times New Roman"/>
          <w:color w:val="0000CC"/>
          <w:szCs w:val="24"/>
        </w:rPr>
        <w:t>.</w:t>
      </w:r>
    </w:p>
    <w:p w14:paraId="6383CDAF" w14:textId="77777777" w:rsidR="00DB0AA1" w:rsidRPr="006F5452" w:rsidRDefault="00DB0AA1" w:rsidP="00DB0AA1">
      <w:pPr>
        <w:ind w:firstLine="720"/>
        <w:jc w:val="both"/>
        <w:rPr>
          <w:rFonts w:cs="Times New Roman"/>
          <w:szCs w:val="24"/>
        </w:rPr>
      </w:pPr>
    </w:p>
    <w:p w14:paraId="00A8A141" w14:textId="48B08BAD" w:rsidR="00AD4CB1" w:rsidRPr="006F5452" w:rsidRDefault="00DB0AA1" w:rsidP="00DB0AA1">
      <w:pPr>
        <w:pStyle w:val="Heading3"/>
      </w:pPr>
      <w:r w:rsidRPr="006F5452">
        <w:t xml:space="preserve">2.2.3 </w:t>
      </w:r>
      <w:r w:rsidR="00AD4CB1" w:rsidRPr="006F5452">
        <w:t xml:space="preserve">Oil price and GPR </w:t>
      </w:r>
    </w:p>
    <w:p w14:paraId="603EF1FC" w14:textId="2A113F27" w:rsidR="00AD4CB1" w:rsidRPr="006F5452" w:rsidRDefault="00AD4CB1" w:rsidP="00DB0AA1">
      <w:pPr>
        <w:ind w:firstLine="720"/>
        <w:jc w:val="both"/>
        <w:rPr>
          <w:rFonts w:cs="Times New Roman"/>
          <w:szCs w:val="24"/>
        </w:rPr>
      </w:pPr>
      <w:r w:rsidRPr="006F5452">
        <w:rPr>
          <w:rFonts w:cs="Times New Roman"/>
          <w:szCs w:val="24"/>
        </w:rPr>
        <w:t>Recent research examines the influence of GPR on oil price</w:t>
      </w:r>
      <w:r w:rsidR="003F320E" w:rsidRPr="006F5452">
        <w:rPr>
          <w:rFonts w:cs="Times New Roman"/>
          <w:szCs w:val="24"/>
        </w:rPr>
        <w:t>s</w:t>
      </w:r>
      <w:r w:rsidRPr="006F5452">
        <w:rPr>
          <w:rFonts w:cs="Times New Roman"/>
          <w:szCs w:val="24"/>
        </w:rPr>
        <w:t xml:space="preserve"> </w:t>
      </w:r>
      <w:r w:rsidRPr="006F5452">
        <w:rPr>
          <w:rFonts w:cs="Times New Roman"/>
          <w:szCs w:val="24"/>
        </w:rPr>
        <w:fldChar w:fldCharType="begin">
          <w:fldData xml:space="preserve">PEVuZE5vdGU+PENpdGU+PEF1dGhvcj5DdW5hZG88L0F1dGhvcj48WWVhcj4yMDIwPC9ZZWFyPjxS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</w:fldData>
        </w:fldChar>
      </w:r>
      <w:r w:rsidR="00E97657">
        <w:rPr>
          <w:rFonts w:cs="Times New Roman"/>
          <w:szCs w:val="24"/>
        </w:rPr>
        <w:instrText xml:space="preserve"> ADDIN EN.CITE </w:instrText>
      </w:r>
      <w:r w:rsidR="00E97657">
        <w:rPr>
          <w:rFonts w:cs="Times New Roman"/>
          <w:szCs w:val="24"/>
        </w:rPr>
        <w:fldChar w:fldCharType="begin">
          <w:fldData xml:space="preserve">PEVuZE5vdGU+PENpdGU+PEF1dGhvcj5DdW5hZG88L0F1dGhvcj48WWVhcj4yMDIwPC9ZZWFyPjxS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</w:fldData>
        </w:fldChar>
      </w:r>
      <w:r w:rsidR="00E97657">
        <w:rPr>
          <w:rFonts w:cs="Times New Roman"/>
          <w:szCs w:val="24"/>
        </w:rPr>
        <w:instrText xml:space="preserve"> ADDIN EN.CITE.DATA </w:instrText>
      </w:r>
      <w:r w:rsidR="00E97657">
        <w:rPr>
          <w:rFonts w:cs="Times New Roman"/>
          <w:szCs w:val="24"/>
        </w:rPr>
      </w:r>
      <w:r w:rsidR="00E97657">
        <w:rPr>
          <w:rFonts w:cs="Times New Roman"/>
          <w:szCs w:val="24"/>
        </w:rPr>
        <w:fldChar w:fldCharType="end"/>
      </w:r>
      <w:r w:rsidRPr="006F5452">
        <w:rPr>
          <w:rFonts w:cs="Times New Roman"/>
          <w:szCs w:val="24"/>
        </w:rPr>
      </w:r>
      <w:r w:rsidRPr="006F5452">
        <w:rPr>
          <w:rFonts w:cs="Times New Roman"/>
          <w:szCs w:val="24"/>
        </w:rPr>
        <w:fldChar w:fldCharType="separate"/>
      </w:r>
      <w:r w:rsidR="00E97657">
        <w:rPr>
          <w:rFonts w:cs="Times New Roman"/>
          <w:noProof/>
          <w:szCs w:val="24"/>
        </w:rPr>
        <w:t>(Caldara &amp; Iacoviello, 2022; Cunado et al., 2020; Demirer et al., 2018)</w:t>
      </w:r>
      <w:r w:rsidRPr="006F5452">
        <w:rPr>
          <w:rFonts w:cs="Times New Roman"/>
          <w:szCs w:val="24"/>
        </w:rPr>
        <w:fldChar w:fldCharType="end"/>
      </w:r>
      <w:r w:rsidRPr="006F5452">
        <w:rPr>
          <w:rFonts w:cs="Times New Roman"/>
          <w:szCs w:val="24"/>
        </w:rPr>
        <w:t xml:space="preserve">. Considering the effect of geopolitical risk on the economic-financial markets, which are the major reasons for oil price fluctuations </w:t>
      </w:r>
      <w:r w:rsidRPr="006F5452">
        <w:rPr>
          <w:rFonts w:cs="Times New Roman"/>
          <w:szCs w:val="24"/>
        </w:rPr>
        <w:fldChar w:fldCharType="begin">
          <w:fldData xml:space="preserve">PEVuZE5vdGU+PENpdGU+PEF1dGhvcj5BbnRvbmFrYWtpczwvQXV0aG9yPjxZZWFyPjIwMTc8L1ll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</w:fldData>
        </w:fldChar>
      </w:r>
      <w:r w:rsidR="00E97657">
        <w:rPr>
          <w:rFonts w:cs="Times New Roman"/>
          <w:szCs w:val="24"/>
        </w:rPr>
        <w:instrText xml:space="preserve"> ADDIN EN.CITE </w:instrText>
      </w:r>
      <w:r w:rsidR="00E97657">
        <w:rPr>
          <w:rFonts w:cs="Times New Roman"/>
          <w:szCs w:val="24"/>
        </w:rPr>
        <w:fldChar w:fldCharType="begin">
          <w:fldData xml:space="preserve">PEVuZE5vdGU+PENpdGU+PEF1dGhvcj5BbnRvbmFrYWtpczwvQXV0aG9yPjxZZWFyPjIwMTc8L1ll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</w:fldData>
        </w:fldChar>
      </w:r>
      <w:r w:rsidR="00E97657">
        <w:rPr>
          <w:rFonts w:cs="Times New Roman"/>
          <w:szCs w:val="24"/>
        </w:rPr>
        <w:instrText xml:space="preserve"> ADDIN EN.CITE.DATA </w:instrText>
      </w:r>
      <w:r w:rsidR="00E97657">
        <w:rPr>
          <w:rFonts w:cs="Times New Roman"/>
          <w:szCs w:val="24"/>
        </w:rPr>
      </w:r>
      <w:r w:rsidR="00E97657">
        <w:rPr>
          <w:rFonts w:cs="Times New Roman"/>
          <w:szCs w:val="24"/>
        </w:rPr>
        <w:fldChar w:fldCharType="end"/>
      </w:r>
      <w:r w:rsidRPr="006F5452">
        <w:rPr>
          <w:rFonts w:cs="Times New Roman"/>
          <w:szCs w:val="24"/>
        </w:rPr>
      </w:r>
      <w:r w:rsidRPr="006F5452">
        <w:rPr>
          <w:rFonts w:cs="Times New Roman"/>
          <w:szCs w:val="24"/>
        </w:rPr>
        <w:fldChar w:fldCharType="separate"/>
      </w:r>
      <w:r w:rsidR="00E97657">
        <w:rPr>
          <w:rFonts w:cs="Times New Roman"/>
          <w:noProof/>
          <w:szCs w:val="24"/>
        </w:rPr>
        <w:t>(Antonakakis et al., 2017; Apergis et al., 2017; Cheng &amp; Chiu, 2018)</w:t>
      </w:r>
      <w:r w:rsidRPr="006F5452">
        <w:rPr>
          <w:rFonts w:cs="Times New Roman"/>
          <w:szCs w:val="24"/>
        </w:rPr>
        <w:fldChar w:fldCharType="end"/>
      </w:r>
      <w:r w:rsidRPr="006F5452">
        <w:rPr>
          <w:rFonts w:cs="Times New Roman"/>
          <w:szCs w:val="24"/>
        </w:rPr>
        <w:t>, variations in the oil market are expected to be influenced by geopolitical issues related to the general geo-politic scene through the demand mechanism </w:t>
      </w:r>
      <w:r w:rsidRPr="006F5452">
        <w:rPr>
          <w:rFonts w:cs="Times New Roman"/>
          <w:szCs w:val="24"/>
        </w:rPr>
        <w:fldChar w:fldCharType="begin"/>
      </w:r>
      <w:r w:rsidRPr="006F5452">
        <w:rPr>
          <w:rFonts w:cs="Times New Roman"/>
          <w:szCs w:val="24"/>
        </w:rPr>
        <w:instrText xml:space="preserve"> ADDIN EN.CITE &lt;EndNote&gt;&lt;Cite&gt;&lt;Author&gt;Plakandaras&lt;/Author&gt;&lt;Year&gt;2019&lt;/Year&gt;&lt;RecNum&gt;57&lt;/RecNum&gt;&lt;DisplayText&gt;(Plakandaras et al., 2019)&lt;/DisplayText&gt;&lt;record&gt;&lt;rec-number&gt;57&lt;/rec-number&gt;&lt;foreign-keys&gt;&lt;key app="EN" db-id="azfxvt991df2r2ew2adxzdekws2tx55feewr" timestamp="1663931197"&gt;57&lt;/key&gt;&lt;/foreign-keys&gt;&lt;ref-type name="Journal Article"&gt;17&lt;/ref-type&gt;&lt;contributors&gt;&lt;authors&gt;&lt;author&gt;Plakandaras, Vasilios&lt;/author&gt;&lt;author&gt;Gupta, Rangan&lt;/author&gt;&lt;author&gt;Wong, Wing-Keung&lt;/author&gt;&lt;/authors&gt;&lt;/contributors&gt;&lt;titles&gt;&lt;title&gt;Point and density forecasts of oil returns: The role of geopolitical risks&lt;/title&gt;&lt;secondary-title&gt;Resources Policy&lt;/secondary-title&gt;&lt;/titles&gt;&lt;periodical&gt;&lt;full-title&gt;Resources Policy&lt;/full-title&gt;&lt;/periodical&gt;&lt;pages&gt;580-587&lt;/pages&gt;&lt;volume&gt;62&lt;/volume&gt;&lt;dates&gt;&lt;year&gt;2019&lt;/year&gt;&lt;/dates&gt;&lt;isbn&gt;0301-4207&lt;/isbn&gt;&lt;urls&gt;&lt;/urls&gt;&lt;/record&gt;&lt;/Cite&gt;&lt;/EndNote&gt;</w:instrText>
      </w:r>
      <w:r w:rsidRPr="006F5452">
        <w:rPr>
          <w:rFonts w:cs="Times New Roman"/>
          <w:szCs w:val="24"/>
        </w:rPr>
        <w:fldChar w:fldCharType="separate"/>
      </w:r>
      <w:r w:rsidRPr="006F5452">
        <w:rPr>
          <w:rFonts w:cs="Times New Roman"/>
          <w:noProof/>
          <w:szCs w:val="24"/>
        </w:rPr>
        <w:t>(Plakandaras et al., 2019)</w:t>
      </w:r>
      <w:r w:rsidRPr="006F5452">
        <w:rPr>
          <w:rFonts w:cs="Times New Roman"/>
          <w:szCs w:val="24"/>
        </w:rPr>
        <w:fldChar w:fldCharType="end"/>
      </w:r>
      <w:r w:rsidRPr="006F5452">
        <w:rPr>
          <w:rFonts w:cs="Times New Roman"/>
          <w:szCs w:val="24"/>
        </w:rPr>
        <w:t xml:space="preserve">. Furthermore, extant research indicates that GPR has a negative impact on oil prices. Using structural VAR models, </w:t>
      </w:r>
      <w:r w:rsidRPr="006F5452">
        <w:rPr>
          <w:rFonts w:cs="Times New Roman"/>
          <w:szCs w:val="24"/>
        </w:rPr>
        <w:fldChar w:fldCharType="begin"/>
      </w:r>
      <w:r w:rsidR="00E97657">
        <w:rPr>
          <w:rFonts w:cs="Times New Roman"/>
          <w:szCs w:val="24"/>
        </w:rPr>
        <w:instrText xml:space="preserve"> ADDIN EN.CITE &lt;EndNote&gt;&lt;Cite&gt;&lt;Author&gt;Caldara&lt;/Author&gt;&lt;Year&gt;2022&lt;/Year&gt;&lt;RecNum&gt;58&lt;/RecNum&gt;&lt;DisplayText&gt;(Caldara &amp;amp; Iacoviello, 2022)&lt;/DisplayText&gt;&lt;record&gt;&lt;rec-number&gt;58&lt;/rec-number&gt;&lt;foreign-keys&gt;&lt;key app="EN" db-id="azfxvt991df2r2ew2adxzdekws2tx55feewr" timestamp="1663931265"&gt;58&lt;/key&gt;&lt;/foreign-keys&gt;&lt;ref-type name="Journal Article"&gt;17&lt;/ref-type&gt;&lt;contributors&gt;&lt;authors&gt;&lt;author&gt;Caldara, Dario&lt;/author&gt;&lt;author&gt;Iacoviello, Matteo&lt;/author&gt;&lt;/authors&gt;&lt;/contributors&gt;&lt;titles&gt;&lt;title&gt;Measuring geopolitical risk&lt;/title&gt;&lt;secondary-title&gt;American Economic Review&lt;/secondary-title&gt;&lt;/titles&gt;&lt;periodical&gt;&lt;full-title&gt;American Economic Review&lt;/full-title&gt;&lt;/periodical&gt;&lt;pages&gt;1194-1225&lt;/pages&gt;&lt;volume&gt;112&lt;/volume&gt;&lt;number&gt;4&lt;/number&gt;&lt;dates&gt;&lt;year&gt;2022&lt;/year&gt;&lt;/dates&gt;&lt;isbn&gt;0002-8282&lt;/isbn&gt;&lt;urls&gt;&lt;/urls&gt;&lt;/record&gt;&lt;/Cite&gt;&lt;/EndNote&gt;</w:instrText>
      </w:r>
      <w:r w:rsidRPr="006F5452">
        <w:rPr>
          <w:rFonts w:cs="Times New Roman"/>
          <w:szCs w:val="24"/>
        </w:rPr>
        <w:fldChar w:fldCharType="separate"/>
      </w:r>
      <w:r w:rsidR="00E97657">
        <w:rPr>
          <w:rFonts w:cs="Times New Roman"/>
          <w:noProof/>
          <w:szCs w:val="24"/>
        </w:rPr>
        <w:t>(Caldara &amp; Iacoviello, 2022)</w:t>
      </w:r>
      <w:r w:rsidRPr="006F5452">
        <w:rPr>
          <w:rFonts w:cs="Times New Roman"/>
          <w:szCs w:val="24"/>
        </w:rPr>
        <w:fldChar w:fldCharType="end"/>
      </w:r>
      <w:r w:rsidRPr="006F5452">
        <w:rPr>
          <w:rFonts w:cs="Times New Roman"/>
          <w:szCs w:val="24"/>
        </w:rPr>
        <w:t xml:space="preserve"> confirmed the negative relationship between GPR and oil price. </w:t>
      </w:r>
      <w:r w:rsidRPr="006F5452">
        <w:rPr>
          <w:rFonts w:cs="Times New Roman"/>
          <w:szCs w:val="24"/>
        </w:rPr>
        <w:fldChar w:fldCharType="begin"/>
      </w:r>
      <w:r w:rsidRPr="006F5452">
        <w:rPr>
          <w:rFonts w:cs="Times New Roman"/>
          <w:szCs w:val="24"/>
        </w:rPr>
        <w:instrText xml:space="preserve"> ADDIN EN.CITE &lt;EndNote&gt;&lt;Cite AuthorYear="1"&gt;&lt;Author&gt;Demirer&lt;/Author&gt;&lt;Year&gt;2018&lt;/Year&gt;&lt;RecNum&gt;59&lt;/RecNum&gt;&lt;DisplayText&gt;Demirer et al. (2018)&lt;/DisplayText&gt;&lt;record&gt;&lt;rec-number&gt;59&lt;/rec-number&gt;&lt;foreign-keys&gt;&lt;key app="EN" db-id="azfxvt991df2r2ew2adxzdekws2tx55feewr" timestamp="1663931328"&gt;59&lt;/key&gt;&lt;/foreign-keys&gt;&lt;ref-type name="Journal Article"&gt;17&lt;/ref-type&gt;&lt;contributors&gt;&lt;authors&gt;&lt;author&gt;Demirer, Riza&lt;/author&gt;&lt;author&gt;Gupta, Rangan&lt;/author&gt;&lt;author&gt;Suleman, Tahir&lt;/author&gt;&lt;author&gt;Wohar, Mark E&lt;/author&gt;&lt;/authors&gt;&lt;/contributors&gt;&lt;titles&gt;&lt;title&gt;Time-varying rare disaster risks, oil returns and volatility&lt;/title&gt;&lt;secondary-title&gt;Energy Economics&lt;/secondary-title&gt;&lt;/titles&gt;&lt;periodical&gt;&lt;full-title&gt;Energy Economics&lt;/full-title&gt;&lt;/periodical&gt;&lt;pages&gt;239-248&lt;/pages&gt;&lt;volume&gt;75&lt;/volume&gt;&lt;dates&gt;&lt;year&gt;2018&lt;/year&gt;&lt;/dates&gt;&lt;isbn&gt;0140-9883&lt;/isbn&gt;&lt;urls&gt;&lt;/urls&gt;&lt;/record&gt;&lt;/Cite&gt;&lt;/EndNote&gt;</w:instrText>
      </w:r>
      <w:r w:rsidRPr="006F5452">
        <w:rPr>
          <w:rFonts w:cs="Times New Roman"/>
          <w:szCs w:val="24"/>
        </w:rPr>
        <w:fldChar w:fldCharType="separate"/>
      </w:r>
      <w:r w:rsidRPr="006F5452">
        <w:rPr>
          <w:rFonts w:cs="Times New Roman"/>
          <w:noProof/>
          <w:szCs w:val="24"/>
        </w:rPr>
        <w:t>Demirer et al. (2018)</w:t>
      </w:r>
      <w:r w:rsidRPr="006F5452">
        <w:rPr>
          <w:rFonts w:cs="Times New Roman"/>
          <w:szCs w:val="24"/>
        </w:rPr>
        <w:fldChar w:fldCharType="end"/>
      </w:r>
      <w:r w:rsidRPr="006F5452">
        <w:rPr>
          <w:rFonts w:cs="Times New Roman"/>
          <w:szCs w:val="24"/>
        </w:rPr>
        <w:t xml:space="preserve"> suggest that catastrophe threats predict oil prices. Their results reveal that the relationship between risk and return is nonlinear, resulting in the misspecification of linear Granger-</w:t>
      </w:r>
      <w:r w:rsidR="003F320E" w:rsidRPr="006F5452">
        <w:rPr>
          <w:rFonts w:cs="Times New Roman"/>
          <w:szCs w:val="24"/>
        </w:rPr>
        <w:t>C</w:t>
      </w:r>
      <w:r w:rsidRPr="006F5452">
        <w:rPr>
          <w:rFonts w:cs="Times New Roman"/>
          <w:szCs w:val="24"/>
        </w:rPr>
        <w:t xml:space="preserve">ausality tests. They </w:t>
      </w:r>
      <w:r w:rsidR="003F320E" w:rsidRPr="006F5452">
        <w:rPr>
          <w:rFonts w:cs="Times New Roman"/>
          <w:szCs w:val="24"/>
        </w:rPr>
        <w:t xml:space="preserve">found </w:t>
      </w:r>
      <w:r w:rsidRPr="006F5452">
        <w:rPr>
          <w:rFonts w:cs="Times New Roman"/>
          <w:szCs w:val="24"/>
        </w:rPr>
        <w:t xml:space="preserve">that the </w:t>
      </w:r>
      <w:proofErr w:type="gramStart"/>
      <w:r w:rsidRPr="006F5452">
        <w:rPr>
          <w:rFonts w:cs="Times New Roman"/>
          <w:szCs w:val="24"/>
        </w:rPr>
        <w:t>aforementioned risks</w:t>
      </w:r>
      <w:proofErr w:type="gramEnd"/>
      <w:r w:rsidRPr="006F5452">
        <w:rPr>
          <w:rFonts w:cs="Times New Roman"/>
          <w:szCs w:val="24"/>
        </w:rPr>
        <w:t xml:space="preserve"> ha</w:t>
      </w:r>
      <w:r w:rsidR="003F320E" w:rsidRPr="006F5452">
        <w:rPr>
          <w:rFonts w:cs="Times New Roman"/>
          <w:szCs w:val="24"/>
        </w:rPr>
        <w:t>d</w:t>
      </w:r>
      <w:r w:rsidRPr="006F5452">
        <w:rPr>
          <w:rFonts w:cs="Times New Roman"/>
          <w:szCs w:val="24"/>
        </w:rPr>
        <w:t xml:space="preserve"> a significant impact on oil returns at lower quantiles when they use</w:t>
      </w:r>
      <w:r w:rsidR="003C7D67" w:rsidRPr="006F5452">
        <w:rPr>
          <w:rFonts w:cs="Times New Roman"/>
          <w:szCs w:val="24"/>
        </w:rPr>
        <w:t>d</w:t>
      </w:r>
      <w:r w:rsidRPr="006F5452">
        <w:rPr>
          <w:rFonts w:cs="Times New Roman"/>
          <w:szCs w:val="24"/>
        </w:rPr>
        <w:t xml:space="preserve"> a non-parametric quantile-based technique. </w:t>
      </w:r>
      <w:r w:rsidRPr="006F5452">
        <w:rPr>
          <w:rFonts w:cs="Times New Roman"/>
          <w:szCs w:val="24"/>
        </w:rPr>
        <w:lastRenderedPageBreak/>
        <w:t xml:space="preserve">Furthermore, </w:t>
      </w:r>
      <w:r w:rsidRPr="006F5452">
        <w:rPr>
          <w:rFonts w:cs="Times New Roman"/>
          <w:szCs w:val="24"/>
        </w:rPr>
        <w:fldChar w:fldCharType="begin"/>
      </w:r>
      <w:r w:rsidRPr="006F5452">
        <w:rPr>
          <w:rFonts w:cs="Times New Roman"/>
          <w:szCs w:val="24"/>
        </w:rPr>
        <w:instrText xml:space="preserve"> ADDIN EN.CITE &lt;EndNote&gt;&lt;Cite AuthorYear="1"&gt;&lt;Author&gt;Cunado&lt;/Author&gt;&lt;Year&gt;2020&lt;/Year&gt;&lt;RecNum&gt;53&lt;/RecNum&gt;&lt;DisplayText&gt;Cunado et al. (2020)&lt;/DisplayText&gt;&lt;record&gt;&lt;rec-number&gt;53&lt;/rec-number&gt;&lt;foreign-keys&gt;&lt;key app="EN" db-id="azfxvt991df2r2ew2adxzdekws2tx55feewr" timestamp="1663930978"&gt;53&lt;/key&gt;&lt;/foreign-keys&gt;&lt;ref-type name="Journal Article"&gt;17&lt;/ref-type&gt;&lt;contributors&gt;&lt;authors&gt;&lt;author&gt;Cunado, Juncal&lt;/author&gt;&lt;author&gt;Gupta, Rangan&lt;/author&gt;&lt;author&gt;Lau, Chi Keung Marco&lt;/author&gt;&lt;author&gt;Sheng, Xin&lt;/author&gt;&lt;/authors&gt;&lt;/contributors&gt;&lt;titles&gt;&lt;title&gt;Time-varying impact of geopolitical risks on oil prices&lt;/title&gt;&lt;secondary-title&gt;Defence and Peace Economics&lt;/secondary-title&gt;&lt;/titles&gt;&lt;periodical&gt;&lt;full-title&gt;Defence and Peace Economics&lt;/full-title&gt;&lt;/periodical&gt;&lt;pages&gt;692-706&lt;/pages&gt;&lt;volume&gt;31&lt;/volume&gt;&lt;number&gt;6&lt;/number&gt;&lt;dates&gt;&lt;year&gt;2020&lt;/year&gt;&lt;/dates&gt;&lt;isbn&gt;1024-2694&lt;/isbn&gt;&lt;urls&gt;&lt;/urls&gt;&lt;/record&gt;&lt;/Cite&gt;&lt;/EndNote&gt;</w:instrText>
      </w:r>
      <w:r w:rsidRPr="006F5452">
        <w:rPr>
          <w:rFonts w:cs="Times New Roman"/>
          <w:szCs w:val="24"/>
        </w:rPr>
        <w:fldChar w:fldCharType="separate"/>
      </w:r>
      <w:r w:rsidRPr="006F5452">
        <w:rPr>
          <w:rFonts w:cs="Times New Roman"/>
          <w:noProof/>
          <w:szCs w:val="24"/>
        </w:rPr>
        <w:t>Cunado et al. (2020)</w:t>
      </w:r>
      <w:r w:rsidRPr="006F5452">
        <w:rPr>
          <w:rFonts w:cs="Times New Roman"/>
          <w:szCs w:val="24"/>
        </w:rPr>
        <w:fldChar w:fldCharType="end"/>
      </w:r>
      <w:r w:rsidRPr="006F5452">
        <w:rPr>
          <w:rFonts w:cs="Times New Roman"/>
          <w:szCs w:val="24"/>
        </w:rPr>
        <w:t xml:space="preserve"> demonstrate that geopolitical uncertainties have a negative influence on oil demand, which leads to oil price decrements.</w:t>
      </w:r>
    </w:p>
    <w:p w14:paraId="087F8955" w14:textId="77777777" w:rsidR="00DB0AA1" w:rsidRPr="006F5452" w:rsidRDefault="00DB0AA1" w:rsidP="00DB0AA1">
      <w:pPr>
        <w:ind w:firstLine="720"/>
        <w:jc w:val="both"/>
        <w:rPr>
          <w:rFonts w:cs="Times New Roman"/>
          <w:szCs w:val="24"/>
        </w:rPr>
      </w:pPr>
    </w:p>
    <w:p w14:paraId="597B05B6" w14:textId="34F2833C" w:rsidR="00AD4CB1" w:rsidRPr="006F5452" w:rsidRDefault="00AD4CB1" w:rsidP="00DB0AA1">
      <w:pPr>
        <w:ind w:firstLine="720"/>
        <w:jc w:val="both"/>
        <w:rPr>
          <w:rFonts w:cs="Times New Roman"/>
          <w:szCs w:val="24"/>
        </w:rPr>
      </w:pPr>
      <w:r w:rsidRPr="006F5452">
        <w:rPr>
          <w:rFonts w:cs="Times New Roman"/>
          <w:szCs w:val="24"/>
        </w:rPr>
        <w:t xml:space="preserve">Previous studies investigated the moderating effect of oil prices on the linkage between GPR and financial market prices. Particularly, research found that the effect of geopolitical uncertainties on stock market prices is mostly determined by forecasts of future supply and demand for oil </w:t>
      </w:r>
      <w:r w:rsidRPr="006F5452">
        <w:rPr>
          <w:rFonts w:cs="Times New Roman"/>
          <w:szCs w:val="24"/>
        </w:rPr>
        <w:fldChar w:fldCharType="begin">
          <w:fldData xml:space="preserve">PEVuZE5vdGU+PENpdGU+PEF1dGhvcj5EZW1pcmVyPC9BdXRob3I+PFllYXI+MjAxOTwvWWVhcj48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</w:fldData>
        </w:fldChar>
      </w:r>
      <w:r w:rsidRPr="006F5452">
        <w:rPr>
          <w:rFonts w:cs="Times New Roman"/>
          <w:szCs w:val="24"/>
        </w:rPr>
        <w:instrText xml:space="preserve"> ADDIN EN.CITE </w:instrText>
      </w:r>
      <w:r w:rsidRPr="006F5452">
        <w:rPr>
          <w:rFonts w:cs="Times New Roman"/>
          <w:szCs w:val="24"/>
        </w:rPr>
        <w:fldChar w:fldCharType="begin">
          <w:fldData xml:space="preserve">PEVuZE5vdGU+PENpdGU+PEF1dGhvcj5EZW1pcmVyPC9BdXRob3I+PFllYXI+MjAxOTwvWWVhcj48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</w:fldData>
        </w:fldChar>
      </w:r>
      <w:r w:rsidRPr="006F5452">
        <w:rPr>
          <w:rFonts w:cs="Times New Roman"/>
          <w:szCs w:val="24"/>
        </w:rPr>
        <w:instrText xml:space="preserve"> ADDIN EN.CITE.DATA </w:instrText>
      </w:r>
      <w:r w:rsidRPr="006F5452">
        <w:rPr>
          <w:rFonts w:cs="Times New Roman"/>
          <w:szCs w:val="24"/>
        </w:rPr>
      </w:r>
      <w:r w:rsidRPr="006F5452">
        <w:rPr>
          <w:rFonts w:cs="Times New Roman"/>
          <w:szCs w:val="24"/>
        </w:rPr>
        <w:fldChar w:fldCharType="end"/>
      </w:r>
      <w:r w:rsidRPr="006F5452">
        <w:rPr>
          <w:rFonts w:cs="Times New Roman"/>
          <w:szCs w:val="24"/>
        </w:rPr>
      </w:r>
      <w:r w:rsidRPr="006F5452">
        <w:rPr>
          <w:rFonts w:cs="Times New Roman"/>
          <w:szCs w:val="24"/>
        </w:rPr>
        <w:fldChar w:fldCharType="separate"/>
      </w:r>
      <w:r w:rsidRPr="006F5452">
        <w:rPr>
          <w:rFonts w:cs="Times New Roman"/>
          <w:noProof/>
          <w:szCs w:val="24"/>
        </w:rPr>
        <w:t>(Demirer et al., 2019; Liu et al., 2019; Peng et al., 2018)</w:t>
      </w:r>
      <w:r w:rsidRPr="006F5452">
        <w:rPr>
          <w:rFonts w:cs="Times New Roman"/>
          <w:szCs w:val="24"/>
        </w:rPr>
        <w:fldChar w:fldCharType="end"/>
      </w:r>
      <w:r w:rsidRPr="006F5452">
        <w:rPr>
          <w:rFonts w:cs="Times New Roman"/>
          <w:szCs w:val="24"/>
        </w:rPr>
        <w:t>.</w:t>
      </w:r>
      <w:r w:rsidR="003C7D67" w:rsidRPr="006F5452">
        <w:rPr>
          <w:rFonts w:cs="Times New Roman"/>
          <w:szCs w:val="24"/>
        </w:rPr>
        <w:t xml:space="preserve"> </w:t>
      </w:r>
      <w:r w:rsidRPr="006F5452">
        <w:rPr>
          <w:rFonts w:cs="Times New Roman"/>
          <w:szCs w:val="24"/>
        </w:rPr>
        <w:fldChar w:fldCharType="begin"/>
      </w:r>
      <w:r w:rsidRPr="006F5452">
        <w:rPr>
          <w:rFonts w:cs="Times New Roman"/>
          <w:szCs w:val="24"/>
        </w:rPr>
        <w:instrText xml:space="preserve"> ADDIN EN.CITE &lt;EndNote&gt;&lt;Cite AuthorYear="1"&gt;&lt;Author&gt;Lee&lt;/Author&gt;&lt;Year&gt;2021&lt;/Year&gt;&lt;RecNum&gt;64&lt;/RecNum&gt;&lt;DisplayText&gt;Lee et al. (2021)&lt;/DisplayText&gt;&lt;record&gt;&lt;rec-number&gt;64&lt;/rec-number&gt;&lt;foreign-keys&gt;&lt;key app="EN" db-id="azfxvt991df2r2ew2adxzdekws2tx55feewr" timestamp="1663931670"&gt;64&lt;/key&gt;&lt;/foreign-keys&gt;&lt;ref-type name="Journal Article"&gt;17&lt;/ref-type&gt;&lt;contributors&gt;&lt;authors&gt;&lt;author&gt;Lee, Chi-Chuan&lt;/author&gt;&lt;author&gt;Lee, Chien-Chiang&lt;/author&gt;&lt;author&gt;Li, Yong-Yi&lt;/author&gt;&lt;/authors&gt;&lt;/contributors&gt;&lt;titles&gt;&lt;title&gt;Oil price shocks, geopolitical risks, and green bond market dynamics&lt;/title&gt;&lt;secondary-title&gt;The North American Journal of Economics and Finance&lt;/secondary-title&gt;&lt;/titles&gt;&lt;periodical&gt;&lt;full-title&gt;The North American Journal of Economics and Finance&lt;/full-title&gt;&lt;/periodical&gt;&lt;pages&gt;101309&lt;/pages&gt;&lt;volume&gt;55&lt;/volume&gt;&lt;dates&gt;&lt;year&gt;2021&lt;/year&gt;&lt;/dates&gt;&lt;isbn&gt;1062-9408&lt;/isbn&gt;&lt;urls&gt;&lt;/urls&gt;&lt;/record&gt;&lt;/Cite&gt;&lt;/EndNote&gt;</w:instrText>
      </w:r>
      <w:r w:rsidRPr="006F5452">
        <w:rPr>
          <w:rFonts w:cs="Times New Roman"/>
          <w:szCs w:val="24"/>
        </w:rPr>
        <w:fldChar w:fldCharType="separate"/>
      </w:r>
      <w:r w:rsidRPr="006F5452">
        <w:rPr>
          <w:rFonts w:cs="Times New Roman"/>
          <w:noProof/>
          <w:szCs w:val="24"/>
        </w:rPr>
        <w:t>Lee et al. (2021)</w:t>
      </w:r>
      <w:r w:rsidRPr="006F5452">
        <w:rPr>
          <w:rFonts w:cs="Times New Roman"/>
          <w:szCs w:val="24"/>
        </w:rPr>
        <w:fldChar w:fldCharType="end"/>
      </w:r>
      <w:r w:rsidRPr="006F5452">
        <w:rPr>
          <w:rFonts w:cs="Times New Roman"/>
          <w:szCs w:val="24"/>
        </w:rPr>
        <w:t xml:space="preserve"> found that green bond</w:t>
      </w:r>
      <w:r w:rsidR="003C7D67" w:rsidRPr="006F5452">
        <w:rPr>
          <w:rFonts w:cs="Times New Roman"/>
          <w:szCs w:val="24"/>
        </w:rPr>
        <w:t>s</w:t>
      </w:r>
      <w:r w:rsidRPr="006F5452">
        <w:rPr>
          <w:rFonts w:cs="Times New Roman"/>
          <w:szCs w:val="24"/>
        </w:rPr>
        <w:t xml:space="preserve"> and oil prices have a mutual relationship, where any change in one price results in a change in the other’s price. Furthermore, their results highlight that the observed effect of the oil price is lesser in the upper quantile. Their study also suggests that geopolitical risk affects green bond prices. This could be explained by the fact that the risk sensitivity to geopolitical issues causes modifications in global uncertainty, which contributes to stock market volatility </w:t>
      </w:r>
      <w:r w:rsidRPr="006F5452">
        <w:rPr>
          <w:rFonts w:cs="Times New Roman"/>
          <w:szCs w:val="24"/>
        </w:rPr>
        <w:fldChar w:fldCharType="begin"/>
      </w:r>
      <w:r w:rsidRPr="006F5452">
        <w:rPr>
          <w:rFonts w:cs="Times New Roman"/>
          <w:szCs w:val="24"/>
        </w:rPr>
        <w:instrText xml:space="preserve"> ADDIN EN.CITE &lt;EndNote&gt;&lt;Cite&gt;&lt;Author&gt;Mensi&lt;/Author&gt;&lt;Year&gt;2016&lt;/Year&gt;&lt;RecNum&gt;65&lt;/RecNum&gt;&lt;DisplayText&gt;(Mensi et al., 2016)&lt;/DisplayText&gt;&lt;record&gt;&lt;rec-number&gt;65&lt;/rec-number&gt;&lt;foreign-keys&gt;&lt;key app="EN" db-id="azfxvt991df2r2ew2adxzdekws2tx55feewr" timestamp="1</w:instrText>
      </w:r>
      <w:r w:rsidRPr="006F5452">
        <w:rPr>
          <w:rFonts w:cs="Times New Roman" w:hint="eastAsia"/>
          <w:szCs w:val="24"/>
        </w:rPr>
        <w:instrText>663931709"&gt;65&lt;/key&gt;&lt;/foreign-keys&gt;&lt;ref-type name="Journal Article"&gt;17&lt;/ref-type&gt;&lt;contributors&gt;&lt;authors&gt;&lt;author&gt;Mensi, Walid&lt;/author&gt;&lt;author&gt;Hammoudeh, Shawkat&lt;/author&gt;&lt;author&gt;Yoon, Seong</w:instrText>
      </w:r>
      <w:r w:rsidRPr="006F5452">
        <w:rPr>
          <w:rFonts w:cs="Times New Roman" w:hint="eastAsia"/>
          <w:szCs w:val="24"/>
        </w:rPr>
        <w:instrText>‐</w:instrText>
      </w:r>
      <w:r w:rsidRPr="006F5452">
        <w:rPr>
          <w:rFonts w:cs="Times New Roman" w:hint="eastAsia"/>
          <w:szCs w:val="24"/>
        </w:rPr>
        <w:instrText>Min&lt;/author&gt;&lt;author&gt;Nguyen, Duc Khuong&lt;/author&gt;&lt;/authors&gt;&lt;/contribut</w:instrText>
      </w:r>
      <w:r w:rsidRPr="006F5452">
        <w:rPr>
          <w:rFonts w:cs="Times New Roman"/>
          <w:szCs w:val="24"/>
        </w:rPr>
        <w:instrText>ors&gt;&lt;titles&gt;&lt;title&gt;Asymmetric linkages between BRICS stock returns and country risk ratings: Evidence from dynamic panel threshold models&lt;/title&gt;&lt;secondary-title&gt;Review of International Economics&lt;/secondary-title&gt;&lt;/titles&gt;&lt;periodical&gt;&lt;full-title&gt;Review of International Economics&lt;/full-title&gt;&lt;/periodical&gt;&lt;pages&gt;1-19&lt;/pages&gt;&lt;volume&gt;24&lt;/volume&gt;&lt;number&gt;1&lt;/number&gt;&lt;dates&gt;&lt;year&gt;2016&lt;/year&gt;&lt;/dates&gt;&lt;isbn&gt;0965-7576&lt;/isbn&gt;&lt;urls&gt;&lt;/urls&gt;&lt;/record&gt;&lt;/Cite&gt;&lt;/EndNote&gt;</w:instrText>
      </w:r>
      <w:r w:rsidRPr="006F5452">
        <w:rPr>
          <w:rFonts w:cs="Times New Roman"/>
          <w:szCs w:val="24"/>
        </w:rPr>
        <w:fldChar w:fldCharType="separate"/>
      </w:r>
      <w:r w:rsidRPr="006F5452">
        <w:rPr>
          <w:rFonts w:cs="Times New Roman"/>
          <w:noProof/>
          <w:szCs w:val="24"/>
        </w:rPr>
        <w:t>(Mensi et al., 2016)</w:t>
      </w:r>
      <w:r w:rsidRPr="006F5452">
        <w:rPr>
          <w:rFonts w:cs="Times New Roman"/>
          <w:szCs w:val="24"/>
        </w:rPr>
        <w:fldChar w:fldCharType="end"/>
      </w:r>
      <w:r w:rsidRPr="006F5452">
        <w:rPr>
          <w:rFonts w:cs="Times New Roman"/>
          <w:szCs w:val="24"/>
        </w:rPr>
        <w:t xml:space="preserve">. </w:t>
      </w:r>
    </w:p>
    <w:p w14:paraId="58490ACD" w14:textId="77777777" w:rsidR="00DB0AA1" w:rsidRPr="006F5452" w:rsidRDefault="00DB0AA1" w:rsidP="00DB0AA1">
      <w:pPr>
        <w:ind w:firstLine="720"/>
        <w:jc w:val="both"/>
        <w:rPr>
          <w:rFonts w:cs="Times New Roman"/>
          <w:szCs w:val="24"/>
        </w:rPr>
      </w:pPr>
    </w:p>
    <w:p w14:paraId="5F96F0CE" w14:textId="2329DE45" w:rsidR="00AD4CB1" w:rsidRPr="006F5452" w:rsidRDefault="00AD4CB1" w:rsidP="00DB0AA1">
      <w:pPr>
        <w:ind w:firstLine="720"/>
        <w:jc w:val="both"/>
        <w:rPr>
          <w:rFonts w:cs="Times New Roman"/>
          <w:szCs w:val="24"/>
        </w:rPr>
      </w:pPr>
      <w:r w:rsidRPr="006F5452">
        <w:rPr>
          <w:rFonts w:cs="Times New Roman"/>
          <w:noProof/>
          <w:szCs w:val="24"/>
        </w:rPr>
        <w:t xml:space="preserve">The potential impact of geopolitical uncertainty on green bonds may be studied independently through three pathways. First, </w:t>
      </w:r>
      <w:r w:rsidR="003C7D67" w:rsidRPr="006F5452">
        <w:rPr>
          <w:rFonts w:cs="Times New Roman"/>
          <w:noProof/>
          <w:szCs w:val="24"/>
        </w:rPr>
        <w:t xml:space="preserve">the high geopolitical risk increases oil </w:t>
      </w:r>
      <w:r w:rsidRPr="006F5452">
        <w:rPr>
          <w:rFonts w:cs="Times New Roman"/>
          <w:noProof/>
          <w:szCs w:val="24"/>
        </w:rPr>
        <w:t>price</w:t>
      </w:r>
      <w:r w:rsidR="003C7D67" w:rsidRPr="006F5452">
        <w:rPr>
          <w:rFonts w:cs="Times New Roman"/>
          <w:noProof/>
          <w:szCs w:val="24"/>
        </w:rPr>
        <w:t>s</w:t>
      </w:r>
      <w:r w:rsidRPr="006F5452">
        <w:rPr>
          <w:rFonts w:cs="Times New Roman"/>
          <w:noProof/>
          <w:szCs w:val="24"/>
        </w:rPr>
        <w:t xml:space="preserve">, encourages the adoption of green sources, and strengthens the motivation to invest in sustainable projects </w:t>
      </w:r>
      <w:r w:rsidRPr="006F5452">
        <w:rPr>
          <w:rFonts w:cs="Times New Roman"/>
          <w:noProof/>
          <w:szCs w:val="24"/>
        </w:rPr>
        <w:fldChar w:fldCharType="begin"/>
      </w:r>
      <w:r w:rsidR="00E97657">
        <w:rPr>
          <w:rFonts w:cs="Times New Roman"/>
          <w:noProof/>
          <w:szCs w:val="24"/>
        </w:rPr>
        <w:instrText xml:space="preserve"> ADDIN EN.CITE &lt;EndNote&gt;&lt;Cite&gt;&lt;Author&gt;Marques&lt;/Author&gt;&lt;Year&gt;2018&lt;/Year&gt;&lt;RecNum&gt;66&lt;/RecNum&gt;&lt;DisplayText&gt;(Marques et al., 2018)&lt;/DisplayText&gt;&lt;record&gt;&lt;rec-number&gt;66&lt;/rec-number&gt;&lt;foreign-keys&gt;&lt;key app="EN" db-id="azfxvt991df2r2ew2adxzdekws2tx55feewr" timestamp="1663931739"&gt;66&lt;/key&gt;&lt;/foreign-keys&gt;&lt;ref-type name="Journal Article"&gt;17&lt;/ref-type&gt;&lt;contributors&gt;&lt;authors&gt;&lt;author&gt;Marques, António Cardoso&lt;/author&gt;&lt;author&gt;Fuinhas, José Alberto&lt;/author&gt;&lt;author&gt;Pereira, Diogo André&lt;/author&gt;&lt;/authors&gt;&lt;/contributors&gt;&lt;titles&gt;&lt;title&gt;Have fossil fuels been substituted by renewables? An empirical assessment for 10 European countries&lt;/title&gt;&lt;secondary-title&gt;Energy policy&lt;/secondary-title&gt;&lt;/titles&gt;&lt;periodical&gt;&lt;full-title&gt;Energy policy&lt;/full-title&gt;&lt;/periodical&gt;&lt;pages&gt;257-265&lt;/pages&gt;&lt;volume&gt;116&lt;/volume&gt;&lt;dates&gt;&lt;year&gt;2018&lt;/year&gt;&lt;/dates&gt;&lt;isbn&gt;0301-4215&lt;/isbn&gt;&lt;urls&gt;&lt;/urls&gt;&lt;/record&gt;&lt;/Cite&gt;&lt;/EndNote&gt;</w:instrText>
      </w:r>
      <w:r w:rsidRPr="006F5452">
        <w:rPr>
          <w:rFonts w:cs="Times New Roman"/>
          <w:noProof/>
          <w:szCs w:val="24"/>
        </w:rPr>
        <w:fldChar w:fldCharType="separate"/>
      </w:r>
      <w:r w:rsidR="00E97657">
        <w:rPr>
          <w:rFonts w:cs="Times New Roman"/>
          <w:noProof/>
          <w:szCs w:val="24"/>
        </w:rPr>
        <w:t>(Marques et al., 2018)</w:t>
      </w:r>
      <w:r w:rsidRPr="006F5452">
        <w:rPr>
          <w:rFonts w:cs="Times New Roman"/>
          <w:noProof/>
          <w:szCs w:val="24"/>
        </w:rPr>
        <w:fldChar w:fldCharType="end"/>
      </w:r>
      <w:r w:rsidRPr="006F5452">
        <w:rPr>
          <w:rFonts w:cs="Times New Roman"/>
          <w:noProof/>
          <w:szCs w:val="24"/>
        </w:rPr>
        <w:t>. Second, greater geopolitical risk motivates governments to advocate a faster switch to renewable energy, hence improving green sustainable investments return </w:t>
      </w:r>
      <w:r w:rsidRPr="006F5452">
        <w:rPr>
          <w:rFonts w:cs="Times New Roman"/>
          <w:noProof/>
          <w:szCs w:val="24"/>
        </w:rPr>
        <w:fldChar w:fldCharType="begin"/>
      </w:r>
      <w:r w:rsidR="00E97657">
        <w:rPr>
          <w:rFonts w:cs="Times New Roman"/>
          <w:noProof/>
          <w:szCs w:val="24"/>
        </w:rPr>
        <w:instrText xml:space="preserve"> ADDIN EN.CITE &lt;EndNote&gt;&lt;Cite&gt;&lt;Author&gt;Yang&lt;/Author&gt;&lt;Year&gt;2021&lt;/Year&gt;&lt;RecNum&gt;42&lt;/RecNum&gt;&lt;DisplayText&gt;(Yang &amp;amp; Yang, 2021)&lt;/DisplayText&gt;&lt;record&gt;&lt;rec-number&gt;42&lt;/rec-number&gt;&lt;foreign-keys&gt;&lt;key app="EN" db-id="azfxvt991df2r2ew2adxzdekws2tx55feewr" timestamp="1663928627"&gt;42&lt;/key&gt;&lt;/foreign-keys&gt;&lt;ref-type name="Journal Article"&gt;17&lt;/ref-type&gt;&lt;contributors&gt;&lt;authors&gt;&lt;author&gt;Yang, Jianlei&lt;/author&gt;&lt;author&gt;Yang, Chunpeng&lt;/author&gt;&lt;/authors&gt;&lt;/contributors&gt;&lt;titles&gt;&lt;title&gt;The impact of mixed-frequency geopolitical risk on stock market returns&lt;/title&gt;&lt;secondary-title&gt;Economic Analysis and Policy&lt;/secondary-title&gt;&lt;/titles&gt;&lt;periodical&gt;&lt;full-title&gt;Economic Analysis and Policy&lt;/full-title&gt;&lt;/periodical&gt;&lt;pages&gt;226-240&lt;/pages&gt;&lt;volume&gt;72&lt;/volume&gt;&lt;dates&gt;&lt;year&gt;2021&lt;/year&gt;&lt;/dates&gt;&lt;isbn&gt;0313-5926&lt;/isbn&gt;&lt;urls&gt;&lt;/urls&gt;&lt;/record&gt;&lt;/Cite&gt;&lt;/EndNote&gt;</w:instrText>
      </w:r>
      <w:r w:rsidRPr="006F5452">
        <w:rPr>
          <w:rFonts w:cs="Times New Roman"/>
          <w:noProof/>
          <w:szCs w:val="24"/>
        </w:rPr>
        <w:fldChar w:fldCharType="separate"/>
      </w:r>
      <w:r w:rsidR="00E97657">
        <w:rPr>
          <w:rFonts w:cs="Times New Roman"/>
          <w:noProof/>
          <w:szCs w:val="24"/>
        </w:rPr>
        <w:t>(Yang &amp; Yang, 2021)</w:t>
      </w:r>
      <w:r w:rsidRPr="006F5452">
        <w:rPr>
          <w:rFonts w:cs="Times New Roman"/>
          <w:noProof/>
          <w:szCs w:val="24"/>
        </w:rPr>
        <w:fldChar w:fldCharType="end"/>
      </w:r>
      <w:r w:rsidRPr="006F5452">
        <w:rPr>
          <w:rFonts w:cs="Times New Roman"/>
          <w:noProof/>
          <w:szCs w:val="24"/>
        </w:rPr>
        <w:t>.</w:t>
      </w:r>
      <w:r w:rsidR="003C7D67" w:rsidRPr="006F5452">
        <w:rPr>
          <w:rFonts w:cs="Times New Roman"/>
          <w:noProof/>
          <w:szCs w:val="24"/>
        </w:rPr>
        <w:t xml:space="preserve"> Third</w:t>
      </w:r>
      <w:r w:rsidRPr="006F5452">
        <w:rPr>
          <w:rFonts w:cs="Times New Roman"/>
          <w:noProof/>
          <w:szCs w:val="24"/>
        </w:rPr>
        <w:t xml:space="preserve">, growing geopolitical risk raises markets' uncertainties, which have a negative impact on the economic and financial settings, </w:t>
      </w:r>
      <w:r w:rsidR="003C7D67" w:rsidRPr="006F5452">
        <w:rPr>
          <w:rFonts w:cs="Times New Roman"/>
          <w:noProof/>
          <w:szCs w:val="24"/>
        </w:rPr>
        <w:t>in turn,</w:t>
      </w:r>
      <w:r w:rsidRPr="006F5452">
        <w:rPr>
          <w:rFonts w:cs="Times New Roman"/>
          <w:noProof/>
          <w:szCs w:val="24"/>
        </w:rPr>
        <w:t xml:space="preserve"> reducing stock market  performance. </w:t>
      </w:r>
      <w:r w:rsidRPr="006F5452">
        <w:rPr>
          <w:rFonts w:cs="Times New Roman"/>
          <w:szCs w:val="24"/>
        </w:rPr>
        <w:t xml:space="preserve"> </w:t>
      </w:r>
    </w:p>
    <w:p w14:paraId="67266C76" w14:textId="5DF2141B" w:rsidR="00012547" w:rsidRPr="006F5452" w:rsidRDefault="002E0FA6" w:rsidP="002A4B33">
      <w:pPr>
        <w:pStyle w:val="Heading1"/>
      </w:pPr>
      <w:r w:rsidRPr="006F5452">
        <w:t>3. Methods</w:t>
      </w:r>
    </w:p>
    <w:p w14:paraId="5D31F28B" w14:textId="4AA3CD04" w:rsidR="00FA7225" w:rsidRPr="006F5452" w:rsidRDefault="00B90E51" w:rsidP="00FA7225">
      <w:pPr>
        <w:ind w:firstLine="720"/>
        <w:jc w:val="both"/>
        <w:rPr>
          <w:lang w:val="en-GB"/>
        </w:rPr>
      </w:pPr>
      <w:r w:rsidRPr="006F5452">
        <w:rPr>
          <w:lang w:val="en-GB"/>
        </w:rPr>
        <w:t>We consider the NARDL model of Shin et al. (2014). The NARDL illustrates the magnitude of asymmetric responses of return in the response variable (</w:t>
      </w:r>
      <w:r w:rsidR="00F816D1" w:rsidRPr="006F5452">
        <w:rPr>
          <w:lang w:val="en-GB"/>
        </w:rPr>
        <w:t xml:space="preserve">green bond returns </w:t>
      </w:r>
      <w:r w:rsidRPr="006F5452">
        <w:rPr>
          <w:lang w:val="en-GB"/>
        </w:rPr>
        <w:t>(</w:t>
      </w:r>
      <w:r w:rsidR="00F816D1" w:rsidRPr="006F5452">
        <w:rPr>
          <w:lang w:val="en-GB"/>
        </w:rPr>
        <w:t>GB</w:t>
      </w:r>
      <w:r w:rsidRPr="006F5452">
        <w:rPr>
          <w:lang w:val="en-GB"/>
        </w:rPr>
        <w:t xml:space="preserve">)) </w:t>
      </w:r>
      <w:proofErr w:type="gramStart"/>
      <w:r w:rsidRPr="006F5452">
        <w:rPr>
          <w:lang w:val="en-GB"/>
        </w:rPr>
        <w:t>as a result of</w:t>
      </w:r>
      <w:proofErr w:type="gramEnd"/>
      <w:r w:rsidRPr="006F5452">
        <w:rPr>
          <w:lang w:val="en-GB"/>
        </w:rPr>
        <w:t xml:space="preserve"> changes</w:t>
      </w:r>
      <w:r w:rsidR="00F816D1" w:rsidRPr="006F5452">
        <w:rPr>
          <w:lang w:val="en-GB"/>
        </w:rPr>
        <w:t xml:space="preserve"> (increases and decreases)</w:t>
      </w:r>
      <w:r w:rsidRPr="006F5452">
        <w:rPr>
          <w:lang w:val="en-GB"/>
        </w:rPr>
        <w:t xml:space="preserve"> in the independent variables (climate policy uncertainty (CPU), geopolitical risk (GPR), and WTI oil prices (WTI)) </w:t>
      </w:r>
      <w:r w:rsidR="00F816D1" w:rsidRPr="006F5452">
        <w:rPr>
          <w:lang w:val="en-GB"/>
        </w:rPr>
        <w:t>in the short- and long-run</w:t>
      </w:r>
      <w:r w:rsidRPr="006F5452">
        <w:rPr>
          <w:lang w:val="en-GB"/>
        </w:rPr>
        <w:t xml:space="preserve">. </w:t>
      </w:r>
      <w:r w:rsidR="00F816D1" w:rsidRPr="00400ACB">
        <w:rPr>
          <w:color w:val="0000CC"/>
          <w:lang w:val="en-GB"/>
        </w:rPr>
        <w:t xml:space="preserve">The choice of the model is based on the nonlinearity and asymmetry characteristics of the data. Besides, </w:t>
      </w:r>
      <w:r w:rsidR="00400ACB" w:rsidRPr="00400ACB">
        <w:rPr>
          <w:color w:val="0000CC"/>
          <w:lang w:val="en-GB"/>
        </w:rPr>
        <w:t xml:space="preserve">the </w:t>
      </w:r>
      <w:r w:rsidRPr="00400ACB">
        <w:rPr>
          <w:color w:val="0000CC"/>
          <w:lang w:val="en-GB"/>
        </w:rPr>
        <w:t xml:space="preserve">NARDL model offers an advantage over other linear econometric methods because it can account for both short- and long-run asymmetries by </w:t>
      </w:r>
      <w:proofErr w:type="spellStart"/>
      <w:r w:rsidRPr="00400ACB">
        <w:rPr>
          <w:color w:val="0000CC"/>
          <w:lang w:val="en-GB"/>
        </w:rPr>
        <w:t>modeling</w:t>
      </w:r>
      <w:proofErr w:type="spellEnd"/>
      <w:r w:rsidRPr="00400ACB">
        <w:rPr>
          <w:color w:val="0000CC"/>
          <w:lang w:val="en-GB"/>
        </w:rPr>
        <w:t xml:space="preserve"> asymmetric cointegration (</w:t>
      </w:r>
      <w:proofErr w:type="spellStart"/>
      <w:r w:rsidR="003C7D67" w:rsidRPr="00400ACB">
        <w:rPr>
          <w:color w:val="0000CC"/>
          <w:lang w:val="en-GB"/>
        </w:rPr>
        <w:t>Mensi</w:t>
      </w:r>
      <w:proofErr w:type="spellEnd"/>
      <w:r w:rsidR="003C7D67" w:rsidRPr="00400ACB">
        <w:rPr>
          <w:color w:val="0000CC"/>
          <w:lang w:val="en-GB"/>
        </w:rPr>
        <w:t xml:space="preserve"> et al., 2016</w:t>
      </w:r>
      <w:r w:rsidR="00400ACB">
        <w:rPr>
          <w:color w:val="0000CC"/>
          <w:lang w:val="en-GB"/>
        </w:rPr>
        <w:t>;</w:t>
      </w:r>
      <w:r w:rsidR="00400ACB" w:rsidRPr="00400ACB">
        <w:rPr>
          <w:color w:val="0000CC"/>
          <w:lang w:val="en-GB"/>
        </w:rPr>
        <w:t xml:space="preserve"> Demir et al., 2021</w:t>
      </w:r>
      <w:r w:rsidRPr="00400ACB">
        <w:rPr>
          <w:color w:val="0000CC"/>
          <w:lang w:val="en-GB"/>
        </w:rPr>
        <w:t>).</w:t>
      </w:r>
      <w:r w:rsidR="00FA7225" w:rsidRPr="00400ACB">
        <w:rPr>
          <w:color w:val="0000CC"/>
          <w:lang w:val="en-GB"/>
        </w:rPr>
        <w:t xml:space="preserve"> </w:t>
      </w:r>
      <w:bookmarkStart w:id="4" w:name="_Hlk119479132"/>
      <w:r w:rsidR="004371E0" w:rsidRPr="004371E0">
        <w:rPr>
          <w:color w:val="0000CC"/>
          <w:lang w:val="en-GB"/>
        </w:rPr>
        <w:t xml:space="preserve">Also, </w:t>
      </w:r>
      <w:r w:rsidR="004371E0">
        <w:rPr>
          <w:color w:val="0000CC"/>
          <w:lang w:val="en-GB"/>
        </w:rPr>
        <w:t xml:space="preserve">the </w:t>
      </w:r>
      <w:r w:rsidR="004371E0" w:rsidRPr="004371E0">
        <w:rPr>
          <w:color w:val="0000CC"/>
          <w:lang w:val="en-GB"/>
        </w:rPr>
        <w:t xml:space="preserve">problem of multicollinearity is avoided by selecting </w:t>
      </w:r>
      <w:r w:rsidR="004371E0">
        <w:rPr>
          <w:color w:val="0000CC"/>
          <w:lang w:val="en-GB"/>
        </w:rPr>
        <w:t xml:space="preserve">the </w:t>
      </w:r>
      <w:r w:rsidR="004371E0" w:rsidRPr="004371E0">
        <w:rPr>
          <w:color w:val="0000CC"/>
          <w:lang w:val="en-GB"/>
        </w:rPr>
        <w:t>appropriate lag order for the included variables (Shin et al., 2014).</w:t>
      </w:r>
      <w:r w:rsidR="004371E0">
        <w:rPr>
          <w:color w:val="0000CC"/>
          <w:lang w:val="en-GB"/>
        </w:rPr>
        <w:t xml:space="preserve"> </w:t>
      </w:r>
      <w:bookmarkEnd w:id="4"/>
      <w:r w:rsidR="00352770">
        <w:rPr>
          <w:color w:val="0000CC"/>
          <w:lang w:val="en-GB"/>
        </w:rPr>
        <w:t xml:space="preserve">This method </w:t>
      </w:r>
      <w:r w:rsidR="00352770" w:rsidRPr="00352770">
        <w:rPr>
          <w:color w:val="0000CC"/>
          <w:lang w:val="en-GB"/>
        </w:rPr>
        <w:t xml:space="preserve">can catch the asymmetric short-run and long-run impact of </w:t>
      </w:r>
      <w:r w:rsidR="00352770" w:rsidRPr="00352770">
        <w:rPr>
          <w:color w:val="0000CC"/>
          <w:lang w:val="en-GB"/>
        </w:rPr>
        <w:lastRenderedPageBreak/>
        <w:t>each independent variable, on the dependent variable.</w:t>
      </w:r>
      <w:r w:rsidR="00352770">
        <w:rPr>
          <w:noProof/>
          <w:color w:val="0000CC"/>
        </w:rPr>
        <w:t xml:space="preserve"> </w:t>
      </w:r>
      <w:r w:rsidR="00352770" w:rsidRPr="00352770">
        <w:rPr>
          <w:noProof/>
          <w:color w:val="0000CC"/>
        </w:rPr>
        <w:t>(Li</w:t>
      </w:r>
      <w:r w:rsidR="00352770">
        <w:rPr>
          <w:noProof/>
          <w:color w:val="0000CC"/>
        </w:rPr>
        <w:t xml:space="preserve"> et al., </w:t>
      </w:r>
      <w:r w:rsidR="00352770" w:rsidRPr="00352770">
        <w:rPr>
          <w:noProof/>
          <w:color w:val="0000CC"/>
        </w:rPr>
        <w:t>2022)</w:t>
      </w:r>
      <w:r w:rsidR="00352770">
        <w:rPr>
          <w:noProof/>
          <w:color w:val="0000CC"/>
        </w:rPr>
        <w:t>.</w:t>
      </w:r>
      <w:r w:rsidR="00352770">
        <w:rPr>
          <w:color w:val="0000CC"/>
          <w:lang w:val="en-GB"/>
        </w:rPr>
        <w:t xml:space="preserve"> Besides,</w:t>
      </w:r>
      <w:r w:rsidR="00352770" w:rsidRPr="00352770">
        <w:t xml:space="preserve"> </w:t>
      </w:r>
      <w:r w:rsidR="00352770" w:rsidRPr="00352770">
        <w:rPr>
          <w:color w:val="0000CC"/>
          <w:lang w:val="en-GB"/>
        </w:rPr>
        <w:t xml:space="preserve">NARDL can </w:t>
      </w:r>
      <w:proofErr w:type="spellStart"/>
      <w:r w:rsidR="00352770" w:rsidRPr="00352770">
        <w:rPr>
          <w:color w:val="0000CC"/>
          <w:lang w:val="en-GB"/>
        </w:rPr>
        <w:t>analyze</w:t>
      </w:r>
      <w:proofErr w:type="spellEnd"/>
      <w:r w:rsidR="00352770" w:rsidRPr="00352770">
        <w:rPr>
          <w:color w:val="0000CC"/>
          <w:lang w:val="en-GB"/>
        </w:rPr>
        <w:t xml:space="preserve"> the presence of any asymmetry of non-stationary variables in a single equation. Most </w:t>
      </w:r>
      <w:r w:rsidR="00352770">
        <w:rPr>
          <w:color w:val="0000CC"/>
          <w:lang w:val="en-GB"/>
        </w:rPr>
        <w:t>price series are usually non-stationary; therefore, NARDL is found to be suitable for exploring and establishing the relationship between</w:t>
      </w:r>
      <w:r w:rsidR="00352770" w:rsidRPr="00352770">
        <w:rPr>
          <w:color w:val="0000CC"/>
          <w:lang w:val="en-GB"/>
        </w:rPr>
        <w:t xml:space="preserve"> </w:t>
      </w:r>
      <w:r w:rsidR="00352770">
        <w:rPr>
          <w:color w:val="0000CC"/>
          <w:lang w:val="en-GB"/>
        </w:rPr>
        <w:t>green bond prices and WTI oil prices</w:t>
      </w:r>
      <w:r w:rsidR="001E1473">
        <w:rPr>
          <w:noProof/>
          <w:color w:val="0000CC"/>
        </w:rPr>
        <w:t xml:space="preserve"> </w:t>
      </w:r>
      <w:r w:rsidR="001E1473" w:rsidRPr="001E1473">
        <w:rPr>
          <w:noProof/>
          <w:color w:val="0000CC"/>
        </w:rPr>
        <w:t>(Chattopadhyay &amp; Mitra, 2015)</w:t>
      </w:r>
      <w:r w:rsidR="00352770" w:rsidRPr="00352770">
        <w:rPr>
          <w:color w:val="0000CC"/>
          <w:lang w:val="en-GB"/>
        </w:rPr>
        <w:t>.</w:t>
      </w:r>
      <w:r w:rsidR="00352770">
        <w:rPr>
          <w:color w:val="0000CC"/>
          <w:lang w:val="en-GB"/>
        </w:rPr>
        <w:t xml:space="preserve"> </w:t>
      </w:r>
      <w:r w:rsidRPr="006F5452">
        <w:rPr>
          <w:lang w:val="en-GB"/>
        </w:rPr>
        <w:t>The technique has been applied to a variety of assets and markets</w:t>
      </w:r>
      <w:r w:rsidR="00FA7225" w:rsidRPr="006F5452">
        <w:rPr>
          <w:lang w:val="en-GB"/>
        </w:rPr>
        <w:t xml:space="preserve"> (see, </w:t>
      </w:r>
      <w:proofErr w:type="spellStart"/>
      <w:r w:rsidR="00FA7225" w:rsidRPr="006F5452">
        <w:rPr>
          <w:lang w:val="en-GB"/>
        </w:rPr>
        <w:t>Bouri</w:t>
      </w:r>
      <w:proofErr w:type="spellEnd"/>
      <w:r w:rsidR="00FA7225" w:rsidRPr="006F5452">
        <w:rPr>
          <w:lang w:val="en-GB"/>
        </w:rPr>
        <w:t xml:space="preserve"> et al., 2018; Demir et al., 202</w:t>
      </w:r>
      <w:r w:rsidR="006244AB" w:rsidRPr="006F5452">
        <w:rPr>
          <w:lang w:val="en-GB"/>
        </w:rPr>
        <w:t>1</w:t>
      </w:r>
      <w:r w:rsidR="00FA7225" w:rsidRPr="006F5452">
        <w:rPr>
          <w:lang w:val="en-GB"/>
        </w:rPr>
        <w:t xml:space="preserve">; </w:t>
      </w:r>
      <w:proofErr w:type="spellStart"/>
      <w:r w:rsidR="00FA7225" w:rsidRPr="006F5452">
        <w:rPr>
          <w:lang w:val="en-GB"/>
        </w:rPr>
        <w:t>Sahu</w:t>
      </w:r>
      <w:proofErr w:type="spellEnd"/>
      <w:r w:rsidR="00FA7225" w:rsidRPr="006F5452">
        <w:rPr>
          <w:lang w:val="en-GB"/>
        </w:rPr>
        <w:t xml:space="preserve"> et al., 2022; </w:t>
      </w:r>
      <w:proofErr w:type="spellStart"/>
      <w:r w:rsidR="00400ACB" w:rsidRPr="001E1473">
        <w:rPr>
          <w:lang w:val="en-GB"/>
        </w:rPr>
        <w:t>Sarker</w:t>
      </w:r>
      <w:proofErr w:type="spellEnd"/>
      <w:r w:rsidR="00400ACB" w:rsidRPr="001E1473">
        <w:rPr>
          <w:lang w:val="en-GB"/>
        </w:rPr>
        <w:t xml:space="preserve"> et al., 2022</w:t>
      </w:r>
      <w:r w:rsidR="001E1473">
        <w:rPr>
          <w:lang w:val="en-GB"/>
        </w:rPr>
        <w:t>;</w:t>
      </w:r>
      <w:r w:rsidR="001E1473" w:rsidRPr="001E1473">
        <w:rPr>
          <w:lang w:val="en-GB"/>
        </w:rPr>
        <w:t xml:space="preserve"> </w:t>
      </w:r>
      <w:r w:rsidR="001E1473" w:rsidRPr="006F5452">
        <w:rPr>
          <w:lang w:val="en-GB"/>
        </w:rPr>
        <w:t>Tian et al., 202</w:t>
      </w:r>
      <w:r w:rsidR="001E1473">
        <w:rPr>
          <w:lang w:val="en-GB"/>
        </w:rPr>
        <w:t>2</w:t>
      </w:r>
      <w:r w:rsidR="00400ACB" w:rsidRPr="00352770">
        <w:rPr>
          <w:noProof/>
          <w:color w:val="0000CC"/>
        </w:rPr>
        <w:t>)</w:t>
      </w:r>
      <w:r w:rsidR="00FA7225" w:rsidRPr="00352770">
        <w:rPr>
          <w:color w:val="0000CC"/>
          <w:lang w:val="en-GB"/>
        </w:rPr>
        <w:t xml:space="preserve"> </w:t>
      </w:r>
    </w:p>
    <w:p w14:paraId="6032A67F" w14:textId="1E3AA9F4" w:rsidR="00FA7225" w:rsidRPr="006F5452" w:rsidRDefault="00E86F02" w:rsidP="00FA7225">
      <w:pPr>
        <w:rPr>
          <w:lang w:val="en-GB"/>
        </w:rPr>
      </w:pPr>
      <w:r w:rsidRPr="006F5452">
        <w:rPr>
          <w:lang w:val="en-GB"/>
        </w:rPr>
        <w:t xml:space="preserve">Generally, the NARDL model is presented as follows in </w:t>
      </w:r>
      <w:r w:rsidR="000D16F5" w:rsidRPr="006F5452">
        <w:rPr>
          <w:lang w:val="en-GB"/>
        </w:rPr>
        <w:t xml:space="preserve">Equation </w:t>
      </w:r>
      <w:r w:rsidRPr="006F5452">
        <w:rPr>
          <w:lang w:val="en-GB"/>
        </w:rPr>
        <w:t>(1):</w:t>
      </w:r>
    </w:p>
    <w:p w14:paraId="122A3479" w14:textId="77777777" w:rsidR="00FA7225" w:rsidRPr="006F5452" w:rsidRDefault="00FA7225" w:rsidP="00FA7225">
      <w:pPr>
        <w:ind w:firstLine="432"/>
        <w:jc w:val="center"/>
        <w:rPr>
          <w:lang w:val="en-GB"/>
        </w:rPr>
      </w:pPr>
    </w:p>
    <w:p w14:paraId="782BD3BB" w14:textId="77777777" w:rsidR="00FA7225" w:rsidRPr="006F5452" w:rsidRDefault="00000000" w:rsidP="00FA7225">
      <w:pPr>
        <w:ind w:left="720"/>
        <w:jc w:val="center"/>
        <w:rPr>
          <w:rFonts w:eastAsiaTheme="minorEastAsia"/>
          <w:lang w:val="en-GB"/>
        </w:rPr>
      </w:p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t</m:t>
            </m:r>
          </m:sub>
        </m:sSub>
        <m:r>
          <w:rPr>
            <w:rFonts w:ascii="Cambria Math" w:hAnsi="Cambria Math"/>
            <w:lang w:val="en-GB"/>
          </w:rPr>
          <m:t xml:space="preserve">= </m:t>
        </m:r>
        <m:sSup>
          <m:sSupPr>
            <m:ctrlPr>
              <w:rPr>
                <w:rFonts w:ascii="Cambria Math" w:hAnsi="Cambria Math"/>
                <w:i/>
                <w:lang w:val="en-GB"/>
              </w:rPr>
            </m:ctrlPr>
          </m:sSupPr>
          <m:e>
            <m:r>
              <w:rPr>
                <w:rFonts w:ascii="Cambria Math" w:hAnsi="Cambria Math"/>
                <w:lang w:val="en-GB"/>
              </w:rPr>
              <m:t>β</m:t>
            </m:r>
          </m:e>
          <m:sup>
            <m:r>
              <w:rPr>
                <w:rFonts w:ascii="Cambria Math" w:hAnsi="Cambria Math"/>
                <w:lang w:val="en-GB"/>
              </w:rPr>
              <m:t>+</m:t>
            </m:r>
          </m:sup>
        </m:sSup>
        <m:sSubSup>
          <m:sSubSupPr>
            <m:ctrlPr>
              <w:rPr>
                <w:rFonts w:ascii="Cambria Math" w:hAnsi="Cambria Math"/>
                <w:i/>
                <w:lang w:val="en-GB"/>
              </w:rPr>
            </m:ctrlPr>
          </m:sSubSupPr>
          <m:e>
            <m:r>
              <w:rPr>
                <w:rFonts w:ascii="Cambria Math" w:hAnsi="Cambria Math"/>
                <w:lang w:val="en-GB"/>
              </w:rPr>
              <m:t>x</m:t>
            </m:r>
          </m:e>
          <m:sub>
            <m:r>
              <w:rPr>
                <w:rFonts w:ascii="Cambria Math" w:hAnsi="Cambria Math"/>
                <w:lang w:val="en-GB"/>
              </w:rPr>
              <m:t>t</m:t>
            </m:r>
          </m:sub>
          <m:sup>
            <m:r>
              <w:rPr>
                <w:rFonts w:ascii="Cambria Math" w:hAnsi="Cambria Math"/>
                <w:lang w:val="en-GB"/>
              </w:rPr>
              <m:t>+</m:t>
            </m:r>
          </m:sup>
        </m:sSubSup>
        <m:r>
          <w:rPr>
            <w:rFonts w:ascii="Cambria Math" w:hAnsi="Cambria Math"/>
            <w:lang w:val="en-GB"/>
          </w:rPr>
          <m:t>+</m:t>
        </m:r>
        <m:sSup>
          <m:sSupPr>
            <m:ctrlPr>
              <w:rPr>
                <w:rFonts w:ascii="Cambria Math" w:hAnsi="Cambria Math"/>
                <w:i/>
                <w:lang w:val="en-GB"/>
              </w:rPr>
            </m:ctrlPr>
          </m:sSupPr>
          <m:e>
            <m:r>
              <w:rPr>
                <w:rFonts w:ascii="Cambria Math" w:hAnsi="Cambria Math"/>
                <w:lang w:val="en-GB"/>
              </w:rPr>
              <m:t>β</m:t>
            </m:r>
          </m:e>
          <m:sup>
            <m:r>
              <w:rPr>
                <w:rFonts w:ascii="Cambria Math" w:hAnsi="Cambria Math"/>
                <w:lang w:val="en-GB"/>
              </w:rPr>
              <m:t>-</m:t>
            </m:r>
          </m:sup>
        </m:sSup>
        <m:sSubSup>
          <m:sSubSupPr>
            <m:ctrlPr>
              <w:rPr>
                <w:rFonts w:ascii="Cambria Math" w:hAnsi="Cambria Math"/>
                <w:i/>
                <w:lang w:val="en-GB"/>
              </w:rPr>
            </m:ctrlPr>
          </m:sSubSupPr>
          <m:e>
            <m:r>
              <w:rPr>
                <w:rFonts w:ascii="Cambria Math" w:hAnsi="Cambria Math"/>
                <w:lang w:val="en-GB"/>
              </w:rPr>
              <m:t>x</m:t>
            </m:r>
          </m:e>
          <m:sub>
            <m:r>
              <w:rPr>
                <w:rFonts w:ascii="Cambria Math" w:hAnsi="Cambria Math"/>
                <w:lang w:val="en-GB"/>
              </w:rPr>
              <m:t>t</m:t>
            </m:r>
          </m:sub>
          <m:sup>
            <m:r>
              <w:rPr>
                <w:rFonts w:ascii="Cambria Math" w:hAnsi="Cambria Math"/>
                <w:lang w:val="en-GB"/>
              </w:rPr>
              <m:t>-</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t</m:t>
            </m:r>
          </m:sub>
        </m:sSub>
      </m:oMath>
      <w:r w:rsidR="00FA7225" w:rsidRPr="006F5452">
        <w:rPr>
          <w:rFonts w:eastAsiaTheme="minorEastAsia"/>
          <w:lang w:val="en-GB"/>
        </w:rPr>
        <w:tab/>
      </w:r>
      <w:r w:rsidR="00FA7225" w:rsidRPr="006F5452">
        <w:rPr>
          <w:rFonts w:eastAsiaTheme="minorEastAsia"/>
          <w:lang w:val="en-GB"/>
        </w:rPr>
        <w:tab/>
      </w:r>
      <w:r w:rsidR="00FA7225" w:rsidRPr="006F5452">
        <w:rPr>
          <w:rFonts w:eastAsiaTheme="minorEastAsia"/>
          <w:lang w:val="en-GB"/>
        </w:rPr>
        <w:tab/>
        <w:t>(1)</w:t>
      </w:r>
    </w:p>
    <w:p w14:paraId="44669B9A" w14:textId="77777777" w:rsidR="00FA7225" w:rsidRPr="006F5452" w:rsidRDefault="00FA7225" w:rsidP="00FA7225">
      <w:pPr>
        <w:ind w:firstLine="432"/>
        <w:jc w:val="center"/>
        <w:rPr>
          <w:lang w:val="en-GB"/>
        </w:rPr>
      </w:pPr>
    </w:p>
    <w:p w14:paraId="2F6C47BA" w14:textId="08B1B0C4" w:rsidR="00FA7225" w:rsidRPr="006F5452" w:rsidRDefault="00FA7225" w:rsidP="00FA7225">
      <w:pPr>
        <w:rPr>
          <w:rFonts w:eastAsiaTheme="minorEastAsia" w:cs="Times New Roman"/>
          <w:lang w:val="en-GB"/>
        </w:rPr>
      </w:pPr>
      <w:r w:rsidRPr="006F5452">
        <w:rPr>
          <w:lang w:val="en-GB"/>
        </w:rPr>
        <w:t xml:space="preserve">where,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t</m:t>
            </m:r>
          </m:sub>
        </m:sSub>
      </m:oMath>
      <w:r w:rsidRPr="006F5452">
        <w:rPr>
          <w:rFonts w:eastAsiaTheme="minorEastAsia"/>
          <w:lang w:val="en-GB"/>
        </w:rPr>
        <w:t xml:space="preserve"> is an error term, </w:t>
      </w:r>
      <m:oMath>
        <m:sSup>
          <m:sSupPr>
            <m:ctrlPr>
              <w:rPr>
                <w:rFonts w:ascii="Cambria Math" w:hAnsi="Cambria Math"/>
                <w:i/>
                <w:lang w:val="en-GB"/>
              </w:rPr>
            </m:ctrlPr>
          </m:sSupPr>
          <m:e>
            <m:r>
              <w:rPr>
                <w:rFonts w:ascii="Cambria Math" w:hAnsi="Cambria Math"/>
                <w:lang w:val="en-GB"/>
              </w:rPr>
              <m:t>β</m:t>
            </m:r>
          </m:e>
          <m:sup>
            <m:r>
              <w:rPr>
                <w:rFonts w:ascii="Cambria Math" w:hAnsi="Cambria Math"/>
                <w:lang w:val="en-GB"/>
              </w:rPr>
              <m:t>+</m:t>
            </m:r>
          </m:sup>
        </m:sSup>
      </m:oMath>
      <w:r w:rsidRPr="006F5452">
        <w:rPr>
          <w:rFonts w:eastAsiaTheme="minorEastAsia"/>
          <w:lang w:val="en-GB"/>
        </w:rPr>
        <w:t>and</w:t>
      </w:r>
      <w:r w:rsidRPr="006F5452">
        <w:rPr>
          <w:rFonts w:ascii="Cambria Math" w:hAnsi="Cambria Math"/>
          <w:i/>
          <w:lang w:val="en-GB"/>
        </w:rPr>
        <w:t xml:space="preserve"> </w:t>
      </w:r>
      <m:oMath>
        <m:sSup>
          <m:sSupPr>
            <m:ctrlPr>
              <w:rPr>
                <w:rFonts w:ascii="Cambria Math" w:hAnsi="Cambria Math"/>
                <w:i/>
                <w:lang w:val="en-GB"/>
              </w:rPr>
            </m:ctrlPr>
          </m:sSupPr>
          <m:e>
            <m:r>
              <w:rPr>
                <w:rFonts w:ascii="Cambria Math" w:hAnsi="Cambria Math"/>
                <w:lang w:val="en-GB"/>
              </w:rPr>
              <m:t>β</m:t>
            </m:r>
          </m:e>
          <m:sup>
            <m:r>
              <w:rPr>
                <w:rFonts w:ascii="Cambria Math" w:hAnsi="Cambria Math"/>
                <w:lang w:val="en-GB"/>
              </w:rPr>
              <m:t>-</m:t>
            </m:r>
          </m:sup>
        </m:sSup>
      </m:oMath>
      <w:r w:rsidR="00544C2E" w:rsidRPr="006F5452">
        <w:rPr>
          <w:rFonts w:ascii="Cambria Math" w:eastAsiaTheme="minorEastAsia" w:hAnsi="Cambria Math"/>
          <w:i/>
          <w:lang w:val="en-GB"/>
        </w:rPr>
        <w:t xml:space="preserve"> </w:t>
      </w:r>
      <w:r w:rsidRPr="006F5452">
        <w:rPr>
          <w:rFonts w:eastAsiaTheme="minorEastAsia" w:cs="Times New Roman"/>
          <w:iCs/>
          <w:lang w:val="en-GB"/>
        </w:rPr>
        <w:t xml:space="preserve">are the asymmetric long-run parameters, and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t</m:t>
            </m:r>
          </m:sub>
        </m:sSub>
      </m:oMath>
      <w:r w:rsidRPr="006F5452">
        <w:rPr>
          <w:rFonts w:eastAsiaTheme="minorEastAsia" w:cs="Times New Roman"/>
          <w:lang w:val="en-GB"/>
        </w:rPr>
        <w:t xml:space="preserve"> is a vector of independent variables decomposed as</w:t>
      </w:r>
      <w:r w:rsidR="00871397" w:rsidRPr="006F5452">
        <w:rPr>
          <w:rFonts w:eastAsiaTheme="minorEastAsia" w:cs="Times New Roman"/>
          <w:lang w:val="en-GB"/>
        </w:rPr>
        <w:t xml:space="preserve"> in </w:t>
      </w:r>
      <w:r w:rsidR="000D16F5" w:rsidRPr="006F5452">
        <w:rPr>
          <w:lang w:val="en-GB"/>
        </w:rPr>
        <w:t>Equation</w:t>
      </w:r>
      <w:r w:rsidR="000D16F5" w:rsidRPr="006F5452">
        <w:rPr>
          <w:rFonts w:eastAsiaTheme="minorEastAsia" w:cs="Times New Roman"/>
          <w:lang w:val="en-GB"/>
        </w:rPr>
        <w:t xml:space="preserve"> </w:t>
      </w:r>
      <w:r w:rsidR="00871397" w:rsidRPr="006F5452">
        <w:rPr>
          <w:rFonts w:eastAsiaTheme="minorEastAsia" w:cs="Times New Roman"/>
          <w:lang w:val="en-GB"/>
        </w:rPr>
        <w:t>(2)</w:t>
      </w:r>
      <w:r w:rsidRPr="006F5452">
        <w:rPr>
          <w:rFonts w:eastAsiaTheme="minorEastAsia" w:cs="Times New Roman"/>
          <w:lang w:val="en-GB"/>
        </w:rPr>
        <w:t>:</w:t>
      </w:r>
    </w:p>
    <w:p w14:paraId="680869CF" w14:textId="77777777" w:rsidR="00FA7225" w:rsidRPr="006F5452" w:rsidRDefault="00FA7225" w:rsidP="00FA7225">
      <w:pPr>
        <w:ind w:firstLine="432"/>
        <w:rPr>
          <w:rFonts w:eastAsiaTheme="minorEastAsia" w:cs="Times New Roman"/>
          <w:lang w:val="en-GB"/>
        </w:rPr>
      </w:pPr>
    </w:p>
    <w:p w14:paraId="25D00FBB" w14:textId="77777777" w:rsidR="00FA7225" w:rsidRPr="006F5452" w:rsidRDefault="00000000" w:rsidP="00FA7225">
      <w:pPr>
        <w:ind w:left="720"/>
        <w:jc w:val="center"/>
        <w:rPr>
          <w:rFonts w:eastAsiaTheme="minorEastAsia"/>
          <w:lang w:val="en-GB"/>
        </w:rPr>
      </w:pP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t</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0</m:t>
            </m:r>
          </m:sub>
        </m:sSub>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x</m:t>
            </m:r>
          </m:e>
          <m:sub>
            <m:r>
              <w:rPr>
                <w:rFonts w:ascii="Cambria Math" w:hAnsi="Cambria Math"/>
                <w:lang w:val="en-GB"/>
              </w:rPr>
              <m:t>t</m:t>
            </m:r>
          </m:sub>
          <m:sup>
            <m:r>
              <w:rPr>
                <w:rFonts w:ascii="Cambria Math" w:hAnsi="Cambria Math"/>
                <w:lang w:val="en-GB"/>
              </w:rPr>
              <m:t>+</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x</m:t>
            </m:r>
          </m:e>
          <m:sub>
            <m:r>
              <w:rPr>
                <w:rFonts w:ascii="Cambria Math" w:hAnsi="Cambria Math"/>
                <w:lang w:val="en-GB"/>
              </w:rPr>
              <m:t>t</m:t>
            </m:r>
          </m:sub>
          <m:sup>
            <m:r>
              <w:rPr>
                <w:rFonts w:ascii="Cambria Math" w:hAnsi="Cambria Math"/>
                <w:lang w:val="en-GB"/>
              </w:rPr>
              <m:t>-</m:t>
            </m:r>
          </m:sup>
        </m:sSubSup>
      </m:oMath>
      <w:r w:rsidR="00FA7225" w:rsidRPr="006F5452">
        <w:rPr>
          <w:rFonts w:eastAsiaTheme="minorEastAsia"/>
          <w:lang w:val="en-GB"/>
        </w:rPr>
        <w:tab/>
      </w:r>
      <w:r w:rsidR="00FA7225" w:rsidRPr="006F5452">
        <w:rPr>
          <w:rFonts w:eastAsiaTheme="minorEastAsia"/>
          <w:lang w:val="en-GB"/>
        </w:rPr>
        <w:tab/>
      </w:r>
      <w:r w:rsidR="00FA7225" w:rsidRPr="006F5452">
        <w:rPr>
          <w:rFonts w:eastAsiaTheme="minorEastAsia"/>
          <w:lang w:val="en-GB"/>
        </w:rPr>
        <w:tab/>
      </w:r>
      <w:r w:rsidR="00FA7225" w:rsidRPr="006F5452">
        <w:rPr>
          <w:rFonts w:eastAsiaTheme="minorEastAsia"/>
          <w:lang w:val="en-GB"/>
        </w:rPr>
        <w:tab/>
        <w:t>(2)</w:t>
      </w:r>
    </w:p>
    <w:p w14:paraId="39F83121" w14:textId="77777777" w:rsidR="00FA7225" w:rsidRPr="006F5452" w:rsidRDefault="00FA7225" w:rsidP="00FA7225">
      <w:pPr>
        <w:ind w:firstLine="432"/>
        <w:jc w:val="center"/>
        <w:rPr>
          <w:rFonts w:eastAsiaTheme="minorEastAsia"/>
          <w:lang w:val="en-GB"/>
        </w:rPr>
      </w:pPr>
    </w:p>
    <w:p w14:paraId="0181A1AC" w14:textId="5F10F682" w:rsidR="00FA7225" w:rsidRPr="006F5452" w:rsidRDefault="00FA7225" w:rsidP="00FA7225">
      <w:pPr>
        <w:rPr>
          <w:rFonts w:eastAsiaTheme="minorEastAsia"/>
          <w:lang w:val="en-GB"/>
        </w:rPr>
      </w:pPr>
      <w:r w:rsidRPr="006F5452">
        <w:rPr>
          <w:rFonts w:eastAsiaTheme="minorEastAsia"/>
          <w:lang w:val="en-GB"/>
        </w:rPr>
        <w:t xml:space="preserve">where,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0</m:t>
            </m:r>
          </m:sub>
        </m:sSub>
      </m:oMath>
      <w:r w:rsidRPr="006F5452">
        <w:rPr>
          <w:rFonts w:eastAsiaTheme="minorEastAsia"/>
          <w:lang w:val="en-GB"/>
        </w:rPr>
        <w:t xml:space="preserve"> is an initial value, </w:t>
      </w:r>
      <m:oMath>
        <m:sSubSup>
          <m:sSubSupPr>
            <m:ctrlPr>
              <w:rPr>
                <w:rFonts w:ascii="Cambria Math" w:hAnsi="Cambria Math"/>
                <w:i/>
                <w:lang w:val="en-GB"/>
              </w:rPr>
            </m:ctrlPr>
          </m:sSubSupPr>
          <m:e>
            <m:r>
              <w:rPr>
                <w:rFonts w:ascii="Cambria Math" w:hAnsi="Cambria Math"/>
                <w:lang w:val="en-GB"/>
              </w:rPr>
              <m:t>x</m:t>
            </m:r>
          </m:e>
          <m:sub>
            <m:r>
              <w:rPr>
                <w:rFonts w:ascii="Cambria Math" w:hAnsi="Cambria Math"/>
                <w:lang w:val="en-GB"/>
              </w:rPr>
              <m:t>t</m:t>
            </m:r>
          </m:sub>
          <m:sup>
            <m:r>
              <w:rPr>
                <w:rFonts w:ascii="Cambria Math" w:hAnsi="Cambria Math"/>
                <w:lang w:val="en-GB"/>
              </w:rPr>
              <m:t>+</m:t>
            </m:r>
          </m:sup>
        </m:sSubSup>
      </m:oMath>
      <w:r w:rsidRPr="006F5452">
        <w:rPr>
          <w:rFonts w:eastAsiaTheme="minorEastAsia"/>
          <w:lang w:val="en-GB"/>
        </w:rPr>
        <w:t xml:space="preserve"> and </w:t>
      </w:r>
      <m:oMath>
        <m:sSubSup>
          <m:sSubSupPr>
            <m:ctrlPr>
              <w:rPr>
                <w:rFonts w:ascii="Cambria Math" w:hAnsi="Cambria Math"/>
                <w:i/>
                <w:lang w:val="en-GB"/>
              </w:rPr>
            </m:ctrlPr>
          </m:sSubSupPr>
          <m:e>
            <m:r>
              <w:rPr>
                <w:rFonts w:ascii="Cambria Math" w:hAnsi="Cambria Math"/>
                <w:lang w:val="en-GB"/>
              </w:rPr>
              <m:t>x</m:t>
            </m:r>
          </m:e>
          <m:sub>
            <m:r>
              <w:rPr>
                <w:rFonts w:ascii="Cambria Math" w:hAnsi="Cambria Math"/>
                <w:lang w:val="en-GB"/>
              </w:rPr>
              <m:t>t</m:t>
            </m:r>
          </m:sub>
          <m:sup>
            <m:r>
              <w:rPr>
                <w:rFonts w:ascii="Cambria Math" w:hAnsi="Cambria Math"/>
                <w:lang w:val="en-GB"/>
              </w:rPr>
              <m:t>-</m:t>
            </m:r>
          </m:sup>
        </m:sSubSup>
      </m:oMath>
      <w:r w:rsidRPr="006F5452">
        <w:rPr>
          <w:rFonts w:eastAsiaTheme="minorEastAsia"/>
          <w:lang w:val="en-GB"/>
        </w:rPr>
        <w:t xml:space="preserve"> are partial sum processes </w:t>
      </w:r>
      <w:r w:rsidR="00E86F02" w:rsidRPr="006F5452">
        <w:rPr>
          <w:rFonts w:eastAsiaTheme="minorEastAsia"/>
          <w:lang w:val="en-GB"/>
        </w:rPr>
        <w:t xml:space="preserve">corresponding to </w:t>
      </w:r>
      <w:r w:rsidRPr="006F5452">
        <w:rPr>
          <w:rFonts w:eastAsiaTheme="minorEastAsia"/>
          <w:lang w:val="en-GB"/>
        </w:rPr>
        <w:t xml:space="preserve">positive and negative changes in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t</m:t>
            </m:r>
          </m:sub>
        </m:sSub>
      </m:oMath>
      <w:r w:rsidR="000D16F5" w:rsidRPr="006F5452">
        <w:rPr>
          <w:rFonts w:eastAsiaTheme="minorEastAsia"/>
          <w:lang w:val="en-GB"/>
        </w:rPr>
        <w:t xml:space="preserve">, as shown </w:t>
      </w:r>
      <w:r w:rsidR="00D61573" w:rsidRPr="006F5452">
        <w:rPr>
          <w:rFonts w:eastAsiaTheme="minorEastAsia"/>
          <w:lang w:val="en-GB"/>
        </w:rPr>
        <w:t xml:space="preserve">for EPU </w:t>
      </w:r>
      <w:r w:rsidR="000D16F5" w:rsidRPr="006F5452">
        <w:rPr>
          <w:rFonts w:eastAsiaTheme="minorEastAsia"/>
          <w:lang w:val="en-GB"/>
        </w:rPr>
        <w:t xml:space="preserve">in </w:t>
      </w:r>
      <w:r w:rsidR="000D16F5" w:rsidRPr="006F5452">
        <w:rPr>
          <w:lang w:val="en-GB"/>
        </w:rPr>
        <w:t>Equations</w:t>
      </w:r>
      <w:r w:rsidR="000D16F5" w:rsidRPr="006F5452">
        <w:rPr>
          <w:rFonts w:eastAsiaTheme="minorEastAsia"/>
          <w:lang w:val="en-GB"/>
        </w:rPr>
        <w:t xml:space="preserve"> (3) and (4).</w:t>
      </w:r>
    </w:p>
    <w:p w14:paraId="6523FF6D" w14:textId="531B75E4" w:rsidR="00FA7225" w:rsidRPr="006F5452" w:rsidRDefault="00000000" w:rsidP="00FA7225">
      <w:pPr>
        <w:rPr>
          <w:rFonts w:eastAsiaTheme="minorEastAsia"/>
          <w:lang w:val="en-GB"/>
        </w:rPr>
      </w:pPr>
      <m:oMathPara>
        <m:oMathParaPr>
          <m:jc m:val="center"/>
        </m:oMathParaPr>
        <m:oMath>
          <m:sSubSup>
            <m:sSubSupPr>
              <m:ctrlPr>
                <w:rPr>
                  <w:rFonts w:ascii="Cambria Math" w:eastAsiaTheme="minorEastAsia" w:hAnsi="Cambria Math" w:cstheme="majorHAnsi"/>
                  <w:i/>
                  <w:lang w:val="en-GB"/>
                </w:rPr>
              </m:ctrlPr>
            </m:sSubSupPr>
            <m:e>
              <m:r>
                <w:rPr>
                  <w:rFonts w:ascii="Cambria Math" w:eastAsiaTheme="minorEastAsia" w:hAnsi="Cambria Math" w:cstheme="majorHAnsi"/>
                  <w:lang w:val="en-GB"/>
                </w:rPr>
                <m:t>EPU</m:t>
              </m:r>
            </m:e>
            <m:sub>
              <m:r>
                <w:rPr>
                  <w:rFonts w:ascii="Cambria Math" w:eastAsiaTheme="minorEastAsia" w:hAnsi="Cambria Math" w:cstheme="majorHAnsi"/>
                  <w:lang w:val="en-GB"/>
                </w:rPr>
                <m:t>t</m:t>
              </m:r>
            </m:sub>
            <m:sup>
              <m:r>
                <w:rPr>
                  <w:rFonts w:ascii="Cambria Math" w:eastAsiaTheme="minorEastAsia" w:hAnsi="Cambria Math" w:cstheme="majorHAnsi"/>
                  <w:lang w:val="en-GB"/>
                </w:rPr>
                <m:t>+</m:t>
              </m:r>
            </m:sup>
          </m:sSubSup>
          <m:r>
            <w:rPr>
              <w:rFonts w:ascii="Cambria Math" w:eastAsiaTheme="minorEastAsia" w:hAnsi="Cambria Math" w:cstheme="majorHAnsi"/>
              <w:lang w:val="en-GB"/>
            </w:rPr>
            <m:t>=</m:t>
          </m:r>
          <m:nary>
            <m:naryPr>
              <m:chr m:val="∑"/>
              <m:limLoc m:val="undOvr"/>
              <m:ctrlPr>
                <w:rPr>
                  <w:rFonts w:ascii="Cambria Math" w:eastAsiaTheme="minorEastAsia" w:hAnsi="Cambria Math" w:cstheme="majorHAnsi"/>
                  <w:i/>
                  <w:lang w:val="en-GB"/>
                </w:rPr>
              </m:ctrlPr>
            </m:naryPr>
            <m:sub>
              <m:r>
                <w:rPr>
                  <w:rFonts w:ascii="Cambria Math" w:eastAsiaTheme="minorEastAsia" w:hAnsi="Cambria Math" w:cstheme="majorHAnsi"/>
                  <w:lang w:val="en-GB"/>
                </w:rPr>
                <m:t>j=1</m:t>
              </m:r>
            </m:sub>
            <m:sup>
              <m:r>
                <w:rPr>
                  <w:rFonts w:ascii="Cambria Math" w:eastAsiaTheme="minorEastAsia" w:hAnsi="Cambria Math" w:cstheme="majorHAnsi"/>
                  <w:lang w:val="en-GB"/>
                </w:rPr>
                <m:t>t</m:t>
              </m:r>
            </m:sup>
            <m:e>
              <m:r>
                <w:rPr>
                  <w:rFonts w:ascii="Cambria Math" w:eastAsiaTheme="minorEastAsia" w:hAnsi="Cambria Math" w:cstheme="majorHAnsi"/>
                  <w:lang w:val="en-GB"/>
                </w:rPr>
                <m:t>∆</m:t>
              </m:r>
              <m:sSubSup>
                <m:sSubSupPr>
                  <m:ctrlPr>
                    <w:rPr>
                      <w:rFonts w:ascii="Cambria Math" w:eastAsiaTheme="minorEastAsia" w:hAnsi="Cambria Math" w:cstheme="majorHAnsi"/>
                      <w:i/>
                      <w:lang w:val="en-GB"/>
                    </w:rPr>
                  </m:ctrlPr>
                </m:sSubSupPr>
                <m:e>
                  <m:r>
                    <w:rPr>
                      <w:rFonts w:ascii="Cambria Math" w:eastAsiaTheme="minorEastAsia" w:hAnsi="Cambria Math" w:cstheme="majorHAnsi"/>
                      <w:lang w:val="en-GB"/>
                    </w:rPr>
                    <m:t>EPU</m:t>
                  </m:r>
                </m:e>
                <m:sub>
                  <m:r>
                    <w:rPr>
                      <w:rFonts w:ascii="Cambria Math" w:eastAsiaTheme="minorEastAsia" w:hAnsi="Cambria Math" w:cstheme="majorHAnsi"/>
                      <w:lang w:val="en-GB"/>
                    </w:rPr>
                    <m:t>j</m:t>
                  </m:r>
                </m:sub>
                <m:sup>
                  <m:r>
                    <w:rPr>
                      <w:rFonts w:ascii="Cambria Math" w:eastAsiaTheme="minorEastAsia" w:hAnsi="Cambria Math" w:cstheme="majorHAnsi"/>
                      <w:lang w:val="en-GB"/>
                    </w:rPr>
                    <m:t>+</m:t>
                  </m:r>
                </m:sup>
              </m:sSubSup>
            </m:e>
          </m:nary>
          <m:r>
            <w:rPr>
              <w:rFonts w:ascii="Cambria Math" w:eastAsiaTheme="minorEastAsia" w:hAnsi="Cambria Math" w:cstheme="majorHAnsi"/>
              <w:lang w:val="en-GB"/>
            </w:rPr>
            <m:t>=</m:t>
          </m:r>
          <m:nary>
            <m:naryPr>
              <m:chr m:val="∑"/>
              <m:limLoc m:val="undOvr"/>
              <m:ctrlPr>
                <w:rPr>
                  <w:rFonts w:ascii="Cambria Math" w:eastAsiaTheme="minorEastAsia" w:hAnsi="Cambria Math" w:cstheme="majorHAnsi"/>
                  <w:i/>
                  <w:lang w:val="en-GB"/>
                </w:rPr>
              </m:ctrlPr>
            </m:naryPr>
            <m:sub>
              <m:r>
                <w:rPr>
                  <w:rFonts w:ascii="Cambria Math" w:eastAsiaTheme="minorEastAsia" w:hAnsi="Cambria Math" w:cstheme="majorHAnsi"/>
                  <w:lang w:val="en-GB"/>
                </w:rPr>
                <m:t>j=1</m:t>
              </m:r>
            </m:sub>
            <m:sup>
              <m:r>
                <w:rPr>
                  <w:rFonts w:ascii="Cambria Math" w:eastAsiaTheme="minorEastAsia" w:hAnsi="Cambria Math" w:cstheme="majorHAnsi"/>
                  <w:lang w:val="en-GB"/>
                </w:rPr>
                <m:t>t</m:t>
              </m:r>
            </m:sup>
            <m:e>
              <m:func>
                <m:funcPr>
                  <m:ctrlPr>
                    <w:rPr>
                      <w:rFonts w:ascii="Cambria Math" w:eastAsiaTheme="minorEastAsia" w:hAnsi="Cambria Math" w:cstheme="majorHAnsi"/>
                      <w:i/>
                      <w:lang w:val="en-GB"/>
                    </w:rPr>
                  </m:ctrlPr>
                </m:funcPr>
                <m:fName>
                  <m:r>
                    <m:rPr>
                      <m:sty m:val="p"/>
                    </m:rPr>
                    <w:rPr>
                      <w:rFonts w:ascii="Cambria Math" w:eastAsiaTheme="minorEastAsia" w:hAnsi="Cambria Math" w:cstheme="majorHAnsi"/>
                      <w:lang w:val="en-GB"/>
                    </w:rPr>
                    <m:t>max</m:t>
                  </m:r>
                </m:fName>
                <m:e>
                  <m:d>
                    <m:dPr>
                      <m:ctrlPr>
                        <w:rPr>
                          <w:rFonts w:ascii="Cambria Math" w:eastAsiaTheme="minorEastAsia" w:hAnsi="Cambria Math" w:cstheme="majorHAnsi"/>
                          <w:i/>
                          <w:lang w:val="en-GB"/>
                        </w:rPr>
                      </m:ctrlPr>
                    </m:dPr>
                    <m:e>
                      <m:r>
                        <w:rPr>
                          <w:rFonts w:ascii="Cambria Math" w:eastAsiaTheme="minorEastAsia" w:hAnsi="Cambria Math" w:cstheme="majorHAnsi"/>
                          <w:lang w:val="en-GB"/>
                        </w:rPr>
                        <m:t>∆</m:t>
                      </m:r>
                      <m:sSub>
                        <m:sSubPr>
                          <m:ctrlPr>
                            <w:rPr>
                              <w:rFonts w:ascii="Cambria Math" w:eastAsiaTheme="minorEastAsia" w:hAnsi="Cambria Math" w:cstheme="majorHAnsi"/>
                              <w:i/>
                              <w:lang w:val="en-GB"/>
                            </w:rPr>
                          </m:ctrlPr>
                        </m:sSubPr>
                        <m:e>
                          <m:r>
                            <w:rPr>
                              <w:rFonts w:ascii="Cambria Math" w:eastAsiaTheme="minorEastAsia" w:hAnsi="Cambria Math" w:cstheme="majorHAnsi"/>
                              <w:lang w:val="en-GB"/>
                            </w:rPr>
                            <m:t>EPU</m:t>
                          </m:r>
                        </m:e>
                        <m:sub>
                          <m:r>
                            <w:rPr>
                              <w:rFonts w:ascii="Cambria Math" w:eastAsiaTheme="minorEastAsia" w:hAnsi="Cambria Math" w:cstheme="majorHAnsi"/>
                              <w:lang w:val="en-GB"/>
                            </w:rPr>
                            <m:t>j</m:t>
                          </m:r>
                        </m:sub>
                      </m:sSub>
                      <m:r>
                        <w:rPr>
                          <w:rFonts w:ascii="Cambria Math" w:eastAsiaTheme="minorEastAsia" w:hAnsi="Cambria Math" w:cstheme="majorHAnsi"/>
                          <w:lang w:val="en-GB"/>
                        </w:rPr>
                        <m:t>,0</m:t>
                      </m:r>
                    </m:e>
                  </m:d>
                </m:e>
              </m:func>
              <m:r>
                <w:rPr>
                  <w:rFonts w:ascii="Cambria Math" w:eastAsiaTheme="minorEastAsia" w:hAnsi="Cambria Math" w:cstheme="majorHAnsi"/>
                  <w:lang w:val="en-GB"/>
                </w:rPr>
                <m:t xml:space="preserve">                          (3)</m:t>
              </m:r>
            </m:e>
          </m:nary>
        </m:oMath>
      </m:oMathPara>
    </w:p>
    <w:p w14:paraId="310ADE6D" w14:textId="77777777" w:rsidR="00FA7225" w:rsidRPr="006F5452" w:rsidRDefault="00FA7225" w:rsidP="00FA7225">
      <w:pPr>
        <w:rPr>
          <w:rFonts w:eastAsiaTheme="minorEastAsia"/>
          <w:lang w:val="en-GB"/>
        </w:rPr>
      </w:pPr>
      <w:r w:rsidRPr="006F5452">
        <w:rPr>
          <w:rFonts w:eastAsiaTheme="minorEastAsia"/>
          <w:lang w:val="en-GB"/>
        </w:rPr>
        <w:tab/>
      </w:r>
      <w:r w:rsidRPr="006F5452">
        <w:rPr>
          <w:rFonts w:eastAsiaTheme="minorEastAsia"/>
          <w:lang w:val="en-GB"/>
        </w:rPr>
        <w:tab/>
      </w:r>
      <w:r w:rsidRPr="006F5452">
        <w:rPr>
          <w:rFonts w:eastAsiaTheme="minorEastAsia"/>
          <w:lang w:val="en-GB"/>
        </w:rPr>
        <w:tab/>
      </w:r>
      <w:r w:rsidRPr="006F5452">
        <w:rPr>
          <w:rFonts w:eastAsiaTheme="minorEastAsia"/>
          <w:lang w:val="en-GB"/>
        </w:rPr>
        <w:tab/>
      </w:r>
      <w:r w:rsidRPr="006F5452">
        <w:rPr>
          <w:rFonts w:eastAsiaTheme="minorEastAsia"/>
          <w:lang w:val="en-GB"/>
        </w:rPr>
        <w:tab/>
      </w:r>
      <w:r w:rsidRPr="006F5452">
        <w:rPr>
          <w:rFonts w:eastAsiaTheme="minorEastAsia"/>
          <w:lang w:val="en-GB"/>
        </w:rPr>
        <w:tab/>
      </w:r>
      <w:r w:rsidRPr="006F5452">
        <w:rPr>
          <w:rFonts w:eastAsiaTheme="minorEastAsia"/>
          <w:lang w:val="en-GB"/>
        </w:rPr>
        <w:tab/>
      </w:r>
      <w:r w:rsidRPr="006F5452">
        <w:rPr>
          <w:rFonts w:eastAsiaTheme="minorEastAsia"/>
          <w:lang w:val="en-GB"/>
        </w:rPr>
        <w:tab/>
      </w:r>
      <w:r w:rsidRPr="006F5452">
        <w:rPr>
          <w:rFonts w:eastAsiaTheme="minorEastAsia"/>
          <w:lang w:val="en-GB"/>
        </w:rPr>
        <w:tab/>
      </w:r>
    </w:p>
    <w:p w14:paraId="65186F0C" w14:textId="4A159C83" w:rsidR="00FA7225" w:rsidRPr="006F5452" w:rsidRDefault="00000000" w:rsidP="00D224A6">
      <w:pPr>
        <w:ind w:firstLine="432"/>
        <w:rPr>
          <w:lang w:val="en-GB"/>
        </w:rPr>
      </w:pPr>
      <m:oMathPara>
        <m:oMath>
          <m:sSubSup>
            <m:sSubSupPr>
              <m:ctrlPr>
                <w:rPr>
                  <w:rFonts w:ascii="Cambria Math" w:eastAsiaTheme="minorEastAsia" w:hAnsi="Cambria Math"/>
                  <w:i/>
                  <w:lang w:val="en-GB"/>
                </w:rPr>
              </m:ctrlPr>
            </m:sSubSupPr>
            <m:e>
              <m:r>
                <w:rPr>
                  <w:rFonts w:ascii="Cambria Math" w:eastAsiaTheme="minorEastAsia" w:hAnsi="Cambria Math"/>
                  <w:lang w:val="en-GB"/>
                </w:rPr>
                <m:t>EPU</m:t>
              </m:r>
            </m:e>
            <m:sub>
              <m:r>
                <w:rPr>
                  <w:rFonts w:ascii="Cambria Math" w:eastAsiaTheme="minorEastAsia" w:hAnsi="Cambria Math"/>
                  <w:lang w:val="en-GB"/>
                </w:rPr>
                <m:t>t</m:t>
              </m:r>
            </m:sub>
            <m:sup>
              <m:r>
                <w:rPr>
                  <w:rFonts w:ascii="Cambria Math" w:eastAsiaTheme="minorEastAsia" w:hAnsi="Cambria Math"/>
                  <w:lang w:val="en-GB"/>
                </w:rPr>
                <m:t>-</m:t>
              </m:r>
            </m:sup>
          </m:sSubSup>
          <m:r>
            <w:rPr>
              <w:rFonts w:ascii="Cambria Math" w:eastAsiaTheme="minorEastAsia" w:hAnsi="Cambria Math"/>
              <w:lang w:val="en-GB"/>
            </w:rPr>
            <m:t>=</m:t>
          </m:r>
          <m:nary>
            <m:naryPr>
              <m:chr m:val="∑"/>
              <m:limLoc m:val="undOvr"/>
              <m:ctrlPr>
                <w:rPr>
                  <w:rFonts w:ascii="Cambria Math" w:eastAsiaTheme="minorEastAsia" w:hAnsi="Cambria Math"/>
                  <w:i/>
                  <w:lang w:val="en-GB"/>
                </w:rPr>
              </m:ctrlPr>
            </m:naryPr>
            <m:sub>
              <m:r>
                <w:rPr>
                  <w:rFonts w:ascii="Cambria Math" w:eastAsiaTheme="minorEastAsia" w:hAnsi="Cambria Math"/>
                  <w:lang w:val="en-GB"/>
                </w:rPr>
                <m:t>j=1</m:t>
              </m:r>
            </m:sub>
            <m:sup>
              <m:r>
                <w:rPr>
                  <w:rFonts w:ascii="Cambria Math" w:eastAsiaTheme="minorEastAsia" w:hAnsi="Cambria Math"/>
                  <w:lang w:val="en-GB"/>
                </w:rPr>
                <m:t>t</m:t>
              </m:r>
            </m:sup>
            <m:e>
              <m:r>
                <w:rPr>
                  <w:rFonts w:ascii="Cambria Math" w:eastAsiaTheme="minorEastAsia" w:hAnsi="Cambria Math"/>
                  <w:lang w:val="en-GB"/>
                </w:rPr>
                <m:t>∆</m:t>
              </m:r>
              <m:sSubSup>
                <m:sSubSupPr>
                  <m:ctrlPr>
                    <w:rPr>
                      <w:rFonts w:ascii="Cambria Math" w:eastAsiaTheme="minorEastAsia" w:hAnsi="Cambria Math"/>
                      <w:i/>
                      <w:lang w:val="en-GB"/>
                    </w:rPr>
                  </m:ctrlPr>
                </m:sSubSupPr>
                <m:e>
                  <m:r>
                    <w:rPr>
                      <w:rFonts w:ascii="Cambria Math" w:eastAsiaTheme="minorEastAsia" w:hAnsi="Cambria Math"/>
                      <w:lang w:val="en-GB"/>
                    </w:rPr>
                    <m:t>EPU</m:t>
                  </m:r>
                </m:e>
                <m:sub>
                  <m:r>
                    <w:rPr>
                      <w:rFonts w:ascii="Cambria Math" w:eastAsiaTheme="minorEastAsia" w:hAnsi="Cambria Math"/>
                      <w:lang w:val="en-GB"/>
                    </w:rPr>
                    <m:t>j</m:t>
                  </m:r>
                </m:sub>
                <m:sup>
                  <m:r>
                    <w:rPr>
                      <w:rFonts w:ascii="Cambria Math" w:eastAsiaTheme="minorEastAsia" w:hAnsi="Cambria Math"/>
                      <w:lang w:val="en-GB"/>
                    </w:rPr>
                    <m:t>-</m:t>
                  </m:r>
                </m:sup>
              </m:sSubSup>
            </m:e>
          </m:nary>
          <m:r>
            <w:rPr>
              <w:rFonts w:ascii="Cambria Math" w:eastAsiaTheme="minorEastAsia" w:hAnsi="Cambria Math"/>
              <w:lang w:val="en-GB"/>
            </w:rPr>
            <m:t>=</m:t>
          </m:r>
          <m:nary>
            <m:naryPr>
              <m:chr m:val="∑"/>
              <m:limLoc m:val="undOvr"/>
              <m:ctrlPr>
                <w:rPr>
                  <w:rFonts w:ascii="Cambria Math" w:eastAsiaTheme="minorEastAsia" w:hAnsi="Cambria Math"/>
                  <w:i/>
                  <w:lang w:val="en-GB"/>
                </w:rPr>
              </m:ctrlPr>
            </m:naryPr>
            <m:sub>
              <m:r>
                <w:rPr>
                  <w:rFonts w:ascii="Cambria Math" w:eastAsiaTheme="minorEastAsia" w:hAnsi="Cambria Math"/>
                  <w:lang w:val="en-GB"/>
                </w:rPr>
                <m:t>j=1</m:t>
              </m:r>
            </m:sub>
            <m:sup>
              <m:r>
                <w:rPr>
                  <w:rFonts w:ascii="Cambria Math" w:eastAsiaTheme="minorEastAsia" w:hAnsi="Cambria Math"/>
                  <w:lang w:val="en-GB"/>
                </w:rPr>
                <m:t>t</m:t>
              </m:r>
            </m:sup>
            <m:e>
              <m:r>
                <m:rPr>
                  <m:sty m:val="p"/>
                </m:rPr>
                <w:rPr>
                  <w:rFonts w:ascii="Cambria Math" w:eastAsiaTheme="minorEastAsia" w:hAnsi="Cambria Math"/>
                  <w:lang w:val="en-GB"/>
                </w:rPr>
                <m:t>min⁡</m:t>
              </m:r>
              <m:r>
                <w:rPr>
                  <w:rFonts w:ascii="Cambria Math" w:eastAsiaTheme="minorEastAsia" w:hAnsi="Cambria Math"/>
                  <w:lang w:val="en-GB"/>
                </w:rPr>
                <m:t>(∆</m:t>
              </m:r>
              <m:sSub>
                <m:sSubPr>
                  <m:ctrlPr>
                    <w:rPr>
                      <w:rFonts w:ascii="Cambria Math" w:eastAsiaTheme="minorEastAsia" w:hAnsi="Cambria Math"/>
                      <w:i/>
                      <w:lang w:val="en-GB"/>
                    </w:rPr>
                  </m:ctrlPr>
                </m:sSubPr>
                <m:e>
                  <m:r>
                    <w:rPr>
                      <w:rFonts w:ascii="Cambria Math" w:eastAsiaTheme="minorEastAsia" w:hAnsi="Cambria Math"/>
                      <w:lang w:val="en-GB"/>
                    </w:rPr>
                    <m:t>EPU</m:t>
                  </m:r>
                </m:e>
                <m:sub>
                  <m:r>
                    <w:rPr>
                      <w:rFonts w:ascii="Cambria Math" w:eastAsiaTheme="minorEastAsia" w:hAnsi="Cambria Math"/>
                      <w:lang w:val="en-GB"/>
                    </w:rPr>
                    <m:t>j</m:t>
                  </m:r>
                </m:sub>
              </m:sSub>
              <m:r>
                <w:rPr>
                  <w:rFonts w:ascii="Cambria Math" w:eastAsiaTheme="minorEastAsia" w:hAnsi="Cambria Math"/>
                  <w:lang w:val="en-GB"/>
                </w:rPr>
                <m:t>,0)</m:t>
              </m:r>
            </m:e>
          </m:nary>
          <m:r>
            <m:rPr>
              <m:sty m:val="p"/>
            </m:rPr>
            <w:rPr>
              <w:rFonts w:ascii="Cambria Math" w:eastAsiaTheme="minorEastAsia"/>
              <w:lang w:val="en-GB"/>
            </w:rPr>
            <m:t xml:space="preserve">                          (4)</m:t>
          </m:r>
        </m:oMath>
      </m:oMathPara>
    </w:p>
    <w:p w14:paraId="75691478" w14:textId="77777777" w:rsidR="00FA7225" w:rsidRPr="006F5452" w:rsidRDefault="00FA7225" w:rsidP="00FA7225">
      <w:pPr>
        <w:rPr>
          <w:lang w:val="en-GB"/>
        </w:rPr>
      </w:pPr>
    </w:p>
    <w:p w14:paraId="5B433C20" w14:textId="71A14128" w:rsidR="00FA7225" w:rsidRPr="001E389F" w:rsidRDefault="00FA7225" w:rsidP="00FA7225">
      <w:pPr>
        <w:rPr>
          <w:color w:val="0000CC"/>
          <w:lang w:val="en-GB"/>
        </w:rPr>
      </w:pPr>
      <w:r w:rsidRPr="001E389F">
        <w:rPr>
          <w:color w:val="0000CC"/>
          <w:lang w:val="en-GB"/>
        </w:rPr>
        <w:t>The NARDL error correction model can be defined as</w:t>
      </w:r>
      <w:r w:rsidR="00E86F02" w:rsidRPr="001E389F">
        <w:rPr>
          <w:color w:val="0000CC"/>
          <w:lang w:val="en-GB"/>
        </w:rPr>
        <w:t xml:space="preserve"> follows</w:t>
      </w:r>
      <w:r w:rsidR="000D16F5" w:rsidRPr="001E389F">
        <w:rPr>
          <w:color w:val="0000CC"/>
          <w:lang w:val="en-GB"/>
        </w:rPr>
        <w:t xml:space="preserve"> from Equations (5) to (8)</w:t>
      </w:r>
      <w:r w:rsidRPr="001E389F">
        <w:rPr>
          <w:color w:val="0000CC"/>
          <w:lang w:val="en-GB"/>
        </w:rPr>
        <w:t>:</w:t>
      </w:r>
    </w:p>
    <w:p w14:paraId="3D666D45" w14:textId="77777777" w:rsidR="00FA7225" w:rsidRPr="006F5452" w:rsidRDefault="00FA7225" w:rsidP="00FA7225">
      <w:pPr>
        <w:rPr>
          <w:lang w:val="en-GB"/>
        </w:rPr>
      </w:pPr>
    </w:p>
    <w:p w14:paraId="1D7ABB26" w14:textId="24083B8B" w:rsidR="00FA7225" w:rsidRPr="006F5452" w:rsidRDefault="00000000" w:rsidP="00FA7225">
      <w:pPr>
        <w:ind w:firstLine="432"/>
        <w:rPr>
          <w:rFonts w:eastAsiaTheme="minorEastAsia"/>
          <w:lang w:val="en-GB"/>
        </w:rPr>
      </w:pPr>
      <m:oMathPara>
        <m:oMath>
          <m:sSub>
            <m:sSubPr>
              <m:ctrlPr>
                <w:rPr>
                  <w:rFonts w:ascii="Cambria Math" w:hAnsi="Cambria Math"/>
                  <w:i/>
                  <w:lang w:val="en-GB"/>
                </w:rPr>
              </m:ctrlPr>
            </m:sSubPr>
            <m:e>
              <m:r>
                <w:rPr>
                  <w:rFonts w:ascii="Cambria Math" w:hAnsi="Cambria Math"/>
                  <w:lang w:val="en-GB"/>
                </w:rPr>
                <m:t>∆lnGB</m:t>
              </m:r>
            </m:e>
            <m:sub>
              <m:r>
                <w:rPr>
                  <w:rFonts w:ascii="Cambria Math" w:hAnsi="Cambria Math"/>
                  <w:lang w:val="en-GB"/>
                </w:rPr>
                <m:t>t</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0</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1</m:t>
              </m:r>
            </m:sub>
          </m:sSub>
          <m:r>
            <w:rPr>
              <w:rFonts w:ascii="Cambria Math" w:hAnsi="Cambria Math"/>
              <w:lang w:val="en-GB"/>
            </w:rPr>
            <m:t>ln</m:t>
          </m:r>
          <m:sSub>
            <m:sSubPr>
              <m:ctrlPr>
                <w:rPr>
                  <w:rFonts w:ascii="Cambria Math" w:hAnsi="Cambria Math"/>
                  <w:i/>
                  <w:lang w:val="en-GB"/>
                </w:rPr>
              </m:ctrlPr>
            </m:sSubPr>
            <m:e>
              <m:r>
                <w:rPr>
                  <w:rFonts w:ascii="Cambria Math" w:hAnsi="Cambria Math"/>
                  <w:lang w:val="en-GB"/>
                </w:rPr>
                <m:t>GB</m:t>
              </m:r>
            </m:e>
            <m:sub>
              <m:r>
                <w:rPr>
                  <w:rFonts w:ascii="Cambria Math" w:hAnsi="Cambria Math"/>
                  <w:lang w:val="en-GB"/>
                </w:rPr>
                <m:t>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m:t>
              </m:r>
            </m:sub>
          </m:sSub>
          <m:sSubSup>
            <m:sSubSupPr>
              <m:ctrlPr>
                <w:rPr>
                  <w:rFonts w:ascii="Cambria Math" w:hAnsi="Cambria Math"/>
                  <w:i/>
                  <w:lang w:val="en-GB"/>
                </w:rPr>
              </m:ctrlPr>
            </m:sSubSupPr>
            <m:e>
              <m:r>
                <w:rPr>
                  <w:rFonts w:ascii="Cambria Math" w:hAnsi="Cambria Math"/>
                  <w:lang w:val="en-GB"/>
                </w:rPr>
                <m:t>lnEPU</m:t>
              </m:r>
            </m:e>
            <m:sub>
              <m:r>
                <w:rPr>
                  <w:rFonts w:ascii="Cambria Math" w:hAnsi="Cambria Math"/>
                  <w:lang w:val="en-GB"/>
                </w:rPr>
                <m:t>t-1</m:t>
              </m:r>
            </m:sub>
            <m:sup>
              <m:r>
                <w:rPr>
                  <w:rFonts w:ascii="Cambria Math" w:hAnsi="Cambria Math"/>
                  <w:lang w:val="en-GB"/>
                </w:rPr>
                <m:t>+</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2</m:t>
              </m:r>
            </m:sub>
          </m:sSub>
          <m:r>
            <w:rPr>
              <w:rFonts w:ascii="Cambria Math" w:hAnsi="Cambria Math"/>
              <w:lang w:val="en-GB"/>
            </w:rPr>
            <m:t>ln</m:t>
          </m:r>
          <m:sSubSup>
            <m:sSubSupPr>
              <m:ctrlPr>
                <w:rPr>
                  <w:rFonts w:ascii="Cambria Math" w:hAnsi="Cambria Math"/>
                  <w:i/>
                  <w:lang w:val="en-GB"/>
                </w:rPr>
              </m:ctrlPr>
            </m:sSubSupPr>
            <m:e>
              <m:r>
                <w:rPr>
                  <w:rFonts w:ascii="Cambria Math" w:hAnsi="Cambria Math"/>
                  <w:lang w:val="en-GB"/>
                </w:rPr>
                <m:t>EPU</m:t>
              </m:r>
            </m:e>
            <m:sub>
              <m:r>
                <w:rPr>
                  <w:rFonts w:ascii="Cambria Math" w:hAnsi="Cambria Math"/>
                  <w:lang w:val="en-GB"/>
                </w:rPr>
                <m:t>t-1</m:t>
              </m:r>
            </m:sub>
            <m:sup>
              <m:r>
                <w:rPr>
                  <w:rFonts w:ascii="Cambria Math" w:hAnsi="Cambria Math"/>
                  <w:lang w:val="en-GB"/>
                </w:rPr>
                <m:t>-</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3</m:t>
              </m:r>
            </m:sub>
          </m:sSub>
          <m:r>
            <w:rPr>
              <w:rFonts w:ascii="Cambria Math" w:hAnsi="Cambria Math"/>
              <w:lang w:val="en-GB"/>
            </w:rPr>
            <m:t>ln</m:t>
          </m:r>
          <m:sSub>
            <m:sSubPr>
              <m:ctrlPr>
                <w:rPr>
                  <w:rFonts w:ascii="Cambria Math" w:hAnsi="Cambria Math"/>
                  <w:i/>
                  <w:lang w:val="en-GB"/>
                </w:rPr>
              </m:ctrlPr>
            </m:sSubPr>
            <m:e>
              <m:r>
                <w:rPr>
                  <w:rFonts w:ascii="Cambria Math" w:hAnsi="Cambria Math"/>
                  <w:lang w:val="en-GB"/>
                </w:rPr>
                <m:t>GPRT</m:t>
              </m:r>
            </m:e>
            <m:sub>
              <m:r>
                <w:rPr>
                  <w:rFonts w:ascii="Cambria Math" w:hAnsi="Cambria Math"/>
                  <w:lang w:val="en-GB"/>
                </w:rPr>
                <m:t>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4</m:t>
              </m:r>
            </m:sub>
          </m:sSub>
          <m:r>
            <w:rPr>
              <w:rFonts w:ascii="Cambria Math" w:hAnsi="Cambria Math"/>
              <w:lang w:val="en-GB"/>
            </w:rPr>
            <m:t>ln</m:t>
          </m:r>
          <m:sSub>
            <m:sSubPr>
              <m:ctrlPr>
                <w:rPr>
                  <w:rFonts w:ascii="Cambria Math" w:hAnsi="Cambria Math"/>
                  <w:i/>
                  <w:lang w:val="en-GB"/>
                </w:rPr>
              </m:ctrlPr>
            </m:sSubPr>
            <m:e>
              <m:r>
                <w:rPr>
                  <w:rFonts w:ascii="Cambria Math" w:hAnsi="Cambria Math"/>
                  <w:lang w:val="en-GB"/>
                </w:rPr>
                <m:t>GPRA</m:t>
              </m:r>
            </m:e>
            <m:sub>
              <m:r>
                <w:rPr>
                  <w:rFonts w:ascii="Cambria Math" w:hAnsi="Cambria Math"/>
                  <w:lang w:val="en-GB"/>
                </w:rPr>
                <m:t>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5</m:t>
              </m:r>
            </m:sub>
          </m:sSub>
          <m:sSub>
            <m:sSubPr>
              <m:ctrlPr>
                <w:rPr>
                  <w:rFonts w:ascii="Cambria Math" w:hAnsi="Cambria Math"/>
                  <w:i/>
                  <w:lang w:val="en-GB"/>
                </w:rPr>
              </m:ctrlPr>
            </m:sSubPr>
            <m:e>
              <m:r>
                <w:rPr>
                  <w:rFonts w:ascii="Cambria Math" w:hAnsi="Cambria Math"/>
                  <w:lang w:val="en-GB"/>
                </w:rPr>
                <m:t>lnWTI</m:t>
              </m:r>
            </m:e>
            <m:sub>
              <m:r>
                <w:rPr>
                  <w:rFonts w:ascii="Cambria Math" w:hAnsi="Cambria Math"/>
                  <w:lang w:val="en-GB"/>
                </w:rPr>
                <m:t>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7</m:t>
              </m:r>
            </m:sub>
          </m:sSub>
          <m:sSub>
            <m:sSubPr>
              <m:ctrlPr>
                <w:rPr>
                  <w:rFonts w:ascii="Cambria Math" w:hAnsi="Cambria Math"/>
                  <w:i/>
                  <w:lang w:val="en-GB"/>
                </w:rPr>
              </m:ctrlPr>
            </m:sSubPr>
            <m:e>
              <m:r>
                <w:rPr>
                  <w:rFonts w:ascii="Cambria Math" w:hAnsi="Cambria Math"/>
                  <w:lang w:val="en-GB"/>
                </w:rPr>
                <m:t>lnSP500</m:t>
              </m:r>
            </m:e>
            <m:sub>
              <m:r>
                <w:rPr>
                  <w:rFonts w:ascii="Cambria Math" w:hAnsi="Cambria Math"/>
                  <w:lang w:val="en-GB"/>
                </w:rPr>
                <m:t>t-1</m:t>
              </m:r>
            </m:sub>
          </m:sSub>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i=0</m:t>
              </m:r>
            </m:sub>
            <m:sup>
              <m:r>
                <w:rPr>
                  <w:rFonts w:ascii="Cambria Math" w:hAnsi="Cambria Math"/>
                  <w:lang w:val="en-GB"/>
                </w:rPr>
                <m:t>l</m:t>
              </m:r>
            </m:sup>
            <m:e>
              <m:sSub>
                <m:sSubPr>
                  <m:ctrlPr>
                    <w:rPr>
                      <w:rFonts w:ascii="Cambria Math" w:hAnsi="Cambria Math"/>
                      <w:i/>
                      <w:lang w:val="en-GB"/>
                    </w:rPr>
                  </m:ctrlPr>
                </m:sSubPr>
                <m:e>
                  <m:r>
                    <w:rPr>
                      <w:rFonts w:ascii="Cambria Math" w:hAnsi="Cambria Math"/>
                      <w:lang w:val="en-GB"/>
                    </w:rPr>
                    <m:t>ϕ</m:t>
                  </m:r>
                </m:e>
                <m:sub>
                  <m:r>
                    <w:rPr>
                      <w:rFonts w:ascii="Cambria Math" w:hAnsi="Cambria Math"/>
                      <w:lang w:val="en-GB"/>
                    </w:rPr>
                    <m:t>1</m:t>
                  </m:r>
                </m:sub>
              </m:sSub>
              <m:r>
                <w:rPr>
                  <w:rFonts w:ascii="Cambria Math" w:hAnsi="Cambria Math"/>
                  <w:lang w:val="en-GB"/>
                </w:rPr>
                <m:t>ln</m:t>
              </m:r>
              <m:sSub>
                <m:sSubPr>
                  <m:ctrlPr>
                    <w:rPr>
                      <w:rFonts w:ascii="Cambria Math" w:hAnsi="Cambria Math"/>
                      <w:i/>
                      <w:lang w:val="en-GB"/>
                    </w:rPr>
                  </m:ctrlPr>
                </m:sSubPr>
                <m:e>
                  <m:r>
                    <w:rPr>
                      <w:rFonts w:ascii="Cambria Math" w:hAnsi="Cambria Math"/>
                      <w:lang w:val="en-GB"/>
                    </w:rPr>
                    <m:t>GPRT</m:t>
                  </m:r>
                </m:e>
                <m:sub>
                  <m:r>
                    <w:rPr>
                      <w:rFonts w:ascii="Cambria Math" w:hAnsi="Cambria Math"/>
                      <w:lang w:val="en-GB"/>
                    </w:rPr>
                    <m:t>t-i</m:t>
                  </m:r>
                </m:sub>
              </m:sSub>
            </m:e>
          </m:nary>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i=0</m:t>
              </m:r>
            </m:sub>
            <m:sup>
              <m:r>
                <w:rPr>
                  <w:rFonts w:ascii="Cambria Math" w:hAnsi="Cambria Math"/>
                  <w:lang w:val="en-GB"/>
                </w:rPr>
                <m:t>m</m:t>
              </m:r>
            </m:sup>
            <m:e>
              <m:sSub>
                <m:sSubPr>
                  <m:ctrlPr>
                    <w:rPr>
                      <w:rFonts w:ascii="Cambria Math" w:hAnsi="Cambria Math"/>
                      <w:i/>
                      <w:lang w:val="en-GB"/>
                    </w:rPr>
                  </m:ctrlPr>
                </m:sSubPr>
                <m:e>
                  <m:r>
                    <w:rPr>
                      <w:rFonts w:ascii="Cambria Math" w:hAnsi="Cambria Math"/>
                      <w:lang w:val="en-GB"/>
                    </w:rPr>
                    <m:t>ϕ</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lnGPRA</m:t>
                  </m:r>
                </m:e>
                <m:sub>
                  <m:r>
                    <w:rPr>
                      <w:rFonts w:ascii="Cambria Math" w:hAnsi="Cambria Math"/>
                      <w:lang w:val="en-GB"/>
                    </w:rPr>
                    <m:t>t-i</m:t>
                  </m:r>
                </m:sub>
              </m:sSub>
            </m:e>
          </m:nary>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i=0</m:t>
              </m:r>
            </m:sub>
            <m:sup>
              <m:r>
                <w:rPr>
                  <w:rFonts w:ascii="Cambria Math" w:hAnsi="Cambria Math"/>
                  <w:lang w:val="en-GB"/>
                </w:rPr>
                <m:t>p</m:t>
              </m:r>
            </m:sup>
            <m:e>
              <m:sSub>
                <m:sSubPr>
                  <m:ctrlPr>
                    <w:rPr>
                      <w:rFonts w:ascii="Cambria Math" w:hAnsi="Cambria Math"/>
                      <w:i/>
                      <w:lang w:val="en-GB"/>
                    </w:rPr>
                  </m:ctrlPr>
                </m:sSubPr>
                <m:e>
                  <m:r>
                    <w:rPr>
                      <w:rFonts w:ascii="Cambria Math" w:hAnsi="Cambria Math"/>
                      <w:lang w:val="en-GB"/>
                    </w:rPr>
                    <m:t>ϕ</m:t>
                  </m:r>
                </m:e>
                <m:sub>
                  <m:r>
                    <w:rPr>
                      <w:rFonts w:ascii="Cambria Math" w:hAnsi="Cambria Math"/>
                      <w:lang w:val="en-GB"/>
                    </w:rPr>
                    <m:t>3</m:t>
                  </m:r>
                </m:sub>
              </m:sSub>
              <m:sSub>
                <m:sSubPr>
                  <m:ctrlPr>
                    <w:rPr>
                      <w:rFonts w:ascii="Cambria Math" w:hAnsi="Cambria Math"/>
                      <w:i/>
                      <w:lang w:val="en-GB"/>
                    </w:rPr>
                  </m:ctrlPr>
                </m:sSubPr>
                <m:e>
                  <m:r>
                    <w:rPr>
                      <w:rFonts w:ascii="Cambria Math" w:hAnsi="Cambria Math"/>
                      <w:lang w:val="en-GB"/>
                    </w:rPr>
                    <m:t>lnWTI</m:t>
                  </m:r>
                </m:e>
                <m:sub>
                  <m:r>
                    <w:rPr>
                      <w:rFonts w:ascii="Cambria Math" w:hAnsi="Cambria Math"/>
                      <w:lang w:val="en-GB"/>
                    </w:rPr>
                    <m:t>t-i</m:t>
                  </m:r>
                </m:sub>
              </m:sSub>
            </m:e>
          </m:nary>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i=0</m:t>
              </m:r>
            </m:sub>
            <m:sup>
              <m:r>
                <w:rPr>
                  <w:rFonts w:ascii="Cambria Math" w:hAnsi="Cambria Math"/>
                  <w:lang w:val="en-GB"/>
                </w:rPr>
                <m:t>q</m:t>
              </m:r>
            </m:sup>
            <m:e>
              <m:sSub>
                <m:sSubPr>
                  <m:ctrlPr>
                    <w:rPr>
                      <w:rFonts w:ascii="Cambria Math" w:hAnsi="Cambria Math"/>
                      <w:i/>
                      <w:lang w:val="en-GB"/>
                    </w:rPr>
                  </m:ctrlPr>
                </m:sSubPr>
                <m:e>
                  <m:r>
                    <w:rPr>
                      <w:rFonts w:ascii="Cambria Math" w:hAnsi="Cambria Math"/>
                      <w:lang w:val="en-GB"/>
                    </w:rPr>
                    <m:t>ϕ</m:t>
                  </m:r>
                </m:e>
                <m:sub>
                  <m:r>
                    <w:rPr>
                      <w:rFonts w:ascii="Cambria Math" w:hAnsi="Cambria Math"/>
                      <w:lang w:val="en-GB"/>
                    </w:rPr>
                    <m:t>4</m:t>
                  </m:r>
                </m:sub>
              </m:sSub>
              <m:sSub>
                <m:sSubPr>
                  <m:ctrlPr>
                    <w:rPr>
                      <w:rFonts w:ascii="Cambria Math" w:hAnsi="Cambria Math"/>
                      <w:i/>
                      <w:lang w:val="en-GB"/>
                    </w:rPr>
                  </m:ctrlPr>
                </m:sSubPr>
                <m:e>
                  <m:r>
                    <w:rPr>
                      <w:rFonts w:ascii="Cambria Math" w:hAnsi="Cambria Math"/>
                      <w:lang w:val="en-GB"/>
                    </w:rPr>
                    <m:t>lnSP500</m:t>
                  </m:r>
                </m:e>
                <m:sub>
                  <m:r>
                    <w:rPr>
                      <w:rFonts w:ascii="Cambria Math" w:hAnsi="Cambria Math"/>
                      <w:lang w:val="en-GB"/>
                    </w:rPr>
                    <m:t>t-i</m:t>
                  </m:r>
                </m:sub>
              </m:sSub>
            </m:e>
          </m:nary>
          <m:r>
            <w:rPr>
              <w:rFonts w:ascii="Cambria Math" w:hAnsi="Cambria Math"/>
              <w:lang w:val="en-GB"/>
            </w:rPr>
            <m:t>+</m:t>
          </m:r>
          <m:nary>
            <m:naryPr>
              <m:chr m:val="∑"/>
              <m:ctrlPr>
                <w:rPr>
                  <w:rFonts w:ascii="Cambria Math" w:hAnsi="Cambria Math"/>
                  <w:i/>
                  <w:lang w:val="en-GB"/>
                </w:rPr>
              </m:ctrlPr>
            </m:naryPr>
            <m:sub>
              <m:r>
                <w:rPr>
                  <w:rFonts w:ascii="Cambria Math" w:hAnsi="Cambria Math"/>
                  <w:lang w:val="en-GB"/>
                </w:rPr>
                <m:t>i =0</m:t>
              </m:r>
            </m:sub>
            <m:sup>
              <m:r>
                <w:rPr>
                  <w:rFonts w:ascii="Cambria Math" w:hAnsi="Cambria Math"/>
                  <w:lang w:val="en-GB"/>
                </w:rPr>
                <m:t>r</m:t>
              </m:r>
            </m:sup>
            <m:e>
              <m:sSub>
                <m:sSubPr>
                  <m:ctrlPr>
                    <w:rPr>
                      <w:rFonts w:ascii="Cambria Math" w:hAnsi="Cambria Math"/>
                      <w:i/>
                      <w:lang w:val="en-GB"/>
                    </w:rPr>
                  </m:ctrlPr>
                </m:sSubPr>
                <m:e>
                  <m:r>
                    <w:rPr>
                      <w:rFonts w:ascii="Cambria Math" w:hAnsi="Cambria Math"/>
                      <w:lang w:val="en-GB"/>
                    </w:rPr>
                    <m:t>ϕ</m:t>
                  </m:r>
                </m:e>
                <m:sub>
                  <m:r>
                    <w:rPr>
                      <w:rFonts w:ascii="Cambria Math" w:hAnsi="Cambria Math"/>
                      <w:lang w:val="en-GB"/>
                    </w:rPr>
                    <m:t>j</m:t>
                  </m:r>
                </m:sub>
              </m:sSub>
              <m:r>
                <w:rPr>
                  <w:rFonts w:ascii="Cambria Math" w:hAnsi="Cambria Math"/>
                  <w:lang w:val="en-GB"/>
                </w:rPr>
                <m:t>∆ln</m:t>
              </m:r>
              <m:sSub>
                <m:sSubPr>
                  <m:ctrlPr>
                    <w:rPr>
                      <w:rFonts w:ascii="Cambria Math" w:hAnsi="Cambria Math"/>
                      <w:i/>
                      <w:lang w:val="en-GB"/>
                    </w:rPr>
                  </m:ctrlPr>
                </m:sSubPr>
                <m:e>
                  <m:r>
                    <w:rPr>
                      <w:rFonts w:ascii="Cambria Math" w:hAnsi="Cambria Math"/>
                      <w:lang w:val="en-GB"/>
                    </w:rPr>
                    <m:t>GB</m:t>
                  </m:r>
                </m:e>
                <m:sub>
                  <m:r>
                    <w:rPr>
                      <w:rFonts w:ascii="Cambria Math" w:hAnsi="Cambria Math"/>
                      <w:lang w:val="en-GB"/>
                    </w:rPr>
                    <m:t>t-i</m:t>
                  </m:r>
                </m:sub>
              </m:sSub>
            </m:e>
          </m:nary>
          <m:r>
            <w:rPr>
              <w:rFonts w:ascii="Cambria Math" w:hAnsi="Cambria Math"/>
              <w:lang w:val="en-GB"/>
            </w:rPr>
            <m:t>+</m:t>
          </m:r>
          <m:nary>
            <m:naryPr>
              <m:chr m:val="∑"/>
              <m:ctrlPr>
                <w:rPr>
                  <w:rFonts w:ascii="Cambria Math" w:hAnsi="Cambria Math"/>
                  <w:i/>
                  <w:lang w:val="en-GB"/>
                </w:rPr>
              </m:ctrlPr>
            </m:naryPr>
            <m:sub>
              <m:r>
                <w:rPr>
                  <w:rFonts w:ascii="Cambria Math" w:hAnsi="Cambria Math"/>
                  <w:lang w:val="en-GB"/>
                </w:rPr>
                <m:t>i=0</m:t>
              </m:r>
            </m:sub>
            <m:sup>
              <m:r>
                <w:rPr>
                  <w:rFonts w:ascii="Cambria Math" w:hAnsi="Cambria Math"/>
                  <w:lang w:val="en-GB"/>
                </w:rPr>
                <m:t>s</m:t>
              </m:r>
            </m:sup>
            <m:e>
              <m:sSubSup>
                <m:sSubSupPr>
                  <m:ctrlPr>
                    <w:rPr>
                      <w:rFonts w:ascii="Cambria Math" w:hAnsi="Cambria Math"/>
                      <w:i/>
                      <w:lang w:val="en-GB"/>
                    </w:rPr>
                  </m:ctrlPr>
                </m:sSubSupPr>
                <m:e>
                  <m:r>
                    <w:rPr>
                      <w:rFonts w:ascii="Cambria Math" w:hAnsi="Cambria Math"/>
                      <w:lang w:val="en-GB"/>
                    </w:rPr>
                    <m:t>(π</m:t>
                  </m:r>
                </m:e>
                <m:sub>
                  <m:r>
                    <w:rPr>
                      <w:rFonts w:ascii="Cambria Math" w:hAnsi="Cambria Math"/>
                      <w:lang w:val="en-GB"/>
                    </w:rPr>
                    <m:t>t</m:t>
                  </m:r>
                </m:sub>
                <m:sup>
                  <m:r>
                    <w:rPr>
                      <w:rFonts w:ascii="Cambria Math" w:hAnsi="Cambria Math"/>
                      <w:lang w:val="en-GB"/>
                    </w:rPr>
                    <m:t>+</m:t>
                  </m:r>
                </m:sup>
              </m:sSubSup>
              <m:r>
                <w:rPr>
                  <w:rFonts w:ascii="Cambria Math" w:hAnsi="Cambria Math"/>
                  <w:lang w:val="en-GB"/>
                </w:rPr>
                <m:t>∆ln</m:t>
              </m:r>
              <m:sSubSup>
                <m:sSubSupPr>
                  <m:ctrlPr>
                    <w:rPr>
                      <w:rFonts w:ascii="Cambria Math" w:hAnsi="Cambria Math"/>
                      <w:i/>
                      <w:lang w:val="en-GB"/>
                    </w:rPr>
                  </m:ctrlPr>
                </m:sSubSupPr>
                <m:e>
                  <m:r>
                    <w:rPr>
                      <w:rFonts w:ascii="Cambria Math" w:hAnsi="Cambria Math"/>
                      <w:lang w:val="en-GB"/>
                    </w:rPr>
                    <m:t>EPU</m:t>
                  </m:r>
                </m:e>
                <m:sub>
                  <m:r>
                    <w:rPr>
                      <w:rFonts w:ascii="Cambria Math" w:hAnsi="Cambria Math"/>
                      <w:lang w:val="en-GB"/>
                    </w:rPr>
                    <m:t>t-i</m:t>
                  </m:r>
                </m:sub>
                <m:sup>
                  <m:r>
                    <w:rPr>
                      <w:rFonts w:ascii="Cambria Math" w:hAnsi="Cambria Math"/>
                      <w:lang w:val="en-GB"/>
                    </w:rPr>
                    <m:t>+</m:t>
                  </m:r>
                </m:sup>
              </m:sSubSup>
            </m:e>
          </m:nary>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π</m:t>
              </m:r>
            </m:e>
            <m:sub>
              <m:r>
                <w:rPr>
                  <w:rFonts w:ascii="Cambria Math" w:hAnsi="Cambria Math"/>
                  <w:lang w:val="en-GB"/>
                </w:rPr>
                <m:t>t</m:t>
              </m:r>
            </m:sub>
            <m:sup>
              <m:r>
                <w:rPr>
                  <w:rFonts w:ascii="Cambria Math" w:hAnsi="Cambria Math"/>
                  <w:lang w:val="en-GB"/>
                </w:rPr>
                <m:t>-</m:t>
              </m:r>
            </m:sup>
          </m:sSubSup>
          <m:r>
            <w:rPr>
              <w:rFonts w:ascii="Cambria Math" w:hAnsi="Cambria Math"/>
              <w:lang w:val="en-GB"/>
            </w:rPr>
            <m:t>∆ln</m:t>
          </m:r>
          <m:sSubSup>
            <m:sSubSupPr>
              <m:ctrlPr>
                <w:rPr>
                  <w:rFonts w:ascii="Cambria Math" w:hAnsi="Cambria Math"/>
                  <w:i/>
                  <w:lang w:val="en-GB"/>
                </w:rPr>
              </m:ctrlPr>
            </m:sSubSupPr>
            <m:e>
              <m:r>
                <w:rPr>
                  <w:rFonts w:ascii="Cambria Math" w:hAnsi="Cambria Math"/>
                  <w:lang w:val="en-GB"/>
                </w:rPr>
                <m:t>EPU</m:t>
              </m:r>
            </m:e>
            <m:sub>
              <m:r>
                <w:rPr>
                  <w:rFonts w:ascii="Cambria Math" w:hAnsi="Cambria Math"/>
                  <w:lang w:val="en-GB"/>
                </w:rPr>
                <m:t>t-i</m:t>
              </m:r>
            </m:sub>
            <m:sup>
              <m:r>
                <w:rPr>
                  <w:rFonts w:ascii="Cambria Math" w:hAnsi="Cambria Math"/>
                  <w:lang w:val="en-GB"/>
                </w:rPr>
                <m:t>-</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t</m:t>
              </m:r>
            </m:sub>
          </m:sSub>
        </m:oMath>
      </m:oMathPara>
    </w:p>
    <w:p w14:paraId="086A546F" w14:textId="37F9B8C8" w:rsidR="00FA7225" w:rsidRPr="006F5452" w:rsidRDefault="00FA7225" w:rsidP="00FA7225">
      <w:pPr>
        <w:ind w:firstLine="432"/>
        <w:rPr>
          <w:rFonts w:eastAsiaTheme="minorEastAsia"/>
          <w:lang w:val="en-GB"/>
        </w:rPr>
      </w:pPr>
      <w:r w:rsidRPr="006F5452">
        <w:rPr>
          <w:rFonts w:eastAsiaTheme="minorEastAsia"/>
          <w:lang w:val="en-GB"/>
        </w:rPr>
        <w:lastRenderedPageBreak/>
        <w:tab/>
      </w:r>
      <w:r w:rsidRPr="006F5452">
        <w:rPr>
          <w:rFonts w:eastAsiaTheme="minorEastAsia"/>
          <w:lang w:val="en-GB"/>
        </w:rPr>
        <w:tab/>
      </w:r>
      <w:r w:rsidRPr="006F5452">
        <w:rPr>
          <w:rFonts w:eastAsiaTheme="minorEastAsia"/>
          <w:lang w:val="en-GB"/>
        </w:rPr>
        <w:tab/>
      </w:r>
      <w:r w:rsidRPr="006F5452">
        <w:rPr>
          <w:rFonts w:eastAsiaTheme="minorEastAsia"/>
          <w:lang w:val="en-GB"/>
        </w:rPr>
        <w:tab/>
      </w:r>
      <w:r w:rsidRPr="006F5452">
        <w:rPr>
          <w:rFonts w:eastAsiaTheme="minorEastAsia"/>
          <w:lang w:val="en-GB"/>
        </w:rPr>
        <w:tab/>
      </w:r>
      <w:r w:rsidRPr="006F5452">
        <w:rPr>
          <w:rFonts w:eastAsiaTheme="minorEastAsia"/>
          <w:lang w:val="en-GB"/>
        </w:rPr>
        <w:tab/>
      </w:r>
      <w:r w:rsidRPr="006F5452">
        <w:rPr>
          <w:rFonts w:eastAsiaTheme="minorEastAsia"/>
          <w:lang w:val="en-GB"/>
        </w:rPr>
        <w:tab/>
      </w:r>
      <w:r w:rsidRPr="006F5452">
        <w:rPr>
          <w:rFonts w:eastAsiaTheme="minorEastAsia"/>
          <w:lang w:val="en-GB"/>
        </w:rPr>
        <w:tab/>
      </w:r>
      <w:r w:rsidRPr="006F5452">
        <w:rPr>
          <w:rFonts w:eastAsiaTheme="minorEastAsia"/>
          <w:lang w:val="en-GB"/>
        </w:rPr>
        <w:tab/>
      </w:r>
      <w:r w:rsidRPr="006F5452">
        <w:rPr>
          <w:rFonts w:eastAsiaTheme="minorEastAsia"/>
          <w:lang w:val="en-GB"/>
        </w:rPr>
        <w:tab/>
      </w:r>
      <w:r w:rsidR="002A4B33" w:rsidRPr="006F5452">
        <w:rPr>
          <w:rFonts w:eastAsiaTheme="minorEastAsia"/>
          <w:lang w:val="en-GB"/>
        </w:rPr>
        <w:tab/>
      </w:r>
      <w:r w:rsidRPr="006F5452">
        <w:rPr>
          <w:rFonts w:eastAsiaTheme="minorEastAsia"/>
          <w:lang w:val="en-GB"/>
        </w:rPr>
        <w:tab/>
        <w:t>(5)</w:t>
      </w:r>
    </w:p>
    <w:p w14:paraId="2DBF7255" w14:textId="77777777" w:rsidR="007E3543" w:rsidRPr="006F5452" w:rsidRDefault="007E3543" w:rsidP="00FA7225">
      <w:pPr>
        <w:ind w:firstLine="432"/>
        <w:rPr>
          <w:lang w:val="en-GB"/>
        </w:rPr>
      </w:pPr>
    </w:p>
    <w:p w14:paraId="42E807EC" w14:textId="4BA33F0F" w:rsidR="007E3543" w:rsidRPr="006F5452" w:rsidRDefault="00000000" w:rsidP="007E3543">
      <w:pPr>
        <w:ind w:firstLine="432"/>
        <w:rPr>
          <w:rFonts w:eastAsiaTheme="minorEastAsia"/>
          <w:lang w:val="en-GB"/>
        </w:rPr>
      </w:pPr>
      <m:oMathPara>
        <m:oMath>
          <m:sSub>
            <m:sSubPr>
              <m:ctrlPr>
                <w:rPr>
                  <w:rFonts w:ascii="Cambria Math" w:hAnsi="Cambria Math"/>
                  <w:i/>
                  <w:lang w:val="en-GB"/>
                </w:rPr>
              </m:ctrlPr>
            </m:sSubPr>
            <m:e>
              <m:r>
                <w:rPr>
                  <w:rFonts w:ascii="Cambria Math" w:hAnsi="Cambria Math"/>
                  <w:lang w:val="en-GB"/>
                </w:rPr>
                <m:t>∆lnGB</m:t>
              </m:r>
            </m:e>
            <m:sub>
              <m:r>
                <w:rPr>
                  <w:rFonts w:ascii="Cambria Math" w:hAnsi="Cambria Math"/>
                  <w:lang w:val="en-GB"/>
                </w:rPr>
                <m:t>t</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0</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1</m:t>
              </m:r>
            </m:sub>
          </m:sSub>
          <m:r>
            <w:rPr>
              <w:rFonts w:ascii="Cambria Math" w:hAnsi="Cambria Math"/>
              <w:lang w:val="en-GB"/>
            </w:rPr>
            <m:t>ln</m:t>
          </m:r>
          <m:sSub>
            <m:sSubPr>
              <m:ctrlPr>
                <w:rPr>
                  <w:rFonts w:ascii="Cambria Math" w:hAnsi="Cambria Math"/>
                  <w:i/>
                  <w:lang w:val="en-GB"/>
                </w:rPr>
              </m:ctrlPr>
            </m:sSubPr>
            <m:e>
              <m:r>
                <w:rPr>
                  <w:rFonts w:ascii="Cambria Math" w:hAnsi="Cambria Math"/>
                  <w:lang w:val="en-GB"/>
                </w:rPr>
                <m:t>GB</m:t>
              </m:r>
            </m:e>
            <m:sub>
              <m:r>
                <w:rPr>
                  <w:rFonts w:ascii="Cambria Math" w:hAnsi="Cambria Math"/>
                  <w:lang w:val="en-GB"/>
                </w:rPr>
                <m:t>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m:t>
              </m:r>
            </m:sub>
          </m:sSub>
          <m:sSubSup>
            <m:sSubSupPr>
              <m:ctrlPr>
                <w:rPr>
                  <w:rFonts w:ascii="Cambria Math" w:hAnsi="Cambria Math"/>
                  <w:i/>
                  <w:lang w:val="en-GB"/>
                </w:rPr>
              </m:ctrlPr>
            </m:sSubSupPr>
            <m:e>
              <m:r>
                <w:rPr>
                  <w:rFonts w:ascii="Cambria Math" w:hAnsi="Cambria Math"/>
                  <w:lang w:val="en-GB"/>
                </w:rPr>
                <m:t>lnGPRT</m:t>
              </m:r>
            </m:e>
            <m:sub>
              <m:r>
                <w:rPr>
                  <w:rFonts w:ascii="Cambria Math" w:hAnsi="Cambria Math"/>
                  <w:lang w:val="en-GB"/>
                </w:rPr>
                <m:t>t-1</m:t>
              </m:r>
            </m:sub>
            <m:sup>
              <m:r>
                <w:rPr>
                  <w:rFonts w:ascii="Cambria Math" w:hAnsi="Cambria Math"/>
                  <w:lang w:val="en-GB"/>
                </w:rPr>
                <m:t>+</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2</m:t>
              </m:r>
            </m:sub>
          </m:sSub>
          <m:sSubSup>
            <m:sSubSupPr>
              <m:ctrlPr>
                <w:rPr>
                  <w:rFonts w:ascii="Cambria Math" w:hAnsi="Cambria Math"/>
                  <w:i/>
                  <w:lang w:val="en-GB"/>
                </w:rPr>
              </m:ctrlPr>
            </m:sSubSupPr>
            <m:e>
              <m:r>
                <w:rPr>
                  <w:rFonts w:ascii="Cambria Math" w:hAnsi="Cambria Math"/>
                  <w:lang w:val="en-GB"/>
                </w:rPr>
                <m:t>lnGPRT</m:t>
              </m:r>
            </m:e>
            <m:sub>
              <m:r>
                <w:rPr>
                  <w:rFonts w:ascii="Cambria Math" w:hAnsi="Cambria Math"/>
                  <w:lang w:val="en-GB"/>
                </w:rPr>
                <m:t>t-1</m:t>
              </m:r>
            </m:sub>
            <m:sup>
              <m:r>
                <w:rPr>
                  <w:rFonts w:ascii="Cambria Math" w:hAnsi="Cambria Math"/>
                  <w:lang w:val="en-GB"/>
                </w:rPr>
                <m:t>-</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3</m:t>
              </m:r>
            </m:sub>
          </m:sSub>
          <m:r>
            <w:rPr>
              <w:rFonts w:ascii="Cambria Math" w:hAnsi="Cambria Math"/>
              <w:lang w:val="en-GB"/>
            </w:rPr>
            <m:t>ln</m:t>
          </m:r>
          <m:sSub>
            <m:sSubPr>
              <m:ctrlPr>
                <w:rPr>
                  <w:rFonts w:ascii="Cambria Math" w:hAnsi="Cambria Math"/>
                  <w:i/>
                  <w:lang w:val="en-GB"/>
                </w:rPr>
              </m:ctrlPr>
            </m:sSubPr>
            <m:e>
              <m:r>
                <w:rPr>
                  <w:rFonts w:ascii="Cambria Math" w:hAnsi="Cambria Math"/>
                  <w:lang w:val="en-GB"/>
                </w:rPr>
                <m:t>EPU</m:t>
              </m:r>
            </m:e>
            <m:sub>
              <m:r>
                <w:rPr>
                  <w:rFonts w:ascii="Cambria Math" w:hAnsi="Cambria Math"/>
                  <w:lang w:val="en-GB"/>
                </w:rPr>
                <m:t>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4</m:t>
              </m:r>
            </m:sub>
          </m:sSub>
          <m:sSub>
            <m:sSubPr>
              <m:ctrlPr>
                <w:rPr>
                  <w:rFonts w:ascii="Cambria Math" w:hAnsi="Cambria Math"/>
                  <w:i/>
                  <w:lang w:val="en-GB"/>
                </w:rPr>
              </m:ctrlPr>
            </m:sSubPr>
            <m:e>
              <m:r>
                <w:rPr>
                  <w:rFonts w:ascii="Cambria Math" w:hAnsi="Cambria Math"/>
                  <w:lang w:val="en-GB"/>
                </w:rPr>
                <m:t>lnGPRA</m:t>
              </m:r>
            </m:e>
            <m:sub>
              <m:r>
                <w:rPr>
                  <w:rFonts w:ascii="Cambria Math" w:hAnsi="Cambria Math"/>
                  <w:lang w:val="en-GB"/>
                </w:rPr>
                <m:t>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5</m:t>
              </m:r>
            </m:sub>
          </m:sSub>
          <m:sSub>
            <m:sSubPr>
              <m:ctrlPr>
                <w:rPr>
                  <w:rFonts w:ascii="Cambria Math" w:hAnsi="Cambria Math"/>
                  <w:i/>
                  <w:lang w:val="en-GB"/>
                </w:rPr>
              </m:ctrlPr>
            </m:sSubPr>
            <m:e>
              <m:r>
                <w:rPr>
                  <w:rFonts w:ascii="Cambria Math" w:hAnsi="Cambria Math"/>
                  <w:lang w:val="en-GB"/>
                </w:rPr>
                <m:t>lnWTI</m:t>
              </m:r>
            </m:e>
            <m:sub>
              <m:r>
                <w:rPr>
                  <w:rFonts w:ascii="Cambria Math" w:hAnsi="Cambria Math"/>
                  <w:lang w:val="en-GB"/>
                </w:rPr>
                <m:t>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7</m:t>
              </m:r>
            </m:sub>
          </m:sSub>
          <m:sSub>
            <m:sSubPr>
              <m:ctrlPr>
                <w:rPr>
                  <w:rFonts w:ascii="Cambria Math" w:hAnsi="Cambria Math"/>
                  <w:i/>
                  <w:lang w:val="en-GB"/>
                </w:rPr>
              </m:ctrlPr>
            </m:sSubPr>
            <m:e>
              <m:r>
                <w:rPr>
                  <w:rFonts w:ascii="Cambria Math" w:hAnsi="Cambria Math"/>
                  <w:lang w:val="en-GB"/>
                </w:rPr>
                <m:t>lnSP500</m:t>
              </m:r>
            </m:e>
            <m:sub>
              <m:r>
                <w:rPr>
                  <w:rFonts w:ascii="Cambria Math" w:hAnsi="Cambria Math"/>
                  <w:lang w:val="en-GB"/>
                </w:rPr>
                <m:t>t-1</m:t>
              </m:r>
            </m:sub>
          </m:sSub>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i=0</m:t>
              </m:r>
            </m:sub>
            <m:sup>
              <m:r>
                <w:rPr>
                  <w:rFonts w:ascii="Cambria Math" w:hAnsi="Cambria Math"/>
                  <w:lang w:val="en-GB"/>
                </w:rPr>
                <m:t>l</m:t>
              </m:r>
            </m:sup>
            <m:e>
              <m:sSub>
                <m:sSubPr>
                  <m:ctrlPr>
                    <w:rPr>
                      <w:rFonts w:ascii="Cambria Math" w:hAnsi="Cambria Math"/>
                      <w:i/>
                      <w:lang w:val="en-GB"/>
                    </w:rPr>
                  </m:ctrlPr>
                </m:sSubPr>
                <m:e>
                  <m:r>
                    <w:rPr>
                      <w:rFonts w:ascii="Cambria Math" w:hAnsi="Cambria Math"/>
                      <w:lang w:val="en-GB"/>
                    </w:rPr>
                    <m:t>ϕ</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lnEPU</m:t>
                  </m:r>
                </m:e>
                <m:sub>
                  <m:r>
                    <w:rPr>
                      <w:rFonts w:ascii="Cambria Math" w:hAnsi="Cambria Math"/>
                      <w:lang w:val="en-GB"/>
                    </w:rPr>
                    <m:t>t-i</m:t>
                  </m:r>
                </m:sub>
              </m:sSub>
            </m:e>
          </m:nary>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i=0</m:t>
              </m:r>
            </m:sub>
            <m:sup>
              <m:r>
                <w:rPr>
                  <w:rFonts w:ascii="Cambria Math" w:hAnsi="Cambria Math"/>
                  <w:lang w:val="en-GB"/>
                </w:rPr>
                <m:t>m</m:t>
              </m:r>
            </m:sup>
            <m:e>
              <m:sSub>
                <m:sSubPr>
                  <m:ctrlPr>
                    <w:rPr>
                      <w:rFonts w:ascii="Cambria Math" w:hAnsi="Cambria Math"/>
                      <w:i/>
                      <w:lang w:val="en-GB"/>
                    </w:rPr>
                  </m:ctrlPr>
                </m:sSubPr>
                <m:e>
                  <m:r>
                    <w:rPr>
                      <w:rFonts w:ascii="Cambria Math" w:hAnsi="Cambria Math"/>
                      <w:lang w:val="en-GB"/>
                    </w:rPr>
                    <m:t>ϕ</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lnGPRA</m:t>
                  </m:r>
                </m:e>
                <m:sub>
                  <m:r>
                    <w:rPr>
                      <w:rFonts w:ascii="Cambria Math" w:hAnsi="Cambria Math"/>
                      <w:lang w:val="en-GB"/>
                    </w:rPr>
                    <m:t>t-i</m:t>
                  </m:r>
                </m:sub>
              </m:sSub>
            </m:e>
          </m:nary>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i=0</m:t>
              </m:r>
            </m:sub>
            <m:sup>
              <m:r>
                <w:rPr>
                  <w:rFonts w:ascii="Cambria Math" w:hAnsi="Cambria Math"/>
                  <w:lang w:val="en-GB"/>
                </w:rPr>
                <m:t>p</m:t>
              </m:r>
            </m:sup>
            <m:e>
              <m:sSub>
                <m:sSubPr>
                  <m:ctrlPr>
                    <w:rPr>
                      <w:rFonts w:ascii="Cambria Math" w:hAnsi="Cambria Math"/>
                      <w:i/>
                      <w:lang w:val="en-GB"/>
                    </w:rPr>
                  </m:ctrlPr>
                </m:sSubPr>
                <m:e>
                  <m:r>
                    <w:rPr>
                      <w:rFonts w:ascii="Cambria Math" w:hAnsi="Cambria Math"/>
                      <w:lang w:val="en-GB"/>
                    </w:rPr>
                    <m:t>ϕ</m:t>
                  </m:r>
                </m:e>
                <m:sub>
                  <m:r>
                    <w:rPr>
                      <w:rFonts w:ascii="Cambria Math" w:hAnsi="Cambria Math"/>
                      <w:lang w:val="en-GB"/>
                    </w:rPr>
                    <m:t>3</m:t>
                  </m:r>
                </m:sub>
              </m:sSub>
              <m:sSub>
                <m:sSubPr>
                  <m:ctrlPr>
                    <w:rPr>
                      <w:rFonts w:ascii="Cambria Math" w:hAnsi="Cambria Math"/>
                      <w:i/>
                      <w:lang w:val="en-GB"/>
                    </w:rPr>
                  </m:ctrlPr>
                </m:sSubPr>
                <m:e>
                  <m:r>
                    <w:rPr>
                      <w:rFonts w:ascii="Cambria Math" w:hAnsi="Cambria Math"/>
                      <w:lang w:val="en-GB"/>
                    </w:rPr>
                    <m:t>lnWTI</m:t>
                  </m:r>
                </m:e>
                <m:sub>
                  <m:r>
                    <w:rPr>
                      <w:rFonts w:ascii="Cambria Math" w:hAnsi="Cambria Math"/>
                      <w:lang w:val="en-GB"/>
                    </w:rPr>
                    <m:t>t-i</m:t>
                  </m:r>
                </m:sub>
              </m:sSub>
            </m:e>
          </m:nary>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i=0</m:t>
              </m:r>
            </m:sub>
            <m:sup>
              <m:r>
                <w:rPr>
                  <w:rFonts w:ascii="Cambria Math" w:hAnsi="Cambria Math"/>
                  <w:lang w:val="en-GB"/>
                </w:rPr>
                <m:t>q</m:t>
              </m:r>
            </m:sup>
            <m:e>
              <m:sSub>
                <m:sSubPr>
                  <m:ctrlPr>
                    <w:rPr>
                      <w:rFonts w:ascii="Cambria Math" w:hAnsi="Cambria Math"/>
                      <w:i/>
                      <w:lang w:val="en-GB"/>
                    </w:rPr>
                  </m:ctrlPr>
                </m:sSubPr>
                <m:e>
                  <m:r>
                    <w:rPr>
                      <w:rFonts w:ascii="Cambria Math" w:hAnsi="Cambria Math"/>
                      <w:lang w:val="en-GB"/>
                    </w:rPr>
                    <m:t>ϕ</m:t>
                  </m:r>
                </m:e>
                <m:sub>
                  <m:r>
                    <w:rPr>
                      <w:rFonts w:ascii="Cambria Math" w:hAnsi="Cambria Math"/>
                      <w:lang w:val="en-GB"/>
                    </w:rPr>
                    <m:t>4</m:t>
                  </m:r>
                </m:sub>
              </m:sSub>
              <m:sSub>
                <m:sSubPr>
                  <m:ctrlPr>
                    <w:rPr>
                      <w:rFonts w:ascii="Cambria Math" w:hAnsi="Cambria Math"/>
                      <w:i/>
                      <w:lang w:val="en-GB"/>
                    </w:rPr>
                  </m:ctrlPr>
                </m:sSubPr>
                <m:e>
                  <m:r>
                    <w:rPr>
                      <w:rFonts w:ascii="Cambria Math" w:hAnsi="Cambria Math"/>
                      <w:lang w:val="en-GB"/>
                    </w:rPr>
                    <m:t>lnSP500</m:t>
                  </m:r>
                </m:e>
                <m:sub>
                  <m:r>
                    <w:rPr>
                      <w:rFonts w:ascii="Cambria Math" w:hAnsi="Cambria Math"/>
                      <w:lang w:val="en-GB"/>
                    </w:rPr>
                    <m:t>t-i</m:t>
                  </m:r>
                </m:sub>
              </m:sSub>
            </m:e>
          </m:nary>
          <m:r>
            <w:rPr>
              <w:rFonts w:ascii="Cambria Math" w:hAnsi="Cambria Math"/>
              <w:lang w:val="en-GB"/>
            </w:rPr>
            <m:t>+</m:t>
          </m:r>
          <m:nary>
            <m:naryPr>
              <m:chr m:val="∑"/>
              <m:ctrlPr>
                <w:rPr>
                  <w:rFonts w:ascii="Cambria Math" w:hAnsi="Cambria Math"/>
                  <w:i/>
                  <w:lang w:val="en-GB"/>
                </w:rPr>
              </m:ctrlPr>
            </m:naryPr>
            <m:sub>
              <m:r>
                <w:rPr>
                  <w:rFonts w:ascii="Cambria Math" w:hAnsi="Cambria Math"/>
                  <w:lang w:val="en-GB"/>
                </w:rPr>
                <m:t>i =0</m:t>
              </m:r>
            </m:sub>
            <m:sup>
              <m:r>
                <w:rPr>
                  <w:rFonts w:ascii="Cambria Math" w:hAnsi="Cambria Math"/>
                  <w:lang w:val="en-GB"/>
                </w:rPr>
                <m:t>r</m:t>
              </m:r>
            </m:sup>
            <m:e>
              <m:sSub>
                <m:sSubPr>
                  <m:ctrlPr>
                    <w:rPr>
                      <w:rFonts w:ascii="Cambria Math" w:hAnsi="Cambria Math"/>
                      <w:i/>
                      <w:lang w:val="en-GB"/>
                    </w:rPr>
                  </m:ctrlPr>
                </m:sSubPr>
                <m:e>
                  <m:r>
                    <w:rPr>
                      <w:rFonts w:ascii="Cambria Math" w:hAnsi="Cambria Math"/>
                      <w:lang w:val="en-GB"/>
                    </w:rPr>
                    <m:t>ϕ</m:t>
                  </m:r>
                </m:e>
                <m:sub>
                  <m:r>
                    <w:rPr>
                      <w:rFonts w:ascii="Cambria Math" w:hAnsi="Cambria Math"/>
                      <w:lang w:val="en-GB"/>
                    </w:rPr>
                    <m:t>j</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lnGB</m:t>
                  </m:r>
                </m:e>
                <m:sub>
                  <m:r>
                    <w:rPr>
                      <w:rFonts w:ascii="Cambria Math" w:hAnsi="Cambria Math"/>
                      <w:lang w:val="en-GB"/>
                    </w:rPr>
                    <m:t>t-i</m:t>
                  </m:r>
                </m:sub>
              </m:sSub>
            </m:e>
          </m:nary>
          <m:r>
            <w:rPr>
              <w:rFonts w:ascii="Cambria Math" w:hAnsi="Cambria Math"/>
              <w:lang w:val="en-GB"/>
            </w:rPr>
            <m:t>+</m:t>
          </m:r>
          <m:nary>
            <m:naryPr>
              <m:chr m:val="∑"/>
              <m:ctrlPr>
                <w:rPr>
                  <w:rFonts w:ascii="Cambria Math" w:hAnsi="Cambria Math"/>
                  <w:i/>
                  <w:lang w:val="en-GB"/>
                </w:rPr>
              </m:ctrlPr>
            </m:naryPr>
            <m:sub>
              <m:r>
                <w:rPr>
                  <w:rFonts w:ascii="Cambria Math" w:hAnsi="Cambria Math"/>
                  <w:lang w:val="en-GB"/>
                </w:rPr>
                <m:t>i=0</m:t>
              </m:r>
            </m:sub>
            <m:sup>
              <m:r>
                <w:rPr>
                  <w:rFonts w:ascii="Cambria Math" w:hAnsi="Cambria Math"/>
                  <w:lang w:val="en-GB"/>
                </w:rPr>
                <m:t>s</m:t>
              </m:r>
            </m:sup>
            <m:e>
              <m:sSubSup>
                <m:sSubSupPr>
                  <m:ctrlPr>
                    <w:rPr>
                      <w:rFonts w:ascii="Cambria Math" w:hAnsi="Cambria Math"/>
                      <w:i/>
                      <w:lang w:val="en-GB"/>
                    </w:rPr>
                  </m:ctrlPr>
                </m:sSubSupPr>
                <m:e>
                  <m:r>
                    <w:rPr>
                      <w:rFonts w:ascii="Cambria Math" w:hAnsi="Cambria Math"/>
                      <w:lang w:val="en-GB"/>
                    </w:rPr>
                    <m:t>(π</m:t>
                  </m:r>
                </m:e>
                <m:sub>
                  <m:r>
                    <w:rPr>
                      <w:rFonts w:ascii="Cambria Math" w:hAnsi="Cambria Math"/>
                      <w:lang w:val="en-GB"/>
                    </w:rPr>
                    <m:t>t</m:t>
                  </m:r>
                </m:sub>
                <m:sup>
                  <m:r>
                    <w:rPr>
                      <w:rFonts w:ascii="Cambria Math" w:hAnsi="Cambria Math"/>
                      <w:lang w:val="en-GB"/>
                    </w:rPr>
                    <m:t>+</m:t>
                  </m:r>
                </m:sup>
              </m:sSubSup>
              <m:r>
                <w:rPr>
                  <w:rFonts w:ascii="Cambria Math" w:hAnsi="Cambria Math"/>
                  <w:lang w:val="en-GB"/>
                </w:rPr>
                <m:t>∆ln</m:t>
              </m:r>
              <m:sSubSup>
                <m:sSubSupPr>
                  <m:ctrlPr>
                    <w:rPr>
                      <w:rFonts w:ascii="Cambria Math" w:hAnsi="Cambria Math"/>
                      <w:i/>
                      <w:lang w:val="en-GB"/>
                    </w:rPr>
                  </m:ctrlPr>
                </m:sSubSupPr>
                <m:e>
                  <m:r>
                    <w:rPr>
                      <w:rFonts w:ascii="Cambria Math" w:hAnsi="Cambria Math"/>
                      <w:lang w:val="en-GB"/>
                    </w:rPr>
                    <m:t>GPRT</m:t>
                  </m:r>
                </m:e>
                <m:sub>
                  <m:r>
                    <w:rPr>
                      <w:rFonts w:ascii="Cambria Math" w:hAnsi="Cambria Math"/>
                      <w:lang w:val="en-GB"/>
                    </w:rPr>
                    <m:t>t-i</m:t>
                  </m:r>
                </m:sub>
                <m:sup>
                  <m:r>
                    <w:rPr>
                      <w:rFonts w:ascii="Cambria Math" w:hAnsi="Cambria Math"/>
                      <w:lang w:val="en-GB"/>
                    </w:rPr>
                    <m:t>+</m:t>
                  </m:r>
                </m:sup>
              </m:sSubSup>
            </m:e>
          </m:nary>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π</m:t>
              </m:r>
            </m:e>
            <m:sub>
              <m:r>
                <w:rPr>
                  <w:rFonts w:ascii="Cambria Math" w:hAnsi="Cambria Math"/>
                  <w:lang w:val="en-GB"/>
                </w:rPr>
                <m:t>t</m:t>
              </m:r>
            </m:sub>
            <m:sup>
              <m:r>
                <w:rPr>
                  <w:rFonts w:ascii="Cambria Math" w:hAnsi="Cambria Math"/>
                  <w:lang w:val="en-GB"/>
                </w:rPr>
                <m:t>-</m:t>
              </m:r>
            </m:sup>
          </m:sSubSup>
          <m:r>
            <w:rPr>
              <w:rFonts w:ascii="Cambria Math" w:hAnsi="Cambria Math"/>
              <w:lang w:val="en-GB"/>
            </w:rPr>
            <m:t>∆ln</m:t>
          </m:r>
          <m:sSubSup>
            <m:sSubSupPr>
              <m:ctrlPr>
                <w:rPr>
                  <w:rFonts w:ascii="Cambria Math" w:hAnsi="Cambria Math"/>
                  <w:i/>
                  <w:lang w:val="en-GB"/>
                </w:rPr>
              </m:ctrlPr>
            </m:sSubSupPr>
            <m:e>
              <m:r>
                <w:rPr>
                  <w:rFonts w:ascii="Cambria Math" w:hAnsi="Cambria Math"/>
                  <w:lang w:val="en-GB"/>
                </w:rPr>
                <m:t>GPRT</m:t>
              </m:r>
            </m:e>
            <m:sub>
              <m:r>
                <w:rPr>
                  <w:rFonts w:ascii="Cambria Math" w:hAnsi="Cambria Math"/>
                  <w:lang w:val="en-GB"/>
                </w:rPr>
                <m:t>t-i</m:t>
              </m:r>
            </m:sub>
            <m:sup>
              <m:r>
                <w:rPr>
                  <w:rFonts w:ascii="Cambria Math" w:hAnsi="Cambria Math"/>
                  <w:lang w:val="en-GB"/>
                </w:rPr>
                <m:t>-</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t</m:t>
              </m:r>
            </m:sub>
          </m:sSub>
        </m:oMath>
      </m:oMathPara>
    </w:p>
    <w:p w14:paraId="17CEB530" w14:textId="06F1513C" w:rsidR="00FA7225" w:rsidRPr="006F5452" w:rsidRDefault="00FA7225" w:rsidP="00FA7225">
      <w:pPr>
        <w:rPr>
          <w:lang w:val="en-GB"/>
        </w:rPr>
      </w:pPr>
      <w:r w:rsidRPr="006F5452">
        <w:rPr>
          <w:lang w:val="en-GB"/>
        </w:rPr>
        <w:tab/>
      </w:r>
      <w:r w:rsidRPr="006F5452">
        <w:rPr>
          <w:lang w:val="en-GB"/>
        </w:rPr>
        <w:tab/>
      </w:r>
      <w:r w:rsidRPr="006F5452">
        <w:rPr>
          <w:lang w:val="en-GB"/>
        </w:rPr>
        <w:tab/>
      </w:r>
      <w:r w:rsidRPr="006F5452">
        <w:rPr>
          <w:lang w:val="en-GB"/>
        </w:rPr>
        <w:tab/>
      </w:r>
      <w:r w:rsidRPr="006F5452">
        <w:rPr>
          <w:lang w:val="en-GB"/>
        </w:rPr>
        <w:tab/>
      </w:r>
      <w:r w:rsidRPr="006F5452">
        <w:rPr>
          <w:lang w:val="en-GB"/>
        </w:rPr>
        <w:tab/>
      </w:r>
      <w:r w:rsidRPr="006F5452">
        <w:rPr>
          <w:lang w:val="en-GB"/>
        </w:rPr>
        <w:tab/>
      </w:r>
      <w:r w:rsidRPr="006F5452">
        <w:rPr>
          <w:lang w:val="en-GB"/>
        </w:rPr>
        <w:tab/>
      </w:r>
      <w:r w:rsidRPr="006F5452">
        <w:rPr>
          <w:lang w:val="en-GB"/>
        </w:rPr>
        <w:tab/>
      </w:r>
      <w:r w:rsidR="002A4B33" w:rsidRPr="006F5452">
        <w:rPr>
          <w:lang w:val="en-GB"/>
        </w:rPr>
        <w:tab/>
      </w:r>
      <w:r w:rsidR="002A4B33" w:rsidRPr="006F5452">
        <w:rPr>
          <w:lang w:val="en-GB"/>
        </w:rPr>
        <w:tab/>
      </w:r>
      <w:r w:rsidRPr="006F5452">
        <w:rPr>
          <w:lang w:val="en-GB"/>
        </w:rPr>
        <w:tab/>
        <w:t>(6)</w:t>
      </w:r>
    </w:p>
    <w:p w14:paraId="7009C17C" w14:textId="77777777" w:rsidR="00FA7225" w:rsidRPr="006F5452" w:rsidRDefault="00FA7225" w:rsidP="00FA7225">
      <w:pPr>
        <w:rPr>
          <w:lang w:val="en-GB"/>
        </w:rPr>
      </w:pPr>
    </w:p>
    <w:p w14:paraId="0F46DEF4" w14:textId="341D49D3" w:rsidR="007E3543" w:rsidRPr="006F5452" w:rsidRDefault="00000000" w:rsidP="007E3543">
      <w:pPr>
        <w:ind w:firstLine="432"/>
        <w:rPr>
          <w:rFonts w:eastAsiaTheme="minorEastAsia"/>
          <w:lang w:val="en-GB"/>
        </w:rPr>
      </w:pPr>
      <m:oMathPara>
        <m:oMath>
          <m:sSub>
            <m:sSubPr>
              <m:ctrlPr>
                <w:rPr>
                  <w:rFonts w:ascii="Cambria Math" w:hAnsi="Cambria Math"/>
                  <w:i/>
                  <w:lang w:val="en-GB"/>
                </w:rPr>
              </m:ctrlPr>
            </m:sSubPr>
            <m:e>
              <m:r>
                <w:rPr>
                  <w:rFonts w:ascii="Cambria Math" w:hAnsi="Cambria Math"/>
                  <w:lang w:val="en-GB"/>
                </w:rPr>
                <m:t>∆lnGB</m:t>
              </m:r>
            </m:e>
            <m:sub>
              <m:r>
                <w:rPr>
                  <w:rFonts w:ascii="Cambria Math" w:hAnsi="Cambria Math"/>
                  <w:lang w:val="en-GB"/>
                </w:rPr>
                <m:t>t</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0</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1</m:t>
              </m:r>
            </m:sub>
          </m:sSub>
          <m:r>
            <w:rPr>
              <w:rFonts w:ascii="Cambria Math" w:hAnsi="Cambria Math"/>
              <w:lang w:val="en-GB"/>
            </w:rPr>
            <m:t>ln</m:t>
          </m:r>
          <m:sSub>
            <m:sSubPr>
              <m:ctrlPr>
                <w:rPr>
                  <w:rFonts w:ascii="Cambria Math" w:hAnsi="Cambria Math"/>
                  <w:i/>
                  <w:lang w:val="en-GB"/>
                </w:rPr>
              </m:ctrlPr>
            </m:sSubPr>
            <m:e>
              <m:r>
                <w:rPr>
                  <w:rFonts w:ascii="Cambria Math" w:hAnsi="Cambria Math"/>
                  <w:lang w:val="en-GB"/>
                </w:rPr>
                <m:t>GB</m:t>
              </m:r>
            </m:e>
            <m:sub>
              <m:r>
                <w:rPr>
                  <w:rFonts w:ascii="Cambria Math" w:hAnsi="Cambria Math"/>
                  <w:lang w:val="en-GB"/>
                </w:rPr>
                <m:t>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m:t>
              </m:r>
            </m:sub>
          </m:sSub>
          <m:sSubSup>
            <m:sSubSupPr>
              <m:ctrlPr>
                <w:rPr>
                  <w:rFonts w:ascii="Cambria Math" w:hAnsi="Cambria Math"/>
                  <w:i/>
                  <w:lang w:val="en-GB"/>
                </w:rPr>
              </m:ctrlPr>
            </m:sSubSupPr>
            <m:e>
              <m:r>
                <w:rPr>
                  <w:rFonts w:ascii="Cambria Math" w:hAnsi="Cambria Math"/>
                  <w:lang w:val="en-GB"/>
                </w:rPr>
                <m:t>lnGPRA</m:t>
              </m:r>
            </m:e>
            <m:sub>
              <m:r>
                <w:rPr>
                  <w:rFonts w:ascii="Cambria Math" w:hAnsi="Cambria Math"/>
                  <w:lang w:val="en-GB"/>
                </w:rPr>
                <m:t>t-1</m:t>
              </m:r>
            </m:sub>
            <m:sup>
              <m:r>
                <w:rPr>
                  <w:rFonts w:ascii="Cambria Math" w:hAnsi="Cambria Math"/>
                  <w:lang w:val="en-GB"/>
                </w:rPr>
                <m:t>+</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2</m:t>
              </m:r>
            </m:sub>
          </m:sSub>
          <m:sSubSup>
            <m:sSubSupPr>
              <m:ctrlPr>
                <w:rPr>
                  <w:rFonts w:ascii="Cambria Math" w:hAnsi="Cambria Math"/>
                  <w:i/>
                  <w:lang w:val="en-GB"/>
                </w:rPr>
              </m:ctrlPr>
            </m:sSubSupPr>
            <m:e>
              <m:r>
                <w:rPr>
                  <w:rFonts w:ascii="Cambria Math" w:hAnsi="Cambria Math"/>
                  <w:lang w:val="en-GB"/>
                </w:rPr>
                <m:t>lnGPRA</m:t>
              </m:r>
            </m:e>
            <m:sub>
              <m:r>
                <w:rPr>
                  <w:rFonts w:ascii="Cambria Math" w:hAnsi="Cambria Math"/>
                  <w:lang w:val="en-GB"/>
                </w:rPr>
                <m:t>t-1</m:t>
              </m:r>
            </m:sub>
            <m:sup>
              <m:r>
                <w:rPr>
                  <w:rFonts w:ascii="Cambria Math" w:hAnsi="Cambria Math"/>
                  <w:lang w:val="en-GB"/>
                </w:rPr>
                <m:t>-</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3</m:t>
              </m:r>
            </m:sub>
          </m:sSub>
          <m:sSub>
            <m:sSubPr>
              <m:ctrlPr>
                <w:rPr>
                  <w:rFonts w:ascii="Cambria Math" w:hAnsi="Cambria Math"/>
                  <w:i/>
                  <w:lang w:val="en-GB"/>
                </w:rPr>
              </m:ctrlPr>
            </m:sSubPr>
            <m:e>
              <m:r>
                <w:rPr>
                  <w:rFonts w:ascii="Cambria Math" w:hAnsi="Cambria Math"/>
                  <w:lang w:val="en-GB"/>
                </w:rPr>
                <m:t>lnGPRT</m:t>
              </m:r>
            </m:e>
            <m:sub>
              <m:r>
                <w:rPr>
                  <w:rFonts w:ascii="Cambria Math" w:hAnsi="Cambria Math"/>
                  <w:lang w:val="en-GB"/>
                </w:rPr>
                <m:t>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4</m:t>
              </m:r>
            </m:sub>
          </m:sSub>
          <m:r>
            <w:rPr>
              <w:rFonts w:ascii="Cambria Math" w:hAnsi="Cambria Math"/>
              <w:lang w:val="en-GB"/>
            </w:rPr>
            <m:t>ln</m:t>
          </m:r>
          <m:sSub>
            <m:sSubPr>
              <m:ctrlPr>
                <w:rPr>
                  <w:rFonts w:ascii="Cambria Math" w:hAnsi="Cambria Math"/>
                  <w:i/>
                  <w:lang w:val="en-GB"/>
                </w:rPr>
              </m:ctrlPr>
            </m:sSubPr>
            <m:e>
              <m:r>
                <w:rPr>
                  <w:rFonts w:ascii="Cambria Math" w:hAnsi="Cambria Math"/>
                  <w:lang w:val="en-GB"/>
                </w:rPr>
                <m:t>EPU</m:t>
              </m:r>
            </m:e>
            <m:sub>
              <m:r>
                <w:rPr>
                  <w:rFonts w:ascii="Cambria Math" w:hAnsi="Cambria Math"/>
                  <w:lang w:val="en-GB"/>
                </w:rPr>
                <m:t>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5</m:t>
              </m:r>
            </m:sub>
          </m:sSub>
          <m:r>
            <w:rPr>
              <w:rFonts w:ascii="Cambria Math" w:hAnsi="Cambria Math"/>
              <w:lang w:val="en-GB"/>
            </w:rPr>
            <m:t>ln</m:t>
          </m:r>
          <m:sSub>
            <m:sSubPr>
              <m:ctrlPr>
                <w:rPr>
                  <w:rFonts w:ascii="Cambria Math" w:hAnsi="Cambria Math"/>
                  <w:i/>
                  <w:lang w:val="en-GB"/>
                </w:rPr>
              </m:ctrlPr>
            </m:sSubPr>
            <m:e>
              <m:r>
                <w:rPr>
                  <w:rFonts w:ascii="Cambria Math" w:hAnsi="Cambria Math"/>
                  <w:lang w:val="en-GB"/>
                </w:rPr>
                <m:t>WTI</m:t>
              </m:r>
            </m:e>
            <m:sub>
              <m:r>
                <w:rPr>
                  <w:rFonts w:ascii="Cambria Math" w:hAnsi="Cambria Math"/>
                  <w:lang w:val="en-GB"/>
                </w:rPr>
                <m:t>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7</m:t>
              </m:r>
            </m:sub>
          </m:sSub>
          <m:r>
            <w:rPr>
              <w:rFonts w:ascii="Cambria Math" w:hAnsi="Cambria Math"/>
              <w:lang w:val="en-GB"/>
            </w:rPr>
            <m:t>ln</m:t>
          </m:r>
          <m:sSub>
            <m:sSubPr>
              <m:ctrlPr>
                <w:rPr>
                  <w:rFonts w:ascii="Cambria Math" w:hAnsi="Cambria Math"/>
                  <w:i/>
                  <w:lang w:val="en-GB"/>
                </w:rPr>
              </m:ctrlPr>
            </m:sSubPr>
            <m:e>
              <m:r>
                <w:rPr>
                  <w:rFonts w:ascii="Cambria Math" w:hAnsi="Cambria Math"/>
                  <w:lang w:val="en-GB"/>
                </w:rPr>
                <m:t>SP500</m:t>
              </m:r>
            </m:e>
            <m:sub>
              <m:r>
                <w:rPr>
                  <w:rFonts w:ascii="Cambria Math" w:hAnsi="Cambria Math"/>
                  <w:lang w:val="en-GB"/>
                </w:rPr>
                <m:t>t-1</m:t>
              </m:r>
            </m:sub>
          </m:sSub>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i=0</m:t>
              </m:r>
            </m:sub>
            <m:sup>
              <m:r>
                <w:rPr>
                  <w:rFonts w:ascii="Cambria Math" w:hAnsi="Cambria Math"/>
                  <w:lang w:val="en-GB"/>
                </w:rPr>
                <m:t>l</m:t>
              </m:r>
            </m:sup>
            <m:e>
              <m:sSub>
                <m:sSubPr>
                  <m:ctrlPr>
                    <w:rPr>
                      <w:rFonts w:ascii="Cambria Math" w:hAnsi="Cambria Math"/>
                      <w:i/>
                      <w:lang w:val="en-GB"/>
                    </w:rPr>
                  </m:ctrlPr>
                </m:sSubPr>
                <m:e>
                  <m:r>
                    <w:rPr>
                      <w:rFonts w:ascii="Cambria Math" w:hAnsi="Cambria Math"/>
                      <w:lang w:val="en-GB"/>
                    </w:rPr>
                    <m:t>ϕ</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lnGPRT</m:t>
                  </m:r>
                </m:e>
                <m:sub>
                  <m:r>
                    <w:rPr>
                      <w:rFonts w:ascii="Cambria Math" w:hAnsi="Cambria Math"/>
                      <w:lang w:val="en-GB"/>
                    </w:rPr>
                    <m:t>t-i</m:t>
                  </m:r>
                </m:sub>
              </m:sSub>
            </m:e>
          </m:nary>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i=0</m:t>
              </m:r>
            </m:sub>
            <m:sup>
              <m:r>
                <w:rPr>
                  <w:rFonts w:ascii="Cambria Math" w:hAnsi="Cambria Math"/>
                  <w:lang w:val="en-GB"/>
                </w:rPr>
                <m:t>m</m:t>
              </m:r>
            </m:sup>
            <m:e>
              <m:sSub>
                <m:sSubPr>
                  <m:ctrlPr>
                    <w:rPr>
                      <w:rFonts w:ascii="Cambria Math" w:hAnsi="Cambria Math"/>
                      <w:i/>
                      <w:lang w:val="en-GB"/>
                    </w:rPr>
                  </m:ctrlPr>
                </m:sSubPr>
                <m:e>
                  <m:r>
                    <w:rPr>
                      <w:rFonts w:ascii="Cambria Math" w:hAnsi="Cambria Math"/>
                      <w:lang w:val="en-GB"/>
                    </w:rPr>
                    <m:t>ϕ</m:t>
                  </m:r>
                </m:e>
                <m:sub>
                  <m:r>
                    <w:rPr>
                      <w:rFonts w:ascii="Cambria Math" w:hAnsi="Cambria Math"/>
                      <w:lang w:val="en-GB"/>
                    </w:rPr>
                    <m:t>2</m:t>
                  </m:r>
                </m:sub>
              </m:sSub>
              <m:sSub>
                <m:sSubPr>
                  <m:ctrlPr>
                    <w:rPr>
                      <w:rFonts w:ascii="Cambria Math" w:hAnsi="Cambria Math"/>
                      <w:i/>
                      <w:lang w:val="en-GB"/>
                    </w:rPr>
                  </m:ctrlPr>
                </m:sSubPr>
                <m:e>
                  <m:r>
                    <w:rPr>
                      <w:rFonts w:ascii="Cambria Math" w:hAnsi="Cambria Math"/>
                      <w:lang w:val="en-GB"/>
                    </w:rPr>
                    <m:t>lnGPRT</m:t>
                  </m:r>
                </m:e>
                <m:sub>
                  <m:r>
                    <w:rPr>
                      <w:rFonts w:ascii="Cambria Math" w:hAnsi="Cambria Math"/>
                      <w:lang w:val="en-GB"/>
                    </w:rPr>
                    <m:t>t-i</m:t>
                  </m:r>
                </m:sub>
              </m:sSub>
            </m:e>
          </m:nary>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i=0</m:t>
              </m:r>
            </m:sub>
            <m:sup>
              <m:r>
                <w:rPr>
                  <w:rFonts w:ascii="Cambria Math" w:hAnsi="Cambria Math"/>
                  <w:lang w:val="en-GB"/>
                </w:rPr>
                <m:t>p</m:t>
              </m:r>
            </m:sup>
            <m:e>
              <m:sSub>
                <m:sSubPr>
                  <m:ctrlPr>
                    <w:rPr>
                      <w:rFonts w:ascii="Cambria Math" w:hAnsi="Cambria Math"/>
                      <w:i/>
                      <w:lang w:val="en-GB"/>
                    </w:rPr>
                  </m:ctrlPr>
                </m:sSubPr>
                <m:e>
                  <m:r>
                    <w:rPr>
                      <w:rFonts w:ascii="Cambria Math" w:hAnsi="Cambria Math"/>
                      <w:lang w:val="en-GB"/>
                    </w:rPr>
                    <m:t>ϕ</m:t>
                  </m:r>
                </m:e>
                <m:sub>
                  <m:r>
                    <w:rPr>
                      <w:rFonts w:ascii="Cambria Math" w:hAnsi="Cambria Math"/>
                      <w:lang w:val="en-GB"/>
                    </w:rPr>
                    <m:t>3</m:t>
                  </m:r>
                </m:sub>
              </m:sSub>
              <m:sSub>
                <m:sSubPr>
                  <m:ctrlPr>
                    <w:rPr>
                      <w:rFonts w:ascii="Cambria Math" w:hAnsi="Cambria Math"/>
                      <w:i/>
                      <w:lang w:val="en-GB"/>
                    </w:rPr>
                  </m:ctrlPr>
                </m:sSubPr>
                <m:e>
                  <m:r>
                    <w:rPr>
                      <w:rFonts w:ascii="Cambria Math" w:hAnsi="Cambria Math"/>
                      <w:lang w:val="en-GB"/>
                    </w:rPr>
                    <m:t>lnWTI</m:t>
                  </m:r>
                </m:e>
                <m:sub>
                  <m:r>
                    <w:rPr>
                      <w:rFonts w:ascii="Cambria Math" w:hAnsi="Cambria Math"/>
                      <w:lang w:val="en-GB"/>
                    </w:rPr>
                    <m:t>t-i</m:t>
                  </m:r>
                </m:sub>
              </m:sSub>
            </m:e>
          </m:nary>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i=0</m:t>
              </m:r>
            </m:sub>
            <m:sup>
              <m:r>
                <w:rPr>
                  <w:rFonts w:ascii="Cambria Math" w:hAnsi="Cambria Math"/>
                  <w:lang w:val="en-GB"/>
                </w:rPr>
                <m:t>q</m:t>
              </m:r>
            </m:sup>
            <m:e>
              <m:sSub>
                <m:sSubPr>
                  <m:ctrlPr>
                    <w:rPr>
                      <w:rFonts w:ascii="Cambria Math" w:hAnsi="Cambria Math"/>
                      <w:i/>
                      <w:lang w:val="en-GB"/>
                    </w:rPr>
                  </m:ctrlPr>
                </m:sSubPr>
                <m:e>
                  <m:r>
                    <w:rPr>
                      <w:rFonts w:ascii="Cambria Math" w:hAnsi="Cambria Math"/>
                      <w:lang w:val="en-GB"/>
                    </w:rPr>
                    <m:t>ϕ</m:t>
                  </m:r>
                </m:e>
                <m:sub>
                  <m:r>
                    <w:rPr>
                      <w:rFonts w:ascii="Cambria Math" w:hAnsi="Cambria Math"/>
                      <w:lang w:val="en-GB"/>
                    </w:rPr>
                    <m:t>4</m:t>
                  </m:r>
                </m:sub>
              </m:sSub>
              <m:r>
                <w:rPr>
                  <w:rFonts w:ascii="Cambria Math" w:hAnsi="Cambria Math"/>
                  <w:lang w:val="en-GB"/>
                </w:rPr>
                <m:t>ln</m:t>
              </m:r>
              <m:sSub>
                <m:sSubPr>
                  <m:ctrlPr>
                    <w:rPr>
                      <w:rFonts w:ascii="Cambria Math" w:hAnsi="Cambria Math"/>
                      <w:i/>
                      <w:lang w:val="en-GB"/>
                    </w:rPr>
                  </m:ctrlPr>
                </m:sSubPr>
                <m:e>
                  <m:r>
                    <w:rPr>
                      <w:rFonts w:ascii="Cambria Math" w:hAnsi="Cambria Math"/>
                      <w:lang w:val="en-GB"/>
                    </w:rPr>
                    <m:t>SP500</m:t>
                  </m:r>
                </m:e>
                <m:sub>
                  <m:r>
                    <w:rPr>
                      <w:rFonts w:ascii="Cambria Math" w:hAnsi="Cambria Math"/>
                      <w:lang w:val="en-GB"/>
                    </w:rPr>
                    <m:t>t-i</m:t>
                  </m:r>
                </m:sub>
              </m:sSub>
            </m:e>
          </m:nary>
          <m:r>
            <w:rPr>
              <w:rFonts w:ascii="Cambria Math" w:hAnsi="Cambria Math"/>
              <w:lang w:val="en-GB"/>
            </w:rPr>
            <m:t>+</m:t>
          </m:r>
          <m:nary>
            <m:naryPr>
              <m:chr m:val="∑"/>
              <m:ctrlPr>
                <w:rPr>
                  <w:rFonts w:ascii="Cambria Math" w:hAnsi="Cambria Math"/>
                  <w:i/>
                  <w:lang w:val="en-GB"/>
                </w:rPr>
              </m:ctrlPr>
            </m:naryPr>
            <m:sub>
              <m:r>
                <w:rPr>
                  <w:rFonts w:ascii="Cambria Math" w:hAnsi="Cambria Math"/>
                  <w:lang w:val="en-GB"/>
                </w:rPr>
                <m:t>i =0</m:t>
              </m:r>
            </m:sub>
            <m:sup>
              <m:r>
                <w:rPr>
                  <w:rFonts w:ascii="Cambria Math" w:hAnsi="Cambria Math"/>
                  <w:lang w:val="en-GB"/>
                </w:rPr>
                <m:t>r</m:t>
              </m:r>
            </m:sup>
            <m:e>
              <m:sSub>
                <m:sSubPr>
                  <m:ctrlPr>
                    <w:rPr>
                      <w:rFonts w:ascii="Cambria Math" w:hAnsi="Cambria Math"/>
                      <w:i/>
                      <w:lang w:val="en-GB"/>
                    </w:rPr>
                  </m:ctrlPr>
                </m:sSubPr>
                <m:e>
                  <m:r>
                    <w:rPr>
                      <w:rFonts w:ascii="Cambria Math" w:hAnsi="Cambria Math"/>
                      <w:lang w:val="en-GB"/>
                    </w:rPr>
                    <m:t>ϕ</m:t>
                  </m:r>
                </m:e>
                <m:sub>
                  <m:r>
                    <w:rPr>
                      <w:rFonts w:ascii="Cambria Math" w:hAnsi="Cambria Math"/>
                      <w:lang w:val="en-GB"/>
                    </w:rPr>
                    <m:t>j</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lnGB</m:t>
                  </m:r>
                </m:e>
                <m:sub>
                  <m:r>
                    <w:rPr>
                      <w:rFonts w:ascii="Cambria Math" w:hAnsi="Cambria Math"/>
                      <w:lang w:val="en-GB"/>
                    </w:rPr>
                    <m:t>t-i</m:t>
                  </m:r>
                </m:sub>
              </m:sSub>
            </m:e>
          </m:nary>
          <m:r>
            <w:rPr>
              <w:rFonts w:ascii="Cambria Math" w:hAnsi="Cambria Math"/>
              <w:lang w:val="en-GB"/>
            </w:rPr>
            <m:t>+</m:t>
          </m:r>
          <m:nary>
            <m:naryPr>
              <m:chr m:val="∑"/>
              <m:ctrlPr>
                <w:rPr>
                  <w:rFonts w:ascii="Cambria Math" w:hAnsi="Cambria Math"/>
                  <w:i/>
                  <w:lang w:val="en-GB"/>
                </w:rPr>
              </m:ctrlPr>
            </m:naryPr>
            <m:sub>
              <m:r>
                <w:rPr>
                  <w:rFonts w:ascii="Cambria Math" w:hAnsi="Cambria Math"/>
                  <w:lang w:val="en-GB"/>
                </w:rPr>
                <m:t>i=0</m:t>
              </m:r>
            </m:sub>
            <m:sup>
              <m:r>
                <w:rPr>
                  <w:rFonts w:ascii="Cambria Math" w:hAnsi="Cambria Math"/>
                  <w:lang w:val="en-GB"/>
                </w:rPr>
                <m:t>s</m:t>
              </m:r>
            </m:sup>
            <m:e>
              <m:sSubSup>
                <m:sSubSupPr>
                  <m:ctrlPr>
                    <w:rPr>
                      <w:rFonts w:ascii="Cambria Math" w:hAnsi="Cambria Math"/>
                      <w:i/>
                      <w:lang w:val="en-GB"/>
                    </w:rPr>
                  </m:ctrlPr>
                </m:sSubSupPr>
                <m:e>
                  <m:r>
                    <w:rPr>
                      <w:rFonts w:ascii="Cambria Math" w:hAnsi="Cambria Math"/>
                      <w:lang w:val="en-GB"/>
                    </w:rPr>
                    <m:t>(π</m:t>
                  </m:r>
                </m:e>
                <m:sub>
                  <m:r>
                    <w:rPr>
                      <w:rFonts w:ascii="Cambria Math" w:hAnsi="Cambria Math"/>
                      <w:lang w:val="en-GB"/>
                    </w:rPr>
                    <m:t>t</m:t>
                  </m:r>
                </m:sub>
                <m:sup>
                  <m:r>
                    <w:rPr>
                      <w:rFonts w:ascii="Cambria Math" w:hAnsi="Cambria Math"/>
                      <w:lang w:val="en-GB"/>
                    </w:rPr>
                    <m:t>+</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lnGPRA</m:t>
                  </m:r>
                </m:e>
                <m:sub>
                  <m:r>
                    <w:rPr>
                      <w:rFonts w:ascii="Cambria Math" w:hAnsi="Cambria Math"/>
                      <w:lang w:val="en-GB"/>
                    </w:rPr>
                    <m:t>t-i</m:t>
                  </m:r>
                </m:sub>
                <m:sup>
                  <m:r>
                    <w:rPr>
                      <w:rFonts w:ascii="Cambria Math" w:hAnsi="Cambria Math"/>
                      <w:lang w:val="en-GB"/>
                    </w:rPr>
                    <m:t>+</m:t>
                  </m:r>
                </m:sup>
              </m:sSubSup>
            </m:e>
          </m:nary>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π</m:t>
              </m:r>
            </m:e>
            <m:sub>
              <m:r>
                <w:rPr>
                  <w:rFonts w:ascii="Cambria Math" w:hAnsi="Cambria Math"/>
                  <w:lang w:val="en-GB"/>
                </w:rPr>
                <m:t>t</m:t>
              </m:r>
            </m:sub>
            <m:sup>
              <m:r>
                <w:rPr>
                  <w:rFonts w:ascii="Cambria Math" w:hAnsi="Cambria Math"/>
                  <w:lang w:val="en-GB"/>
                </w:rPr>
                <m:t>-</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lnGPRA</m:t>
              </m:r>
            </m:e>
            <m:sub>
              <m:r>
                <w:rPr>
                  <w:rFonts w:ascii="Cambria Math" w:hAnsi="Cambria Math"/>
                  <w:lang w:val="en-GB"/>
                </w:rPr>
                <m:t>t-i</m:t>
              </m:r>
            </m:sub>
            <m:sup>
              <m:r>
                <w:rPr>
                  <w:rFonts w:ascii="Cambria Math" w:hAnsi="Cambria Math"/>
                  <w:lang w:val="en-GB"/>
                </w:rPr>
                <m:t>-</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t</m:t>
              </m:r>
            </m:sub>
          </m:sSub>
        </m:oMath>
      </m:oMathPara>
    </w:p>
    <w:p w14:paraId="4DB3CB84" w14:textId="69AFFF3E" w:rsidR="00FA7225" w:rsidRPr="006F5452" w:rsidRDefault="00FA7225" w:rsidP="00FA7225">
      <w:pPr>
        <w:rPr>
          <w:lang w:val="en-GB"/>
        </w:rPr>
      </w:pPr>
      <w:r w:rsidRPr="006F5452">
        <w:rPr>
          <w:lang w:val="en-GB"/>
        </w:rPr>
        <w:tab/>
      </w:r>
      <w:r w:rsidRPr="006F5452">
        <w:rPr>
          <w:lang w:val="en-GB"/>
        </w:rPr>
        <w:tab/>
      </w:r>
      <w:r w:rsidRPr="006F5452">
        <w:rPr>
          <w:lang w:val="en-GB"/>
        </w:rPr>
        <w:tab/>
      </w:r>
      <w:r w:rsidRPr="006F5452">
        <w:rPr>
          <w:lang w:val="en-GB"/>
        </w:rPr>
        <w:tab/>
      </w:r>
      <w:r w:rsidRPr="006F5452">
        <w:rPr>
          <w:lang w:val="en-GB"/>
        </w:rPr>
        <w:tab/>
      </w:r>
      <w:r w:rsidRPr="006F5452">
        <w:rPr>
          <w:lang w:val="en-GB"/>
        </w:rPr>
        <w:tab/>
      </w:r>
      <w:r w:rsidRPr="006F5452">
        <w:rPr>
          <w:lang w:val="en-GB"/>
        </w:rPr>
        <w:tab/>
      </w:r>
      <w:r w:rsidRPr="006F5452">
        <w:rPr>
          <w:lang w:val="en-GB"/>
        </w:rPr>
        <w:tab/>
      </w:r>
      <w:r w:rsidRPr="006F5452">
        <w:rPr>
          <w:lang w:val="en-GB"/>
        </w:rPr>
        <w:tab/>
      </w:r>
      <w:r w:rsidRPr="006F5452">
        <w:rPr>
          <w:lang w:val="en-GB"/>
        </w:rPr>
        <w:tab/>
      </w:r>
      <w:r w:rsidR="002A4B33" w:rsidRPr="006F5452">
        <w:rPr>
          <w:lang w:val="en-GB"/>
        </w:rPr>
        <w:tab/>
      </w:r>
      <w:r w:rsidR="002A4B33" w:rsidRPr="006F5452">
        <w:rPr>
          <w:lang w:val="en-GB"/>
        </w:rPr>
        <w:tab/>
      </w:r>
      <w:r w:rsidRPr="006F5452">
        <w:rPr>
          <w:lang w:val="en-GB"/>
        </w:rPr>
        <w:t>(7)</w:t>
      </w:r>
    </w:p>
    <w:p w14:paraId="5DF5B63A" w14:textId="365CAB9C" w:rsidR="007E3543" w:rsidRPr="006F5452" w:rsidRDefault="007E3543" w:rsidP="00FA7225">
      <w:pPr>
        <w:rPr>
          <w:lang w:val="en-GB"/>
        </w:rPr>
      </w:pPr>
    </w:p>
    <w:p w14:paraId="020714E2" w14:textId="7EE55A71" w:rsidR="007E3543" w:rsidRPr="006F5452" w:rsidRDefault="00000000" w:rsidP="007E3543">
      <w:pPr>
        <w:ind w:firstLine="432"/>
        <w:rPr>
          <w:rFonts w:eastAsiaTheme="minorEastAsia"/>
          <w:lang w:val="en-GB"/>
        </w:rPr>
      </w:pPr>
      <m:oMathPara>
        <m:oMath>
          <m:sSub>
            <m:sSubPr>
              <m:ctrlPr>
                <w:rPr>
                  <w:rFonts w:ascii="Cambria Math" w:hAnsi="Cambria Math"/>
                  <w:i/>
                  <w:lang w:val="en-GB"/>
                </w:rPr>
              </m:ctrlPr>
            </m:sSubPr>
            <m:e>
              <m:r>
                <w:rPr>
                  <w:rFonts w:ascii="Cambria Math" w:hAnsi="Cambria Math"/>
                  <w:lang w:val="en-GB"/>
                </w:rPr>
                <m:t>∆lnGB</m:t>
              </m:r>
            </m:e>
            <m:sub>
              <m:r>
                <w:rPr>
                  <w:rFonts w:ascii="Cambria Math" w:hAnsi="Cambria Math"/>
                  <w:lang w:val="en-GB"/>
                </w:rPr>
                <m:t>t</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0</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lnGB</m:t>
              </m:r>
            </m:e>
            <m:sub>
              <m:r>
                <w:rPr>
                  <w:rFonts w:ascii="Cambria Math" w:hAnsi="Cambria Math"/>
                  <w:lang w:val="en-GB"/>
                </w:rPr>
                <m:t>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m:t>
              </m:r>
            </m:sub>
          </m:sSub>
          <m:r>
            <w:rPr>
              <w:rFonts w:ascii="Cambria Math" w:hAnsi="Cambria Math"/>
              <w:lang w:val="en-GB"/>
            </w:rPr>
            <m:t>ln</m:t>
          </m:r>
          <m:sSubSup>
            <m:sSubSupPr>
              <m:ctrlPr>
                <w:rPr>
                  <w:rFonts w:ascii="Cambria Math" w:hAnsi="Cambria Math"/>
                  <w:i/>
                  <w:lang w:val="en-GB"/>
                </w:rPr>
              </m:ctrlPr>
            </m:sSubSupPr>
            <m:e>
              <m:r>
                <w:rPr>
                  <w:rFonts w:ascii="Cambria Math" w:hAnsi="Cambria Math"/>
                  <w:lang w:val="en-GB"/>
                </w:rPr>
                <m:t>WTI</m:t>
              </m:r>
            </m:e>
            <m:sub>
              <m:r>
                <w:rPr>
                  <w:rFonts w:ascii="Cambria Math" w:hAnsi="Cambria Math"/>
                  <w:lang w:val="en-GB"/>
                </w:rPr>
                <m:t>t-1</m:t>
              </m:r>
            </m:sub>
            <m:sup>
              <m:r>
                <w:rPr>
                  <w:rFonts w:ascii="Cambria Math" w:hAnsi="Cambria Math"/>
                  <w:lang w:val="en-GB"/>
                </w:rPr>
                <m:t>+</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2</m:t>
              </m:r>
            </m:sub>
          </m:sSub>
          <m:r>
            <w:rPr>
              <w:rFonts w:ascii="Cambria Math" w:hAnsi="Cambria Math"/>
              <w:lang w:val="en-GB"/>
            </w:rPr>
            <m:t>ln</m:t>
          </m:r>
          <m:sSubSup>
            <m:sSubSupPr>
              <m:ctrlPr>
                <w:rPr>
                  <w:rFonts w:ascii="Cambria Math" w:hAnsi="Cambria Math"/>
                  <w:i/>
                  <w:lang w:val="en-GB"/>
                </w:rPr>
              </m:ctrlPr>
            </m:sSubSupPr>
            <m:e>
              <m:r>
                <w:rPr>
                  <w:rFonts w:ascii="Cambria Math" w:hAnsi="Cambria Math"/>
                  <w:lang w:val="en-GB"/>
                </w:rPr>
                <m:t>WTI</m:t>
              </m:r>
            </m:e>
            <m:sub>
              <m:r>
                <w:rPr>
                  <w:rFonts w:ascii="Cambria Math" w:hAnsi="Cambria Math"/>
                  <w:lang w:val="en-GB"/>
                </w:rPr>
                <m:t>t-1</m:t>
              </m:r>
            </m:sub>
            <m:sup>
              <m:r>
                <w:rPr>
                  <w:rFonts w:ascii="Cambria Math" w:hAnsi="Cambria Math"/>
                  <w:lang w:val="en-GB"/>
                </w:rPr>
                <m:t>-</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3</m:t>
              </m:r>
            </m:sub>
          </m:sSub>
          <m:sSub>
            <m:sSubPr>
              <m:ctrlPr>
                <w:rPr>
                  <w:rFonts w:ascii="Cambria Math" w:hAnsi="Cambria Math"/>
                  <w:i/>
                  <w:lang w:val="en-GB"/>
                </w:rPr>
              </m:ctrlPr>
            </m:sSubPr>
            <m:e>
              <m:r>
                <w:rPr>
                  <w:rFonts w:ascii="Cambria Math" w:hAnsi="Cambria Math"/>
                  <w:lang w:val="en-GB"/>
                </w:rPr>
                <m:t>lnGPRT</m:t>
              </m:r>
            </m:e>
            <m:sub>
              <m:r>
                <w:rPr>
                  <w:rFonts w:ascii="Cambria Math" w:hAnsi="Cambria Math"/>
                  <w:lang w:val="en-GB"/>
                </w:rPr>
                <m:t>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4</m:t>
              </m:r>
            </m:sub>
          </m:sSub>
          <m:sSub>
            <m:sSubPr>
              <m:ctrlPr>
                <w:rPr>
                  <w:rFonts w:ascii="Cambria Math" w:hAnsi="Cambria Math"/>
                  <w:i/>
                  <w:lang w:val="en-GB"/>
                </w:rPr>
              </m:ctrlPr>
            </m:sSubPr>
            <m:e>
              <m:r>
                <w:rPr>
                  <w:rFonts w:ascii="Cambria Math" w:hAnsi="Cambria Math"/>
                  <w:lang w:val="en-GB"/>
                </w:rPr>
                <m:t>lnGPRA</m:t>
              </m:r>
            </m:e>
            <m:sub>
              <m:r>
                <w:rPr>
                  <w:rFonts w:ascii="Cambria Math" w:hAnsi="Cambria Math"/>
                  <w:lang w:val="en-GB"/>
                </w:rPr>
                <m:t>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5</m:t>
              </m:r>
            </m:sub>
          </m:sSub>
          <m:r>
            <w:rPr>
              <w:rFonts w:ascii="Cambria Math" w:hAnsi="Cambria Math"/>
              <w:lang w:val="en-GB"/>
            </w:rPr>
            <m:t>ln</m:t>
          </m:r>
          <m:sSub>
            <m:sSubPr>
              <m:ctrlPr>
                <w:rPr>
                  <w:rFonts w:ascii="Cambria Math" w:hAnsi="Cambria Math"/>
                  <w:i/>
                  <w:lang w:val="en-GB"/>
                </w:rPr>
              </m:ctrlPr>
            </m:sSubPr>
            <m:e>
              <m:r>
                <w:rPr>
                  <w:rFonts w:ascii="Cambria Math" w:hAnsi="Cambria Math"/>
                  <w:lang w:val="en-GB"/>
                </w:rPr>
                <m:t>EPU</m:t>
              </m:r>
            </m:e>
            <m:sub>
              <m:r>
                <w:rPr>
                  <w:rFonts w:ascii="Cambria Math" w:hAnsi="Cambria Math"/>
                  <w:lang w:val="en-GB"/>
                </w:rPr>
                <m:t>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7</m:t>
              </m:r>
            </m:sub>
          </m:sSub>
          <m:sSub>
            <m:sSubPr>
              <m:ctrlPr>
                <w:rPr>
                  <w:rFonts w:ascii="Cambria Math" w:hAnsi="Cambria Math"/>
                  <w:i/>
                  <w:lang w:val="en-GB"/>
                </w:rPr>
              </m:ctrlPr>
            </m:sSubPr>
            <m:e>
              <m:r>
                <w:rPr>
                  <w:rFonts w:ascii="Cambria Math" w:hAnsi="Cambria Math"/>
                  <w:lang w:val="en-GB"/>
                </w:rPr>
                <m:t>lnSP500</m:t>
              </m:r>
            </m:e>
            <m:sub>
              <m:r>
                <w:rPr>
                  <w:rFonts w:ascii="Cambria Math" w:hAnsi="Cambria Math"/>
                  <w:lang w:val="en-GB"/>
                </w:rPr>
                <m:t>t-1</m:t>
              </m:r>
            </m:sub>
          </m:sSub>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i=0</m:t>
              </m:r>
            </m:sub>
            <m:sup>
              <m:r>
                <w:rPr>
                  <w:rFonts w:ascii="Cambria Math" w:hAnsi="Cambria Math"/>
                  <w:lang w:val="en-GB"/>
                </w:rPr>
                <m:t>l</m:t>
              </m:r>
            </m:sup>
            <m:e>
              <m:sSub>
                <m:sSubPr>
                  <m:ctrlPr>
                    <w:rPr>
                      <w:rFonts w:ascii="Cambria Math" w:hAnsi="Cambria Math"/>
                      <w:i/>
                      <w:lang w:val="en-GB"/>
                    </w:rPr>
                  </m:ctrlPr>
                </m:sSubPr>
                <m:e>
                  <m:r>
                    <w:rPr>
                      <w:rFonts w:ascii="Cambria Math" w:hAnsi="Cambria Math"/>
                      <w:lang w:val="en-GB"/>
                    </w:rPr>
                    <m:t>ϕ</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lnGPRT</m:t>
                  </m:r>
                </m:e>
                <m:sub>
                  <m:r>
                    <w:rPr>
                      <w:rFonts w:ascii="Cambria Math" w:hAnsi="Cambria Math"/>
                      <w:lang w:val="en-GB"/>
                    </w:rPr>
                    <m:t>t-i</m:t>
                  </m:r>
                </m:sub>
              </m:sSub>
            </m:e>
          </m:nary>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i=0</m:t>
              </m:r>
            </m:sub>
            <m:sup>
              <m:r>
                <w:rPr>
                  <w:rFonts w:ascii="Cambria Math" w:hAnsi="Cambria Math"/>
                  <w:lang w:val="en-GB"/>
                </w:rPr>
                <m:t>m</m:t>
              </m:r>
            </m:sup>
            <m:e>
              <m:sSub>
                <m:sSubPr>
                  <m:ctrlPr>
                    <w:rPr>
                      <w:rFonts w:ascii="Cambria Math" w:hAnsi="Cambria Math"/>
                      <w:i/>
                      <w:lang w:val="en-GB"/>
                    </w:rPr>
                  </m:ctrlPr>
                </m:sSubPr>
                <m:e>
                  <m:r>
                    <w:rPr>
                      <w:rFonts w:ascii="Cambria Math" w:hAnsi="Cambria Math"/>
                      <w:lang w:val="en-GB"/>
                    </w:rPr>
                    <m:t>ϕ</m:t>
                  </m:r>
                </m:e>
                <m:sub>
                  <m:r>
                    <w:rPr>
                      <w:rFonts w:ascii="Cambria Math" w:hAnsi="Cambria Math"/>
                      <w:lang w:val="en-GB"/>
                    </w:rPr>
                    <m:t>2</m:t>
                  </m:r>
                </m:sub>
              </m:sSub>
              <m:r>
                <w:rPr>
                  <w:rFonts w:ascii="Cambria Math" w:hAnsi="Cambria Math"/>
                  <w:lang w:val="en-GB"/>
                </w:rPr>
                <m:t>ln</m:t>
              </m:r>
              <m:sSub>
                <m:sSubPr>
                  <m:ctrlPr>
                    <w:rPr>
                      <w:rFonts w:ascii="Cambria Math" w:hAnsi="Cambria Math"/>
                      <w:i/>
                      <w:lang w:val="en-GB"/>
                    </w:rPr>
                  </m:ctrlPr>
                </m:sSubPr>
                <m:e>
                  <m:r>
                    <w:rPr>
                      <w:rFonts w:ascii="Cambria Math" w:hAnsi="Cambria Math"/>
                      <w:lang w:val="en-GB"/>
                    </w:rPr>
                    <m:t>GPRA</m:t>
                  </m:r>
                </m:e>
                <m:sub>
                  <m:r>
                    <w:rPr>
                      <w:rFonts w:ascii="Cambria Math" w:hAnsi="Cambria Math"/>
                      <w:lang w:val="en-GB"/>
                    </w:rPr>
                    <m:t>t-i</m:t>
                  </m:r>
                </m:sub>
              </m:sSub>
            </m:e>
          </m:nary>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i=0</m:t>
              </m:r>
            </m:sub>
            <m:sup>
              <m:r>
                <w:rPr>
                  <w:rFonts w:ascii="Cambria Math" w:hAnsi="Cambria Math"/>
                  <w:lang w:val="en-GB"/>
                </w:rPr>
                <m:t>p</m:t>
              </m:r>
            </m:sup>
            <m:e>
              <m:sSub>
                <m:sSubPr>
                  <m:ctrlPr>
                    <w:rPr>
                      <w:rFonts w:ascii="Cambria Math" w:hAnsi="Cambria Math"/>
                      <w:i/>
                      <w:lang w:val="en-GB"/>
                    </w:rPr>
                  </m:ctrlPr>
                </m:sSubPr>
                <m:e>
                  <m:r>
                    <w:rPr>
                      <w:rFonts w:ascii="Cambria Math" w:hAnsi="Cambria Math"/>
                      <w:lang w:val="en-GB"/>
                    </w:rPr>
                    <m:t>ϕ</m:t>
                  </m:r>
                </m:e>
                <m:sub>
                  <m:r>
                    <w:rPr>
                      <w:rFonts w:ascii="Cambria Math" w:hAnsi="Cambria Math"/>
                      <w:lang w:val="en-GB"/>
                    </w:rPr>
                    <m:t>3</m:t>
                  </m:r>
                </m:sub>
              </m:sSub>
              <m:r>
                <w:rPr>
                  <w:rFonts w:ascii="Cambria Math" w:hAnsi="Cambria Math"/>
                  <w:lang w:val="en-GB"/>
                </w:rPr>
                <m:t>ln</m:t>
              </m:r>
              <m:sSub>
                <m:sSubPr>
                  <m:ctrlPr>
                    <w:rPr>
                      <w:rFonts w:ascii="Cambria Math" w:hAnsi="Cambria Math"/>
                      <w:i/>
                      <w:lang w:val="en-GB"/>
                    </w:rPr>
                  </m:ctrlPr>
                </m:sSubPr>
                <m:e>
                  <m:r>
                    <w:rPr>
                      <w:rFonts w:ascii="Cambria Math" w:hAnsi="Cambria Math"/>
                      <w:lang w:val="en-GB"/>
                    </w:rPr>
                    <m:t>EPU</m:t>
                  </m:r>
                </m:e>
                <m:sub>
                  <m:r>
                    <w:rPr>
                      <w:rFonts w:ascii="Cambria Math" w:hAnsi="Cambria Math"/>
                      <w:lang w:val="en-GB"/>
                    </w:rPr>
                    <m:t>t-i</m:t>
                  </m:r>
                </m:sub>
              </m:sSub>
            </m:e>
          </m:nary>
          <m:r>
            <w:rPr>
              <w:rFonts w:ascii="Cambria Math" w:hAnsi="Cambria Math"/>
              <w:lang w:val="en-GB"/>
            </w:rPr>
            <m:t>+</m:t>
          </m:r>
          <m:nary>
            <m:naryPr>
              <m:chr m:val="∑"/>
              <m:limLoc m:val="undOvr"/>
              <m:ctrlPr>
                <w:rPr>
                  <w:rFonts w:ascii="Cambria Math" w:hAnsi="Cambria Math"/>
                  <w:i/>
                  <w:lang w:val="en-GB"/>
                </w:rPr>
              </m:ctrlPr>
            </m:naryPr>
            <m:sub>
              <m:r>
                <w:rPr>
                  <w:rFonts w:ascii="Cambria Math" w:hAnsi="Cambria Math"/>
                  <w:lang w:val="en-GB"/>
                </w:rPr>
                <m:t>i=0</m:t>
              </m:r>
            </m:sub>
            <m:sup>
              <m:r>
                <w:rPr>
                  <w:rFonts w:ascii="Cambria Math" w:hAnsi="Cambria Math"/>
                  <w:lang w:val="en-GB"/>
                </w:rPr>
                <m:t>q</m:t>
              </m:r>
            </m:sup>
            <m:e>
              <m:sSub>
                <m:sSubPr>
                  <m:ctrlPr>
                    <w:rPr>
                      <w:rFonts w:ascii="Cambria Math" w:hAnsi="Cambria Math"/>
                      <w:i/>
                      <w:lang w:val="en-GB"/>
                    </w:rPr>
                  </m:ctrlPr>
                </m:sSubPr>
                <m:e>
                  <m:r>
                    <w:rPr>
                      <w:rFonts w:ascii="Cambria Math" w:hAnsi="Cambria Math"/>
                      <w:lang w:val="en-GB"/>
                    </w:rPr>
                    <m:t>ϕ</m:t>
                  </m:r>
                </m:e>
                <m:sub>
                  <m:r>
                    <w:rPr>
                      <w:rFonts w:ascii="Cambria Math" w:hAnsi="Cambria Math"/>
                      <w:lang w:val="en-GB"/>
                    </w:rPr>
                    <m:t>4</m:t>
                  </m:r>
                </m:sub>
              </m:sSub>
              <m:r>
                <w:rPr>
                  <w:rFonts w:ascii="Cambria Math" w:hAnsi="Cambria Math"/>
                  <w:lang w:val="en-GB"/>
                </w:rPr>
                <m:t>ln</m:t>
              </m:r>
              <m:sSub>
                <m:sSubPr>
                  <m:ctrlPr>
                    <w:rPr>
                      <w:rFonts w:ascii="Cambria Math" w:hAnsi="Cambria Math"/>
                      <w:i/>
                      <w:lang w:val="en-GB"/>
                    </w:rPr>
                  </m:ctrlPr>
                </m:sSubPr>
                <m:e>
                  <m:r>
                    <w:rPr>
                      <w:rFonts w:ascii="Cambria Math" w:hAnsi="Cambria Math"/>
                      <w:lang w:val="en-GB"/>
                    </w:rPr>
                    <m:t>SP500</m:t>
                  </m:r>
                </m:e>
                <m:sub>
                  <m:r>
                    <w:rPr>
                      <w:rFonts w:ascii="Cambria Math" w:hAnsi="Cambria Math"/>
                      <w:lang w:val="en-GB"/>
                    </w:rPr>
                    <m:t>t-i</m:t>
                  </m:r>
                </m:sub>
              </m:sSub>
            </m:e>
          </m:nary>
          <m:r>
            <w:rPr>
              <w:rFonts w:ascii="Cambria Math" w:hAnsi="Cambria Math"/>
              <w:lang w:val="en-GB"/>
            </w:rPr>
            <m:t>+</m:t>
          </m:r>
          <m:nary>
            <m:naryPr>
              <m:chr m:val="∑"/>
              <m:ctrlPr>
                <w:rPr>
                  <w:rFonts w:ascii="Cambria Math" w:hAnsi="Cambria Math"/>
                  <w:i/>
                  <w:lang w:val="en-GB"/>
                </w:rPr>
              </m:ctrlPr>
            </m:naryPr>
            <m:sub>
              <m:r>
                <w:rPr>
                  <w:rFonts w:ascii="Cambria Math" w:hAnsi="Cambria Math"/>
                  <w:lang w:val="en-GB"/>
                </w:rPr>
                <m:t>i =0</m:t>
              </m:r>
            </m:sub>
            <m:sup>
              <m:r>
                <w:rPr>
                  <w:rFonts w:ascii="Cambria Math" w:hAnsi="Cambria Math"/>
                  <w:lang w:val="en-GB"/>
                </w:rPr>
                <m:t>r</m:t>
              </m:r>
            </m:sup>
            <m:e>
              <m:sSub>
                <m:sSubPr>
                  <m:ctrlPr>
                    <w:rPr>
                      <w:rFonts w:ascii="Cambria Math" w:hAnsi="Cambria Math"/>
                      <w:i/>
                      <w:lang w:val="en-GB"/>
                    </w:rPr>
                  </m:ctrlPr>
                </m:sSubPr>
                <m:e>
                  <m:r>
                    <w:rPr>
                      <w:rFonts w:ascii="Cambria Math" w:hAnsi="Cambria Math"/>
                      <w:lang w:val="en-GB"/>
                    </w:rPr>
                    <m:t>ϕ</m:t>
                  </m:r>
                </m:e>
                <m:sub>
                  <m:r>
                    <w:rPr>
                      <w:rFonts w:ascii="Cambria Math" w:hAnsi="Cambria Math"/>
                      <w:lang w:val="en-GB"/>
                    </w:rPr>
                    <m:t>j</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lnGB</m:t>
                  </m:r>
                </m:e>
                <m:sub>
                  <m:r>
                    <w:rPr>
                      <w:rFonts w:ascii="Cambria Math" w:hAnsi="Cambria Math"/>
                      <w:lang w:val="en-GB"/>
                    </w:rPr>
                    <m:t>t-i</m:t>
                  </m:r>
                </m:sub>
              </m:sSub>
            </m:e>
          </m:nary>
          <m:r>
            <w:rPr>
              <w:rFonts w:ascii="Cambria Math" w:hAnsi="Cambria Math"/>
              <w:lang w:val="en-GB"/>
            </w:rPr>
            <m:t>+</m:t>
          </m:r>
          <m:nary>
            <m:naryPr>
              <m:chr m:val="∑"/>
              <m:ctrlPr>
                <w:rPr>
                  <w:rFonts w:ascii="Cambria Math" w:hAnsi="Cambria Math"/>
                  <w:i/>
                  <w:lang w:val="en-GB"/>
                </w:rPr>
              </m:ctrlPr>
            </m:naryPr>
            <m:sub>
              <m:r>
                <w:rPr>
                  <w:rFonts w:ascii="Cambria Math" w:hAnsi="Cambria Math"/>
                  <w:lang w:val="en-GB"/>
                </w:rPr>
                <m:t>i=0</m:t>
              </m:r>
            </m:sub>
            <m:sup>
              <m:r>
                <w:rPr>
                  <w:rFonts w:ascii="Cambria Math" w:hAnsi="Cambria Math"/>
                  <w:lang w:val="en-GB"/>
                </w:rPr>
                <m:t>s</m:t>
              </m:r>
            </m:sup>
            <m:e>
              <m:sSubSup>
                <m:sSubSupPr>
                  <m:ctrlPr>
                    <w:rPr>
                      <w:rFonts w:ascii="Cambria Math" w:hAnsi="Cambria Math"/>
                      <w:i/>
                      <w:lang w:val="en-GB"/>
                    </w:rPr>
                  </m:ctrlPr>
                </m:sSubSupPr>
                <m:e>
                  <m:r>
                    <w:rPr>
                      <w:rFonts w:ascii="Cambria Math" w:hAnsi="Cambria Math"/>
                      <w:lang w:val="en-GB"/>
                    </w:rPr>
                    <m:t>(π</m:t>
                  </m:r>
                </m:e>
                <m:sub>
                  <m:r>
                    <w:rPr>
                      <w:rFonts w:ascii="Cambria Math" w:hAnsi="Cambria Math"/>
                      <w:lang w:val="en-GB"/>
                    </w:rPr>
                    <m:t>t</m:t>
                  </m:r>
                </m:sub>
                <m:sup>
                  <m:r>
                    <w:rPr>
                      <w:rFonts w:ascii="Cambria Math" w:hAnsi="Cambria Math"/>
                      <w:lang w:val="en-GB"/>
                    </w:rPr>
                    <m:t>+</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lnWTI</m:t>
                  </m:r>
                </m:e>
                <m:sub>
                  <m:r>
                    <w:rPr>
                      <w:rFonts w:ascii="Cambria Math" w:hAnsi="Cambria Math"/>
                      <w:lang w:val="en-GB"/>
                    </w:rPr>
                    <m:t>t-i</m:t>
                  </m:r>
                </m:sub>
                <m:sup>
                  <m:r>
                    <w:rPr>
                      <w:rFonts w:ascii="Cambria Math" w:hAnsi="Cambria Math"/>
                      <w:lang w:val="en-GB"/>
                    </w:rPr>
                    <m:t>+</m:t>
                  </m:r>
                </m:sup>
              </m:sSubSup>
            </m:e>
          </m:nary>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π</m:t>
              </m:r>
            </m:e>
            <m:sub>
              <m:r>
                <w:rPr>
                  <w:rFonts w:ascii="Cambria Math" w:hAnsi="Cambria Math"/>
                  <w:lang w:val="en-GB"/>
                </w:rPr>
                <m:t>t</m:t>
              </m:r>
            </m:sub>
            <m:sup>
              <m:r>
                <w:rPr>
                  <w:rFonts w:ascii="Cambria Math" w:hAnsi="Cambria Math"/>
                  <w:lang w:val="en-GB"/>
                </w:rPr>
                <m:t>-</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lnWTI</m:t>
              </m:r>
            </m:e>
            <m:sub>
              <m:r>
                <w:rPr>
                  <w:rFonts w:ascii="Cambria Math" w:hAnsi="Cambria Math"/>
                  <w:lang w:val="en-GB"/>
                </w:rPr>
                <m:t>t-i</m:t>
              </m:r>
            </m:sub>
            <m:sup>
              <m:r>
                <w:rPr>
                  <w:rFonts w:ascii="Cambria Math" w:hAnsi="Cambria Math"/>
                  <w:lang w:val="en-GB"/>
                </w:rPr>
                <m:t>-</m:t>
              </m:r>
            </m:sup>
          </m:sSubSup>
          <m:r>
            <w:rPr>
              <w:rFonts w:ascii="Cambria Math" w:hAnsi="Cambria Math"/>
              <w:lang w:val="en-GB"/>
            </w:rPr>
            <m:t>)+</m:t>
          </m:r>
          <m:sSub>
            <m:sSubPr>
              <m:ctrlPr>
                <w:rPr>
                  <w:rFonts w:ascii="Cambria Math" w:hAnsi="Cambria Math"/>
                  <w:i/>
                  <w:lang w:val="en-GB"/>
                </w:rPr>
              </m:ctrlPr>
            </m:sSubPr>
            <m:e>
              <m:r>
                <w:rPr>
                  <w:rFonts w:ascii="Cambria Math" w:hAnsi="Cambria Math"/>
                  <w:lang w:val="en-GB"/>
                </w:rPr>
                <m:t>ε</m:t>
              </m:r>
            </m:e>
            <m:sub>
              <m:r>
                <w:rPr>
                  <w:rFonts w:ascii="Cambria Math" w:hAnsi="Cambria Math"/>
                  <w:lang w:val="en-GB"/>
                </w:rPr>
                <m:t>t</m:t>
              </m:r>
            </m:sub>
          </m:sSub>
        </m:oMath>
      </m:oMathPara>
    </w:p>
    <w:p w14:paraId="1C303FAA" w14:textId="1FDFD78D" w:rsidR="007E3543" w:rsidRPr="006F5452" w:rsidRDefault="00F17A06" w:rsidP="00FA7225">
      <w:pPr>
        <w:rPr>
          <w:lang w:val="en-GB"/>
        </w:rPr>
      </w:pPr>
      <w:r w:rsidRPr="006F5452">
        <w:rPr>
          <w:lang w:val="en-GB"/>
        </w:rPr>
        <w:tab/>
      </w:r>
      <w:r w:rsidRPr="006F5452">
        <w:rPr>
          <w:lang w:val="en-GB"/>
        </w:rPr>
        <w:tab/>
      </w:r>
      <w:r w:rsidRPr="006F5452">
        <w:rPr>
          <w:lang w:val="en-GB"/>
        </w:rPr>
        <w:tab/>
      </w:r>
      <w:r w:rsidRPr="006F5452">
        <w:rPr>
          <w:lang w:val="en-GB"/>
        </w:rPr>
        <w:tab/>
      </w:r>
      <w:r w:rsidRPr="006F5452">
        <w:rPr>
          <w:lang w:val="en-GB"/>
        </w:rPr>
        <w:tab/>
      </w:r>
      <w:r w:rsidRPr="006F5452">
        <w:rPr>
          <w:lang w:val="en-GB"/>
        </w:rPr>
        <w:tab/>
      </w:r>
      <w:r w:rsidRPr="006F5452">
        <w:rPr>
          <w:lang w:val="en-GB"/>
        </w:rPr>
        <w:tab/>
      </w:r>
      <w:r w:rsidRPr="006F5452">
        <w:rPr>
          <w:lang w:val="en-GB"/>
        </w:rPr>
        <w:tab/>
      </w:r>
      <w:r w:rsidRPr="006F5452">
        <w:rPr>
          <w:lang w:val="en-GB"/>
        </w:rPr>
        <w:tab/>
      </w:r>
      <w:r w:rsidRPr="006F5452">
        <w:rPr>
          <w:lang w:val="en-GB"/>
        </w:rPr>
        <w:tab/>
      </w:r>
      <w:r w:rsidR="002A4B33" w:rsidRPr="006F5452">
        <w:rPr>
          <w:lang w:val="en-GB"/>
        </w:rPr>
        <w:tab/>
      </w:r>
      <w:r w:rsidRPr="006F5452">
        <w:rPr>
          <w:lang w:val="en-GB"/>
        </w:rPr>
        <w:tab/>
        <w:t>(8)</w:t>
      </w:r>
    </w:p>
    <w:p w14:paraId="511F5D72" w14:textId="77777777" w:rsidR="002A4B33" w:rsidRPr="006F5452" w:rsidRDefault="002A4B33" w:rsidP="002A4B33">
      <w:pPr>
        <w:ind w:firstLine="720"/>
        <w:jc w:val="both"/>
        <w:rPr>
          <w:lang w:val="en-GB"/>
        </w:rPr>
      </w:pPr>
    </w:p>
    <w:p w14:paraId="05935389" w14:textId="16EF8E79" w:rsidR="00FA7225" w:rsidRPr="006F5452" w:rsidRDefault="00FA7225" w:rsidP="002A4B33">
      <w:pPr>
        <w:ind w:firstLine="720"/>
        <w:jc w:val="both"/>
        <w:rPr>
          <w:rFonts w:eastAsiaTheme="minorEastAsia"/>
          <w:lang w:val="en-GB"/>
        </w:rPr>
      </w:pPr>
      <w:r w:rsidRPr="006F5452">
        <w:rPr>
          <w:lang w:val="en-GB"/>
        </w:rPr>
        <w:t xml:space="preserve">In Equations </w:t>
      </w:r>
      <w:r w:rsidR="000D16F5" w:rsidRPr="006F5452">
        <w:rPr>
          <w:lang w:val="en-GB"/>
        </w:rPr>
        <w:t>(</w:t>
      </w:r>
      <w:r w:rsidRPr="006F5452">
        <w:rPr>
          <w:lang w:val="en-GB"/>
        </w:rPr>
        <w:t>5</w:t>
      </w:r>
      <w:r w:rsidR="000D16F5" w:rsidRPr="006F5452">
        <w:rPr>
          <w:lang w:val="en-GB"/>
        </w:rPr>
        <w:t>)</w:t>
      </w:r>
      <w:r w:rsidRPr="006F5452">
        <w:rPr>
          <w:lang w:val="en-GB"/>
        </w:rPr>
        <w:t xml:space="preserve">, </w:t>
      </w:r>
      <w:r w:rsidR="000D16F5" w:rsidRPr="006F5452">
        <w:rPr>
          <w:lang w:val="en-GB"/>
        </w:rPr>
        <w:t>(</w:t>
      </w:r>
      <w:r w:rsidRPr="006F5452">
        <w:rPr>
          <w:lang w:val="en-GB"/>
        </w:rPr>
        <w:t>6</w:t>
      </w:r>
      <w:r w:rsidR="000D16F5" w:rsidRPr="006F5452">
        <w:rPr>
          <w:lang w:val="en-GB"/>
        </w:rPr>
        <w:t>)</w:t>
      </w:r>
      <w:r w:rsidRPr="006F5452">
        <w:rPr>
          <w:lang w:val="en-GB"/>
        </w:rPr>
        <w:t>,</w:t>
      </w:r>
      <w:r w:rsidR="0064410D" w:rsidRPr="006F5452">
        <w:rPr>
          <w:lang w:val="en-GB"/>
        </w:rPr>
        <w:t xml:space="preserve"> </w:t>
      </w:r>
      <w:r w:rsidR="000D16F5" w:rsidRPr="006F5452">
        <w:rPr>
          <w:lang w:val="en-GB"/>
        </w:rPr>
        <w:t>(</w:t>
      </w:r>
      <w:r w:rsidRPr="006F5452">
        <w:rPr>
          <w:lang w:val="en-GB"/>
        </w:rPr>
        <w:t>7</w:t>
      </w:r>
      <w:r w:rsidR="000D16F5" w:rsidRPr="006F5452">
        <w:rPr>
          <w:lang w:val="en-GB"/>
        </w:rPr>
        <w:t>)</w:t>
      </w:r>
      <w:r w:rsidRPr="006F5452">
        <w:rPr>
          <w:lang w:val="en-GB"/>
        </w:rPr>
        <w:t>,</w:t>
      </w:r>
      <w:r w:rsidR="0064410D" w:rsidRPr="006F5452">
        <w:rPr>
          <w:lang w:val="en-GB"/>
        </w:rPr>
        <w:t xml:space="preserve"> and </w:t>
      </w:r>
      <w:r w:rsidR="000D16F5" w:rsidRPr="006F5452">
        <w:rPr>
          <w:lang w:val="en-GB"/>
        </w:rPr>
        <w:t>(</w:t>
      </w:r>
      <w:r w:rsidR="0064410D" w:rsidRPr="006F5452">
        <w:rPr>
          <w:lang w:val="en-GB"/>
        </w:rPr>
        <w:t>8</w:t>
      </w:r>
      <w:r w:rsidR="000D16F5" w:rsidRPr="006F5452">
        <w:rPr>
          <w:lang w:val="en-GB"/>
        </w:rPr>
        <w:t>)</w:t>
      </w:r>
      <w:r w:rsidR="0064410D" w:rsidRPr="006F5452">
        <w:rPr>
          <w:lang w:val="en-GB"/>
        </w:rPr>
        <w:t>,</w:t>
      </w:r>
      <w:r w:rsidRPr="006F5452">
        <w:rPr>
          <w:lang w:val="en-GB"/>
        </w:rPr>
        <w:t xml:space="preserve"> </w:t>
      </w:r>
      <w:bookmarkStart w:id="5" w:name="_Hlk106182957"/>
      <w:r w:rsidR="000C6DF7" w:rsidRPr="006F5452">
        <w:rPr>
          <w:lang w:val="en-GB"/>
        </w:rPr>
        <w:t xml:space="preserve">the terms </w:t>
      </w:r>
      <w:r w:rsidR="0064410D" w:rsidRPr="006F5452">
        <w:rPr>
          <w:rFonts w:eastAsiaTheme="minorEastAsia"/>
          <w:lang w:val="en-GB"/>
        </w:rPr>
        <w:t>GB</w:t>
      </w:r>
      <w:r w:rsidRPr="006F5452">
        <w:rPr>
          <w:rFonts w:eastAsiaTheme="minorEastAsia"/>
          <w:lang w:val="en-GB"/>
        </w:rPr>
        <w:t xml:space="preserve"> represent </w:t>
      </w:r>
      <w:r w:rsidR="0064410D" w:rsidRPr="006F5452">
        <w:rPr>
          <w:rFonts w:eastAsiaTheme="minorEastAsia"/>
          <w:lang w:val="en-GB"/>
        </w:rPr>
        <w:t>green bond returns</w:t>
      </w:r>
      <w:r w:rsidRPr="006F5452">
        <w:rPr>
          <w:rFonts w:eastAsiaTheme="minorEastAsia"/>
          <w:lang w:val="en-GB"/>
        </w:rPr>
        <w:t xml:space="preserve"> prices, </w:t>
      </w:r>
      <w:r w:rsidR="0064410D" w:rsidRPr="006F5452">
        <w:rPr>
          <w:rFonts w:eastAsiaTheme="minorEastAsia"/>
          <w:lang w:val="en-GB"/>
        </w:rPr>
        <w:t>EPU</w:t>
      </w:r>
      <w:r w:rsidRPr="006F5452">
        <w:rPr>
          <w:rFonts w:eastAsiaTheme="minorEastAsia"/>
          <w:lang w:val="en-GB"/>
        </w:rPr>
        <w:t xml:space="preserve"> represent</w:t>
      </w:r>
      <w:r w:rsidR="00342444">
        <w:rPr>
          <w:rFonts w:eastAsiaTheme="minorEastAsia"/>
          <w:lang w:val="en-GB"/>
        </w:rPr>
        <w:t>s</w:t>
      </w:r>
      <w:r w:rsidRPr="006F5452">
        <w:rPr>
          <w:rFonts w:eastAsiaTheme="minorEastAsia"/>
          <w:lang w:val="en-GB"/>
        </w:rPr>
        <w:t xml:space="preserve"> </w:t>
      </w:r>
      <w:r w:rsidR="000C6DF7" w:rsidRPr="006F5452">
        <w:rPr>
          <w:rFonts w:eastAsiaTheme="minorEastAsia"/>
          <w:lang w:val="en-GB"/>
        </w:rPr>
        <w:t xml:space="preserve">the uncertainty associated with </w:t>
      </w:r>
      <w:r w:rsidR="0064410D" w:rsidRPr="006F5452">
        <w:rPr>
          <w:rFonts w:eastAsiaTheme="minorEastAsia"/>
          <w:lang w:val="en-GB"/>
        </w:rPr>
        <w:t>US economic policy</w:t>
      </w:r>
      <w:r w:rsidRPr="006F5452">
        <w:rPr>
          <w:rFonts w:eastAsiaTheme="minorEastAsia"/>
          <w:lang w:val="en-GB"/>
        </w:rPr>
        <w:t>, G</w:t>
      </w:r>
      <w:r w:rsidR="0064410D" w:rsidRPr="006F5452">
        <w:rPr>
          <w:rFonts w:eastAsiaTheme="minorEastAsia"/>
          <w:lang w:val="en-GB"/>
        </w:rPr>
        <w:t>PR</w:t>
      </w:r>
      <w:r w:rsidRPr="006F5452">
        <w:rPr>
          <w:rFonts w:eastAsiaTheme="minorEastAsia"/>
          <w:lang w:val="en-GB"/>
        </w:rPr>
        <w:t>T represent</w:t>
      </w:r>
      <w:r w:rsidR="00342444">
        <w:rPr>
          <w:rFonts w:eastAsiaTheme="minorEastAsia"/>
          <w:lang w:val="en-GB"/>
        </w:rPr>
        <w:t>s</w:t>
      </w:r>
      <w:r w:rsidRPr="006F5452">
        <w:rPr>
          <w:rFonts w:eastAsiaTheme="minorEastAsia"/>
          <w:lang w:val="en-GB"/>
        </w:rPr>
        <w:t xml:space="preserve"> </w:t>
      </w:r>
      <w:r w:rsidR="000C6DF7" w:rsidRPr="006F5452">
        <w:rPr>
          <w:rFonts w:eastAsiaTheme="minorEastAsia"/>
          <w:lang w:val="en-GB"/>
        </w:rPr>
        <w:t xml:space="preserve">the </w:t>
      </w:r>
      <w:r w:rsidR="0064410D" w:rsidRPr="006F5452">
        <w:rPr>
          <w:rFonts w:eastAsiaTheme="minorEastAsia"/>
          <w:lang w:val="en-GB"/>
        </w:rPr>
        <w:lastRenderedPageBreak/>
        <w:t>geopolitical threats</w:t>
      </w:r>
      <w:r w:rsidRPr="006F5452">
        <w:rPr>
          <w:rFonts w:eastAsiaTheme="minorEastAsia"/>
          <w:lang w:val="en-GB"/>
        </w:rPr>
        <w:t xml:space="preserve">, </w:t>
      </w:r>
      <w:r w:rsidR="0064410D" w:rsidRPr="006F5452">
        <w:rPr>
          <w:rFonts w:eastAsiaTheme="minorEastAsia"/>
          <w:lang w:val="en-GB"/>
        </w:rPr>
        <w:t xml:space="preserve">GPRA </w:t>
      </w:r>
      <w:r w:rsidR="00C23A23" w:rsidRPr="006F5452">
        <w:rPr>
          <w:rFonts w:eastAsiaTheme="minorEastAsia"/>
          <w:lang w:val="en-GB"/>
        </w:rPr>
        <w:t>represent</w:t>
      </w:r>
      <w:r w:rsidR="00342444">
        <w:rPr>
          <w:rFonts w:eastAsiaTheme="minorEastAsia"/>
          <w:lang w:val="en-GB"/>
        </w:rPr>
        <w:t>s</w:t>
      </w:r>
      <w:r w:rsidR="00C23A23" w:rsidRPr="006F5452">
        <w:rPr>
          <w:rFonts w:eastAsiaTheme="minorEastAsia"/>
          <w:lang w:val="en-GB"/>
        </w:rPr>
        <w:t xml:space="preserve"> </w:t>
      </w:r>
      <w:r w:rsidR="0064410D" w:rsidRPr="006F5452">
        <w:rPr>
          <w:rFonts w:eastAsiaTheme="minorEastAsia"/>
          <w:lang w:val="en-GB"/>
        </w:rPr>
        <w:t xml:space="preserve">the geopolitical acts, WTI </w:t>
      </w:r>
      <w:r w:rsidR="00C23A23" w:rsidRPr="006F5452">
        <w:rPr>
          <w:rFonts w:eastAsiaTheme="minorEastAsia"/>
          <w:lang w:val="en-GB"/>
        </w:rPr>
        <w:t>represent</w:t>
      </w:r>
      <w:r w:rsidR="00342444">
        <w:rPr>
          <w:rFonts w:eastAsiaTheme="minorEastAsia"/>
          <w:lang w:val="en-GB"/>
        </w:rPr>
        <w:t>s</w:t>
      </w:r>
      <w:r w:rsidR="0064410D" w:rsidRPr="006F5452">
        <w:rPr>
          <w:rFonts w:eastAsiaTheme="minorEastAsia"/>
          <w:lang w:val="en-GB"/>
        </w:rPr>
        <w:t xml:space="preserve"> the </w:t>
      </w:r>
      <w:r w:rsidR="00F816D1" w:rsidRPr="006F5452">
        <w:rPr>
          <w:rFonts w:eastAsiaTheme="minorEastAsia"/>
          <w:lang w:val="en-GB"/>
        </w:rPr>
        <w:t xml:space="preserve">West Texas Intermediate </w:t>
      </w:r>
      <w:r w:rsidR="0064410D" w:rsidRPr="006F5452">
        <w:rPr>
          <w:rFonts w:eastAsiaTheme="minorEastAsia"/>
          <w:lang w:val="en-GB"/>
        </w:rPr>
        <w:t xml:space="preserve">crude oil prices, </w:t>
      </w:r>
      <w:r w:rsidRPr="006F5452">
        <w:rPr>
          <w:rFonts w:eastAsiaTheme="minorEastAsia"/>
          <w:lang w:val="en-GB"/>
        </w:rPr>
        <w:t>and SP500 represent</w:t>
      </w:r>
      <w:r w:rsidR="00C23A23" w:rsidRPr="006F5452">
        <w:rPr>
          <w:rFonts w:eastAsiaTheme="minorEastAsia"/>
          <w:lang w:val="en-GB"/>
        </w:rPr>
        <w:t xml:space="preserve"> the</w:t>
      </w:r>
      <w:r w:rsidRPr="006F5452">
        <w:rPr>
          <w:rFonts w:eastAsiaTheme="minorEastAsia"/>
          <w:lang w:val="en-GB"/>
        </w:rPr>
        <w:t xml:space="preserve"> </w:t>
      </w:r>
      <w:r w:rsidR="00C23A23" w:rsidRPr="006F5452">
        <w:rPr>
          <w:rFonts w:eastAsiaTheme="minorEastAsia"/>
          <w:lang w:val="en-GB"/>
        </w:rPr>
        <w:t xml:space="preserve">Standard &amp; Poor's </w:t>
      </w:r>
      <w:r w:rsidRPr="006F5452">
        <w:rPr>
          <w:rFonts w:eastAsiaTheme="minorEastAsia"/>
          <w:lang w:val="en-GB"/>
        </w:rPr>
        <w:t>500</w:t>
      </w:r>
      <w:r w:rsidR="00C23A23" w:rsidRPr="006F5452">
        <w:rPr>
          <w:rFonts w:eastAsiaTheme="minorEastAsia"/>
          <w:lang w:val="en-GB"/>
        </w:rPr>
        <w:t xml:space="preserve"> stock market</w:t>
      </w:r>
      <w:r w:rsidRPr="006F5452">
        <w:rPr>
          <w:rFonts w:eastAsiaTheme="minorEastAsia"/>
          <w:lang w:val="en-GB"/>
        </w:rPr>
        <w:t xml:space="preserve"> composite index</w:t>
      </w:r>
      <w:bookmarkEnd w:id="5"/>
      <w:r w:rsidRPr="006F5452">
        <w:rPr>
          <w:rFonts w:eastAsiaTheme="minorEastAsia"/>
          <w:lang w:val="en-GB"/>
        </w:rPr>
        <w:t>. We</w:t>
      </w:r>
      <w:r w:rsidR="000C6DF7" w:rsidRPr="006F5452">
        <w:rPr>
          <w:rFonts w:eastAsiaTheme="minorEastAsia"/>
          <w:lang w:val="en-GB"/>
        </w:rPr>
        <w:t xml:space="preserve"> use</w:t>
      </w:r>
      <w:r w:rsidRPr="006F5452">
        <w:rPr>
          <w:rFonts w:eastAsiaTheme="minorEastAsia"/>
          <w:lang w:val="en-GB"/>
        </w:rPr>
        <w:t xml:space="preserve"> </w:t>
      </w:r>
      <w:r w:rsidR="00C23A23" w:rsidRPr="006F5452">
        <w:rPr>
          <w:rFonts w:eastAsiaTheme="minorEastAsia"/>
          <w:lang w:val="en-GB"/>
        </w:rPr>
        <w:t xml:space="preserve">the </w:t>
      </w:r>
      <w:r w:rsidRPr="006F5452">
        <w:rPr>
          <w:rFonts w:eastAsiaTheme="minorEastAsia"/>
          <w:lang w:val="en-GB"/>
        </w:rPr>
        <w:t xml:space="preserve">S&amp;P 500 index to capture global financial and macroeconomic trends </w:t>
      </w:r>
      <w:r w:rsidR="00C23A23" w:rsidRPr="006F5452">
        <w:rPr>
          <w:rFonts w:eastAsiaTheme="minorEastAsia"/>
          <w:lang w:val="en-GB"/>
        </w:rPr>
        <w:t xml:space="preserve">as well as </w:t>
      </w:r>
      <w:r w:rsidRPr="006F5452">
        <w:rPr>
          <w:rFonts w:eastAsiaTheme="minorEastAsia"/>
          <w:lang w:val="en-GB"/>
        </w:rPr>
        <w:t xml:space="preserve">demand for clean energy prices. SP500 is </w:t>
      </w:r>
      <w:r w:rsidR="00C23A23" w:rsidRPr="006F5452">
        <w:rPr>
          <w:rFonts w:eastAsiaTheme="minorEastAsia"/>
          <w:lang w:val="en-GB"/>
        </w:rPr>
        <w:t xml:space="preserve">a suitable indicator based on </w:t>
      </w:r>
      <w:r w:rsidRPr="006F5452">
        <w:rPr>
          <w:rFonts w:eastAsiaTheme="minorEastAsia"/>
          <w:lang w:val="en-GB"/>
        </w:rPr>
        <w:t xml:space="preserve">recent evidence </w:t>
      </w:r>
      <w:r w:rsidR="00C23A23" w:rsidRPr="006F5452">
        <w:rPr>
          <w:rFonts w:eastAsiaTheme="minorEastAsia"/>
          <w:lang w:val="en-GB"/>
        </w:rPr>
        <w:t xml:space="preserve">(e.g., </w:t>
      </w:r>
      <w:r w:rsidR="006F10D0" w:rsidRPr="006F5452">
        <w:rPr>
          <w:rFonts w:eastAsiaTheme="minorEastAsia"/>
          <w:lang w:val="en-GB"/>
        </w:rPr>
        <w:t xml:space="preserve">Bertheau, 2020; </w:t>
      </w:r>
      <w:r w:rsidRPr="006F5452">
        <w:rPr>
          <w:rFonts w:eastAsiaTheme="minorEastAsia"/>
          <w:lang w:val="en-GB"/>
        </w:rPr>
        <w:t>Demir et al.</w:t>
      </w:r>
      <w:r w:rsidR="00C23A23" w:rsidRPr="006F5452">
        <w:rPr>
          <w:rFonts w:eastAsiaTheme="minorEastAsia"/>
          <w:lang w:val="en-GB"/>
        </w:rPr>
        <w:t xml:space="preserve">, </w:t>
      </w:r>
      <w:r w:rsidRPr="006F5452">
        <w:rPr>
          <w:rFonts w:eastAsiaTheme="minorEastAsia"/>
          <w:lang w:val="en-GB"/>
        </w:rPr>
        <w:t>2021</w:t>
      </w:r>
      <w:r w:rsidR="006F10D0" w:rsidRPr="006F5452">
        <w:rPr>
          <w:rFonts w:eastAsiaTheme="minorEastAsia"/>
          <w:lang w:val="en-GB"/>
        </w:rPr>
        <w:t>; Kumar et al., 2021</w:t>
      </w:r>
      <w:r w:rsidRPr="006F5452">
        <w:rPr>
          <w:rFonts w:eastAsiaTheme="minorEastAsia"/>
          <w:lang w:val="en-GB"/>
        </w:rPr>
        <w:t xml:space="preserve">). </w:t>
      </w:r>
    </w:p>
    <w:p w14:paraId="3DAD8122" w14:textId="77777777" w:rsidR="00FA7225" w:rsidRPr="006F5452" w:rsidRDefault="00FA7225" w:rsidP="00FA7225">
      <w:pPr>
        <w:jc w:val="both"/>
        <w:rPr>
          <w:rFonts w:eastAsiaTheme="minorEastAsia"/>
          <w:lang w:val="en-GB"/>
        </w:rPr>
      </w:pPr>
    </w:p>
    <w:p w14:paraId="7FF8544E" w14:textId="0AC87BEE" w:rsidR="00FA7225" w:rsidRPr="006F5452" w:rsidRDefault="00FA7225" w:rsidP="002A4B33">
      <w:pPr>
        <w:ind w:firstLine="720"/>
        <w:jc w:val="both"/>
        <w:rPr>
          <w:rFonts w:eastAsiaTheme="minorEastAsia"/>
          <w:lang w:val="en-GB"/>
        </w:rPr>
      </w:pPr>
      <w:r w:rsidRPr="006F5452">
        <w:rPr>
          <w:rFonts w:eastAsiaTheme="minorEastAsia"/>
          <w:lang w:val="en-GB"/>
        </w:rPr>
        <w:t xml:space="preserve">We </w:t>
      </w:r>
      <w:r w:rsidR="00E74CF5" w:rsidRPr="006F5452">
        <w:rPr>
          <w:rFonts w:eastAsiaTheme="minorEastAsia"/>
          <w:lang w:val="en-GB"/>
        </w:rPr>
        <w:t xml:space="preserve">would </w:t>
      </w:r>
      <w:r w:rsidRPr="006F5452">
        <w:rPr>
          <w:rFonts w:eastAsiaTheme="minorEastAsia"/>
          <w:lang w:val="en-GB"/>
        </w:rPr>
        <w:t xml:space="preserve">conclude that the effect </w:t>
      </w:r>
      <w:r w:rsidR="00E74CF5" w:rsidRPr="006F5452">
        <w:rPr>
          <w:rFonts w:eastAsiaTheme="minorEastAsia"/>
          <w:lang w:val="en-GB"/>
        </w:rPr>
        <w:t>will be</w:t>
      </w:r>
      <w:r w:rsidRPr="006F5452">
        <w:rPr>
          <w:rFonts w:eastAsiaTheme="minorEastAsia"/>
          <w:lang w:val="en-GB"/>
        </w:rPr>
        <w:t xml:space="preserve"> asymmetric in the short run if </w:t>
      </w:r>
      <m:oMath>
        <m:sSubSup>
          <m:sSubSupPr>
            <m:ctrlPr>
              <w:rPr>
                <w:rFonts w:ascii="Cambria Math" w:eastAsiaTheme="minorEastAsia" w:hAnsi="Cambria Math"/>
                <w:i/>
                <w:lang w:val="en-GB"/>
              </w:rPr>
            </m:ctrlPr>
          </m:sSubSupPr>
          <m:e>
            <m:r>
              <w:rPr>
                <w:rFonts w:ascii="Cambria Math" w:eastAsiaTheme="minorEastAsia" w:hAnsi="Cambria Math"/>
                <w:lang w:val="en-GB"/>
              </w:rPr>
              <m:t>π</m:t>
            </m:r>
          </m:e>
          <m:sub>
            <m:r>
              <w:rPr>
                <w:rFonts w:ascii="Cambria Math" w:eastAsiaTheme="minorEastAsia" w:hAnsi="Cambria Math"/>
                <w:lang w:val="en-GB"/>
              </w:rPr>
              <m:t>i</m:t>
            </m:r>
          </m:sub>
          <m:sup>
            <m:r>
              <w:rPr>
                <w:rFonts w:ascii="Cambria Math" w:eastAsiaTheme="minorEastAsia" w:hAnsi="Cambria Math"/>
                <w:lang w:val="en-GB"/>
              </w:rPr>
              <m:t>+</m:t>
            </m:r>
          </m:sup>
        </m:sSubSup>
        <m:r>
          <w:rPr>
            <w:rFonts w:ascii="Cambria Math" w:eastAsiaTheme="minorEastAsia" w:hAnsi="Cambria Math"/>
            <w:lang w:val="en-GB"/>
          </w:rPr>
          <m:t xml:space="preserve">≠ </m:t>
        </m:r>
        <m:sSubSup>
          <m:sSubSupPr>
            <m:ctrlPr>
              <w:rPr>
                <w:rFonts w:ascii="Cambria Math" w:eastAsiaTheme="minorEastAsia" w:hAnsi="Cambria Math"/>
                <w:i/>
                <w:lang w:val="en-GB"/>
              </w:rPr>
            </m:ctrlPr>
          </m:sSubSupPr>
          <m:e>
            <m:r>
              <w:rPr>
                <w:rFonts w:ascii="Cambria Math" w:eastAsiaTheme="minorEastAsia" w:hAnsi="Cambria Math"/>
                <w:lang w:val="en-GB"/>
              </w:rPr>
              <m:t>π</m:t>
            </m:r>
          </m:e>
          <m:sub>
            <m:r>
              <w:rPr>
                <w:rFonts w:ascii="Cambria Math" w:eastAsiaTheme="minorEastAsia" w:hAnsi="Cambria Math"/>
                <w:lang w:val="en-GB"/>
              </w:rPr>
              <m:t>i</m:t>
            </m:r>
          </m:sub>
          <m:sup>
            <m:r>
              <w:rPr>
                <w:rFonts w:ascii="Cambria Math" w:eastAsiaTheme="minorEastAsia" w:hAnsi="Cambria Math"/>
                <w:lang w:val="en-GB"/>
              </w:rPr>
              <m:t>-</m:t>
            </m:r>
          </m:sup>
        </m:sSubSup>
      </m:oMath>
      <w:r w:rsidRPr="006F5452">
        <w:rPr>
          <w:rFonts w:eastAsiaTheme="minorEastAsia"/>
          <w:lang w:val="en-GB"/>
        </w:rPr>
        <w:t xml:space="preserve"> for all </w:t>
      </w:r>
      <m:oMath>
        <m:r>
          <w:rPr>
            <w:rFonts w:ascii="Cambria Math" w:eastAsiaTheme="minorEastAsia" w:hAnsi="Cambria Math"/>
            <w:lang w:val="en-GB"/>
          </w:rPr>
          <m:t>i = 0,…,r</m:t>
        </m:r>
      </m:oMath>
      <w:r w:rsidRPr="006F5452">
        <w:rPr>
          <w:rFonts w:eastAsiaTheme="minorEastAsia"/>
          <w:lang w:val="en-GB"/>
        </w:rPr>
        <w:t xml:space="preserve">. Similarly, if </w:t>
      </w:r>
      <m:oMath>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2</m:t>
            </m:r>
          </m:sub>
        </m:sSub>
        <m:r>
          <w:rPr>
            <w:rFonts w:ascii="Cambria Math" w:hAnsi="Cambria Math"/>
            <w:lang w:val="en-GB"/>
          </w:rPr>
          <m:t xml:space="preserve">, </m:t>
        </m:r>
      </m:oMath>
      <w:r w:rsidRPr="006F5452">
        <w:rPr>
          <w:rFonts w:eastAsiaTheme="minorEastAsia"/>
          <w:lang w:val="en-GB"/>
        </w:rPr>
        <w:t xml:space="preserve">we </w:t>
      </w:r>
      <w:r w:rsidR="00E74CF5" w:rsidRPr="006F5452">
        <w:rPr>
          <w:rFonts w:eastAsiaTheme="minorEastAsia"/>
          <w:lang w:val="en-GB"/>
        </w:rPr>
        <w:t xml:space="preserve">would </w:t>
      </w:r>
      <w:r w:rsidRPr="006F5452">
        <w:rPr>
          <w:rFonts w:eastAsiaTheme="minorEastAsia"/>
          <w:lang w:val="en-GB"/>
        </w:rPr>
        <w:t xml:space="preserve">conclude that the effect </w:t>
      </w:r>
      <w:r w:rsidR="00E74CF5" w:rsidRPr="006F5452">
        <w:rPr>
          <w:rFonts w:eastAsiaTheme="minorEastAsia"/>
          <w:lang w:val="en-GB"/>
        </w:rPr>
        <w:t xml:space="preserve">will be </w:t>
      </w:r>
      <w:r w:rsidRPr="006F5452">
        <w:rPr>
          <w:rFonts w:eastAsiaTheme="minorEastAsia"/>
          <w:lang w:val="en-GB"/>
        </w:rPr>
        <w:t xml:space="preserve">asymmetric in the long run. </w:t>
      </w:r>
      <w:r w:rsidR="00E74CF5" w:rsidRPr="006F5452">
        <w:rPr>
          <w:rFonts w:eastAsiaTheme="minorEastAsia"/>
          <w:lang w:val="en-GB"/>
        </w:rPr>
        <w:t>Cointegration is checked using the NARDL bounds test approach.</w:t>
      </w:r>
    </w:p>
    <w:p w14:paraId="1C9799F7" w14:textId="77777777" w:rsidR="00FA7225" w:rsidRPr="006F5452" w:rsidRDefault="00FA7225" w:rsidP="00FA7225">
      <w:pPr>
        <w:rPr>
          <w:rFonts w:eastAsiaTheme="minorEastAsia"/>
          <w:lang w:val="en-GB"/>
        </w:rPr>
      </w:pPr>
    </w:p>
    <w:p w14:paraId="74C7349C" w14:textId="2F2E5985" w:rsidR="00FA7225" w:rsidRPr="006F5452" w:rsidRDefault="00215FB9" w:rsidP="002A4B33">
      <w:pPr>
        <w:ind w:firstLine="720"/>
        <w:jc w:val="both"/>
        <w:rPr>
          <w:rFonts w:eastAsiaTheme="minorEastAsia"/>
          <w:lang w:val="en-GB"/>
        </w:rPr>
      </w:pPr>
      <w:r w:rsidRPr="006F5452">
        <w:rPr>
          <w:lang w:val="en-GB"/>
        </w:rPr>
        <w:t>For the</w:t>
      </w:r>
      <w:r w:rsidR="00FA7225" w:rsidRPr="006F5452">
        <w:rPr>
          <w:lang w:val="en-GB"/>
        </w:rPr>
        <w:t xml:space="preserve"> nonlinear ARDL framework, the BDM test statistic (</w:t>
      </w:r>
      <w:proofErr w:type="spellStart"/>
      <w:r w:rsidR="00FA7225" w:rsidRPr="006F5452">
        <w:rPr>
          <w:lang w:val="en-GB"/>
        </w:rPr>
        <w:t>t</w:t>
      </w:r>
      <w:r w:rsidR="00FA7225" w:rsidRPr="006F5452">
        <w:rPr>
          <w:sz w:val="22"/>
          <w:szCs w:val="20"/>
          <w:vertAlign w:val="subscript"/>
          <w:lang w:val="en-GB"/>
        </w:rPr>
        <w:t>BDM</w:t>
      </w:r>
      <w:proofErr w:type="spellEnd"/>
      <w:r w:rsidR="00FA7225" w:rsidRPr="006F5452">
        <w:rPr>
          <w:lang w:val="en-GB"/>
        </w:rPr>
        <w:t>)</w:t>
      </w:r>
      <w:r w:rsidR="00071824" w:rsidRPr="006F5452">
        <w:rPr>
          <w:noProof/>
        </w:rPr>
        <w:t xml:space="preserve"> </w:t>
      </w:r>
      <w:r w:rsidR="00FA7225" w:rsidRPr="006F5452">
        <w:rPr>
          <w:lang w:val="en-GB"/>
        </w:rPr>
        <w:t>(Banerjee et al., 1998</w:t>
      </w:r>
      <w:r w:rsidR="00A55A3C" w:rsidRPr="006F5452">
        <w:rPr>
          <w:lang w:val="en-GB"/>
        </w:rPr>
        <w:t>; Demir et al., 2021</w:t>
      </w:r>
      <w:r w:rsidR="00FA7225" w:rsidRPr="006F5452">
        <w:rPr>
          <w:lang w:val="en-GB"/>
        </w:rPr>
        <w:t>)</w:t>
      </w:r>
      <w:r w:rsidR="00071824" w:rsidRPr="006F5452">
        <w:rPr>
          <w:noProof/>
        </w:rPr>
        <w:t xml:space="preserve"> </w:t>
      </w:r>
      <w:r w:rsidR="00FA7225" w:rsidRPr="006F5452">
        <w:rPr>
          <w:lang w:val="en-GB"/>
        </w:rPr>
        <w:t>and PSS F statistic (F</w:t>
      </w:r>
      <w:r w:rsidR="00FA7225" w:rsidRPr="006F5452">
        <w:rPr>
          <w:vertAlign w:val="subscript"/>
          <w:lang w:val="en-GB"/>
        </w:rPr>
        <w:t>PSS</w:t>
      </w:r>
      <w:r w:rsidR="00FA7225" w:rsidRPr="006F5452">
        <w:rPr>
          <w:lang w:val="en-GB"/>
        </w:rPr>
        <w:t>) test (</w:t>
      </w:r>
      <w:proofErr w:type="spellStart"/>
      <w:r w:rsidR="00A55A3C" w:rsidRPr="006F5452">
        <w:rPr>
          <w:lang w:val="en-GB"/>
        </w:rPr>
        <w:t>Eissa</w:t>
      </w:r>
      <w:proofErr w:type="spellEnd"/>
      <w:r w:rsidR="00A55A3C" w:rsidRPr="006F5452">
        <w:rPr>
          <w:lang w:val="en-GB"/>
        </w:rPr>
        <w:t xml:space="preserve"> and Al </w:t>
      </w:r>
      <w:proofErr w:type="spellStart"/>
      <w:r w:rsidR="00A55A3C" w:rsidRPr="006F5452">
        <w:rPr>
          <w:lang w:val="en-GB"/>
        </w:rPr>
        <w:t>Refai</w:t>
      </w:r>
      <w:proofErr w:type="spellEnd"/>
      <w:r w:rsidR="00A55A3C" w:rsidRPr="006F5452">
        <w:rPr>
          <w:lang w:val="en-GB"/>
        </w:rPr>
        <w:t xml:space="preserve">, 2019; </w:t>
      </w:r>
      <w:proofErr w:type="spellStart"/>
      <w:r w:rsidR="00FA7225" w:rsidRPr="006F5452">
        <w:rPr>
          <w:lang w:val="en-GB"/>
        </w:rPr>
        <w:t>Pesaran</w:t>
      </w:r>
      <w:proofErr w:type="spellEnd"/>
      <w:r w:rsidR="00FA7225" w:rsidRPr="006F5452">
        <w:rPr>
          <w:lang w:val="en-GB"/>
        </w:rPr>
        <w:t xml:space="preserve"> et al., 2001) </w:t>
      </w:r>
      <w:r w:rsidRPr="006F5452">
        <w:rPr>
          <w:lang w:val="en-GB"/>
        </w:rPr>
        <w:t xml:space="preserve">are used </w:t>
      </w:r>
      <w:r w:rsidR="00FA7225" w:rsidRPr="006F5452">
        <w:rPr>
          <w:lang w:val="en-GB"/>
        </w:rPr>
        <w:t xml:space="preserve">to check </w:t>
      </w:r>
      <w:r w:rsidRPr="006F5452">
        <w:rPr>
          <w:lang w:val="en-GB"/>
        </w:rPr>
        <w:t xml:space="preserve">for </w:t>
      </w:r>
      <w:r w:rsidR="00FA7225" w:rsidRPr="006F5452">
        <w:rPr>
          <w:lang w:val="en-GB"/>
        </w:rPr>
        <w:t xml:space="preserve">cointegration. </w:t>
      </w:r>
      <w:r w:rsidR="000A62B7" w:rsidRPr="006F5452">
        <w:rPr>
          <w:lang w:val="en-GB"/>
        </w:rPr>
        <w:t>In this study, w</w:t>
      </w:r>
      <w:r w:rsidR="00FA7225" w:rsidRPr="006F5452">
        <w:rPr>
          <w:lang w:val="en-GB"/>
        </w:rPr>
        <w:t xml:space="preserve">e test the null hypothesis </w:t>
      </w:r>
      <w:r w:rsidR="000A62B7" w:rsidRPr="006F5452">
        <w:rPr>
          <w:lang w:val="en-GB"/>
        </w:rPr>
        <w:t xml:space="preserve">that there is </w:t>
      </w:r>
      <w:r w:rsidR="00FA7225" w:rsidRPr="006F5452">
        <w:rPr>
          <w:lang w:val="en-GB"/>
        </w:rPr>
        <w:t>no cointegration. The hypothesis of F</w:t>
      </w:r>
      <w:r w:rsidR="00FA7225" w:rsidRPr="006F5452">
        <w:rPr>
          <w:vertAlign w:val="subscript"/>
          <w:lang w:val="en-GB"/>
        </w:rPr>
        <w:t>PSS</w:t>
      </w:r>
      <w:r w:rsidR="00FA7225" w:rsidRPr="006F5452">
        <w:rPr>
          <w:lang w:val="en-GB"/>
        </w:rPr>
        <w:t xml:space="preserve"> can be written as</w:t>
      </w:r>
      <w:r w:rsidR="000A62B7" w:rsidRPr="006F5452">
        <w:rPr>
          <w:lang w:val="en-GB"/>
        </w:rPr>
        <w:t xml:space="preserve"> follows</w:t>
      </w:r>
      <w:r w:rsidR="00FA7225" w:rsidRPr="006F5452">
        <w:rPr>
          <w:lang w:val="en-GB"/>
        </w:rPr>
        <w:t>:</w:t>
      </w:r>
    </w:p>
    <w:p w14:paraId="193A43AE" w14:textId="77777777" w:rsidR="00FA7225" w:rsidRPr="006F5452" w:rsidRDefault="00FA7225" w:rsidP="00FA7225">
      <w:pPr>
        <w:rPr>
          <w:rFonts w:eastAsiaTheme="minorEastAsia"/>
          <w:lang w:val="en-GB"/>
        </w:rPr>
      </w:pPr>
    </w:p>
    <w:p w14:paraId="6B431930" w14:textId="77777777" w:rsidR="00FA7225" w:rsidRPr="006F5452" w:rsidRDefault="00000000" w:rsidP="00FA7225">
      <w:pPr>
        <w:ind w:firstLine="432"/>
        <w:rPr>
          <w:rFonts w:eastAsiaTheme="minorEastAsia"/>
          <w:lang w:val="en-GB"/>
        </w:rPr>
      </w:pPr>
      <m:oMathPara>
        <m:oMath>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0</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α</m:t>
              </m:r>
            </m:e>
            <m:sub>
              <m:r>
                <w:rPr>
                  <w:rFonts w:ascii="Cambria Math" w:hAnsi="Cambria Math"/>
                  <w:lang w:val="en-GB"/>
                </w:rPr>
                <m:t>1</m:t>
              </m:r>
            </m:sub>
          </m:sSub>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1</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2</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3</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=β</m:t>
              </m:r>
            </m:e>
            <m:sub>
              <m:r>
                <w:rPr>
                  <w:rFonts w:ascii="Cambria Math" w:hAnsi="Cambria Math"/>
                  <w:lang w:val="en-GB"/>
                </w:rPr>
                <m:t>n</m:t>
              </m:r>
            </m:sub>
          </m:sSub>
          <m:r>
            <w:rPr>
              <w:rFonts w:ascii="Cambria Math" w:hAnsi="Cambria Math"/>
              <w:lang w:val="en-GB"/>
            </w:rPr>
            <m:t>=0</m:t>
          </m:r>
        </m:oMath>
      </m:oMathPara>
    </w:p>
    <w:p w14:paraId="082A425F" w14:textId="77777777" w:rsidR="00FA7225" w:rsidRPr="006F5452" w:rsidRDefault="00FA7225" w:rsidP="00FA7225">
      <w:pPr>
        <w:ind w:firstLine="432"/>
        <w:rPr>
          <w:lang w:val="en-GB"/>
        </w:rPr>
      </w:pPr>
    </w:p>
    <w:p w14:paraId="31BE7F0E" w14:textId="77777777" w:rsidR="00A55A3C" w:rsidRPr="006F5452" w:rsidRDefault="00FA7225" w:rsidP="00FA7225">
      <w:pPr>
        <w:ind w:firstLine="432"/>
        <w:rPr>
          <w:lang w:val="en-GB"/>
        </w:rPr>
      </w:pPr>
      <w:r w:rsidRPr="006F5452">
        <w:rPr>
          <w:lang w:val="en-GB"/>
        </w:rPr>
        <w:t>We</w:t>
      </w:r>
      <w:r w:rsidR="00A55A3C" w:rsidRPr="006F5452">
        <w:rPr>
          <w:lang w:val="en-GB"/>
        </w:rPr>
        <w:t xml:space="preserve"> would</w:t>
      </w:r>
      <w:r w:rsidRPr="006F5452">
        <w:rPr>
          <w:lang w:val="en-GB"/>
        </w:rPr>
        <w:t xml:space="preserve"> conclude that cointegration exists if the test statistic exceeds the upper-bound values.</w:t>
      </w:r>
      <w:r w:rsidR="00A55A3C" w:rsidRPr="006F5452">
        <w:t xml:space="preserve"> </w:t>
      </w:r>
      <w:r w:rsidR="00A55A3C" w:rsidRPr="006F5452">
        <w:rPr>
          <w:lang w:val="en-GB"/>
        </w:rPr>
        <w:t>In contrast, if the test statistic falls between the upper and lower bounds or is less than the lower bound, cointegration is not observed.</w:t>
      </w:r>
    </w:p>
    <w:p w14:paraId="005E8E58" w14:textId="77777777" w:rsidR="00C4302A" w:rsidRPr="006F5452" w:rsidRDefault="00C4302A" w:rsidP="00D11D0C">
      <w:pPr>
        <w:rPr>
          <w:b/>
          <w:bCs/>
        </w:rPr>
      </w:pPr>
    </w:p>
    <w:p w14:paraId="481BD2CB" w14:textId="77777777" w:rsidR="005D5ECD" w:rsidRPr="006F5452" w:rsidRDefault="005D5ECD" w:rsidP="002A4B33">
      <w:pPr>
        <w:pStyle w:val="Heading1"/>
      </w:pPr>
      <w:r w:rsidRPr="006F5452">
        <w:t>4</w:t>
      </w:r>
      <w:r w:rsidR="002E0FA6" w:rsidRPr="006F5452">
        <w:t xml:space="preserve">. </w:t>
      </w:r>
      <w:r w:rsidRPr="006F5452">
        <w:t>Data</w:t>
      </w:r>
    </w:p>
    <w:p w14:paraId="513B4479" w14:textId="2777A53D" w:rsidR="009C085F" w:rsidRPr="006F5452" w:rsidRDefault="009D144D" w:rsidP="009C085F">
      <w:pPr>
        <w:ind w:firstLine="720"/>
        <w:jc w:val="both"/>
        <w:rPr>
          <w:rFonts w:eastAsiaTheme="minorEastAsia"/>
        </w:rPr>
      </w:pPr>
      <w:r w:rsidRPr="006F5452">
        <w:t xml:space="preserve">In this study, we collected monthly data on </w:t>
      </w:r>
      <w:r w:rsidR="00372E18" w:rsidRPr="006F5452">
        <w:t xml:space="preserve">US </w:t>
      </w:r>
      <w:r w:rsidR="00ED5887" w:rsidRPr="006F5452">
        <w:t>economic policy uncertainty (</w:t>
      </w:r>
      <w:r w:rsidR="005264C6" w:rsidRPr="006F5452">
        <w:t>US</w:t>
      </w:r>
      <w:r w:rsidR="00ED5887" w:rsidRPr="006F5452">
        <w:t>EPU)</w:t>
      </w:r>
      <w:r w:rsidR="00372E18" w:rsidRPr="006F5452">
        <w:t xml:space="preserve">, </w:t>
      </w:r>
      <w:r w:rsidR="00ED5887" w:rsidRPr="006F5452">
        <w:t>g</w:t>
      </w:r>
      <w:r w:rsidR="00372E18" w:rsidRPr="006F5452">
        <w:t>reen bond prices</w:t>
      </w:r>
      <w:r w:rsidR="00ED5887" w:rsidRPr="006F5452">
        <w:t xml:space="preserve"> (GB)</w:t>
      </w:r>
      <w:r w:rsidR="00372E18" w:rsidRPr="006F5452">
        <w:t xml:space="preserve">, </w:t>
      </w:r>
      <w:r w:rsidR="00ED5887" w:rsidRPr="006F5452">
        <w:t>g</w:t>
      </w:r>
      <w:r w:rsidR="00372E18" w:rsidRPr="006F5452">
        <w:t xml:space="preserve">eopolitical </w:t>
      </w:r>
      <w:r w:rsidR="00ED5887" w:rsidRPr="006F5452">
        <w:t>threats</w:t>
      </w:r>
      <w:r w:rsidR="00372E18" w:rsidRPr="006F5452">
        <w:t xml:space="preserve"> (GPR</w:t>
      </w:r>
      <w:r w:rsidR="00ED5887" w:rsidRPr="006F5452">
        <w:t>T</w:t>
      </w:r>
      <w:r w:rsidR="00372E18" w:rsidRPr="006F5452">
        <w:t>),</w:t>
      </w:r>
      <w:r w:rsidR="00ED5887" w:rsidRPr="006F5452">
        <w:t xml:space="preserve"> geopolitical acts (GPRA),</w:t>
      </w:r>
      <w:r w:rsidR="00372E18" w:rsidRPr="006F5452">
        <w:t xml:space="preserve"> </w:t>
      </w:r>
      <w:r w:rsidR="00262D49" w:rsidRPr="006F5452">
        <w:t xml:space="preserve">and </w:t>
      </w:r>
      <w:r w:rsidR="00372E18" w:rsidRPr="006F5452">
        <w:t>WTI oil prices</w:t>
      </w:r>
      <w:r w:rsidRPr="006F5452">
        <w:t xml:space="preserve"> between</w:t>
      </w:r>
      <w:r w:rsidR="00372E18" w:rsidRPr="006F5452">
        <w:t xml:space="preserve"> </w:t>
      </w:r>
      <w:r w:rsidR="00D92319" w:rsidRPr="006F5452">
        <w:t xml:space="preserve">September </w:t>
      </w:r>
      <w:r w:rsidR="00372E18" w:rsidRPr="006F5452">
        <w:t xml:space="preserve">2012 </w:t>
      </w:r>
      <w:r w:rsidRPr="006F5452">
        <w:t xml:space="preserve">and </w:t>
      </w:r>
      <w:r w:rsidR="00372E18" w:rsidRPr="006F5452">
        <w:t xml:space="preserve">August 2022. </w:t>
      </w:r>
      <w:r w:rsidRPr="006F5452">
        <w:t xml:space="preserve">The </w:t>
      </w:r>
      <w:r w:rsidR="002C7136" w:rsidRPr="006F5452">
        <w:t xml:space="preserve">data </w:t>
      </w:r>
      <w:r w:rsidR="00ED5887" w:rsidRPr="006F5452">
        <w:t>of</w:t>
      </w:r>
      <w:r w:rsidRPr="006F5452">
        <w:t xml:space="preserve"> the </w:t>
      </w:r>
      <w:r w:rsidR="002C7136" w:rsidRPr="006F5452">
        <w:t xml:space="preserve">GPR </w:t>
      </w:r>
      <w:r w:rsidR="00ED5887" w:rsidRPr="006F5452">
        <w:t xml:space="preserve">and </w:t>
      </w:r>
      <w:r w:rsidR="002C7136" w:rsidRPr="006F5452">
        <w:t xml:space="preserve">US EPU </w:t>
      </w:r>
      <w:r w:rsidRPr="006F5452">
        <w:t xml:space="preserve">was obtained </w:t>
      </w:r>
      <w:r w:rsidR="002C7136" w:rsidRPr="006F5452">
        <w:t xml:space="preserve">from </w:t>
      </w:r>
      <w:hyperlink r:id="rId8" w:history="1">
        <w:r w:rsidRPr="006F5452">
          <w:rPr>
            <w:rStyle w:val="Hyperlink"/>
            <w:color w:val="auto"/>
          </w:rPr>
          <w:t>www.policyuncertainty.com</w:t>
        </w:r>
      </w:hyperlink>
      <w:r w:rsidRPr="006F5452">
        <w:t xml:space="preserve"> while the data of </w:t>
      </w:r>
      <w:r w:rsidR="00691E70" w:rsidRPr="006F5452">
        <w:t xml:space="preserve">S&amp;P 500, </w:t>
      </w:r>
      <w:r w:rsidR="00ED5887" w:rsidRPr="006F5452">
        <w:t>WTI oil</w:t>
      </w:r>
      <w:r w:rsidR="00D11D0C" w:rsidRPr="006F5452">
        <w:t xml:space="preserve"> prices</w:t>
      </w:r>
      <w:r w:rsidR="00ED5887" w:rsidRPr="006F5452">
        <w:t xml:space="preserve"> and green bond </w:t>
      </w:r>
      <w:r w:rsidR="00D11D0C" w:rsidRPr="006F5452">
        <w:t xml:space="preserve">prices </w:t>
      </w:r>
      <w:r w:rsidRPr="006F5452">
        <w:t>w</w:t>
      </w:r>
      <w:r w:rsidR="002C32B0">
        <w:t>ere</w:t>
      </w:r>
      <w:r w:rsidRPr="006F5452">
        <w:t xml:space="preserve"> obtained </w:t>
      </w:r>
      <w:r w:rsidR="00ED5887" w:rsidRPr="006F5452">
        <w:t xml:space="preserve">from DataStream. </w:t>
      </w:r>
      <w:bookmarkStart w:id="6" w:name="_Hlk119476080"/>
      <w:r w:rsidR="00D11D0C" w:rsidRPr="006F5452">
        <w:t>We calculate the rate of change</w:t>
      </w:r>
      <w:r w:rsidR="005264C6" w:rsidRPr="006F5452">
        <w:t xml:space="preserve"> </w:t>
      </w:r>
      <w:r w:rsidR="005264C6" w:rsidRPr="006F5452">
        <w:rPr>
          <w:i/>
          <w:iCs/>
        </w:rPr>
        <w:t>(R)</w:t>
      </w:r>
      <w:r w:rsidRPr="006F5452">
        <w:rPr>
          <w:i/>
          <w:iCs/>
        </w:rPr>
        <w:t xml:space="preserve"> </w:t>
      </w:r>
      <w:r w:rsidRPr="006F5452">
        <w:t xml:space="preserve">for </w:t>
      </w:r>
      <w:r w:rsidR="00D11D0C" w:rsidRPr="006F5452">
        <w:t xml:space="preserve">each variable </w:t>
      </w:r>
      <w:proofErr w:type="gramStart"/>
      <w:r w:rsidRPr="006F5452">
        <w:t>on a monthly basis</w:t>
      </w:r>
      <w:proofErr w:type="gramEnd"/>
      <w:r w:rsidRPr="006F5452">
        <w:t xml:space="preserve"> </w:t>
      </w:r>
      <w:r w:rsidR="00D11D0C" w:rsidRPr="006F5452">
        <w:t xml:space="preserve">using the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t</m:t>
            </m:r>
          </m:sub>
        </m:sSub>
        <m:r>
          <w:rPr>
            <w:rFonts w:ascii="Cambria Math" w:hAnsi="Cambria Math"/>
          </w:rPr>
          <m:t>=</m:t>
        </m:r>
        <m:func>
          <m:funcPr>
            <m:ctrlPr>
              <w:rPr>
                <w:rFonts w:ascii="Cambria Math" w:hAnsi="Cambria Math"/>
              </w:rPr>
            </m:ctrlPr>
          </m:funcPr>
          <m:fName>
            <m:r>
              <m:rPr>
                <m:sty m:val="p"/>
              </m:rPr>
              <w:rPr>
                <w:rFonts w:ascii="Cambria Math" w:hAnsi="Cambria Math"/>
              </w:rPr>
              <m:t>100 x log</m:t>
            </m:r>
          </m:fName>
          <m:e>
            <m:d>
              <m:dPr>
                <m:ctrlPr>
                  <w:rPr>
                    <w:rFonts w:ascii="Cambria Math" w:hAnsi="Cambria Math"/>
                    <w:i/>
                  </w:rPr>
                </m:ctrlPr>
              </m:dPr>
              <m:e>
                <m:f>
                  <m:fPr>
                    <m:type m:val="skw"/>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t</m:t>
                        </m:r>
                      </m:sub>
                    </m:sSub>
                  </m:num>
                  <m:den>
                    <m:sSub>
                      <m:sSubPr>
                        <m:ctrlPr>
                          <w:rPr>
                            <w:rFonts w:ascii="Cambria Math" w:hAnsi="Cambria Math"/>
                            <w:i/>
                          </w:rPr>
                        </m:ctrlPr>
                      </m:sSubPr>
                      <m:e>
                        <m:r>
                          <w:rPr>
                            <w:rFonts w:ascii="Cambria Math" w:hAnsi="Cambria Math"/>
                          </w:rPr>
                          <m:t>S</m:t>
                        </m:r>
                      </m:e>
                      <m:sub>
                        <m:r>
                          <w:rPr>
                            <w:rFonts w:ascii="Cambria Math" w:hAnsi="Cambria Math"/>
                          </w:rPr>
                          <m:t>t-1</m:t>
                        </m:r>
                      </m:sub>
                    </m:sSub>
                  </m:den>
                </m:f>
              </m:e>
            </m:d>
          </m:e>
        </m:func>
      </m:oMath>
      <w:r w:rsidR="005264C6" w:rsidRPr="006F5452">
        <w:rPr>
          <w:rFonts w:eastAsiaTheme="minorEastAsia"/>
        </w:rPr>
        <w:t>, where ‘</w:t>
      </w:r>
      <w:r w:rsidR="005264C6" w:rsidRPr="006F5452">
        <w:rPr>
          <w:rFonts w:eastAsiaTheme="minorEastAsia"/>
          <w:i/>
          <w:iCs/>
        </w:rPr>
        <w:t>s</w:t>
      </w:r>
      <w:r w:rsidR="005264C6" w:rsidRPr="006F5452">
        <w:rPr>
          <w:rFonts w:eastAsiaTheme="minorEastAsia"/>
        </w:rPr>
        <w:t>’ is a time series data at time ‘</w:t>
      </w:r>
      <w:r w:rsidR="005264C6" w:rsidRPr="006F5452">
        <w:rPr>
          <w:rFonts w:eastAsiaTheme="minorEastAsia"/>
          <w:i/>
          <w:iCs/>
        </w:rPr>
        <w:t>t</w:t>
      </w:r>
      <w:r w:rsidR="005264C6" w:rsidRPr="006F5452">
        <w:rPr>
          <w:rFonts w:eastAsiaTheme="minorEastAsia"/>
        </w:rPr>
        <w:t>’.</w:t>
      </w:r>
    </w:p>
    <w:bookmarkEnd w:id="6"/>
    <w:p w14:paraId="53DDF19B" w14:textId="77777777" w:rsidR="009C085F" w:rsidRPr="006F5452" w:rsidRDefault="009C085F" w:rsidP="009C085F">
      <w:pPr>
        <w:ind w:firstLine="720"/>
        <w:jc w:val="both"/>
        <w:rPr>
          <w:rFonts w:eastAsiaTheme="minorEastAsia"/>
        </w:rPr>
      </w:pPr>
    </w:p>
    <w:p w14:paraId="4B3B7101" w14:textId="14348A07" w:rsidR="005F32B0" w:rsidRPr="006F5452" w:rsidRDefault="009C085F" w:rsidP="009C085F">
      <w:pPr>
        <w:ind w:firstLine="720"/>
        <w:jc w:val="both"/>
        <w:rPr>
          <w:rFonts w:eastAsiaTheme="minorEastAsia"/>
        </w:rPr>
      </w:pPr>
      <w:r w:rsidRPr="006F5452">
        <w:t xml:space="preserve">There are descriptive statistics provided in Table 1 for </w:t>
      </w:r>
      <w:proofErr w:type="gramStart"/>
      <w:r w:rsidRPr="006F5452">
        <w:t>all of</w:t>
      </w:r>
      <w:proofErr w:type="gramEnd"/>
      <w:r w:rsidRPr="006F5452">
        <w:t xml:space="preserve"> the data. Based on Table 1, green bond returns have negative skewness and high kurtosis</w:t>
      </w:r>
      <w:bookmarkStart w:id="7" w:name="_Hlk119433671"/>
      <w:r w:rsidR="004D4A88">
        <w:t>.</w:t>
      </w:r>
      <w:r w:rsidR="000B6698" w:rsidRPr="000B6698">
        <w:t xml:space="preserve"> </w:t>
      </w:r>
      <w:r w:rsidR="004D4A88" w:rsidRPr="004D4A88">
        <w:rPr>
          <w:color w:val="0000CC"/>
        </w:rPr>
        <w:t xml:space="preserve">The positive skewness of US economic policy uncertainty and geopolitical acts means that investors may expect frequent </w:t>
      </w:r>
      <w:r w:rsidR="004D4A88" w:rsidRPr="004D4A88">
        <w:rPr>
          <w:color w:val="0000CC"/>
        </w:rPr>
        <w:lastRenderedPageBreak/>
        <w:t>small changes and few large changes in USEPU and GRPA</w:t>
      </w:r>
      <w:r w:rsidR="000B6698" w:rsidRPr="000B6698">
        <w:t>.</w:t>
      </w:r>
      <w:r w:rsidR="000B6698">
        <w:rPr>
          <w:color w:val="0000CC"/>
        </w:rPr>
        <w:t xml:space="preserve"> </w:t>
      </w:r>
      <w:r w:rsidR="00B15883" w:rsidRPr="00B15883">
        <w:rPr>
          <w:color w:val="0000CC"/>
        </w:rPr>
        <w:t>The skewness</w:t>
      </w:r>
      <w:r w:rsidR="00B15883">
        <w:rPr>
          <w:color w:val="0000CC"/>
        </w:rPr>
        <w:t xml:space="preserve"> of green bond, GPRT, WTI</w:t>
      </w:r>
      <w:r w:rsidR="002C32B0">
        <w:rPr>
          <w:color w:val="0000CC"/>
        </w:rPr>
        <w:t>,</w:t>
      </w:r>
      <w:r w:rsidR="00B15883">
        <w:rPr>
          <w:color w:val="0000CC"/>
        </w:rPr>
        <w:t xml:space="preserve"> and SP500 are moderately skewed.</w:t>
      </w:r>
      <w:r w:rsidR="00B15883" w:rsidRPr="00B15883">
        <w:rPr>
          <w:color w:val="0000CC"/>
        </w:rPr>
        <w:t xml:space="preserve"> </w:t>
      </w:r>
      <w:r w:rsidR="00D848F6" w:rsidRPr="00B15883">
        <w:rPr>
          <w:color w:val="0000CC"/>
        </w:rPr>
        <w:t xml:space="preserve">The </w:t>
      </w:r>
      <w:r w:rsidR="00D848F6" w:rsidRPr="00AC65D4">
        <w:rPr>
          <w:color w:val="0000CC"/>
        </w:rPr>
        <w:t>standard deviation of the USEPU, GPRA, GPRT, and WTI is high as these variables have high volatility as often influenced by market factors</w:t>
      </w:r>
      <w:r w:rsidR="00AC65D4">
        <w:rPr>
          <w:color w:val="0000CC"/>
        </w:rPr>
        <w:t xml:space="preserve"> and policy news</w:t>
      </w:r>
      <w:bookmarkEnd w:id="7"/>
      <w:r w:rsidR="00D848F6" w:rsidRPr="00AC65D4">
        <w:rPr>
          <w:color w:val="0000CC"/>
        </w:rPr>
        <w:t xml:space="preserve">. </w:t>
      </w:r>
      <w:r w:rsidRPr="006F5452">
        <w:t>Jarque-</w:t>
      </w:r>
      <w:proofErr w:type="spellStart"/>
      <w:r w:rsidRPr="006F5452">
        <w:t>Bera</w:t>
      </w:r>
      <w:proofErr w:type="spellEnd"/>
      <w:r w:rsidRPr="006F5452">
        <w:t xml:space="preserve"> (JB) test statistics indicate non-Gaussian distributions for the given data series, which are significant at the 1% and 5% levels.</w:t>
      </w:r>
    </w:p>
    <w:p w14:paraId="79168FFF" w14:textId="77777777" w:rsidR="009C085F" w:rsidRPr="006F5452" w:rsidRDefault="009C085F" w:rsidP="00F81826">
      <w:pPr>
        <w:jc w:val="both"/>
      </w:pPr>
    </w:p>
    <w:p w14:paraId="52DA7CC8" w14:textId="7704EF19" w:rsidR="00D11D0C" w:rsidRPr="006F5452" w:rsidRDefault="002A4B33" w:rsidP="002A4B33">
      <w:pPr>
        <w:pStyle w:val="Caption"/>
        <w:keepNext/>
        <w:jc w:val="center"/>
        <w:rPr>
          <w:color w:val="auto"/>
        </w:rPr>
      </w:pPr>
      <w:r w:rsidRPr="006F5452">
        <w:rPr>
          <w:color w:val="auto"/>
        </w:rPr>
        <w:t xml:space="preserve">Table </w:t>
      </w:r>
      <w:r w:rsidRPr="006F5452">
        <w:rPr>
          <w:color w:val="auto"/>
        </w:rPr>
        <w:fldChar w:fldCharType="begin"/>
      </w:r>
      <w:r w:rsidRPr="006F5452">
        <w:rPr>
          <w:color w:val="auto"/>
        </w:rPr>
        <w:instrText xml:space="preserve"> SEQ Table \* ARABIC </w:instrText>
      </w:r>
      <w:r w:rsidRPr="006F5452">
        <w:rPr>
          <w:color w:val="auto"/>
        </w:rPr>
        <w:fldChar w:fldCharType="separate"/>
      </w:r>
      <w:r w:rsidR="00F816D1" w:rsidRPr="006F5452">
        <w:rPr>
          <w:noProof/>
          <w:color w:val="auto"/>
        </w:rPr>
        <w:t>1</w:t>
      </w:r>
      <w:r w:rsidRPr="006F5452">
        <w:rPr>
          <w:noProof/>
          <w:color w:val="auto"/>
        </w:rPr>
        <w:fldChar w:fldCharType="end"/>
      </w:r>
      <w:r w:rsidR="00D11D0C" w:rsidRPr="006F5452">
        <w:rPr>
          <w:color w:val="auto"/>
        </w:rPr>
        <w:t xml:space="preserve"> </w:t>
      </w:r>
      <w:r w:rsidR="0035175C" w:rsidRPr="006F5452">
        <w:rPr>
          <w:color w:val="auto"/>
        </w:rPr>
        <w:t xml:space="preserve">Descriptive </w:t>
      </w:r>
      <w:r w:rsidR="00D11D0C" w:rsidRPr="006F5452">
        <w:rPr>
          <w:color w:val="auto"/>
        </w:rPr>
        <w:t>statistics</w:t>
      </w:r>
      <w:r w:rsidR="0035175C" w:rsidRPr="006F5452">
        <w:rPr>
          <w:color w:val="auto"/>
        </w:rPr>
        <w:t xml:space="preserve">. </w:t>
      </w:r>
    </w:p>
    <w:tbl>
      <w:tblPr>
        <w:tblStyle w:val="PlainTable2"/>
        <w:tblW w:w="0" w:type="auto"/>
        <w:jc w:val="center"/>
        <w:tblLook w:val="04A0" w:firstRow="1" w:lastRow="0" w:firstColumn="1" w:lastColumn="0" w:noHBand="0" w:noVBand="1"/>
      </w:tblPr>
      <w:tblGrid>
        <w:gridCol w:w="1187"/>
        <w:gridCol w:w="1066"/>
        <w:gridCol w:w="1066"/>
        <w:gridCol w:w="1111"/>
        <w:gridCol w:w="1085"/>
        <w:gridCol w:w="1018"/>
        <w:gridCol w:w="1222"/>
      </w:tblGrid>
      <w:tr w:rsidR="006F5452" w:rsidRPr="006F5452" w14:paraId="090B8385" w14:textId="0DA0F5F9" w:rsidTr="009E2D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7" w:type="dxa"/>
          </w:tcPr>
          <w:p w14:paraId="0421FBBB" w14:textId="77777777" w:rsidR="00464433" w:rsidRPr="006F5452" w:rsidRDefault="00464433" w:rsidP="00DD0501">
            <w:pPr>
              <w:spacing w:line="360" w:lineRule="auto"/>
              <w:jc w:val="both"/>
              <w:rPr>
                <w:b w:val="0"/>
                <w:bCs w:val="0"/>
                <w:sz w:val="20"/>
                <w:szCs w:val="20"/>
              </w:rPr>
            </w:pPr>
          </w:p>
        </w:tc>
        <w:tc>
          <w:tcPr>
            <w:tcW w:w="976" w:type="dxa"/>
          </w:tcPr>
          <w:p w14:paraId="26C2D933" w14:textId="46DFAAAB" w:rsidR="00464433" w:rsidRPr="006F5452" w:rsidRDefault="00464433" w:rsidP="00C95847">
            <w:pPr>
              <w:spacing w:line="360" w:lineRule="auto"/>
              <w:jc w:val="right"/>
              <w:cnfStyle w:val="100000000000" w:firstRow="1" w:lastRow="0" w:firstColumn="0" w:lastColumn="0" w:oddVBand="0" w:evenVBand="0" w:oddHBand="0" w:evenHBand="0" w:firstRowFirstColumn="0" w:firstRowLastColumn="0" w:lastRowFirstColumn="0" w:lastRowLastColumn="0"/>
              <w:rPr>
                <w:b w:val="0"/>
                <w:bCs w:val="0"/>
                <w:sz w:val="20"/>
                <w:szCs w:val="20"/>
              </w:rPr>
            </w:pPr>
            <w:r w:rsidRPr="006F5452">
              <w:rPr>
                <w:b w:val="0"/>
                <w:bCs w:val="0"/>
                <w:sz w:val="20"/>
                <w:szCs w:val="20"/>
              </w:rPr>
              <w:t>GB</w:t>
            </w:r>
          </w:p>
        </w:tc>
        <w:tc>
          <w:tcPr>
            <w:tcW w:w="1066" w:type="dxa"/>
          </w:tcPr>
          <w:p w14:paraId="1C135012" w14:textId="4A76BB95" w:rsidR="00464433" w:rsidRPr="006F5452" w:rsidRDefault="00464433" w:rsidP="00C95847">
            <w:pPr>
              <w:spacing w:line="360" w:lineRule="auto"/>
              <w:jc w:val="right"/>
              <w:cnfStyle w:val="100000000000" w:firstRow="1" w:lastRow="0" w:firstColumn="0" w:lastColumn="0" w:oddVBand="0" w:evenVBand="0" w:oddHBand="0" w:evenHBand="0" w:firstRowFirstColumn="0" w:firstRowLastColumn="0" w:lastRowFirstColumn="0" w:lastRowLastColumn="0"/>
              <w:rPr>
                <w:b w:val="0"/>
                <w:bCs w:val="0"/>
                <w:sz w:val="20"/>
                <w:szCs w:val="20"/>
              </w:rPr>
            </w:pPr>
            <w:r w:rsidRPr="006F5452">
              <w:rPr>
                <w:b w:val="0"/>
                <w:bCs w:val="0"/>
                <w:sz w:val="20"/>
                <w:szCs w:val="20"/>
              </w:rPr>
              <w:t>USEPU</w:t>
            </w:r>
          </w:p>
        </w:tc>
        <w:tc>
          <w:tcPr>
            <w:tcW w:w="1111" w:type="dxa"/>
          </w:tcPr>
          <w:p w14:paraId="2BF39483" w14:textId="53A18B42" w:rsidR="00464433" w:rsidRPr="006F5452" w:rsidRDefault="00464433" w:rsidP="00C95847">
            <w:pPr>
              <w:spacing w:line="360" w:lineRule="auto"/>
              <w:jc w:val="right"/>
              <w:cnfStyle w:val="100000000000" w:firstRow="1" w:lastRow="0" w:firstColumn="0" w:lastColumn="0" w:oddVBand="0" w:evenVBand="0" w:oddHBand="0" w:evenHBand="0" w:firstRowFirstColumn="0" w:firstRowLastColumn="0" w:lastRowFirstColumn="0" w:lastRowLastColumn="0"/>
              <w:rPr>
                <w:b w:val="0"/>
                <w:bCs w:val="0"/>
                <w:sz w:val="20"/>
                <w:szCs w:val="20"/>
              </w:rPr>
            </w:pPr>
            <w:r w:rsidRPr="006F5452">
              <w:rPr>
                <w:b w:val="0"/>
                <w:bCs w:val="0"/>
                <w:sz w:val="20"/>
                <w:szCs w:val="20"/>
              </w:rPr>
              <w:t>GPRT</w:t>
            </w:r>
          </w:p>
        </w:tc>
        <w:tc>
          <w:tcPr>
            <w:tcW w:w="1085" w:type="dxa"/>
          </w:tcPr>
          <w:p w14:paraId="3A95347D" w14:textId="744E16F7" w:rsidR="00464433" w:rsidRPr="006F5452" w:rsidRDefault="00464433" w:rsidP="00C95847">
            <w:pPr>
              <w:spacing w:line="360" w:lineRule="auto"/>
              <w:jc w:val="right"/>
              <w:cnfStyle w:val="100000000000" w:firstRow="1" w:lastRow="0" w:firstColumn="0" w:lastColumn="0" w:oddVBand="0" w:evenVBand="0" w:oddHBand="0" w:evenHBand="0" w:firstRowFirstColumn="0" w:firstRowLastColumn="0" w:lastRowFirstColumn="0" w:lastRowLastColumn="0"/>
              <w:rPr>
                <w:b w:val="0"/>
                <w:bCs w:val="0"/>
                <w:sz w:val="20"/>
                <w:szCs w:val="20"/>
              </w:rPr>
            </w:pPr>
            <w:r w:rsidRPr="006F5452">
              <w:rPr>
                <w:b w:val="0"/>
                <w:bCs w:val="0"/>
                <w:sz w:val="20"/>
                <w:szCs w:val="20"/>
              </w:rPr>
              <w:t>GPRA</w:t>
            </w:r>
          </w:p>
        </w:tc>
        <w:tc>
          <w:tcPr>
            <w:tcW w:w="1018" w:type="dxa"/>
          </w:tcPr>
          <w:p w14:paraId="32510832" w14:textId="4B01B812" w:rsidR="00464433" w:rsidRPr="006F5452" w:rsidRDefault="00464433" w:rsidP="00C95847">
            <w:pPr>
              <w:spacing w:line="360" w:lineRule="auto"/>
              <w:jc w:val="right"/>
              <w:cnfStyle w:val="100000000000" w:firstRow="1" w:lastRow="0" w:firstColumn="0" w:lastColumn="0" w:oddVBand="0" w:evenVBand="0" w:oddHBand="0" w:evenHBand="0" w:firstRowFirstColumn="0" w:firstRowLastColumn="0" w:lastRowFirstColumn="0" w:lastRowLastColumn="0"/>
              <w:rPr>
                <w:b w:val="0"/>
                <w:bCs w:val="0"/>
                <w:sz w:val="20"/>
                <w:szCs w:val="20"/>
              </w:rPr>
            </w:pPr>
            <w:r w:rsidRPr="006F5452">
              <w:rPr>
                <w:b w:val="0"/>
                <w:bCs w:val="0"/>
                <w:sz w:val="20"/>
                <w:szCs w:val="20"/>
              </w:rPr>
              <w:t>WTI</w:t>
            </w:r>
          </w:p>
        </w:tc>
        <w:tc>
          <w:tcPr>
            <w:tcW w:w="1222" w:type="dxa"/>
          </w:tcPr>
          <w:p w14:paraId="53A73CEC" w14:textId="2F6472CB" w:rsidR="00464433" w:rsidRPr="006F5452" w:rsidRDefault="00AF0C2E" w:rsidP="00C95847">
            <w:pPr>
              <w:spacing w:line="360" w:lineRule="auto"/>
              <w:jc w:val="right"/>
              <w:cnfStyle w:val="100000000000" w:firstRow="1" w:lastRow="0" w:firstColumn="0" w:lastColumn="0" w:oddVBand="0" w:evenVBand="0" w:oddHBand="0" w:evenHBand="0" w:firstRowFirstColumn="0" w:firstRowLastColumn="0" w:lastRowFirstColumn="0" w:lastRowLastColumn="0"/>
              <w:rPr>
                <w:b w:val="0"/>
                <w:bCs w:val="0"/>
                <w:sz w:val="20"/>
                <w:szCs w:val="20"/>
              </w:rPr>
            </w:pPr>
            <w:r w:rsidRPr="006F5452">
              <w:rPr>
                <w:b w:val="0"/>
                <w:bCs w:val="0"/>
                <w:sz w:val="20"/>
                <w:szCs w:val="20"/>
              </w:rPr>
              <w:t>SP500</w:t>
            </w:r>
          </w:p>
        </w:tc>
      </w:tr>
      <w:tr w:rsidR="006F5452" w:rsidRPr="006F5452" w14:paraId="3CD0B4BB" w14:textId="3A03EE09" w:rsidTr="009E2D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7" w:type="dxa"/>
          </w:tcPr>
          <w:p w14:paraId="19C12C35" w14:textId="506C5E4A" w:rsidR="00464433" w:rsidRPr="006F5452" w:rsidRDefault="00464433" w:rsidP="00DD0501">
            <w:pPr>
              <w:spacing w:line="360" w:lineRule="auto"/>
              <w:rPr>
                <w:b w:val="0"/>
                <w:bCs w:val="0"/>
                <w:sz w:val="20"/>
                <w:szCs w:val="20"/>
              </w:rPr>
            </w:pPr>
            <w:r w:rsidRPr="006F5452">
              <w:rPr>
                <w:b w:val="0"/>
                <w:bCs w:val="0"/>
                <w:sz w:val="20"/>
                <w:szCs w:val="20"/>
              </w:rPr>
              <w:t>Mean</w:t>
            </w:r>
          </w:p>
        </w:tc>
        <w:tc>
          <w:tcPr>
            <w:tcW w:w="976" w:type="dxa"/>
          </w:tcPr>
          <w:p w14:paraId="22C9AB26" w14:textId="2A0BD7BE" w:rsidR="00464433" w:rsidRPr="006F5452" w:rsidRDefault="00464433" w:rsidP="00DD0501">
            <w:pPr>
              <w:spacing w:line="36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6F5452">
              <w:rPr>
                <w:sz w:val="20"/>
                <w:szCs w:val="20"/>
              </w:rPr>
              <w:t>0.0957</w:t>
            </w:r>
          </w:p>
        </w:tc>
        <w:tc>
          <w:tcPr>
            <w:tcW w:w="1066" w:type="dxa"/>
          </w:tcPr>
          <w:p w14:paraId="2DB785A1" w14:textId="3564EA8D" w:rsidR="00464433" w:rsidRPr="006F5452" w:rsidRDefault="002A2086" w:rsidP="00DD0501">
            <w:pPr>
              <w:spacing w:line="36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5C2BA4">
              <w:rPr>
                <w:color w:val="0000CC"/>
                <w:sz w:val="20"/>
                <w:szCs w:val="20"/>
              </w:rPr>
              <w:t>0.</w:t>
            </w:r>
            <w:r w:rsidR="00CC619F">
              <w:rPr>
                <w:color w:val="0000CC"/>
                <w:sz w:val="20"/>
                <w:szCs w:val="20"/>
              </w:rPr>
              <w:t>0</w:t>
            </w:r>
            <w:r w:rsidR="00C57C76">
              <w:rPr>
                <w:color w:val="0000CC"/>
                <w:sz w:val="20"/>
                <w:szCs w:val="20"/>
              </w:rPr>
              <w:t>185</w:t>
            </w:r>
          </w:p>
        </w:tc>
        <w:tc>
          <w:tcPr>
            <w:tcW w:w="1111" w:type="dxa"/>
          </w:tcPr>
          <w:p w14:paraId="748E4D7F" w14:textId="641A8AE8" w:rsidR="00464433" w:rsidRPr="006F5452" w:rsidRDefault="00BB0410" w:rsidP="00DD0501">
            <w:pPr>
              <w:spacing w:line="36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6F5452">
              <w:rPr>
                <w:sz w:val="20"/>
                <w:szCs w:val="20"/>
              </w:rPr>
              <w:t>0.3768</w:t>
            </w:r>
          </w:p>
        </w:tc>
        <w:tc>
          <w:tcPr>
            <w:tcW w:w="1085" w:type="dxa"/>
          </w:tcPr>
          <w:p w14:paraId="12400371" w14:textId="4B93E212" w:rsidR="00464433" w:rsidRPr="006F5452" w:rsidRDefault="00BB0410" w:rsidP="00DD0501">
            <w:pPr>
              <w:spacing w:line="36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6F5452">
              <w:rPr>
                <w:sz w:val="20"/>
                <w:szCs w:val="20"/>
              </w:rPr>
              <w:t>0.8286</w:t>
            </w:r>
          </w:p>
        </w:tc>
        <w:tc>
          <w:tcPr>
            <w:tcW w:w="1018" w:type="dxa"/>
          </w:tcPr>
          <w:p w14:paraId="3FEBFBDC" w14:textId="3D7EDACA" w:rsidR="00464433" w:rsidRPr="006F5452" w:rsidRDefault="00464433" w:rsidP="00DD0501">
            <w:pPr>
              <w:spacing w:line="36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6F5452">
              <w:rPr>
                <w:sz w:val="20"/>
                <w:szCs w:val="20"/>
              </w:rPr>
              <w:t>0.0130</w:t>
            </w:r>
          </w:p>
        </w:tc>
        <w:tc>
          <w:tcPr>
            <w:tcW w:w="1222" w:type="dxa"/>
          </w:tcPr>
          <w:p w14:paraId="100E71B0" w14:textId="6486877B" w:rsidR="00464433" w:rsidRPr="006F5452" w:rsidRDefault="002A2086" w:rsidP="00DD0501">
            <w:pPr>
              <w:spacing w:line="36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6F5452">
              <w:rPr>
                <w:sz w:val="20"/>
                <w:szCs w:val="20"/>
              </w:rPr>
              <w:t>0.8615</w:t>
            </w:r>
          </w:p>
        </w:tc>
      </w:tr>
      <w:tr w:rsidR="006F5452" w:rsidRPr="006F5452" w14:paraId="64E5E38C" w14:textId="0DF1075E" w:rsidTr="009E2DDF">
        <w:trPr>
          <w:jc w:val="center"/>
        </w:trPr>
        <w:tc>
          <w:tcPr>
            <w:cnfStyle w:val="001000000000" w:firstRow="0" w:lastRow="0" w:firstColumn="1" w:lastColumn="0" w:oddVBand="0" w:evenVBand="0" w:oddHBand="0" w:evenHBand="0" w:firstRowFirstColumn="0" w:firstRowLastColumn="0" w:lastRowFirstColumn="0" w:lastRowLastColumn="0"/>
            <w:tcW w:w="1187" w:type="dxa"/>
          </w:tcPr>
          <w:p w14:paraId="2DB249FE" w14:textId="686A2122" w:rsidR="00BB0410" w:rsidRPr="006F5452" w:rsidRDefault="00BB0410" w:rsidP="00DD0501">
            <w:pPr>
              <w:spacing w:line="360" w:lineRule="auto"/>
              <w:rPr>
                <w:b w:val="0"/>
                <w:bCs w:val="0"/>
                <w:sz w:val="20"/>
                <w:szCs w:val="20"/>
              </w:rPr>
            </w:pPr>
            <w:r w:rsidRPr="006F5452">
              <w:rPr>
                <w:b w:val="0"/>
                <w:bCs w:val="0"/>
                <w:sz w:val="20"/>
                <w:szCs w:val="20"/>
              </w:rPr>
              <w:t>Maximum</w:t>
            </w:r>
          </w:p>
        </w:tc>
        <w:tc>
          <w:tcPr>
            <w:tcW w:w="976" w:type="dxa"/>
          </w:tcPr>
          <w:p w14:paraId="2BCD69DE" w14:textId="6B146598" w:rsidR="00BB0410" w:rsidRPr="006F5452" w:rsidRDefault="00BB0410" w:rsidP="00DD0501">
            <w:pPr>
              <w:spacing w:line="36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6F5452">
              <w:rPr>
                <w:sz w:val="20"/>
                <w:szCs w:val="20"/>
              </w:rPr>
              <w:t>4.3235</w:t>
            </w:r>
          </w:p>
        </w:tc>
        <w:tc>
          <w:tcPr>
            <w:tcW w:w="1066" w:type="dxa"/>
          </w:tcPr>
          <w:p w14:paraId="02634644" w14:textId="16A66036" w:rsidR="00BB0410" w:rsidRPr="006F5452" w:rsidRDefault="00BB0410" w:rsidP="00DD0501">
            <w:pPr>
              <w:spacing w:line="360" w:lineRule="auto"/>
              <w:jc w:val="right"/>
              <w:cnfStyle w:val="000000000000" w:firstRow="0" w:lastRow="0" w:firstColumn="0" w:lastColumn="0" w:oddVBand="0" w:evenVBand="0" w:oddHBand="0" w:evenHBand="0" w:firstRowFirstColumn="0" w:firstRowLastColumn="0" w:lastRowFirstColumn="0" w:lastRowLastColumn="0"/>
              <w:rPr>
                <w:sz w:val="20"/>
                <w:szCs w:val="18"/>
              </w:rPr>
            </w:pPr>
            <w:r w:rsidRPr="006F5452">
              <w:rPr>
                <w:sz w:val="20"/>
                <w:szCs w:val="18"/>
              </w:rPr>
              <w:t>135.7570</w:t>
            </w:r>
          </w:p>
        </w:tc>
        <w:tc>
          <w:tcPr>
            <w:tcW w:w="1111" w:type="dxa"/>
          </w:tcPr>
          <w:p w14:paraId="358B3F4C" w14:textId="088A74D4" w:rsidR="00BB0410" w:rsidRPr="006F5452" w:rsidRDefault="00BB0410" w:rsidP="00DD0501">
            <w:pPr>
              <w:spacing w:line="36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6F5452">
              <w:rPr>
                <w:sz w:val="20"/>
                <w:szCs w:val="20"/>
              </w:rPr>
              <w:t>197.1660</w:t>
            </w:r>
          </w:p>
        </w:tc>
        <w:tc>
          <w:tcPr>
            <w:tcW w:w="1085" w:type="dxa"/>
          </w:tcPr>
          <w:p w14:paraId="3A0820FA" w14:textId="42B09F30" w:rsidR="00BB0410" w:rsidRPr="006F5452" w:rsidRDefault="00BB0410" w:rsidP="00DD0501">
            <w:pPr>
              <w:spacing w:line="36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6F5452">
              <w:rPr>
                <w:sz w:val="20"/>
                <w:szCs w:val="20"/>
              </w:rPr>
              <w:t>257.1891</w:t>
            </w:r>
          </w:p>
        </w:tc>
        <w:tc>
          <w:tcPr>
            <w:tcW w:w="1018" w:type="dxa"/>
          </w:tcPr>
          <w:p w14:paraId="73F37B73" w14:textId="0CD7DACB" w:rsidR="00BB0410" w:rsidRPr="006F5452" w:rsidRDefault="00BB0410" w:rsidP="00DD0501">
            <w:pPr>
              <w:spacing w:line="36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6F5452">
              <w:rPr>
                <w:sz w:val="20"/>
                <w:szCs w:val="20"/>
              </w:rPr>
              <w:t>63.3268</w:t>
            </w:r>
          </w:p>
        </w:tc>
        <w:tc>
          <w:tcPr>
            <w:tcW w:w="1222" w:type="dxa"/>
          </w:tcPr>
          <w:p w14:paraId="576BC51F" w14:textId="517A8B3F" w:rsidR="00BB0410" w:rsidRPr="006F5452" w:rsidRDefault="00BB0410" w:rsidP="00DD0501">
            <w:pPr>
              <w:spacing w:line="360" w:lineRule="auto"/>
              <w:jc w:val="right"/>
              <w:cnfStyle w:val="000000000000" w:firstRow="0" w:lastRow="0" w:firstColumn="0" w:lastColumn="0" w:oddVBand="0" w:evenVBand="0" w:oddHBand="0" w:evenHBand="0" w:firstRowFirstColumn="0" w:firstRowLastColumn="0" w:lastRowFirstColumn="0" w:lastRowLastColumn="0"/>
              <w:rPr>
                <w:sz w:val="20"/>
                <w:szCs w:val="18"/>
              </w:rPr>
            </w:pPr>
            <w:r w:rsidRPr="006F5452">
              <w:rPr>
                <w:sz w:val="20"/>
                <w:szCs w:val="18"/>
              </w:rPr>
              <w:t>11.9420</w:t>
            </w:r>
          </w:p>
        </w:tc>
      </w:tr>
      <w:tr w:rsidR="006F5452" w:rsidRPr="006F5452" w14:paraId="6A6E7DB8" w14:textId="0D13794C" w:rsidTr="009E2D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7" w:type="dxa"/>
          </w:tcPr>
          <w:p w14:paraId="62574BB2" w14:textId="4A8616E7" w:rsidR="00BB0410" w:rsidRPr="006A4107" w:rsidRDefault="00BB0410" w:rsidP="00DD0501">
            <w:pPr>
              <w:spacing w:line="360" w:lineRule="auto"/>
              <w:rPr>
                <w:b w:val="0"/>
                <w:bCs w:val="0"/>
                <w:color w:val="0000CC"/>
                <w:sz w:val="20"/>
                <w:szCs w:val="20"/>
              </w:rPr>
            </w:pPr>
            <w:r w:rsidRPr="006A4107">
              <w:rPr>
                <w:b w:val="0"/>
                <w:bCs w:val="0"/>
                <w:color w:val="0000CC"/>
                <w:sz w:val="20"/>
                <w:szCs w:val="20"/>
              </w:rPr>
              <w:t>Minimum</w:t>
            </w:r>
          </w:p>
        </w:tc>
        <w:tc>
          <w:tcPr>
            <w:tcW w:w="976" w:type="dxa"/>
          </w:tcPr>
          <w:p w14:paraId="49FFE3B3" w14:textId="781B1875" w:rsidR="00BB0410" w:rsidRPr="006A4107" w:rsidRDefault="00CC619F" w:rsidP="00DD0501">
            <w:pPr>
              <w:spacing w:line="360" w:lineRule="auto"/>
              <w:jc w:val="right"/>
              <w:cnfStyle w:val="000000100000" w:firstRow="0" w:lastRow="0" w:firstColumn="0" w:lastColumn="0" w:oddVBand="0" w:evenVBand="0" w:oddHBand="1" w:evenHBand="0" w:firstRowFirstColumn="0" w:firstRowLastColumn="0" w:lastRowFirstColumn="0" w:lastRowLastColumn="0"/>
              <w:rPr>
                <w:color w:val="0000CC"/>
                <w:sz w:val="20"/>
                <w:szCs w:val="20"/>
              </w:rPr>
            </w:pPr>
            <w:r>
              <w:rPr>
                <w:color w:val="0000CC"/>
                <w:sz w:val="20"/>
                <w:szCs w:val="20"/>
              </w:rPr>
              <w:t>0</w:t>
            </w:r>
            <w:r w:rsidR="00BB0410" w:rsidRPr="006A4107">
              <w:rPr>
                <w:color w:val="0000CC"/>
                <w:sz w:val="20"/>
                <w:szCs w:val="20"/>
              </w:rPr>
              <w:t>.</w:t>
            </w:r>
            <w:r w:rsidR="00C21C96">
              <w:rPr>
                <w:color w:val="0000CC"/>
                <w:sz w:val="20"/>
                <w:szCs w:val="20"/>
              </w:rPr>
              <w:t>0</w:t>
            </w:r>
            <w:r w:rsidR="00C57C76">
              <w:rPr>
                <w:color w:val="0000CC"/>
                <w:sz w:val="20"/>
                <w:szCs w:val="20"/>
              </w:rPr>
              <w:t>1</w:t>
            </w:r>
            <w:r w:rsidR="00BB0410" w:rsidRPr="006A4107">
              <w:rPr>
                <w:color w:val="0000CC"/>
                <w:sz w:val="20"/>
                <w:szCs w:val="20"/>
              </w:rPr>
              <w:t>5</w:t>
            </w:r>
            <w:r>
              <w:rPr>
                <w:color w:val="0000CC"/>
                <w:sz w:val="20"/>
                <w:szCs w:val="20"/>
              </w:rPr>
              <w:t>9</w:t>
            </w:r>
          </w:p>
        </w:tc>
        <w:tc>
          <w:tcPr>
            <w:tcW w:w="1066" w:type="dxa"/>
          </w:tcPr>
          <w:p w14:paraId="78CF236A" w14:textId="52827F4D" w:rsidR="00BB0410" w:rsidRPr="006A4107" w:rsidRDefault="00CC619F" w:rsidP="00DD0501">
            <w:pPr>
              <w:spacing w:line="360" w:lineRule="auto"/>
              <w:jc w:val="right"/>
              <w:cnfStyle w:val="000000100000" w:firstRow="0" w:lastRow="0" w:firstColumn="0" w:lastColumn="0" w:oddVBand="0" w:evenVBand="0" w:oddHBand="1" w:evenHBand="0" w:firstRowFirstColumn="0" w:firstRowLastColumn="0" w:lastRowFirstColumn="0" w:lastRowLastColumn="0"/>
              <w:rPr>
                <w:color w:val="0000CC"/>
                <w:sz w:val="20"/>
                <w:szCs w:val="18"/>
              </w:rPr>
            </w:pPr>
            <w:r>
              <w:rPr>
                <w:color w:val="0000CC"/>
                <w:sz w:val="20"/>
                <w:szCs w:val="18"/>
              </w:rPr>
              <w:t>0</w:t>
            </w:r>
            <w:r w:rsidR="00BB0410" w:rsidRPr="006A4107">
              <w:rPr>
                <w:color w:val="0000CC"/>
                <w:sz w:val="20"/>
                <w:szCs w:val="18"/>
              </w:rPr>
              <w:t>.</w:t>
            </w:r>
            <w:r>
              <w:rPr>
                <w:color w:val="0000CC"/>
                <w:sz w:val="20"/>
                <w:szCs w:val="18"/>
              </w:rPr>
              <w:t>0</w:t>
            </w:r>
            <w:r w:rsidR="0068440B">
              <w:rPr>
                <w:color w:val="0000CC"/>
                <w:sz w:val="20"/>
                <w:szCs w:val="18"/>
              </w:rPr>
              <w:t>0</w:t>
            </w:r>
            <w:r w:rsidR="00BB0410" w:rsidRPr="006A4107">
              <w:rPr>
                <w:color w:val="0000CC"/>
                <w:sz w:val="20"/>
                <w:szCs w:val="18"/>
              </w:rPr>
              <w:t>1</w:t>
            </w:r>
            <w:r w:rsidR="00C57C76">
              <w:rPr>
                <w:color w:val="0000CC"/>
                <w:sz w:val="20"/>
                <w:szCs w:val="18"/>
              </w:rPr>
              <w:t>1</w:t>
            </w:r>
          </w:p>
        </w:tc>
        <w:tc>
          <w:tcPr>
            <w:tcW w:w="1111" w:type="dxa"/>
          </w:tcPr>
          <w:p w14:paraId="3D8E8E19" w14:textId="42FEBBD2" w:rsidR="00BB0410" w:rsidRPr="006A4107" w:rsidRDefault="00CC619F" w:rsidP="00DD0501">
            <w:pPr>
              <w:spacing w:line="360" w:lineRule="auto"/>
              <w:jc w:val="right"/>
              <w:cnfStyle w:val="000000100000" w:firstRow="0" w:lastRow="0" w:firstColumn="0" w:lastColumn="0" w:oddVBand="0" w:evenVBand="0" w:oddHBand="1" w:evenHBand="0" w:firstRowFirstColumn="0" w:firstRowLastColumn="0" w:lastRowFirstColumn="0" w:lastRowLastColumn="0"/>
              <w:rPr>
                <w:color w:val="0000CC"/>
                <w:sz w:val="20"/>
                <w:szCs w:val="20"/>
              </w:rPr>
            </w:pPr>
            <w:r>
              <w:rPr>
                <w:color w:val="0000CC"/>
                <w:sz w:val="20"/>
                <w:szCs w:val="20"/>
              </w:rPr>
              <w:t>0</w:t>
            </w:r>
            <w:r w:rsidR="00BB0410" w:rsidRPr="006A4107">
              <w:rPr>
                <w:color w:val="0000CC"/>
                <w:sz w:val="20"/>
                <w:szCs w:val="20"/>
              </w:rPr>
              <w:t>.</w:t>
            </w:r>
            <w:r>
              <w:rPr>
                <w:color w:val="0000CC"/>
                <w:sz w:val="20"/>
                <w:szCs w:val="20"/>
              </w:rPr>
              <w:t>0</w:t>
            </w:r>
            <w:r w:rsidR="00C57C76">
              <w:rPr>
                <w:color w:val="0000CC"/>
                <w:sz w:val="20"/>
                <w:szCs w:val="20"/>
              </w:rPr>
              <w:t>645</w:t>
            </w:r>
          </w:p>
        </w:tc>
        <w:tc>
          <w:tcPr>
            <w:tcW w:w="1085" w:type="dxa"/>
          </w:tcPr>
          <w:p w14:paraId="20EE20D6" w14:textId="60E60A17" w:rsidR="00BB0410" w:rsidRPr="006A4107" w:rsidRDefault="00CC619F" w:rsidP="00DD0501">
            <w:pPr>
              <w:spacing w:line="360" w:lineRule="auto"/>
              <w:jc w:val="right"/>
              <w:cnfStyle w:val="000000100000" w:firstRow="0" w:lastRow="0" w:firstColumn="0" w:lastColumn="0" w:oddVBand="0" w:evenVBand="0" w:oddHBand="1" w:evenHBand="0" w:firstRowFirstColumn="0" w:firstRowLastColumn="0" w:lastRowFirstColumn="0" w:lastRowLastColumn="0"/>
              <w:rPr>
                <w:color w:val="0000CC"/>
                <w:sz w:val="20"/>
                <w:szCs w:val="20"/>
              </w:rPr>
            </w:pPr>
            <w:r>
              <w:rPr>
                <w:color w:val="0000CC"/>
                <w:sz w:val="20"/>
                <w:szCs w:val="20"/>
              </w:rPr>
              <w:t>0</w:t>
            </w:r>
            <w:r w:rsidR="00BB0410" w:rsidRPr="006A4107">
              <w:rPr>
                <w:color w:val="0000CC"/>
                <w:sz w:val="20"/>
                <w:szCs w:val="20"/>
              </w:rPr>
              <w:t>.</w:t>
            </w:r>
            <w:r>
              <w:rPr>
                <w:color w:val="0000CC"/>
                <w:sz w:val="20"/>
                <w:szCs w:val="20"/>
              </w:rPr>
              <w:t>0</w:t>
            </w:r>
            <w:r w:rsidR="00BB0410" w:rsidRPr="006A4107">
              <w:rPr>
                <w:color w:val="0000CC"/>
                <w:sz w:val="20"/>
                <w:szCs w:val="20"/>
              </w:rPr>
              <w:t>0</w:t>
            </w:r>
            <w:r w:rsidR="00C57C76">
              <w:rPr>
                <w:color w:val="0000CC"/>
                <w:sz w:val="20"/>
                <w:szCs w:val="20"/>
              </w:rPr>
              <w:t>83</w:t>
            </w:r>
          </w:p>
        </w:tc>
        <w:tc>
          <w:tcPr>
            <w:tcW w:w="1018" w:type="dxa"/>
          </w:tcPr>
          <w:p w14:paraId="03438D00" w14:textId="73C1A1EC" w:rsidR="00BB0410" w:rsidRPr="006A4107" w:rsidRDefault="00CC619F" w:rsidP="00DD0501">
            <w:pPr>
              <w:spacing w:line="360" w:lineRule="auto"/>
              <w:jc w:val="right"/>
              <w:cnfStyle w:val="000000100000" w:firstRow="0" w:lastRow="0" w:firstColumn="0" w:lastColumn="0" w:oddVBand="0" w:evenVBand="0" w:oddHBand="1" w:evenHBand="0" w:firstRowFirstColumn="0" w:firstRowLastColumn="0" w:lastRowFirstColumn="0" w:lastRowLastColumn="0"/>
              <w:rPr>
                <w:color w:val="0000CC"/>
                <w:sz w:val="20"/>
                <w:szCs w:val="20"/>
              </w:rPr>
            </w:pPr>
            <w:r>
              <w:rPr>
                <w:color w:val="0000CC"/>
                <w:sz w:val="20"/>
                <w:szCs w:val="20"/>
              </w:rPr>
              <w:t>0</w:t>
            </w:r>
            <w:r w:rsidR="00BB0410" w:rsidRPr="006A4107">
              <w:rPr>
                <w:color w:val="0000CC"/>
                <w:sz w:val="20"/>
                <w:szCs w:val="20"/>
              </w:rPr>
              <w:t>.</w:t>
            </w:r>
            <w:r>
              <w:rPr>
                <w:color w:val="0000CC"/>
                <w:sz w:val="20"/>
                <w:szCs w:val="20"/>
              </w:rPr>
              <w:t>0</w:t>
            </w:r>
            <w:r w:rsidR="0068440B">
              <w:rPr>
                <w:color w:val="0000CC"/>
                <w:sz w:val="20"/>
                <w:szCs w:val="20"/>
              </w:rPr>
              <w:t>0</w:t>
            </w:r>
            <w:r w:rsidR="00C57C76">
              <w:rPr>
                <w:color w:val="0000CC"/>
                <w:sz w:val="20"/>
                <w:szCs w:val="20"/>
              </w:rPr>
              <w:t>92</w:t>
            </w:r>
          </w:p>
        </w:tc>
        <w:tc>
          <w:tcPr>
            <w:tcW w:w="1222" w:type="dxa"/>
          </w:tcPr>
          <w:p w14:paraId="38ADA31C" w14:textId="4D4772C5" w:rsidR="00BB0410" w:rsidRPr="006A4107" w:rsidRDefault="00CC619F" w:rsidP="00DD0501">
            <w:pPr>
              <w:spacing w:line="360" w:lineRule="auto"/>
              <w:jc w:val="right"/>
              <w:cnfStyle w:val="000000100000" w:firstRow="0" w:lastRow="0" w:firstColumn="0" w:lastColumn="0" w:oddVBand="0" w:evenVBand="0" w:oddHBand="1" w:evenHBand="0" w:firstRowFirstColumn="0" w:firstRowLastColumn="0" w:lastRowFirstColumn="0" w:lastRowLastColumn="0"/>
              <w:rPr>
                <w:color w:val="0000CC"/>
                <w:sz w:val="20"/>
                <w:szCs w:val="18"/>
              </w:rPr>
            </w:pPr>
            <w:r>
              <w:rPr>
                <w:color w:val="0000CC"/>
                <w:sz w:val="20"/>
                <w:szCs w:val="18"/>
              </w:rPr>
              <w:t>0</w:t>
            </w:r>
            <w:r w:rsidR="00BB0410" w:rsidRPr="006A4107">
              <w:rPr>
                <w:color w:val="0000CC"/>
                <w:sz w:val="20"/>
                <w:szCs w:val="18"/>
              </w:rPr>
              <w:t>.</w:t>
            </w:r>
            <w:r>
              <w:rPr>
                <w:color w:val="0000CC"/>
                <w:sz w:val="20"/>
                <w:szCs w:val="18"/>
              </w:rPr>
              <w:t>0</w:t>
            </w:r>
            <w:r w:rsidR="00C57C76">
              <w:rPr>
                <w:color w:val="0000CC"/>
                <w:sz w:val="20"/>
                <w:szCs w:val="18"/>
              </w:rPr>
              <w:t>831</w:t>
            </w:r>
          </w:p>
        </w:tc>
      </w:tr>
      <w:tr w:rsidR="006F5452" w:rsidRPr="006F5452" w14:paraId="30779CF7" w14:textId="738E6601" w:rsidTr="009E2DDF">
        <w:trPr>
          <w:jc w:val="center"/>
        </w:trPr>
        <w:tc>
          <w:tcPr>
            <w:cnfStyle w:val="001000000000" w:firstRow="0" w:lastRow="0" w:firstColumn="1" w:lastColumn="0" w:oddVBand="0" w:evenVBand="0" w:oddHBand="0" w:evenHBand="0" w:firstRowFirstColumn="0" w:firstRowLastColumn="0" w:lastRowFirstColumn="0" w:lastRowLastColumn="0"/>
            <w:tcW w:w="1187" w:type="dxa"/>
          </w:tcPr>
          <w:p w14:paraId="2BD9DCBA" w14:textId="152977EF" w:rsidR="00BB0410" w:rsidRPr="006F5452" w:rsidRDefault="00BB0410" w:rsidP="00DD0501">
            <w:pPr>
              <w:spacing w:line="360" w:lineRule="auto"/>
              <w:rPr>
                <w:b w:val="0"/>
                <w:bCs w:val="0"/>
                <w:sz w:val="20"/>
                <w:szCs w:val="20"/>
              </w:rPr>
            </w:pPr>
            <w:r w:rsidRPr="006F5452">
              <w:rPr>
                <w:b w:val="0"/>
                <w:bCs w:val="0"/>
                <w:sz w:val="20"/>
                <w:szCs w:val="20"/>
              </w:rPr>
              <w:t>Std. Dev.</w:t>
            </w:r>
          </w:p>
        </w:tc>
        <w:tc>
          <w:tcPr>
            <w:tcW w:w="976" w:type="dxa"/>
          </w:tcPr>
          <w:p w14:paraId="5FF5A016" w14:textId="4FF155DE" w:rsidR="00BB0410" w:rsidRPr="006F5452" w:rsidRDefault="00BB0410" w:rsidP="00DD0501">
            <w:pPr>
              <w:spacing w:line="36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6F5452">
              <w:rPr>
                <w:sz w:val="20"/>
                <w:szCs w:val="20"/>
              </w:rPr>
              <w:t>1.7661</w:t>
            </w:r>
          </w:p>
        </w:tc>
        <w:tc>
          <w:tcPr>
            <w:tcW w:w="1066" w:type="dxa"/>
          </w:tcPr>
          <w:p w14:paraId="6D0B67FF" w14:textId="4B62C997" w:rsidR="00BB0410" w:rsidRPr="006F5452" w:rsidRDefault="00BB0410" w:rsidP="00DD0501">
            <w:pPr>
              <w:spacing w:line="360" w:lineRule="auto"/>
              <w:jc w:val="right"/>
              <w:cnfStyle w:val="000000000000" w:firstRow="0" w:lastRow="0" w:firstColumn="0" w:lastColumn="0" w:oddVBand="0" w:evenVBand="0" w:oddHBand="0" w:evenHBand="0" w:firstRowFirstColumn="0" w:firstRowLastColumn="0" w:lastRowFirstColumn="0" w:lastRowLastColumn="0"/>
              <w:rPr>
                <w:sz w:val="20"/>
                <w:szCs w:val="18"/>
              </w:rPr>
            </w:pPr>
            <w:r w:rsidRPr="006F5452">
              <w:rPr>
                <w:sz w:val="20"/>
                <w:szCs w:val="18"/>
              </w:rPr>
              <w:t>56.4863</w:t>
            </w:r>
          </w:p>
        </w:tc>
        <w:tc>
          <w:tcPr>
            <w:tcW w:w="1111" w:type="dxa"/>
          </w:tcPr>
          <w:p w14:paraId="69A19313" w14:textId="550CB4EE" w:rsidR="00BB0410" w:rsidRPr="006F5452" w:rsidRDefault="00BB0410" w:rsidP="00DD0501">
            <w:pPr>
              <w:spacing w:line="36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6F5452">
              <w:rPr>
                <w:sz w:val="20"/>
                <w:szCs w:val="20"/>
              </w:rPr>
              <w:t>71.2773</w:t>
            </w:r>
          </w:p>
        </w:tc>
        <w:tc>
          <w:tcPr>
            <w:tcW w:w="1085" w:type="dxa"/>
          </w:tcPr>
          <w:p w14:paraId="76944067" w14:textId="2ADB8F1E" w:rsidR="00BB0410" w:rsidRPr="006F5452" w:rsidRDefault="00BB0410" w:rsidP="00DD0501">
            <w:pPr>
              <w:spacing w:line="36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6F5452">
              <w:rPr>
                <w:sz w:val="20"/>
                <w:szCs w:val="20"/>
              </w:rPr>
              <w:t>79.1927</w:t>
            </w:r>
          </w:p>
        </w:tc>
        <w:tc>
          <w:tcPr>
            <w:tcW w:w="1018" w:type="dxa"/>
          </w:tcPr>
          <w:p w14:paraId="73907492" w14:textId="57CEC65C" w:rsidR="00BB0410" w:rsidRPr="006F5452" w:rsidRDefault="00BB0410" w:rsidP="00DD0501">
            <w:pPr>
              <w:spacing w:line="36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6F5452">
              <w:rPr>
                <w:sz w:val="20"/>
                <w:szCs w:val="20"/>
              </w:rPr>
              <w:t>13.0575</w:t>
            </w:r>
          </w:p>
        </w:tc>
        <w:tc>
          <w:tcPr>
            <w:tcW w:w="1222" w:type="dxa"/>
          </w:tcPr>
          <w:p w14:paraId="44BB9265" w14:textId="653CD902" w:rsidR="00BB0410" w:rsidRPr="006F5452" w:rsidRDefault="00BB0410" w:rsidP="00DD0501">
            <w:pPr>
              <w:spacing w:line="360" w:lineRule="auto"/>
              <w:jc w:val="right"/>
              <w:cnfStyle w:val="000000000000" w:firstRow="0" w:lastRow="0" w:firstColumn="0" w:lastColumn="0" w:oddVBand="0" w:evenVBand="0" w:oddHBand="0" w:evenHBand="0" w:firstRowFirstColumn="0" w:firstRowLastColumn="0" w:lastRowFirstColumn="0" w:lastRowLastColumn="0"/>
              <w:rPr>
                <w:sz w:val="20"/>
                <w:szCs w:val="18"/>
              </w:rPr>
            </w:pPr>
            <w:r w:rsidRPr="006F5452">
              <w:rPr>
                <w:sz w:val="20"/>
                <w:szCs w:val="18"/>
              </w:rPr>
              <w:t>4.0545</w:t>
            </w:r>
          </w:p>
        </w:tc>
      </w:tr>
      <w:tr w:rsidR="006F5452" w:rsidRPr="006F5452" w14:paraId="78059E87" w14:textId="56B546ED" w:rsidTr="009E2D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7" w:type="dxa"/>
          </w:tcPr>
          <w:p w14:paraId="77CD78C8" w14:textId="72EAC165" w:rsidR="00BB0410" w:rsidRPr="006F5452" w:rsidRDefault="00BB0410" w:rsidP="00DD0501">
            <w:pPr>
              <w:spacing w:line="360" w:lineRule="auto"/>
              <w:rPr>
                <w:b w:val="0"/>
                <w:bCs w:val="0"/>
                <w:sz w:val="20"/>
                <w:szCs w:val="20"/>
              </w:rPr>
            </w:pPr>
            <w:r w:rsidRPr="006F5452">
              <w:rPr>
                <w:b w:val="0"/>
                <w:bCs w:val="0"/>
                <w:sz w:val="20"/>
                <w:szCs w:val="20"/>
              </w:rPr>
              <w:t>Skewness</w:t>
            </w:r>
          </w:p>
        </w:tc>
        <w:tc>
          <w:tcPr>
            <w:tcW w:w="976" w:type="dxa"/>
          </w:tcPr>
          <w:p w14:paraId="209F94AF" w14:textId="426948D9" w:rsidR="00BB0410" w:rsidRPr="006F5452" w:rsidRDefault="00BB0410" w:rsidP="00DD0501">
            <w:pPr>
              <w:spacing w:line="36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6F5452">
              <w:rPr>
                <w:sz w:val="20"/>
                <w:szCs w:val="20"/>
              </w:rPr>
              <w:t>-0.8375</w:t>
            </w:r>
          </w:p>
        </w:tc>
        <w:tc>
          <w:tcPr>
            <w:tcW w:w="1066" w:type="dxa"/>
          </w:tcPr>
          <w:p w14:paraId="2517B326" w14:textId="329C95FC" w:rsidR="00BB0410" w:rsidRPr="006F5452" w:rsidRDefault="00BB0410" w:rsidP="00DD0501">
            <w:pPr>
              <w:spacing w:line="360" w:lineRule="auto"/>
              <w:jc w:val="right"/>
              <w:cnfStyle w:val="000000100000" w:firstRow="0" w:lastRow="0" w:firstColumn="0" w:lastColumn="0" w:oddVBand="0" w:evenVBand="0" w:oddHBand="1" w:evenHBand="0" w:firstRowFirstColumn="0" w:firstRowLastColumn="0" w:lastRowFirstColumn="0" w:lastRowLastColumn="0"/>
              <w:rPr>
                <w:sz w:val="20"/>
                <w:szCs w:val="18"/>
              </w:rPr>
            </w:pPr>
            <w:r w:rsidRPr="006F5452">
              <w:rPr>
                <w:sz w:val="20"/>
                <w:szCs w:val="18"/>
              </w:rPr>
              <w:t>0.0429</w:t>
            </w:r>
          </w:p>
        </w:tc>
        <w:tc>
          <w:tcPr>
            <w:tcW w:w="1111" w:type="dxa"/>
          </w:tcPr>
          <w:p w14:paraId="19408DC7" w14:textId="1BBB4613" w:rsidR="00BB0410" w:rsidRPr="006F5452" w:rsidRDefault="00BB0410" w:rsidP="00DD0501">
            <w:pPr>
              <w:spacing w:line="36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6F5452">
              <w:rPr>
                <w:sz w:val="20"/>
                <w:szCs w:val="20"/>
              </w:rPr>
              <w:t>-0.1076</w:t>
            </w:r>
          </w:p>
        </w:tc>
        <w:tc>
          <w:tcPr>
            <w:tcW w:w="1085" w:type="dxa"/>
          </w:tcPr>
          <w:p w14:paraId="5C8BBE05" w14:textId="73E99E6A" w:rsidR="00BB0410" w:rsidRPr="006F5452" w:rsidRDefault="00BB0410" w:rsidP="00DD0501">
            <w:pPr>
              <w:spacing w:line="36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6F5452">
              <w:rPr>
                <w:sz w:val="20"/>
                <w:szCs w:val="20"/>
              </w:rPr>
              <w:t>0.5947</w:t>
            </w:r>
          </w:p>
        </w:tc>
        <w:tc>
          <w:tcPr>
            <w:tcW w:w="1018" w:type="dxa"/>
          </w:tcPr>
          <w:p w14:paraId="0ECD1497" w14:textId="7CF35DEE" w:rsidR="00BB0410" w:rsidRPr="006F5452" w:rsidRDefault="007C2BA5" w:rsidP="00DD0501">
            <w:pPr>
              <w:spacing w:line="36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6F5452">
              <w:rPr>
                <w:sz w:val="20"/>
                <w:szCs w:val="20"/>
              </w:rPr>
              <w:t>-0.9736</w:t>
            </w:r>
          </w:p>
        </w:tc>
        <w:tc>
          <w:tcPr>
            <w:tcW w:w="1222" w:type="dxa"/>
          </w:tcPr>
          <w:p w14:paraId="7A8CEF0B" w14:textId="5A362FB5" w:rsidR="00BB0410" w:rsidRPr="006F5452" w:rsidRDefault="00BB0410" w:rsidP="00DD0501">
            <w:pPr>
              <w:spacing w:line="360" w:lineRule="auto"/>
              <w:jc w:val="right"/>
              <w:cnfStyle w:val="000000100000" w:firstRow="0" w:lastRow="0" w:firstColumn="0" w:lastColumn="0" w:oddVBand="0" w:evenVBand="0" w:oddHBand="1" w:evenHBand="0" w:firstRowFirstColumn="0" w:firstRowLastColumn="0" w:lastRowFirstColumn="0" w:lastRowLastColumn="0"/>
              <w:rPr>
                <w:sz w:val="20"/>
                <w:szCs w:val="18"/>
              </w:rPr>
            </w:pPr>
            <w:r w:rsidRPr="006F5452">
              <w:rPr>
                <w:sz w:val="20"/>
                <w:szCs w:val="18"/>
              </w:rPr>
              <w:t>-0.6046</w:t>
            </w:r>
          </w:p>
        </w:tc>
      </w:tr>
      <w:tr w:rsidR="006F5452" w:rsidRPr="006F5452" w14:paraId="793C8583" w14:textId="77777777" w:rsidTr="009E2DDF">
        <w:trPr>
          <w:jc w:val="center"/>
        </w:trPr>
        <w:tc>
          <w:tcPr>
            <w:cnfStyle w:val="001000000000" w:firstRow="0" w:lastRow="0" w:firstColumn="1" w:lastColumn="0" w:oddVBand="0" w:evenVBand="0" w:oddHBand="0" w:evenHBand="0" w:firstRowFirstColumn="0" w:firstRowLastColumn="0" w:lastRowFirstColumn="0" w:lastRowLastColumn="0"/>
            <w:tcW w:w="1187" w:type="dxa"/>
          </w:tcPr>
          <w:p w14:paraId="4F632E4F" w14:textId="46B084EA" w:rsidR="00DD0501" w:rsidRPr="006F5452" w:rsidRDefault="00DD0501" w:rsidP="00DD0501">
            <w:pPr>
              <w:spacing w:line="360" w:lineRule="auto"/>
              <w:rPr>
                <w:b w:val="0"/>
                <w:bCs w:val="0"/>
                <w:sz w:val="20"/>
                <w:szCs w:val="20"/>
              </w:rPr>
            </w:pPr>
            <w:r w:rsidRPr="006F5452">
              <w:rPr>
                <w:b w:val="0"/>
                <w:bCs w:val="0"/>
                <w:sz w:val="20"/>
                <w:szCs w:val="20"/>
              </w:rPr>
              <w:t>Kurtosis</w:t>
            </w:r>
          </w:p>
        </w:tc>
        <w:tc>
          <w:tcPr>
            <w:tcW w:w="976" w:type="dxa"/>
          </w:tcPr>
          <w:p w14:paraId="2AF4730E" w14:textId="5DF88D89" w:rsidR="00DD0501" w:rsidRPr="006F5452" w:rsidRDefault="00DD0501" w:rsidP="00DD0501">
            <w:pPr>
              <w:spacing w:line="36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6F5452">
              <w:rPr>
                <w:sz w:val="20"/>
                <w:szCs w:val="20"/>
              </w:rPr>
              <w:t>4.7587</w:t>
            </w:r>
          </w:p>
        </w:tc>
        <w:tc>
          <w:tcPr>
            <w:tcW w:w="1066" w:type="dxa"/>
          </w:tcPr>
          <w:p w14:paraId="7EEE9834" w14:textId="0E126F23" w:rsidR="00DD0501" w:rsidRPr="006F5452" w:rsidRDefault="007C2BA5" w:rsidP="00DD0501">
            <w:pPr>
              <w:spacing w:line="360" w:lineRule="auto"/>
              <w:jc w:val="right"/>
              <w:cnfStyle w:val="000000000000" w:firstRow="0" w:lastRow="0" w:firstColumn="0" w:lastColumn="0" w:oddVBand="0" w:evenVBand="0" w:oddHBand="0" w:evenHBand="0" w:firstRowFirstColumn="0" w:firstRowLastColumn="0" w:lastRowFirstColumn="0" w:lastRowLastColumn="0"/>
              <w:rPr>
                <w:sz w:val="20"/>
                <w:szCs w:val="18"/>
              </w:rPr>
            </w:pPr>
            <w:r w:rsidRPr="006F5452">
              <w:rPr>
                <w:sz w:val="20"/>
                <w:szCs w:val="18"/>
              </w:rPr>
              <w:t>2.5737</w:t>
            </w:r>
          </w:p>
        </w:tc>
        <w:tc>
          <w:tcPr>
            <w:tcW w:w="1111" w:type="dxa"/>
          </w:tcPr>
          <w:p w14:paraId="225204F8" w14:textId="1F2371F2" w:rsidR="00DD0501" w:rsidRPr="006F5452" w:rsidRDefault="007C2BA5" w:rsidP="00DD0501">
            <w:pPr>
              <w:spacing w:line="36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6F5452">
              <w:rPr>
                <w:sz w:val="20"/>
                <w:szCs w:val="20"/>
              </w:rPr>
              <w:t>3.6890</w:t>
            </w:r>
          </w:p>
        </w:tc>
        <w:tc>
          <w:tcPr>
            <w:tcW w:w="1085" w:type="dxa"/>
          </w:tcPr>
          <w:p w14:paraId="3F955E28" w14:textId="79A4303D" w:rsidR="00DD0501" w:rsidRPr="006F5452" w:rsidRDefault="007C2BA5" w:rsidP="00DD0501">
            <w:pPr>
              <w:spacing w:line="36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6F5452">
              <w:rPr>
                <w:sz w:val="20"/>
                <w:szCs w:val="20"/>
              </w:rPr>
              <w:t>3.7549</w:t>
            </w:r>
          </w:p>
        </w:tc>
        <w:tc>
          <w:tcPr>
            <w:tcW w:w="1018" w:type="dxa"/>
          </w:tcPr>
          <w:p w14:paraId="604A09FC" w14:textId="3F507AA2" w:rsidR="00DD0501" w:rsidRPr="006F5452" w:rsidRDefault="007C2BA5" w:rsidP="00DD0501">
            <w:pPr>
              <w:spacing w:line="360" w:lineRule="auto"/>
              <w:jc w:val="right"/>
              <w:cnfStyle w:val="000000000000" w:firstRow="0" w:lastRow="0" w:firstColumn="0" w:lastColumn="0" w:oddVBand="0" w:evenVBand="0" w:oddHBand="0" w:evenHBand="0" w:firstRowFirstColumn="0" w:firstRowLastColumn="0" w:lastRowFirstColumn="0" w:lastRowLastColumn="0"/>
              <w:rPr>
                <w:sz w:val="20"/>
                <w:szCs w:val="20"/>
              </w:rPr>
            </w:pPr>
            <w:r w:rsidRPr="006F5452">
              <w:rPr>
                <w:sz w:val="20"/>
                <w:szCs w:val="20"/>
              </w:rPr>
              <w:t>16.2792</w:t>
            </w:r>
          </w:p>
        </w:tc>
        <w:tc>
          <w:tcPr>
            <w:tcW w:w="1222" w:type="dxa"/>
          </w:tcPr>
          <w:p w14:paraId="136DE024" w14:textId="6DEF94C2" w:rsidR="00DD0501" w:rsidRPr="006F5452" w:rsidRDefault="007C2BA5" w:rsidP="00DD0501">
            <w:pPr>
              <w:spacing w:line="360" w:lineRule="auto"/>
              <w:jc w:val="right"/>
              <w:cnfStyle w:val="000000000000" w:firstRow="0" w:lastRow="0" w:firstColumn="0" w:lastColumn="0" w:oddVBand="0" w:evenVBand="0" w:oddHBand="0" w:evenHBand="0" w:firstRowFirstColumn="0" w:firstRowLastColumn="0" w:lastRowFirstColumn="0" w:lastRowLastColumn="0"/>
              <w:rPr>
                <w:sz w:val="20"/>
                <w:szCs w:val="18"/>
              </w:rPr>
            </w:pPr>
            <w:r w:rsidRPr="006F5452">
              <w:rPr>
                <w:sz w:val="20"/>
                <w:szCs w:val="18"/>
              </w:rPr>
              <w:t>4.3129</w:t>
            </w:r>
          </w:p>
        </w:tc>
      </w:tr>
      <w:tr w:rsidR="006F5452" w:rsidRPr="006F5452" w14:paraId="56A662CD" w14:textId="4BC6710B" w:rsidTr="009E2D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87" w:type="dxa"/>
          </w:tcPr>
          <w:p w14:paraId="320C714B" w14:textId="330A3B06" w:rsidR="002A2086" w:rsidRPr="006F5452" w:rsidRDefault="002A2086" w:rsidP="00DD0501">
            <w:pPr>
              <w:spacing w:line="360" w:lineRule="auto"/>
              <w:rPr>
                <w:b w:val="0"/>
                <w:bCs w:val="0"/>
                <w:sz w:val="20"/>
                <w:szCs w:val="20"/>
              </w:rPr>
            </w:pPr>
            <w:r w:rsidRPr="006F5452">
              <w:rPr>
                <w:b w:val="0"/>
                <w:bCs w:val="0"/>
                <w:sz w:val="20"/>
                <w:szCs w:val="20"/>
              </w:rPr>
              <w:t>Jarque-</w:t>
            </w:r>
            <w:proofErr w:type="spellStart"/>
            <w:r w:rsidRPr="006F5452">
              <w:rPr>
                <w:b w:val="0"/>
                <w:bCs w:val="0"/>
                <w:sz w:val="20"/>
                <w:szCs w:val="20"/>
              </w:rPr>
              <w:t>Bera</w:t>
            </w:r>
            <w:proofErr w:type="spellEnd"/>
          </w:p>
        </w:tc>
        <w:tc>
          <w:tcPr>
            <w:tcW w:w="976" w:type="dxa"/>
          </w:tcPr>
          <w:p w14:paraId="22631C98" w14:textId="29D0E411" w:rsidR="002A2086" w:rsidRPr="006F5452" w:rsidRDefault="002A2086" w:rsidP="00DD0501">
            <w:pPr>
              <w:spacing w:line="36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6F5452">
              <w:rPr>
                <w:sz w:val="20"/>
                <w:szCs w:val="20"/>
              </w:rPr>
              <w:t>29.6206</w:t>
            </w:r>
            <w:r w:rsidR="00071824" w:rsidRPr="006F5452">
              <w:rPr>
                <w:sz w:val="20"/>
                <w:szCs w:val="20"/>
              </w:rPr>
              <w:t>**</w:t>
            </w:r>
          </w:p>
        </w:tc>
        <w:tc>
          <w:tcPr>
            <w:tcW w:w="1066" w:type="dxa"/>
          </w:tcPr>
          <w:p w14:paraId="4F4CBE99" w14:textId="5C6B95F9" w:rsidR="002A2086" w:rsidRPr="006F5452" w:rsidRDefault="002A2086" w:rsidP="00DD0501">
            <w:pPr>
              <w:spacing w:line="36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6F5452">
              <w:rPr>
                <w:sz w:val="20"/>
                <w:szCs w:val="20"/>
              </w:rPr>
              <w:t>0.8802</w:t>
            </w:r>
            <w:r w:rsidR="00071824" w:rsidRPr="006F5452">
              <w:rPr>
                <w:sz w:val="20"/>
                <w:szCs w:val="20"/>
              </w:rPr>
              <w:t>***</w:t>
            </w:r>
          </w:p>
        </w:tc>
        <w:tc>
          <w:tcPr>
            <w:tcW w:w="1111" w:type="dxa"/>
          </w:tcPr>
          <w:p w14:paraId="4E38C315" w14:textId="251A80A8" w:rsidR="002A2086" w:rsidRPr="006F5452" w:rsidRDefault="002A2086" w:rsidP="00DD0501">
            <w:pPr>
              <w:spacing w:line="36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6F5452">
              <w:rPr>
                <w:sz w:val="20"/>
                <w:szCs w:val="20"/>
              </w:rPr>
              <w:t>2.2264</w:t>
            </w:r>
            <w:r w:rsidR="00071824" w:rsidRPr="006F5452">
              <w:rPr>
                <w:sz w:val="20"/>
                <w:szCs w:val="20"/>
              </w:rPr>
              <w:t>***</w:t>
            </w:r>
          </w:p>
        </w:tc>
        <w:tc>
          <w:tcPr>
            <w:tcW w:w="1085" w:type="dxa"/>
          </w:tcPr>
          <w:p w14:paraId="72A0CBC0" w14:textId="3667AC3F" w:rsidR="002A2086" w:rsidRPr="006F5452" w:rsidRDefault="002A2086" w:rsidP="00DD0501">
            <w:pPr>
              <w:spacing w:line="36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6F5452">
              <w:rPr>
                <w:sz w:val="20"/>
                <w:szCs w:val="20"/>
              </w:rPr>
              <w:t>9.6659</w:t>
            </w:r>
            <w:r w:rsidR="00071824" w:rsidRPr="006F5452">
              <w:rPr>
                <w:sz w:val="20"/>
                <w:szCs w:val="20"/>
              </w:rPr>
              <w:t>**</w:t>
            </w:r>
          </w:p>
        </w:tc>
        <w:tc>
          <w:tcPr>
            <w:tcW w:w="1018" w:type="dxa"/>
          </w:tcPr>
          <w:p w14:paraId="1DB57DC3" w14:textId="62C8BE42" w:rsidR="002A2086" w:rsidRPr="006F5452" w:rsidRDefault="002A2086" w:rsidP="00DD0501">
            <w:pPr>
              <w:spacing w:line="360" w:lineRule="auto"/>
              <w:jc w:val="right"/>
              <w:cnfStyle w:val="000000100000" w:firstRow="0" w:lastRow="0" w:firstColumn="0" w:lastColumn="0" w:oddVBand="0" w:evenVBand="0" w:oddHBand="1" w:evenHBand="0" w:firstRowFirstColumn="0" w:firstRowLastColumn="0" w:lastRowFirstColumn="0" w:lastRowLastColumn="0"/>
              <w:rPr>
                <w:sz w:val="20"/>
                <w:szCs w:val="20"/>
              </w:rPr>
            </w:pPr>
            <w:r w:rsidRPr="006F5452">
              <w:rPr>
                <w:sz w:val="20"/>
                <w:szCs w:val="20"/>
              </w:rPr>
              <w:t>918.73</w:t>
            </w:r>
            <w:r w:rsidR="00071824" w:rsidRPr="006F5452">
              <w:rPr>
                <w:sz w:val="20"/>
                <w:szCs w:val="20"/>
              </w:rPr>
              <w:t>**</w:t>
            </w:r>
          </w:p>
        </w:tc>
        <w:tc>
          <w:tcPr>
            <w:tcW w:w="1222" w:type="dxa"/>
          </w:tcPr>
          <w:p w14:paraId="2FCF862D" w14:textId="4935A14D" w:rsidR="002A2086" w:rsidRPr="006F5452" w:rsidRDefault="002A2086" w:rsidP="00DD0501">
            <w:pPr>
              <w:spacing w:line="360" w:lineRule="auto"/>
              <w:jc w:val="right"/>
              <w:cnfStyle w:val="000000100000" w:firstRow="0" w:lastRow="0" w:firstColumn="0" w:lastColumn="0" w:oddVBand="0" w:evenVBand="0" w:oddHBand="1" w:evenHBand="0" w:firstRowFirstColumn="0" w:firstRowLastColumn="0" w:lastRowFirstColumn="0" w:lastRowLastColumn="0"/>
              <w:rPr>
                <w:sz w:val="20"/>
                <w:szCs w:val="18"/>
              </w:rPr>
            </w:pPr>
            <w:r w:rsidRPr="006F5452">
              <w:rPr>
                <w:sz w:val="20"/>
                <w:szCs w:val="18"/>
              </w:rPr>
              <w:t>16.2165</w:t>
            </w:r>
            <w:r w:rsidR="00071824" w:rsidRPr="006F5452">
              <w:rPr>
                <w:sz w:val="20"/>
                <w:szCs w:val="18"/>
              </w:rPr>
              <w:t>***</w:t>
            </w:r>
          </w:p>
        </w:tc>
      </w:tr>
    </w:tbl>
    <w:p w14:paraId="2C2041BC" w14:textId="57F3B828" w:rsidR="00D91E80" w:rsidRPr="006F5452" w:rsidRDefault="00D91E80" w:rsidP="00D36FAE">
      <w:pPr>
        <w:autoSpaceDE w:val="0"/>
        <w:autoSpaceDN w:val="0"/>
        <w:adjustRightInd w:val="0"/>
        <w:spacing w:line="240" w:lineRule="auto"/>
        <w:jc w:val="both"/>
        <w:rPr>
          <w:sz w:val="20"/>
          <w:szCs w:val="18"/>
        </w:rPr>
      </w:pPr>
      <w:r w:rsidRPr="006F5452">
        <w:rPr>
          <w:sz w:val="20"/>
          <w:szCs w:val="18"/>
        </w:rPr>
        <w:t>Notes:</w:t>
      </w:r>
      <w:r w:rsidR="008B71D7" w:rsidRPr="006F5452">
        <w:rPr>
          <w:sz w:val="20"/>
          <w:szCs w:val="18"/>
        </w:rPr>
        <w:t xml:space="preserve"> </w:t>
      </w:r>
      <w:r w:rsidR="00071824" w:rsidRPr="006F5452">
        <w:rPr>
          <w:sz w:val="20"/>
          <w:szCs w:val="18"/>
        </w:rPr>
        <w:t xml:space="preserve">*** </w:t>
      </w:r>
      <w:r w:rsidR="00167109" w:rsidRPr="006F5452">
        <w:rPr>
          <w:sz w:val="20"/>
          <w:szCs w:val="18"/>
        </w:rPr>
        <w:t>and</w:t>
      </w:r>
      <w:r w:rsidR="00071824" w:rsidRPr="006F5452">
        <w:rPr>
          <w:sz w:val="20"/>
          <w:szCs w:val="18"/>
        </w:rPr>
        <w:t xml:space="preserve"> **</w:t>
      </w:r>
      <w:r w:rsidR="00167109" w:rsidRPr="006F5452">
        <w:rPr>
          <w:sz w:val="20"/>
          <w:szCs w:val="18"/>
        </w:rPr>
        <w:t xml:space="preserve"> </w:t>
      </w:r>
      <w:r w:rsidR="00071824" w:rsidRPr="006F5452">
        <w:rPr>
          <w:sz w:val="20"/>
          <w:szCs w:val="18"/>
        </w:rPr>
        <w:t>indicate 1</w:t>
      </w:r>
      <w:proofErr w:type="gramStart"/>
      <w:r w:rsidR="00167109" w:rsidRPr="006F5452">
        <w:rPr>
          <w:sz w:val="20"/>
          <w:szCs w:val="18"/>
        </w:rPr>
        <w:t xml:space="preserve">% </w:t>
      </w:r>
      <w:r w:rsidR="00071824" w:rsidRPr="006F5452">
        <w:rPr>
          <w:sz w:val="20"/>
          <w:szCs w:val="18"/>
        </w:rPr>
        <w:t xml:space="preserve"> </w:t>
      </w:r>
      <w:r w:rsidR="00167109" w:rsidRPr="006F5452">
        <w:rPr>
          <w:sz w:val="20"/>
          <w:szCs w:val="18"/>
        </w:rPr>
        <w:t>and</w:t>
      </w:r>
      <w:proofErr w:type="gramEnd"/>
      <w:r w:rsidR="00167109" w:rsidRPr="006F5452">
        <w:rPr>
          <w:sz w:val="20"/>
          <w:szCs w:val="18"/>
        </w:rPr>
        <w:t xml:space="preserve"> 5%</w:t>
      </w:r>
      <w:r w:rsidR="00071824" w:rsidRPr="006F5452">
        <w:rPr>
          <w:sz w:val="20"/>
          <w:szCs w:val="18"/>
        </w:rPr>
        <w:t xml:space="preserve"> significance level</w:t>
      </w:r>
      <w:r w:rsidR="00342444">
        <w:rPr>
          <w:sz w:val="20"/>
          <w:szCs w:val="18"/>
        </w:rPr>
        <w:t>s</w:t>
      </w:r>
      <w:r w:rsidR="00167109" w:rsidRPr="006F5452">
        <w:rPr>
          <w:sz w:val="20"/>
          <w:szCs w:val="18"/>
        </w:rPr>
        <w:t xml:space="preserve">. </w:t>
      </w:r>
      <w:r w:rsidR="008B71D7" w:rsidRPr="006F5452">
        <w:rPr>
          <w:sz w:val="20"/>
          <w:szCs w:val="18"/>
        </w:rPr>
        <w:t xml:space="preserve">GB is the green bond returns, USEPU is the US economic policy uncertainty, GPRT indicates geopolitical threats, GPRA is the geopolitical acts, </w:t>
      </w:r>
      <w:r w:rsidR="00262D49" w:rsidRPr="006F5452">
        <w:rPr>
          <w:sz w:val="20"/>
          <w:szCs w:val="18"/>
        </w:rPr>
        <w:t xml:space="preserve">and </w:t>
      </w:r>
      <w:r w:rsidR="008B71D7" w:rsidRPr="006F5452">
        <w:rPr>
          <w:sz w:val="20"/>
          <w:szCs w:val="18"/>
        </w:rPr>
        <w:t xml:space="preserve">WTI is the West Texas Intermediate oil returns. </w:t>
      </w:r>
    </w:p>
    <w:p w14:paraId="5413C1A8" w14:textId="77777777" w:rsidR="00F65A8C" w:rsidRPr="006F5452" w:rsidRDefault="00F65A8C" w:rsidP="00D11D0C"/>
    <w:p w14:paraId="61786575" w14:textId="258B375D" w:rsidR="002A4B33" w:rsidRPr="006F5452" w:rsidRDefault="002A4B33" w:rsidP="002A4B33">
      <w:pPr>
        <w:keepNext/>
        <w:jc w:val="center"/>
      </w:pPr>
    </w:p>
    <w:p w14:paraId="2AEA1D22" w14:textId="1C8B0FE5" w:rsidR="00262D49" w:rsidRPr="006F5452" w:rsidRDefault="002A4B33" w:rsidP="002A4B33">
      <w:pPr>
        <w:pStyle w:val="Caption"/>
        <w:jc w:val="center"/>
        <w:rPr>
          <w:color w:val="auto"/>
        </w:rPr>
      </w:pPr>
      <w:r w:rsidRPr="006F5452">
        <w:rPr>
          <w:color w:val="auto"/>
        </w:rPr>
        <w:t xml:space="preserve">Figure </w:t>
      </w:r>
      <w:r w:rsidRPr="006F5452">
        <w:rPr>
          <w:color w:val="auto"/>
        </w:rPr>
        <w:fldChar w:fldCharType="begin"/>
      </w:r>
      <w:r w:rsidRPr="006F5452">
        <w:rPr>
          <w:color w:val="auto"/>
        </w:rPr>
        <w:instrText xml:space="preserve"> SEQ Figure \* ARABIC </w:instrText>
      </w:r>
      <w:r w:rsidRPr="006F5452">
        <w:rPr>
          <w:color w:val="auto"/>
        </w:rPr>
        <w:fldChar w:fldCharType="separate"/>
      </w:r>
      <w:r w:rsidRPr="006F5452">
        <w:rPr>
          <w:noProof/>
          <w:color w:val="auto"/>
        </w:rPr>
        <w:t>1</w:t>
      </w:r>
      <w:r w:rsidRPr="006F5452">
        <w:rPr>
          <w:noProof/>
          <w:color w:val="auto"/>
        </w:rPr>
        <w:fldChar w:fldCharType="end"/>
      </w:r>
      <w:r w:rsidRPr="006F5452">
        <w:rPr>
          <w:color w:val="auto"/>
        </w:rPr>
        <w:t xml:space="preserve"> </w:t>
      </w:r>
      <w:r w:rsidR="00F816D1" w:rsidRPr="006F5452">
        <w:rPr>
          <w:color w:val="auto"/>
        </w:rPr>
        <w:t>Plots of l</w:t>
      </w:r>
      <w:r w:rsidR="00262D49" w:rsidRPr="006F5452">
        <w:rPr>
          <w:color w:val="auto"/>
        </w:rPr>
        <w:t xml:space="preserve">ogarithmic </w:t>
      </w:r>
      <w:r w:rsidR="00F816D1" w:rsidRPr="006F5452">
        <w:rPr>
          <w:color w:val="auto"/>
        </w:rPr>
        <w:t>change</w:t>
      </w:r>
      <w:r w:rsidR="00262D49" w:rsidRPr="006F5452">
        <w:rPr>
          <w:color w:val="auto"/>
        </w:rPr>
        <w:t xml:space="preserve"> of the time series data (2012M08-2022M08)</w:t>
      </w:r>
    </w:p>
    <w:p w14:paraId="74D7B946" w14:textId="6ACAFD08" w:rsidR="00D11D0C" w:rsidRPr="006F5452" w:rsidRDefault="00262D49" w:rsidP="00D11D0C">
      <w:r w:rsidRPr="006F5452">
        <w:object w:dxaOrig="10081" w:dyaOrig="9406" w14:anchorId="5392C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388.8pt" o:ole="">
            <v:imagedata r:id="rId9" o:title=""/>
          </v:shape>
          <o:OLEObject Type="Embed" ProgID="EViews.Workfile.2" ShapeID="_x0000_i1025" DrawAspect="Content" ObjectID="_1736429540" r:id="rId10"/>
        </w:object>
      </w:r>
    </w:p>
    <w:p w14:paraId="31F5EB11" w14:textId="77777777" w:rsidR="00F65A8C" w:rsidRPr="006F5452" w:rsidRDefault="00F65A8C" w:rsidP="00F65A8C">
      <w:pPr>
        <w:jc w:val="both"/>
      </w:pPr>
    </w:p>
    <w:p w14:paraId="075A0126" w14:textId="444CF8DB" w:rsidR="00F65A8C" w:rsidRPr="006F5452" w:rsidRDefault="0017253E" w:rsidP="00691E70">
      <w:pPr>
        <w:ind w:firstLine="720"/>
        <w:jc w:val="both"/>
      </w:pPr>
      <w:r w:rsidRPr="006F5452">
        <w:t>F</w:t>
      </w:r>
      <w:r w:rsidR="009C085F" w:rsidRPr="006F5452">
        <w:t xml:space="preserve">igure 1 shows the logarithmic changes in the data series over the period of the study. </w:t>
      </w:r>
      <w:r w:rsidR="00342444">
        <w:t>Our findings show that green bonds, EPU, and WTI have experienced extreme volatility during the COVID-19 pandemic</w:t>
      </w:r>
      <w:r w:rsidR="009C085F" w:rsidRPr="006F5452">
        <w:t>. Due to the geopolitical conflicts between Russia and Ukraine in 2022</w:t>
      </w:r>
      <w:r w:rsidR="00DA5C5E" w:rsidRPr="006F5452">
        <w:t xml:space="preserve"> (</w:t>
      </w:r>
      <w:proofErr w:type="spellStart"/>
      <w:r w:rsidR="00DA5C5E" w:rsidRPr="006F5452">
        <w:t>Będowska-Sójka</w:t>
      </w:r>
      <w:proofErr w:type="spellEnd"/>
      <w:r w:rsidR="00DA5C5E" w:rsidRPr="006F5452">
        <w:t xml:space="preserve"> et al., 2022)</w:t>
      </w:r>
      <w:r w:rsidR="009C085F" w:rsidRPr="006F5452">
        <w:t>, the GPRT a</w:t>
      </w:r>
      <w:r w:rsidR="00342444">
        <w:t>nd</w:t>
      </w:r>
      <w:r w:rsidR="009C085F" w:rsidRPr="006F5452">
        <w:t xml:space="preserve"> the GPRA have been on the rise.</w:t>
      </w:r>
    </w:p>
    <w:p w14:paraId="57158C73" w14:textId="77777777" w:rsidR="009C085F" w:rsidRPr="006F5452" w:rsidRDefault="009C085F" w:rsidP="00D11D0C"/>
    <w:p w14:paraId="3A1AF3B1" w14:textId="48E630F2" w:rsidR="00F816D1" w:rsidRPr="006F5452" w:rsidRDefault="00F816D1" w:rsidP="00071824">
      <w:pPr>
        <w:ind w:firstLine="720"/>
        <w:jc w:val="both"/>
      </w:pPr>
      <w:r w:rsidRPr="006F5452">
        <w:t>We perform a nonlinearity test on the time series using the BDS tests (Brock</w:t>
      </w:r>
      <w:r w:rsidR="003C7D67" w:rsidRPr="006F5452">
        <w:t xml:space="preserve"> et al.,</w:t>
      </w:r>
      <w:r w:rsidRPr="006F5452">
        <w:t xml:space="preserve"> 1996). A dimension m from 2–6 and distance (e) of 0.7 w</w:t>
      </w:r>
      <w:r w:rsidR="00342444">
        <w:t>as</w:t>
      </w:r>
      <w:r w:rsidRPr="006F5452">
        <w:t xml:space="preserve"> selected to perform the test. Table 2 shows that the BDS test statistics at significant at 1% and 5% levels, indicating that the series is nonlinear.</w:t>
      </w:r>
    </w:p>
    <w:p w14:paraId="6B7BAD1A" w14:textId="02ACB210" w:rsidR="00F816D1" w:rsidRPr="006F5452" w:rsidRDefault="00F816D1" w:rsidP="00071824">
      <w:pPr>
        <w:ind w:firstLine="720"/>
        <w:jc w:val="both"/>
      </w:pPr>
    </w:p>
    <w:p w14:paraId="15DE2D74" w14:textId="06CEE9C7" w:rsidR="00F816D1" w:rsidRPr="006F5452" w:rsidRDefault="00F816D1" w:rsidP="00F816D1">
      <w:pPr>
        <w:pStyle w:val="Caption"/>
        <w:jc w:val="center"/>
        <w:rPr>
          <w:color w:val="auto"/>
          <w:szCs w:val="24"/>
          <w:lang w:val="en-GB"/>
        </w:rPr>
      </w:pPr>
      <w:r w:rsidRPr="006F5452">
        <w:rPr>
          <w:color w:val="auto"/>
        </w:rPr>
        <w:t xml:space="preserve">Table </w:t>
      </w:r>
      <w:r w:rsidRPr="006F5452">
        <w:rPr>
          <w:color w:val="auto"/>
        </w:rPr>
        <w:fldChar w:fldCharType="begin"/>
      </w:r>
      <w:r w:rsidRPr="006F5452">
        <w:rPr>
          <w:color w:val="auto"/>
        </w:rPr>
        <w:instrText xml:space="preserve"> SEQ Table \* ARABIC </w:instrText>
      </w:r>
      <w:r w:rsidRPr="006F5452">
        <w:rPr>
          <w:color w:val="auto"/>
        </w:rPr>
        <w:fldChar w:fldCharType="separate"/>
      </w:r>
      <w:r w:rsidRPr="006F5452">
        <w:rPr>
          <w:noProof/>
          <w:color w:val="auto"/>
        </w:rPr>
        <w:t>2</w:t>
      </w:r>
      <w:r w:rsidRPr="006F5452">
        <w:rPr>
          <w:color w:val="auto"/>
        </w:rPr>
        <w:fldChar w:fldCharType="end"/>
      </w:r>
      <w:r w:rsidRPr="006F5452">
        <w:rPr>
          <w:color w:val="auto"/>
          <w:szCs w:val="24"/>
          <w:lang w:val="en-GB"/>
        </w:rPr>
        <w:t xml:space="preserve"> BDS test statistics.</w:t>
      </w:r>
    </w:p>
    <w:tbl>
      <w:tblPr>
        <w:tblStyle w:val="PlainTable2"/>
        <w:tblW w:w="0" w:type="auto"/>
        <w:jc w:val="center"/>
        <w:tblLook w:val="04A0" w:firstRow="1" w:lastRow="0" w:firstColumn="1" w:lastColumn="0" w:noHBand="0" w:noVBand="1"/>
      </w:tblPr>
      <w:tblGrid>
        <w:gridCol w:w="1260"/>
        <w:gridCol w:w="1313"/>
        <w:gridCol w:w="1510"/>
        <w:gridCol w:w="1482"/>
        <w:gridCol w:w="1487"/>
        <w:gridCol w:w="1318"/>
      </w:tblGrid>
      <w:tr w:rsidR="006F5452" w:rsidRPr="006F5452" w14:paraId="30144835" w14:textId="77777777" w:rsidTr="003B3B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078283AD" w14:textId="77777777" w:rsidR="00F816D1" w:rsidRPr="006F5452" w:rsidRDefault="00F816D1" w:rsidP="003B3BBE">
            <w:pPr>
              <w:spacing w:line="276" w:lineRule="auto"/>
              <w:jc w:val="center"/>
              <w:rPr>
                <w:b w:val="0"/>
                <w:bCs w:val="0"/>
                <w:sz w:val="20"/>
                <w:szCs w:val="20"/>
                <w:lang w:val="en-GB"/>
              </w:rPr>
            </w:pPr>
          </w:p>
        </w:tc>
        <w:tc>
          <w:tcPr>
            <w:tcW w:w="7110" w:type="dxa"/>
            <w:gridSpan w:val="5"/>
          </w:tcPr>
          <w:p w14:paraId="350230BB" w14:textId="77777777" w:rsidR="00F816D1" w:rsidRPr="006F5452" w:rsidRDefault="00F816D1" w:rsidP="003B3BBE">
            <w:pPr>
              <w:spacing w:line="276"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lang w:val="en-GB"/>
              </w:rPr>
            </w:pPr>
            <w:r w:rsidRPr="006F5452">
              <w:rPr>
                <w:b w:val="0"/>
                <w:bCs w:val="0"/>
                <w:sz w:val="20"/>
                <w:szCs w:val="20"/>
                <w:lang w:val="en-GB"/>
              </w:rPr>
              <w:t>BDS Test Statistics</w:t>
            </w:r>
          </w:p>
        </w:tc>
      </w:tr>
      <w:tr w:rsidR="006F5452" w:rsidRPr="006F5452" w14:paraId="0F55E99F" w14:textId="77777777" w:rsidTr="003B3B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1522DDAB" w14:textId="77777777" w:rsidR="00F816D1" w:rsidRPr="006F5452" w:rsidRDefault="00F816D1" w:rsidP="003B3BBE">
            <w:pPr>
              <w:spacing w:line="276" w:lineRule="auto"/>
              <w:jc w:val="center"/>
              <w:rPr>
                <w:b w:val="0"/>
                <w:bCs w:val="0"/>
                <w:sz w:val="20"/>
                <w:szCs w:val="20"/>
                <w:lang w:val="en-GB"/>
              </w:rPr>
            </w:pPr>
            <w:r w:rsidRPr="006F5452">
              <w:rPr>
                <w:b w:val="0"/>
                <w:bCs w:val="0"/>
                <w:sz w:val="20"/>
                <w:szCs w:val="20"/>
                <w:lang w:val="en-GB"/>
              </w:rPr>
              <w:t xml:space="preserve">Dimension </w:t>
            </w:r>
          </w:p>
        </w:tc>
        <w:tc>
          <w:tcPr>
            <w:tcW w:w="1313" w:type="dxa"/>
          </w:tcPr>
          <w:p w14:paraId="759E9660" w14:textId="77777777" w:rsidR="00F816D1" w:rsidRPr="006F5452" w:rsidRDefault="00F816D1" w:rsidP="003B3BBE">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GB</w:t>
            </w:r>
          </w:p>
        </w:tc>
        <w:tc>
          <w:tcPr>
            <w:tcW w:w="1510" w:type="dxa"/>
          </w:tcPr>
          <w:p w14:paraId="5FFBD5FC" w14:textId="77777777" w:rsidR="00F816D1" w:rsidRPr="006F5452" w:rsidRDefault="00F816D1" w:rsidP="003B3BBE">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USEPU</w:t>
            </w:r>
          </w:p>
        </w:tc>
        <w:tc>
          <w:tcPr>
            <w:tcW w:w="1482" w:type="dxa"/>
          </w:tcPr>
          <w:p w14:paraId="5B4D2127" w14:textId="77777777" w:rsidR="00F816D1" w:rsidRPr="006F5452" w:rsidRDefault="00F816D1" w:rsidP="003B3BBE">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GPRT</w:t>
            </w:r>
          </w:p>
        </w:tc>
        <w:tc>
          <w:tcPr>
            <w:tcW w:w="1487" w:type="dxa"/>
          </w:tcPr>
          <w:p w14:paraId="38FDB1A1" w14:textId="77777777" w:rsidR="00F816D1" w:rsidRPr="006F5452" w:rsidRDefault="00F816D1" w:rsidP="003B3BBE">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GPRA</w:t>
            </w:r>
          </w:p>
        </w:tc>
        <w:tc>
          <w:tcPr>
            <w:tcW w:w="1318" w:type="dxa"/>
          </w:tcPr>
          <w:p w14:paraId="77944CDE" w14:textId="77777777" w:rsidR="00F816D1" w:rsidRPr="006F5452" w:rsidRDefault="00F816D1" w:rsidP="003B3BBE">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WTI</w:t>
            </w:r>
          </w:p>
        </w:tc>
      </w:tr>
      <w:tr w:rsidR="006F5452" w:rsidRPr="006F5452" w14:paraId="4ECA9C07" w14:textId="77777777" w:rsidTr="003B3BBE">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6DF02DBC" w14:textId="77777777" w:rsidR="00F816D1" w:rsidRPr="006F5452" w:rsidRDefault="00F816D1" w:rsidP="003B3BBE">
            <w:pPr>
              <w:spacing w:line="276" w:lineRule="auto"/>
              <w:jc w:val="center"/>
              <w:rPr>
                <w:b w:val="0"/>
                <w:bCs w:val="0"/>
                <w:sz w:val="20"/>
                <w:szCs w:val="20"/>
                <w:lang w:val="en-GB"/>
              </w:rPr>
            </w:pPr>
            <w:r w:rsidRPr="006F5452">
              <w:rPr>
                <w:b w:val="0"/>
                <w:bCs w:val="0"/>
                <w:sz w:val="20"/>
                <w:szCs w:val="20"/>
                <w:lang w:val="en-GB"/>
              </w:rPr>
              <w:t>2</w:t>
            </w:r>
          </w:p>
        </w:tc>
        <w:tc>
          <w:tcPr>
            <w:tcW w:w="1313" w:type="dxa"/>
          </w:tcPr>
          <w:p w14:paraId="32176F3F" w14:textId="77777777" w:rsidR="00F816D1" w:rsidRPr="006F5452" w:rsidRDefault="00F816D1" w:rsidP="003B3BBE">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rPr>
              <w:t>-0.002428</w:t>
            </w:r>
          </w:p>
        </w:tc>
        <w:tc>
          <w:tcPr>
            <w:tcW w:w="1510" w:type="dxa"/>
          </w:tcPr>
          <w:p w14:paraId="481397BB" w14:textId="77777777" w:rsidR="00F816D1" w:rsidRPr="006F5452" w:rsidRDefault="00F816D1" w:rsidP="003B3BBE">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rPr>
              <w:t xml:space="preserve"> 0.0319***</w:t>
            </w:r>
          </w:p>
        </w:tc>
        <w:tc>
          <w:tcPr>
            <w:tcW w:w="1482" w:type="dxa"/>
          </w:tcPr>
          <w:p w14:paraId="32B0C497" w14:textId="77777777" w:rsidR="00F816D1" w:rsidRPr="006F5452" w:rsidRDefault="00F816D1" w:rsidP="003B3BBE">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rPr>
              <w:t xml:space="preserve"> 0.0204***</w:t>
            </w:r>
          </w:p>
        </w:tc>
        <w:tc>
          <w:tcPr>
            <w:tcW w:w="1487" w:type="dxa"/>
          </w:tcPr>
          <w:p w14:paraId="42729EA9" w14:textId="77777777" w:rsidR="00F816D1" w:rsidRPr="006F5452" w:rsidRDefault="00F816D1" w:rsidP="003B3BBE">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rPr>
              <w:t xml:space="preserve"> 0.0252***</w:t>
            </w:r>
          </w:p>
        </w:tc>
        <w:tc>
          <w:tcPr>
            <w:tcW w:w="1318" w:type="dxa"/>
          </w:tcPr>
          <w:p w14:paraId="423D9003" w14:textId="77777777" w:rsidR="00F816D1" w:rsidRPr="006F5452" w:rsidRDefault="00F816D1" w:rsidP="003B3BBE">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rPr>
              <w:t xml:space="preserve"> 0.0278***</w:t>
            </w:r>
          </w:p>
        </w:tc>
      </w:tr>
      <w:tr w:rsidR="006F5452" w:rsidRPr="006F5452" w14:paraId="6AB2DC26" w14:textId="77777777" w:rsidTr="003B3B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4DD0A9AF" w14:textId="77777777" w:rsidR="00F816D1" w:rsidRPr="006F5452" w:rsidRDefault="00F816D1" w:rsidP="003B3BBE">
            <w:pPr>
              <w:spacing w:line="276" w:lineRule="auto"/>
              <w:jc w:val="center"/>
              <w:rPr>
                <w:b w:val="0"/>
                <w:bCs w:val="0"/>
                <w:sz w:val="20"/>
                <w:szCs w:val="20"/>
                <w:lang w:val="en-GB"/>
              </w:rPr>
            </w:pPr>
            <w:r w:rsidRPr="006F5452">
              <w:rPr>
                <w:b w:val="0"/>
                <w:bCs w:val="0"/>
                <w:sz w:val="20"/>
                <w:szCs w:val="20"/>
                <w:lang w:val="en-GB"/>
              </w:rPr>
              <w:t>3</w:t>
            </w:r>
          </w:p>
        </w:tc>
        <w:tc>
          <w:tcPr>
            <w:tcW w:w="1313" w:type="dxa"/>
          </w:tcPr>
          <w:p w14:paraId="590A830D" w14:textId="77777777" w:rsidR="00F816D1" w:rsidRPr="006F5452" w:rsidRDefault="00F816D1" w:rsidP="003B3BBE">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rPr>
              <w:t xml:space="preserve"> 0.005264</w:t>
            </w:r>
          </w:p>
        </w:tc>
        <w:tc>
          <w:tcPr>
            <w:tcW w:w="1510" w:type="dxa"/>
          </w:tcPr>
          <w:p w14:paraId="035279D2" w14:textId="77777777" w:rsidR="00F816D1" w:rsidRPr="006F5452" w:rsidRDefault="00F816D1" w:rsidP="003B3BBE">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rPr>
              <w:t xml:space="preserve"> 0.0500***</w:t>
            </w:r>
          </w:p>
        </w:tc>
        <w:tc>
          <w:tcPr>
            <w:tcW w:w="1482" w:type="dxa"/>
          </w:tcPr>
          <w:p w14:paraId="0E181694" w14:textId="77777777" w:rsidR="00F816D1" w:rsidRPr="006F5452" w:rsidRDefault="00F816D1" w:rsidP="003B3BBE">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rPr>
              <w:t xml:space="preserve"> 0.0330***</w:t>
            </w:r>
          </w:p>
        </w:tc>
        <w:tc>
          <w:tcPr>
            <w:tcW w:w="1487" w:type="dxa"/>
          </w:tcPr>
          <w:p w14:paraId="4D26E277" w14:textId="77777777" w:rsidR="00F816D1" w:rsidRPr="006F5452" w:rsidRDefault="00F816D1" w:rsidP="003B3BBE">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rPr>
              <w:t xml:space="preserve"> 0.0564***</w:t>
            </w:r>
          </w:p>
        </w:tc>
        <w:tc>
          <w:tcPr>
            <w:tcW w:w="1318" w:type="dxa"/>
          </w:tcPr>
          <w:p w14:paraId="67CAD0A3" w14:textId="77777777" w:rsidR="00F816D1" w:rsidRPr="006F5452" w:rsidRDefault="00F816D1" w:rsidP="003B3BBE">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rPr>
              <w:t xml:space="preserve"> 0.0458***</w:t>
            </w:r>
          </w:p>
        </w:tc>
      </w:tr>
      <w:tr w:rsidR="006F5452" w:rsidRPr="006F5452" w14:paraId="6E697C5D" w14:textId="77777777" w:rsidTr="003B3BBE">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6AB47CF6" w14:textId="77777777" w:rsidR="00F816D1" w:rsidRPr="006F5452" w:rsidRDefault="00F816D1" w:rsidP="003B3BBE">
            <w:pPr>
              <w:spacing w:line="276" w:lineRule="auto"/>
              <w:jc w:val="center"/>
              <w:rPr>
                <w:b w:val="0"/>
                <w:bCs w:val="0"/>
                <w:sz w:val="20"/>
                <w:szCs w:val="20"/>
                <w:lang w:val="en-GB"/>
              </w:rPr>
            </w:pPr>
            <w:r w:rsidRPr="006F5452">
              <w:rPr>
                <w:b w:val="0"/>
                <w:bCs w:val="0"/>
                <w:sz w:val="20"/>
                <w:szCs w:val="20"/>
                <w:lang w:val="en-GB"/>
              </w:rPr>
              <w:lastRenderedPageBreak/>
              <w:t>4</w:t>
            </w:r>
          </w:p>
        </w:tc>
        <w:tc>
          <w:tcPr>
            <w:tcW w:w="1313" w:type="dxa"/>
          </w:tcPr>
          <w:p w14:paraId="292ADD6F" w14:textId="77777777" w:rsidR="00F816D1" w:rsidRPr="006F5452" w:rsidRDefault="00F816D1" w:rsidP="003B3BBE">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rPr>
              <w:t>-0.007235</w:t>
            </w:r>
          </w:p>
        </w:tc>
        <w:tc>
          <w:tcPr>
            <w:tcW w:w="1510" w:type="dxa"/>
          </w:tcPr>
          <w:p w14:paraId="6C7DACA9" w14:textId="77777777" w:rsidR="00F816D1" w:rsidRPr="006F5452" w:rsidRDefault="00F816D1" w:rsidP="003B3BBE">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rPr>
              <w:t xml:space="preserve"> 0.0543***</w:t>
            </w:r>
          </w:p>
        </w:tc>
        <w:tc>
          <w:tcPr>
            <w:tcW w:w="1482" w:type="dxa"/>
          </w:tcPr>
          <w:p w14:paraId="2C55B839" w14:textId="77777777" w:rsidR="00F816D1" w:rsidRPr="006F5452" w:rsidRDefault="00F816D1" w:rsidP="003B3BBE">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rPr>
              <w:t xml:space="preserve"> 0.0366***</w:t>
            </w:r>
          </w:p>
        </w:tc>
        <w:tc>
          <w:tcPr>
            <w:tcW w:w="1487" w:type="dxa"/>
          </w:tcPr>
          <w:p w14:paraId="6F891AAD" w14:textId="77777777" w:rsidR="00F816D1" w:rsidRPr="006F5452" w:rsidRDefault="00F816D1" w:rsidP="003B3BBE">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rPr>
              <w:t xml:space="preserve"> 0.0730***</w:t>
            </w:r>
          </w:p>
        </w:tc>
        <w:tc>
          <w:tcPr>
            <w:tcW w:w="1318" w:type="dxa"/>
          </w:tcPr>
          <w:p w14:paraId="79D152FC" w14:textId="77777777" w:rsidR="00F816D1" w:rsidRPr="006F5452" w:rsidRDefault="00F816D1" w:rsidP="003B3BBE">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rPr>
              <w:t xml:space="preserve"> 0.0587***</w:t>
            </w:r>
          </w:p>
        </w:tc>
      </w:tr>
      <w:tr w:rsidR="006F5452" w:rsidRPr="006F5452" w14:paraId="589D5B0E" w14:textId="77777777" w:rsidTr="003B3B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5FD4EE80" w14:textId="77777777" w:rsidR="00F816D1" w:rsidRPr="006F5452" w:rsidRDefault="00F816D1" w:rsidP="003B3BBE">
            <w:pPr>
              <w:spacing w:line="276" w:lineRule="auto"/>
              <w:jc w:val="center"/>
              <w:rPr>
                <w:b w:val="0"/>
                <w:bCs w:val="0"/>
                <w:sz w:val="20"/>
                <w:szCs w:val="20"/>
                <w:lang w:val="en-GB"/>
              </w:rPr>
            </w:pPr>
            <w:r w:rsidRPr="006F5452">
              <w:rPr>
                <w:b w:val="0"/>
                <w:bCs w:val="0"/>
                <w:sz w:val="20"/>
                <w:szCs w:val="20"/>
                <w:lang w:val="en-GB"/>
              </w:rPr>
              <w:t>5</w:t>
            </w:r>
          </w:p>
        </w:tc>
        <w:tc>
          <w:tcPr>
            <w:tcW w:w="1313" w:type="dxa"/>
          </w:tcPr>
          <w:p w14:paraId="06CE81F0" w14:textId="77777777" w:rsidR="00F816D1" w:rsidRPr="006F5452" w:rsidRDefault="00F816D1" w:rsidP="003B3BBE">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rPr>
              <w:t xml:space="preserve"> 0.004654</w:t>
            </w:r>
          </w:p>
        </w:tc>
        <w:tc>
          <w:tcPr>
            <w:tcW w:w="1510" w:type="dxa"/>
          </w:tcPr>
          <w:p w14:paraId="3B5B9B12" w14:textId="77777777" w:rsidR="00F816D1" w:rsidRPr="006F5452" w:rsidRDefault="00F816D1" w:rsidP="003B3BBE">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rPr>
              <w:t xml:space="preserve"> 0.0559***</w:t>
            </w:r>
          </w:p>
        </w:tc>
        <w:tc>
          <w:tcPr>
            <w:tcW w:w="1482" w:type="dxa"/>
          </w:tcPr>
          <w:p w14:paraId="4458D4EF" w14:textId="77777777" w:rsidR="00F816D1" w:rsidRPr="006F5452" w:rsidRDefault="00F816D1" w:rsidP="003B3BBE">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rPr>
              <w:t xml:space="preserve"> 0.0327***</w:t>
            </w:r>
          </w:p>
        </w:tc>
        <w:tc>
          <w:tcPr>
            <w:tcW w:w="1487" w:type="dxa"/>
          </w:tcPr>
          <w:p w14:paraId="1EEDB509" w14:textId="77777777" w:rsidR="00F816D1" w:rsidRPr="006F5452" w:rsidRDefault="00F816D1" w:rsidP="003B3BBE">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rPr>
              <w:t xml:space="preserve"> 0.0778***</w:t>
            </w:r>
          </w:p>
        </w:tc>
        <w:tc>
          <w:tcPr>
            <w:tcW w:w="1318" w:type="dxa"/>
          </w:tcPr>
          <w:p w14:paraId="2046D670" w14:textId="77777777" w:rsidR="00F816D1" w:rsidRPr="006F5452" w:rsidRDefault="00F816D1" w:rsidP="003B3BBE">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rPr>
              <w:t xml:space="preserve"> 0.0666***</w:t>
            </w:r>
          </w:p>
        </w:tc>
      </w:tr>
      <w:tr w:rsidR="006F5452" w:rsidRPr="006F5452" w14:paraId="073745E1" w14:textId="77777777" w:rsidTr="003B3BBE">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27BB1628" w14:textId="77777777" w:rsidR="00F816D1" w:rsidRPr="006F5452" w:rsidRDefault="00F816D1" w:rsidP="003B3BBE">
            <w:pPr>
              <w:spacing w:line="276" w:lineRule="auto"/>
              <w:jc w:val="center"/>
              <w:rPr>
                <w:b w:val="0"/>
                <w:bCs w:val="0"/>
                <w:sz w:val="20"/>
                <w:szCs w:val="20"/>
                <w:lang w:val="en-GB"/>
              </w:rPr>
            </w:pPr>
            <w:r w:rsidRPr="006F5452">
              <w:rPr>
                <w:b w:val="0"/>
                <w:bCs w:val="0"/>
                <w:sz w:val="20"/>
                <w:szCs w:val="20"/>
                <w:lang w:val="en-GB"/>
              </w:rPr>
              <w:t>6</w:t>
            </w:r>
          </w:p>
        </w:tc>
        <w:tc>
          <w:tcPr>
            <w:tcW w:w="1313" w:type="dxa"/>
          </w:tcPr>
          <w:p w14:paraId="4F4DCFDA" w14:textId="77777777" w:rsidR="00F816D1" w:rsidRPr="006F5452" w:rsidRDefault="00F816D1" w:rsidP="003B3BBE">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rPr>
              <w:t>-0.012283</w:t>
            </w:r>
          </w:p>
        </w:tc>
        <w:tc>
          <w:tcPr>
            <w:tcW w:w="1510" w:type="dxa"/>
          </w:tcPr>
          <w:p w14:paraId="772BB76F" w14:textId="77777777" w:rsidR="00F816D1" w:rsidRPr="006F5452" w:rsidRDefault="00F816D1" w:rsidP="003B3BBE">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rPr>
              <w:t xml:space="preserve"> 0.0566***</w:t>
            </w:r>
          </w:p>
        </w:tc>
        <w:tc>
          <w:tcPr>
            <w:tcW w:w="1482" w:type="dxa"/>
          </w:tcPr>
          <w:p w14:paraId="632903F9" w14:textId="77777777" w:rsidR="00F816D1" w:rsidRPr="006F5452" w:rsidRDefault="00F816D1" w:rsidP="003B3BBE">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rPr>
              <w:t xml:space="preserve"> 0.0218**</w:t>
            </w:r>
          </w:p>
        </w:tc>
        <w:tc>
          <w:tcPr>
            <w:tcW w:w="1487" w:type="dxa"/>
          </w:tcPr>
          <w:p w14:paraId="378A61F7" w14:textId="77777777" w:rsidR="00F816D1" w:rsidRPr="006F5452" w:rsidRDefault="00F816D1" w:rsidP="003B3BBE">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rPr>
              <w:t xml:space="preserve"> 0.0793***</w:t>
            </w:r>
          </w:p>
        </w:tc>
        <w:tc>
          <w:tcPr>
            <w:tcW w:w="1318" w:type="dxa"/>
          </w:tcPr>
          <w:p w14:paraId="52DD19E5" w14:textId="77777777" w:rsidR="00F816D1" w:rsidRPr="006F5452" w:rsidRDefault="00F816D1" w:rsidP="003B3BBE">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rPr>
              <w:t xml:space="preserve"> 0.0695***</w:t>
            </w:r>
          </w:p>
        </w:tc>
      </w:tr>
    </w:tbl>
    <w:p w14:paraId="6E807A7D" w14:textId="143926B4" w:rsidR="00F816D1" w:rsidRPr="006F5452" w:rsidRDefault="00F816D1" w:rsidP="005264C6">
      <w:pPr>
        <w:spacing w:line="240" w:lineRule="auto"/>
        <w:rPr>
          <w:szCs w:val="24"/>
          <w:lang w:val="en-GB"/>
        </w:rPr>
      </w:pPr>
      <w:r w:rsidRPr="006F5452">
        <w:rPr>
          <w:sz w:val="20"/>
          <w:szCs w:val="20"/>
          <w:lang w:val="en-GB"/>
        </w:rPr>
        <w:t xml:space="preserve">       Notes:</w:t>
      </w:r>
      <w:r w:rsidRPr="006F5452">
        <w:rPr>
          <w:sz w:val="20"/>
          <w:szCs w:val="20"/>
        </w:rPr>
        <w:t xml:space="preserve"> ***</w:t>
      </w:r>
      <w:r w:rsidRPr="006F5452">
        <w:rPr>
          <w:sz w:val="20"/>
          <w:szCs w:val="18"/>
        </w:rPr>
        <w:t xml:space="preserve"> and ** indicate 1% and 5% significance levels.</w:t>
      </w:r>
      <w:r w:rsidRPr="006F5452">
        <w:t xml:space="preserve"> </w:t>
      </w:r>
      <w:r w:rsidRPr="006F5452">
        <w:rPr>
          <w:sz w:val="20"/>
          <w:szCs w:val="18"/>
        </w:rPr>
        <w:t>GB is the green bond returns, USEPU is the US economic policy uncertainty, GPRT indicates geopolitical threats, GPRA is the geopolitical acts, and WTI is the West Texas Intermediate oil returns.</w:t>
      </w:r>
    </w:p>
    <w:p w14:paraId="3637CDC7" w14:textId="51116FE1" w:rsidR="00F816D1" w:rsidRPr="006F5452" w:rsidRDefault="00F816D1" w:rsidP="00071824">
      <w:pPr>
        <w:ind w:firstLine="720"/>
        <w:jc w:val="both"/>
      </w:pPr>
    </w:p>
    <w:p w14:paraId="3DFFB35D" w14:textId="77777777" w:rsidR="00F816D1" w:rsidRPr="006F5452" w:rsidRDefault="00F816D1" w:rsidP="00F816D1">
      <w:pPr>
        <w:ind w:firstLine="720"/>
        <w:jc w:val="both"/>
      </w:pPr>
      <w:r w:rsidRPr="006F5452">
        <w:t xml:space="preserve">The Augmented Dickey-Fuller (ADF) and Phillips-Perron (PP) (see Table 3) unit root tests reveal that the green bond returns are first-difference stationary, i.e., </w:t>
      </w:r>
      <w:proofErr w:type="gramStart"/>
      <w:r w:rsidRPr="006F5452">
        <w:t>I(</w:t>
      </w:r>
      <w:proofErr w:type="gramEnd"/>
      <w:r w:rsidRPr="006F5452">
        <w:t xml:space="preserve">1) at a 1% significance level. The results also show that the USEPU, GPRT, and GPRA are stationary at levels, i.e., </w:t>
      </w:r>
      <w:proofErr w:type="gramStart"/>
      <w:r w:rsidRPr="006F5452">
        <w:t>I(</w:t>
      </w:r>
      <w:proofErr w:type="gramEnd"/>
      <w:r w:rsidRPr="006F5452">
        <w:t>0). As a result, the data series are suitable for applying the nonlinear ARDL method, which requires that the data series to be stationary at levels or at the first difference but should not be stationary at the second difference (</w:t>
      </w:r>
      <w:r w:rsidRPr="006F5452">
        <w:rPr>
          <w:lang w:val="en-GB"/>
        </w:rPr>
        <w:t>Shin et al., 2014)</w:t>
      </w:r>
      <w:r w:rsidRPr="006F5452">
        <w:t xml:space="preserve">. </w:t>
      </w:r>
    </w:p>
    <w:p w14:paraId="74729F8D" w14:textId="77777777" w:rsidR="00F816D1" w:rsidRPr="006F5452" w:rsidRDefault="00F816D1" w:rsidP="00071824">
      <w:pPr>
        <w:ind w:firstLine="720"/>
        <w:jc w:val="both"/>
      </w:pPr>
    </w:p>
    <w:p w14:paraId="0AC3588C" w14:textId="4635F777" w:rsidR="00F816D1" w:rsidRPr="006F5452" w:rsidRDefault="00F816D1" w:rsidP="00F816D1">
      <w:pPr>
        <w:pStyle w:val="Caption"/>
        <w:keepNext/>
        <w:jc w:val="center"/>
        <w:rPr>
          <w:color w:val="auto"/>
        </w:rPr>
      </w:pPr>
      <w:r w:rsidRPr="006F5452">
        <w:rPr>
          <w:color w:val="auto"/>
        </w:rPr>
        <w:t xml:space="preserve">Table </w:t>
      </w:r>
      <w:r w:rsidRPr="006F5452">
        <w:rPr>
          <w:color w:val="auto"/>
        </w:rPr>
        <w:fldChar w:fldCharType="begin"/>
      </w:r>
      <w:r w:rsidRPr="006F5452">
        <w:rPr>
          <w:color w:val="auto"/>
        </w:rPr>
        <w:instrText xml:space="preserve"> SEQ Table \* ARABIC </w:instrText>
      </w:r>
      <w:r w:rsidRPr="006F5452">
        <w:rPr>
          <w:color w:val="auto"/>
        </w:rPr>
        <w:fldChar w:fldCharType="separate"/>
      </w:r>
      <w:r w:rsidRPr="006F5452">
        <w:rPr>
          <w:noProof/>
          <w:color w:val="auto"/>
        </w:rPr>
        <w:t>3</w:t>
      </w:r>
      <w:r w:rsidRPr="006F5452">
        <w:rPr>
          <w:noProof/>
          <w:color w:val="auto"/>
        </w:rPr>
        <w:fldChar w:fldCharType="end"/>
      </w:r>
      <w:r w:rsidRPr="006F5452">
        <w:rPr>
          <w:color w:val="auto"/>
        </w:rPr>
        <w:t xml:space="preserve"> Results of the unit root test</w:t>
      </w:r>
    </w:p>
    <w:tbl>
      <w:tblPr>
        <w:tblStyle w:val="PlainTable2"/>
        <w:tblW w:w="0" w:type="auto"/>
        <w:jc w:val="center"/>
        <w:tblLook w:val="04A0" w:firstRow="1" w:lastRow="0" w:firstColumn="1" w:lastColumn="0" w:noHBand="0" w:noVBand="1"/>
      </w:tblPr>
      <w:tblGrid>
        <w:gridCol w:w="1459"/>
        <w:gridCol w:w="1159"/>
        <w:gridCol w:w="1946"/>
        <w:gridCol w:w="1606"/>
        <w:gridCol w:w="1612"/>
      </w:tblGrid>
      <w:tr w:rsidR="006F5452" w:rsidRPr="006F5452" w14:paraId="17CA0E7D" w14:textId="77777777" w:rsidTr="003B3B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9" w:type="dxa"/>
          </w:tcPr>
          <w:p w14:paraId="0328B6AC" w14:textId="77777777" w:rsidR="00F816D1" w:rsidRPr="006F5452" w:rsidRDefault="00F816D1" w:rsidP="003B3BBE">
            <w:pPr>
              <w:spacing w:line="360" w:lineRule="auto"/>
              <w:jc w:val="both"/>
              <w:rPr>
                <w:b w:val="0"/>
                <w:bCs w:val="0"/>
                <w:sz w:val="20"/>
                <w:szCs w:val="18"/>
              </w:rPr>
            </w:pPr>
          </w:p>
        </w:tc>
        <w:tc>
          <w:tcPr>
            <w:tcW w:w="3105" w:type="dxa"/>
            <w:gridSpan w:val="2"/>
          </w:tcPr>
          <w:p w14:paraId="4BF4A6B8" w14:textId="77777777" w:rsidR="00F816D1" w:rsidRPr="006F5452" w:rsidRDefault="00F816D1" w:rsidP="003B3BBE">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18"/>
              </w:rPr>
            </w:pPr>
            <w:r w:rsidRPr="006F5452">
              <w:rPr>
                <w:b w:val="0"/>
                <w:bCs w:val="0"/>
                <w:sz w:val="20"/>
                <w:szCs w:val="18"/>
              </w:rPr>
              <w:t>ADF</w:t>
            </w:r>
          </w:p>
        </w:tc>
        <w:tc>
          <w:tcPr>
            <w:tcW w:w="3218" w:type="dxa"/>
            <w:gridSpan w:val="2"/>
          </w:tcPr>
          <w:p w14:paraId="03ACD091" w14:textId="77777777" w:rsidR="00F816D1" w:rsidRPr="006F5452" w:rsidRDefault="00F816D1" w:rsidP="003B3BBE">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18"/>
              </w:rPr>
            </w:pPr>
            <w:r w:rsidRPr="006F5452">
              <w:rPr>
                <w:b w:val="0"/>
                <w:bCs w:val="0"/>
                <w:sz w:val="20"/>
                <w:szCs w:val="18"/>
              </w:rPr>
              <w:t>PP</w:t>
            </w:r>
          </w:p>
        </w:tc>
      </w:tr>
      <w:tr w:rsidR="006F5452" w:rsidRPr="006F5452" w14:paraId="6787FFA8" w14:textId="77777777" w:rsidTr="003B3B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9" w:type="dxa"/>
          </w:tcPr>
          <w:p w14:paraId="3D9A93A6" w14:textId="77777777" w:rsidR="00F816D1" w:rsidRPr="006F5452" w:rsidRDefault="00F816D1" w:rsidP="003B3BBE">
            <w:pPr>
              <w:spacing w:line="360" w:lineRule="auto"/>
              <w:rPr>
                <w:b w:val="0"/>
                <w:bCs w:val="0"/>
                <w:sz w:val="20"/>
                <w:szCs w:val="18"/>
              </w:rPr>
            </w:pPr>
          </w:p>
        </w:tc>
        <w:tc>
          <w:tcPr>
            <w:tcW w:w="1159" w:type="dxa"/>
          </w:tcPr>
          <w:p w14:paraId="6E1F10A8" w14:textId="77777777" w:rsidR="00F816D1" w:rsidRPr="006F5452" w:rsidRDefault="00F816D1" w:rsidP="003B3BBE">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18"/>
              </w:rPr>
            </w:pPr>
            <w:proofErr w:type="gramStart"/>
            <w:r w:rsidRPr="006F5452">
              <w:rPr>
                <w:sz w:val="20"/>
                <w:szCs w:val="18"/>
              </w:rPr>
              <w:t>I(</w:t>
            </w:r>
            <w:proofErr w:type="gramEnd"/>
            <w:r w:rsidRPr="006F5452">
              <w:rPr>
                <w:sz w:val="20"/>
                <w:szCs w:val="18"/>
              </w:rPr>
              <w:t>0)</w:t>
            </w:r>
          </w:p>
        </w:tc>
        <w:tc>
          <w:tcPr>
            <w:tcW w:w="1946" w:type="dxa"/>
          </w:tcPr>
          <w:p w14:paraId="38CEF691" w14:textId="77777777" w:rsidR="00F816D1" w:rsidRPr="006F5452" w:rsidRDefault="00F816D1" w:rsidP="003B3BBE">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18"/>
              </w:rPr>
            </w:pPr>
            <w:proofErr w:type="gramStart"/>
            <w:r w:rsidRPr="006F5452">
              <w:rPr>
                <w:sz w:val="20"/>
                <w:szCs w:val="18"/>
              </w:rPr>
              <w:t>I(</w:t>
            </w:r>
            <w:proofErr w:type="gramEnd"/>
            <w:r w:rsidRPr="006F5452">
              <w:rPr>
                <w:sz w:val="20"/>
                <w:szCs w:val="18"/>
              </w:rPr>
              <w:t>1)</w:t>
            </w:r>
          </w:p>
        </w:tc>
        <w:tc>
          <w:tcPr>
            <w:tcW w:w="1606" w:type="dxa"/>
          </w:tcPr>
          <w:p w14:paraId="76D5E420" w14:textId="77777777" w:rsidR="00F816D1" w:rsidRPr="006F5452" w:rsidRDefault="00F816D1" w:rsidP="003B3BBE">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18"/>
              </w:rPr>
            </w:pPr>
            <w:proofErr w:type="gramStart"/>
            <w:r w:rsidRPr="006F5452">
              <w:rPr>
                <w:sz w:val="20"/>
                <w:szCs w:val="18"/>
              </w:rPr>
              <w:t>I(</w:t>
            </w:r>
            <w:proofErr w:type="gramEnd"/>
            <w:r w:rsidRPr="006F5452">
              <w:rPr>
                <w:sz w:val="20"/>
                <w:szCs w:val="18"/>
              </w:rPr>
              <w:t>0)</w:t>
            </w:r>
          </w:p>
        </w:tc>
        <w:tc>
          <w:tcPr>
            <w:tcW w:w="1612" w:type="dxa"/>
          </w:tcPr>
          <w:p w14:paraId="069D9C76" w14:textId="77777777" w:rsidR="00F816D1" w:rsidRPr="006F5452" w:rsidRDefault="00F816D1" w:rsidP="003B3BBE">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18"/>
              </w:rPr>
            </w:pPr>
            <w:proofErr w:type="gramStart"/>
            <w:r w:rsidRPr="006F5452">
              <w:rPr>
                <w:sz w:val="20"/>
                <w:szCs w:val="18"/>
              </w:rPr>
              <w:t>I(</w:t>
            </w:r>
            <w:proofErr w:type="gramEnd"/>
            <w:r w:rsidRPr="006F5452">
              <w:rPr>
                <w:sz w:val="20"/>
                <w:szCs w:val="18"/>
              </w:rPr>
              <w:t>1)</w:t>
            </w:r>
          </w:p>
        </w:tc>
      </w:tr>
      <w:tr w:rsidR="006F5452" w:rsidRPr="006F5452" w14:paraId="2B98D091" w14:textId="77777777" w:rsidTr="003B3BBE">
        <w:trPr>
          <w:jc w:val="center"/>
        </w:trPr>
        <w:tc>
          <w:tcPr>
            <w:cnfStyle w:val="001000000000" w:firstRow="0" w:lastRow="0" w:firstColumn="1" w:lastColumn="0" w:oddVBand="0" w:evenVBand="0" w:oddHBand="0" w:evenHBand="0" w:firstRowFirstColumn="0" w:firstRowLastColumn="0" w:lastRowFirstColumn="0" w:lastRowLastColumn="0"/>
            <w:tcW w:w="1459" w:type="dxa"/>
          </w:tcPr>
          <w:p w14:paraId="6767B0FD" w14:textId="77777777" w:rsidR="00F816D1" w:rsidRPr="006F5452" w:rsidRDefault="00F816D1" w:rsidP="003B3BBE">
            <w:pPr>
              <w:spacing w:line="360" w:lineRule="auto"/>
              <w:rPr>
                <w:b w:val="0"/>
                <w:bCs w:val="0"/>
                <w:sz w:val="20"/>
                <w:szCs w:val="18"/>
              </w:rPr>
            </w:pPr>
            <w:r w:rsidRPr="006F5452">
              <w:rPr>
                <w:b w:val="0"/>
                <w:bCs w:val="0"/>
                <w:sz w:val="20"/>
                <w:szCs w:val="18"/>
              </w:rPr>
              <w:t>GBR</w:t>
            </w:r>
          </w:p>
        </w:tc>
        <w:tc>
          <w:tcPr>
            <w:tcW w:w="1159" w:type="dxa"/>
          </w:tcPr>
          <w:p w14:paraId="0FFDB567" w14:textId="77777777" w:rsidR="00F816D1" w:rsidRPr="006F5452" w:rsidRDefault="00F816D1" w:rsidP="003B3BBE">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18"/>
              </w:rPr>
            </w:pPr>
            <w:r w:rsidRPr="006F5452">
              <w:rPr>
                <w:sz w:val="20"/>
                <w:szCs w:val="18"/>
              </w:rPr>
              <w:t>-2.3808</w:t>
            </w:r>
          </w:p>
        </w:tc>
        <w:tc>
          <w:tcPr>
            <w:tcW w:w="1946" w:type="dxa"/>
          </w:tcPr>
          <w:p w14:paraId="1324DB94" w14:textId="77777777" w:rsidR="00F816D1" w:rsidRPr="006F5452" w:rsidRDefault="00F816D1" w:rsidP="003B3BBE">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18"/>
              </w:rPr>
            </w:pPr>
            <w:r w:rsidRPr="006F5452">
              <w:rPr>
                <w:sz w:val="20"/>
                <w:szCs w:val="18"/>
              </w:rPr>
              <w:t>-2.9628</w:t>
            </w:r>
            <w:r w:rsidRPr="006F5452">
              <w:rPr>
                <w:sz w:val="20"/>
                <w:szCs w:val="18"/>
                <w:vertAlign w:val="superscript"/>
                <w:lang w:val="en-GB"/>
              </w:rPr>
              <w:t xml:space="preserve"> ***</w:t>
            </w:r>
          </w:p>
        </w:tc>
        <w:tc>
          <w:tcPr>
            <w:tcW w:w="1606" w:type="dxa"/>
          </w:tcPr>
          <w:p w14:paraId="08088839" w14:textId="77777777" w:rsidR="00F816D1" w:rsidRPr="006F5452" w:rsidRDefault="00F816D1" w:rsidP="003B3BBE">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18"/>
              </w:rPr>
            </w:pPr>
            <w:r w:rsidRPr="006F5452">
              <w:rPr>
                <w:sz w:val="20"/>
                <w:szCs w:val="18"/>
              </w:rPr>
              <w:t>-1.5121</w:t>
            </w:r>
          </w:p>
        </w:tc>
        <w:tc>
          <w:tcPr>
            <w:tcW w:w="1612" w:type="dxa"/>
          </w:tcPr>
          <w:p w14:paraId="4A5EA2D0" w14:textId="77777777" w:rsidR="00F816D1" w:rsidRPr="006F5452" w:rsidRDefault="00F816D1" w:rsidP="003B3BBE">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18"/>
              </w:rPr>
            </w:pPr>
            <w:r w:rsidRPr="006F5452">
              <w:rPr>
                <w:sz w:val="20"/>
                <w:szCs w:val="18"/>
              </w:rPr>
              <w:t>-10.0343***</w:t>
            </w:r>
          </w:p>
        </w:tc>
      </w:tr>
      <w:tr w:rsidR="006F5452" w:rsidRPr="006F5452" w14:paraId="15BAEAB9" w14:textId="77777777" w:rsidTr="003B3B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9" w:type="dxa"/>
          </w:tcPr>
          <w:p w14:paraId="20861DB3" w14:textId="77777777" w:rsidR="00F816D1" w:rsidRPr="006F5452" w:rsidRDefault="00F816D1" w:rsidP="003B3BBE">
            <w:pPr>
              <w:spacing w:line="360" w:lineRule="auto"/>
              <w:rPr>
                <w:b w:val="0"/>
                <w:bCs w:val="0"/>
                <w:sz w:val="20"/>
                <w:szCs w:val="18"/>
              </w:rPr>
            </w:pPr>
            <w:r w:rsidRPr="006F5452">
              <w:rPr>
                <w:b w:val="0"/>
                <w:bCs w:val="0"/>
                <w:sz w:val="20"/>
                <w:szCs w:val="18"/>
              </w:rPr>
              <w:t>USEPU</w:t>
            </w:r>
          </w:p>
        </w:tc>
        <w:tc>
          <w:tcPr>
            <w:tcW w:w="1159" w:type="dxa"/>
          </w:tcPr>
          <w:p w14:paraId="542E1965" w14:textId="77777777" w:rsidR="00F816D1" w:rsidRPr="006F5452" w:rsidRDefault="00F816D1" w:rsidP="003B3BBE">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18"/>
              </w:rPr>
            </w:pPr>
            <w:r w:rsidRPr="006F5452">
              <w:rPr>
                <w:sz w:val="20"/>
                <w:szCs w:val="18"/>
              </w:rPr>
              <w:t>-3.2461**</w:t>
            </w:r>
          </w:p>
        </w:tc>
        <w:tc>
          <w:tcPr>
            <w:tcW w:w="1946" w:type="dxa"/>
          </w:tcPr>
          <w:p w14:paraId="07910878" w14:textId="77777777" w:rsidR="00F816D1" w:rsidRPr="006F5452" w:rsidRDefault="00F816D1" w:rsidP="003B3BBE">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18"/>
              </w:rPr>
            </w:pPr>
            <w:r w:rsidRPr="006F5452">
              <w:rPr>
                <w:sz w:val="20"/>
                <w:szCs w:val="18"/>
              </w:rPr>
              <w:t>-16.9772***</w:t>
            </w:r>
          </w:p>
        </w:tc>
        <w:tc>
          <w:tcPr>
            <w:tcW w:w="1606" w:type="dxa"/>
          </w:tcPr>
          <w:p w14:paraId="61FE8FBA" w14:textId="77777777" w:rsidR="00F816D1" w:rsidRPr="006F5452" w:rsidRDefault="00F816D1" w:rsidP="003B3BBE">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18"/>
              </w:rPr>
            </w:pPr>
            <w:r w:rsidRPr="006F5452">
              <w:rPr>
                <w:sz w:val="20"/>
                <w:szCs w:val="18"/>
              </w:rPr>
              <w:t>-4.9695***</w:t>
            </w:r>
          </w:p>
        </w:tc>
        <w:tc>
          <w:tcPr>
            <w:tcW w:w="1612" w:type="dxa"/>
          </w:tcPr>
          <w:p w14:paraId="7DDCABE2" w14:textId="77777777" w:rsidR="00F816D1" w:rsidRPr="006F5452" w:rsidRDefault="00F816D1" w:rsidP="003B3BBE">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18"/>
              </w:rPr>
            </w:pPr>
            <w:r w:rsidRPr="006F5452">
              <w:rPr>
                <w:sz w:val="20"/>
                <w:szCs w:val="18"/>
              </w:rPr>
              <w:t>-23.7571***</w:t>
            </w:r>
          </w:p>
        </w:tc>
      </w:tr>
      <w:tr w:rsidR="006F5452" w:rsidRPr="006F5452" w14:paraId="06B74178" w14:textId="77777777" w:rsidTr="003B3BBE">
        <w:trPr>
          <w:jc w:val="center"/>
        </w:trPr>
        <w:tc>
          <w:tcPr>
            <w:cnfStyle w:val="001000000000" w:firstRow="0" w:lastRow="0" w:firstColumn="1" w:lastColumn="0" w:oddVBand="0" w:evenVBand="0" w:oddHBand="0" w:evenHBand="0" w:firstRowFirstColumn="0" w:firstRowLastColumn="0" w:lastRowFirstColumn="0" w:lastRowLastColumn="0"/>
            <w:tcW w:w="1459" w:type="dxa"/>
          </w:tcPr>
          <w:p w14:paraId="3ECB8B28" w14:textId="77777777" w:rsidR="00F816D1" w:rsidRPr="006F5452" w:rsidRDefault="00F816D1" w:rsidP="003B3BBE">
            <w:pPr>
              <w:spacing w:line="360" w:lineRule="auto"/>
              <w:rPr>
                <w:sz w:val="20"/>
                <w:szCs w:val="18"/>
              </w:rPr>
            </w:pPr>
            <w:r w:rsidRPr="006F5452">
              <w:rPr>
                <w:b w:val="0"/>
                <w:bCs w:val="0"/>
                <w:sz w:val="20"/>
                <w:szCs w:val="18"/>
              </w:rPr>
              <w:t>GPRT</w:t>
            </w:r>
          </w:p>
        </w:tc>
        <w:tc>
          <w:tcPr>
            <w:tcW w:w="1159" w:type="dxa"/>
          </w:tcPr>
          <w:p w14:paraId="21A6501B" w14:textId="77777777" w:rsidR="00F816D1" w:rsidRPr="006F5452" w:rsidRDefault="00F816D1" w:rsidP="003B3BBE">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18"/>
              </w:rPr>
            </w:pPr>
            <w:r w:rsidRPr="006F5452">
              <w:rPr>
                <w:sz w:val="20"/>
                <w:szCs w:val="18"/>
              </w:rPr>
              <w:t>-4.3418***</w:t>
            </w:r>
          </w:p>
        </w:tc>
        <w:tc>
          <w:tcPr>
            <w:tcW w:w="1946" w:type="dxa"/>
          </w:tcPr>
          <w:p w14:paraId="045BD5BB" w14:textId="77777777" w:rsidR="00F816D1" w:rsidRPr="006F5452" w:rsidRDefault="00F816D1" w:rsidP="003B3BBE">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18"/>
              </w:rPr>
            </w:pPr>
            <w:r w:rsidRPr="006F5452">
              <w:rPr>
                <w:sz w:val="20"/>
                <w:szCs w:val="18"/>
              </w:rPr>
              <w:t>-6.5094***</w:t>
            </w:r>
          </w:p>
        </w:tc>
        <w:tc>
          <w:tcPr>
            <w:tcW w:w="1606" w:type="dxa"/>
          </w:tcPr>
          <w:p w14:paraId="52232A12" w14:textId="77777777" w:rsidR="00F816D1" w:rsidRPr="006F5452" w:rsidRDefault="00F816D1" w:rsidP="003B3BBE">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18"/>
              </w:rPr>
            </w:pPr>
            <w:r w:rsidRPr="006F5452">
              <w:rPr>
                <w:sz w:val="20"/>
                <w:szCs w:val="18"/>
              </w:rPr>
              <w:t>-7.2992***</w:t>
            </w:r>
          </w:p>
        </w:tc>
        <w:tc>
          <w:tcPr>
            <w:tcW w:w="1612" w:type="dxa"/>
          </w:tcPr>
          <w:p w14:paraId="2A11C4CA" w14:textId="77777777" w:rsidR="00F816D1" w:rsidRPr="006F5452" w:rsidRDefault="00F816D1" w:rsidP="003B3BBE">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18"/>
              </w:rPr>
            </w:pPr>
            <w:r w:rsidRPr="006F5452">
              <w:rPr>
                <w:sz w:val="20"/>
                <w:szCs w:val="18"/>
              </w:rPr>
              <w:t>-40.9655***</w:t>
            </w:r>
          </w:p>
        </w:tc>
      </w:tr>
      <w:tr w:rsidR="006F5452" w:rsidRPr="006F5452" w14:paraId="7DBF9434" w14:textId="77777777" w:rsidTr="003B3B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9" w:type="dxa"/>
          </w:tcPr>
          <w:p w14:paraId="3F574208" w14:textId="77777777" w:rsidR="00F816D1" w:rsidRPr="006F5452" w:rsidRDefault="00F816D1" w:rsidP="003B3BBE">
            <w:pPr>
              <w:spacing w:line="360" w:lineRule="auto"/>
              <w:rPr>
                <w:sz w:val="20"/>
                <w:szCs w:val="18"/>
              </w:rPr>
            </w:pPr>
            <w:r w:rsidRPr="006F5452">
              <w:rPr>
                <w:b w:val="0"/>
                <w:bCs w:val="0"/>
                <w:sz w:val="20"/>
                <w:szCs w:val="18"/>
              </w:rPr>
              <w:t>GPRA</w:t>
            </w:r>
          </w:p>
        </w:tc>
        <w:tc>
          <w:tcPr>
            <w:tcW w:w="1159" w:type="dxa"/>
          </w:tcPr>
          <w:p w14:paraId="118CF18B" w14:textId="77777777" w:rsidR="00F816D1" w:rsidRPr="006F5452" w:rsidRDefault="00F816D1" w:rsidP="003B3BBE">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18"/>
              </w:rPr>
            </w:pPr>
            <w:r w:rsidRPr="006F5452">
              <w:rPr>
                <w:sz w:val="20"/>
                <w:szCs w:val="18"/>
              </w:rPr>
              <w:t>-7.3711***</w:t>
            </w:r>
          </w:p>
        </w:tc>
        <w:tc>
          <w:tcPr>
            <w:tcW w:w="1946" w:type="dxa"/>
          </w:tcPr>
          <w:p w14:paraId="671B23A8" w14:textId="77777777" w:rsidR="00F816D1" w:rsidRPr="006F5452" w:rsidRDefault="00F816D1" w:rsidP="003B3BBE">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18"/>
              </w:rPr>
            </w:pPr>
            <w:r w:rsidRPr="006F5452">
              <w:rPr>
                <w:sz w:val="20"/>
                <w:szCs w:val="18"/>
              </w:rPr>
              <w:t>-8.3988***</w:t>
            </w:r>
          </w:p>
        </w:tc>
        <w:tc>
          <w:tcPr>
            <w:tcW w:w="1606" w:type="dxa"/>
          </w:tcPr>
          <w:p w14:paraId="1733CCC9" w14:textId="77777777" w:rsidR="00F816D1" w:rsidRPr="006F5452" w:rsidRDefault="00F816D1" w:rsidP="003B3BBE">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18"/>
              </w:rPr>
            </w:pPr>
            <w:r w:rsidRPr="006F5452">
              <w:rPr>
                <w:sz w:val="20"/>
                <w:szCs w:val="18"/>
              </w:rPr>
              <w:t>-7.4664***</w:t>
            </w:r>
          </w:p>
        </w:tc>
        <w:tc>
          <w:tcPr>
            <w:tcW w:w="1612" w:type="dxa"/>
          </w:tcPr>
          <w:p w14:paraId="3943EBF3" w14:textId="77777777" w:rsidR="00F816D1" w:rsidRPr="006F5452" w:rsidRDefault="00F816D1" w:rsidP="003B3BBE">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18"/>
              </w:rPr>
            </w:pPr>
            <w:r w:rsidRPr="006F5452">
              <w:rPr>
                <w:sz w:val="20"/>
                <w:szCs w:val="18"/>
              </w:rPr>
              <w:t>-52.0007***</w:t>
            </w:r>
          </w:p>
        </w:tc>
      </w:tr>
      <w:tr w:rsidR="006F5452" w:rsidRPr="006F5452" w14:paraId="2827CECF" w14:textId="77777777" w:rsidTr="003B3BBE">
        <w:trPr>
          <w:jc w:val="center"/>
        </w:trPr>
        <w:tc>
          <w:tcPr>
            <w:cnfStyle w:val="001000000000" w:firstRow="0" w:lastRow="0" w:firstColumn="1" w:lastColumn="0" w:oddVBand="0" w:evenVBand="0" w:oddHBand="0" w:evenHBand="0" w:firstRowFirstColumn="0" w:firstRowLastColumn="0" w:lastRowFirstColumn="0" w:lastRowLastColumn="0"/>
            <w:tcW w:w="1459" w:type="dxa"/>
          </w:tcPr>
          <w:p w14:paraId="39A5814F" w14:textId="77777777" w:rsidR="00F816D1" w:rsidRPr="006F5452" w:rsidRDefault="00F816D1" w:rsidP="003B3BBE">
            <w:pPr>
              <w:spacing w:line="360" w:lineRule="auto"/>
              <w:rPr>
                <w:b w:val="0"/>
                <w:bCs w:val="0"/>
                <w:sz w:val="20"/>
                <w:szCs w:val="18"/>
              </w:rPr>
            </w:pPr>
            <w:r w:rsidRPr="006F5452">
              <w:rPr>
                <w:b w:val="0"/>
                <w:bCs w:val="0"/>
                <w:sz w:val="20"/>
                <w:szCs w:val="18"/>
              </w:rPr>
              <w:t>WTI</w:t>
            </w:r>
          </w:p>
        </w:tc>
        <w:tc>
          <w:tcPr>
            <w:tcW w:w="1159" w:type="dxa"/>
          </w:tcPr>
          <w:p w14:paraId="1D5E7544" w14:textId="77777777" w:rsidR="00F816D1" w:rsidRPr="006F5452" w:rsidRDefault="00F816D1" w:rsidP="003B3BBE">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18"/>
              </w:rPr>
            </w:pPr>
            <w:r w:rsidRPr="006F5452">
              <w:rPr>
                <w:sz w:val="20"/>
                <w:szCs w:val="18"/>
              </w:rPr>
              <w:t>-1.7819</w:t>
            </w:r>
          </w:p>
        </w:tc>
        <w:tc>
          <w:tcPr>
            <w:tcW w:w="1946" w:type="dxa"/>
          </w:tcPr>
          <w:p w14:paraId="4BC562B5" w14:textId="77777777" w:rsidR="00F816D1" w:rsidRPr="006F5452" w:rsidRDefault="00F816D1" w:rsidP="003B3BBE">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18"/>
              </w:rPr>
            </w:pPr>
            <w:r w:rsidRPr="006F5452">
              <w:rPr>
                <w:sz w:val="20"/>
                <w:szCs w:val="18"/>
              </w:rPr>
              <w:t>-9.0610***</w:t>
            </w:r>
          </w:p>
        </w:tc>
        <w:tc>
          <w:tcPr>
            <w:tcW w:w="1606" w:type="dxa"/>
          </w:tcPr>
          <w:p w14:paraId="6E688BA6" w14:textId="77777777" w:rsidR="00F816D1" w:rsidRPr="006F5452" w:rsidRDefault="00F816D1" w:rsidP="003B3BBE">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18"/>
              </w:rPr>
            </w:pPr>
            <w:r w:rsidRPr="006F5452">
              <w:rPr>
                <w:sz w:val="20"/>
                <w:szCs w:val="18"/>
              </w:rPr>
              <w:t>-1.6717</w:t>
            </w:r>
          </w:p>
        </w:tc>
        <w:tc>
          <w:tcPr>
            <w:tcW w:w="1612" w:type="dxa"/>
          </w:tcPr>
          <w:p w14:paraId="3BC24D9A" w14:textId="77777777" w:rsidR="00F816D1" w:rsidRPr="006F5452" w:rsidRDefault="00F816D1" w:rsidP="003B3BBE">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18"/>
              </w:rPr>
            </w:pPr>
            <w:r w:rsidRPr="006F5452">
              <w:rPr>
                <w:sz w:val="20"/>
                <w:szCs w:val="18"/>
              </w:rPr>
              <w:t>-8.9447***</w:t>
            </w:r>
          </w:p>
        </w:tc>
      </w:tr>
      <w:tr w:rsidR="006F5452" w:rsidRPr="006F5452" w14:paraId="3BB8B073" w14:textId="77777777" w:rsidTr="003B3B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9" w:type="dxa"/>
          </w:tcPr>
          <w:p w14:paraId="1A35A814" w14:textId="77777777" w:rsidR="00F816D1" w:rsidRPr="006F5452" w:rsidRDefault="00F816D1" w:rsidP="003B3BBE">
            <w:pPr>
              <w:spacing w:line="360" w:lineRule="auto"/>
              <w:rPr>
                <w:b w:val="0"/>
                <w:bCs w:val="0"/>
                <w:sz w:val="20"/>
                <w:szCs w:val="18"/>
              </w:rPr>
            </w:pPr>
            <w:r w:rsidRPr="006F5452">
              <w:rPr>
                <w:b w:val="0"/>
                <w:bCs w:val="0"/>
                <w:sz w:val="20"/>
                <w:szCs w:val="18"/>
              </w:rPr>
              <w:t>SP500</w:t>
            </w:r>
          </w:p>
        </w:tc>
        <w:tc>
          <w:tcPr>
            <w:tcW w:w="1159" w:type="dxa"/>
          </w:tcPr>
          <w:p w14:paraId="177DC8AE" w14:textId="77777777" w:rsidR="00F816D1" w:rsidRPr="006F5452" w:rsidRDefault="00F816D1" w:rsidP="003B3BBE">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18"/>
              </w:rPr>
            </w:pPr>
            <w:r w:rsidRPr="006F5452">
              <w:rPr>
                <w:sz w:val="20"/>
                <w:szCs w:val="18"/>
              </w:rPr>
              <w:t>-1.0815</w:t>
            </w:r>
          </w:p>
        </w:tc>
        <w:tc>
          <w:tcPr>
            <w:tcW w:w="1946" w:type="dxa"/>
          </w:tcPr>
          <w:p w14:paraId="4F8884A4" w14:textId="77777777" w:rsidR="00F816D1" w:rsidRPr="006F5452" w:rsidRDefault="00F816D1" w:rsidP="003B3BBE">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18"/>
              </w:rPr>
            </w:pPr>
            <w:r w:rsidRPr="006F5452">
              <w:rPr>
                <w:sz w:val="20"/>
                <w:szCs w:val="18"/>
              </w:rPr>
              <w:t>-12.9121***</w:t>
            </w:r>
          </w:p>
        </w:tc>
        <w:tc>
          <w:tcPr>
            <w:tcW w:w="1606" w:type="dxa"/>
          </w:tcPr>
          <w:p w14:paraId="435561B8" w14:textId="77777777" w:rsidR="00F816D1" w:rsidRPr="006F5452" w:rsidRDefault="00F816D1" w:rsidP="003B3BBE">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18"/>
              </w:rPr>
            </w:pPr>
            <w:r w:rsidRPr="006F5452">
              <w:rPr>
                <w:sz w:val="20"/>
                <w:szCs w:val="18"/>
              </w:rPr>
              <w:t>-1.17621</w:t>
            </w:r>
          </w:p>
        </w:tc>
        <w:tc>
          <w:tcPr>
            <w:tcW w:w="1612" w:type="dxa"/>
          </w:tcPr>
          <w:p w14:paraId="3D929707" w14:textId="77777777" w:rsidR="00F816D1" w:rsidRPr="006F5452" w:rsidRDefault="00F816D1" w:rsidP="003B3BBE">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18"/>
              </w:rPr>
            </w:pPr>
            <w:r w:rsidRPr="006F5452">
              <w:rPr>
                <w:sz w:val="20"/>
                <w:szCs w:val="18"/>
              </w:rPr>
              <w:t>-13.1781***</w:t>
            </w:r>
          </w:p>
        </w:tc>
      </w:tr>
    </w:tbl>
    <w:p w14:paraId="3755FB80" w14:textId="77777777" w:rsidR="00F816D1" w:rsidRPr="006F5452" w:rsidRDefault="00F816D1" w:rsidP="00F816D1">
      <w:pPr>
        <w:autoSpaceDE w:val="0"/>
        <w:autoSpaceDN w:val="0"/>
        <w:adjustRightInd w:val="0"/>
        <w:spacing w:line="240" w:lineRule="auto"/>
        <w:jc w:val="both"/>
        <w:rPr>
          <w:sz w:val="20"/>
          <w:szCs w:val="18"/>
        </w:rPr>
      </w:pPr>
      <w:r w:rsidRPr="006F5452">
        <w:rPr>
          <w:sz w:val="20"/>
          <w:szCs w:val="18"/>
        </w:rPr>
        <w:t>Notes: *** and ** indicate 1% and 5% significance levels. GB is the green bond returns, USEPU is the US economic policy uncertainty, GPRT indicates geopolitical threats, GPRA is the geopolitical acts, and WTI is the West Texas Intermediate oil returns.</w:t>
      </w:r>
    </w:p>
    <w:p w14:paraId="789E4187" w14:textId="77777777" w:rsidR="00F816D1" w:rsidRPr="006F5452" w:rsidRDefault="00F816D1" w:rsidP="00F816D1"/>
    <w:p w14:paraId="616E6AEE" w14:textId="79E6D8B0" w:rsidR="00071824" w:rsidRPr="006F5452" w:rsidRDefault="00713BC0" w:rsidP="0017253E">
      <w:pPr>
        <w:ind w:firstLine="720"/>
        <w:jc w:val="both"/>
      </w:pPr>
      <w:r w:rsidRPr="006F5452">
        <w:t>Additionally, w</w:t>
      </w:r>
      <w:r w:rsidR="00071824" w:rsidRPr="006F5452">
        <w:t xml:space="preserve">e checked whether the data series are cointegrated. </w:t>
      </w:r>
      <w:r w:rsidRPr="006F5452">
        <w:t>It is evident from the results of t</w:t>
      </w:r>
      <w:r w:rsidR="00071824" w:rsidRPr="006F5452">
        <w:rPr>
          <w:lang w:val="en-GB"/>
        </w:rPr>
        <w:t xml:space="preserve">he </w:t>
      </w:r>
      <w:proofErr w:type="spellStart"/>
      <w:r w:rsidR="00071824" w:rsidRPr="006F5452">
        <w:rPr>
          <w:vertAlign w:val="superscript"/>
          <w:lang w:val="en-GB"/>
        </w:rPr>
        <w:t>t</w:t>
      </w:r>
      <w:r w:rsidR="00071824" w:rsidRPr="006F5452">
        <w:rPr>
          <w:vertAlign w:val="subscript"/>
          <w:lang w:val="en-GB"/>
        </w:rPr>
        <w:t>BDM</w:t>
      </w:r>
      <w:proofErr w:type="spellEnd"/>
      <w:r w:rsidR="00071824" w:rsidRPr="006F5452">
        <w:rPr>
          <w:vertAlign w:val="subscript"/>
          <w:lang w:val="en-GB"/>
        </w:rPr>
        <w:t xml:space="preserve"> </w:t>
      </w:r>
      <w:r w:rsidR="00071824" w:rsidRPr="006F5452">
        <w:rPr>
          <w:lang w:val="en-GB"/>
        </w:rPr>
        <w:t>and F</w:t>
      </w:r>
      <w:r w:rsidR="00071824" w:rsidRPr="006F5452">
        <w:rPr>
          <w:vertAlign w:val="subscript"/>
          <w:lang w:val="en-GB"/>
        </w:rPr>
        <w:t>PSS</w:t>
      </w:r>
      <w:r w:rsidR="00071824" w:rsidRPr="006F5452">
        <w:rPr>
          <w:lang w:val="en-GB"/>
        </w:rPr>
        <w:t xml:space="preserve"> test that green bond returns and other explanatory variables are cointegrated.</w:t>
      </w:r>
    </w:p>
    <w:p w14:paraId="52297E57" w14:textId="77777777" w:rsidR="00071824" w:rsidRPr="006F5452" w:rsidRDefault="00071824" w:rsidP="00D11D0C"/>
    <w:p w14:paraId="38B3FC43" w14:textId="58ED6D58" w:rsidR="000C6F3B" w:rsidRPr="006F5452" w:rsidRDefault="0017253E" w:rsidP="0017253E">
      <w:pPr>
        <w:pStyle w:val="Caption"/>
        <w:keepNext/>
        <w:jc w:val="center"/>
        <w:rPr>
          <w:color w:val="auto"/>
          <w:lang w:val="en-GB"/>
        </w:rPr>
      </w:pPr>
      <w:r w:rsidRPr="006F5452">
        <w:rPr>
          <w:color w:val="auto"/>
        </w:rPr>
        <w:t xml:space="preserve">Table </w:t>
      </w:r>
      <w:r w:rsidRPr="006F5452">
        <w:rPr>
          <w:color w:val="auto"/>
        </w:rPr>
        <w:fldChar w:fldCharType="begin"/>
      </w:r>
      <w:r w:rsidRPr="006F5452">
        <w:rPr>
          <w:color w:val="auto"/>
        </w:rPr>
        <w:instrText xml:space="preserve"> SEQ Table \* ARABIC </w:instrText>
      </w:r>
      <w:r w:rsidRPr="006F5452">
        <w:rPr>
          <w:color w:val="auto"/>
        </w:rPr>
        <w:fldChar w:fldCharType="separate"/>
      </w:r>
      <w:r w:rsidR="00F816D1" w:rsidRPr="006F5452">
        <w:rPr>
          <w:noProof/>
          <w:color w:val="auto"/>
        </w:rPr>
        <w:t>4</w:t>
      </w:r>
      <w:r w:rsidRPr="006F5452">
        <w:rPr>
          <w:noProof/>
          <w:color w:val="auto"/>
        </w:rPr>
        <w:fldChar w:fldCharType="end"/>
      </w:r>
      <w:r w:rsidR="000C6F3B" w:rsidRPr="006F5452">
        <w:rPr>
          <w:color w:val="auto"/>
          <w:lang w:val="en-GB"/>
        </w:rPr>
        <w:t xml:space="preserve"> Bounds test for cointegration.</w:t>
      </w:r>
    </w:p>
    <w:tbl>
      <w:tblPr>
        <w:tblStyle w:val="PlainTable2"/>
        <w:tblW w:w="0" w:type="auto"/>
        <w:jc w:val="center"/>
        <w:tblLook w:val="04A0" w:firstRow="1" w:lastRow="0" w:firstColumn="1" w:lastColumn="0" w:noHBand="0" w:noVBand="1"/>
      </w:tblPr>
      <w:tblGrid>
        <w:gridCol w:w="1260"/>
        <w:gridCol w:w="1066"/>
        <w:gridCol w:w="2226"/>
      </w:tblGrid>
      <w:tr w:rsidR="006F5452" w:rsidRPr="006F5452" w14:paraId="5820D461" w14:textId="77777777" w:rsidTr="005B282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1494B7F7" w14:textId="77777777" w:rsidR="005B2821" w:rsidRPr="006F5452" w:rsidRDefault="005B2821" w:rsidP="005B2821">
            <w:pPr>
              <w:spacing w:line="360" w:lineRule="auto"/>
              <w:rPr>
                <w:b w:val="0"/>
                <w:bCs w:val="0"/>
                <w:sz w:val="20"/>
                <w:szCs w:val="20"/>
                <w:lang w:val="en-GB"/>
              </w:rPr>
            </w:pPr>
            <w:bookmarkStart w:id="8" w:name="_Hlk102923258"/>
          </w:p>
        </w:tc>
        <w:tc>
          <w:tcPr>
            <w:tcW w:w="956" w:type="dxa"/>
            <w:hideMark/>
          </w:tcPr>
          <w:p w14:paraId="28623C06" w14:textId="6EBDEA52" w:rsidR="005B2821" w:rsidRPr="006F5452" w:rsidRDefault="00000000" w:rsidP="005B2821">
            <w:pPr>
              <w:spacing w:line="360" w:lineRule="auto"/>
              <w:jc w:val="center"/>
              <w:cnfStyle w:val="100000000000" w:firstRow="1" w:lastRow="0" w:firstColumn="0" w:lastColumn="0" w:oddVBand="0" w:evenVBand="0" w:oddHBand="0" w:evenHBand="0" w:firstRowFirstColumn="0" w:firstRowLastColumn="0" w:lastRowFirstColumn="0" w:lastRowLastColumn="0"/>
              <w:rPr>
                <w:b w:val="0"/>
                <w:bCs w:val="0"/>
                <w:iCs/>
                <w:sz w:val="20"/>
                <w:szCs w:val="20"/>
                <w:lang w:val="en-GB"/>
              </w:rPr>
            </w:pPr>
            <m:oMathPara>
              <m:oMathParaPr>
                <m:jc m:val="center"/>
              </m:oMathParaPr>
              <m:oMath>
                <m:sSub>
                  <m:sSubPr>
                    <m:ctrlPr>
                      <w:rPr>
                        <w:rFonts w:ascii="Cambria Math" w:hAnsi="Cambria Math"/>
                        <w:b w:val="0"/>
                        <w:bCs w:val="0"/>
                        <w:iCs/>
                        <w:sz w:val="20"/>
                        <w:szCs w:val="20"/>
                        <w:lang w:val="en-GB"/>
                      </w:rPr>
                    </m:ctrlPr>
                  </m:sSubPr>
                  <m:e>
                    <m:r>
                      <m:rPr>
                        <m:sty m:val="b"/>
                      </m:rPr>
                      <w:rPr>
                        <w:rFonts w:ascii="Cambria Math" w:hAnsi="Cambria Math"/>
                        <w:sz w:val="20"/>
                        <w:szCs w:val="20"/>
                        <w:lang w:val="en-GB"/>
                      </w:rPr>
                      <m:t>F</m:t>
                    </m:r>
                  </m:e>
                  <m:sub>
                    <m:r>
                      <m:rPr>
                        <m:sty m:val="b"/>
                      </m:rPr>
                      <w:rPr>
                        <w:rFonts w:ascii="Cambria Math" w:hAnsi="Cambria Math"/>
                        <w:sz w:val="20"/>
                        <w:szCs w:val="20"/>
                        <w:lang w:val="en-GB"/>
                      </w:rPr>
                      <m:t>PSS</m:t>
                    </m:r>
                  </m:sub>
                </m:sSub>
              </m:oMath>
            </m:oMathPara>
          </w:p>
        </w:tc>
        <w:tc>
          <w:tcPr>
            <w:tcW w:w="2226" w:type="dxa"/>
            <w:hideMark/>
          </w:tcPr>
          <w:p w14:paraId="5BA57BFC" w14:textId="4D31E73D" w:rsidR="005B2821" w:rsidRPr="006F5452" w:rsidRDefault="00000000" w:rsidP="005B2821">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iCs/>
                <w:sz w:val="20"/>
                <w:szCs w:val="20"/>
                <w:lang w:val="en-GB"/>
              </w:rPr>
            </w:pPr>
            <m:oMathPara>
              <m:oMath>
                <m:sSub>
                  <m:sSubPr>
                    <m:ctrlPr>
                      <w:rPr>
                        <w:rFonts w:ascii="Cambria Math" w:hAnsi="Cambria Math"/>
                        <w:b w:val="0"/>
                        <w:bCs w:val="0"/>
                        <w:iCs/>
                        <w:sz w:val="20"/>
                        <w:szCs w:val="20"/>
                        <w:lang w:val="en-GB"/>
                      </w:rPr>
                    </m:ctrlPr>
                  </m:sSubPr>
                  <m:e>
                    <m:r>
                      <m:rPr>
                        <m:sty m:val="b"/>
                      </m:rPr>
                      <w:rPr>
                        <w:rFonts w:ascii="Cambria Math" w:hAnsi="Cambria Math"/>
                        <w:sz w:val="20"/>
                        <w:szCs w:val="20"/>
                        <w:lang w:val="en-GB"/>
                      </w:rPr>
                      <m:t>t</m:t>
                    </m:r>
                  </m:e>
                  <m:sub>
                    <m:r>
                      <m:rPr>
                        <m:sty m:val="b"/>
                      </m:rPr>
                      <w:rPr>
                        <w:rFonts w:ascii="Cambria Math" w:hAnsi="Cambria Math"/>
                        <w:sz w:val="20"/>
                        <w:szCs w:val="20"/>
                        <w:lang w:val="en-GB"/>
                      </w:rPr>
                      <m:t>BDM</m:t>
                    </m:r>
                  </m:sub>
                </m:sSub>
              </m:oMath>
            </m:oMathPara>
          </w:p>
        </w:tc>
        <w:bookmarkEnd w:id="8"/>
      </w:tr>
      <w:tr w:rsidR="006F5452" w:rsidRPr="006F5452" w14:paraId="506CE704" w14:textId="77777777" w:rsidTr="005B28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hideMark/>
          </w:tcPr>
          <w:p w14:paraId="5A2E94DD" w14:textId="74F4318A" w:rsidR="005B2821" w:rsidRPr="006F5452" w:rsidRDefault="005B2821" w:rsidP="005B2821">
            <w:pPr>
              <w:spacing w:line="360" w:lineRule="auto"/>
              <w:rPr>
                <w:b w:val="0"/>
                <w:bCs w:val="0"/>
                <w:sz w:val="20"/>
                <w:szCs w:val="20"/>
                <w:lang w:val="en-GB"/>
              </w:rPr>
            </w:pPr>
            <w:r w:rsidRPr="006F5452">
              <w:rPr>
                <w:b w:val="0"/>
                <w:bCs w:val="0"/>
                <w:sz w:val="20"/>
                <w:szCs w:val="20"/>
                <w:lang w:val="en-GB"/>
              </w:rPr>
              <w:t>USEPU</w:t>
            </w:r>
          </w:p>
        </w:tc>
        <w:tc>
          <w:tcPr>
            <w:tcW w:w="956" w:type="dxa"/>
            <w:hideMark/>
          </w:tcPr>
          <w:p w14:paraId="4811CDE2" w14:textId="03384875" w:rsidR="005B2821" w:rsidRPr="006F5452" w:rsidRDefault="005B2821" w:rsidP="005B2821">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8.2471</w:t>
            </w:r>
            <w:r w:rsidR="00071824" w:rsidRPr="006F5452">
              <w:rPr>
                <w:sz w:val="20"/>
                <w:szCs w:val="20"/>
                <w:lang w:val="en-GB"/>
              </w:rPr>
              <w:t>***</w:t>
            </w:r>
          </w:p>
        </w:tc>
        <w:tc>
          <w:tcPr>
            <w:tcW w:w="2226" w:type="dxa"/>
            <w:hideMark/>
          </w:tcPr>
          <w:p w14:paraId="6E142AA5" w14:textId="4718FF66" w:rsidR="005B2821" w:rsidRPr="006F5452" w:rsidRDefault="005B2821" w:rsidP="005B2821">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-5.0422</w:t>
            </w:r>
            <w:r w:rsidR="00071824" w:rsidRPr="006F5452">
              <w:rPr>
                <w:sz w:val="20"/>
                <w:szCs w:val="20"/>
                <w:lang w:val="en-GB"/>
              </w:rPr>
              <w:t>***</w:t>
            </w:r>
          </w:p>
        </w:tc>
      </w:tr>
      <w:tr w:rsidR="006F5452" w:rsidRPr="006F5452" w14:paraId="57E354DF" w14:textId="77777777" w:rsidTr="005B2821">
        <w:trPr>
          <w:jc w:val="center"/>
        </w:trPr>
        <w:tc>
          <w:tcPr>
            <w:cnfStyle w:val="001000000000" w:firstRow="0" w:lastRow="0" w:firstColumn="1" w:lastColumn="0" w:oddVBand="0" w:evenVBand="0" w:oddHBand="0" w:evenHBand="0" w:firstRowFirstColumn="0" w:firstRowLastColumn="0" w:lastRowFirstColumn="0" w:lastRowLastColumn="0"/>
            <w:tcW w:w="1260" w:type="dxa"/>
          </w:tcPr>
          <w:p w14:paraId="031EF14F" w14:textId="61E61B93" w:rsidR="005B2821" w:rsidRPr="006F5452" w:rsidRDefault="005B2821" w:rsidP="005B2821">
            <w:pPr>
              <w:spacing w:line="360" w:lineRule="auto"/>
              <w:rPr>
                <w:b w:val="0"/>
                <w:bCs w:val="0"/>
                <w:sz w:val="20"/>
                <w:szCs w:val="20"/>
                <w:lang w:val="en-GB"/>
              </w:rPr>
            </w:pPr>
            <w:r w:rsidRPr="006F5452">
              <w:rPr>
                <w:b w:val="0"/>
                <w:bCs w:val="0"/>
                <w:sz w:val="20"/>
                <w:szCs w:val="20"/>
                <w:lang w:val="en-GB"/>
              </w:rPr>
              <w:t>GPRT</w:t>
            </w:r>
          </w:p>
        </w:tc>
        <w:tc>
          <w:tcPr>
            <w:tcW w:w="956" w:type="dxa"/>
          </w:tcPr>
          <w:p w14:paraId="551C02DE" w14:textId="176258F7" w:rsidR="005B2821" w:rsidRPr="006F5452" w:rsidRDefault="005B2821" w:rsidP="005B2821">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7.9480</w:t>
            </w:r>
            <w:r w:rsidR="00071824" w:rsidRPr="006F5452">
              <w:rPr>
                <w:sz w:val="20"/>
                <w:szCs w:val="20"/>
                <w:lang w:val="en-GB"/>
              </w:rPr>
              <w:t>***</w:t>
            </w:r>
          </w:p>
        </w:tc>
        <w:tc>
          <w:tcPr>
            <w:tcW w:w="2226" w:type="dxa"/>
          </w:tcPr>
          <w:p w14:paraId="2EA6EE12" w14:textId="2F7EDBC5" w:rsidR="005B2821" w:rsidRPr="006F5452" w:rsidRDefault="005B2821" w:rsidP="005B2821">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-4.9801</w:t>
            </w:r>
            <w:r w:rsidR="00071824" w:rsidRPr="006F5452">
              <w:rPr>
                <w:sz w:val="20"/>
                <w:szCs w:val="20"/>
                <w:lang w:val="en-GB"/>
              </w:rPr>
              <w:t>**</w:t>
            </w:r>
          </w:p>
        </w:tc>
      </w:tr>
      <w:tr w:rsidR="006F5452" w:rsidRPr="006F5452" w14:paraId="730B4FB7" w14:textId="77777777" w:rsidTr="005B28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24ADF15A" w14:textId="41527F80" w:rsidR="005B2821" w:rsidRPr="006F5452" w:rsidRDefault="005B2821" w:rsidP="005B2821">
            <w:pPr>
              <w:spacing w:line="360" w:lineRule="auto"/>
              <w:rPr>
                <w:b w:val="0"/>
                <w:bCs w:val="0"/>
                <w:sz w:val="20"/>
                <w:szCs w:val="20"/>
                <w:lang w:val="en-GB"/>
              </w:rPr>
            </w:pPr>
            <w:r w:rsidRPr="006F5452">
              <w:rPr>
                <w:b w:val="0"/>
                <w:bCs w:val="0"/>
                <w:sz w:val="20"/>
                <w:szCs w:val="20"/>
                <w:lang w:val="en-GB"/>
              </w:rPr>
              <w:t>GPRA</w:t>
            </w:r>
          </w:p>
        </w:tc>
        <w:tc>
          <w:tcPr>
            <w:tcW w:w="956" w:type="dxa"/>
          </w:tcPr>
          <w:p w14:paraId="4010C9FC" w14:textId="023BD226" w:rsidR="005B2821" w:rsidRPr="006F5452" w:rsidRDefault="00100983" w:rsidP="005B2821">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5.0340</w:t>
            </w:r>
            <w:r w:rsidR="00071824" w:rsidRPr="006F5452">
              <w:rPr>
                <w:sz w:val="20"/>
                <w:szCs w:val="20"/>
                <w:lang w:val="en-GB"/>
              </w:rPr>
              <w:t>***</w:t>
            </w:r>
          </w:p>
        </w:tc>
        <w:tc>
          <w:tcPr>
            <w:tcW w:w="2226" w:type="dxa"/>
          </w:tcPr>
          <w:p w14:paraId="5F219C8A" w14:textId="72DD5AB3" w:rsidR="005B2821" w:rsidRPr="006F5452" w:rsidRDefault="00100983" w:rsidP="005B2821">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-6.3023</w:t>
            </w:r>
            <w:r w:rsidR="00071824" w:rsidRPr="006F5452">
              <w:rPr>
                <w:sz w:val="20"/>
                <w:szCs w:val="20"/>
                <w:lang w:val="en-GB"/>
              </w:rPr>
              <w:t>***</w:t>
            </w:r>
          </w:p>
        </w:tc>
      </w:tr>
      <w:tr w:rsidR="006F5452" w:rsidRPr="006F5452" w14:paraId="352A5401" w14:textId="77777777" w:rsidTr="005B2821">
        <w:trPr>
          <w:jc w:val="center"/>
        </w:trPr>
        <w:tc>
          <w:tcPr>
            <w:cnfStyle w:val="001000000000" w:firstRow="0" w:lastRow="0" w:firstColumn="1" w:lastColumn="0" w:oddVBand="0" w:evenVBand="0" w:oddHBand="0" w:evenHBand="0" w:firstRowFirstColumn="0" w:firstRowLastColumn="0" w:lastRowFirstColumn="0" w:lastRowLastColumn="0"/>
            <w:tcW w:w="1260" w:type="dxa"/>
            <w:hideMark/>
          </w:tcPr>
          <w:p w14:paraId="7CE7633C" w14:textId="77777777" w:rsidR="005B2821" w:rsidRPr="006F5452" w:rsidRDefault="005B2821" w:rsidP="005B2821">
            <w:pPr>
              <w:spacing w:line="360" w:lineRule="auto"/>
              <w:rPr>
                <w:b w:val="0"/>
                <w:bCs w:val="0"/>
                <w:sz w:val="20"/>
                <w:szCs w:val="20"/>
                <w:lang w:val="en-GB"/>
              </w:rPr>
            </w:pPr>
            <w:r w:rsidRPr="006F5452">
              <w:rPr>
                <w:b w:val="0"/>
                <w:bCs w:val="0"/>
                <w:sz w:val="20"/>
                <w:szCs w:val="20"/>
                <w:lang w:val="en-GB"/>
              </w:rPr>
              <w:t>WTI</w:t>
            </w:r>
          </w:p>
        </w:tc>
        <w:tc>
          <w:tcPr>
            <w:tcW w:w="956" w:type="dxa"/>
            <w:hideMark/>
          </w:tcPr>
          <w:p w14:paraId="53D6EC62" w14:textId="59F6527F" w:rsidR="005B2821" w:rsidRPr="006F5452" w:rsidRDefault="005B2821" w:rsidP="005B2821">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8.2793</w:t>
            </w:r>
            <w:r w:rsidR="00071824" w:rsidRPr="006F5452">
              <w:rPr>
                <w:sz w:val="20"/>
                <w:szCs w:val="20"/>
                <w:lang w:val="en-GB"/>
              </w:rPr>
              <w:t>***</w:t>
            </w:r>
          </w:p>
        </w:tc>
        <w:tc>
          <w:tcPr>
            <w:tcW w:w="2226" w:type="dxa"/>
            <w:hideMark/>
          </w:tcPr>
          <w:p w14:paraId="7737418B" w14:textId="732244F9" w:rsidR="005B2821" w:rsidRPr="006F5452" w:rsidRDefault="005B2821" w:rsidP="005B2821">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-4.5804</w:t>
            </w:r>
            <w:r w:rsidR="00071824" w:rsidRPr="006F5452">
              <w:rPr>
                <w:sz w:val="20"/>
                <w:szCs w:val="20"/>
                <w:lang w:val="en-GB"/>
              </w:rPr>
              <w:t>**</w:t>
            </w:r>
          </w:p>
        </w:tc>
      </w:tr>
      <w:tr w:rsidR="006F5452" w:rsidRPr="006F5452" w14:paraId="673A7181" w14:textId="77777777" w:rsidTr="005B282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28507DAA" w14:textId="77E1D93A" w:rsidR="005B2821" w:rsidRPr="006F5452" w:rsidRDefault="005B2821" w:rsidP="005B2821">
            <w:pPr>
              <w:spacing w:line="360" w:lineRule="auto"/>
              <w:rPr>
                <w:b w:val="0"/>
                <w:bCs w:val="0"/>
                <w:sz w:val="20"/>
                <w:szCs w:val="20"/>
                <w:lang w:val="en-GB"/>
              </w:rPr>
            </w:pPr>
            <w:r w:rsidRPr="006F5452">
              <w:rPr>
                <w:b w:val="0"/>
                <w:bCs w:val="0"/>
                <w:sz w:val="20"/>
                <w:szCs w:val="20"/>
                <w:lang w:val="en-GB"/>
              </w:rPr>
              <w:t>SP500</w:t>
            </w:r>
          </w:p>
        </w:tc>
        <w:tc>
          <w:tcPr>
            <w:tcW w:w="956" w:type="dxa"/>
          </w:tcPr>
          <w:p w14:paraId="32F1BD33" w14:textId="3429C8AD" w:rsidR="005B2821" w:rsidRPr="006F5452" w:rsidRDefault="000C004C" w:rsidP="005B2821">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6</w:t>
            </w:r>
            <w:r w:rsidR="00100983" w:rsidRPr="006F5452">
              <w:rPr>
                <w:sz w:val="20"/>
                <w:szCs w:val="20"/>
                <w:lang w:val="en-GB"/>
              </w:rPr>
              <w:t>.8103</w:t>
            </w:r>
            <w:r w:rsidR="00071824" w:rsidRPr="006F5452">
              <w:rPr>
                <w:sz w:val="20"/>
                <w:szCs w:val="20"/>
                <w:lang w:val="en-GB"/>
              </w:rPr>
              <w:t>**</w:t>
            </w:r>
          </w:p>
        </w:tc>
        <w:tc>
          <w:tcPr>
            <w:tcW w:w="2226" w:type="dxa"/>
          </w:tcPr>
          <w:p w14:paraId="7EF40A37" w14:textId="77FCE4C3" w:rsidR="005B2821" w:rsidRPr="006F5452" w:rsidRDefault="00CF5E86" w:rsidP="005B2821">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-6.2039</w:t>
            </w:r>
            <w:r w:rsidR="00071824" w:rsidRPr="006F5452">
              <w:rPr>
                <w:sz w:val="20"/>
                <w:szCs w:val="20"/>
                <w:lang w:val="en-GB"/>
              </w:rPr>
              <w:t>***</w:t>
            </w:r>
          </w:p>
        </w:tc>
      </w:tr>
    </w:tbl>
    <w:p w14:paraId="17F107EF" w14:textId="03144971" w:rsidR="000B4441" w:rsidRPr="006F5452" w:rsidRDefault="000C6F3B" w:rsidP="003A01D6">
      <w:pPr>
        <w:autoSpaceDE w:val="0"/>
        <w:autoSpaceDN w:val="0"/>
        <w:adjustRightInd w:val="0"/>
        <w:spacing w:line="240" w:lineRule="auto"/>
        <w:jc w:val="both"/>
        <w:rPr>
          <w:rFonts w:cs="Times New Roman"/>
          <w:sz w:val="20"/>
          <w:szCs w:val="20"/>
          <w:lang w:val="en-GB"/>
        </w:rPr>
      </w:pPr>
      <w:r w:rsidRPr="006F5452">
        <w:rPr>
          <w:rFonts w:cs="Times New Roman"/>
          <w:sz w:val="20"/>
          <w:szCs w:val="20"/>
          <w:lang w:val="en-GB"/>
        </w:rPr>
        <w:t xml:space="preserve">Notes. </w:t>
      </w:r>
      <w:r w:rsidR="00071824" w:rsidRPr="006F5452">
        <w:rPr>
          <w:rFonts w:cs="Times New Roman"/>
          <w:sz w:val="20"/>
          <w:szCs w:val="20"/>
          <w:lang w:val="en-GB"/>
        </w:rPr>
        <w:t>*** and ** indicate</w:t>
      </w:r>
      <w:r w:rsidRPr="006F5452">
        <w:rPr>
          <w:rFonts w:cs="Times New Roman"/>
          <w:sz w:val="20"/>
          <w:szCs w:val="20"/>
          <w:lang w:val="en-GB"/>
        </w:rPr>
        <w:t xml:space="preserve"> 1% and 5% significance levels. </w:t>
      </w:r>
      <w:r w:rsidR="00FF614F" w:rsidRPr="006F5452">
        <w:rPr>
          <w:rFonts w:cs="Times New Roman"/>
          <w:sz w:val="20"/>
          <w:szCs w:val="20"/>
          <w:lang w:val="en-GB"/>
        </w:rPr>
        <w:t xml:space="preserve">The lower and upper bounds of </w:t>
      </w:r>
      <w:r w:rsidRPr="006F5452">
        <w:rPr>
          <w:rFonts w:cs="Times New Roman"/>
          <w:sz w:val="20"/>
          <w:szCs w:val="20"/>
          <w:lang w:val="en-GB"/>
        </w:rPr>
        <w:t>F</w:t>
      </w:r>
      <w:r w:rsidRPr="006F5452">
        <w:rPr>
          <w:rFonts w:cs="Times New Roman"/>
          <w:sz w:val="20"/>
          <w:szCs w:val="20"/>
          <w:vertAlign w:val="subscript"/>
          <w:lang w:val="en-GB"/>
        </w:rPr>
        <w:t>PSS</w:t>
      </w:r>
      <w:r w:rsidRPr="006F5452">
        <w:rPr>
          <w:rFonts w:cs="Times New Roman"/>
          <w:sz w:val="20"/>
          <w:szCs w:val="20"/>
          <w:lang w:val="en-GB"/>
        </w:rPr>
        <w:t xml:space="preserve"> critical values are 1.99 and 2.94, 2.27, and 3.28, 2.88 and 3.99</w:t>
      </w:r>
      <w:r w:rsidR="00FF614F" w:rsidRPr="006F5452">
        <w:rPr>
          <w:rFonts w:cs="Times New Roman"/>
          <w:sz w:val="20"/>
          <w:szCs w:val="20"/>
          <w:lang w:val="en-GB"/>
        </w:rPr>
        <w:t>, respectively,</w:t>
      </w:r>
      <w:r w:rsidRPr="006F5452">
        <w:rPr>
          <w:rFonts w:cs="Times New Roman"/>
          <w:sz w:val="20"/>
          <w:szCs w:val="20"/>
          <w:lang w:val="en-GB"/>
        </w:rPr>
        <w:t xml:space="preserve"> for 10%, 5%, and 1%.</w:t>
      </w:r>
      <w:r w:rsidR="00752DC2" w:rsidRPr="006F5452">
        <w:rPr>
          <w:rFonts w:cs="Times New Roman"/>
          <w:sz w:val="20"/>
          <w:szCs w:val="20"/>
          <w:lang w:val="en-GB"/>
        </w:rPr>
        <w:t xml:space="preserve"> The lower and upper bounds of</w:t>
      </w:r>
      <w:r w:rsidRPr="006F5452">
        <w:rPr>
          <w:rFonts w:cs="Times New Roman"/>
          <w:sz w:val="20"/>
          <w:szCs w:val="20"/>
          <w:lang w:val="en-GB"/>
        </w:rPr>
        <w:t xml:space="preserve"> </w:t>
      </w:r>
      <w:proofErr w:type="spellStart"/>
      <w:r w:rsidR="00EC681E" w:rsidRPr="006F5452">
        <w:rPr>
          <w:rFonts w:cs="Times New Roman"/>
          <w:sz w:val="20"/>
          <w:szCs w:val="20"/>
          <w:vertAlign w:val="superscript"/>
          <w:lang w:val="en-GB"/>
        </w:rPr>
        <w:lastRenderedPageBreak/>
        <w:t>t</w:t>
      </w:r>
      <w:r w:rsidR="00EC681E" w:rsidRPr="006F5452">
        <w:rPr>
          <w:rFonts w:cs="Times New Roman"/>
          <w:sz w:val="20"/>
          <w:szCs w:val="20"/>
          <w:lang w:val="en-GB"/>
        </w:rPr>
        <w:t>BDM</w:t>
      </w:r>
      <w:proofErr w:type="spellEnd"/>
      <w:r w:rsidRPr="006F5452">
        <w:rPr>
          <w:rFonts w:cs="Times New Roman"/>
          <w:sz w:val="20"/>
          <w:szCs w:val="20"/>
          <w:lang w:val="en-GB"/>
        </w:rPr>
        <w:t xml:space="preserve"> test critical values are -2.57 and -4.04, -2.6 and -4.38, and -3.43 and -4.99</w:t>
      </w:r>
      <w:r w:rsidR="00752DC2" w:rsidRPr="006F5452">
        <w:rPr>
          <w:rFonts w:cs="Times New Roman"/>
          <w:sz w:val="20"/>
          <w:szCs w:val="20"/>
          <w:lang w:val="en-GB"/>
        </w:rPr>
        <w:t>, respectively,</w:t>
      </w:r>
      <w:r w:rsidRPr="006F5452">
        <w:rPr>
          <w:rFonts w:cs="Times New Roman"/>
          <w:sz w:val="20"/>
          <w:szCs w:val="20"/>
          <w:lang w:val="en-GB"/>
        </w:rPr>
        <w:t xml:space="preserve"> for 10%, 5% and 1%.</w:t>
      </w:r>
    </w:p>
    <w:p w14:paraId="1C5DC68D" w14:textId="77777777" w:rsidR="005B2821" w:rsidRPr="006F5452" w:rsidRDefault="005B2821" w:rsidP="000B4441">
      <w:pPr>
        <w:jc w:val="both"/>
        <w:rPr>
          <w:sz w:val="20"/>
          <w:szCs w:val="20"/>
          <w:lang w:val="en-GB"/>
        </w:rPr>
      </w:pPr>
    </w:p>
    <w:p w14:paraId="633167CE" w14:textId="71DF729D" w:rsidR="00071824" w:rsidRPr="006F5452" w:rsidRDefault="00AD307A" w:rsidP="0017253E">
      <w:pPr>
        <w:ind w:firstLine="720"/>
        <w:jc w:val="both"/>
        <w:rPr>
          <w:szCs w:val="24"/>
          <w:lang w:val="en-GB"/>
        </w:rPr>
      </w:pPr>
      <w:r w:rsidRPr="006F5452">
        <w:rPr>
          <w:szCs w:val="24"/>
          <w:lang w:val="en-GB"/>
        </w:rPr>
        <w:t xml:space="preserve">As a result of the cointegration analysis, we </w:t>
      </w:r>
      <w:proofErr w:type="gramStart"/>
      <w:r w:rsidRPr="006F5452">
        <w:rPr>
          <w:szCs w:val="24"/>
          <w:lang w:val="en-GB"/>
        </w:rPr>
        <w:t>are able to</w:t>
      </w:r>
      <w:proofErr w:type="gramEnd"/>
      <w:r w:rsidRPr="006F5452">
        <w:rPr>
          <w:szCs w:val="24"/>
          <w:lang w:val="en-GB"/>
        </w:rPr>
        <w:t xml:space="preserve"> estimate short- and long-run coefficients, as shown in Tables 4, 5, 6, and 7. </w:t>
      </w:r>
      <w:r w:rsidR="00904363" w:rsidRPr="00904363">
        <w:rPr>
          <w:color w:val="0000CC"/>
          <w:szCs w:val="24"/>
          <w:lang w:val="en-GB"/>
        </w:rPr>
        <w:t xml:space="preserve">We used the </w:t>
      </w:r>
      <w:r w:rsidRPr="00904363">
        <w:rPr>
          <w:color w:val="0000CC"/>
          <w:szCs w:val="24"/>
          <w:lang w:val="en-GB"/>
        </w:rPr>
        <w:t xml:space="preserve">Akaike information criterion (AIC) to </w:t>
      </w:r>
      <w:r w:rsidR="00904363" w:rsidRPr="00904363">
        <w:rPr>
          <w:color w:val="0000CC"/>
          <w:szCs w:val="24"/>
          <w:lang w:val="en-GB"/>
        </w:rPr>
        <w:t>select</w:t>
      </w:r>
      <w:r w:rsidRPr="00904363">
        <w:rPr>
          <w:color w:val="0000CC"/>
          <w:szCs w:val="24"/>
          <w:lang w:val="en-GB"/>
        </w:rPr>
        <w:t xml:space="preserve"> the optimal order of lags</w:t>
      </w:r>
      <w:r w:rsidR="00904363" w:rsidRPr="00904363">
        <w:rPr>
          <w:color w:val="0000CC"/>
          <w:szCs w:val="24"/>
          <w:lang w:val="en-GB"/>
        </w:rPr>
        <w:t>, which enables the NARDL model to remove multicollinearity</w:t>
      </w:r>
      <w:r w:rsidR="00904363">
        <w:rPr>
          <w:color w:val="0000CC"/>
          <w:szCs w:val="24"/>
          <w:lang w:val="en-GB"/>
        </w:rPr>
        <w:t xml:space="preserve"> </w:t>
      </w:r>
      <w:r w:rsidR="00904363" w:rsidRPr="00904363">
        <w:rPr>
          <w:rFonts w:cs="Times New Roman"/>
          <w:color w:val="0000CC"/>
          <w:szCs w:val="24"/>
          <w:lang w:val="en-GB"/>
        </w:rPr>
        <w:t>(Shin et al., 2014)</w:t>
      </w:r>
      <w:r w:rsidRPr="00904363">
        <w:rPr>
          <w:color w:val="0000CC"/>
          <w:szCs w:val="24"/>
          <w:lang w:val="en-GB"/>
        </w:rPr>
        <w:t>.</w:t>
      </w:r>
    </w:p>
    <w:p w14:paraId="25B75C4C" w14:textId="2B483D73" w:rsidR="00186061" w:rsidRPr="006F5452" w:rsidRDefault="00012547" w:rsidP="0017253E">
      <w:pPr>
        <w:pStyle w:val="Heading1"/>
      </w:pPr>
      <w:r w:rsidRPr="006F5452">
        <w:t>5. Results</w:t>
      </w:r>
      <w:r w:rsidR="00502804" w:rsidRPr="006F5452">
        <w:t xml:space="preserve"> and discussion </w:t>
      </w:r>
    </w:p>
    <w:p w14:paraId="0D6A272B" w14:textId="2D7061CB" w:rsidR="00F816D1" w:rsidRPr="006F5452" w:rsidRDefault="00F816D1" w:rsidP="00F816D1">
      <w:pPr>
        <w:pStyle w:val="Heading2"/>
      </w:pPr>
      <w:r w:rsidRPr="006F5452">
        <w:t>5.1 Asymmetric effects of US economic policy uncertainty on green bond returns</w:t>
      </w:r>
    </w:p>
    <w:p w14:paraId="00BF2DE2" w14:textId="3BEE5FDA" w:rsidR="00B81533" w:rsidRPr="006F5452" w:rsidRDefault="003C0335" w:rsidP="00704AD7">
      <w:pPr>
        <w:ind w:firstLine="432"/>
        <w:jc w:val="both"/>
        <w:rPr>
          <w:lang w:val="en-GB"/>
        </w:rPr>
      </w:pPr>
      <w:r w:rsidRPr="006F5452">
        <w:rPr>
          <w:lang w:val="en-GB"/>
        </w:rPr>
        <w:t xml:space="preserve">According to Table </w:t>
      </w:r>
      <w:r w:rsidR="00F816D1" w:rsidRPr="006F5452">
        <w:rPr>
          <w:lang w:val="en-GB"/>
        </w:rPr>
        <w:t>5</w:t>
      </w:r>
      <w:r w:rsidRPr="006F5452">
        <w:rPr>
          <w:lang w:val="en-GB"/>
        </w:rPr>
        <w:t xml:space="preserve">, US economic policy uncertainty has asymmetric effects on green bond returns both short- and long-term. An increase in USEPU negatively impacts green bond returns by 0.22% in the current period and by 0.17% in the lagged period. In contrast, a decrease in the USEPU is positively correlated with green bond returns by 0.06%. The findings indicate dynamically asymmetric </w:t>
      </w:r>
      <w:proofErr w:type="spellStart"/>
      <w:r w:rsidRPr="006F5452">
        <w:rPr>
          <w:lang w:val="en-GB"/>
        </w:rPr>
        <w:t>behavior</w:t>
      </w:r>
      <w:proofErr w:type="spellEnd"/>
      <w:r w:rsidRPr="006F5452">
        <w:rPr>
          <w:lang w:val="en-GB"/>
        </w:rPr>
        <w:t xml:space="preserve"> or sentiment among green bond investors.</w:t>
      </w:r>
      <w:r w:rsidR="00E63C7B" w:rsidRPr="006F5452">
        <w:rPr>
          <w:lang w:val="en-GB"/>
        </w:rPr>
        <w:t xml:space="preserve"> </w:t>
      </w:r>
      <w:r w:rsidR="006D734A" w:rsidRPr="006F5452">
        <w:rPr>
          <w:lang w:val="en-GB"/>
        </w:rPr>
        <w:t xml:space="preserve">Our findings are consistent with those of Tian et al. (2022), who find that climate policy uncertainty and geopolitical risks have asymmetric effects on green bond markets in the US, Europe, and China. </w:t>
      </w:r>
      <w:r w:rsidR="00A6657F" w:rsidRPr="006F5452">
        <w:rPr>
          <w:lang w:val="en-GB"/>
        </w:rPr>
        <w:t xml:space="preserve">This finding implies that green bond investors react differently in tandem with an increase and decrease in economic policy uncertainty. Thus, the relationship between green bond returns and economic policy uncertainty is nonlinear (Wei et al., 2022). In complement to Pham &amp; Nguyen </w:t>
      </w:r>
      <w:r w:rsidR="003C7D67" w:rsidRPr="006F5452">
        <w:rPr>
          <w:lang w:val="en-GB"/>
        </w:rPr>
        <w:t>(</w:t>
      </w:r>
      <w:r w:rsidR="00A6657F" w:rsidRPr="006F5452">
        <w:rPr>
          <w:lang w:val="en-GB"/>
        </w:rPr>
        <w:t xml:space="preserve">2022), who reveal a weak </w:t>
      </w:r>
      <w:r w:rsidR="00FA07FD" w:rsidRPr="006F5452">
        <w:rPr>
          <w:lang w:val="en-GB"/>
        </w:rPr>
        <w:t xml:space="preserve">relationship </w:t>
      </w:r>
      <w:r w:rsidR="00A6657F" w:rsidRPr="006F5452">
        <w:rPr>
          <w:lang w:val="en-GB"/>
        </w:rPr>
        <w:t xml:space="preserve">between green bond returns and uncertainty, our results </w:t>
      </w:r>
      <w:r w:rsidR="00FA07FD" w:rsidRPr="006F5452">
        <w:rPr>
          <w:lang w:val="en-GB"/>
        </w:rPr>
        <w:t>demonstrate</w:t>
      </w:r>
      <w:r w:rsidR="00A6657F" w:rsidRPr="006F5452">
        <w:rPr>
          <w:lang w:val="en-GB"/>
        </w:rPr>
        <w:t xml:space="preserve"> a robust relationship between green bond returns and US economic policy uncertainty. This finding signifies the dynamic asymmetric </w:t>
      </w:r>
      <w:proofErr w:type="spellStart"/>
      <w:r w:rsidR="00A6657F" w:rsidRPr="006F5452">
        <w:rPr>
          <w:lang w:val="en-GB"/>
        </w:rPr>
        <w:t>behavior</w:t>
      </w:r>
      <w:proofErr w:type="spellEnd"/>
      <w:r w:rsidR="00A6657F" w:rsidRPr="006F5452">
        <w:rPr>
          <w:lang w:val="en-GB"/>
        </w:rPr>
        <w:t xml:space="preserve"> or sentiment of the green bond investors and provides important insights about investors’ asymmetric responses to green bond returns, given an increase and decrease in US economic policy uncertainty. </w:t>
      </w:r>
      <w:r w:rsidRPr="006F5452">
        <w:rPr>
          <w:lang w:val="en-GB"/>
        </w:rPr>
        <w:t xml:space="preserve">Investors sell off their green bond holdings when uncertainty increases or when they receive negative news about policy changes. As a result, prices decline, which lowers the returns on green bonds. </w:t>
      </w:r>
      <w:r w:rsidR="005A5D83" w:rsidRPr="006F5452">
        <w:rPr>
          <w:lang w:val="en-GB"/>
        </w:rPr>
        <w:t>Our</w:t>
      </w:r>
      <w:r w:rsidRPr="006F5452">
        <w:rPr>
          <w:lang w:val="en-GB"/>
        </w:rPr>
        <w:t xml:space="preserve"> results </w:t>
      </w:r>
      <w:r w:rsidR="005A5D83" w:rsidRPr="006F5452">
        <w:rPr>
          <w:lang w:val="en-GB"/>
        </w:rPr>
        <w:t xml:space="preserve">also </w:t>
      </w:r>
      <w:r w:rsidRPr="006F5452">
        <w:rPr>
          <w:lang w:val="en-GB"/>
        </w:rPr>
        <w:t xml:space="preserve">indicate </w:t>
      </w:r>
      <w:r w:rsidR="00953E13">
        <w:rPr>
          <w:lang w:val="en-GB"/>
        </w:rPr>
        <w:t xml:space="preserve">that </w:t>
      </w:r>
      <w:r w:rsidRPr="006F5452">
        <w:rPr>
          <w:lang w:val="en-GB"/>
        </w:rPr>
        <w:t>the opposite may also occur, but the magnitude of uncertainty increases is greater than that of uncertainty decreases</w:t>
      </w:r>
      <w:r w:rsidR="00DA5C5E" w:rsidRPr="006F5452">
        <w:rPr>
          <w:lang w:val="en-GB"/>
        </w:rPr>
        <w:t xml:space="preserve"> (Tian et al., 2022)</w:t>
      </w:r>
      <w:r w:rsidRPr="006F5452">
        <w:rPr>
          <w:lang w:val="en-GB"/>
        </w:rPr>
        <w:t xml:space="preserve">. It is also evident from the results </w:t>
      </w:r>
      <w:bookmarkStart w:id="9" w:name="_Hlk114396397"/>
      <w:r w:rsidRPr="006F5452">
        <w:rPr>
          <w:lang w:val="en-GB"/>
        </w:rPr>
        <w:t xml:space="preserve">that geopolitical threats and acts have a negative impact on the return on green bonds. </w:t>
      </w:r>
      <w:bookmarkEnd w:id="9"/>
      <w:r w:rsidRPr="006F5452">
        <w:rPr>
          <w:lang w:val="en-GB"/>
        </w:rPr>
        <w:t>The reason for this can be explained by the instability of the market or shocks resulting from geopolitical tensions</w:t>
      </w:r>
      <w:r w:rsidR="00DA5C5E" w:rsidRPr="006F5452">
        <w:rPr>
          <w:lang w:val="en-GB"/>
        </w:rPr>
        <w:t xml:space="preserve"> (</w:t>
      </w:r>
      <w:proofErr w:type="spellStart"/>
      <w:r w:rsidR="00DA5C5E" w:rsidRPr="006F5452">
        <w:rPr>
          <w:lang w:val="en-GB"/>
        </w:rPr>
        <w:t>Apergis</w:t>
      </w:r>
      <w:proofErr w:type="spellEnd"/>
      <w:r w:rsidR="00DA5C5E" w:rsidRPr="006F5452">
        <w:rPr>
          <w:lang w:val="en-GB"/>
        </w:rPr>
        <w:t xml:space="preserve"> et al., 2018; </w:t>
      </w:r>
      <w:r w:rsidR="003C7D67" w:rsidRPr="006F5452">
        <w:rPr>
          <w:lang w:val="en-GB"/>
        </w:rPr>
        <w:t xml:space="preserve">Kang et al., 2014; </w:t>
      </w:r>
      <w:r w:rsidR="00DA5C5E" w:rsidRPr="006F5452">
        <w:rPr>
          <w:lang w:val="en-GB"/>
        </w:rPr>
        <w:t>Yang and Yang, 2021)</w:t>
      </w:r>
      <w:r w:rsidRPr="006F5452">
        <w:rPr>
          <w:lang w:val="en-GB"/>
        </w:rPr>
        <w:t>. The recent geopolitical threats and acts, such as the Russian invasion of Ukraine, have caused shocks to the global financial markets, especially the energy markets</w:t>
      </w:r>
      <w:r w:rsidR="005A30E4" w:rsidRPr="006F5452">
        <w:rPr>
          <w:lang w:val="en-GB"/>
        </w:rPr>
        <w:t xml:space="preserve"> (</w:t>
      </w:r>
      <w:proofErr w:type="spellStart"/>
      <w:r w:rsidR="005A30E4" w:rsidRPr="006F5452">
        <w:t>Będowska-Sójka</w:t>
      </w:r>
      <w:proofErr w:type="spellEnd"/>
      <w:r w:rsidR="005A30E4" w:rsidRPr="006F5452">
        <w:t xml:space="preserve"> et al., 2022;</w:t>
      </w:r>
      <w:r w:rsidR="005A30E4" w:rsidRPr="006F5452">
        <w:rPr>
          <w:lang w:val="en-GB"/>
        </w:rPr>
        <w:t xml:space="preserve"> Wang et al., 2022)</w:t>
      </w:r>
      <w:r w:rsidRPr="006F5452">
        <w:rPr>
          <w:lang w:val="en-GB"/>
        </w:rPr>
        <w:t xml:space="preserve">. Investors disinvested their holdings immediately after the </w:t>
      </w:r>
      <w:r w:rsidRPr="006F5452">
        <w:rPr>
          <w:lang w:val="en-GB"/>
        </w:rPr>
        <w:lastRenderedPageBreak/>
        <w:t xml:space="preserve">geopolitical threats and acts took effect. Market indices plunged as they could not predict the ramifications of the geopolitical threats and acts. Moreover, </w:t>
      </w:r>
      <w:bookmarkStart w:id="10" w:name="_Hlk114397294"/>
      <w:r w:rsidRPr="006F5452">
        <w:rPr>
          <w:lang w:val="en-GB"/>
        </w:rPr>
        <w:t xml:space="preserve">WTI oil prices affect green bond returns negatively in the short term </w:t>
      </w:r>
      <w:proofErr w:type="gramStart"/>
      <w:r w:rsidRPr="006F5452">
        <w:rPr>
          <w:lang w:val="en-GB"/>
        </w:rPr>
        <w:t>as a result of</w:t>
      </w:r>
      <w:proofErr w:type="gramEnd"/>
      <w:r w:rsidRPr="006F5452">
        <w:rPr>
          <w:lang w:val="en-GB"/>
        </w:rPr>
        <w:t xml:space="preserve"> their adverse effects on short-term oil prices. </w:t>
      </w:r>
      <w:bookmarkEnd w:id="10"/>
      <w:r w:rsidRPr="006F5452">
        <w:rPr>
          <w:lang w:val="en-GB"/>
        </w:rPr>
        <w:t xml:space="preserve">Furthermore, it </w:t>
      </w:r>
      <w:r w:rsidR="00B86826" w:rsidRPr="006F5452">
        <w:rPr>
          <w:lang w:val="en-GB"/>
        </w:rPr>
        <w:t>should be noted</w:t>
      </w:r>
      <w:r w:rsidRPr="006F5452">
        <w:rPr>
          <w:lang w:val="en-GB"/>
        </w:rPr>
        <w:t xml:space="preserve"> that, along with the negative return of the green bond, the green bond also results in a decrease in the bond return in the subsequent period.</w:t>
      </w:r>
    </w:p>
    <w:p w14:paraId="33EFEC82" w14:textId="77777777" w:rsidR="003C0335" w:rsidRPr="006F5452" w:rsidRDefault="003C0335" w:rsidP="00704AD7">
      <w:pPr>
        <w:ind w:firstLine="432"/>
        <w:jc w:val="both"/>
        <w:rPr>
          <w:lang w:val="en-GB"/>
        </w:rPr>
      </w:pPr>
    </w:p>
    <w:p w14:paraId="185FA613" w14:textId="3E9FE4F1" w:rsidR="00186061" w:rsidRPr="006F5452" w:rsidRDefault="00960CED" w:rsidP="00960CED">
      <w:pPr>
        <w:ind w:firstLine="432"/>
        <w:jc w:val="both"/>
        <w:rPr>
          <w:lang w:val="en-GB"/>
        </w:rPr>
      </w:pPr>
      <w:r w:rsidRPr="006F5452">
        <w:rPr>
          <w:lang w:val="en-GB"/>
        </w:rPr>
        <w:t xml:space="preserve">Additionally, the long-term effects are asymmetric, which implies that green bond investors behave differently in the long run when there is an increase or decrease in USEPU. Using the results of our study, we </w:t>
      </w:r>
      <w:proofErr w:type="gramStart"/>
      <w:r w:rsidRPr="006F5452">
        <w:rPr>
          <w:lang w:val="en-GB"/>
        </w:rPr>
        <w:t xml:space="preserve">are </w:t>
      </w:r>
      <w:bookmarkStart w:id="11" w:name="_Hlk114397473"/>
      <w:r w:rsidRPr="006F5452">
        <w:rPr>
          <w:lang w:val="en-GB"/>
        </w:rPr>
        <w:t>able to</w:t>
      </w:r>
      <w:proofErr w:type="gramEnd"/>
      <w:r w:rsidRPr="006F5452">
        <w:rPr>
          <w:lang w:val="en-GB"/>
        </w:rPr>
        <w:t xml:space="preserve"> demonstrate that USEPU negatively impacts green bond returns by 0.11% when US economic policy uncertainty increases</w:t>
      </w:r>
      <w:bookmarkEnd w:id="11"/>
      <w:r w:rsidRPr="006F5452">
        <w:rPr>
          <w:lang w:val="en-GB"/>
        </w:rPr>
        <w:t>. In other words, it means that investors in green bonds, using market information, can predict prices and accordingly make investment decisions</w:t>
      </w:r>
      <w:r w:rsidR="006D734A" w:rsidRPr="006F5452">
        <w:rPr>
          <w:lang w:val="en-GB"/>
        </w:rPr>
        <w:t xml:space="preserve"> (Lee et al., 2021; 2022; Ren et al., 2022).</w:t>
      </w:r>
      <w:r w:rsidRPr="006F5452">
        <w:rPr>
          <w:lang w:val="en-GB"/>
        </w:rPr>
        <w:t xml:space="preserve"> For example, selling green bonds if USEPU rises or investing in green bonds if USEPU decreases</w:t>
      </w:r>
      <w:r w:rsidR="006D734A" w:rsidRPr="006F5452">
        <w:rPr>
          <w:lang w:val="en-GB"/>
        </w:rPr>
        <w:t>.</w:t>
      </w:r>
      <w:r w:rsidR="00B452B4" w:rsidRPr="006F5452">
        <w:rPr>
          <w:lang w:val="en-GB"/>
        </w:rPr>
        <w:t xml:space="preserve"> </w:t>
      </w:r>
      <w:r w:rsidR="008B6DA5" w:rsidRPr="006F5452">
        <w:rPr>
          <w:lang w:val="en-GB"/>
        </w:rPr>
        <w:t>In contrast</w:t>
      </w:r>
      <w:r w:rsidR="009545A7" w:rsidRPr="006F5452">
        <w:rPr>
          <w:lang w:val="en-GB"/>
        </w:rPr>
        <w:t xml:space="preserve"> to Lee et al. (2022), </w:t>
      </w:r>
      <w:bookmarkStart w:id="12" w:name="_Hlk114397503"/>
      <w:r w:rsidR="008B6DA5" w:rsidRPr="006F5452">
        <w:rPr>
          <w:lang w:val="en-GB"/>
        </w:rPr>
        <w:t xml:space="preserve">we find that </w:t>
      </w:r>
      <w:r w:rsidR="00A6657F" w:rsidRPr="006F5452">
        <w:rPr>
          <w:lang w:val="en-GB"/>
        </w:rPr>
        <w:t>Geopolitical threats (GPRT) and WTI show long-run positive effects of green bond returns, while GPRA shows long-run adverse effects of green bond returns</w:t>
      </w:r>
      <w:r w:rsidR="008B6DA5" w:rsidRPr="006F5452">
        <w:rPr>
          <w:lang w:val="en-GB"/>
        </w:rPr>
        <w:t xml:space="preserve">. </w:t>
      </w:r>
      <w:bookmarkEnd w:id="12"/>
      <w:r w:rsidR="009344F0" w:rsidRPr="006F5452">
        <w:rPr>
          <w:lang w:val="en-GB"/>
        </w:rPr>
        <w:t xml:space="preserve">This could be </w:t>
      </w:r>
      <w:proofErr w:type="gramStart"/>
      <w:r w:rsidR="009344F0" w:rsidRPr="006F5452">
        <w:rPr>
          <w:lang w:val="en-GB"/>
        </w:rPr>
        <w:t>due to the fact that</w:t>
      </w:r>
      <w:proofErr w:type="gramEnd"/>
      <w:r w:rsidR="009344F0" w:rsidRPr="006F5452">
        <w:rPr>
          <w:lang w:val="en-GB"/>
        </w:rPr>
        <w:t xml:space="preserve"> we use SP500 US data</w:t>
      </w:r>
      <w:r w:rsidR="002C32B0">
        <w:rPr>
          <w:lang w:val="en-GB"/>
        </w:rPr>
        <w:t>,</w:t>
      </w:r>
      <w:r w:rsidR="009344F0" w:rsidRPr="006F5452">
        <w:rPr>
          <w:lang w:val="en-GB"/>
        </w:rPr>
        <w:t xml:space="preserve"> whereas Lee et al. (2022) use Chinese data. Data </w:t>
      </w:r>
      <w:r w:rsidR="00500DDD" w:rsidRPr="006F5452">
        <w:rPr>
          <w:lang w:val="en-GB"/>
        </w:rPr>
        <w:t>results might be</w:t>
      </w:r>
      <w:r w:rsidR="009344F0" w:rsidRPr="006F5452">
        <w:rPr>
          <w:lang w:val="en-GB"/>
        </w:rPr>
        <w:t xml:space="preserve"> different given the two different </w:t>
      </w:r>
      <w:r w:rsidR="00500DDD" w:rsidRPr="006F5452">
        <w:rPr>
          <w:lang w:val="en-GB"/>
        </w:rPr>
        <w:t>political</w:t>
      </w:r>
      <w:r w:rsidR="009344F0" w:rsidRPr="006F5452">
        <w:rPr>
          <w:lang w:val="en-GB"/>
        </w:rPr>
        <w:t xml:space="preserve"> environments.</w:t>
      </w:r>
    </w:p>
    <w:p w14:paraId="17B606D9" w14:textId="77777777" w:rsidR="00A6657F" w:rsidRPr="006F5452" w:rsidRDefault="00A6657F" w:rsidP="00960CED">
      <w:pPr>
        <w:ind w:firstLine="432"/>
        <w:jc w:val="both"/>
        <w:rPr>
          <w:lang w:val="en-GB"/>
        </w:rPr>
      </w:pPr>
    </w:p>
    <w:p w14:paraId="4A41D139" w14:textId="52822CEF" w:rsidR="00A6657F" w:rsidRPr="006F5452" w:rsidRDefault="00A6657F" w:rsidP="00960CED">
      <w:pPr>
        <w:ind w:firstLine="432"/>
        <w:jc w:val="both"/>
        <w:rPr>
          <w:lang w:val="en-GB" w:eastAsia="zh-CN"/>
        </w:rPr>
      </w:pPr>
      <w:r w:rsidRPr="006F5452">
        <w:rPr>
          <w:lang w:val="en-GB" w:eastAsia="zh-CN"/>
        </w:rPr>
        <w:t>The term “ECM” is negative and significant, which means that the previous year’s errors are adjusted at the speed of 0.93% in the current year. The short- and long-run asymmetries (W</w:t>
      </w:r>
      <w:r w:rsidRPr="006F5452">
        <w:rPr>
          <w:vertAlign w:val="subscript"/>
          <w:lang w:val="en-GB" w:eastAsia="zh-CN"/>
        </w:rPr>
        <w:t xml:space="preserve">SR </w:t>
      </w:r>
      <w:r w:rsidRPr="006F5452">
        <w:rPr>
          <w:lang w:val="en-GB" w:eastAsia="zh-CN"/>
        </w:rPr>
        <w:t>and W</w:t>
      </w:r>
      <w:r w:rsidRPr="006F5452">
        <w:rPr>
          <w:vertAlign w:val="subscript"/>
          <w:lang w:val="en-GB" w:eastAsia="zh-CN"/>
        </w:rPr>
        <w:t>LR</w:t>
      </w:r>
      <w:r w:rsidRPr="006F5452">
        <w:rPr>
          <w:lang w:val="en-GB" w:eastAsia="zh-CN"/>
        </w:rPr>
        <w:t xml:space="preserve">) coefficients are significant at the 5% level. The heteroscedasticity and serial correlation results show that the models’ residuals are </w:t>
      </w:r>
      <w:r w:rsidR="003F13B2" w:rsidRPr="006F5452">
        <w:rPr>
          <w:lang w:val="en-GB" w:eastAsia="zh-CN"/>
        </w:rPr>
        <w:t>homoscedastic</w:t>
      </w:r>
      <w:r w:rsidRPr="006F5452">
        <w:rPr>
          <w:lang w:val="en-GB" w:eastAsia="zh-CN"/>
        </w:rPr>
        <w:t xml:space="preserve"> and not serially correlated. In addition, the normality and Ramsey reset test results indicate that the models’ residuals have a normal distribution and are stable, indicating that the models’ estimates are valid and reliable.</w:t>
      </w:r>
    </w:p>
    <w:p w14:paraId="518B872A" w14:textId="77777777" w:rsidR="00912B03" w:rsidRPr="006F5452" w:rsidRDefault="00912B03" w:rsidP="003D108F">
      <w:pPr>
        <w:ind w:firstLine="432"/>
        <w:jc w:val="center"/>
        <w:rPr>
          <w:lang w:val="en-GB"/>
        </w:rPr>
      </w:pPr>
    </w:p>
    <w:p w14:paraId="637F95A8" w14:textId="24A4681D" w:rsidR="007778C0" w:rsidRPr="006F5452" w:rsidRDefault="0017253E" w:rsidP="0017253E">
      <w:pPr>
        <w:pStyle w:val="Caption"/>
        <w:keepNext/>
        <w:jc w:val="center"/>
        <w:rPr>
          <w:color w:val="auto"/>
          <w:lang w:val="en-GB"/>
        </w:rPr>
      </w:pPr>
      <w:r w:rsidRPr="006F5452">
        <w:rPr>
          <w:color w:val="auto"/>
        </w:rPr>
        <w:t xml:space="preserve">Table </w:t>
      </w:r>
      <w:r w:rsidRPr="006F5452">
        <w:rPr>
          <w:color w:val="auto"/>
        </w:rPr>
        <w:fldChar w:fldCharType="begin"/>
      </w:r>
      <w:r w:rsidRPr="006F5452">
        <w:rPr>
          <w:color w:val="auto"/>
        </w:rPr>
        <w:instrText xml:space="preserve"> SEQ Table \* ARABIC </w:instrText>
      </w:r>
      <w:r w:rsidRPr="006F5452">
        <w:rPr>
          <w:color w:val="auto"/>
        </w:rPr>
        <w:fldChar w:fldCharType="separate"/>
      </w:r>
      <w:r w:rsidR="00F816D1" w:rsidRPr="006F5452">
        <w:rPr>
          <w:noProof/>
          <w:color w:val="auto"/>
        </w:rPr>
        <w:t>5</w:t>
      </w:r>
      <w:r w:rsidRPr="006F5452">
        <w:rPr>
          <w:noProof/>
          <w:color w:val="auto"/>
        </w:rPr>
        <w:fldChar w:fldCharType="end"/>
      </w:r>
      <w:r w:rsidR="000C6F3B" w:rsidRPr="006F5452">
        <w:rPr>
          <w:color w:val="auto"/>
          <w:lang w:val="en-GB"/>
        </w:rPr>
        <w:t xml:space="preserve"> Asymmetric effects of </w:t>
      </w:r>
      <w:r w:rsidR="00D21047" w:rsidRPr="006F5452">
        <w:rPr>
          <w:color w:val="auto"/>
          <w:lang w:val="en-GB"/>
        </w:rPr>
        <w:t>USEPU</w:t>
      </w:r>
      <w:r w:rsidR="000C6F3B" w:rsidRPr="006F5452">
        <w:rPr>
          <w:color w:val="auto"/>
          <w:lang w:val="en-GB"/>
        </w:rPr>
        <w:t xml:space="preserve"> on </w:t>
      </w:r>
      <w:r w:rsidR="00D21047" w:rsidRPr="006F5452">
        <w:rPr>
          <w:color w:val="auto"/>
          <w:lang w:val="en-GB"/>
        </w:rPr>
        <w:t xml:space="preserve">Green </w:t>
      </w:r>
      <w:r w:rsidR="00F65A8C" w:rsidRPr="006F5452">
        <w:rPr>
          <w:color w:val="auto"/>
          <w:lang w:val="en-GB"/>
        </w:rPr>
        <w:t>b</w:t>
      </w:r>
      <w:r w:rsidR="00D21047" w:rsidRPr="006F5452">
        <w:rPr>
          <w:color w:val="auto"/>
          <w:lang w:val="en-GB"/>
        </w:rPr>
        <w:t>ond</w:t>
      </w:r>
      <w:r w:rsidR="00F65A8C" w:rsidRPr="006F5452">
        <w:rPr>
          <w:color w:val="auto"/>
          <w:lang w:val="en-GB"/>
        </w:rPr>
        <w:t xml:space="preserve"> (GB)</w:t>
      </w:r>
      <w:r w:rsidR="000C6F3B" w:rsidRPr="006F5452">
        <w:rPr>
          <w:color w:val="auto"/>
          <w:lang w:val="en-GB"/>
        </w:rPr>
        <w:t xml:space="preserve"> returns.</w:t>
      </w:r>
    </w:p>
    <w:tbl>
      <w:tblPr>
        <w:tblStyle w:val="PlainTable2"/>
        <w:tblW w:w="0" w:type="auto"/>
        <w:tblLook w:val="04A0" w:firstRow="1" w:lastRow="0" w:firstColumn="1" w:lastColumn="0" w:noHBand="0" w:noVBand="1"/>
      </w:tblPr>
      <w:tblGrid>
        <w:gridCol w:w="1823"/>
        <w:gridCol w:w="1383"/>
        <w:gridCol w:w="1239"/>
        <w:gridCol w:w="1662"/>
        <w:gridCol w:w="1604"/>
        <w:gridCol w:w="1315"/>
      </w:tblGrid>
      <w:tr w:rsidR="006F5452" w:rsidRPr="006F5452" w14:paraId="59A2F150" w14:textId="77777777" w:rsidTr="00704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309D41DF" w14:textId="77777777" w:rsidR="007778C0" w:rsidRPr="006F5452" w:rsidRDefault="007778C0" w:rsidP="0036075C">
            <w:pPr>
              <w:spacing w:line="276" w:lineRule="auto"/>
              <w:rPr>
                <w:rFonts w:cs="Times New Roman"/>
                <w:b w:val="0"/>
                <w:bCs w:val="0"/>
                <w:sz w:val="20"/>
                <w:szCs w:val="20"/>
                <w:lang w:val="en-GB"/>
              </w:rPr>
            </w:pPr>
          </w:p>
        </w:tc>
        <w:tc>
          <w:tcPr>
            <w:tcW w:w="2719" w:type="dxa"/>
            <w:gridSpan w:val="2"/>
            <w:hideMark/>
          </w:tcPr>
          <w:p w14:paraId="1BF4DACF" w14:textId="4381C91A" w:rsidR="007778C0" w:rsidRPr="006F5452" w:rsidRDefault="007778C0" w:rsidP="00704AD7">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lang w:val="en-GB"/>
              </w:rPr>
            </w:pPr>
            <w:r w:rsidRPr="006F5452">
              <w:rPr>
                <w:rFonts w:cs="Times New Roman"/>
                <w:b w:val="0"/>
                <w:bCs w:val="0"/>
                <w:sz w:val="20"/>
                <w:szCs w:val="20"/>
                <w:lang w:val="en-GB"/>
              </w:rPr>
              <w:t>Short-run estimates</w:t>
            </w:r>
          </w:p>
        </w:tc>
        <w:tc>
          <w:tcPr>
            <w:tcW w:w="1800" w:type="dxa"/>
          </w:tcPr>
          <w:p w14:paraId="2C79A5A8" w14:textId="77777777" w:rsidR="007778C0" w:rsidRPr="006F5452" w:rsidRDefault="007778C0" w:rsidP="0036075C">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lang w:val="en-GB"/>
              </w:rPr>
            </w:pPr>
          </w:p>
        </w:tc>
        <w:tc>
          <w:tcPr>
            <w:tcW w:w="3104" w:type="dxa"/>
            <w:gridSpan w:val="2"/>
            <w:hideMark/>
          </w:tcPr>
          <w:p w14:paraId="1B7B0607" w14:textId="2BACD85C" w:rsidR="007778C0" w:rsidRPr="006F5452" w:rsidRDefault="007778C0" w:rsidP="0036075C">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lang w:val="en-GB"/>
              </w:rPr>
            </w:pPr>
            <w:r w:rsidRPr="006F5452">
              <w:rPr>
                <w:rFonts w:cs="Times New Roman"/>
                <w:b w:val="0"/>
                <w:bCs w:val="0"/>
                <w:sz w:val="20"/>
                <w:szCs w:val="20"/>
                <w:lang w:val="en-GB"/>
              </w:rPr>
              <w:t>Long-term estimates</w:t>
            </w:r>
            <w:r w:rsidRPr="006F5452">
              <w:rPr>
                <w:rFonts w:cs="Times New Roman"/>
                <w:b w:val="0"/>
                <w:bCs w:val="0"/>
                <w:sz w:val="20"/>
                <w:szCs w:val="20"/>
                <w:lang w:val="en-GB"/>
              </w:rPr>
              <w:tab/>
            </w:r>
          </w:p>
        </w:tc>
      </w:tr>
      <w:tr w:rsidR="006F5452" w:rsidRPr="006F5452" w14:paraId="1A4A5D88" w14:textId="77777777" w:rsidTr="00704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5B1081CC" w14:textId="77777777" w:rsidR="007778C0" w:rsidRPr="006F5452" w:rsidRDefault="007778C0" w:rsidP="0036075C">
            <w:pPr>
              <w:spacing w:line="276" w:lineRule="auto"/>
              <w:rPr>
                <w:rFonts w:cs="Times New Roman"/>
                <w:b w:val="0"/>
                <w:bCs w:val="0"/>
                <w:sz w:val="20"/>
                <w:szCs w:val="20"/>
                <w:lang w:val="en-GB"/>
              </w:rPr>
            </w:pPr>
            <w:r w:rsidRPr="006F5452">
              <w:rPr>
                <w:rFonts w:cs="Times New Roman"/>
                <w:b w:val="0"/>
                <w:bCs w:val="0"/>
                <w:sz w:val="20"/>
                <w:szCs w:val="20"/>
                <w:lang w:val="en-GB"/>
              </w:rPr>
              <w:t>Variables</w:t>
            </w:r>
          </w:p>
        </w:tc>
        <w:tc>
          <w:tcPr>
            <w:tcW w:w="1411" w:type="dxa"/>
            <w:hideMark/>
          </w:tcPr>
          <w:p w14:paraId="235052FE" w14:textId="77777777" w:rsidR="007778C0" w:rsidRPr="006F5452" w:rsidRDefault="007778C0" w:rsidP="0036075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Coefficients.</w:t>
            </w:r>
          </w:p>
        </w:tc>
        <w:tc>
          <w:tcPr>
            <w:tcW w:w="1308" w:type="dxa"/>
            <w:hideMark/>
          </w:tcPr>
          <w:p w14:paraId="5B8C929E" w14:textId="77777777" w:rsidR="007778C0" w:rsidRPr="006F5452" w:rsidRDefault="007778C0" w:rsidP="0036075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Std. Error</w:t>
            </w:r>
          </w:p>
        </w:tc>
        <w:tc>
          <w:tcPr>
            <w:tcW w:w="1800" w:type="dxa"/>
          </w:tcPr>
          <w:p w14:paraId="72A612A3" w14:textId="13F5A11F" w:rsidR="007778C0" w:rsidRPr="006F5452" w:rsidRDefault="007778C0" w:rsidP="0036075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Variables</w:t>
            </w:r>
          </w:p>
        </w:tc>
        <w:tc>
          <w:tcPr>
            <w:tcW w:w="1677" w:type="dxa"/>
            <w:hideMark/>
          </w:tcPr>
          <w:p w14:paraId="3AE1A804" w14:textId="51D4FACB" w:rsidR="007778C0" w:rsidRPr="006F5452" w:rsidRDefault="007778C0" w:rsidP="0036075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Coefficients.</w:t>
            </w:r>
          </w:p>
        </w:tc>
        <w:tc>
          <w:tcPr>
            <w:tcW w:w="1427" w:type="dxa"/>
            <w:hideMark/>
          </w:tcPr>
          <w:p w14:paraId="7DF77B83" w14:textId="77777777" w:rsidR="007778C0" w:rsidRPr="006F5452" w:rsidRDefault="007778C0" w:rsidP="0036075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Std. Error</w:t>
            </w:r>
          </w:p>
        </w:tc>
      </w:tr>
      <w:tr w:rsidR="006F5452" w:rsidRPr="006F5452" w14:paraId="6E7D465C" w14:textId="77777777" w:rsidTr="00704AD7">
        <w:tc>
          <w:tcPr>
            <w:cnfStyle w:val="001000000000" w:firstRow="0" w:lastRow="0" w:firstColumn="1" w:lastColumn="0" w:oddVBand="0" w:evenVBand="0" w:oddHBand="0" w:evenHBand="0" w:firstRowFirstColumn="0" w:firstRowLastColumn="0" w:lastRowFirstColumn="0" w:lastRowLastColumn="0"/>
            <w:tcW w:w="4338" w:type="dxa"/>
            <w:gridSpan w:val="3"/>
            <w:hideMark/>
          </w:tcPr>
          <w:p w14:paraId="31F2F782" w14:textId="77777777" w:rsidR="007778C0" w:rsidRPr="006F5452" w:rsidRDefault="007778C0" w:rsidP="0036075C">
            <w:pPr>
              <w:spacing w:line="276" w:lineRule="auto"/>
              <w:rPr>
                <w:rFonts w:cs="Times New Roman"/>
                <w:b w:val="0"/>
                <w:bCs w:val="0"/>
                <w:sz w:val="20"/>
                <w:szCs w:val="20"/>
                <w:lang w:val="en-GB"/>
              </w:rPr>
            </w:pPr>
            <w:r w:rsidRPr="006F5452">
              <w:rPr>
                <w:rFonts w:cs="Times New Roman"/>
                <w:b w:val="0"/>
                <w:bCs w:val="0"/>
                <w:sz w:val="20"/>
                <w:szCs w:val="20"/>
                <w:lang w:val="en-GB"/>
              </w:rPr>
              <w:t>Short-run estimates</w:t>
            </w:r>
          </w:p>
        </w:tc>
        <w:tc>
          <w:tcPr>
            <w:tcW w:w="3477" w:type="dxa"/>
            <w:gridSpan w:val="2"/>
          </w:tcPr>
          <w:p w14:paraId="510E0C8B" w14:textId="4899AFF2" w:rsidR="007778C0" w:rsidRPr="006F5452" w:rsidRDefault="007778C0" w:rsidP="0036075C">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eastAsia="Calibri" w:cs="Times New Roman"/>
                <w:iCs/>
                <w:sz w:val="20"/>
                <w:szCs w:val="20"/>
                <w:lang w:val="en-GB"/>
              </w:rPr>
              <w:t>Long-term estimates</w:t>
            </w:r>
          </w:p>
        </w:tc>
        <w:tc>
          <w:tcPr>
            <w:tcW w:w="1427" w:type="dxa"/>
          </w:tcPr>
          <w:p w14:paraId="230413EE" w14:textId="77777777" w:rsidR="007778C0" w:rsidRPr="006F5452" w:rsidRDefault="007778C0" w:rsidP="0036075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77ECDDFC" w14:textId="77777777" w:rsidTr="00704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57011A67" w14:textId="0180D3A7" w:rsidR="007778C0" w:rsidRPr="006F5452" w:rsidRDefault="007778C0" w:rsidP="0036075C">
            <w:pPr>
              <w:spacing w:line="276" w:lineRule="auto"/>
              <w:rPr>
                <w:rFonts w:cs="Times New Roman"/>
                <w:b w:val="0"/>
                <w:bCs w:val="0"/>
                <w:iCs/>
                <w:sz w:val="20"/>
                <w:szCs w:val="20"/>
                <w:lang w:val="en-GB"/>
              </w:rPr>
            </w:pPr>
            <w:r w:rsidRPr="006F5452">
              <w:rPr>
                <w:rFonts w:cs="Times New Roman"/>
                <w:b w:val="0"/>
                <w:bCs w:val="0"/>
                <w:sz w:val="20"/>
                <w:szCs w:val="20"/>
                <w:lang w:val="en-GB"/>
              </w:rPr>
              <w:t>∆</w:t>
            </w:r>
            <w:r w:rsidR="00677414" w:rsidRPr="006F5452">
              <w:rPr>
                <w:rFonts w:cs="Times New Roman"/>
                <w:b w:val="0"/>
                <w:bCs w:val="0"/>
                <w:sz w:val="20"/>
                <w:szCs w:val="20"/>
                <w:lang w:val="en-GB"/>
              </w:rPr>
              <w:t>USEPU</w:t>
            </w:r>
            <w:r w:rsidRPr="006F5452">
              <w:rPr>
                <w:rFonts w:cs="Times New Roman"/>
                <w:b w:val="0"/>
                <w:bCs w:val="0"/>
                <w:sz w:val="20"/>
                <w:szCs w:val="20"/>
                <w:vertAlign w:val="superscript"/>
                <w:lang w:val="en-GB"/>
              </w:rPr>
              <w:t>+</w:t>
            </w:r>
          </w:p>
        </w:tc>
        <w:tc>
          <w:tcPr>
            <w:tcW w:w="1411" w:type="dxa"/>
            <w:hideMark/>
          </w:tcPr>
          <w:p w14:paraId="605EB94F" w14:textId="7EFB9599" w:rsidR="007778C0" w:rsidRPr="006F5452" w:rsidRDefault="00B20F5C" w:rsidP="0036075C">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w:t>
            </w:r>
            <w:r w:rsidR="00677414" w:rsidRPr="006F5452">
              <w:rPr>
                <w:rFonts w:cs="Times New Roman"/>
                <w:sz w:val="20"/>
                <w:szCs w:val="20"/>
                <w:lang w:val="en-GB"/>
              </w:rPr>
              <w:t>0.2249***</w:t>
            </w:r>
          </w:p>
        </w:tc>
        <w:tc>
          <w:tcPr>
            <w:tcW w:w="1308" w:type="dxa"/>
            <w:hideMark/>
          </w:tcPr>
          <w:p w14:paraId="2CF7E803" w14:textId="77777777" w:rsidR="007778C0" w:rsidRPr="006F5452" w:rsidRDefault="007778C0" w:rsidP="00704AD7">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0.0305</w:t>
            </w:r>
          </w:p>
        </w:tc>
        <w:tc>
          <w:tcPr>
            <w:tcW w:w="1800" w:type="dxa"/>
          </w:tcPr>
          <w:p w14:paraId="25B363CF" w14:textId="17CDB61A" w:rsidR="007778C0" w:rsidRPr="006F5452" w:rsidRDefault="00677414" w:rsidP="0036075C">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eastAsiaTheme="minorEastAsia"/>
                <w:iCs/>
                <w:sz w:val="20"/>
                <w:szCs w:val="20"/>
                <w:lang w:val="en-GB"/>
              </w:rPr>
              <w:t>UESPU</w:t>
            </w:r>
            <w:r w:rsidR="007778C0" w:rsidRPr="006F5452">
              <w:rPr>
                <w:rFonts w:eastAsiaTheme="minorEastAsia"/>
                <w:iCs/>
                <w:sz w:val="20"/>
                <w:szCs w:val="20"/>
                <w:vertAlign w:val="superscript"/>
                <w:lang w:val="en-GB"/>
              </w:rPr>
              <w:t xml:space="preserve">+ </w:t>
            </w:r>
          </w:p>
        </w:tc>
        <w:tc>
          <w:tcPr>
            <w:tcW w:w="1677" w:type="dxa"/>
            <w:hideMark/>
          </w:tcPr>
          <w:p w14:paraId="3D8C8C8A" w14:textId="3E863F65" w:rsidR="007778C0" w:rsidRPr="006F5452" w:rsidRDefault="00B20F5C" w:rsidP="00B81533">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w:t>
            </w:r>
            <w:r w:rsidR="007778C0" w:rsidRPr="006F5452">
              <w:rPr>
                <w:rFonts w:cs="Times New Roman"/>
                <w:sz w:val="20"/>
                <w:szCs w:val="20"/>
                <w:lang w:val="en-GB"/>
              </w:rPr>
              <w:t>0.</w:t>
            </w:r>
            <w:r w:rsidR="00B81533" w:rsidRPr="006F5452">
              <w:rPr>
                <w:rFonts w:cs="Times New Roman"/>
                <w:sz w:val="20"/>
                <w:szCs w:val="20"/>
                <w:lang w:val="en-GB"/>
              </w:rPr>
              <w:t>1</w:t>
            </w:r>
            <w:r w:rsidR="000F374B" w:rsidRPr="006F5452">
              <w:rPr>
                <w:rFonts w:cs="Times New Roman"/>
                <w:sz w:val="20"/>
                <w:szCs w:val="20"/>
                <w:lang w:val="en-GB"/>
              </w:rPr>
              <w:t>120**</w:t>
            </w:r>
            <w:r w:rsidR="00632027" w:rsidRPr="006F5452">
              <w:rPr>
                <w:rFonts w:cs="Times New Roman"/>
                <w:sz w:val="20"/>
                <w:szCs w:val="20"/>
                <w:lang w:val="en-GB"/>
              </w:rPr>
              <w:t>*</w:t>
            </w:r>
          </w:p>
        </w:tc>
        <w:tc>
          <w:tcPr>
            <w:tcW w:w="1427" w:type="dxa"/>
            <w:hideMark/>
          </w:tcPr>
          <w:p w14:paraId="53F84E9E" w14:textId="500577C7" w:rsidR="007778C0" w:rsidRPr="006F5452" w:rsidRDefault="007778C0" w:rsidP="0036075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w:t>
            </w:r>
            <w:r w:rsidR="00632027" w:rsidRPr="006F5452">
              <w:rPr>
                <w:rFonts w:cs="Times New Roman"/>
                <w:sz w:val="20"/>
                <w:szCs w:val="20"/>
                <w:lang w:val="en-GB"/>
              </w:rPr>
              <w:t>00</w:t>
            </w:r>
            <w:r w:rsidRPr="006F5452">
              <w:rPr>
                <w:rFonts w:cs="Times New Roman"/>
                <w:sz w:val="20"/>
                <w:szCs w:val="20"/>
                <w:lang w:val="en-GB"/>
              </w:rPr>
              <w:t>76</w:t>
            </w:r>
          </w:p>
        </w:tc>
      </w:tr>
      <w:tr w:rsidR="006F5452" w:rsidRPr="006F5452" w14:paraId="0DC38888" w14:textId="77777777" w:rsidTr="00704AD7">
        <w:tc>
          <w:tcPr>
            <w:cnfStyle w:val="001000000000" w:firstRow="0" w:lastRow="0" w:firstColumn="1" w:lastColumn="0" w:oddVBand="0" w:evenVBand="0" w:oddHBand="0" w:evenHBand="0" w:firstRowFirstColumn="0" w:firstRowLastColumn="0" w:lastRowFirstColumn="0" w:lastRowLastColumn="0"/>
            <w:tcW w:w="1619" w:type="dxa"/>
            <w:hideMark/>
          </w:tcPr>
          <w:p w14:paraId="550CFD8A" w14:textId="778ECC8D" w:rsidR="007778C0" w:rsidRPr="006F5452" w:rsidRDefault="007778C0" w:rsidP="0036075C">
            <w:pPr>
              <w:spacing w:line="276" w:lineRule="auto"/>
              <w:rPr>
                <w:rFonts w:cs="Times New Roman"/>
                <w:sz w:val="20"/>
                <w:szCs w:val="20"/>
                <w:lang w:val="en-GB"/>
              </w:rPr>
            </w:pPr>
            <w:r w:rsidRPr="006F5452">
              <w:rPr>
                <w:rFonts w:cs="Times New Roman"/>
                <w:b w:val="0"/>
                <w:bCs w:val="0"/>
                <w:sz w:val="20"/>
                <w:szCs w:val="20"/>
                <w:lang w:val="en-GB"/>
              </w:rPr>
              <w:t>∆</w:t>
            </w:r>
            <w:r w:rsidR="00677414" w:rsidRPr="006F5452">
              <w:rPr>
                <w:rFonts w:cs="Times New Roman"/>
                <w:b w:val="0"/>
                <w:bCs w:val="0"/>
                <w:sz w:val="20"/>
                <w:szCs w:val="20"/>
                <w:lang w:val="en-GB"/>
              </w:rPr>
              <w:t>USEPU</w:t>
            </w:r>
            <w:r w:rsidRPr="006F5452">
              <w:rPr>
                <w:rFonts w:cs="Times New Roman"/>
                <w:b w:val="0"/>
                <w:bCs w:val="0"/>
                <w:sz w:val="20"/>
                <w:szCs w:val="20"/>
                <w:vertAlign w:val="superscript"/>
                <w:lang w:val="en-GB"/>
              </w:rPr>
              <w:t xml:space="preserve">+ </w:t>
            </w:r>
            <w:r w:rsidRPr="006F5452">
              <w:rPr>
                <w:rFonts w:cs="Times New Roman"/>
                <w:b w:val="0"/>
                <w:bCs w:val="0"/>
                <w:sz w:val="20"/>
                <w:szCs w:val="20"/>
                <w:lang w:val="en-GB"/>
              </w:rPr>
              <w:t>(-1)</w:t>
            </w:r>
          </w:p>
        </w:tc>
        <w:tc>
          <w:tcPr>
            <w:tcW w:w="1411" w:type="dxa"/>
            <w:hideMark/>
          </w:tcPr>
          <w:p w14:paraId="6E676DAC" w14:textId="5FBB7452" w:rsidR="007778C0" w:rsidRPr="006F5452" w:rsidRDefault="00B20F5C" w:rsidP="0036075C">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sz w:val="20"/>
                <w:szCs w:val="20"/>
                <w:lang w:val="en-GB"/>
              </w:rPr>
              <w:t>-</w:t>
            </w:r>
            <w:r w:rsidR="00677414" w:rsidRPr="006F5452">
              <w:rPr>
                <w:sz w:val="20"/>
                <w:szCs w:val="20"/>
                <w:lang w:val="en-GB"/>
              </w:rPr>
              <w:t>0.1</w:t>
            </w:r>
            <w:r w:rsidRPr="006F5452">
              <w:rPr>
                <w:sz w:val="20"/>
                <w:szCs w:val="20"/>
                <w:lang w:val="en-GB"/>
              </w:rPr>
              <w:t>7</w:t>
            </w:r>
            <w:r w:rsidR="00677414" w:rsidRPr="006F5452">
              <w:rPr>
                <w:sz w:val="20"/>
                <w:szCs w:val="20"/>
                <w:lang w:val="en-GB"/>
              </w:rPr>
              <w:t>6</w:t>
            </w:r>
            <w:r w:rsidRPr="006F5452">
              <w:rPr>
                <w:sz w:val="20"/>
                <w:szCs w:val="20"/>
                <w:lang w:val="en-GB"/>
              </w:rPr>
              <w:t>0</w:t>
            </w:r>
            <w:r w:rsidR="00677414" w:rsidRPr="006F5452">
              <w:rPr>
                <w:sz w:val="20"/>
                <w:szCs w:val="20"/>
                <w:lang w:val="en-GB"/>
              </w:rPr>
              <w:t>**</w:t>
            </w:r>
          </w:p>
        </w:tc>
        <w:tc>
          <w:tcPr>
            <w:tcW w:w="1308" w:type="dxa"/>
            <w:hideMark/>
          </w:tcPr>
          <w:p w14:paraId="10E757D3" w14:textId="77777777" w:rsidR="007778C0" w:rsidRPr="006F5452" w:rsidRDefault="007778C0" w:rsidP="00704AD7">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sz w:val="20"/>
                <w:szCs w:val="20"/>
                <w:lang w:val="en-GB"/>
              </w:rPr>
              <w:t>0.0745</w:t>
            </w:r>
          </w:p>
        </w:tc>
        <w:tc>
          <w:tcPr>
            <w:tcW w:w="1800" w:type="dxa"/>
          </w:tcPr>
          <w:p w14:paraId="5ECC8B92" w14:textId="61096BB7" w:rsidR="007778C0" w:rsidRPr="006F5452" w:rsidRDefault="00B81533" w:rsidP="0036075C">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USEPU</w:t>
            </w:r>
            <w:r w:rsidRPr="006F5452">
              <w:rPr>
                <w:rFonts w:cs="Times New Roman"/>
                <w:sz w:val="20"/>
                <w:szCs w:val="20"/>
                <w:vertAlign w:val="superscript"/>
                <w:lang w:val="en-GB"/>
              </w:rPr>
              <w:t>−</w:t>
            </w:r>
            <w:r w:rsidRPr="006F5452">
              <w:rPr>
                <w:rFonts w:eastAsiaTheme="minorEastAsia" w:cs="Times New Roman"/>
                <w:iCs/>
                <w:sz w:val="20"/>
                <w:szCs w:val="20"/>
                <w:lang w:val="en-GB"/>
              </w:rPr>
              <w:t xml:space="preserve"> </w:t>
            </w:r>
            <w:r w:rsidR="007778C0" w:rsidRPr="006F5452">
              <w:rPr>
                <w:rFonts w:eastAsiaTheme="minorEastAsia" w:cs="Times New Roman"/>
                <w:iCs/>
                <w:sz w:val="20"/>
                <w:szCs w:val="20"/>
                <w:lang w:val="en-GB"/>
              </w:rPr>
              <w:t>(-1)</w:t>
            </w:r>
          </w:p>
        </w:tc>
        <w:tc>
          <w:tcPr>
            <w:tcW w:w="1677" w:type="dxa"/>
          </w:tcPr>
          <w:p w14:paraId="1620E257" w14:textId="0C1C977F" w:rsidR="007778C0" w:rsidRPr="006F5452" w:rsidRDefault="00D06294" w:rsidP="00B81533">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0.0339</w:t>
            </w:r>
            <w:r w:rsidR="00632027" w:rsidRPr="006F5452">
              <w:rPr>
                <w:rFonts w:cs="Times New Roman"/>
                <w:sz w:val="20"/>
                <w:szCs w:val="20"/>
                <w:lang w:val="en-GB"/>
              </w:rPr>
              <w:t>**</w:t>
            </w:r>
          </w:p>
        </w:tc>
        <w:tc>
          <w:tcPr>
            <w:tcW w:w="1427" w:type="dxa"/>
          </w:tcPr>
          <w:p w14:paraId="0697EF49" w14:textId="7E223A1C" w:rsidR="007778C0" w:rsidRPr="006F5452" w:rsidRDefault="00632027" w:rsidP="0036075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0.0013</w:t>
            </w:r>
          </w:p>
        </w:tc>
      </w:tr>
      <w:tr w:rsidR="006F5452" w:rsidRPr="006F5452" w14:paraId="5F7DF396" w14:textId="77777777" w:rsidTr="00704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2159880C" w14:textId="374FF8E3" w:rsidR="007778C0" w:rsidRPr="006F5452" w:rsidRDefault="007778C0" w:rsidP="0036075C">
            <w:pPr>
              <w:spacing w:line="276" w:lineRule="auto"/>
              <w:rPr>
                <w:rFonts w:cs="Times New Roman"/>
                <w:sz w:val="20"/>
                <w:szCs w:val="20"/>
                <w:lang w:val="en-GB"/>
              </w:rPr>
            </w:pPr>
            <w:r w:rsidRPr="006F5452">
              <w:rPr>
                <w:rFonts w:cs="Times New Roman"/>
                <w:b w:val="0"/>
                <w:bCs w:val="0"/>
                <w:sz w:val="20"/>
                <w:szCs w:val="20"/>
                <w:lang w:val="en-GB"/>
              </w:rPr>
              <w:t>∆</w:t>
            </w:r>
            <w:r w:rsidR="00677414" w:rsidRPr="006F5452">
              <w:rPr>
                <w:rFonts w:cs="Times New Roman"/>
                <w:b w:val="0"/>
                <w:bCs w:val="0"/>
                <w:sz w:val="20"/>
                <w:szCs w:val="20"/>
                <w:lang w:val="en-GB"/>
              </w:rPr>
              <w:t>USEPU</w:t>
            </w:r>
            <w:r w:rsidRPr="006F5452">
              <w:rPr>
                <w:rFonts w:cs="Times New Roman"/>
                <w:b w:val="0"/>
                <w:bCs w:val="0"/>
                <w:sz w:val="20"/>
                <w:szCs w:val="20"/>
                <w:vertAlign w:val="superscript"/>
                <w:lang w:val="en-GB"/>
              </w:rPr>
              <w:t>−</w:t>
            </w:r>
          </w:p>
        </w:tc>
        <w:tc>
          <w:tcPr>
            <w:tcW w:w="1411" w:type="dxa"/>
          </w:tcPr>
          <w:p w14:paraId="02C50882" w14:textId="779DD28D" w:rsidR="007778C0" w:rsidRPr="006F5452" w:rsidRDefault="00B20F5C" w:rsidP="0036075C">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w:t>
            </w:r>
            <w:r w:rsidR="00140921" w:rsidRPr="006F5452">
              <w:rPr>
                <w:sz w:val="20"/>
                <w:szCs w:val="20"/>
                <w:lang w:val="en-GB"/>
              </w:rPr>
              <w:t>06</w:t>
            </w:r>
            <w:r w:rsidRPr="006F5452">
              <w:rPr>
                <w:sz w:val="20"/>
                <w:szCs w:val="20"/>
                <w:lang w:val="en-GB"/>
              </w:rPr>
              <w:t>82***</w:t>
            </w:r>
          </w:p>
        </w:tc>
        <w:tc>
          <w:tcPr>
            <w:tcW w:w="1308" w:type="dxa"/>
          </w:tcPr>
          <w:p w14:paraId="5BE41607" w14:textId="3FF569A7" w:rsidR="007778C0" w:rsidRPr="006F5452" w:rsidRDefault="00D06294" w:rsidP="00704AD7">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0.0122</w:t>
            </w:r>
          </w:p>
        </w:tc>
        <w:tc>
          <w:tcPr>
            <w:tcW w:w="1800" w:type="dxa"/>
          </w:tcPr>
          <w:p w14:paraId="44E53B4E" w14:textId="4ACF9A71" w:rsidR="007778C0" w:rsidRPr="006F5452" w:rsidRDefault="009526D6" w:rsidP="0036075C">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eastAsiaTheme="minorEastAsia" w:cs="Times New Roman"/>
                <w:iCs/>
                <w:sz w:val="20"/>
                <w:szCs w:val="20"/>
                <w:lang w:val="en-GB"/>
              </w:rPr>
              <w:t>GPRT</w:t>
            </w:r>
            <w:r w:rsidR="007778C0" w:rsidRPr="006F5452">
              <w:rPr>
                <w:rFonts w:eastAsiaTheme="minorEastAsia" w:cs="Times New Roman"/>
                <w:iCs/>
                <w:sz w:val="20"/>
                <w:szCs w:val="20"/>
                <w:vertAlign w:val="superscript"/>
                <w:lang w:val="en-GB"/>
              </w:rPr>
              <w:t>−</w:t>
            </w:r>
          </w:p>
        </w:tc>
        <w:tc>
          <w:tcPr>
            <w:tcW w:w="1677" w:type="dxa"/>
            <w:hideMark/>
          </w:tcPr>
          <w:p w14:paraId="582DEA3A" w14:textId="103846F8" w:rsidR="007778C0" w:rsidRPr="006F5452" w:rsidRDefault="00D06294" w:rsidP="00B81533">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w:t>
            </w:r>
            <w:r w:rsidR="00632027" w:rsidRPr="006F5452">
              <w:rPr>
                <w:rFonts w:cs="Times New Roman"/>
                <w:sz w:val="20"/>
                <w:szCs w:val="20"/>
                <w:lang w:val="en-GB"/>
              </w:rPr>
              <w:t>1</w:t>
            </w:r>
            <w:r w:rsidRPr="006F5452">
              <w:rPr>
                <w:rFonts w:cs="Times New Roman"/>
                <w:sz w:val="20"/>
                <w:szCs w:val="20"/>
                <w:lang w:val="en-GB"/>
              </w:rPr>
              <w:t>0</w:t>
            </w:r>
            <w:r w:rsidR="00632027" w:rsidRPr="006F5452">
              <w:rPr>
                <w:rFonts w:cs="Times New Roman"/>
                <w:sz w:val="20"/>
                <w:szCs w:val="20"/>
                <w:lang w:val="en-GB"/>
              </w:rPr>
              <w:t>8</w:t>
            </w:r>
            <w:r w:rsidRPr="006F5452">
              <w:rPr>
                <w:rFonts w:cs="Times New Roman"/>
                <w:sz w:val="20"/>
                <w:szCs w:val="20"/>
                <w:lang w:val="en-GB"/>
              </w:rPr>
              <w:t>1</w:t>
            </w:r>
          </w:p>
        </w:tc>
        <w:tc>
          <w:tcPr>
            <w:tcW w:w="1427" w:type="dxa"/>
            <w:hideMark/>
          </w:tcPr>
          <w:p w14:paraId="747FA230" w14:textId="0E4B92A8" w:rsidR="007778C0" w:rsidRPr="006F5452" w:rsidRDefault="007778C0" w:rsidP="0036075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w:t>
            </w:r>
            <w:r w:rsidR="00632027" w:rsidRPr="006F5452">
              <w:rPr>
                <w:rFonts w:cs="Times New Roman"/>
                <w:sz w:val="20"/>
                <w:szCs w:val="20"/>
                <w:lang w:val="en-GB"/>
              </w:rPr>
              <w:t>0</w:t>
            </w:r>
            <w:r w:rsidRPr="006F5452">
              <w:rPr>
                <w:rFonts w:cs="Times New Roman"/>
                <w:sz w:val="20"/>
                <w:szCs w:val="20"/>
                <w:lang w:val="en-GB"/>
              </w:rPr>
              <w:t>171</w:t>
            </w:r>
          </w:p>
        </w:tc>
      </w:tr>
      <w:tr w:rsidR="006F5452" w:rsidRPr="006F5452" w14:paraId="557209CA" w14:textId="77777777" w:rsidTr="00704AD7">
        <w:tc>
          <w:tcPr>
            <w:cnfStyle w:val="001000000000" w:firstRow="0" w:lastRow="0" w:firstColumn="1" w:lastColumn="0" w:oddVBand="0" w:evenVBand="0" w:oddHBand="0" w:evenHBand="0" w:firstRowFirstColumn="0" w:firstRowLastColumn="0" w:lastRowFirstColumn="0" w:lastRowLastColumn="0"/>
            <w:tcW w:w="1619" w:type="dxa"/>
            <w:hideMark/>
          </w:tcPr>
          <w:p w14:paraId="7DF6ADE9" w14:textId="25BCB0AD" w:rsidR="007778C0" w:rsidRPr="006F5452" w:rsidRDefault="007778C0" w:rsidP="0036075C">
            <w:pPr>
              <w:spacing w:line="276" w:lineRule="auto"/>
              <w:rPr>
                <w:rFonts w:cs="Times New Roman"/>
                <w:b w:val="0"/>
                <w:bCs w:val="0"/>
                <w:sz w:val="20"/>
                <w:szCs w:val="20"/>
                <w:lang w:val="en-GB"/>
              </w:rPr>
            </w:pPr>
            <w:r w:rsidRPr="006F5452">
              <w:rPr>
                <w:rFonts w:cs="Times New Roman"/>
                <w:b w:val="0"/>
                <w:bCs w:val="0"/>
                <w:sz w:val="20"/>
                <w:szCs w:val="20"/>
                <w:lang w:val="en-GB"/>
              </w:rPr>
              <w:t>∆G</w:t>
            </w:r>
            <w:r w:rsidR="00677414" w:rsidRPr="006F5452">
              <w:rPr>
                <w:rFonts w:cs="Times New Roman"/>
                <w:b w:val="0"/>
                <w:bCs w:val="0"/>
                <w:sz w:val="20"/>
                <w:szCs w:val="20"/>
                <w:lang w:val="en-GB"/>
              </w:rPr>
              <w:t>PRT</w:t>
            </w:r>
          </w:p>
        </w:tc>
        <w:tc>
          <w:tcPr>
            <w:tcW w:w="1411" w:type="dxa"/>
            <w:hideMark/>
          </w:tcPr>
          <w:p w14:paraId="7B7ABD7A" w14:textId="01E8389A" w:rsidR="007778C0" w:rsidRPr="006F5452" w:rsidRDefault="007778C0" w:rsidP="0036075C">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w:t>
            </w:r>
            <w:r w:rsidR="00140921" w:rsidRPr="006F5452">
              <w:rPr>
                <w:sz w:val="20"/>
                <w:szCs w:val="20"/>
                <w:lang w:val="en-GB"/>
              </w:rPr>
              <w:t>1</w:t>
            </w:r>
            <w:r w:rsidRPr="006F5452">
              <w:rPr>
                <w:sz w:val="20"/>
                <w:szCs w:val="20"/>
                <w:lang w:val="en-GB"/>
              </w:rPr>
              <w:t>102</w:t>
            </w:r>
            <w:r w:rsidR="00666A43" w:rsidRPr="006F5452">
              <w:rPr>
                <w:sz w:val="20"/>
                <w:szCs w:val="20"/>
                <w:lang w:val="en-GB"/>
              </w:rPr>
              <w:t>**</w:t>
            </w:r>
          </w:p>
        </w:tc>
        <w:tc>
          <w:tcPr>
            <w:tcW w:w="1308" w:type="dxa"/>
            <w:hideMark/>
          </w:tcPr>
          <w:p w14:paraId="2EC3D8A6" w14:textId="77777777" w:rsidR="007778C0" w:rsidRPr="006F5452" w:rsidRDefault="007778C0" w:rsidP="00704AD7">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0.0450</w:t>
            </w:r>
          </w:p>
        </w:tc>
        <w:tc>
          <w:tcPr>
            <w:tcW w:w="1800" w:type="dxa"/>
          </w:tcPr>
          <w:p w14:paraId="735FA9DC" w14:textId="6CD7DD5F" w:rsidR="007778C0" w:rsidRPr="006F5452" w:rsidRDefault="009526D6" w:rsidP="0036075C">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eastAsiaTheme="minorEastAsia"/>
                <w:iCs/>
                <w:sz w:val="20"/>
                <w:szCs w:val="20"/>
                <w:lang w:val="en-GB"/>
              </w:rPr>
              <w:t>GRPA</w:t>
            </w:r>
            <w:r w:rsidR="007778C0" w:rsidRPr="006F5452">
              <w:rPr>
                <w:rFonts w:eastAsiaTheme="minorEastAsia" w:cs="Times New Roman"/>
                <w:iCs/>
                <w:sz w:val="20"/>
                <w:szCs w:val="20"/>
                <w:vertAlign w:val="superscript"/>
                <w:lang w:val="en-GB"/>
              </w:rPr>
              <w:t xml:space="preserve">− </w:t>
            </w:r>
            <w:r w:rsidR="007778C0" w:rsidRPr="006F5452">
              <w:rPr>
                <w:rFonts w:eastAsiaTheme="minorEastAsia" w:cs="Times New Roman"/>
                <w:iCs/>
                <w:sz w:val="20"/>
                <w:szCs w:val="20"/>
                <w:lang w:val="en-GB"/>
              </w:rPr>
              <w:t>(-1)</w:t>
            </w:r>
          </w:p>
        </w:tc>
        <w:tc>
          <w:tcPr>
            <w:tcW w:w="1677" w:type="dxa"/>
            <w:hideMark/>
          </w:tcPr>
          <w:p w14:paraId="2A5B1E5D" w14:textId="67400CBC" w:rsidR="007778C0" w:rsidRPr="006F5452" w:rsidRDefault="00D06294" w:rsidP="00B81533">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w:t>
            </w:r>
            <w:r w:rsidR="007778C0" w:rsidRPr="006F5452">
              <w:rPr>
                <w:rFonts w:cs="Times New Roman"/>
                <w:sz w:val="20"/>
                <w:szCs w:val="20"/>
                <w:lang w:val="en-GB"/>
              </w:rPr>
              <w:t>0.0375</w:t>
            </w:r>
            <w:r w:rsidR="00632027" w:rsidRPr="006F5452">
              <w:rPr>
                <w:rFonts w:cs="Times New Roman"/>
                <w:sz w:val="20"/>
                <w:szCs w:val="20"/>
                <w:lang w:val="en-GB"/>
              </w:rPr>
              <w:t>**</w:t>
            </w:r>
          </w:p>
        </w:tc>
        <w:tc>
          <w:tcPr>
            <w:tcW w:w="1427" w:type="dxa"/>
            <w:hideMark/>
          </w:tcPr>
          <w:p w14:paraId="04A8A942" w14:textId="63918A5E" w:rsidR="007778C0" w:rsidRPr="006F5452" w:rsidRDefault="007778C0" w:rsidP="0036075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0.0</w:t>
            </w:r>
            <w:r w:rsidR="00632027" w:rsidRPr="006F5452">
              <w:rPr>
                <w:rFonts w:cs="Times New Roman"/>
                <w:sz w:val="20"/>
                <w:szCs w:val="20"/>
                <w:lang w:val="en-GB"/>
              </w:rPr>
              <w:t>0</w:t>
            </w:r>
            <w:r w:rsidRPr="006F5452">
              <w:rPr>
                <w:rFonts w:cs="Times New Roman"/>
                <w:sz w:val="20"/>
                <w:szCs w:val="20"/>
                <w:lang w:val="en-GB"/>
              </w:rPr>
              <w:t>24</w:t>
            </w:r>
          </w:p>
        </w:tc>
      </w:tr>
      <w:tr w:rsidR="006F5452" w:rsidRPr="006F5452" w14:paraId="4DC48B12" w14:textId="77777777" w:rsidTr="00704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12EE68CC" w14:textId="67780954" w:rsidR="007778C0" w:rsidRPr="006F5452" w:rsidRDefault="007778C0" w:rsidP="0036075C">
            <w:pPr>
              <w:spacing w:line="276" w:lineRule="auto"/>
              <w:rPr>
                <w:rFonts w:cs="Times New Roman"/>
                <w:b w:val="0"/>
                <w:bCs w:val="0"/>
                <w:sz w:val="20"/>
                <w:szCs w:val="20"/>
                <w:lang w:val="en-GB"/>
              </w:rPr>
            </w:pPr>
            <w:r w:rsidRPr="006F5452">
              <w:rPr>
                <w:rFonts w:cs="Times New Roman"/>
                <w:b w:val="0"/>
                <w:bCs w:val="0"/>
                <w:sz w:val="20"/>
                <w:szCs w:val="20"/>
                <w:lang w:val="en-GB"/>
              </w:rPr>
              <w:t>∆</w:t>
            </w:r>
            <w:r w:rsidR="00677414" w:rsidRPr="006F5452">
              <w:rPr>
                <w:rFonts w:cs="Times New Roman"/>
                <w:b w:val="0"/>
                <w:bCs w:val="0"/>
                <w:sz w:val="20"/>
                <w:szCs w:val="20"/>
                <w:lang w:val="en-GB"/>
              </w:rPr>
              <w:t>GPRT</w:t>
            </w:r>
            <w:r w:rsidRPr="006F5452">
              <w:rPr>
                <w:rFonts w:cs="Times New Roman"/>
                <w:b w:val="0"/>
                <w:bCs w:val="0"/>
                <w:sz w:val="20"/>
                <w:szCs w:val="20"/>
                <w:lang w:val="en-GB"/>
              </w:rPr>
              <w:t xml:space="preserve"> (-1)</w:t>
            </w:r>
          </w:p>
        </w:tc>
        <w:tc>
          <w:tcPr>
            <w:tcW w:w="1411" w:type="dxa"/>
            <w:hideMark/>
          </w:tcPr>
          <w:p w14:paraId="5F37087D" w14:textId="147FB24F" w:rsidR="007778C0" w:rsidRPr="006F5452" w:rsidRDefault="007778C0" w:rsidP="0036075C">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0.0700</w:t>
            </w:r>
            <w:r w:rsidR="00666A43" w:rsidRPr="006F5452">
              <w:rPr>
                <w:sz w:val="20"/>
                <w:szCs w:val="20"/>
                <w:lang w:val="en-GB"/>
              </w:rPr>
              <w:t>*</w:t>
            </w:r>
          </w:p>
        </w:tc>
        <w:tc>
          <w:tcPr>
            <w:tcW w:w="1308" w:type="dxa"/>
            <w:hideMark/>
          </w:tcPr>
          <w:p w14:paraId="5D4D8DF5" w14:textId="77777777" w:rsidR="007778C0" w:rsidRPr="006F5452" w:rsidRDefault="007778C0" w:rsidP="00704AD7">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0.0452</w:t>
            </w:r>
          </w:p>
        </w:tc>
        <w:tc>
          <w:tcPr>
            <w:tcW w:w="1800" w:type="dxa"/>
          </w:tcPr>
          <w:p w14:paraId="172E0C23" w14:textId="273FF945" w:rsidR="007778C0" w:rsidRPr="006F5452" w:rsidRDefault="007778C0" w:rsidP="0036075C">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eastAsia="Calibri" w:cs="Times New Roman"/>
                <w:iCs/>
                <w:sz w:val="20"/>
                <w:szCs w:val="20"/>
                <w:lang w:val="en-GB"/>
              </w:rPr>
              <w:t>G</w:t>
            </w:r>
            <w:r w:rsidR="000F374B" w:rsidRPr="006F5452">
              <w:rPr>
                <w:rFonts w:eastAsia="Calibri" w:cs="Times New Roman"/>
                <w:iCs/>
                <w:sz w:val="20"/>
                <w:szCs w:val="20"/>
                <w:lang w:val="en-GB"/>
              </w:rPr>
              <w:t>PR</w:t>
            </w:r>
            <w:r w:rsidRPr="006F5452">
              <w:rPr>
                <w:rFonts w:eastAsia="Calibri" w:cs="Times New Roman"/>
                <w:iCs/>
                <w:sz w:val="20"/>
                <w:szCs w:val="20"/>
                <w:lang w:val="en-GB"/>
              </w:rPr>
              <w:t>T</w:t>
            </w:r>
          </w:p>
        </w:tc>
        <w:tc>
          <w:tcPr>
            <w:tcW w:w="1677" w:type="dxa"/>
            <w:hideMark/>
          </w:tcPr>
          <w:p w14:paraId="034BD516" w14:textId="42CB6D31" w:rsidR="007778C0" w:rsidRPr="006F5452" w:rsidRDefault="007778C0" w:rsidP="00B81533">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-0.1432</w:t>
            </w:r>
            <w:r w:rsidR="00632027" w:rsidRPr="006F5452">
              <w:rPr>
                <w:rFonts w:cs="Times New Roman"/>
                <w:sz w:val="20"/>
                <w:szCs w:val="20"/>
                <w:lang w:val="en-GB"/>
              </w:rPr>
              <w:t>***</w:t>
            </w:r>
          </w:p>
        </w:tc>
        <w:tc>
          <w:tcPr>
            <w:tcW w:w="1427" w:type="dxa"/>
            <w:hideMark/>
          </w:tcPr>
          <w:p w14:paraId="0F3A61BF" w14:textId="77777777" w:rsidR="007778C0" w:rsidRPr="006F5452" w:rsidRDefault="007778C0" w:rsidP="0036075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0.0527</w:t>
            </w:r>
          </w:p>
        </w:tc>
      </w:tr>
      <w:tr w:rsidR="006F5452" w:rsidRPr="006F5452" w14:paraId="602BD738" w14:textId="77777777" w:rsidTr="00704AD7">
        <w:tc>
          <w:tcPr>
            <w:cnfStyle w:val="001000000000" w:firstRow="0" w:lastRow="0" w:firstColumn="1" w:lastColumn="0" w:oddVBand="0" w:evenVBand="0" w:oddHBand="0" w:evenHBand="0" w:firstRowFirstColumn="0" w:firstRowLastColumn="0" w:lastRowFirstColumn="0" w:lastRowLastColumn="0"/>
            <w:tcW w:w="1619" w:type="dxa"/>
            <w:hideMark/>
          </w:tcPr>
          <w:p w14:paraId="0818023E" w14:textId="7100CBB1" w:rsidR="00FA07FD" w:rsidRPr="006F5452" w:rsidRDefault="00FA07FD" w:rsidP="00FA07FD">
            <w:pPr>
              <w:spacing w:line="276" w:lineRule="auto"/>
              <w:ind w:left="1440" w:hanging="1440"/>
              <w:rPr>
                <w:rFonts w:cs="Times New Roman"/>
                <w:b w:val="0"/>
                <w:bCs w:val="0"/>
                <w:sz w:val="20"/>
                <w:szCs w:val="20"/>
                <w:lang w:val="en-GB"/>
              </w:rPr>
            </w:pPr>
            <w:r w:rsidRPr="006F5452">
              <w:rPr>
                <w:rFonts w:cs="Times New Roman"/>
                <w:b w:val="0"/>
                <w:bCs w:val="0"/>
                <w:sz w:val="20"/>
                <w:szCs w:val="20"/>
                <w:lang w:val="en-GB"/>
              </w:rPr>
              <w:t>∆GPRA</w:t>
            </w:r>
          </w:p>
        </w:tc>
        <w:tc>
          <w:tcPr>
            <w:tcW w:w="1411" w:type="dxa"/>
            <w:hideMark/>
          </w:tcPr>
          <w:p w14:paraId="1C1AA9B1" w14:textId="48E501B7" w:rsidR="00FA07FD" w:rsidRPr="006F5452" w:rsidRDefault="00FA07FD" w:rsidP="00FA07FD">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0.0221***</w:t>
            </w:r>
          </w:p>
        </w:tc>
        <w:tc>
          <w:tcPr>
            <w:tcW w:w="1308" w:type="dxa"/>
            <w:hideMark/>
          </w:tcPr>
          <w:p w14:paraId="45ECA25F" w14:textId="77777777" w:rsidR="00FA07FD" w:rsidRPr="006F5452" w:rsidRDefault="00FA07FD" w:rsidP="00FA07F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0.0682</w:t>
            </w:r>
          </w:p>
        </w:tc>
        <w:tc>
          <w:tcPr>
            <w:tcW w:w="1800" w:type="dxa"/>
          </w:tcPr>
          <w:p w14:paraId="439EFBE8" w14:textId="72954DB3" w:rsidR="00FA07FD" w:rsidRPr="006F5452" w:rsidRDefault="00FA07FD" w:rsidP="00FA07FD">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eastAsia="Calibri" w:cs="Times New Roman"/>
                <w:iCs/>
                <w:sz w:val="20"/>
                <w:szCs w:val="20"/>
                <w:lang w:val="en-GB"/>
              </w:rPr>
              <w:t>GPRT (-1)</w:t>
            </w:r>
          </w:p>
        </w:tc>
        <w:tc>
          <w:tcPr>
            <w:tcW w:w="1677" w:type="dxa"/>
            <w:hideMark/>
          </w:tcPr>
          <w:p w14:paraId="221E03C2" w14:textId="7A891DA7" w:rsidR="00FA07FD" w:rsidRPr="006F5452" w:rsidRDefault="00FA07FD" w:rsidP="00FA07FD">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0.1432***</w:t>
            </w:r>
          </w:p>
        </w:tc>
        <w:tc>
          <w:tcPr>
            <w:tcW w:w="1427" w:type="dxa"/>
            <w:hideMark/>
          </w:tcPr>
          <w:p w14:paraId="7482FCDE" w14:textId="7D5421C2" w:rsidR="00FA07FD" w:rsidRPr="006F5452" w:rsidRDefault="00FA07FD" w:rsidP="00FA07F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0.0527</w:t>
            </w:r>
          </w:p>
        </w:tc>
      </w:tr>
      <w:tr w:rsidR="006F5452" w:rsidRPr="006F5452" w14:paraId="40F15ABD" w14:textId="77777777" w:rsidTr="00704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0CEC61E1" w14:textId="73266C78" w:rsidR="00FA07FD" w:rsidRPr="006F5452" w:rsidRDefault="00FA07FD" w:rsidP="00FA07FD">
            <w:pPr>
              <w:spacing w:line="276" w:lineRule="auto"/>
              <w:ind w:left="1440" w:hanging="1440"/>
              <w:rPr>
                <w:rFonts w:cs="Times New Roman"/>
                <w:sz w:val="20"/>
                <w:szCs w:val="20"/>
                <w:lang w:val="en-GB"/>
              </w:rPr>
            </w:pPr>
            <w:r w:rsidRPr="006F5452">
              <w:rPr>
                <w:rFonts w:cs="Times New Roman"/>
                <w:b w:val="0"/>
                <w:bCs w:val="0"/>
                <w:sz w:val="20"/>
                <w:szCs w:val="20"/>
                <w:lang w:val="en-GB"/>
              </w:rPr>
              <w:t>∆GPRA (-1)</w:t>
            </w:r>
          </w:p>
        </w:tc>
        <w:tc>
          <w:tcPr>
            <w:tcW w:w="1411" w:type="dxa"/>
          </w:tcPr>
          <w:p w14:paraId="6373A2BE" w14:textId="7D36D9BC" w:rsidR="00FA07FD" w:rsidRPr="006F5452" w:rsidRDefault="00FA07FD" w:rsidP="00FA07FD">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-0.0731**</w:t>
            </w:r>
          </w:p>
        </w:tc>
        <w:tc>
          <w:tcPr>
            <w:tcW w:w="1308" w:type="dxa"/>
          </w:tcPr>
          <w:p w14:paraId="66374117" w14:textId="6FD2A709" w:rsidR="00FA07FD" w:rsidRPr="006F5452" w:rsidRDefault="00FA07FD" w:rsidP="00FA07F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0.0091</w:t>
            </w:r>
          </w:p>
        </w:tc>
        <w:tc>
          <w:tcPr>
            <w:tcW w:w="1800" w:type="dxa"/>
          </w:tcPr>
          <w:p w14:paraId="4B863251" w14:textId="7753997A" w:rsidR="00FA07FD" w:rsidRPr="006F5452" w:rsidRDefault="00FA07FD" w:rsidP="00FA07F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GPRA</w:t>
            </w:r>
          </w:p>
        </w:tc>
        <w:tc>
          <w:tcPr>
            <w:tcW w:w="1677" w:type="dxa"/>
            <w:hideMark/>
          </w:tcPr>
          <w:p w14:paraId="70C90909" w14:textId="7AAD0231" w:rsidR="00FA07FD" w:rsidRPr="006F5452" w:rsidRDefault="00FA07FD" w:rsidP="00FA07F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0.1102**</w:t>
            </w:r>
          </w:p>
        </w:tc>
        <w:tc>
          <w:tcPr>
            <w:tcW w:w="1427" w:type="dxa"/>
            <w:hideMark/>
          </w:tcPr>
          <w:p w14:paraId="6B6C9DDF" w14:textId="5AC2B52A" w:rsidR="00FA07FD" w:rsidRPr="006F5452" w:rsidRDefault="00FA07FD" w:rsidP="00FA07F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0.0639</w:t>
            </w:r>
          </w:p>
        </w:tc>
      </w:tr>
      <w:tr w:rsidR="006F5452" w:rsidRPr="006F5452" w14:paraId="72DD6E30" w14:textId="77777777" w:rsidTr="00704AD7">
        <w:tc>
          <w:tcPr>
            <w:cnfStyle w:val="001000000000" w:firstRow="0" w:lastRow="0" w:firstColumn="1" w:lastColumn="0" w:oddVBand="0" w:evenVBand="0" w:oddHBand="0" w:evenHBand="0" w:firstRowFirstColumn="0" w:firstRowLastColumn="0" w:lastRowFirstColumn="0" w:lastRowLastColumn="0"/>
            <w:tcW w:w="1619" w:type="dxa"/>
          </w:tcPr>
          <w:p w14:paraId="629C27CF" w14:textId="3BAE3B1F" w:rsidR="000F374B" w:rsidRPr="006F5452" w:rsidRDefault="000F374B" w:rsidP="0036075C">
            <w:pPr>
              <w:spacing w:line="276" w:lineRule="auto"/>
              <w:ind w:left="1440" w:hanging="1440"/>
              <w:rPr>
                <w:rFonts w:cs="Times New Roman"/>
                <w:sz w:val="20"/>
                <w:szCs w:val="20"/>
                <w:lang w:val="en-GB"/>
              </w:rPr>
            </w:pPr>
            <w:r w:rsidRPr="006F5452">
              <w:rPr>
                <w:rFonts w:cs="Times New Roman"/>
                <w:b w:val="0"/>
                <w:bCs w:val="0"/>
                <w:sz w:val="20"/>
                <w:szCs w:val="20"/>
                <w:lang w:val="en-GB"/>
              </w:rPr>
              <w:t>∆GPRA (</w:t>
            </w:r>
            <w:r w:rsidR="00666A43" w:rsidRPr="006F5452">
              <w:rPr>
                <w:rFonts w:cs="Times New Roman"/>
                <w:b w:val="0"/>
                <w:bCs w:val="0"/>
                <w:sz w:val="20"/>
                <w:szCs w:val="20"/>
                <w:lang w:val="en-GB"/>
              </w:rPr>
              <w:t>-2</w:t>
            </w:r>
            <w:r w:rsidRPr="006F5452">
              <w:rPr>
                <w:rFonts w:cs="Times New Roman"/>
                <w:b w:val="0"/>
                <w:bCs w:val="0"/>
                <w:sz w:val="20"/>
                <w:szCs w:val="20"/>
                <w:lang w:val="en-GB"/>
              </w:rPr>
              <w:t>)</w:t>
            </w:r>
          </w:p>
        </w:tc>
        <w:tc>
          <w:tcPr>
            <w:tcW w:w="1411" w:type="dxa"/>
          </w:tcPr>
          <w:p w14:paraId="1BB02C6F" w14:textId="53DDC0B6" w:rsidR="000F374B" w:rsidRPr="006F5452" w:rsidRDefault="00666A43" w:rsidP="0036075C">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-0.1297**</w:t>
            </w:r>
          </w:p>
        </w:tc>
        <w:tc>
          <w:tcPr>
            <w:tcW w:w="1308" w:type="dxa"/>
          </w:tcPr>
          <w:p w14:paraId="50A557F2" w14:textId="7868B669" w:rsidR="000F374B" w:rsidRPr="006F5452" w:rsidRDefault="00666A43" w:rsidP="00704AD7">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0.0038</w:t>
            </w:r>
          </w:p>
        </w:tc>
        <w:tc>
          <w:tcPr>
            <w:tcW w:w="1800" w:type="dxa"/>
          </w:tcPr>
          <w:p w14:paraId="722BAC89" w14:textId="64C7F8B2" w:rsidR="000F374B" w:rsidRPr="006F5452" w:rsidRDefault="000C004C" w:rsidP="0036075C">
            <w:pPr>
              <w:spacing w:line="276" w:lineRule="auto"/>
              <w:cnfStyle w:val="000000000000" w:firstRow="0" w:lastRow="0" w:firstColumn="0" w:lastColumn="0" w:oddVBand="0" w:evenVBand="0" w:oddHBand="0" w:evenHBand="0" w:firstRowFirstColumn="0" w:firstRowLastColumn="0" w:lastRowFirstColumn="0" w:lastRowLastColumn="0"/>
              <w:rPr>
                <w:rFonts w:eastAsia="Calibri" w:cs="Times New Roman"/>
                <w:iCs/>
                <w:sz w:val="20"/>
                <w:szCs w:val="20"/>
                <w:lang w:val="en-GB"/>
              </w:rPr>
            </w:pPr>
            <w:r w:rsidRPr="006F5452">
              <w:rPr>
                <w:rFonts w:eastAsia="Calibri" w:cs="Times New Roman"/>
                <w:iCs/>
                <w:sz w:val="20"/>
                <w:szCs w:val="20"/>
                <w:lang w:val="en-GB"/>
              </w:rPr>
              <w:t>WTI</w:t>
            </w:r>
            <w:r w:rsidR="000F374B" w:rsidRPr="006F5452">
              <w:rPr>
                <w:rFonts w:eastAsia="Calibri" w:cs="Times New Roman"/>
                <w:iCs/>
                <w:sz w:val="20"/>
                <w:szCs w:val="20"/>
                <w:lang w:val="en-GB"/>
              </w:rPr>
              <w:t xml:space="preserve"> (</w:t>
            </w:r>
            <w:r w:rsidR="00D06294" w:rsidRPr="006F5452">
              <w:rPr>
                <w:rFonts w:eastAsia="Calibri" w:cs="Times New Roman"/>
                <w:iCs/>
                <w:sz w:val="20"/>
                <w:szCs w:val="20"/>
                <w:lang w:val="en-GB"/>
              </w:rPr>
              <w:t>-1)</w:t>
            </w:r>
          </w:p>
        </w:tc>
        <w:tc>
          <w:tcPr>
            <w:tcW w:w="1677" w:type="dxa"/>
          </w:tcPr>
          <w:p w14:paraId="10870ADE" w14:textId="63B08952" w:rsidR="000F374B" w:rsidRPr="006F5452" w:rsidRDefault="00D06294" w:rsidP="00B81533">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0.0349</w:t>
            </w:r>
            <w:r w:rsidR="000C004C" w:rsidRPr="006F5452">
              <w:rPr>
                <w:rFonts w:cs="Times New Roman"/>
                <w:sz w:val="20"/>
                <w:szCs w:val="20"/>
                <w:lang w:val="en-GB"/>
              </w:rPr>
              <w:t>**</w:t>
            </w:r>
          </w:p>
        </w:tc>
        <w:tc>
          <w:tcPr>
            <w:tcW w:w="1427" w:type="dxa"/>
          </w:tcPr>
          <w:p w14:paraId="27B8AD4F" w14:textId="583FEA28" w:rsidR="000F374B" w:rsidRPr="006F5452" w:rsidRDefault="00632027" w:rsidP="0036075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0.0109</w:t>
            </w:r>
          </w:p>
        </w:tc>
      </w:tr>
      <w:tr w:rsidR="006F5452" w:rsidRPr="006F5452" w14:paraId="373E2002" w14:textId="77777777" w:rsidTr="00E35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0632DFB4" w14:textId="1D217078" w:rsidR="00E3531C" w:rsidRPr="006F5452" w:rsidRDefault="00E3531C" w:rsidP="00E3531C">
            <w:pPr>
              <w:spacing w:line="276" w:lineRule="auto"/>
              <w:rPr>
                <w:rFonts w:cs="Times New Roman"/>
                <w:b w:val="0"/>
                <w:bCs w:val="0"/>
                <w:sz w:val="20"/>
                <w:szCs w:val="20"/>
                <w:lang w:val="en-GB"/>
              </w:rPr>
            </w:pPr>
            <w:r w:rsidRPr="006F5452">
              <w:rPr>
                <w:rFonts w:cs="Times New Roman"/>
                <w:b w:val="0"/>
                <w:bCs w:val="0"/>
                <w:sz w:val="20"/>
                <w:szCs w:val="20"/>
                <w:lang w:val="en-GB"/>
              </w:rPr>
              <w:lastRenderedPageBreak/>
              <w:t>∆WTI (-1)</w:t>
            </w:r>
          </w:p>
        </w:tc>
        <w:tc>
          <w:tcPr>
            <w:tcW w:w="1411" w:type="dxa"/>
          </w:tcPr>
          <w:p w14:paraId="68BCA41A" w14:textId="26E47CD1" w:rsidR="00E3531C" w:rsidRPr="006F5452" w:rsidRDefault="00E3531C" w:rsidP="00E3531C">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-0.1375**</w:t>
            </w:r>
          </w:p>
        </w:tc>
        <w:tc>
          <w:tcPr>
            <w:tcW w:w="1308" w:type="dxa"/>
            <w:hideMark/>
          </w:tcPr>
          <w:p w14:paraId="27F05DA0" w14:textId="77777777"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0.0080</w:t>
            </w:r>
          </w:p>
        </w:tc>
        <w:tc>
          <w:tcPr>
            <w:tcW w:w="1800" w:type="dxa"/>
          </w:tcPr>
          <w:p w14:paraId="583C33A3" w14:textId="1950D8D1" w:rsidR="00E3531C" w:rsidRPr="006F5452" w:rsidRDefault="00E3531C" w:rsidP="00E3531C">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eastAsia="Calibri" w:cs="Times New Roman"/>
                <w:iCs/>
                <w:sz w:val="20"/>
                <w:szCs w:val="20"/>
                <w:lang w:val="en-GB"/>
              </w:rPr>
              <w:t>SP500</w:t>
            </w:r>
          </w:p>
        </w:tc>
        <w:tc>
          <w:tcPr>
            <w:tcW w:w="1677" w:type="dxa"/>
          </w:tcPr>
          <w:p w14:paraId="4B449758" w14:textId="51D4CE24" w:rsidR="00E3531C" w:rsidRPr="006F5452" w:rsidRDefault="00E3531C" w:rsidP="00B81533">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0.1445***</w:t>
            </w:r>
          </w:p>
        </w:tc>
        <w:tc>
          <w:tcPr>
            <w:tcW w:w="1427" w:type="dxa"/>
          </w:tcPr>
          <w:p w14:paraId="216EEB1B" w14:textId="3E3C3964"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sz w:val="20"/>
                <w:szCs w:val="20"/>
                <w:lang w:val="en-GB"/>
              </w:rPr>
              <w:t>0.0775</w:t>
            </w:r>
          </w:p>
        </w:tc>
      </w:tr>
      <w:tr w:rsidR="006F5452" w:rsidRPr="006F5452" w14:paraId="6E8FFAD1" w14:textId="77777777" w:rsidTr="00E3531C">
        <w:tc>
          <w:tcPr>
            <w:cnfStyle w:val="001000000000" w:firstRow="0" w:lastRow="0" w:firstColumn="1" w:lastColumn="0" w:oddVBand="0" w:evenVBand="0" w:oddHBand="0" w:evenHBand="0" w:firstRowFirstColumn="0" w:firstRowLastColumn="0" w:lastRowFirstColumn="0" w:lastRowLastColumn="0"/>
            <w:tcW w:w="1619" w:type="dxa"/>
          </w:tcPr>
          <w:p w14:paraId="655EC537" w14:textId="269533DF" w:rsidR="00E3531C" w:rsidRPr="006F5452" w:rsidRDefault="00E3531C" w:rsidP="00E3531C">
            <w:pPr>
              <w:spacing w:line="276" w:lineRule="auto"/>
              <w:rPr>
                <w:rFonts w:eastAsia="Calibri" w:cs="Times New Roman"/>
                <w:b w:val="0"/>
                <w:bCs w:val="0"/>
                <w:sz w:val="20"/>
                <w:szCs w:val="20"/>
                <w:lang w:val="en-GB"/>
              </w:rPr>
            </w:pPr>
            <w:r w:rsidRPr="006F5452">
              <w:rPr>
                <w:rFonts w:cs="Times New Roman"/>
                <w:b w:val="0"/>
                <w:bCs w:val="0"/>
                <w:sz w:val="20"/>
                <w:szCs w:val="20"/>
                <w:lang w:val="en-GB"/>
              </w:rPr>
              <w:t>∆WTI (-2)</w:t>
            </w:r>
          </w:p>
        </w:tc>
        <w:tc>
          <w:tcPr>
            <w:tcW w:w="1411" w:type="dxa"/>
          </w:tcPr>
          <w:p w14:paraId="7FC0BCAC" w14:textId="44F3B29A" w:rsidR="00E3531C" w:rsidRPr="006F5452" w:rsidRDefault="00E3531C" w:rsidP="00E3531C">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sz w:val="20"/>
                <w:szCs w:val="20"/>
                <w:lang w:val="en-GB"/>
              </w:rPr>
              <w:t>-0.0618**</w:t>
            </w:r>
          </w:p>
        </w:tc>
        <w:tc>
          <w:tcPr>
            <w:tcW w:w="1308" w:type="dxa"/>
            <w:hideMark/>
          </w:tcPr>
          <w:p w14:paraId="20130FB1" w14:textId="77777777"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sz w:val="20"/>
                <w:szCs w:val="20"/>
                <w:lang w:val="en-GB"/>
              </w:rPr>
              <w:t>0.0893</w:t>
            </w:r>
          </w:p>
        </w:tc>
        <w:tc>
          <w:tcPr>
            <w:tcW w:w="1800" w:type="dxa"/>
          </w:tcPr>
          <w:p w14:paraId="49955826" w14:textId="2772827A" w:rsidR="00E3531C" w:rsidRPr="006F5452" w:rsidRDefault="00E3531C" w:rsidP="00E3531C">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eastAsia="Calibri" w:cs="Times New Roman"/>
                <w:iCs/>
                <w:sz w:val="20"/>
                <w:szCs w:val="20"/>
                <w:lang w:val="en-GB"/>
              </w:rPr>
              <w:t>SP500(-1)</w:t>
            </w:r>
          </w:p>
        </w:tc>
        <w:tc>
          <w:tcPr>
            <w:tcW w:w="1677" w:type="dxa"/>
          </w:tcPr>
          <w:p w14:paraId="164DC0DC" w14:textId="4989316E" w:rsidR="00E3531C" w:rsidRPr="006F5452" w:rsidRDefault="00E3531C" w:rsidP="00B81533">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0.1689*</w:t>
            </w:r>
          </w:p>
        </w:tc>
        <w:tc>
          <w:tcPr>
            <w:tcW w:w="1427" w:type="dxa"/>
          </w:tcPr>
          <w:p w14:paraId="3FEC7D4E" w14:textId="13AF9552"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sz w:val="20"/>
                <w:szCs w:val="20"/>
                <w:lang w:val="en-GB"/>
              </w:rPr>
              <w:t>0.0594</w:t>
            </w:r>
          </w:p>
        </w:tc>
      </w:tr>
      <w:tr w:rsidR="006F5452" w:rsidRPr="006F5452" w14:paraId="2A1BE765" w14:textId="77777777" w:rsidTr="00E353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249609D5" w14:textId="5651B25A" w:rsidR="00E3531C" w:rsidRPr="006F5452" w:rsidRDefault="00E3531C" w:rsidP="00E3531C">
            <w:pPr>
              <w:spacing w:line="276" w:lineRule="auto"/>
              <w:rPr>
                <w:rFonts w:eastAsia="Calibri" w:cs="Times New Roman"/>
                <w:b w:val="0"/>
                <w:bCs w:val="0"/>
                <w:sz w:val="20"/>
                <w:szCs w:val="20"/>
                <w:lang w:val="en-GB"/>
              </w:rPr>
            </w:pPr>
            <w:r w:rsidRPr="006F5452">
              <w:rPr>
                <w:rFonts w:cs="Times New Roman"/>
                <w:b w:val="0"/>
                <w:bCs w:val="0"/>
                <w:sz w:val="20"/>
                <w:szCs w:val="20"/>
                <w:lang w:val="en-GB"/>
              </w:rPr>
              <w:t>∆SP500</w:t>
            </w:r>
          </w:p>
        </w:tc>
        <w:tc>
          <w:tcPr>
            <w:tcW w:w="1411" w:type="dxa"/>
          </w:tcPr>
          <w:p w14:paraId="2B03E50E" w14:textId="17341C7C" w:rsidR="00E3531C" w:rsidRPr="006F5452" w:rsidRDefault="00E3531C" w:rsidP="00E3531C">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sz w:val="20"/>
                <w:szCs w:val="20"/>
                <w:lang w:val="en-GB"/>
              </w:rPr>
              <w:t>0.0440***</w:t>
            </w:r>
          </w:p>
        </w:tc>
        <w:tc>
          <w:tcPr>
            <w:tcW w:w="1308" w:type="dxa"/>
            <w:hideMark/>
          </w:tcPr>
          <w:p w14:paraId="4F771829" w14:textId="77777777"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sz w:val="20"/>
                <w:szCs w:val="20"/>
                <w:lang w:val="en-GB"/>
              </w:rPr>
              <w:t>0.0630</w:t>
            </w:r>
          </w:p>
        </w:tc>
        <w:tc>
          <w:tcPr>
            <w:tcW w:w="1800" w:type="dxa"/>
          </w:tcPr>
          <w:p w14:paraId="6339918A" w14:textId="148BCC2A" w:rsidR="00E3531C" w:rsidRPr="006F5452" w:rsidRDefault="00E3531C" w:rsidP="00E3531C">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677" w:type="dxa"/>
          </w:tcPr>
          <w:p w14:paraId="26E6C113" w14:textId="6AAD470E" w:rsidR="00E3531C" w:rsidRPr="006F5452" w:rsidRDefault="00E3531C" w:rsidP="00B81533">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7D89CA1E" w14:textId="73FA76D2"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6F5452" w:rsidRPr="006F5452" w14:paraId="09B49EA8" w14:textId="77777777" w:rsidTr="00704AD7">
        <w:tc>
          <w:tcPr>
            <w:cnfStyle w:val="001000000000" w:firstRow="0" w:lastRow="0" w:firstColumn="1" w:lastColumn="0" w:oddVBand="0" w:evenVBand="0" w:oddHBand="0" w:evenHBand="0" w:firstRowFirstColumn="0" w:firstRowLastColumn="0" w:lastRowFirstColumn="0" w:lastRowLastColumn="0"/>
            <w:tcW w:w="1619" w:type="dxa"/>
          </w:tcPr>
          <w:p w14:paraId="3F40CAC3" w14:textId="45358934" w:rsidR="00E3531C" w:rsidRPr="006F5452" w:rsidRDefault="00E3531C" w:rsidP="00E3531C">
            <w:pPr>
              <w:spacing w:line="276" w:lineRule="auto"/>
              <w:rPr>
                <w:rFonts w:cs="Times New Roman"/>
                <w:sz w:val="20"/>
                <w:szCs w:val="20"/>
                <w:lang w:val="en-GB"/>
              </w:rPr>
            </w:pPr>
            <w:r w:rsidRPr="006F5452">
              <w:rPr>
                <w:rFonts w:cs="Times New Roman"/>
                <w:b w:val="0"/>
                <w:bCs w:val="0"/>
                <w:sz w:val="20"/>
                <w:szCs w:val="20"/>
                <w:lang w:val="en-GB"/>
              </w:rPr>
              <w:t>∆GB (-1)</w:t>
            </w:r>
          </w:p>
        </w:tc>
        <w:tc>
          <w:tcPr>
            <w:tcW w:w="1411" w:type="dxa"/>
          </w:tcPr>
          <w:p w14:paraId="33AF7342" w14:textId="6EB4936C" w:rsidR="00E3531C" w:rsidRPr="006F5452" w:rsidRDefault="00E3531C" w:rsidP="00E3531C">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-0.1363***</w:t>
            </w:r>
          </w:p>
        </w:tc>
        <w:tc>
          <w:tcPr>
            <w:tcW w:w="1308" w:type="dxa"/>
          </w:tcPr>
          <w:p w14:paraId="6CE56B56" w14:textId="6EB23AF5"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0.0248</w:t>
            </w:r>
          </w:p>
        </w:tc>
        <w:tc>
          <w:tcPr>
            <w:tcW w:w="1800" w:type="dxa"/>
          </w:tcPr>
          <w:p w14:paraId="3853C392" w14:textId="77777777" w:rsidR="00E3531C" w:rsidRPr="006F5452" w:rsidRDefault="00E3531C" w:rsidP="00E3531C">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677" w:type="dxa"/>
          </w:tcPr>
          <w:p w14:paraId="00827F4D" w14:textId="77777777"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295A567C" w14:textId="77777777"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4BBBCEF4" w14:textId="77777777" w:rsidTr="00704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0A38BE05" w14:textId="77777777" w:rsidR="00E3531C" w:rsidRPr="006F5452" w:rsidRDefault="00E3531C" w:rsidP="00E3531C">
            <w:pPr>
              <w:spacing w:line="276" w:lineRule="auto"/>
              <w:rPr>
                <w:rFonts w:eastAsia="Calibri" w:cs="Times New Roman"/>
                <w:b w:val="0"/>
                <w:bCs w:val="0"/>
                <w:iCs/>
                <w:sz w:val="20"/>
                <w:szCs w:val="20"/>
                <w:lang w:val="en-GB"/>
              </w:rPr>
            </w:pPr>
            <w:r w:rsidRPr="006F5452">
              <w:rPr>
                <w:rFonts w:eastAsia="Calibri" w:cs="Times New Roman"/>
                <w:b w:val="0"/>
                <w:bCs w:val="0"/>
                <w:iCs/>
                <w:sz w:val="20"/>
                <w:szCs w:val="20"/>
                <w:lang w:val="en-GB"/>
              </w:rPr>
              <w:t xml:space="preserve">Constant </w:t>
            </w:r>
          </w:p>
        </w:tc>
        <w:tc>
          <w:tcPr>
            <w:tcW w:w="1411" w:type="dxa"/>
          </w:tcPr>
          <w:p w14:paraId="3DDE75D9" w14:textId="71015710" w:rsidR="00E3531C" w:rsidRPr="006F5452" w:rsidRDefault="00E3531C" w:rsidP="00E3531C">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0.1998**</w:t>
            </w:r>
          </w:p>
        </w:tc>
        <w:tc>
          <w:tcPr>
            <w:tcW w:w="1308" w:type="dxa"/>
          </w:tcPr>
          <w:p w14:paraId="1A5BC9DF" w14:textId="77777777"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1800" w:type="dxa"/>
          </w:tcPr>
          <w:p w14:paraId="57E0CFE0" w14:textId="77777777"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677" w:type="dxa"/>
          </w:tcPr>
          <w:p w14:paraId="4E5C20CA" w14:textId="7209B155"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3F62C8BD" w14:textId="710BF02C"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r>
      <w:tr w:rsidR="006F5452" w:rsidRPr="006F5452" w14:paraId="039F8D99" w14:textId="77777777" w:rsidTr="00704AD7">
        <w:tc>
          <w:tcPr>
            <w:cnfStyle w:val="001000000000" w:firstRow="0" w:lastRow="0" w:firstColumn="1" w:lastColumn="0" w:oddVBand="0" w:evenVBand="0" w:oddHBand="0" w:evenHBand="0" w:firstRowFirstColumn="0" w:firstRowLastColumn="0" w:lastRowFirstColumn="0" w:lastRowLastColumn="0"/>
            <w:tcW w:w="1619" w:type="dxa"/>
            <w:hideMark/>
          </w:tcPr>
          <w:p w14:paraId="7EFF4DBD" w14:textId="77777777" w:rsidR="00E3531C" w:rsidRPr="006F5452" w:rsidRDefault="00E3531C" w:rsidP="00E3531C">
            <w:pPr>
              <w:spacing w:line="276" w:lineRule="auto"/>
              <w:rPr>
                <w:rFonts w:eastAsiaTheme="minorEastAsia"/>
                <w:b w:val="0"/>
                <w:bCs w:val="0"/>
                <w:iCs/>
                <w:sz w:val="20"/>
                <w:szCs w:val="20"/>
                <w:lang w:val="en-GB"/>
              </w:rPr>
            </w:pPr>
            <w:r w:rsidRPr="006F5452">
              <w:rPr>
                <w:rFonts w:eastAsiaTheme="minorEastAsia"/>
                <w:b w:val="0"/>
                <w:bCs w:val="0"/>
                <w:iCs/>
                <w:sz w:val="20"/>
                <w:szCs w:val="20"/>
                <w:lang w:val="en-GB"/>
              </w:rPr>
              <w:t xml:space="preserve">Asymmetries </w:t>
            </w:r>
          </w:p>
        </w:tc>
        <w:tc>
          <w:tcPr>
            <w:tcW w:w="1411" w:type="dxa"/>
          </w:tcPr>
          <w:p w14:paraId="23564978" w14:textId="77777777"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308" w:type="dxa"/>
          </w:tcPr>
          <w:p w14:paraId="404D332C" w14:textId="77777777"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800" w:type="dxa"/>
          </w:tcPr>
          <w:p w14:paraId="4B768FA1" w14:textId="77777777"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677" w:type="dxa"/>
          </w:tcPr>
          <w:p w14:paraId="6CB0E9C3" w14:textId="6693B43E"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5A04C251" w14:textId="77777777"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03C89BEB" w14:textId="77777777" w:rsidTr="00704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1B07D6D7" w14:textId="77777777" w:rsidR="00E3531C" w:rsidRPr="006F5452" w:rsidRDefault="00E3531C" w:rsidP="00E3531C">
            <w:pPr>
              <w:spacing w:line="276" w:lineRule="auto"/>
              <w:rPr>
                <w:rFonts w:eastAsiaTheme="minorEastAsia"/>
                <w:b w:val="0"/>
                <w:bCs w:val="0"/>
                <w:iCs/>
                <w:sz w:val="20"/>
                <w:szCs w:val="20"/>
                <w:lang w:val="en-GB"/>
              </w:rPr>
            </w:pPr>
            <w:r w:rsidRPr="006F5452">
              <w:rPr>
                <w:rFonts w:eastAsiaTheme="minorEastAsia"/>
                <w:b w:val="0"/>
                <w:bCs w:val="0"/>
                <w:iCs/>
                <w:sz w:val="20"/>
                <w:szCs w:val="20"/>
                <w:lang w:val="en-GB"/>
              </w:rPr>
              <w:t>W</w:t>
            </w:r>
            <w:r w:rsidRPr="006F5452">
              <w:rPr>
                <w:rFonts w:eastAsiaTheme="minorEastAsia"/>
                <w:b w:val="0"/>
                <w:bCs w:val="0"/>
                <w:iCs/>
                <w:sz w:val="20"/>
                <w:szCs w:val="20"/>
                <w:vertAlign w:val="subscript"/>
                <w:lang w:val="en-GB"/>
              </w:rPr>
              <w:t>SR</w:t>
            </w:r>
          </w:p>
        </w:tc>
        <w:tc>
          <w:tcPr>
            <w:tcW w:w="1411" w:type="dxa"/>
            <w:hideMark/>
          </w:tcPr>
          <w:p w14:paraId="16C9A8AF" w14:textId="77777777"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2.7826</w:t>
            </w:r>
          </w:p>
        </w:tc>
        <w:tc>
          <w:tcPr>
            <w:tcW w:w="1308" w:type="dxa"/>
            <w:hideMark/>
          </w:tcPr>
          <w:p w14:paraId="51590C5A" w14:textId="77777777"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[0.0000]</w:t>
            </w:r>
          </w:p>
        </w:tc>
        <w:tc>
          <w:tcPr>
            <w:tcW w:w="1800" w:type="dxa"/>
          </w:tcPr>
          <w:p w14:paraId="6FA36649" w14:textId="77777777"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677" w:type="dxa"/>
          </w:tcPr>
          <w:p w14:paraId="603BBD2C" w14:textId="71D0235F"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6ED53113" w14:textId="387168D9"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6F5452" w:rsidRPr="006F5452" w14:paraId="46C85EC8" w14:textId="77777777" w:rsidTr="00704AD7">
        <w:tc>
          <w:tcPr>
            <w:cnfStyle w:val="001000000000" w:firstRow="0" w:lastRow="0" w:firstColumn="1" w:lastColumn="0" w:oddVBand="0" w:evenVBand="0" w:oddHBand="0" w:evenHBand="0" w:firstRowFirstColumn="0" w:firstRowLastColumn="0" w:lastRowFirstColumn="0" w:lastRowLastColumn="0"/>
            <w:tcW w:w="1619" w:type="dxa"/>
            <w:hideMark/>
          </w:tcPr>
          <w:p w14:paraId="42123D25" w14:textId="77777777" w:rsidR="00E3531C" w:rsidRPr="006F5452" w:rsidRDefault="00E3531C" w:rsidP="00E3531C">
            <w:pPr>
              <w:spacing w:line="276" w:lineRule="auto"/>
              <w:rPr>
                <w:rFonts w:eastAsiaTheme="minorEastAsia"/>
                <w:b w:val="0"/>
                <w:bCs w:val="0"/>
                <w:iCs/>
                <w:sz w:val="20"/>
                <w:szCs w:val="20"/>
                <w:lang w:val="en-GB"/>
              </w:rPr>
            </w:pPr>
            <w:r w:rsidRPr="006F5452">
              <w:rPr>
                <w:rFonts w:eastAsiaTheme="minorEastAsia"/>
                <w:b w:val="0"/>
                <w:bCs w:val="0"/>
                <w:iCs/>
                <w:sz w:val="20"/>
                <w:szCs w:val="20"/>
                <w:lang w:val="en-GB"/>
              </w:rPr>
              <w:t>W</w:t>
            </w:r>
            <w:r w:rsidRPr="006F5452">
              <w:rPr>
                <w:rFonts w:eastAsiaTheme="minorEastAsia"/>
                <w:b w:val="0"/>
                <w:bCs w:val="0"/>
                <w:iCs/>
                <w:sz w:val="20"/>
                <w:szCs w:val="20"/>
                <w:vertAlign w:val="subscript"/>
                <w:lang w:val="en-GB"/>
              </w:rPr>
              <w:t>LR</w:t>
            </w:r>
          </w:p>
        </w:tc>
        <w:tc>
          <w:tcPr>
            <w:tcW w:w="1411" w:type="dxa"/>
            <w:hideMark/>
          </w:tcPr>
          <w:p w14:paraId="50C085D0" w14:textId="77777777"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1.9059</w:t>
            </w:r>
          </w:p>
        </w:tc>
        <w:tc>
          <w:tcPr>
            <w:tcW w:w="1308" w:type="dxa"/>
            <w:hideMark/>
          </w:tcPr>
          <w:p w14:paraId="04DA6072" w14:textId="77777777"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[0.0187]</w:t>
            </w:r>
          </w:p>
        </w:tc>
        <w:tc>
          <w:tcPr>
            <w:tcW w:w="1800" w:type="dxa"/>
          </w:tcPr>
          <w:p w14:paraId="6208A87D" w14:textId="77777777"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677" w:type="dxa"/>
          </w:tcPr>
          <w:p w14:paraId="48B2ADC3" w14:textId="2109B2E2"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09C0DC19" w14:textId="58E9EBD8"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1D3790A1" w14:textId="77777777" w:rsidTr="00704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8" w:type="dxa"/>
            <w:gridSpan w:val="3"/>
            <w:hideMark/>
          </w:tcPr>
          <w:p w14:paraId="0FE9053D" w14:textId="77777777" w:rsidR="00E3531C" w:rsidRPr="006F5452" w:rsidRDefault="00E3531C" w:rsidP="00E3531C">
            <w:pPr>
              <w:spacing w:line="276" w:lineRule="auto"/>
              <w:rPr>
                <w:rFonts w:cs="Times New Roman"/>
                <w:b w:val="0"/>
                <w:bCs w:val="0"/>
                <w:sz w:val="20"/>
                <w:szCs w:val="20"/>
                <w:lang w:val="en-GB"/>
              </w:rPr>
            </w:pPr>
            <w:r w:rsidRPr="006F5452">
              <w:rPr>
                <w:rFonts w:eastAsia="Calibri" w:cs="Times New Roman"/>
                <w:b w:val="0"/>
                <w:bCs w:val="0"/>
                <w:iCs/>
                <w:sz w:val="20"/>
                <w:szCs w:val="20"/>
                <w:lang w:val="en-GB"/>
              </w:rPr>
              <w:t>Diagnostics tests</w:t>
            </w:r>
          </w:p>
        </w:tc>
        <w:tc>
          <w:tcPr>
            <w:tcW w:w="1800" w:type="dxa"/>
          </w:tcPr>
          <w:p w14:paraId="5EA62233" w14:textId="77777777"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677" w:type="dxa"/>
          </w:tcPr>
          <w:p w14:paraId="797A9BD2" w14:textId="0134B8E7"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6FB8BD00" w14:textId="77777777"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6F5452" w:rsidRPr="006F5452" w14:paraId="342F3EB7" w14:textId="77777777" w:rsidTr="00704AD7">
        <w:tc>
          <w:tcPr>
            <w:cnfStyle w:val="001000000000" w:firstRow="0" w:lastRow="0" w:firstColumn="1" w:lastColumn="0" w:oddVBand="0" w:evenVBand="0" w:oddHBand="0" w:evenHBand="0" w:firstRowFirstColumn="0" w:firstRowLastColumn="0" w:lastRowFirstColumn="0" w:lastRowLastColumn="0"/>
            <w:tcW w:w="1619" w:type="dxa"/>
            <w:hideMark/>
          </w:tcPr>
          <w:p w14:paraId="77B42C0E" w14:textId="77777777" w:rsidR="00E3531C" w:rsidRPr="006F5452" w:rsidRDefault="00E3531C" w:rsidP="00E3531C">
            <w:pPr>
              <w:spacing w:line="276" w:lineRule="auto"/>
              <w:rPr>
                <w:rFonts w:eastAsia="Calibri" w:cs="Times New Roman"/>
                <w:b w:val="0"/>
                <w:bCs w:val="0"/>
                <w:iCs/>
                <w:sz w:val="20"/>
                <w:szCs w:val="20"/>
                <w:lang w:val="en-GB"/>
              </w:rPr>
            </w:pPr>
            <w:r w:rsidRPr="006F5452">
              <w:rPr>
                <w:rFonts w:eastAsia="Calibri" w:cs="Times New Roman"/>
                <w:b w:val="0"/>
                <w:bCs w:val="0"/>
                <w:iCs/>
                <w:sz w:val="20"/>
                <w:szCs w:val="20"/>
                <w:lang w:val="en-GB"/>
              </w:rPr>
              <w:t>R</w:t>
            </w:r>
            <w:r w:rsidRPr="006F5452">
              <w:rPr>
                <w:rFonts w:eastAsia="Calibri" w:cs="Times New Roman"/>
                <w:b w:val="0"/>
                <w:bCs w:val="0"/>
                <w:iCs/>
                <w:sz w:val="20"/>
                <w:szCs w:val="20"/>
                <w:vertAlign w:val="superscript"/>
                <w:lang w:val="en-GB"/>
              </w:rPr>
              <w:t>2</w:t>
            </w:r>
          </w:p>
        </w:tc>
        <w:tc>
          <w:tcPr>
            <w:tcW w:w="1411" w:type="dxa"/>
            <w:hideMark/>
          </w:tcPr>
          <w:p w14:paraId="560AFE6F" w14:textId="7D071A02"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0.6860</w:t>
            </w:r>
          </w:p>
        </w:tc>
        <w:tc>
          <w:tcPr>
            <w:tcW w:w="1308" w:type="dxa"/>
          </w:tcPr>
          <w:p w14:paraId="7ECFD125" w14:textId="77777777"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800" w:type="dxa"/>
          </w:tcPr>
          <w:p w14:paraId="53CDF422" w14:textId="77777777"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677" w:type="dxa"/>
            <w:hideMark/>
          </w:tcPr>
          <w:p w14:paraId="05977D12" w14:textId="6361EFD5"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1FA5BC23" w14:textId="77777777"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5FFE2C1C" w14:textId="77777777" w:rsidTr="00704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1385CE92" w14:textId="77777777" w:rsidR="00E3531C" w:rsidRPr="006F5452" w:rsidRDefault="00E3531C" w:rsidP="00E3531C">
            <w:pPr>
              <w:spacing w:line="276" w:lineRule="auto"/>
              <w:rPr>
                <w:rFonts w:eastAsia="Calibri" w:cs="Times New Roman"/>
                <w:b w:val="0"/>
                <w:bCs w:val="0"/>
                <w:sz w:val="20"/>
                <w:szCs w:val="20"/>
                <w:lang w:val="en-GB"/>
              </w:rPr>
            </w:pPr>
            <w:r w:rsidRPr="006F5452">
              <w:rPr>
                <w:rFonts w:eastAsia="Calibri" w:cs="Times New Roman"/>
                <w:b w:val="0"/>
                <w:bCs w:val="0"/>
                <w:sz w:val="20"/>
                <w:szCs w:val="20"/>
                <w:lang w:val="en-GB"/>
              </w:rPr>
              <w:t>ECM (-1)</w:t>
            </w:r>
          </w:p>
        </w:tc>
        <w:tc>
          <w:tcPr>
            <w:tcW w:w="1411" w:type="dxa"/>
            <w:hideMark/>
          </w:tcPr>
          <w:p w14:paraId="0F527396" w14:textId="15428C30" w:rsidR="00E3531C" w:rsidRPr="006F5452" w:rsidRDefault="00E3531C" w:rsidP="00E3531C">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vertAlign w:val="superscript"/>
                <w:lang w:val="en-GB"/>
              </w:rPr>
              <w:t xml:space="preserve"> </w:t>
            </w:r>
            <w:r w:rsidRPr="006F5452">
              <w:rPr>
                <w:rFonts w:cs="Times New Roman"/>
                <w:sz w:val="20"/>
                <w:szCs w:val="20"/>
                <w:lang w:val="en-GB"/>
              </w:rPr>
              <w:t>-0.9310***</w:t>
            </w:r>
          </w:p>
        </w:tc>
        <w:tc>
          <w:tcPr>
            <w:tcW w:w="1308" w:type="dxa"/>
            <w:hideMark/>
          </w:tcPr>
          <w:p w14:paraId="6928EBF9" w14:textId="521198C9"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0.0000</w:t>
            </w:r>
          </w:p>
        </w:tc>
        <w:tc>
          <w:tcPr>
            <w:tcW w:w="1800" w:type="dxa"/>
          </w:tcPr>
          <w:p w14:paraId="03884302" w14:textId="77777777"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677" w:type="dxa"/>
          </w:tcPr>
          <w:p w14:paraId="61F1AF48" w14:textId="216CB49C"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0FDE58B7" w14:textId="471C3D69"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6F5452" w:rsidRPr="006F5452" w14:paraId="023158B9" w14:textId="77777777" w:rsidTr="00704AD7">
        <w:tc>
          <w:tcPr>
            <w:cnfStyle w:val="001000000000" w:firstRow="0" w:lastRow="0" w:firstColumn="1" w:lastColumn="0" w:oddVBand="0" w:evenVBand="0" w:oddHBand="0" w:evenHBand="0" w:firstRowFirstColumn="0" w:firstRowLastColumn="0" w:lastRowFirstColumn="0" w:lastRowLastColumn="0"/>
            <w:tcW w:w="1619" w:type="dxa"/>
            <w:hideMark/>
          </w:tcPr>
          <w:p w14:paraId="34EF20E3" w14:textId="77777777" w:rsidR="00E3531C" w:rsidRPr="006F5452" w:rsidRDefault="00E3531C" w:rsidP="00E3531C">
            <w:pPr>
              <w:spacing w:line="276" w:lineRule="auto"/>
              <w:rPr>
                <w:rFonts w:cs="Times New Roman"/>
                <w:b w:val="0"/>
                <w:bCs w:val="0"/>
                <w:iCs/>
                <w:sz w:val="20"/>
                <w:szCs w:val="20"/>
                <w:lang w:val="en-GB"/>
              </w:rPr>
            </w:pPr>
            <w:r w:rsidRPr="006F5452">
              <w:rPr>
                <w:rFonts w:cs="Times New Roman"/>
                <w:b w:val="0"/>
                <w:bCs w:val="0"/>
                <w:iCs/>
                <w:sz w:val="20"/>
                <w:szCs w:val="20"/>
                <w:lang w:val="en-GB"/>
              </w:rPr>
              <w:t>χ</w:t>
            </w:r>
            <w:r w:rsidRPr="006F5452">
              <w:rPr>
                <w:rFonts w:cs="Times New Roman"/>
                <w:b w:val="0"/>
                <w:bCs w:val="0"/>
                <w:iCs/>
                <w:sz w:val="20"/>
                <w:szCs w:val="20"/>
                <w:vertAlign w:val="superscript"/>
                <w:lang w:val="en-GB"/>
              </w:rPr>
              <w:t>2</w:t>
            </w:r>
            <w:r w:rsidRPr="006F5452">
              <w:rPr>
                <w:rFonts w:cs="Times New Roman"/>
                <w:b w:val="0"/>
                <w:bCs w:val="0"/>
                <w:iCs/>
                <w:sz w:val="20"/>
                <w:szCs w:val="20"/>
                <w:vertAlign w:val="subscript"/>
                <w:lang w:val="en-GB"/>
              </w:rPr>
              <w:t>HETR</w:t>
            </w:r>
          </w:p>
        </w:tc>
        <w:tc>
          <w:tcPr>
            <w:tcW w:w="1411" w:type="dxa"/>
            <w:hideMark/>
          </w:tcPr>
          <w:p w14:paraId="54CD81D3" w14:textId="77777777"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1.1986</w:t>
            </w:r>
          </w:p>
        </w:tc>
        <w:tc>
          <w:tcPr>
            <w:tcW w:w="1308" w:type="dxa"/>
            <w:hideMark/>
          </w:tcPr>
          <w:p w14:paraId="6AFA61ED" w14:textId="77777777"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[0.1087]</w:t>
            </w:r>
          </w:p>
        </w:tc>
        <w:tc>
          <w:tcPr>
            <w:tcW w:w="1800" w:type="dxa"/>
          </w:tcPr>
          <w:p w14:paraId="3780CBBD" w14:textId="77777777"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677" w:type="dxa"/>
          </w:tcPr>
          <w:p w14:paraId="228BBEFB" w14:textId="48C2CD6D"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662A5CA7" w14:textId="3F3AAB1A"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1B11A85F" w14:textId="77777777" w:rsidTr="00704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3A2573D2" w14:textId="77777777" w:rsidR="00E3531C" w:rsidRPr="006F5452" w:rsidRDefault="00E3531C" w:rsidP="00E3531C">
            <w:pPr>
              <w:spacing w:line="276" w:lineRule="auto"/>
              <w:rPr>
                <w:rFonts w:cs="Times New Roman"/>
                <w:b w:val="0"/>
                <w:bCs w:val="0"/>
                <w:iCs/>
                <w:sz w:val="20"/>
                <w:szCs w:val="20"/>
                <w:lang w:val="en-GB"/>
              </w:rPr>
            </w:pPr>
            <w:r w:rsidRPr="006F5452">
              <w:rPr>
                <w:rFonts w:cs="Times New Roman"/>
                <w:b w:val="0"/>
                <w:bCs w:val="0"/>
                <w:iCs/>
                <w:sz w:val="20"/>
                <w:szCs w:val="20"/>
                <w:lang w:val="en-GB"/>
              </w:rPr>
              <w:t>χ</w:t>
            </w:r>
            <w:r w:rsidRPr="006F5452">
              <w:rPr>
                <w:rFonts w:cs="Times New Roman"/>
                <w:b w:val="0"/>
                <w:bCs w:val="0"/>
                <w:iCs/>
                <w:sz w:val="20"/>
                <w:szCs w:val="20"/>
                <w:vertAlign w:val="superscript"/>
                <w:lang w:val="en-GB"/>
              </w:rPr>
              <w:t>2</w:t>
            </w:r>
            <w:r w:rsidRPr="006F5452">
              <w:rPr>
                <w:rFonts w:cs="Times New Roman"/>
                <w:b w:val="0"/>
                <w:bCs w:val="0"/>
                <w:iCs/>
                <w:sz w:val="20"/>
                <w:szCs w:val="20"/>
                <w:vertAlign w:val="subscript"/>
                <w:lang w:val="en-GB"/>
              </w:rPr>
              <w:t>SC</w:t>
            </w:r>
          </w:p>
        </w:tc>
        <w:tc>
          <w:tcPr>
            <w:tcW w:w="1411" w:type="dxa"/>
            <w:hideMark/>
          </w:tcPr>
          <w:p w14:paraId="49D90520" w14:textId="4B0F4647"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0.0146</w:t>
            </w:r>
          </w:p>
        </w:tc>
        <w:tc>
          <w:tcPr>
            <w:tcW w:w="1308" w:type="dxa"/>
            <w:hideMark/>
          </w:tcPr>
          <w:p w14:paraId="25A67232" w14:textId="5511D0C9"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[0.9030]</w:t>
            </w:r>
          </w:p>
        </w:tc>
        <w:tc>
          <w:tcPr>
            <w:tcW w:w="1800" w:type="dxa"/>
          </w:tcPr>
          <w:p w14:paraId="3325AFFC" w14:textId="77777777"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677" w:type="dxa"/>
          </w:tcPr>
          <w:p w14:paraId="7D77AC45" w14:textId="16262AA0"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7318D789" w14:textId="51BE8CA3"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6F5452" w:rsidRPr="006F5452" w14:paraId="228F9097" w14:textId="77777777" w:rsidTr="00704AD7">
        <w:tc>
          <w:tcPr>
            <w:cnfStyle w:val="001000000000" w:firstRow="0" w:lastRow="0" w:firstColumn="1" w:lastColumn="0" w:oddVBand="0" w:evenVBand="0" w:oddHBand="0" w:evenHBand="0" w:firstRowFirstColumn="0" w:firstRowLastColumn="0" w:lastRowFirstColumn="0" w:lastRowLastColumn="0"/>
            <w:tcW w:w="1619" w:type="dxa"/>
            <w:hideMark/>
          </w:tcPr>
          <w:p w14:paraId="0F74F2E5" w14:textId="77777777" w:rsidR="00E3531C" w:rsidRPr="006F5452" w:rsidRDefault="00E3531C" w:rsidP="00E3531C">
            <w:pPr>
              <w:spacing w:line="276" w:lineRule="auto"/>
              <w:rPr>
                <w:rFonts w:cs="Times New Roman"/>
                <w:iCs/>
                <w:sz w:val="20"/>
                <w:szCs w:val="20"/>
                <w:lang w:val="en-GB"/>
              </w:rPr>
            </w:pPr>
            <w:r w:rsidRPr="006F5452">
              <w:rPr>
                <w:rFonts w:cs="Times New Roman"/>
                <w:b w:val="0"/>
                <w:bCs w:val="0"/>
                <w:iCs/>
                <w:sz w:val="20"/>
                <w:szCs w:val="20"/>
                <w:lang w:val="en-GB"/>
              </w:rPr>
              <w:t>χ</w:t>
            </w:r>
            <w:r w:rsidRPr="006F5452">
              <w:rPr>
                <w:rFonts w:cs="Times New Roman"/>
                <w:b w:val="0"/>
                <w:bCs w:val="0"/>
                <w:iCs/>
                <w:sz w:val="20"/>
                <w:szCs w:val="20"/>
                <w:vertAlign w:val="superscript"/>
                <w:lang w:val="en-GB"/>
              </w:rPr>
              <w:t>2</w:t>
            </w:r>
            <w:r w:rsidRPr="006F5452">
              <w:rPr>
                <w:rFonts w:cs="Times New Roman"/>
                <w:b w:val="0"/>
                <w:bCs w:val="0"/>
                <w:iCs/>
                <w:sz w:val="20"/>
                <w:szCs w:val="20"/>
                <w:vertAlign w:val="subscript"/>
                <w:lang w:val="en-GB"/>
              </w:rPr>
              <w:t>NOR</w:t>
            </w:r>
          </w:p>
        </w:tc>
        <w:tc>
          <w:tcPr>
            <w:tcW w:w="1411" w:type="dxa"/>
            <w:hideMark/>
          </w:tcPr>
          <w:p w14:paraId="1496FF61" w14:textId="186867C0"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2.3385</w:t>
            </w:r>
          </w:p>
        </w:tc>
        <w:tc>
          <w:tcPr>
            <w:tcW w:w="1308" w:type="dxa"/>
            <w:hideMark/>
          </w:tcPr>
          <w:p w14:paraId="7FCFEAF3" w14:textId="1A9D9715"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[0.3105]</w:t>
            </w:r>
          </w:p>
        </w:tc>
        <w:tc>
          <w:tcPr>
            <w:tcW w:w="1800" w:type="dxa"/>
          </w:tcPr>
          <w:p w14:paraId="0B511ABE" w14:textId="77777777"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677" w:type="dxa"/>
          </w:tcPr>
          <w:p w14:paraId="66756DC0" w14:textId="2E84E7CB"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42005A28" w14:textId="744FA549" w:rsidR="00E3531C" w:rsidRPr="006F5452" w:rsidRDefault="00E3531C" w:rsidP="00E3531C">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2B5A0858" w14:textId="77777777" w:rsidTr="00704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78AAC572" w14:textId="77777777" w:rsidR="00E3531C" w:rsidRPr="006F5452" w:rsidRDefault="00E3531C" w:rsidP="00E3531C">
            <w:pPr>
              <w:spacing w:line="276" w:lineRule="auto"/>
              <w:rPr>
                <w:rFonts w:cs="Times New Roman"/>
                <w:b w:val="0"/>
                <w:bCs w:val="0"/>
                <w:iCs/>
                <w:sz w:val="20"/>
                <w:szCs w:val="20"/>
                <w:lang w:val="en-GB"/>
              </w:rPr>
            </w:pPr>
            <w:r w:rsidRPr="006F5452">
              <w:rPr>
                <w:rFonts w:cs="Times New Roman"/>
                <w:b w:val="0"/>
                <w:bCs w:val="0"/>
                <w:iCs/>
                <w:sz w:val="20"/>
                <w:szCs w:val="20"/>
                <w:lang w:val="en-GB"/>
              </w:rPr>
              <w:t>Ramsey</w:t>
            </w:r>
          </w:p>
        </w:tc>
        <w:tc>
          <w:tcPr>
            <w:tcW w:w="1411" w:type="dxa"/>
            <w:hideMark/>
          </w:tcPr>
          <w:p w14:paraId="4A65A963" w14:textId="13131085"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3.5698</w:t>
            </w:r>
          </w:p>
        </w:tc>
        <w:tc>
          <w:tcPr>
            <w:tcW w:w="1308" w:type="dxa"/>
            <w:hideMark/>
          </w:tcPr>
          <w:p w14:paraId="39202849" w14:textId="0B5F5C89"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w:t>
            </w:r>
            <w:r w:rsidR="00EE21FD" w:rsidRPr="006F5452">
              <w:rPr>
                <w:rFonts w:cs="Times New Roman"/>
                <w:sz w:val="20"/>
                <w:szCs w:val="20"/>
                <w:lang w:val="en-GB"/>
              </w:rPr>
              <w:t>0</w:t>
            </w:r>
            <w:r w:rsidRPr="006F5452">
              <w:rPr>
                <w:rFonts w:cs="Times New Roman"/>
                <w:sz w:val="20"/>
                <w:szCs w:val="20"/>
                <w:lang w:val="en-GB"/>
              </w:rPr>
              <w:t>616]</w:t>
            </w:r>
          </w:p>
        </w:tc>
        <w:tc>
          <w:tcPr>
            <w:tcW w:w="1800" w:type="dxa"/>
          </w:tcPr>
          <w:p w14:paraId="41BE00AB" w14:textId="77777777"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677" w:type="dxa"/>
          </w:tcPr>
          <w:p w14:paraId="21B652E3" w14:textId="611DDD45"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6A968430" w14:textId="3BBD1D67" w:rsidR="00E3531C" w:rsidRPr="006F5452" w:rsidRDefault="00E3531C" w:rsidP="00E3531C">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bl>
    <w:p w14:paraId="7BAEC56A" w14:textId="71D838E1" w:rsidR="000C6F3B" w:rsidRPr="006F5452" w:rsidRDefault="000C6F3B" w:rsidP="00BB668D">
      <w:pPr>
        <w:autoSpaceDE w:val="0"/>
        <w:autoSpaceDN w:val="0"/>
        <w:adjustRightInd w:val="0"/>
        <w:spacing w:line="240" w:lineRule="auto"/>
        <w:jc w:val="both"/>
        <w:rPr>
          <w:lang w:val="en-GB"/>
        </w:rPr>
      </w:pPr>
      <w:r w:rsidRPr="006F5452">
        <w:rPr>
          <w:rFonts w:cs="Times New Roman"/>
          <w:sz w:val="20"/>
          <w:szCs w:val="20"/>
          <w:lang w:val="en-GB"/>
        </w:rPr>
        <w:t>Notes: “+” and “-” are positive and negative cumulative sums. Superscripts “a”, “b”, and “c” specify the 1%, 5%, and 10% significance levels, respectively. χ2</w:t>
      </w:r>
      <w:r w:rsidRPr="006F5452">
        <w:rPr>
          <w:rFonts w:cs="Times New Roman"/>
          <w:sz w:val="20"/>
          <w:szCs w:val="20"/>
          <w:vertAlign w:val="subscript"/>
          <w:lang w:val="en-GB"/>
        </w:rPr>
        <w:t>HETR</w:t>
      </w:r>
      <w:r w:rsidRPr="006F5452">
        <w:rPr>
          <w:rFonts w:cs="Times New Roman"/>
          <w:sz w:val="20"/>
          <w:szCs w:val="20"/>
          <w:lang w:val="en-GB"/>
        </w:rPr>
        <w:t>, χ2</w:t>
      </w:r>
      <w:r w:rsidRPr="006F5452">
        <w:rPr>
          <w:rFonts w:cs="Times New Roman"/>
          <w:sz w:val="20"/>
          <w:szCs w:val="20"/>
          <w:vertAlign w:val="subscript"/>
          <w:lang w:val="en-GB"/>
        </w:rPr>
        <w:t>SC</w:t>
      </w:r>
      <w:r w:rsidRPr="006F5452">
        <w:rPr>
          <w:rFonts w:cs="Times New Roman"/>
          <w:sz w:val="20"/>
          <w:szCs w:val="20"/>
          <w:lang w:val="en-GB"/>
        </w:rPr>
        <w:t>, χ2</w:t>
      </w:r>
      <w:r w:rsidRPr="006F5452">
        <w:rPr>
          <w:rFonts w:cs="Times New Roman"/>
          <w:sz w:val="20"/>
          <w:szCs w:val="20"/>
          <w:vertAlign w:val="subscript"/>
          <w:lang w:val="en-GB"/>
        </w:rPr>
        <w:t>NOR</w:t>
      </w:r>
      <w:r w:rsidR="00FC34DC" w:rsidRPr="006F5452">
        <w:rPr>
          <w:rFonts w:cs="Times New Roman"/>
          <w:sz w:val="20"/>
          <w:szCs w:val="20"/>
          <w:vertAlign w:val="subscript"/>
          <w:lang w:val="en-GB"/>
        </w:rPr>
        <w:t>,</w:t>
      </w:r>
      <w:r w:rsidRPr="006F5452">
        <w:rPr>
          <w:rFonts w:cs="Times New Roman"/>
          <w:sz w:val="20"/>
          <w:szCs w:val="20"/>
          <w:lang w:val="en-GB"/>
        </w:rPr>
        <w:t xml:space="preserve"> and Ramsey are heteroskedasticity, LM tests for serial correlation, normality, and Ramsey RESET tests, respectively. W</w:t>
      </w:r>
      <w:r w:rsidRPr="006F5452">
        <w:rPr>
          <w:rFonts w:cs="Times New Roman"/>
          <w:sz w:val="20"/>
          <w:szCs w:val="20"/>
          <w:vertAlign w:val="subscript"/>
          <w:lang w:val="en-GB"/>
        </w:rPr>
        <w:t>SR</w:t>
      </w:r>
      <w:r w:rsidRPr="006F5452">
        <w:rPr>
          <w:rFonts w:cs="Times New Roman"/>
          <w:sz w:val="20"/>
          <w:szCs w:val="20"/>
          <w:lang w:val="en-GB"/>
        </w:rPr>
        <w:t xml:space="preserve"> and W</w:t>
      </w:r>
      <w:r w:rsidRPr="006F5452">
        <w:rPr>
          <w:rFonts w:cs="Times New Roman"/>
          <w:sz w:val="20"/>
          <w:szCs w:val="20"/>
          <w:vertAlign w:val="subscript"/>
          <w:lang w:val="en-GB"/>
        </w:rPr>
        <w:t xml:space="preserve">LR </w:t>
      </w:r>
      <w:r w:rsidRPr="006F5452">
        <w:rPr>
          <w:rFonts w:cs="Times New Roman"/>
          <w:sz w:val="20"/>
          <w:szCs w:val="20"/>
          <w:lang w:val="en-GB"/>
        </w:rPr>
        <w:t xml:space="preserve">relate to the short- and long-run Wald tests. </w:t>
      </w:r>
      <w:r w:rsidR="003D6AA9" w:rsidRPr="006F5452">
        <w:rPr>
          <w:rFonts w:cs="Times New Roman"/>
          <w:sz w:val="20"/>
          <w:szCs w:val="20"/>
          <w:lang w:val="en-GB"/>
        </w:rPr>
        <w:t>P-v</w:t>
      </w:r>
      <w:r w:rsidRPr="006F5452">
        <w:rPr>
          <w:rFonts w:cs="Times New Roman"/>
          <w:sz w:val="20"/>
          <w:szCs w:val="20"/>
          <w:lang w:val="en-GB"/>
        </w:rPr>
        <w:t xml:space="preserve">alues </w:t>
      </w:r>
      <w:r w:rsidR="003D6AA9" w:rsidRPr="006F5452">
        <w:rPr>
          <w:rFonts w:cs="Times New Roman"/>
          <w:sz w:val="20"/>
          <w:szCs w:val="20"/>
          <w:lang w:val="en-GB"/>
        </w:rPr>
        <w:t xml:space="preserve">are indicated </w:t>
      </w:r>
      <w:r w:rsidRPr="006F5452">
        <w:rPr>
          <w:rFonts w:cs="Times New Roman"/>
          <w:sz w:val="20"/>
          <w:szCs w:val="20"/>
          <w:lang w:val="en-GB"/>
        </w:rPr>
        <w:t>in parenthes</w:t>
      </w:r>
      <w:r w:rsidR="00FC34DC" w:rsidRPr="006F5452">
        <w:rPr>
          <w:rFonts w:cs="Times New Roman"/>
          <w:sz w:val="20"/>
          <w:szCs w:val="20"/>
          <w:lang w:val="en-GB"/>
        </w:rPr>
        <w:t>e</w:t>
      </w:r>
      <w:r w:rsidRPr="006F5452">
        <w:rPr>
          <w:rFonts w:cs="Times New Roman"/>
          <w:sz w:val="20"/>
          <w:szCs w:val="20"/>
          <w:lang w:val="en-GB"/>
        </w:rPr>
        <w:t xml:space="preserve">s. </w:t>
      </w:r>
    </w:p>
    <w:p w14:paraId="07971B17" w14:textId="4AF6F56E" w:rsidR="007778C0" w:rsidRPr="006F5452" w:rsidRDefault="007778C0" w:rsidP="00D11D0C">
      <w:pPr>
        <w:rPr>
          <w:lang w:val="en-GB"/>
        </w:rPr>
      </w:pPr>
    </w:p>
    <w:p w14:paraId="23921D60" w14:textId="18683FDC" w:rsidR="00FA07FD" w:rsidRPr="006F5452" w:rsidRDefault="00FA07FD" w:rsidP="00FA07FD">
      <w:pPr>
        <w:pStyle w:val="Heading2"/>
      </w:pPr>
      <w:proofErr w:type="gramStart"/>
      <w:r w:rsidRPr="006F5452">
        <w:t>5.2  Asymmetric</w:t>
      </w:r>
      <w:proofErr w:type="gramEnd"/>
      <w:r w:rsidRPr="006F5452">
        <w:t xml:space="preserve"> effects of geopolitical threats on green bond returns</w:t>
      </w:r>
    </w:p>
    <w:p w14:paraId="4C59D59F" w14:textId="171EC673" w:rsidR="00FA07FD" w:rsidRPr="006F5452" w:rsidRDefault="002A3F6E" w:rsidP="00BA5948">
      <w:pPr>
        <w:ind w:firstLine="720"/>
        <w:jc w:val="both"/>
      </w:pPr>
      <w:r w:rsidRPr="006F5452">
        <w:t xml:space="preserve">Table </w:t>
      </w:r>
      <w:r w:rsidR="00FA07FD" w:rsidRPr="006F5452">
        <w:t>6</w:t>
      </w:r>
      <w:r w:rsidRPr="006F5452">
        <w:t xml:space="preserve"> illustrates the asymmetric effects of geopolitical threats on green bond returns. We find that geopolitical threats (GPRT) have a positive</w:t>
      </w:r>
      <w:r w:rsidR="00FA07FD" w:rsidRPr="006F5452">
        <w:t xml:space="preserve"> </w:t>
      </w:r>
      <w:r w:rsidRPr="006F5452">
        <w:t xml:space="preserve">influence on green bond returns. For example, a 1% increase in GPRT will </w:t>
      </w:r>
      <w:r w:rsidR="00FA07FD" w:rsidRPr="006F5452">
        <w:t xml:space="preserve">increase </w:t>
      </w:r>
      <w:r w:rsidRPr="006F5452">
        <w:t>green bond returns by 0.20%</w:t>
      </w:r>
      <w:r w:rsidR="002C32B0">
        <w:t>,</w:t>
      </w:r>
      <w:r w:rsidRPr="006F5452">
        <w:t xml:space="preserve"> whereas a 1% decrease in GPRT will </w:t>
      </w:r>
      <w:r w:rsidR="00FA07FD" w:rsidRPr="006F5452">
        <w:t>de</w:t>
      </w:r>
      <w:r w:rsidRPr="006F5452">
        <w:t xml:space="preserve">crease green bond returns by 0.11%. </w:t>
      </w:r>
      <w:r w:rsidR="00FA07FD" w:rsidRPr="006F5452">
        <w:t>This finding provides important insights into investors’ asymmetric responses to green bond returns, given an increase and decrease in geopolitical threats. Additionally, a</w:t>
      </w:r>
      <w:r w:rsidRPr="006F5452">
        <w:t xml:space="preserve"> negative effect of USEPU can be observed on the returns of green bonds (-0.16%). Likewise, GPRA has a negative impact on green bond returns. As a result of the WTI and lagged returns of the green bond (</w:t>
      </w:r>
      <w:proofErr w:type="gramStart"/>
      <w:r w:rsidRPr="006F5452">
        <w:t>GB(</w:t>
      </w:r>
      <w:proofErr w:type="gramEnd"/>
      <w:r w:rsidRPr="006F5452">
        <w:t>-1)), green bond returns are positively affected, whereas the SP500 has a positive impact on green bond returns as well.</w:t>
      </w:r>
    </w:p>
    <w:p w14:paraId="1969960F" w14:textId="77777777" w:rsidR="00FA07FD" w:rsidRPr="006F5452" w:rsidRDefault="00FA07FD" w:rsidP="00FA07FD">
      <w:pPr>
        <w:ind w:firstLine="720"/>
      </w:pPr>
    </w:p>
    <w:p w14:paraId="651842F6" w14:textId="019CA97C" w:rsidR="007778C0" w:rsidRPr="006F5452" w:rsidRDefault="00FA07FD" w:rsidP="00BA5948">
      <w:pPr>
        <w:ind w:firstLine="720"/>
        <w:jc w:val="both"/>
      </w:pPr>
      <w:r w:rsidRPr="006F5452">
        <w:t xml:space="preserve">The long-term asymmetric effects are significant, suggesting a 1% increase in GPRT is associated with a 0.33% </w:t>
      </w:r>
      <w:r w:rsidR="00D858FA" w:rsidRPr="006F5452">
        <w:t xml:space="preserve">decrease </w:t>
      </w:r>
      <w:r w:rsidRPr="006F5452">
        <w:t xml:space="preserve">in green bond returns, while a 1% decrease in GPRT </w:t>
      </w:r>
      <w:r w:rsidR="00D858FA" w:rsidRPr="006F5452">
        <w:t>increases</w:t>
      </w:r>
      <w:r w:rsidRPr="006F5452">
        <w:t xml:space="preserve"> green bond returns by 0.</w:t>
      </w:r>
      <w:r w:rsidR="00D858FA" w:rsidRPr="006F5452">
        <w:t>26</w:t>
      </w:r>
      <w:r w:rsidRPr="006F5452">
        <w:t>%, supporting the findings of (Lee et al., 2022) who claim that geopolitical threats positively influence green bond returns in China. The reasons may be that when geopolitical threats are exchanged between oil, gas, or other energy-</w:t>
      </w:r>
      <w:r w:rsidR="00E20118" w:rsidRPr="006F5452">
        <w:t>rich</w:t>
      </w:r>
      <w:r w:rsidRPr="006F5452">
        <w:t xml:space="preserve"> countries, the effects shortly occur in energy and financial markets, where investors often shift to green investments that may benefit from geopolitical risk exposure. However, the spillover effects (volatility) from traditional financial assets due to geopolitical threats may adversely affect </w:t>
      </w:r>
      <w:r w:rsidRPr="006F5452">
        <w:lastRenderedPageBreak/>
        <w:t>green bond returns (Naeem</w:t>
      </w:r>
      <w:r w:rsidR="00BA5948" w:rsidRPr="006F5452">
        <w:t xml:space="preserve"> et al., </w:t>
      </w:r>
      <w:r w:rsidRPr="006F5452">
        <w:t>2022) in the long run. The results indicate that USEPU has adverse effects on green bond returns, i.e., a 1% change in USEPU decreases green bond returns by 0.18%. GPRA negatively affects green bond returns, too (0.23%). WTI and SP500 have a positive long-term effect on green bond returns.</w:t>
      </w:r>
      <w:r w:rsidR="001640A2" w:rsidRPr="006F5452">
        <w:t xml:space="preserve"> </w:t>
      </w:r>
    </w:p>
    <w:p w14:paraId="7B4E4D53" w14:textId="4A7CE5A1" w:rsidR="00FA07FD" w:rsidRPr="006F5452" w:rsidRDefault="00FA07FD" w:rsidP="00FA07FD">
      <w:pPr>
        <w:ind w:firstLine="720"/>
      </w:pPr>
    </w:p>
    <w:p w14:paraId="34823418" w14:textId="12AFD58A" w:rsidR="00FA07FD" w:rsidRPr="006F5452" w:rsidRDefault="00FA07FD" w:rsidP="00E20118">
      <w:pPr>
        <w:ind w:firstLine="720"/>
        <w:jc w:val="both"/>
      </w:pPr>
      <w:r w:rsidRPr="006F5452">
        <w:t xml:space="preserve">The error correction term (ECM) </w:t>
      </w:r>
      <w:r w:rsidR="00E20118" w:rsidRPr="006F5452">
        <w:t>shows</w:t>
      </w:r>
      <w:r w:rsidRPr="006F5452">
        <w:t xml:space="preserve"> that the previous year’s errors are adjusted at the speed of 0.96% in the current year. The diagnostic</w:t>
      </w:r>
      <w:r w:rsidR="00E20118" w:rsidRPr="006F5452">
        <w:t xml:space="preserve"> test</w:t>
      </w:r>
      <w:r w:rsidRPr="006F5452">
        <w:t xml:space="preserve"> statistics</w:t>
      </w:r>
      <w:r w:rsidR="00E20118" w:rsidRPr="006F5452">
        <w:t xml:space="preserve"> </w:t>
      </w:r>
      <w:r w:rsidRPr="006F5452">
        <w:t xml:space="preserve">show that the models’ residuals </w:t>
      </w:r>
      <w:r w:rsidR="00E20118" w:rsidRPr="006F5452">
        <w:t xml:space="preserve">are homoscedastic, </w:t>
      </w:r>
      <w:r w:rsidRPr="006F5452">
        <w:t>not serially correlated</w:t>
      </w:r>
      <w:r w:rsidR="00E20118" w:rsidRPr="006F5452">
        <w:t>,</w:t>
      </w:r>
      <w:r w:rsidRPr="006F5452">
        <w:t xml:space="preserve"> normal</w:t>
      </w:r>
      <w:r w:rsidR="00E20118" w:rsidRPr="006F5452">
        <w:t>ly</w:t>
      </w:r>
      <w:r w:rsidRPr="006F5452">
        <w:t xml:space="preserve"> distribut</w:t>
      </w:r>
      <w:r w:rsidR="00E20118" w:rsidRPr="006F5452">
        <w:t>ed</w:t>
      </w:r>
      <w:r w:rsidR="002C32B0">
        <w:t>,</w:t>
      </w:r>
      <w:r w:rsidR="00E20118" w:rsidRPr="006F5452">
        <w:t xml:space="preserve"> </w:t>
      </w:r>
      <w:r w:rsidRPr="006F5452">
        <w:t xml:space="preserve">and stable. </w:t>
      </w:r>
    </w:p>
    <w:p w14:paraId="6E8E8E00" w14:textId="77777777" w:rsidR="00FA07FD" w:rsidRPr="006F5452" w:rsidRDefault="00FA07FD" w:rsidP="00FA07FD">
      <w:pPr>
        <w:ind w:firstLine="720"/>
      </w:pPr>
    </w:p>
    <w:p w14:paraId="313BCFB8" w14:textId="58B41B8A" w:rsidR="007778C0" w:rsidRPr="006F5452" w:rsidRDefault="0017253E" w:rsidP="0017253E">
      <w:pPr>
        <w:pStyle w:val="Caption"/>
        <w:keepNext/>
        <w:jc w:val="center"/>
        <w:rPr>
          <w:color w:val="auto"/>
          <w:lang w:val="en-GB"/>
        </w:rPr>
      </w:pPr>
      <w:r w:rsidRPr="006F5452">
        <w:rPr>
          <w:color w:val="auto"/>
        </w:rPr>
        <w:t xml:space="preserve">Table </w:t>
      </w:r>
      <w:r w:rsidRPr="006F5452">
        <w:rPr>
          <w:color w:val="auto"/>
        </w:rPr>
        <w:fldChar w:fldCharType="begin"/>
      </w:r>
      <w:r w:rsidRPr="006F5452">
        <w:rPr>
          <w:color w:val="auto"/>
        </w:rPr>
        <w:instrText xml:space="preserve"> SEQ Table \* ARABIC </w:instrText>
      </w:r>
      <w:r w:rsidRPr="006F5452">
        <w:rPr>
          <w:color w:val="auto"/>
        </w:rPr>
        <w:fldChar w:fldCharType="separate"/>
      </w:r>
      <w:r w:rsidR="00F816D1" w:rsidRPr="006F5452">
        <w:rPr>
          <w:noProof/>
          <w:color w:val="auto"/>
        </w:rPr>
        <w:t>6</w:t>
      </w:r>
      <w:r w:rsidRPr="006F5452">
        <w:rPr>
          <w:noProof/>
          <w:color w:val="auto"/>
        </w:rPr>
        <w:fldChar w:fldCharType="end"/>
      </w:r>
      <w:r w:rsidR="007778C0" w:rsidRPr="006F5452">
        <w:rPr>
          <w:color w:val="auto"/>
          <w:lang w:val="en-GB"/>
        </w:rPr>
        <w:t xml:space="preserve"> Asymmetric effects of </w:t>
      </w:r>
      <w:r w:rsidR="003D108F" w:rsidRPr="006F5452">
        <w:rPr>
          <w:color w:val="auto"/>
          <w:lang w:val="en-GB"/>
        </w:rPr>
        <w:t>geopolitical threats (GPRT)</w:t>
      </w:r>
      <w:r w:rsidR="007778C0" w:rsidRPr="006F5452">
        <w:rPr>
          <w:color w:val="auto"/>
          <w:lang w:val="en-GB"/>
        </w:rPr>
        <w:t xml:space="preserve"> on </w:t>
      </w:r>
      <w:r w:rsidR="00FA07FD" w:rsidRPr="006F5452">
        <w:rPr>
          <w:color w:val="auto"/>
          <w:lang w:val="en-GB"/>
        </w:rPr>
        <w:t>g</w:t>
      </w:r>
      <w:r w:rsidR="007778C0" w:rsidRPr="006F5452">
        <w:rPr>
          <w:color w:val="auto"/>
          <w:lang w:val="en-GB"/>
        </w:rPr>
        <w:t xml:space="preserve">reen </w:t>
      </w:r>
      <w:r w:rsidR="00D84CE4" w:rsidRPr="006F5452">
        <w:rPr>
          <w:color w:val="auto"/>
          <w:lang w:val="en-GB"/>
        </w:rPr>
        <w:t>bond</w:t>
      </w:r>
      <w:r w:rsidR="007778C0" w:rsidRPr="006F5452">
        <w:rPr>
          <w:color w:val="auto"/>
          <w:lang w:val="en-GB"/>
        </w:rPr>
        <w:t xml:space="preserve"> returns.</w:t>
      </w:r>
    </w:p>
    <w:tbl>
      <w:tblPr>
        <w:tblStyle w:val="PlainTable2"/>
        <w:tblW w:w="0" w:type="auto"/>
        <w:tblLook w:val="04A0" w:firstRow="1" w:lastRow="0" w:firstColumn="1" w:lastColumn="0" w:noHBand="0" w:noVBand="1"/>
      </w:tblPr>
      <w:tblGrid>
        <w:gridCol w:w="1823"/>
        <w:gridCol w:w="1383"/>
        <w:gridCol w:w="1463"/>
        <w:gridCol w:w="1363"/>
        <w:gridCol w:w="1679"/>
        <w:gridCol w:w="1315"/>
      </w:tblGrid>
      <w:tr w:rsidR="006F5452" w:rsidRPr="006F5452" w14:paraId="28C300E3" w14:textId="77777777" w:rsidTr="00670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5E9C98A3" w14:textId="77777777" w:rsidR="007778C0" w:rsidRPr="006F5452" w:rsidRDefault="007778C0" w:rsidP="003D3B8E">
            <w:pPr>
              <w:spacing w:line="276" w:lineRule="auto"/>
              <w:rPr>
                <w:rFonts w:cs="Times New Roman"/>
                <w:b w:val="0"/>
                <w:bCs w:val="0"/>
                <w:sz w:val="20"/>
                <w:szCs w:val="20"/>
                <w:lang w:val="en-GB"/>
              </w:rPr>
            </w:pPr>
          </w:p>
        </w:tc>
        <w:tc>
          <w:tcPr>
            <w:tcW w:w="2989" w:type="dxa"/>
            <w:gridSpan w:val="2"/>
            <w:hideMark/>
          </w:tcPr>
          <w:p w14:paraId="38989A67" w14:textId="77777777" w:rsidR="007778C0" w:rsidRPr="006F5452" w:rsidRDefault="007778C0" w:rsidP="003D3B8E">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lang w:val="en-GB"/>
              </w:rPr>
            </w:pPr>
            <w:r w:rsidRPr="006F5452">
              <w:rPr>
                <w:rFonts w:cs="Times New Roman"/>
                <w:b w:val="0"/>
                <w:bCs w:val="0"/>
                <w:sz w:val="20"/>
                <w:szCs w:val="20"/>
                <w:lang w:val="en-GB"/>
              </w:rPr>
              <w:t>Panel A: Short-run estimates</w:t>
            </w:r>
          </w:p>
        </w:tc>
        <w:tc>
          <w:tcPr>
            <w:tcW w:w="1440" w:type="dxa"/>
          </w:tcPr>
          <w:p w14:paraId="51683E8E" w14:textId="77777777" w:rsidR="007778C0" w:rsidRPr="006F5452" w:rsidRDefault="007778C0" w:rsidP="003D3B8E">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lang w:val="en-GB"/>
              </w:rPr>
            </w:pPr>
          </w:p>
        </w:tc>
        <w:tc>
          <w:tcPr>
            <w:tcW w:w="3194" w:type="dxa"/>
            <w:gridSpan w:val="2"/>
            <w:hideMark/>
          </w:tcPr>
          <w:p w14:paraId="27349EF6" w14:textId="77777777" w:rsidR="007778C0" w:rsidRPr="006F5452" w:rsidRDefault="007778C0" w:rsidP="003D3B8E">
            <w:pPr>
              <w:spacing w:line="276" w:lineRule="auto"/>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lang w:val="en-GB"/>
              </w:rPr>
            </w:pPr>
            <w:r w:rsidRPr="006F5452">
              <w:rPr>
                <w:rFonts w:cs="Times New Roman"/>
                <w:b w:val="0"/>
                <w:bCs w:val="0"/>
                <w:sz w:val="20"/>
                <w:szCs w:val="20"/>
                <w:lang w:val="en-GB"/>
              </w:rPr>
              <w:t>Panel B: Long-term estimates</w:t>
            </w:r>
            <w:r w:rsidRPr="006F5452">
              <w:rPr>
                <w:rFonts w:cs="Times New Roman"/>
                <w:b w:val="0"/>
                <w:bCs w:val="0"/>
                <w:sz w:val="20"/>
                <w:szCs w:val="20"/>
                <w:lang w:val="en-GB"/>
              </w:rPr>
              <w:tab/>
            </w:r>
          </w:p>
        </w:tc>
      </w:tr>
      <w:tr w:rsidR="006F5452" w:rsidRPr="006F5452" w14:paraId="2A4F98D2" w14:textId="77777777" w:rsidTr="0067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5C05BCCF" w14:textId="77777777" w:rsidR="007778C0" w:rsidRPr="006F5452" w:rsidRDefault="007778C0" w:rsidP="003D3B8E">
            <w:pPr>
              <w:spacing w:line="276" w:lineRule="auto"/>
              <w:rPr>
                <w:rFonts w:cs="Times New Roman"/>
                <w:b w:val="0"/>
                <w:bCs w:val="0"/>
                <w:sz w:val="20"/>
                <w:szCs w:val="20"/>
                <w:lang w:val="en-GB"/>
              </w:rPr>
            </w:pPr>
            <w:r w:rsidRPr="006F5452">
              <w:rPr>
                <w:rFonts w:cs="Times New Roman"/>
                <w:b w:val="0"/>
                <w:bCs w:val="0"/>
                <w:sz w:val="20"/>
                <w:szCs w:val="20"/>
                <w:lang w:val="en-GB"/>
              </w:rPr>
              <w:t>Variables</w:t>
            </w:r>
          </w:p>
        </w:tc>
        <w:tc>
          <w:tcPr>
            <w:tcW w:w="1411" w:type="dxa"/>
            <w:hideMark/>
          </w:tcPr>
          <w:p w14:paraId="632941D1" w14:textId="77777777" w:rsidR="007778C0" w:rsidRPr="006F5452" w:rsidRDefault="007778C0" w:rsidP="003D3B8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Coefficients.</w:t>
            </w:r>
          </w:p>
        </w:tc>
        <w:tc>
          <w:tcPr>
            <w:tcW w:w="1578" w:type="dxa"/>
            <w:hideMark/>
          </w:tcPr>
          <w:p w14:paraId="40CEC8FD" w14:textId="77777777" w:rsidR="007778C0" w:rsidRPr="006F5452" w:rsidRDefault="007778C0" w:rsidP="003D3B8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Std. Error</w:t>
            </w:r>
          </w:p>
        </w:tc>
        <w:tc>
          <w:tcPr>
            <w:tcW w:w="1440" w:type="dxa"/>
          </w:tcPr>
          <w:p w14:paraId="5801787C" w14:textId="77777777" w:rsidR="007778C0" w:rsidRPr="006F5452" w:rsidRDefault="007778C0" w:rsidP="003D3B8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Variables</w:t>
            </w:r>
          </w:p>
        </w:tc>
        <w:tc>
          <w:tcPr>
            <w:tcW w:w="1767" w:type="dxa"/>
            <w:hideMark/>
          </w:tcPr>
          <w:p w14:paraId="4B782070" w14:textId="77777777" w:rsidR="007778C0" w:rsidRPr="006F5452" w:rsidRDefault="007778C0" w:rsidP="003D3B8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Coefficients.</w:t>
            </w:r>
          </w:p>
        </w:tc>
        <w:tc>
          <w:tcPr>
            <w:tcW w:w="1427" w:type="dxa"/>
            <w:hideMark/>
          </w:tcPr>
          <w:p w14:paraId="5A813809" w14:textId="77777777" w:rsidR="007778C0" w:rsidRPr="006F5452" w:rsidRDefault="007778C0" w:rsidP="003D3B8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Std. Error</w:t>
            </w:r>
          </w:p>
        </w:tc>
      </w:tr>
      <w:tr w:rsidR="006F5452" w:rsidRPr="006F5452" w14:paraId="31EAF69A" w14:textId="77777777" w:rsidTr="00670B80">
        <w:tc>
          <w:tcPr>
            <w:cnfStyle w:val="001000000000" w:firstRow="0" w:lastRow="0" w:firstColumn="1" w:lastColumn="0" w:oddVBand="0" w:evenVBand="0" w:oddHBand="0" w:evenHBand="0" w:firstRowFirstColumn="0" w:firstRowLastColumn="0" w:lastRowFirstColumn="0" w:lastRowLastColumn="0"/>
            <w:tcW w:w="1619" w:type="dxa"/>
            <w:hideMark/>
          </w:tcPr>
          <w:p w14:paraId="5D4D01AD" w14:textId="5170C9F0" w:rsidR="00FA07FD" w:rsidRPr="006F5452" w:rsidRDefault="00FA07FD" w:rsidP="00FA07FD">
            <w:pPr>
              <w:spacing w:line="276" w:lineRule="auto"/>
              <w:rPr>
                <w:rFonts w:cs="Times New Roman"/>
                <w:b w:val="0"/>
                <w:bCs w:val="0"/>
                <w:iCs/>
                <w:sz w:val="20"/>
                <w:szCs w:val="20"/>
                <w:lang w:val="en-GB"/>
              </w:rPr>
            </w:pPr>
            <w:r w:rsidRPr="006F5452">
              <w:rPr>
                <w:rFonts w:cs="Times New Roman"/>
                <w:b w:val="0"/>
                <w:bCs w:val="0"/>
                <w:sz w:val="20"/>
                <w:szCs w:val="20"/>
                <w:lang w:val="en-GB"/>
              </w:rPr>
              <w:t>∆GPRT</w:t>
            </w:r>
            <w:r w:rsidRPr="006F5452">
              <w:rPr>
                <w:rFonts w:cs="Times New Roman"/>
                <w:b w:val="0"/>
                <w:bCs w:val="0"/>
                <w:sz w:val="20"/>
                <w:szCs w:val="20"/>
                <w:vertAlign w:val="superscript"/>
                <w:lang w:val="en-GB"/>
              </w:rPr>
              <w:t>+</w:t>
            </w:r>
          </w:p>
        </w:tc>
        <w:tc>
          <w:tcPr>
            <w:tcW w:w="1411" w:type="dxa"/>
            <w:hideMark/>
          </w:tcPr>
          <w:p w14:paraId="6E462449" w14:textId="6AC4F98E" w:rsidR="00FA07FD" w:rsidRPr="006F5452" w:rsidRDefault="00FA07FD" w:rsidP="00FA07FD">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0.2081***</w:t>
            </w:r>
          </w:p>
        </w:tc>
        <w:tc>
          <w:tcPr>
            <w:tcW w:w="1578" w:type="dxa"/>
            <w:hideMark/>
          </w:tcPr>
          <w:p w14:paraId="13EAE794" w14:textId="101097E6" w:rsidR="00FA07FD" w:rsidRPr="006F5452" w:rsidRDefault="00FA07FD" w:rsidP="00FA07F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0.0112</w:t>
            </w:r>
          </w:p>
        </w:tc>
        <w:tc>
          <w:tcPr>
            <w:tcW w:w="1440" w:type="dxa"/>
          </w:tcPr>
          <w:p w14:paraId="35C2D156" w14:textId="3079C109" w:rsidR="00FA07FD" w:rsidRPr="006F5452" w:rsidRDefault="00FA07FD" w:rsidP="00FA07FD">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eastAsiaTheme="minorEastAsia"/>
                <w:iCs/>
                <w:sz w:val="20"/>
                <w:szCs w:val="20"/>
                <w:lang w:val="en-GB"/>
              </w:rPr>
              <w:t>GPRT</w:t>
            </w:r>
            <w:r w:rsidRPr="006F5452">
              <w:rPr>
                <w:rFonts w:eastAsiaTheme="minorEastAsia"/>
                <w:iCs/>
                <w:sz w:val="20"/>
                <w:szCs w:val="20"/>
                <w:vertAlign w:val="superscript"/>
                <w:lang w:val="en-GB"/>
              </w:rPr>
              <w:t xml:space="preserve">+ </w:t>
            </w:r>
          </w:p>
        </w:tc>
        <w:tc>
          <w:tcPr>
            <w:tcW w:w="1767" w:type="dxa"/>
            <w:hideMark/>
          </w:tcPr>
          <w:p w14:paraId="0DE5AF68" w14:textId="78D2C79A" w:rsidR="00FA07FD" w:rsidRPr="006F5452" w:rsidRDefault="00FA07FD" w:rsidP="00FA07FD">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-0.3361***</w:t>
            </w:r>
          </w:p>
        </w:tc>
        <w:tc>
          <w:tcPr>
            <w:tcW w:w="1427" w:type="dxa"/>
            <w:hideMark/>
          </w:tcPr>
          <w:p w14:paraId="3F86D01E" w14:textId="0832B5FC" w:rsidR="00FA07FD" w:rsidRPr="006F5452" w:rsidRDefault="00FA07FD" w:rsidP="00FA07F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0.0298</w:t>
            </w:r>
          </w:p>
        </w:tc>
      </w:tr>
      <w:tr w:rsidR="006F5452" w:rsidRPr="006F5452" w14:paraId="5527DEE3" w14:textId="77777777" w:rsidTr="0067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1E033469" w14:textId="011152B6" w:rsidR="00FA07FD" w:rsidRPr="006F5452" w:rsidRDefault="00FA07FD" w:rsidP="00FA07FD">
            <w:pPr>
              <w:spacing w:line="276" w:lineRule="auto"/>
              <w:rPr>
                <w:rFonts w:cs="Times New Roman"/>
                <w:sz w:val="20"/>
                <w:szCs w:val="20"/>
                <w:lang w:val="en-GB"/>
              </w:rPr>
            </w:pPr>
            <w:r w:rsidRPr="006F5452">
              <w:rPr>
                <w:rFonts w:cs="Times New Roman"/>
                <w:b w:val="0"/>
                <w:bCs w:val="0"/>
                <w:sz w:val="20"/>
                <w:szCs w:val="20"/>
                <w:lang w:val="en-GB"/>
              </w:rPr>
              <w:t>∆GRPT</w:t>
            </w:r>
            <w:r w:rsidRPr="006F5452">
              <w:rPr>
                <w:rFonts w:cs="Times New Roman"/>
                <w:b w:val="0"/>
                <w:bCs w:val="0"/>
                <w:sz w:val="20"/>
                <w:szCs w:val="20"/>
                <w:vertAlign w:val="superscript"/>
                <w:lang w:val="en-GB"/>
              </w:rPr>
              <w:t xml:space="preserve">+ </w:t>
            </w:r>
            <w:r w:rsidRPr="006F5452">
              <w:rPr>
                <w:rFonts w:cs="Times New Roman"/>
                <w:b w:val="0"/>
                <w:bCs w:val="0"/>
                <w:sz w:val="20"/>
                <w:szCs w:val="20"/>
                <w:lang w:val="en-GB"/>
              </w:rPr>
              <w:t>(-1)</w:t>
            </w:r>
          </w:p>
        </w:tc>
        <w:tc>
          <w:tcPr>
            <w:tcW w:w="1411" w:type="dxa"/>
            <w:hideMark/>
          </w:tcPr>
          <w:p w14:paraId="7BFE580A" w14:textId="364F498E" w:rsidR="00FA07FD" w:rsidRPr="006F5452" w:rsidRDefault="00FA07FD" w:rsidP="00FA07F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sz w:val="20"/>
                <w:szCs w:val="20"/>
                <w:lang w:val="en-GB"/>
              </w:rPr>
              <w:t>0.1644***</w:t>
            </w:r>
          </w:p>
        </w:tc>
        <w:tc>
          <w:tcPr>
            <w:tcW w:w="1578" w:type="dxa"/>
            <w:hideMark/>
          </w:tcPr>
          <w:p w14:paraId="678464CD" w14:textId="2BB2639E" w:rsidR="00FA07FD" w:rsidRPr="006F5452" w:rsidRDefault="00FA07FD" w:rsidP="00FA07F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sz w:val="20"/>
                <w:szCs w:val="20"/>
                <w:lang w:val="en-GB"/>
              </w:rPr>
              <w:t>0.0701</w:t>
            </w:r>
          </w:p>
        </w:tc>
        <w:tc>
          <w:tcPr>
            <w:tcW w:w="1440" w:type="dxa"/>
          </w:tcPr>
          <w:p w14:paraId="5D1BFF56" w14:textId="5479CF75" w:rsidR="00FA07FD" w:rsidRPr="006F5452" w:rsidRDefault="00FA07FD" w:rsidP="00FA07F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eastAsiaTheme="minorEastAsia"/>
                <w:iCs/>
                <w:sz w:val="20"/>
                <w:szCs w:val="20"/>
                <w:lang w:val="en-GB"/>
              </w:rPr>
              <w:t>GPRT</w:t>
            </w:r>
            <w:r w:rsidRPr="006F5452">
              <w:rPr>
                <w:rFonts w:eastAsiaTheme="minorEastAsia" w:cs="Times New Roman"/>
                <w:iCs/>
                <w:sz w:val="20"/>
                <w:szCs w:val="20"/>
                <w:vertAlign w:val="superscript"/>
                <w:lang w:val="en-GB"/>
              </w:rPr>
              <w:t>−</w:t>
            </w:r>
          </w:p>
        </w:tc>
        <w:tc>
          <w:tcPr>
            <w:tcW w:w="1767" w:type="dxa"/>
          </w:tcPr>
          <w:p w14:paraId="161F718B" w14:textId="17DC4753" w:rsidR="00FA07FD" w:rsidRPr="006F5452" w:rsidRDefault="00FA07FD" w:rsidP="00FA07FD">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0.2617***</w:t>
            </w:r>
          </w:p>
        </w:tc>
        <w:tc>
          <w:tcPr>
            <w:tcW w:w="1427" w:type="dxa"/>
          </w:tcPr>
          <w:p w14:paraId="4F53992B" w14:textId="0E80A2F6" w:rsidR="00FA07FD" w:rsidRPr="006F5452" w:rsidRDefault="00FA07FD" w:rsidP="00FA07F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0.0189</w:t>
            </w:r>
          </w:p>
        </w:tc>
      </w:tr>
      <w:tr w:rsidR="006F5452" w:rsidRPr="006F5452" w14:paraId="79C08559" w14:textId="77777777" w:rsidTr="00670B80">
        <w:tc>
          <w:tcPr>
            <w:cnfStyle w:val="001000000000" w:firstRow="0" w:lastRow="0" w:firstColumn="1" w:lastColumn="0" w:oddVBand="0" w:evenVBand="0" w:oddHBand="0" w:evenHBand="0" w:firstRowFirstColumn="0" w:firstRowLastColumn="0" w:lastRowFirstColumn="0" w:lastRowLastColumn="0"/>
            <w:tcW w:w="1619" w:type="dxa"/>
            <w:hideMark/>
          </w:tcPr>
          <w:p w14:paraId="759E8340" w14:textId="430A12CC" w:rsidR="007778C0" w:rsidRPr="006F5452" w:rsidRDefault="007778C0" w:rsidP="003D3B8E">
            <w:pPr>
              <w:spacing w:line="276" w:lineRule="auto"/>
              <w:rPr>
                <w:rFonts w:cs="Times New Roman"/>
                <w:sz w:val="20"/>
                <w:szCs w:val="20"/>
                <w:lang w:val="en-GB"/>
              </w:rPr>
            </w:pPr>
            <w:r w:rsidRPr="006F5452">
              <w:rPr>
                <w:rFonts w:cs="Times New Roman"/>
                <w:b w:val="0"/>
                <w:bCs w:val="0"/>
                <w:sz w:val="20"/>
                <w:szCs w:val="20"/>
                <w:lang w:val="en-GB"/>
              </w:rPr>
              <w:t>∆</w:t>
            </w:r>
            <w:r w:rsidR="002323E3" w:rsidRPr="006F5452">
              <w:rPr>
                <w:rFonts w:cs="Times New Roman"/>
                <w:b w:val="0"/>
                <w:bCs w:val="0"/>
                <w:sz w:val="20"/>
                <w:szCs w:val="20"/>
                <w:lang w:val="en-GB"/>
              </w:rPr>
              <w:t>GPRT</w:t>
            </w:r>
            <w:r w:rsidRPr="006F5452">
              <w:rPr>
                <w:rFonts w:cs="Times New Roman"/>
                <w:b w:val="0"/>
                <w:bCs w:val="0"/>
                <w:sz w:val="20"/>
                <w:szCs w:val="20"/>
                <w:vertAlign w:val="superscript"/>
                <w:lang w:val="en-GB"/>
              </w:rPr>
              <w:t>−</w:t>
            </w:r>
            <w:r w:rsidR="00670B80" w:rsidRPr="006F5452">
              <w:rPr>
                <w:rFonts w:cs="Times New Roman"/>
                <w:b w:val="0"/>
                <w:bCs w:val="0"/>
                <w:sz w:val="20"/>
                <w:szCs w:val="20"/>
                <w:lang w:val="en-GB"/>
              </w:rPr>
              <w:t>(-</w:t>
            </w:r>
            <w:r w:rsidR="003D3B8E" w:rsidRPr="006F5452">
              <w:rPr>
                <w:rFonts w:cs="Times New Roman"/>
                <w:b w:val="0"/>
                <w:bCs w:val="0"/>
                <w:sz w:val="20"/>
                <w:szCs w:val="20"/>
                <w:lang w:val="en-GB"/>
              </w:rPr>
              <w:t>2</w:t>
            </w:r>
            <w:r w:rsidR="00670B80" w:rsidRPr="006F5452">
              <w:rPr>
                <w:rFonts w:cs="Times New Roman"/>
                <w:b w:val="0"/>
                <w:bCs w:val="0"/>
                <w:sz w:val="20"/>
                <w:szCs w:val="20"/>
                <w:lang w:val="en-GB"/>
              </w:rPr>
              <w:t>)</w:t>
            </w:r>
          </w:p>
        </w:tc>
        <w:tc>
          <w:tcPr>
            <w:tcW w:w="1411" w:type="dxa"/>
          </w:tcPr>
          <w:p w14:paraId="5D1E37D1" w14:textId="4359D6B3" w:rsidR="007778C0" w:rsidRPr="006F5452" w:rsidRDefault="00E24A5E" w:rsidP="00D84CE4">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w:t>
            </w:r>
            <w:r w:rsidR="0019277A" w:rsidRPr="006F5452">
              <w:rPr>
                <w:sz w:val="20"/>
                <w:szCs w:val="20"/>
                <w:lang w:val="en-GB"/>
              </w:rPr>
              <w:t>0.1174***</w:t>
            </w:r>
            <w:r w:rsidR="00670B80" w:rsidRPr="006F5452">
              <w:rPr>
                <w:sz w:val="20"/>
                <w:szCs w:val="20"/>
                <w:lang w:val="en-GB"/>
              </w:rPr>
              <w:t xml:space="preserve">                               </w:t>
            </w:r>
          </w:p>
        </w:tc>
        <w:tc>
          <w:tcPr>
            <w:tcW w:w="1578" w:type="dxa"/>
          </w:tcPr>
          <w:p w14:paraId="6B5039A5" w14:textId="24DE66D4" w:rsidR="007778C0" w:rsidRPr="006F5452" w:rsidRDefault="0019277A" w:rsidP="003D3B8E">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0.0216</w:t>
            </w:r>
          </w:p>
        </w:tc>
        <w:tc>
          <w:tcPr>
            <w:tcW w:w="1440" w:type="dxa"/>
          </w:tcPr>
          <w:p w14:paraId="7FC05E48" w14:textId="02F34255" w:rsidR="007778C0" w:rsidRPr="006F5452" w:rsidRDefault="00670B80" w:rsidP="003D3B8E">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eastAsiaTheme="minorEastAsia"/>
                <w:iCs/>
                <w:sz w:val="20"/>
                <w:szCs w:val="20"/>
                <w:lang w:val="en-GB"/>
              </w:rPr>
              <w:t>USEPU</w:t>
            </w:r>
          </w:p>
        </w:tc>
        <w:tc>
          <w:tcPr>
            <w:tcW w:w="1767" w:type="dxa"/>
            <w:hideMark/>
          </w:tcPr>
          <w:p w14:paraId="11EDED5D" w14:textId="25D6BCBC" w:rsidR="007778C0" w:rsidRPr="006F5452" w:rsidRDefault="007778C0" w:rsidP="008E4F7D">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-0.1</w:t>
            </w:r>
            <w:r w:rsidR="008E4F7D" w:rsidRPr="006F5452">
              <w:rPr>
                <w:rFonts w:cs="Times New Roman"/>
                <w:sz w:val="20"/>
                <w:szCs w:val="20"/>
                <w:lang w:val="en-GB"/>
              </w:rPr>
              <w:t>894***</w:t>
            </w:r>
          </w:p>
        </w:tc>
        <w:tc>
          <w:tcPr>
            <w:tcW w:w="1427" w:type="dxa"/>
            <w:hideMark/>
          </w:tcPr>
          <w:p w14:paraId="6FB7D057" w14:textId="7BD5A7A5" w:rsidR="007778C0" w:rsidRPr="006F5452" w:rsidRDefault="007778C0" w:rsidP="003D3B8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w:t>
            </w:r>
            <w:r w:rsidR="008E4F7D" w:rsidRPr="006F5452">
              <w:rPr>
                <w:rFonts w:cs="Times New Roman"/>
                <w:sz w:val="20"/>
                <w:szCs w:val="20"/>
                <w:lang w:val="en-GB"/>
              </w:rPr>
              <w:t>0</w:t>
            </w:r>
            <w:r w:rsidRPr="006F5452">
              <w:rPr>
                <w:rFonts w:cs="Times New Roman"/>
                <w:sz w:val="20"/>
                <w:szCs w:val="20"/>
                <w:lang w:val="en-GB"/>
              </w:rPr>
              <w:t>1</w:t>
            </w:r>
            <w:r w:rsidR="008E4F7D" w:rsidRPr="006F5452">
              <w:rPr>
                <w:rFonts w:cs="Times New Roman"/>
                <w:sz w:val="20"/>
                <w:szCs w:val="20"/>
                <w:lang w:val="en-GB"/>
              </w:rPr>
              <w:t>00</w:t>
            </w:r>
          </w:p>
        </w:tc>
      </w:tr>
      <w:tr w:rsidR="006F5452" w:rsidRPr="006F5452" w14:paraId="2E504D82" w14:textId="77777777" w:rsidTr="0067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1D5C76FA" w14:textId="35FD85A0" w:rsidR="00EC4B25" w:rsidRPr="006F5452" w:rsidRDefault="00EC4B25" w:rsidP="00EC4B25">
            <w:pPr>
              <w:spacing w:line="276" w:lineRule="auto"/>
              <w:rPr>
                <w:rFonts w:cs="Times New Roman"/>
                <w:sz w:val="20"/>
                <w:szCs w:val="20"/>
                <w:lang w:val="en-GB"/>
              </w:rPr>
            </w:pPr>
            <w:r w:rsidRPr="006F5452">
              <w:rPr>
                <w:rFonts w:cs="Times New Roman"/>
                <w:b w:val="0"/>
                <w:bCs w:val="0"/>
                <w:sz w:val="20"/>
                <w:szCs w:val="20"/>
                <w:lang w:val="en-GB"/>
              </w:rPr>
              <w:t>∆GPRT</w:t>
            </w:r>
            <w:r w:rsidRPr="006F5452">
              <w:rPr>
                <w:rFonts w:cs="Times New Roman"/>
                <w:b w:val="0"/>
                <w:bCs w:val="0"/>
                <w:sz w:val="20"/>
                <w:szCs w:val="20"/>
                <w:vertAlign w:val="superscript"/>
                <w:lang w:val="en-GB"/>
              </w:rPr>
              <w:t>−</w:t>
            </w:r>
            <w:r w:rsidRPr="006F5452">
              <w:rPr>
                <w:rFonts w:cs="Times New Roman"/>
                <w:b w:val="0"/>
                <w:bCs w:val="0"/>
                <w:sz w:val="20"/>
                <w:szCs w:val="20"/>
                <w:lang w:val="en-GB"/>
              </w:rPr>
              <w:t>(-3)</w:t>
            </w:r>
          </w:p>
        </w:tc>
        <w:tc>
          <w:tcPr>
            <w:tcW w:w="1411" w:type="dxa"/>
          </w:tcPr>
          <w:p w14:paraId="7F4D16FA" w14:textId="688E7581" w:rsidR="00EC4B25" w:rsidRPr="006F5452" w:rsidRDefault="00E24A5E" w:rsidP="00D84CE4">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w:t>
            </w:r>
            <w:r w:rsidR="0019277A" w:rsidRPr="006F5452">
              <w:rPr>
                <w:sz w:val="20"/>
                <w:szCs w:val="20"/>
                <w:lang w:val="en-GB"/>
              </w:rPr>
              <w:t>0.0912**</w:t>
            </w:r>
          </w:p>
        </w:tc>
        <w:tc>
          <w:tcPr>
            <w:tcW w:w="1578" w:type="dxa"/>
          </w:tcPr>
          <w:p w14:paraId="4B7783EF" w14:textId="51BA1DBA" w:rsidR="00EC4B25" w:rsidRPr="006F5452" w:rsidRDefault="0019277A" w:rsidP="00EC4B25">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0.0319</w:t>
            </w:r>
          </w:p>
        </w:tc>
        <w:tc>
          <w:tcPr>
            <w:tcW w:w="1440" w:type="dxa"/>
          </w:tcPr>
          <w:p w14:paraId="430D3F44" w14:textId="52FFB409" w:rsidR="00EC4B25" w:rsidRPr="006F5452" w:rsidRDefault="00EC4B25" w:rsidP="00EC4B25">
            <w:pPr>
              <w:spacing w:line="276" w:lineRule="auto"/>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en-GB"/>
              </w:rPr>
            </w:pPr>
            <w:proofErr w:type="gramStart"/>
            <w:r w:rsidRPr="006F5452">
              <w:rPr>
                <w:rFonts w:eastAsiaTheme="minorEastAsia"/>
                <w:iCs/>
                <w:sz w:val="20"/>
                <w:szCs w:val="20"/>
                <w:lang w:val="en-GB"/>
              </w:rPr>
              <w:t>USEPU</w:t>
            </w:r>
            <w:r w:rsidRPr="006F5452">
              <w:rPr>
                <w:rFonts w:eastAsiaTheme="minorEastAsia" w:cs="Times New Roman"/>
                <w:iCs/>
                <w:sz w:val="20"/>
                <w:szCs w:val="20"/>
                <w:lang w:val="en-GB"/>
              </w:rPr>
              <w:t>(</w:t>
            </w:r>
            <w:proofErr w:type="gramEnd"/>
            <w:r w:rsidRPr="006F5452">
              <w:rPr>
                <w:rFonts w:eastAsiaTheme="minorEastAsia" w:cs="Times New Roman"/>
                <w:iCs/>
                <w:sz w:val="20"/>
                <w:szCs w:val="20"/>
                <w:lang w:val="en-GB"/>
              </w:rPr>
              <w:t>-1)</w:t>
            </w:r>
          </w:p>
        </w:tc>
        <w:tc>
          <w:tcPr>
            <w:tcW w:w="1767" w:type="dxa"/>
          </w:tcPr>
          <w:p w14:paraId="6E40EC91" w14:textId="687B4C3F" w:rsidR="00EC4B25" w:rsidRPr="006F5452" w:rsidRDefault="00EC4B25" w:rsidP="008E4F7D">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-0.1</w:t>
            </w:r>
            <w:r w:rsidR="008E4F7D" w:rsidRPr="006F5452">
              <w:rPr>
                <w:rFonts w:cs="Times New Roman"/>
                <w:sz w:val="20"/>
                <w:szCs w:val="20"/>
                <w:lang w:val="en-GB"/>
              </w:rPr>
              <w:t>652**</w:t>
            </w:r>
          </w:p>
        </w:tc>
        <w:tc>
          <w:tcPr>
            <w:tcW w:w="1427" w:type="dxa"/>
          </w:tcPr>
          <w:p w14:paraId="4BC060D9" w14:textId="44E00D80" w:rsidR="00EC4B25" w:rsidRPr="006F5452" w:rsidRDefault="00EC4B25" w:rsidP="00EC4B25">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w:t>
            </w:r>
            <w:r w:rsidR="008E4F7D" w:rsidRPr="006F5452">
              <w:rPr>
                <w:rFonts w:cs="Times New Roman"/>
                <w:sz w:val="20"/>
                <w:szCs w:val="20"/>
                <w:lang w:val="en-GB"/>
              </w:rPr>
              <w:t>02</w:t>
            </w:r>
            <w:r w:rsidRPr="006F5452">
              <w:rPr>
                <w:rFonts w:cs="Times New Roman"/>
                <w:sz w:val="20"/>
                <w:szCs w:val="20"/>
                <w:lang w:val="en-GB"/>
              </w:rPr>
              <w:t>71</w:t>
            </w:r>
          </w:p>
        </w:tc>
      </w:tr>
      <w:tr w:rsidR="006F5452" w:rsidRPr="006F5452" w14:paraId="0946B3C2" w14:textId="77777777" w:rsidTr="003D3B8E">
        <w:tc>
          <w:tcPr>
            <w:cnfStyle w:val="001000000000" w:firstRow="0" w:lastRow="0" w:firstColumn="1" w:lastColumn="0" w:oddVBand="0" w:evenVBand="0" w:oddHBand="0" w:evenHBand="0" w:firstRowFirstColumn="0" w:firstRowLastColumn="0" w:lastRowFirstColumn="0" w:lastRowLastColumn="0"/>
            <w:tcW w:w="1619" w:type="dxa"/>
            <w:hideMark/>
          </w:tcPr>
          <w:p w14:paraId="69C8AF53" w14:textId="14F41756" w:rsidR="00F452DA" w:rsidRPr="006F5452" w:rsidRDefault="00F452DA" w:rsidP="00F452DA">
            <w:pPr>
              <w:spacing w:line="276" w:lineRule="auto"/>
              <w:rPr>
                <w:rFonts w:cs="Times New Roman"/>
                <w:b w:val="0"/>
                <w:bCs w:val="0"/>
                <w:sz w:val="20"/>
                <w:szCs w:val="20"/>
                <w:lang w:val="en-GB"/>
              </w:rPr>
            </w:pPr>
            <w:r w:rsidRPr="006F5452">
              <w:rPr>
                <w:rFonts w:cs="Times New Roman"/>
                <w:b w:val="0"/>
                <w:bCs w:val="0"/>
                <w:sz w:val="20"/>
                <w:szCs w:val="20"/>
                <w:lang w:val="en-GB"/>
              </w:rPr>
              <w:t>∆USEPU</w:t>
            </w:r>
          </w:p>
        </w:tc>
        <w:tc>
          <w:tcPr>
            <w:tcW w:w="1411" w:type="dxa"/>
            <w:hideMark/>
          </w:tcPr>
          <w:p w14:paraId="52FAF711" w14:textId="5DD94647" w:rsidR="00F452DA" w:rsidRPr="006F5452" w:rsidRDefault="00A464CD" w:rsidP="00D84CE4">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w:t>
            </w:r>
            <w:r w:rsidR="00F452DA" w:rsidRPr="006F5452">
              <w:rPr>
                <w:sz w:val="20"/>
                <w:szCs w:val="20"/>
                <w:lang w:val="en-GB"/>
              </w:rPr>
              <w:t>0.</w:t>
            </w:r>
            <w:r w:rsidR="00641ED3" w:rsidRPr="006F5452">
              <w:rPr>
                <w:sz w:val="20"/>
                <w:szCs w:val="20"/>
                <w:lang w:val="en-GB"/>
              </w:rPr>
              <w:t>16</w:t>
            </w:r>
            <w:r w:rsidR="0019277A" w:rsidRPr="006F5452">
              <w:rPr>
                <w:sz w:val="20"/>
                <w:szCs w:val="20"/>
                <w:lang w:val="en-GB"/>
              </w:rPr>
              <w:t>97***</w:t>
            </w:r>
          </w:p>
        </w:tc>
        <w:tc>
          <w:tcPr>
            <w:tcW w:w="1578" w:type="dxa"/>
            <w:hideMark/>
          </w:tcPr>
          <w:p w14:paraId="00E520F2" w14:textId="51B8F090" w:rsidR="00F452DA" w:rsidRPr="006F5452" w:rsidRDefault="00F452DA" w:rsidP="00F452DA">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0.0</w:t>
            </w:r>
            <w:r w:rsidR="0019277A" w:rsidRPr="006F5452">
              <w:rPr>
                <w:sz w:val="20"/>
                <w:szCs w:val="20"/>
                <w:lang w:val="en-GB"/>
              </w:rPr>
              <w:t>381</w:t>
            </w:r>
          </w:p>
        </w:tc>
        <w:tc>
          <w:tcPr>
            <w:tcW w:w="1440" w:type="dxa"/>
          </w:tcPr>
          <w:p w14:paraId="712D8840" w14:textId="00790498" w:rsidR="00F452DA" w:rsidRPr="006F5452" w:rsidRDefault="00F452DA" w:rsidP="00F452DA">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eastAsia="Calibri" w:cs="Times New Roman"/>
                <w:iCs/>
                <w:sz w:val="20"/>
                <w:szCs w:val="20"/>
                <w:lang w:val="en-GB"/>
              </w:rPr>
              <w:t>GPRA</w:t>
            </w:r>
          </w:p>
        </w:tc>
        <w:tc>
          <w:tcPr>
            <w:tcW w:w="1767" w:type="dxa"/>
          </w:tcPr>
          <w:p w14:paraId="7AD1031F" w14:textId="4B93B1A4" w:rsidR="00F452DA" w:rsidRPr="006F5452" w:rsidRDefault="00F452DA" w:rsidP="008E4F7D">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w:t>
            </w:r>
            <w:r w:rsidR="008E4F7D" w:rsidRPr="006F5452">
              <w:rPr>
                <w:rFonts w:cs="Times New Roman"/>
                <w:sz w:val="20"/>
                <w:szCs w:val="20"/>
                <w:lang w:val="en-GB"/>
              </w:rPr>
              <w:t>2399***</w:t>
            </w:r>
          </w:p>
        </w:tc>
        <w:tc>
          <w:tcPr>
            <w:tcW w:w="1427" w:type="dxa"/>
          </w:tcPr>
          <w:p w14:paraId="3F71BC04" w14:textId="6CE2C28F" w:rsidR="00F452DA" w:rsidRPr="006F5452" w:rsidRDefault="00F452DA" w:rsidP="00F452DA">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0.0527</w:t>
            </w:r>
          </w:p>
        </w:tc>
      </w:tr>
      <w:tr w:rsidR="006F5452" w:rsidRPr="006F5452" w14:paraId="5605A88D" w14:textId="77777777" w:rsidTr="00A46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786AC5D5" w14:textId="5586C51C" w:rsidR="00A464CD" w:rsidRPr="006F5452" w:rsidRDefault="00A464CD" w:rsidP="00A464CD">
            <w:pPr>
              <w:spacing w:line="276" w:lineRule="auto"/>
              <w:rPr>
                <w:rFonts w:cs="Times New Roman"/>
                <w:b w:val="0"/>
                <w:bCs w:val="0"/>
                <w:sz w:val="20"/>
                <w:szCs w:val="20"/>
                <w:lang w:val="en-GB"/>
              </w:rPr>
            </w:pPr>
            <w:r w:rsidRPr="006F5452">
              <w:rPr>
                <w:rFonts w:cs="Times New Roman"/>
                <w:b w:val="0"/>
                <w:bCs w:val="0"/>
                <w:sz w:val="20"/>
                <w:szCs w:val="20"/>
                <w:lang w:val="en-GB"/>
              </w:rPr>
              <w:t>∆GPRA</w:t>
            </w:r>
          </w:p>
        </w:tc>
        <w:tc>
          <w:tcPr>
            <w:tcW w:w="1411" w:type="dxa"/>
          </w:tcPr>
          <w:p w14:paraId="33346A99" w14:textId="54A962B8" w:rsidR="00A464CD" w:rsidRPr="006F5452" w:rsidRDefault="00A464CD" w:rsidP="00D84CE4">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-0.0775</w:t>
            </w:r>
            <w:r w:rsidR="0019277A" w:rsidRPr="006F5452">
              <w:rPr>
                <w:sz w:val="20"/>
                <w:szCs w:val="20"/>
                <w:lang w:val="en-GB"/>
              </w:rPr>
              <w:t>**</w:t>
            </w:r>
          </w:p>
        </w:tc>
        <w:tc>
          <w:tcPr>
            <w:tcW w:w="1578" w:type="dxa"/>
          </w:tcPr>
          <w:p w14:paraId="7CEA50E9" w14:textId="36597EFC" w:rsidR="00A464CD" w:rsidRPr="006F5452" w:rsidRDefault="00A464CD" w:rsidP="00A464C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0.0</w:t>
            </w:r>
            <w:r w:rsidR="0019277A" w:rsidRPr="006F5452">
              <w:rPr>
                <w:sz w:val="20"/>
                <w:szCs w:val="20"/>
                <w:lang w:val="en-GB"/>
              </w:rPr>
              <w:t>594</w:t>
            </w:r>
          </w:p>
        </w:tc>
        <w:tc>
          <w:tcPr>
            <w:tcW w:w="1440" w:type="dxa"/>
          </w:tcPr>
          <w:p w14:paraId="442EF8F9" w14:textId="524EEC1F" w:rsidR="00A464CD" w:rsidRPr="006F5452" w:rsidRDefault="00A464CD" w:rsidP="00A464C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roofErr w:type="gramStart"/>
            <w:r w:rsidRPr="006F5452">
              <w:rPr>
                <w:rFonts w:eastAsia="Calibri" w:cs="Times New Roman"/>
                <w:iCs/>
                <w:sz w:val="20"/>
                <w:szCs w:val="20"/>
                <w:lang w:val="en-GB"/>
              </w:rPr>
              <w:t>GPRA(</w:t>
            </w:r>
            <w:proofErr w:type="gramEnd"/>
            <w:r w:rsidRPr="006F5452">
              <w:rPr>
                <w:rFonts w:eastAsia="Calibri" w:cs="Times New Roman"/>
                <w:iCs/>
                <w:sz w:val="20"/>
                <w:szCs w:val="20"/>
                <w:lang w:val="en-GB"/>
              </w:rPr>
              <w:t>-1)</w:t>
            </w:r>
          </w:p>
        </w:tc>
        <w:tc>
          <w:tcPr>
            <w:tcW w:w="1767" w:type="dxa"/>
          </w:tcPr>
          <w:p w14:paraId="59124BE3" w14:textId="23908313" w:rsidR="00A464CD" w:rsidRPr="006F5452" w:rsidRDefault="00A464CD" w:rsidP="008E4F7D">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-0.1</w:t>
            </w:r>
            <w:r w:rsidR="002F1417" w:rsidRPr="006F5452">
              <w:rPr>
                <w:rFonts w:cs="Times New Roman"/>
                <w:sz w:val="20"/>
                <w:szCs w:val="20"/>
                <w:lang w:val="en-GB"/>
              </w:rPr>
              <w:t>953**</w:t>
            </w:r>
          </w:p>
        </w:tc>
        <w:tc>
          <w:tcPr>
            <w:tcW w:w="1427" w:type="dxa"/>
          </w:tcPr>
          <w:p w14:paraId="2DF61EBB" w14:textId="03DA8AB4" w:rsidR="00A464CD" w:rsidRPr="006F5452" w:rsidRDefault="00A464CD" w:rsidP="00A464C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0.0639</w:t>
            </w:r>
          </w:p>
        </w:tc>
      </w:tr>
      <w:tr w:rsidR="006F5452" w:rsidRPr="006F5452" w14:paraId="6F9010A3" w14:textId="77777777" w:rsidTr="00A464CD">
        <w:tc>
          <w:tcPr>
            <w:cnfStyle w:val="001000000000" w:firstRow="0" w:lastRow="0" w:firstColumn="1" w:lastColumn="0" w:oddVBand="0" w:evenVBand="0" w:oddHBand="0" w:evenHBand="0" w:firstRowFirstColumn="0" w:firstRowLastColumn="0" w:lastRowFirstColumn="0" w:lastRowLastColumn="0"/>
            <w:tcW w:w="1619" w:type="dxa"/>
          </w:tcPr>
          <w:p w14:paraId="3220010A" w14:textId="7BFC3F96" w:rsidR="00A464CD" w:rsidRPr="006F5452" w:rsidRDefault="00A464CD" w:rsidP="00A464CD">
            <w:pPr>
              <w:spacing w:line="276" w:lineRule="auto"/>
              <w:ind w:left="1440" w:hanging="1440"/>
              <w:rPr>
                <w:rFonts w:cs="Times New Roman"/>
                <w:b w:val="0"/>
                <w:bCs w:val="0"/>
                <w:sz w:val="20"/>
                <w:szCs w:val="20"/>
                <w:lang w:val="en-GB"/>
              </w:rPr>
            </w:pPr>
            <w:r w:rsidRPr="006F5452">
              <w:rPr>
                <w:rFonts w:cs="Times New Roman"/>
                <w:b w:val="0"/>
                <w:bCs w:val="0"/>
                <w:sz w:val="20"/>
                <w:szCs w:val="20"/>
                <w:lang w:val="en-GB"/>
              </w:rPr>
              <w:t>∆WTI (-1)</w:t>
            </w:r>
          </w:p>
        </w:tc>
        <w:tc>
          <w:tcPr>
            <w:tcW w:w="1411" w:type="dxa"/>
          </w:tcPr>
          <w:p w14:paraId="10D4B1FB" w14:textId="758AD9FF" w:rsidR="00A464CD" w:rsidRPr="006F5452" w:rsidRDefault="00B343CE" w:rsidP="00D84CE4">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0.0434***</w:t>
            </w:r>
          </w:p>
        </w:tc>
        <w:tc>
          <w:tcPr>
            <w:tcW w:w="1578" w:type="dxa"/>
          </w:tcPr>
          <w:p w14:paraId="4ABC9963" w14:textId="0F6B7708" w:rsidR="00A464CD" w:rsidRPr="006F5452" w:rsidRDefault="00B343CE" w:rsidP="00A464C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0.0126</w:t>
            </w:r>
          </w:p>
        </w:tc>
        <w:tc>
          <w:tcPr>
            <w:tcW w:w="1440" w:type="dxa"/>
          </w:tcPr>
          <w:p w14:paraId="40555570" w14:textId="2100780B" w:rsidR="00A464CD" w:rsidRPr="006F5452" w:rsidRDefault="00A464CD" w:rsidP="00A464CD">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eastAsiaTheme="minorEastAsia"/>
                <w:iCs/>
                <w:sz w:val="20"/>
                <w:szCs w:val="20"/>
                <w:lang w:val="en-GB"/>
              </w:rPr>
              <w:t>WTI</w:t>
            </w:r>
            <w:r w:rsidRPr="006F5452">
              <w:rPr>
                <w:rFonts w:eastAsiaTheme="minorEastAsia" w:cs="Times New Roman"/>
                <w:iCs/>
                <w:sz w:val="20"/>
                <w:szCs w:val="20"/>
                <w:vertAlign w:val="superscript"/>
                <w:lang w:val="en-GB"/>
              </w:rPr>
              <w:t xml:space="preserve"> </w:t>
            </w:r>
            <w:r w:rsidRPr="006F5452">
              <w:rPr>
                <w:rFonts w:eastAsiaTheme="minorEastAsia" w:cs="Times New Roman"/>
                <w:iCs/>
                <w:sz w:val="20"/>
                <w:szCs w:val="20"/>
                <w:lang w:val="en-GB"/>
              </w:rPr>
              <w:t>(-1)</w:t>
            </w:r>
          </w:p>
        </w:tc>
        <w:tc>
          <w:tcPr>
            <w:tcW w:w="1767" w:type="dxa"/>
          </w:tcPr>
          <w:p w14:paraId="24BB87CD" w14:textId="7A01240D" w:rsidR="00A464CD" w:rsidRPr="006F5452" w:rsidRDefault="00CA003D" w:rsidP="008E4F7D">
            <w:pPr>
              <w:spacing w:line="276" w:lineRule="auto"/>
              <w:jc w:val="right"/>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0.1348***</w:t>
            </w:r>
          </w:p>
        </w:tc>
        <w:tc>
          <w:tcPr>
            <w:tcW w:w="1427" w:type="dxa"/>
          </w:tcPr>
          <w:p w14:paraId="49557C58" w14:textId="1130227F" w:rsidR="00A464CD" w:rsidRPr="006F5452" w:rsidRDefault="00CA003D" w:rsidP="00A464C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0.0126</w:t>
            </w:r>
          </w:p>
        </w:tc>
      </w:tr>
      <w:tr w:rsidR="006F5452" w:rsidRPr="006F5452" w14:paraId="13297F9A" w14:textId="77777777" w:rsidTr="00A464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04DB20CC" w14:textId="172057B4" w:rsidR="00A464CD" w:rsidRPr="006F5452" w:rsidRDefault="00A464CD" w:rsidP="00A464CD">
            <w:pPr>
              <w:spacing w:line="276" w:lineRule="auto"/>
              <w:ind w:left="1440" w:hanging="1440"/>
              <w:rPr>
                <w:rFonts w:cs="Times New Roman"/>
                <w:sz w:val="20"/>
                <w:szCs w:val="20"/>
                <w:lang w:val="en-GB"/>
              </w:rPr>
            </w:pPr>
            <w:r w:rsidRPr="006F5452">
              <w:rPr>
                <w:rFonts w:cs="Times New Roman"/>
                <w:b w:val="0"/>
                <w:bCs w:val="0"/>
                <w:sz w:val="20"/>
                <w:szCs w:val="20"/>
                <w:lang w:val="en-GB"/>
              </w:rPr>
              <w:t>∆WTI (-2)</w:t>
            </w:r>
          </w:p>
        </w:tc>
        <w:tc>
          <w:tcPr>
            <w:tcW w:w="1411" w:type="dxa"/>
          </w:tcPr>
          <w:p w14:paraId="6585F505" w14:textId="6703D0F9" w:rsidR="00A464CD" w:rsidRPr="006F5452" w:rsidRDefault="00B343CE" w:rsidP="00D84CE4">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0.0711**</w:t>
            </w:r>
          </w:p>
        </w:tc>
        <w:tc>
          <w:tcPr>
            <w:tcW w:w="1578" w:type="dxa"/>
          </w:tcPr>
          <w:p w14:paraId="5F15A285" w14:textId="756A915B" w:rsidR="00A464CD" w:rsidRPr="006F5452" w:rsidRDefault="00B343CE" w:rsidP="00A464C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0.0210</w:t>
            </w:r>
          </w:p>
        </w:tc>
        <w:tc>
          <w:tcPr>
            <w:tcW w:w="1440" w:type="dxa"/>
          </w:tcPr>
          <w:p w14:paraId="5C08C31F" w14:textId="0C567205" w:rsidR="00A464CD" w:rsidRPr="006F5452" w:rsidRDefault="00A464CD" w:rsidP="00A464CD">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eastAsia="Calibri" w:cs="Times New Roman"/>
                <w:iCs/>
                <w:sz w:val="20"/>
                <w:szCs w:val="20"/>
                <w:lang w:val="en-GB"/>
              </w:rPr>
              <w:t>SP500</w:t>
            </w:r>
            <w:r w:rsidR="00B343CE" w:rsidRPr="006F5452">
              <w:rPr>
                <w:rFonts w:eastAsia="Calibri" w:cs="Times New Roman"/>
                <w:iCs/>
                <w:sz w:val="20"/>
                <w:szCs w:val="20"/>
                <w:lang w:val="en-GB"/>
              </w:rPr>
              <w:t>(-1)</w:t>
            </w:r>
          </w:p>
        </w:tc>
        <w:tc>
          <w:tcPr>
            <w:tcW w:w="1767" w:type="dxa"/>
          </w:tcPr>
          <w:p w14:paraId="5732714C" w14:textId="0A962336" w:rsidR="00A464CD" w:rsidRPr="006F5452" w:rsidRDefault="00B343CE" w:rsidP="008E4F7D">
            <w:pPr>
              <w:spacing w:line="276" w:lineRule="auto"/>
              <w:jc w:val="right"/>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0.2426</w:t>
            </w:r>
            <w:r w:rsidR="00CA003D" w:rsidRPr="006F5452">
              <w:rPr>
                <w:rFonts w:cs="Times New Roman"/>
                <w:sz w:val="20"/>
                <w:szCs w:val="20"/>
                <w:lang w:val="en-GB"/>
              </w:rPr>
              <w:t>***</w:t>
            </w:r>
          </w:p>
        </w:tc>
        <w:tc>
          <w:tcPr>
            <w:tcW w:w="1427" w:type="dxa"/>
          </w:tcPr>
          <w:p w14:paraId="4531662C" w14:textId="3265BD9B" w:rsidR="00A464CD" w:rsidRPr="006F5452" w:rsidRDefault="00CA003D" w:rsidP="00A464CD">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sz w:val="20"/>
                <w:szCs w:val="20"/>
                <w:lang w:val="en-GB"/>
              </w:rPr>
              <w:t>0.0804</w:t>
            </w:r>
          </w:p>
        </w:tc>
      </w:tr>
      <w:tr w:rsidR="006F5452" w:rsidRPr="006F5452" w14:paraId="5D7DA6B0" w14:textId="77777777" w:rsidTr="00670B80">
        <w:tc>
          <w:tcPr>
            <w:cnfStyle w:val="001000000000" w:firstRow="0" w:lastRow="0" w:firstColumn="1" w:lastColumn="0" w:oddVBand="0" w:evenVBand="0" w:oddHBand="0" w:evenHBand="0" w:firstRowFirstColumn="0" w:firstRowLastColumn="0" w:lastRowFirstColumn="0" w:lastRowLastColumn="0"/>
            <w:tcW w:w="1619" w:type="dxa"/>
          </w:tcPr>
          <w:p w14:paraId="7F2E308F" w14:textId="4ED151C2" w:rsidR="00A464CD" w:rsidRPr="006F5452" w:rsidRDefault="00A464CD" w:rsidP="00A464CD">
            <w:pPr>
              <w:spacing w:line="276" w:lineRule="auto"/>
              <w:ind w:left="1440" w:hanging="1440"/>
              <w:rPr>
                <w:rFonts w:cs="Times New Roman"/>
                <w:sz w:val="20"/>
                <w:szCs w:val="20"/>
                <w:lang w:val="en-GB"/>
              </w:rPr>
            </w:pPr>
            <w:r w:rsidRPr="006F5452">
              <w:rPr>
                <w:rFonts w:cs="Times New Roman"/>
                <w:b w:val="0"/>
                <w:bCs w:val="0"/>
                <w:sz w:val="20"/>
                <w:szCs w:val="20"/>
                <w:lang w:val="en-GB"/>
              </w:rPr>
              <w:t>∆GB (-1)</w:t>
            </w:r>
          </w:p>
        </w:tc>
        <w:tc>
          <w:tcPr>
            <w:tcW w:w="1411" w:type="dxa"/>
          </w:tcPr>
          <w:p w14:paraId="2A09CDF8" w14:textId="2DD156E7" w:rsidR="00A464CD" w:rsidRPr="006F5452" w:rsidRDefault="00D84CE4" w:rsidP="00D84CE4">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w:t>
            </w:r>
            <w:r w:rsidR="00A464CD" w:rsidRPr="006F5452">
              <w:rPr>
                <w:sz w:val="20"/>
                <w:szCs w:val="20"/>
                <w:lang w:val="en-GB"/>
              </w:rPr>
              <w:t>0.1762*</w:t>
            </w:r>
          </w:p>
        </w:tc>
        <w:tc>
          <w:tcPr>
            <w:tcW w:w="1578" w:type="dxa"/>
          </w:tcPr>
          <w:p w14:paraId="552F6BD9" w14:textId="1FB621CD" w:rsidR="00A464CD" w:rsidRPr="006F5452" w:rsidRDefault="00A464CD" w:rsidP="00A464C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0.0958</w:t>
            </w:r>
          </w:p>
        </w:tc>
        <w:tc>
          <w:tcPr>
            <w:tcW w:w="1440" w:type="dxa"/>
          </w:tcPr>
          <w:p w14:paraId="17494BFC" w14:textId="496D5F0C" w:rsidR="00A464CD" w:rsidRPr="006F5452" w:rsidRDefault="00A464CD" w:rsidP="00A464CD">
            <w:pPr>
              <w:spacing w:line="276" w:lineRule="auto"/>
              <w:cnfStyle w:val="000000000000" w:firstRow="0" w:lastRow="0" w:firstColumn="0" w:lastColumn="0" w:oddVBand="0" w:evenVBand="0" w:oddHBand="0" w:evenHBand="0" w:firstRowFirstColumn="0" w:firstRowLastColumn="0" w:lastRowFirstColumn="0" w:lastRowLastColumn="0"/>
              <w:rPr>
                <w:rFonts w:eastAsia="Calibri" w:cs="Times New Roman"/>
                <w:iCs/>
                <w:sz w:val="20"/>
                <w:szCs w:val="20"/>
                <w:lang w:val="en-GB"/>
              </w:rPr>
            </w:pPr>
          </w:p>
        </w:tc>
        <w:tc>
          <w:tcPr>
            <w:tcW w:w="1767" w:type="dxa"/>
          </w:tcPr>
          <w:p w14:paraId="71F4C874" w14:textId="6AEE0CC9" w:rsidR="00A464CD" w:rsidRPr="006F5452" w:rsidRDefault="00A464CD" w:rsidP="00A464CD">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56BAF609" w14:textId="3F564050" w:rsidR="00A464CD" w:rsidRPr="006F5452" w:rsidRDefault="00A464CD" w:rsidP="00A464CD">
            <w:pPr>
              <w:spacing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6F5452" w:rsidRPr="006F5452" w14:paraId="0E1ABFF3" w14:textId="77777777" w:rsidTr="00A42C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3A10F3B6" w14:textId="12CC3E63" w:rsidR="00B343CE" w:rsidRPr="006F5452" w:rsidRDefault="00B343CE" w:rsidP="00B343CE">
            <w:pPr>
              <w:spacing w:line="276" w:lineRule="auto"/>
              <w:rPr>
                <w:rFonts w:cs="Times New Roman"/>
                <w:b w:val="0"/>
                <w:bCs w:val="0"/>
                <w:sz w:val="20"/>
                <w:szCs w:val="20"/>
                <w:lang w:val="en-GB"/>
              </w:rPr>
            </w:pPr>
            <w:r w:rsidRPr="006F5452">
              <w:rPr>
                <w:rFonts w:cs="Times New Roman"/>
                <w:b w:val="0"/>
                <w:bCs w:val="0"/>
                <w:sz w:val="20"/>
                <w:szCs w:val="20"/>
                <w:lang w:val="en-GB"/>
              </w:rPr>
              <w:t>∆SP500(-1)</w:t>
            </w:r>
          </w:p>
        </w:tc>
        <w:tc>
          <w:tcPr>
            <w:tcW w:w="1411" w:type="dxa"/>
          </w:tcPr>
          <w:p w14:paraId="376272DF" w14:textId="40822997" w:rsidR="00B343CE" w:rsidRPr="006F5452" w:rsidRDefault="00B343CE" w:rsidP="00D84CE4">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18"/>
              </w:rPr>
              <w:t>-0.0562***</w:t>
            </w:r>
          </w:p>
        </w:tc>
        <w:tc>
          <w:tcPr>
            <w:tcW w:w="1578" w:type="dxa"/>
          </w:tcPr>
          <w:p w14:paraId="56DDA21D" w14:textId="5C826696" w:rsidR="00B343CE" w:rsidRPr="006F5452" w:rsidRDefault="00B343CE" w:rsidP="00B343CE">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18"/>
              </w:rPr>
              <w:t>0.0031</w:t>
            </w:r>
          </w:p>
        </w:tc>
        <w:tc>
          <w:tcPr>
            <w:tcW w:w="1440" w:type="dxa"/>
          </w:tcPr>
          <w:p w14:paraId="0FA108DB" w14:textId="13922B59" w:rsidR="00B343CE" w:rsidRPr="006F5452" w:rsidRDefault="00B343CE" w:rsidP="00B343CE">
            <w:pPr>
              <w:spacing w:line="276"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767" w:type="dxa"/>
          </w:tcPr>
          <w:p w14:paraId="2FDD76A0" w14:textId="6DD15AB8" w:rsidR="00B343CE" w:rsidRPr="006F5452" w:rsidRDefault="00B343CE" w:rsidP="00B343C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5E1CB363" w14:textId="419E37D9" w:rsidR="00B343CE" w:rsidRPr="006F5452" w:rsidRDefault="00B343CE" w:rsidP="00B343CE">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6F5452" w:rsidRPr="006F5452" w14:paraId="6B0326EC" w14:textId="77777777" w:rsidTr="00A42CF2">
        <w:tc>
          <w:tcPr>
            <w:cnfStyle w:val="001000000000" w:firstRow="0" w:lastRow="0" w:firstColumn="1" w:lastColumn="0" w:oddVBand="0" w:evenVBand="0" w:oddHBand="0" w:evenHBand="0" w:firstRowFirstColumn="0" w:firstRowLastColumn="0" w:lastRowFirstColumn="0" w:lastRowLastColumn="0"/>
            <w:tcW w:w="1619" w:type="dxa"/>
          </w:tcPr>
          <w:p w14:paraId="33427EBB" w14:textId="11A67571" w:rsidR="00B343CE" w:rsidRPr="006F5452" w:rsidRDefault="00B343CE" w:rsidP="00B343CE">
            <w:pPr>
              <w:spacing w:line="276" w:lineRule="auto"/>
              <w:rPr>
                <w:rFonts w:eastAsia="Calibri" w:cs="Times New Roman"/>
                <w:b w:val="0"/>
                <w:bCs w:val="0"/>
                <w:sz w:val="20"/>
                <w:szCs w:val="20"/>
                <w:lang w:val="en-GB"/>
              </w:rPr>
            </w:pPr>
            <w:r w:rsidRPr="006F5452">
              <w:rPr>
                <w:rFonts w:cs="Times New Roman"/>
                <w:b w:val="0"/>
                <w:bCs w:val="0"/>
                <w:sz w:val="20"/>
                <w:szCs w:val="20"/>
                <w:lang w:val="en-GB"/>
              </w:rPr>
              <w:t>∆SP500(-2)</w:t>
            </w:r>
          </w:p>
        </w:tc>
        <w:tc>
          <w:tcPr>
            <w:tcW w:w="1411" w:type="dxa"/>
          </w:tcPr>
          <w:p w14:paraId="1904A148" w14:textId="39F42793" w:rsidR="00B343CE" w:rsidRPr="006F5452" w:rsidRDefault="00B343CE" w:rsidP="00D84CE4">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18"/>
                <w:lang w:val="en-GB"/>
              </w:rPr>
            </w:pPr>
            <w:r w:rsidRPr="006F5452">
              <w:rPr>
                <w:sz w:val="20"/>
                <w:szCs w:val="18"/>
              </w:rPr>
              <w:t>0.0913**</w:t>
            </w:r>
          </w:p>
        </w:tc>
        <w:tc>
          <w:tcPr>
            <w:tcW w:w="1578" w:type="dxa"/>
          </w:tcPr>
          <w:p w14:paraId="61ABF65C" w14:textId="669EFCBB" w:rsidR="00B343CE" w:rsidRPr="006F5452" w:rsidRDefault="00B343CE" w:rsidP="00B343C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18"/>
                <w:lang w:val="en-GB"/>
              </w:rPr>
            </w:pPr>
            <w:r w:rsidRPr="006F5452">
              <w:rPr>
                <w:sz w:val="20"/>
                <w:szCs w:val="18"/>
              </w:rPr>
              <w:t>0.0355</w:t>
            </w:r>
          </w:p>
        </w:tc>
        <w:tc>
          <w:tcPr>
            <w:tcW w:w="1440" w:type="dxa"/>
          </w:tcPr>
          <w:p w14:paraId="1D1711E6" w14:textId="6E4ABBBA" w:rsidR="00B343CE" w:rsidRPr="006F5452" w:rsidRDefault="00B343CE" w:rsidP="00B343CE">
            <w:pPr>
              <w:spacing w:line="276"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767" w:type="dxa"/>
          </w:tcPr>
          <w:p w14:paraId="19165C4E" w14:textId="2F0F054A" w:rsidR="00B343CE" w:rsidRPr="006F5452" w:rsidRDefault="00B343CE" w:rsidP="00B343C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09DFD536" w14:textId="7A692721" w:rsidR="00B343CE" w:rsidRPr="006F5452" w:rsidRDefault="00B343CE" w:rsidP="00B343CE">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640D87F0" w14:textId="77777777" w:rsidTr="00D053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4B4CA2B3" w14:textId="77777777" w:rsidR="00D05383" w:rsidRPr="006F5452" w:rsidRDefault="00D05383" w:rsidP="00D05383">
            <w:pPr>
              <w:spacing w:line="276" w:lineRule="auto"/>
              <w:rPr>
                <w:rFonts w:eastAsia="Calibri" w:cs="Times New Roman"/>
                <w:b w:val="0"/>
                <w:bCs w:val="0"/>
                <w:iCs/>
                <w:sz w:val="20"/>
                <w:szCs w:val="20"/>
                <w:lang w:val="en-GB"/>
              </w:rPr>
            </w:pPr>
            <w:r w:rsidRPr="006F5452">
              <w:rPr>
                <w:rFonts w:eastAsia="Calibri" w:cs="Times New Roman"/>
                <w:b w:val="0"/>
                <w:bCs w:val="0"/>
                <w:iCs/>
                <w:sz w:val="20"/>
                <w:szCs w:val="20"/>
                <w:lang w:val="en-GB"/>
              </w:rPr>
              <w:t xml:space="preserve">Constant </w:t>
            </w:r>
          </w:p>
        </w:tc>
        <w:tc>
          <w:tcPr>
            <w:tcW w:w="1411" w:type="dxa"/>
          </w:tcPr>
          <w:p w14:paraId="560A8F42" w14:textId="0912966E" w:rsidR="00D05383" w:rsidRPr="006F5452" w:rsidRDefault="0019277A" w:rsidP="00D84CE4">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rFonts w:cs="Times New Roman"/>
                <w:sz w:val="20"/>
                <w:szCs w:val="20"/>
                <w:lang w:val="en-GB"/>
              </w:rPr>
              <w:t>-0.51465***</w:t>
            </w:r>
          </w:p>
        </w:tc>
        <w:tc>
          <w:tcPr>
            <w:tcW w:w="1578" w:type="dxa"/>
          </w:tcPr>
          <w:p w14:paraId="6E26B5D5" w14:textId="5E2662DE"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0.05</w:t>
            </w:r>
            <w:r w:rsidR="0019277A" w:rsidRPr="006F5452">
              <w:rPr>
                <w:sz w:val="20"/>
                <w:szCs w:val="20"/>
                <w:lang w:val="en-GB"/>
              </w:rPr>
              <w:t>51</w:t>
            </w:r>
          </w:p>
        </w:tc>
        <w:tc>
          <w:tcPr>
            <w:tcW w:w="1440" w:type="dxa"/>
          </w:tcPr>
          <w:p w14:paraId="5E1AAAEE" w14:textId="77777777"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767" w:type="dxa"/>
          </w:tcPr>
          <w:p w14:paraId="401C64B9" w14:textId="026C5F8C"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1C50D524" w14:textId="1CD06982"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r>
      <w:tr w:rsidR="006F5452" w:rsidRPr="006F5452" w14:paraId="4D673CD5" w14:textId="77777777" w:rsidTr="00670B80">
        <w:tc>
          <w:tcPr>
            <w:cnfStyle w:val="001000000000" w:firstRow="0" w:lastRow="0" w:firstColumn="1" w:lastColumn="0" w:oddVBand="0" w:evenVBand="0" w:oddHBand="0" w:evenHBand="0" w:firstRowFirstColumn="0" w:firstRowLastColumn="0" w:lastRowFirstColumn="0" w:lastRowLastColumn="0"/>
            <w:tcW w:w="1619" w:type="dxa"/>
            <w:hideMark/>
          </w:tcPr>
          <w:p w14:paraId="7624F56D" w14:textId="77777777" w:rsidR="00D05383" w:rsidRPr="006F5452" w:rsidRDefault="00D05383" w:rsidP="00D05383">
            <w:pPr>
              <w:spacing w:line="276" w:lineRule="auto"/>
              <w:rPr>
                <w:rFonts w:eastAsiaTheme="minorEastAsia"/>
                <w:b w:val="0"/>
                <w:bCs w:val="0"/>
                <w:iCs/>
                <w:sz w:val="20"/>
                <w:szCs w:val="20"/>
                <w:lang w:val="en-GB"/>
              </w:rPr>
            </w:pPr>
            <w:r w:rsidRPr="006F5452">
              <w:rPr>
                <w:rFonts w:eastAsiaTheme="minorEastAsia"/>
                <w:b w:val="0"/>
                <w:bCs w:val="0"/>
                <w:iCs/>
                <w:sz w:val="20"/>
                <w:szCs w:val="20"/>
                <w:lang w:val="en-GB"/>
              </w:rPr>
              <w:t xml:space="preserve">Asymmetries </w:t>
            </w:r>
          </w:p>
        </w:tc>
        <w:tc>
          <w:tcPr>
            <w:tcW w:w="1411" w:type="dxa"/>
          </w:tcPr>
          <w:p w14:paraId="02E83E61" w14:textId="77777777"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578" w:type="dxa"/>
          </w:tcPr>
          <w:p w14:paraId="22ADB262" w14:textId="77777777"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40" w:type="dxa"/>
          </w:tcPr>
          <w:p w14:paraId="7CA11458" w14:textId="77777777"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767" w:type="dxa"/>
          </w:tcPr>
          <w:p w14:paraId="4A967465" w14:textId="77777777"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08FC2D6C" w14:textId="77777777"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524D32F6" w14:textId="77777777" w:rsidTr="00FC5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0C95A4DA" w14:textId="77777777" w:rsidR="00D05383" w:rsidRPr="006F5452" w:rsidRDefault="00D05383" w:rsidP="00D05383">
            <w:pPr>
              <w:spacing w:line="276" w:lineRule="auto"/>
              <w:rPr>
                <w:rFonts w:eastAsiaTheme="minorEastAsia"/>
                <w:b w:val="0"/>
                <w:bCs w:val="0"/>
                <w:iCs/>
                <w:sz w:val="20"/>
                <w:szCs w:val="20"/>
                <w:lang w:val="en-GB"/>
              </w:rPr>
            </w:pPr>
            <w:r w:rsidRPr="006F5452">
              <w:rPr>
                <w:rFonts w:eastAsiaTheme="minorEastAsia"/>
                <w:b w:val="0"/>
                <w:bCs w:val="0"/>
                <w:iCs/>
                <w:sz w:val="20"/>
                <w:szCs w:val="20"/>
                <w:lang w:val="en-GB"/>
              </w:rPr>
              <w:t>W</w:t>
            </w:r>
            <w:r w:rsidRPr="006F5452">
              <w:rPr>
                <w:rFonts w:eastAsiaTheme="minorEastAsia"/>
                <w:b w:val="0"/>
                <w:bCs w:val="0"/>
                <w:iCs/>
                <w:sz w:val="20"/>
                <w:szCs w:val="20"/>
                <w:vertAlign w:val="subscript"/>
                <w:lang w:val="en-GB"/>
              </w:rPr>
              <w:t>SR</w:t>
            </w:r>
          </w:p>
        </w:tc>
        <w:tc>
          <w:tcPr>
            <w:tcW w:w="1411" w:type="dxa"/>
            <w:hideMark/>
          </w:tcPr>
          <w:p w14:paraId="63E20121" w14:textId="273636AC"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2.1750</w:t>
            </w:r>
          </w:p>
        </w:tc>
        <w:tc>
          <w:tcPr>
            <w:tcW w:w="1578" w:type="dxa"/>
            <w:hideMark/>
          </w:tcPr>
          <w:p w14:paraId="70524932" w14:textId="6E3F9758"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[0.0921]</w:t>
            </w:r>
          </w:p>
        </w:tc>
        <w:tc>
          <w:tcPr>
            <w:tcW w:w="1440" w:type="dxa"/>
          </w:tcPr>
          <w:p w14:paraId="1FCEE6D2" w14:textId="77777777"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767" w:type="dxa"/>
          </w:tcPr>
          <w:p w14:paraId="5F79D03E" w14:textId="1DBF0221"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5F36BF13" w14:textId="11E87436"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6F5452" w:rsidRPr="006F5452" w14:paraId="117ADF60" w14:textId="77777777" w:rsidTr="00FC5E53">
        <w:tc>
          <w:tcPr>
            <w:cnfStyle w:val="001000000000" w:firstRow="0" w:lastRow="0" w:firstColumn="1" w:lastColumn="0" w:oddVBand="0" w:evenVBand="0" w:oddHBand="0" w:evenHBand="0" w:firstRowFirstColumn="0" w:firstRowLastColumn="0" w:lastRowFirstColumn="0" w:lastRowLastColumn="0"/>
            <w:tcW w:w="1619" w:type="dxa"/>
            <w:hideMark/>
          </w:tcPr>
          <w:p w14:paraId="76A8F941" w14:textId="77777777" w:rsidR="00D05383" w:rsidRPr="006F5452" w:rsidRDefault="00D05383" w:rsidP="00D05383">
            <w:pPr>
              <w:spacing w:line="276" w:lineRule="auto"/>
              <w:rPr>
                <w:rFonts w:eastAsiaTheme="minorEastAsia"/>
                <w:b w:val="0"/>
                <w:bCs w:val="0"/>
                <w:iCs/>
                <w:sz w:val="20"/>
                <w:szCs w:val="20"/>
                <w:lang w:val="en-GB"/>
              </w:rPr>
            </w:pPr>
            <w:r w:rsidRPr="006F5452">
              <w:rPr>
                <w:rFonts w:eastAsiaTheme="minorEastAsia"/>
                <w:b w:val="0"/>
                <w:bCs w:val="0"/>
                <w:iCs/>
                <w:sz w:val="20"/>
                <w:szCs w:val="20"/>
                <w:lang w:val="en-GB"/>
              </w:rPr>
              <w:t>W</w:t>
            </w:r>
            <w:r w:rsidRPr="006F5452">
              <w:rPr>
                <w:rFonts w:eastAsiaTheme="minorEastAsia"/>
                <w:b w:val="0"/>
                <w:bCs w:val="0"/>
                <w:iCs/>
                <w:sz w:val="20"/>
                <w:szCs w:val="20"/>
                <w:vertAlign w:val="subscript"/>
                <w:lang w:val="en-GB"/>
              </w:rPr>
              <w:t>LR</w:t>
            </w:r>
          </w:p>
        </w:tc>
        <w:tc>
          <w:tcPr>
            <w:tcW w:w="1411" w:type="dxa"/>
            <w:hideMark/>
          </w:tcPr>
          <w:p w14:paraId="4B6F3669" w14:textId="33802119"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1.2886</w:t>
            </w:r>
          </w:p>
        </w:tc>
        <w:tc>
          <w:tcPr>
            <w:tcW w:w="1578" w:type="dxa"/>
            <w:hideMark/>
          </w:tcPr>
          <w:p w14:paraId="04874778" w14:textId="01EBAB10"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[0.0582]</w:t>
            </w:r>
          </w:p>
        </w:tc>
        <w:tc>
          <w:tcPr>
            <w:tcW w:w="1440" w:type="dxa"/>
          </w:tcPr>
          <w:p w14:paraId="54CD7A98" w14:textId="77777777"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767" w:type="dxa"/>
          </w:tcPr>
          <w:p w14:paraId="69E4F54E" w14:textId="6C080EF2"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0FA3943F" w14:textId="43C15C8B"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6B100254" w14:textId="77777777" w:rsidTr="00670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gridSpan w:val="3"/>
            <w:hideMark/>
          </w:tcPr>
          <w:p w14:paraId="31D818FA" w14:textId="77777777" w:rsidR="00D05383" w:rsidRPr="006F5452" w:rsidRDefault="00D05383" w:rsidP="00D05383">
            <w:pPr>
              <w:spacing w:line="276" w:lineRule="auto"/>
              <w:rPr>
                <w:rFonts w:cs="Times New Roman"/>
                <w:b w:val="0"/>
                <w:bCs w:val="0"/>
                <w:sz w:val="20"/>
                <w:szCs w:val="20"/>
                <w:lang w:val="en-GB"/>
              </w:rPr>
            </w:pPr>
            <w:r w:rsidRPr="006F5452">
              <w:rPr>
                <w:rFonts w:eastAsia="Calibri" w:cs="Times New Roman"/>
                <w:b w:val="0"/>
                <w:bCs w:val="0"/>
                <w:iCs/>
                <w:sz w:val="20"/>
                <w:szCs w:val="20"/>
                <w:lang w:val="en-GB"/>
              </w:rPr>
              <w:t>Diagnostics tests</w:t>
            </w:r>
          </w:p>
        </w:tc>
        <w:tc>
          <w:tcPr>
            <w:tcW w:w="1440" w:type="dxa"/>
          </w:tcPr>
          <w:p w14:paraId="4A430403" w14:textId="77777777"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767" w:type="dxa"/>
          </w:tcPr>
          <w:p w14:paraId="07FDD517" w14:textId="77777777"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2FE47958" w14:textId="77777777"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6F5452" w:rsidRPr="006F5452" w14:paraId="30A8F7AE" w14:textId="77777777" w:rsidTr="00FC5E53">
        <w:tc>
          <w:tcPr>
            <w:cnfStyle w:val="001000000000" w:firstRow="0" w:lastRow="0" w:firstColumn="1" w:lastColumn="0" w:oddVBand="0" w:evenVBand="0" w:oddHBand="0" w:evenHBand="0" w:firstRowFirstColumn="0" w:firstRowLastColumn="0" w:lastRowFirstColumn="0" w:lastRowLastColumn="0"/>
            <w:tcW w:w="1619" w:type="dxa"/>
            <w:hideMark/>
          </w:tcPr>
          <w:p w14:paraId="603636CB" w14:textId="77777777" w:rsidR="00D05383" w:rsidRPr="006F5452" w:rsidRDefault="00D05383" w:rsidP="00D05383">
            <w:pPr>
              <w:spacing w:line="276" w:lineRule="auto"/>
              <w:rPr>
                <w:rFonts w:eastAsia="Calibri" w:cs="Times New Roman"/>
                <w:b w:val="0"/>
                <w:bCs w:val="0"/>
                <w:iCs/>
                <w:sz w:val="20"/>
                <w:szCs w:val="20"/>
                <w:lang w:val="en-GB"/>
              </w:rPr>
            </w:pPr>
            <w:r w:rsidRPr="006F5452">
              <w:rPr>
                <w:rFonts w:eastAsia="Calibri" w:cs="Times New Roman"/>
                <w:b w:val="0"/>
                <w:bCs w:val="0"/>
                <w:iCs/>
                <w:sz w:val="20"/>
                <w:szCs w:val="20"/>
                <w:lang w:val="en-GB"/>
              </w:rPr>
              <w:t>R</w:t>
            </w:r>
            <w:r w:rsidRPr="006F5452">
              <w:rPr>
                <w:rFonts w:eastAsia="Calibri" w:cs="Times New Roman"/>
                <w:b w:val="0"/>
                <w:bCs w:val="0"/>
                <w:iCs/>
                <w:sz w:val="20"/>
                <w:szCs w:val="20"/>
                <w:vertAlign w:val="superscript"/>
                <w:lang w:val="en-GB"/>
              </w:rPr>
              <w:t>2</w:t>
            </w:r>
          </w:p>
        </w:tc>
        <w:tc>
          <w:tcPr>
            <w:tcW w:w="1411" w:type="dxa"/>
            <w:hideMark/>
          </w:tcPr>
          <w:p w14:paraId="1AE0E157" w14:textId="33C5D451"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0.6871</w:t>
            </w:r>
          </w:p>
        </w:tc>
        <w:tc>
          <w:tcPr>
            <w:tcW w:w="1578" w:type="dxa"/>
          </w:tcPr>
          <w:p w14:paraId="4031870B" w14:textId="77777777"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40" w:type="dxa"/>
          </w:tcPr>
          <w:p w14:paraId="471692ED" w14:textId="77777777"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767" w:type="dxa"/>
          </w:tcPr>
          <w:p w14:paraId="480F7772" w14:textId="72423DDA"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14663918" w14:textId="77777777"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60B13B79" w14:textId="77777777" w:rsidTr="00FC5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5D329D42" w14:textId="77777777" w:rsidR="00D05383" w:rsidRPr="006F5452" w:rsidRDefault="00D05383" w:rsidP="00D05383">
            <w:pPr>
              <w:spacing w:line="276" w:lineRule="auto"/>
              <w:rPr>
                <w:rFonts w:eastAsia="Calibri" w:cs="Times New Roman"/>
                <w:b w:val="0"/>
                <w:bCs w:val="0"/>
                <w:sz w:val="20"/>
                <w:szCs w:val="20"/>
                <w:lang w:val="en-GB"/>
              </w:rPr>
            </w:pPr>
            <w:r w:rsidRPr="006F5452">
              <w:rPr>
                <w:rFonts w:eastAsia="Calibri" w:cs="Times New Roman"/>
                <w:b w:val="0"/>
                <w:bCs w:val="0"/>
                <w:sz w:val="20"/>
                <w:szCs w:val="20"/>
                <w:lang w:val="en-GB"/>
              </w:rPr>
              <w:t>ECM (-1)</w:t>
            </w:r>
          </w:p>
        </w:tc>
        <w:tc>
          <w:tcPr>
            <w:tcW w:w="1411" w:type="dxa"/>
            <w:hideMark/>
          </w:tcPr>
          <w:p w14:paraId="79C7DF04" w14:textId="578484D3"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-0.9680***</w:t>
            </w:r>
          </w:p>
        </w:tc>
        <w:tc>
          <w:tcPr>
            <w:tcW w:w="1578" w:type="dxa"/>
            <w:hideMark/>
          </w:tcPr>
          <w:p w14:paraId="03C387D4" w14:textId="4BDE255E"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0.0926</w:t>
            </w:r>
          </w:p>
        </w:tc>
        <w:tc>
          <w:tcPr>
            <w:tcW w:w="1440" w:type="dxa"/>
          </w:tcPr>
          <w:p w14:paraId="7F3E8EBA" w14:textId="77777777"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767" w:type="dxa"/>
          </w:tcPr>
          <w:p w14:paraId="1DF6770C" w14:textId="62B59813"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1341DC68" w14:textId="724BD84B"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6F5452" w:rsidRPr="006F5452" w14:paraId="0100DA63" w14:textId="77777777" w:rsidTr="00FC5E53">
        <w:tc>
          <w:tcPr>
            <w:cnfStyle w:val="001000000000" w:firstRow="0" w:lastRow="0" w:firstColumn="1" w:lastColumn="0" w:oddVBand="0" w:evenVBand="0" w:oddHBand="0" w:evenHBand="0" w:firstRowFirstColumn="0" w:firstRowLastColumn="0" w:lastRowFirstColumn="0" w:lastRowLastColumn="0"/>
            <w:tcW w:w="1619" w:type="dxa"/>
            <w:hideMark/>
          </w:tcPr>
          <w:p w14:paraId="0A438BEB" w14:textId="77777777" w:rsidR="00D05383" w:rsidRPr="006F5452" w:rsidRDefault="00D05383" w:rsidP="00D05383">
            <w:pPr>
              <w:spacing w:line="276" w:lineRule="auto"/>
              <w:rPr>
                <w:rFonts w:cs="Times New Roman"/>
                <w:b w:val="0"/>
                <w:bCs w:val="0"/>
                <w:iCs/>
                <w:sz w:val="20"/>
                <w:szCs w:val="20"/>
                <w:lang w:val="en-GB"/>
              </w:rPr>
            </w:pPr>
            <w:r w:rsidRPr="006F5452">
              <w:rPr>
                <w:rFonts w:cs="Times New Roman"/>
                <w:b w:val="0"/>
                <w:bCs w:val="0"/>
                <w:iCs/>
                <w:sz w:val="20"/>
                <w:szCs w:val="20"/>
                <w:lang w:val="en-GB"/>
              </w:rPr>
              <w:t>χ</w:t>
            </w:r>
            <w:r w:rsidRPr="006F5452">
              <w:rPr>
                <w:rFonts w:cs="Times New Roman"/>
                <w:b w:val="0"/>
                <w:bCs w:val="0"/>
                <w:iCs/>
                <w:sz w:val="20"/>
                <w:szCs w:val="20"/>
                <w:vertAlign w:val="superscript"/>
                <w:lang w:val="en-GB"/>
              </w:rPr>
              <w:t>2</w:t>
            </w:r>
            <w:r w:rsidRPr="006F5452">
              <w:rPr>
                <w:rFonts w:cs="Times New Roman"/>
                <w:b w:val="0"/>
                <w:bCs w:val="0"/>
                <w:iCs/>
                <w:sz w:val="20"/>
                <w:szCs w:val="20"/>
                <w:vertAlign w:val="subscript"/>
                <w:lang w:val="en-GB"/>
              </w:rPr>
              <w:t>HETR</w:t>
            </w:r>
          </w:p>
        </w:tc>
        <w:tc>
          <w:tcPr>
            <w:tcW w:w="1411" w:type="dxa"/>
            <w:hideMark/>
          </w:tcPr>
          <w:p w14:paraId="5C5B6C9E" w14:textId="525810E5"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1.7759</w:t>
            </w:r>
          </w:p>
        </w:tc>
        <w:tc>
          <w:tcPr>
            <w:tcW w:w="1578" w:type="dxa"/>
            <w:hideMark/>
          </w:tcPr>
          <w:p w14:paraId="3A62D6B8" w14:textId="7A8A19B8"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[0.9343]</w:t>
            </w:r>
          </w:p>
        </w:tc>
        <w:tc>
          <w:tcPr>
            <w:tcW w:w="1440" w:type="dxa"/>
          </w:tcPr>
          <w:p w14:paraId="7CD42B34" w14:textId="77777777"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767" w:type="dxa"/>
          </w:tcPr>
          <w:p w14:paraId="728A6C57" w14:textId="4173A5E6"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436B2896" w14:textId="6B980138"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0B7D4378" w14:textId="77777777" w:rsidTr="00FC5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18C6BDEA" w14:textId="77777777" w:rsidR="00D05383" w:rsidRPr="006F5452" w:rsidRDefault="00D05383" w:rsidP="00D05383">
            <w:pPr>
              <w:spacing w:line="276" w:lineRule="auto"/>
              <w:rPr>
                <w:rFonts w:cs="Times New Roman"/>
                <w:b w:val="0"/>
                <w:bCs w:val="0"/>
                <w:iCs/>
                <w:sz w:val="20"/>
                <w:szCs w:val="20"/>
                <w:lang w:val="en-GB"/>
              </w:rPr>
            </w:pPr>
            <w:r w:rsidRPr="006F5452">
              <w:rPr>
                <w:rFonts w:cs="Times New Roman"/>
                <w:b w:val="0"/>
                <w:bCs w:val="0"/>
                <w:iCs/>
                <w:sz w:val="20"/>
                <w:szCs w:val="20"/>
                <w:lang w:val="en-GB"/>
              </w:rPr>
              <w:t>χ</w:t>
            </w:r>
            <w:r w:rsidRPr="006F5452">
              <w:rPr>
                <w:rFonts w:cs="Times New Roman"/>
                <w:b w:val="0"/>
                <w:bCs w:val="0"/>
                <w:iCs/>
                <w:sz w:val="20"/>
                <w:szCs w:val="20"/>
                <w:vertAlign w:val="superscript"/>
                <w:lang w:val="en-GB"/>
              </w:rPr>
              <w:t>2</w:t>
            </w:r>
            <w:r w:rsidRPr="006F5452">
              <w:rPr>
                <w:rFonts w:cs="Times New Roman"/>
                <w:b w:val="0"/>
                <w:bCs w:val="0"/>
                <w:iCs/>
                <w:sz w:val="20"/>
                <w:szCs w:val="20"/>
                <w:vertAlign w:val="subscript"/>
                <w:lang w:val="en-GB"/>
              </w:rPr>
              <w:t>SC</w:t>
            </w:r>
          </w:p>
        </w:tc>
        <w:tc>
          <w:tcPr>
            <w:tcW w:w="1411" w:type="dxa"/>
            <w:hideMark/>
          </w:tcPr>
          <w:p w14:paraId="1B708B75" w14:textId="0CD71BE8"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0.7548</w:t>
            </w:r>
          </w:p>
        </w:tc>
        <w:tc>
          <w:tcPr>
            <w:tcW w:w="1578" w:type="dxa"/>
            <w:hideMark/>
          </w:tcPr>
          <w:p w14:paraId="47A2D77D" w14:textId="099F7FDA"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[0.6856]</w:t>
            </w:r>
          </w:p>
        </w:tc>
        <w:tc>
          <w:tcPr>
            <w:tcW w:w="1440" w:type="dxa"/>
          </w:tcPr>
          <w:p w14:paraId="4D31BFA5" w14:textId="77777777"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767" w:type="dxa"/>
          </w:tcPr>
          <w:p w14:paraId="08920E63" w14:textId="5F96FDE1"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663E9F97" w14:textId="0CB03968"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6F5452" w:rsidRPr="006F5452" w14:paraId="63437E4A" w14:textId="77777777" w:rsidTr="00FC5E53">
        <w:tc>
          <w:tcPr>
            <w:cnfStyle w:val="001000000000" w:firstRow="0" w:lastRow="0" w:firstColumn="1" w:lastColumn="0" w:oddVBand="0" w:evenVBand="0" w:oddHBand="0" w:evenHBand="0" w:firstRowFirstColumn="0" w:firstRowLastColumn="0" w:lastRowFirstColumn="0" w:lastRowLastColumn="0"/>
            <w:tcW w:w="1619" w:type="dxa"/>
            <w:hideMark/>
          </w:tcPr>
          <w:p w14:paraId="5F91FD60" w14:textId="77777777" w:rsidR="00D05383" w:rsidRPr="006F5452" w:rsidRDefault="00D05383" w:rsidP="00D05383">
            <w:pPr>
              <w:spacing w:line="276" w:lineRule="auto"/>
              <w:rPr>
                <w:rFonts w:cs="Times New Roman"/>
                <w:iCs/>
                <w:sz w:val="20"/>
                <w:szCs w:val="20"/>
                <w:lang w:val="en-GB"/>
              </w:rPr>
            </w:pPr>
            <w:r w:rsidRPr="006F5452">
              <w:rPr>
                <w:rFonts w:cs="Times New Roman"/>
                <w:b w:val="0"/>
                <w:bCs w:val="0"/>
                <w:iCs/>
                <w:sz w:val="20"/>
                <w:szCs w:val="20"/>
                <w:lang w:val="en-GB"/>
              </w:rPr>
              <w:t>χ</w:t>
            </w:r>
            <w:r w:rsidRPr="006F5452">
              <w:rPr>
                <w:rFonts w:cs="Times New Roman"/>
                <w:b w:val="0"/>
                <w:bCs w:val="0"/>
                <w:iCs/>
                <w:sz w:val="20"/>
                <w:szCs w:val="20"/>
                <w:vertAlign w:val="superscript"/>
                <w:lang w:val="en-GB"/>
              </w:rPr>
              <w:t>2</w:t>
            </w:r>
            <w:r w:rsidRPr="006F5452">
              <w:rPr>
                <w:rFonts w:cs="Times New Roman"/>
                <w:b w:val="0"/>
                <w:bCs w:val="0"/>
                <w:iCs/>
                <w:sz w:val="20"/>
                <w:szCs w:val="20"/>
                <w:vertAlign w:val="subscript"/>
                <w:lang w:val="en-GB"/>
              </w:rPr>
              <w:t>NOR</w:t>
            </w:r>
          </w:p>
        </w:tc>
        <w:tc>
          <w:tcPr>
            <w:tcW w:w="1411" w:type="dxa"/>
            <w:hideMark/>
          </w:tcPr>
          <w:p w14:paraId="7EB24136" w14:textId="150FCAF6"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3.3109</w:t>
            </w:r>
          </w:p>
        </w:tc>
        <w:tc>
          <w:tcPr>
            <w:tcW w:w="1578" w:type="dxa"/>
            <w:hideMark/>
          </w:tcPr>
          <w:p w14:paraId="177C9FB1" w14:textId="3966922E"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[0.2119]</w:t>
            </w:r>
          </w:p>
        </w:tc>
        <w:tc>
          <w:tcPr>
            <w:tcW w:w="1440" w:type="dxa"/>
          </w:tcPr>
          <w:p w14:paraId="23071282" w14:textId="77777777"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767" w:type="dxa"/>
          </w:tcPr>
          <w:p w14:paraId="615DCA75" w14:textId="32F6D73E"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662CE469" w14:textId="3E969C4C" w:rsidR="00D05383" w:rsidRPr="006F5452" w:rsidRDefault="00D05383" w:rsidP="00D05383">
            <w:pPr>
              <w:spacing w:line="276"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1BC4B13E" w14:textId="77777777" w:rsidTr="00FC5E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2F50B72C" w14:textId="77777777" w:rsidR="00D05383" w:rsidRPr="006F5452" w:rsidRDefault="00D05383" w:rsidP="00D05383">
            <w:pPr>
              <w:spacing w:line="276" w:lineRule="auto"/>
              <w:rPr>
                <w:rFonts w:cs="Times New Roman"/>
                <w:b w:val="0"/>
                <w:bCs w:val="0"/>
                <w:iCs/>
                <w:sz w:val="20"/>
                <w:szCs w:val="20"/>
                <w:lang w:val="en-GB"/>
              </w:rPr>
            </w:pPr>
            <w:r w:rsidRPr="006F5452">
              <w:rPr>
                <w:rFonts w:cs="Times New Roman"/>
                <w:b w:val="0"/>
                <w:bCs w:val="0"/>
                <w:iCs/>
                <w:sz w:val="20"/>
                <w:szCs w:val="20"/>
                <w:lang w:val="en-GB"/>
              </w:rPr>
              <w:t>Ramsey</w:t>
            </w:r>
          </w:p>
        </w:tc>
        <w:tc>
          <w:tcPr>
            <w:tcW w:w="1411" w:type="dxa"/>
            <w:hideMark/>
          </w:tcPr>
          <w:p w14:paraId="468FE81A" w14:textId="606257C9"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2.0151</w:t>
            </w:r>
          </w:p>
        </w:tc>
        <w:tc>
          <w:tcPr>
            <w:tcW w:w="1578" w:type="dxa"/>
            <w:hideMark/>
          </w:tcPr>
          <w:p w14:paraId="19C81479" w14:textId="41339392"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[0.4365]</w:t>
            </w:r>
          </w:p>
        </w:tc>
        <w:tc>
          <w:tcPr>
            <w:tcW w:w="1440" w:type="dxa"/>
          </w:tcPr>
          <w:p w14:paraId="2BC6366E" w14:textId="77777777"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767" w:type="dxa"/>
          </w:tcPr>
          <w:p w14:paraId="6E22F6F2" w14:textId="63023BBC"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4E688BB6" w14:textId="42AC31E0" w:rsidR="00D05383" w:rsidRPr="006F5452" w:rsidRDefault="00D05383" w:rsidP="00D05383">
            <w:pPr>
              <w:spacing w:line="276"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bl>
    <w:p w14:paraId="7432DED3" w14:textId="4FAD11BF" w:rsidR="003D108F" w:rsidRPr="006F5452" w:rsidRDefault="003D108F" w:rsidP="00D36FAE">
      <w:pPr>
        <w:autoSpaceDE w:val="0"/>
        <w:autoSpaceDN w:val="0"/>
        <w:adjustRightInd w:val="0"/>
        <w:spacing w:line="240" w:lineRule="auto"/>
        <w:jc w:val="both"/>
        <w:rPr>
          <w:sz w:val="20"/>
          <w:szCs w:val="18"/>
        </w:rPr>
      </w:pPr>
      <w:r w:rsidRPr="006F5452">
        <w:rPr>
          <w:sz w:val="20"/>
          <w:szCs w:val="18"/>
        </w:rPr>
        <w:t>Notes: “+” and “-” are positive and negative cumulative sums. Superscripts “a”, “b”, and “c” specify the 1%, 5%, and 10% significance levels, respectively. χ2HETR, χ2SC, χ2NOR</w:t>
      </w:r>
      <w:r w:rsidR="00FC34DC" w:rsidRPr="006F5452">
        <w:rPr>
          <w:sz w:val="20"/>
          <w:szCs w:val="18"/>
        </w:rPr>
        <w:t>,</w:t>
      </w:r>
      <w:r w:rsidRPr="006F5452">
        <w:rPr>
          <w:sz w:val="20"/>
          <w:szCs w:val="18"/>
        </w:rPr>
        <w:t xml:space="preserve"> and Ramsey are heteroskedasticity, LM tests for serial correlation, normality, and Ramsey RESET tests, respectively. W</w:t>
      </w:r>
      <w:r w:rsidRPr="006F5452">
        <w:rPr>
          <w:sz w:val="20"/>
          <w:szCs w:val="18"/>
          <w:vertAlign w:val="subscript"/>
        </w:rPr>
        <w:t>SR</w:t>
      </w:r>
      <w:r w:rsidRPr="006F5452">
        <w:rPr>
          <w:sz w:val="20"/>
          <w:szCs w:val="18"/>
        </w:rPr>
        <w:t xml:space="preserve"> and W</w:t>
      </w:r>
      <w:r w:rsidRPr="006F5452">
        <w:rPr>
          <w:sz w:val="20"/>
          <w:szCs w:val="18"/>
          <w:vertAlign w:val="subscript"/>
        </w:rPr>
        <w:t>LR</w:t>
      </w:r>
      <w:r w:rsidRPr="006F5452">
        <w:rPr>
          <w:sz w:val="20"/>
          <w:szCs w:val="18"/>
        </w:rPr>
        <w:t xml:space="preserve"> relate to the short- and long-run Wald tests. </w:t>
      </w:r>
      <w:r w:rsidR="00744529" w:rsidRPr="006F5452">
        <w:rPr>
          <w:rFonts w:cs="Times New Roman"/>
          <w:sz w:val="20"/>
          <w:szCs w:val="20"/>
          <w:lang w:val="en-GB"/>
        </w:rPr>
        <w:t>P-values are indicated in parentheses.</w:t>
      </w:r>
    </w:p>
    <w:p w14:paraId="67166D44" w14:textId="02950636" w:rsidR="007778C0" w:rsidRPr="006F5452" w:rsidRDefault="007778C0" w:rsidP="00D11D0C"/>
    <w:p w14:paraId="1D58AC4E" w14:textId="6E524CF6" w:rsidR="00FA07FD" w:rsidRPr="006F5452" w:rsidRDefault="00FA07FD" w:rsidP="00FA07FD">
      <w:pPr>
        <w:pStyle w:val="Heading2"/>
      </w:pPr>
      <w:r w:rsidRPr="006F5452">
        <w:t>5.3 Asymmetric effects of geopolitical acts on green bond returns</w:t>
      </w:r>
    </w:p>
    <w:p w14:paraId="458F85F4" w14:textId="6720F663" w:rsidR="009344F0" w:rsidRPr="006F5452" w:rsidRDefault="000F3204" w:rsidP="009344F0">
      <w:pPr>
        <w:ind w:firstLine="720"/>
        <w:jc w:val="both"/>
      </w:pPr>
      <w:r w:rsidRPr="006F5452">
        <w:t xml:space="preserve">Based on Table </w:t>
      </w:r>
      <w:r w:rsidR="00FA07FD" w:rsidRPr="006F5452">
        <w:t>7</w:t>
      </w:r>
      <w:r w:rsidRPr="006F5452">
        <w:t>, we can see that increases and decreases in geopolitical acts (GPRA) have asymmetrical effects on the returns on green bonds. According to the results, an increase in GPRA negatively impacts green bond returns</w:t>
      </w:r>
      <w:r w:rsidR="005D7330">
        <w:t>;</w:t>
      </w:r>
      <w:r w:rsidRPr="006F5452">
        <w:t xml:space="preserve"> that is, changes in GPRA by 1% reduce green </w:t>
      </w:r>
      <w:r w:rsidRPr="006F5452">
        <w:lastRenderedPageBreak/>
        <w:t xml:space="preserve">bond returns by 0.25%. However, decreases in GPRA are associated with positive effects on green bond returns. Specifically, a 10% change in the GPRA will result in an increase of 0.16% in the green bond returns. </w:t>
      </w:r>
      <w:r w:rsidR="005B6D5D" w:rsidRPr="006F5452">
        <w:t>Investors’ asymmetric reactions to geopolitical acts are well aligned with market volatility and returns in the short run. These asymmetries can be explained by investors' perceptions of potential risks arising from geopolitical acts and market reactions (</w:t>
      </w:r>
      <w:proofErr w:type="spellStart"/>
      <w:r w:rsidR="005B6D5D" w:rsidRPr="006F5452">
        <w:t>Eissa</w:t>
      </w:r>
      <w:proofErr w:type="spellEnd"/>
      <w:r w:rsidR="005B6D5D" w:rsidRPr="006F5452">
        <w:t xml:space="preserve"> and Al </w:t>
      </w:r>
      <w:proofErr w:type="spellStart"/>
      <w:r w:rsidR="005B6D5D" w:rsidRPr="006F5452">
        <w:t>Refai</w:t>
      </w:r>
      <w:proofErr w:type="spellEnd"/>
      <w:r w:rsidR="005B6D5D" w:rsidRPr="006F5452">
        <w:t>, 2019; Tian et al., 2022). For example, the Russian invasion of Ukraine on 24</w:t>
      </w:r>
      <w:r w:rsidR="005B6D5D" w:rsidRPr="006F5452">
        <w:rPr>
          <w:vertAlign w:val="superscript"/>
        </w:rPr>
        <w:t>th</w:t>
      </w:r>
      <w:r w:rsidR="005B6D5D" w:rsidRPr="006F5452">
        <w:t xml:space="preserve"> February 2022 triggered volatility across global markets. Gas and oil prices spiked to all-time highs after 2008. Foods, commodity, and energy markets remained highly disrupted following the series of sanctions from the US, EU, the UK, Canada, Japan, and Australia and deep concerns over Russian energy supply bans. The volatility spillover of geopolitical acts shortly affects all market indices, causing green bond prices to fall.</w:t>
      </w:r>
      <w:r w:rsidR="000C6374" w:rsidRPr="006F5452">
        <w:t xml:space="preserve"> For example,</w:t>
      </w:r>
      <w:r w:rsidR="005B6D5D" w:rsidRPr="006F5452">
        <w:t xml:space="preserve"> </w:t>
      </w:r>
      <w:r w:rsidR="000C6374" w:rsidRPr="006F5452">
        <w:t>t</w:t>
      </w:r>
      <w:r w:rsidR="005B6D5D" w:rsidRPr="006F5452">
        <w:t xml:space="preserve">he </w:t>
      </w:r>
      <w:r w:rsidR="00F77861" w:rsidRPr="006F5452">
        <w:t xml:space="preserve">Nasdaq and </w:t>
      </w:r>
      <w:r w:rsidR="005B6D5D" w:rsidRPr="006F5452">
        <w:t xml:space="preserve">S&amp;P 500 </w:t>
      </w:r>
      <w:r w:rsidR="00F77861" w:rsidRPr="006F5452">
        <w:t xml:space="preserve">fell in </w:t>
      </w:r>
      <w:r w:rsidR="005B6D5D" w:rsidRPr="006F5452">
        <w:t>M</w:t>
      </w:r>
      <w:r w:rsidR="00F77861" w:rsidRPr="006F5452">
        <w:t>arch</w:t>
      </w:r>
      <w:r w:rsidR="005B6D5D" w:rsidRPr="006F5452">
        <w:t xml:space="preserve"> 202</w:t>
      </w:r>
      <w:r w:rsidR="00F77861" w:rsidRPr="006F5452">
        <w:t>2 following the uncertainty about the conflicts in Ukraine</w:t>
      </w:r>
      <w:r w:rsidR="00F77861" w:rsidRPr="006F5452">
        <w:tab/>
        <w:t>and expectations that the Federal Reserve would hike interest rates</w:t>
      </w:r>
      <w:r w:rsidR="005B6D5D" w:rsidRPr="006F5452">
        <w:t xml:space="preserve">. </w:t>
      </w:r>
      <w:r w:rsidRPr="006F5452">
        <w:t xml:space="preserve">USEPU, GPRT, and past returns of the green bond (∆GB (-1)) have further been found to </w:t>
      </w:r>
      <w:r w:rsidR="005D7330">
        <w:t>affect the green bond returns negatively</w:t>
      </w:r>
      <w:r w:rsidRPr="006F5452">
        <w:t>. The SP500, however, has a positive effect on green bond returns.</w:t>
      </w:r>
    </w:p>
    <w:p w14:paraId="1D33EBF0" w14:textId="77777777" w:rsidR="009344F0" w:rsidRPr="006F5452" w:rsidRDefault="009344F0" w:rsidP="009344F0">
      <w:pPr>
        <w:ind w:firstLine="720"/>
        <w:jc w:val="both"/>
      </w:pPr>
    </w:p>
    <w:p w14:paraId="2CA17A2F" w14:textId="512FEA26" w:rsidR="005B6D5D" w:rsidRPr="006F5452" w:rsidRDefault="00744529" w:rsidP="005B6D5D">
      <w:pPr>
        <w:ind w:firstLine="720"/>
        <w:jc w:val="both"/>
      </w:pPr>
      <w:r w:rsidRPr="006F5452">
        <w:t xml:space="preserve">Green bond returns are not asymmetrically affected by GPRA over the long run. The results demonstrate that geopolitical factors </w:t>
      </w:r>
      <w:r w:rsidR="005D7330">
        <w:t>similarly affect</w:t>
      </w:r>
      <w:r w:rsidRPr="006F5452">
        <w:t xml:space="preserve"> the returns on green bonds during times of increase and decrease in geopolitical acts. </w:t>
      </w:r>
      <w:r w:rsidR="00B516D6" w:rsidRPr="006F5452">
        <w:t>The responses of investors are similar regardless of whether geopolitical events increase or decrease.</w:t>
      </w:r>
      <w:r w:rsidRPr="006F5452">
        <w:t xml:space="preserve"> It is generally accepted that geopolitical acts</w:t>
      </w:r>
      <w:r w:rsidR="00D319A4" w:rsidRPr="006F5452">
        <w:t>,</w:t>
      </w:r>
      <w:r w:rsidRPr="006F5452">
        <w:t xml:space="preserve"> such as wars, invasions, and forceful possession</w:t>
      </w:r>
      <w:r w:rsidR="005D7330">
        <w:t>,</w:t>
      </w:r>
      <w:r w:rsidRPr="006F5452">
        <w:t xml:space="preserve"> have long-term effects on the economy and the financial markets</w:t>
      </w:r>
      <w:r w:rsidR="00582AAF" w:rsidRPr="006F5452">
        <w:t xml:space="preserve"> (</w:t>
      </w:r>
      <w:proofErr w:type="spellStart"/>
      <w:r w:rsidR="00582AAF" w:rsidRPr="006F5452">
        <w:t>Apergis</w:t>
      </w:r>
      <w:proofErr w:type="spellEnd"/>
      <w:r w:rsidR="00582AAF" w:rsidRPr="006F5452">
        <w:t xml:space="preserve"> et</w:t>
      </w:r>
      <w:r w:rsidR="007C47C5" w:rsidRPr="006F5452">
        <w:t xml:space="preserve"> </w:t>
      </w:r>
      <w:r w:rsidR="00582AAF" w:rsidRPr="006F5452">
        <w:t xml:space="preserve">al., 2018; </w:t>
      </w:r>
      <w:proofErr w:type="spellStart"/>
      <w:r w:rsidR="00582AAF" w:rsidRPr="006F5452">
        <w:t>Balcilar</w:t>
      </w:r>
      <w:proofErr w:type="spellEnd"/>
      <w:r w:rsidR="00582AAF" w:rsidRPr="006F5452">
        <w:t xml:space="preserve"> et al., 2019; </w:t>
      </w:r>
      <w:proofErr w:type="spellStart"/>
      <w:r w:rsidR="00582AAF" w:rsidRPr="006F5452">
        <w:t>Będowska-Sójka</w:t>
      </w:r>
      <w:proofErr w:type="spellEnd"/>
      <w:r w:rsidR="00582AAF" w:rsidRPr="006F5452">
        <w:t xml:space="preserve"> et al., 2022; Lee et al., 2021; 2022)</w:t>
      </w:r>
      <w:r w:rsidRPr="006F5452">
        <w:t xml:space="preserve">. Despite a decrease in geopolitical activity, investors' expectations do not change. Therefore, even a decrease in geopolitical acts cannot increase investor confidence. Our results also demonstrate that USEPU adversely affects green bond returns in the long run, whereas SP500 </w:t>
      </w:r>
      <w:r w:rsidR="005D7330">
        <w:t>positively affects</w:t>
      </w:r>
      <w:r w:rsidRPr="006F5452">
        <w:t xml:space="preserve"> them</w:t>
      </w:r>
      <w:r w:rsidR="00E24B2C" w:rsidRPr="006F5452">
        <w:t xml:space="preserve"> in Table </w:t>
      </w:r>
      <w:r w:rsidR="005B6D5D" w:rsidRPr="006F5452">
        <w:t>7</w:t>
      </w:r>
      <w:r w:rsidRPr="006F5452">
        <w:t>.</w:t>
      </w:r>
    </w:p>
    <w:p w14:paraId="2C75C82F" w14:textId="77777777" w:rsidR="005B6D5D" w:rsidRPr="006F5452" w:rsidRDefault="005B6D5D" w:rsidP="005B6D5D">
      <w:pPr>
        <w:ind w:firstLine="720"/>
        <w:jc w:val="both"/>
      </w:pPr>
    </w:p>
    <w:p w14:paraId="128FD534" w14:textId="7E9FC59A" w:rsidR="005B6D5D" w:rsidRPr="006F5452" w:rsidRDefault="005B6D5D" w:rsidP="005B6D5D">
      <w:pPr>
        <w:ind w:firstLine="720"/>
        <w:jc w:val="both"/>
      </w:pPr>
      <w:r w:rsidRPr="006F5452">
        <w:t xml:space="preserve">The error correction term (ECM) </w:t>
      </w:r>
      <w:r w:rsidR="00EE4E07" w:rsidRPr="006F5452">
        <w:t>indicate</w:t>
      </w:r>
      <w:r w:rsidR="005D7330">
        <w:t>s</w:t>
      </w:r>
      <w:r w:rsidR="00EE4E07" w:rsidRPr="006F5452">
        <w:t xml:space="preserve"> that </w:t>
      </w:r>
      <w:r w:rsidR="005D7330">
        <w:t xml:space="preserve">the </w:t>
      </w:r>
      <w:r w:rsidRPr="006F5452">
        <w:t>previous year’s errors are adjusted at the speed of 0.84% in the current year. The short-run asymmetries (W</w:t>
      </w:r>
      <w:r w:rsidRPr="006F5452">
        <w:rPr>
          <w:vertAlign w:val="subscript"/>
        </w:rPr>
        <w:t>SR</w:t>
      </w:r>
      <w:r w:rsidRPr="006F5452">
        <w:t>) hold at the 5% significance level, while the long-run coefficients</w:t>
      </w:r>
      <w:r w:rsidR="00EE4E07" w:rsidRPr="006F5452">
        <w:t xml:space="preserve"> (W</w:t>
      </w:r>
      <w:r w:rsidR="00EE4E07" w:rsidRPr="006F5452">
        <w:rPr>
          <w:vertAlign w:val="subscript"/>
        </w:rPr>
        <w:t>LR</w:t>
      </w:r>
      <w:r w:rsidR="00EE4E07" w:rsidRPr="006F5452">
        <w:t>)</w:t>
      </w:r>
      <w:r w:rsidRPr="006F5452">
        <w:t xml:space="preserve"> are symmetric, meaning for a given change in the GPRA, the positive or negative changes have similar effects. The diagnostic </w:t>
      </w:r>
      <w:r w:rsidR="00EE4E07" w:rsidRPr="006F5452">
        <w:t xml:space="preserve">test </w:t>
      </w:r>
      <w:r w:rsidRPr="006F5452">
        <w:t>statistics</w:t>
      </w:r>
      <w:r w:rsidR="00EE4E07" w:rsidRPr="006F5452">
        <w:t xml:space="preserve"> show that</w:t>
      </w:r>
      <w:r w:rsidRPr="006F5452">
        <w:t xml:space="preserve"> </w:t>
      </w:r>
      <w:r w:rsidR="00EE4E07" w:rsidRPr="006F5452">
        <w:t xml:space="preserve">the NARDL models are free from heteroskedasticity </w:t>
      </w:r>
      <w:r w:rsidR="005D7330">
        <w:t xml:space="preserve">and </w:t>
      </w:r>
      <w:r w:rsidR="00EE4E07" w:rsidRPr="006F5452">
        <w:t xml:space="preserve">serial correlation. </w:t>
      </w:r>
    </w:p>
    <w:p w14:paraId="75E5F268" w14:textId="77777777" w:rsidR="005B6D5D" w:rsidRPr="006F5452" w:rsidRDefault="005B6D5D" w:rsidP="005B6D5D">
      <w:pPr>
        <w:ind w:firstLine="720"/>
        <w:jc w:val="both"/>
      </w:pPr>
    </w:p>
    <w:p w14:paraId="28B5C8F0" w14:textId="1EC70334" w:rsidR="003D108F" w:rsidRPr="006F5452" w:rsidRDefault="0017253E" w:rsidP="0017253E">
      <w:pPr>
        <w:pStyle w:val="Caption"/>
        <w:keepNext/>
        <w:jc w:val="center"/>
        <w:rPr>
          <w:color w:val="auto"/>
          <w:lang w:val="en-GB"/>
        </w:rPr>
      </w:pPr>
      <w:r w:rsidRPr="006F5452">
        <w:rPr>
          <w:color w:val="auto"/>
        </w:rPr>
        <w:lastRenderedPageBreak/>
        <w:t xml:space="preserve">Table </w:t>
      </w:r>
      <w:r w:rsidRPr="006F5452">
        <w:rPr>
          <w:color w:val="auto"/>
        </w:rPr>
        <w:fldChar w:fldCharType="begin"/>
      </w:r>
      <w:r w:rsidRPr="006F5452">
        <w:rPr>
          <w:color w:val="auto"/>
        </w:rPr>
        <w:instrText xml:space="preserve"> SEQ Table \* ARABIC </w:instrText>
      </w:r>
      <w:r w:rsidRPr="006F5452">
        <w:rPr>
          <w:color w:val="auto"/>
        </w:rPr>
        <w:fldChar w:fldCharType="separate"/>
      </w:r>
      <w:r w:rsidR="00F816D1" w:rsidRPr="006F5452">
        <w:rPr>
          <w:noProof/>
          <w:color w:val="auto"/>
        </w:rPr>
        <w:t>7</w:t>
      </w:r>
      <w:r w:rsidRPr="006F5452">
        <w:rPr>
          <w:noProof/>
          <w:color w:val="auto"/>
        </w:rPr>
        <w:fldChar w:fldCharType="end"/>
      </w:r>
      <w:r w:rsidR="003D108F" w:rsidRPr="006F5452">
        <w:rPr>
          <w:color w:val="auto"/>
          <w:lang w:val="en-GB"/>
        </w:rPr>
        <w:t xml:space="preserve"> Asymmetric effects of geopolitical acts (GPRA) on </w:t>
      </w:r>
      <w:r w:rsidR="005B6D5D" w:rsidRPr="006F5452">
        <w:rPr>
          <w:color w:val="auto"/>
          <w:lang w:val="en-GB"/>
        </w:rPr>
        <w:t>g</w:t>
      </w:r>
      <w:r w:rsidR="003D108F" w:rsidRPr="006F5452">
        <w:rPr>
          <w:color w:val="auto"/>
          <w:lang w:val="en-GB"/>
        </w:rPr>
        <w:t xml:space="preserve">reen </w:t>
      </w:r>
      <w:r w:rsidR="00930615" w:rsidRPr="006F5452">
        <w:rPr>
          <w:color w:val="auto"/>
          <w:lang w:val="en-GB"/>
        </w:rPr>
        <w:t>bond</w:t>
      </w:r>
      <w:r w:rsidR="003D108F" w:rsidRPr="006F5452">
        <w:rPr>
          <w:color w:val="auto"/>
          <w:lang w:val="en-GB"/>
        </w:rPr>
        <w:t xml:space="preserve"> returns.</w:t>
      </w:r>
    </w:p>
    <w:tbl>
      <w:tblPr>
        <w:tblStyle w:val="PlainTable2"/>
        <w:tblW w:w="0" w:type="auto"/>
        <w:tblLook w:val="04A0" w:firstRow="1" w:lastRow="0" w:firstColumn="1" w:lastColumn="0" w:noHBand="0" w:noVBand="1"/>
      </w:tblPr>
      <w:tblGrid>
        <w:gridCol w:w="1823"/>
        <w:gridCol w:w="1383"/>
        <w:gridCol w:w="1463"/>
        <w:gridCol w:w="1363"/>
        <w:gridCol w:w="1679"/>
        <w:gridCol w:w="1315"/>
      </w:tblGrid>
      <w:tr w:rsidR="006F5452" w:rsidRPr="006F5452" w14:paraId="63909032" w14:textId="77777777" w:rsidTr="00447A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60EA6A90" w14:textId="77777777" w:rsidR="003D108F" w:rsidRPr="006F5452" w:rsidRDefault="003D108F" w:rsidP="00FC34DC">
            <w:pPr>
              <w:spacing w:line="360" w:lineRule="auto"/>
              <w:rPr>
                <w:rFonts w:cs="Times New Roman"/>
                <w:b w:val="0"/>
                <w:bCs w:val="0"/>
                <w:sz w:val="20"/>
                <w:szCs w:val="20"/>
                <w:lang w:val="en-GB"/>
              </w:rPr>
            </w:pPr>
          </w:p>
        </w:tc>
        <w:tc>
          <w:tcPr>
            <w:tcW w:w="2989" w:type="dxa"/>
            <w:gridSpan w:val="2"/>
            <w:hideMark/>
          </w:tcPr>
          <w:p w14:paraId="1C070C2D" w14:textId="3B6E80B7" w:rsidR="003D108F" w:rsidRPr="006F5452" w:rsidRDefault="00BE3E32" w:rsidP="00BE3E32">
            <w:pPr>
              <w:spacing w:line="360" w:lineRule="auto"/>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lang w:val="en-GB"/>
              </w:rPr>
            </w:pPr>
            <w:r w:rsidRPr="006F5452">
              <w:rPr>
                <w:rFonts w:cs="Times New Roman"/>
                <w:b w:val="0"/>
                <w:bCs w:val="0"/>
                <w:sz w:val="20"/>
                <w:szCs w:val="20"/>
                <w:lang w:val="en-GB"/>
              </w:rPr>
              <w:t>Sh</w:t>
            </w:r>
            <w:r w:rsidR="003D108F" w:rsidRPr="006F5452">
              <w:rPr>
                <w:rFonts w:cs="Times New Roman"/>
                <w:b w:val="0"/>
                <w:bCs w:val="0"/>
                <w:sz w:val="20"/>
                <w:szCs w:val="20"/>
                <w:lang w:val="en-GB"/>
              </w:rPr>
              <w:t>ort-run estimates</w:t>
            </w:r>
          </w:p>
        </w:tc>
        <w:tc>
          <w:tcPr>
            <w:tcW w:w="1440" w:type="dxa"/>
          </w:tcPr>
          <w:p w14:paraId="556AE979" w14:textId="77777777" w:rsidR="003D108F" w:rsidRPr="006F5452" w:rsidRDefault="003D108F" w:rsidP="00FC34DC">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lang w:val="en-GB"/>
              </w:rPr>
            </w:pPr>
          </w:p>
        </w:tc>
        <w:tc>
          <w:tcPr>
            <w:tcW w:w="3194" w:type="dxa"/>
            <w:gridSpan w:val="2"/>
            <w:hideMark/>
          </w:tcPr>
          <w:p w14:paraId="018B999B" w14:textId="7EDD15AA" w:rsidR="003D108F" w:rsidRPr="006F5452" w:rsidRDefault="003D108F" w:rsidP="00FC34DC">
            <w:pPr>
              <w:spacing w:line="360" w:lineRule="auto"/>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lang w:val="en-GB"/>
              </w:rPr>
            </w:pPr>
            <w:r w:rsidRPr="006F5452">
              <w:rPr>
                <w:rFonts w:cs="Times New Roman"/>
                <w:b w:val="0"/>
                <w:bCs w:val="0"/>
                <w:sz w:val="20"/>
                <w:szCs w:val="20"/>
                <w:lang w:val="en-GB"/>
              </w:rPr>
              <w:t xml:space="preserve"> Long-term estimates</w:t>
            </w:r>
            <w:r w:rsidRPr="006F5452">
              <w:rPr>
                <w:rFonts w:cs="Times New Roman"/>
                <w:b w:val="0"/>
                <w:bCs w:val="0"/>
                <w:sz w:val="20"/>
                <w:szCs w:val="20"/>
                <w:lang w:val="en-GB"/>
              </w:rPr>
              <w:tab/>
            </w:r>
          </w:p>
        </w:tc>
      </w:tr>
      <w:tr w:rsidR="006F5452" w:rsidRPr="006F5452" w14:paraId="73BAD4D0" w14:textId="77777777" w:rsidTr="00447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3BF8B38B" w14:textId="77777777" w:rsidR="003D108F" w:rsidRPr="006F5452" w:rsidRDefault="003D108F" w:rsidP="00FC34DC">
            <w:pPr>
              <w:spacing w:line="360" w:lineRule="auto"/>
              <w:rPr>
                <w:rFonts w:cs="Times New Roman"/>
                <w:b w:val="0"/>
                <w:bCs w:val="0"/>
                <w:sz w:val="20"/>
                <w:szCs w:val="20"/>
                <w:lang w:val="en-GB"/>
              </w:rPr>
            </w:pPr>
            <w:r w:rsidRPr="006F5452">
              <w:rPr>
                <w:rFonts w:cs="Times New Roman"/>
                <w:b w:val="0"/>
                <w:bCs w:val="0"/>
                <w:sz w:val="20"/>
                <w:szCs w:val="20"/>
                <w:lang w:val="en-GB"/>
              </w:rPr>
              <w:t>Variables</w:t>
            </w:r>
          </w:p>
        </w:tc>
        <w:tc>
          <w:tcPr>
            <w:tcW w:w="1411" w:type="dxa"/>
            <w:hideMark/>
          </w:tcPr>
          <w:p w14:paraId="4F0CB795" w14:textId="77777777" w:rsidR="003D108F" w:rsidRPr="006F5452" w:rsidRDefault="003D108F" w:rsidP="00FC34DC">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Coefficients.</w:t>
            </w:r>
          </w:p>
        </w:tc>
        <w:tc>
          <w:tcPr>
            <w:tcW w:w="1578" w:type="dxa"/>
            <w:hideMark/>
          </w:tcPr>
          <w:p w14:paraId="35EBB209" w14:textId="77777777" w:rsidR="003D108F" w:rsidRPr="006F5452" w:rsidRDefault="003D108F" w:rsidP="00FC34DC">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Std. Error</w:t>
            </w:r>
          </w:p>
        </w:tc>
        <w:tc>
          <w:tcPr>
            <w:tcW w:w="1440" w:type="dxa"/>
          </w:tcPr>
          <w:p w14:paraId="2E19D41E" w14:textId="77777777" w:rsidR="003D108F" w:rsidRPr="006F5452" w:rsidRDefault="003D108F" w:rsidP="00FC34DC">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Variables</w:t>
            </w:r>
          </w:p>
        </w:tc>
        <w:tc>
          <w:tcPr>
            <w:tcW w:w="1767" w:type="dxa"/>
            <w:hideMark/>
          </w:tcPr>
          <w:p w14:paraId="2FEB5C5D" w14:textId="77777777" w:rsidR="003D108F" w:rsidRPr="006F5452" w:rsidRDefault="003D108F" w:rsidP="00FC34DC">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Coefficients.</w:t>
            </w:r>
          </w:p>
        </w:tc>
        <w:tc>
          <w:tcPr>
            <w:tcW w:w="1427" w:type="dxa"/>
            <w:hideMark/>
          </w:tcPr>
          <w:p w14:paraId="734330FA" w14:textId="77777777" w:rsidR="003D108F" w:rsidRPr="006F5452" w:rsidRDefault="003D108F" w:rsidP="00FC34DC">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Std. Error</w:t>
            </w:r>
          </w:p>
        </w:tc>
      </w:tr>
      <w:tr w:rsidR="006F5452" w:rsidRPr="006F5452" w14:paraId="04097F72" w14:textId="77777777" w:rsidTr="00447A11">
        <w:tc>
          <w:tcPr>
            <w:cnfStyle w:val="001000000000" w:firstRow="0" w:lastRow="0" w:firstColumn="1" w:lastColumn="0" w:oddVBand="0" w:evenVBand="0" w:oddHBand="0" w:evenHBand="0" w:firstRowFirstColumn="0" w:firstRowLastColumn="0" w:lastRowFirstColumn="0" w:lastRowLastColumn="0"/>
            <w:tcW w:w="1619" w:type="dxa"/>
            <w:hideMark/>
          </w:tcPr>
          <w:p w14:paraId="1960CB3E" w14:textId="2D800553" w:rsidR="005B6D5D" w:rsidRPr="006F5452" w:rsidRDefault="005B6D5D" w:rsidP="005B6D5D">
            <w:pPr>
              <w:spacing w:line="360" w:lineRule="auto"/>
              <w:rPr>
                <w:rFonts w:cs="Times New Roman"/>
                <w:b w:val="0"/>
                <w:bCs w:val="0"/>
                <w:iCs/>
                <w:sz w:val="20"/>
                <w:szCs w:val="20"/>
                <w:lang w:val="en-GB"/>
              </w:rPr>
            </w:pPr>
            <w:r w:rsidRPr="006F5452">
              <w:rPr>
                <w:rFonts w:cs="Times New Roman"/>
                <w:b w:val="0"/>
                <w:bCs w:val="0"/>
                <w:sz w:val="20"/>
                <w:szCs w:val="20"/>
                <w:lang w:val="en-GB"/>
              </w:rPr>
              <w:t>∆GPRA</w:t>
            </w:r>
            <w:r w:rsidRPr="006F5452">
              <w:rPr>
                <w:rFonts w:cs="Times New Roman"/>
                <w:b w:val="0"/>
                <w:bCs w:val="0"/>
                <w:sz w:val="20"/>
                <w:szCs w:val="20"/>
                <w:vertAlign w:val="superscript"/>
                <w:lang w:val="en-GB"/>
              </w:rPr>
              <w:t>+</w:t>
            </w:r>
          </w:p>
        </w:tc>
        <w:tc>
          <w:tcPr>
            <w:tcW w:w="1411" w:type="dxa"/>
            <w:hideMark/>
          </w:tcPr>
          <w:p w14:paraId="3161BD73" w14:textId="2BA13D21" w:rsidR="005B6D5D" w:rsidRPr="006F5452" w:rsidRDefault="005B6D5D" w:rsidP="005B6D5D">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-0.2583***</w:t>
            </w:r>
          </w:p>
        </w:tc>
        <w:tc>
          <w:tcPr>
            <w:tcW w:w="1578" w:type="dxa"/>
            <w:hideMark/>
          </w:tcPr>
          <w:p w14:paraId="0DADB9E6" w14:textId="6130F42A" w:rsidR="005B6D5D" w:rsidRPr="006F5452" w:rsidRDefault="005B6D5D" w:rsidP="005B6D5D">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0.0148</w:t>
            </w:r>
          </w:p>
        </w:tc>
        <w:tc>
          <w:tcPr>
            <w:tcW w:w="1440" w:type="dxa"/>
          </w:tcPr>
          <w:p w14:paraId="5CC16D37" w14:textId="48F3EBCC" w:rsidR="005B6D5D" w:rsidRPr="006F5452" w:rsidRDefault="005B6D5D" w:rsidP="005B6D5D">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eastAsiaTheme="minorEastAsia"/>
                <w:iCs/>
                <w:sz w:val="20"/>
                <w:szCs w:val="20"/>
                <w:lang w:val="en-GB"/>
              </w:rPr>
              <w:t>GPRA</w:t>
            </w:r>
            <w:r w:rsidRPr="006F5452">
              <w:rPr>
                <w:rFonts w:eastAsiaTheme="minorEastAsia"/>
                <w:iCs/>
                <w:sz w:val="20"/>
                <w:szCs w:val="20"/>
                <w:vertAlign w:val="superscript"/>
                <w:lang w:val="en-GB"/>
              </w:rPr>
              <w:t xml:space="preserve">+ </w:t>
            </w:r>
          </w:p>
        </w:tc>
        <w:tc>
          <w:tcPr>
            <w:tcW w:w="1767" w:type="dxa"/>
            <w:hideMark/>
          </w:tcPr>
          <w:p w14:paraId="0387CDD2" w14:textId="1B3AD0B4" w:rsidR="005B6D5D" w:rsidRPr="006F5452" w:rsidRDefault="005B6D5D" w:rsidP="005B6D5D">
            <w:pPr>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-0.2361***</w:t>
            </w:r>
          </w:p>
        </w:tc>
        <w:tc>
          <w:tcPr>
            <w:tcW w:w="1427" w:type="dxa"/>
            <w:hideMark/>
          </w:tcPr>
          <w:p w14:paraId="0BEFA7EA" w14:textId="5C1B9CF2" w:rsidR="005B6D5D" w:rsidRPr="006F5452" w:rsidRDefault="005B6D5D" w:rsidP="005B6D5D">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0.0372</w:t>
            </w:r>
          </w:p>
        </w:tc>
      </w:tr>
      <w:tr w:rsidR="006F5452" w:rsidRPr="006F5452" w14:paraId="336A25F0" w14:textId="77777777" w:rsidTr="00447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7B6AFE2B" w14:textId="5DD56689" w:rsidR="005B6D5D" w:rsidRPr="006F5452" w:rsidRDefault="005B6D5D" w:rsidP="005B6D5D">
            <w:pPr>
              <w:spacing w:line="360" w:lineRule="auto"/>
              <w:rPr>
                <w:rFonts w:cs="Times New Roman"/>
                <w:sz w:val="20"/>
                <w:szCs w:val="20"/>
                <w:lang w:val="en-GB"/>
              </w:rPr>
            </w:pPr>
            <w:r w:rsidRPr="006F5452">
              <w:rPr>
                <w:rFonts w:cs="Times New Roman"/>
                <w:b w:val="0"/>
                <w:bCs w:val="0"/>
                <w:sz w:val="20"/>
                <w:szCs w:val="20"/>
                <w:lang w:val="en-GB"/>
              </w:rPr>
              <w:t>∆GPRA</w:t>
            </w:r>
            <w:r w:rsidRPr="006F5452">
              <w:rPr>
                <w:rFonts w:cs="Times New Roman"/>
                <w:b w:val="0"/>
                <w:bCs w:val="0"/>
                <w:sz w:val="20"/>
                <w:szCs w:val="20"/>
                <w:vertAlign w:val="superscript"/>
                <w:lang w:val="en-GB"/>
              </w:rPr>
              <w:t xml:space="preserve">+ </w:t>
            </w:r>
            <w:r w:rsidRPr="006F5452">
              <w:rPr>
                <w:rFonts w:cs="Times New Roman"/>
                <w:b w:val="0"/>
                <w:bCs w:val="0"/>
                <w:sz w:val="20"/>
                <w:szCs w:val="20"/>
                <w:lang w:val="en-GB"/>
              </w:rPr>
              <w:t>(-1)</w:t>
            </w:r>
          </w:p>
        </w:tc>
        <w:tc>
          <w:tcPr>
            <w:tcW w:w="1411" w:type="dxa"/>
            <w:hideMark/>
          </w:tcPr>
          <w:p w14:paraId="52A5BBF2" w14:textId="3E1DDE7D" w:rsidR="005B6D5D" w:rsidRPr="006F5452" w:rsidRDefault="005B6D5D" w:rsidP="005B6D5D">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sz w:val="20"/>
                <w:szCs w:val="20"/>
                <w:lang w:val="en-GB"/>
              </w:rPr>
              <w:t>-0.1850***</w:t>
            </w:r>
          </w:p>
        </w:tc>
        <w:tc>
          <w:tcPr>
            <w:tcW w:w="1578" w:type="dxa"/>
            <w:hideMark/>
          </w:tcPr>
          <w:p w14:paraId="3B28045D" w14:textId="1BB8E465" w:rsidR="005B6D5D" w:rsidRPr="006F5452" w:rsidRDefault="005B6D5D" w:rsidP="005B6D5D">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sz w:val="20"/>
                <w:szCs w:val="20"/>
                <w:lang w:val="en-GB"/>
              </w:rPr>
              <w:t>0.0711</w:t>
            </w:r>
          </w:p>
        </w:tc>
        <w:tc>
          <w:tcPr>
            <w:tcW w:w="1440" w:type="dxa"/>
          </w:tcPr>
          <w:p w14:paraId="093C2846" w14:textId="7ADCB277" w:rsidR="005B6D5D" w:rsidRPr="006F5452" w:rsidRDefault="005B6D5D" w:rsidP="005B6D5D">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eastAsiaTheme="minorEastAsia"/>
                <w:iCs/>
                <w:sz w:val="20"/>
                <w:szCs w:val="20"/>
                <w:lang w:val="en-GB"/>
              </w:rPr>
              <w:t>GPRA</w:t>
            </w:r>
            <w:r w:rsidRPr="006F5452">
              <w:rPr>
                <w:rFonts w:eastAsiaTheme="minorEastAsia"/>
                <w:iCs/>
                <w:sz w:val="20"/>
                <w:szCs w:val="20"/>
                <w:vertAlign w:val="superscript"/>
                <w:lang w:val="en-GB"/>
              </w:rPr>
              <w:t>+</w:t>
            </w:r>
            <w:r w:rsidRPr="006F5452">
              <w:rPr>
                <w:rFonts w:eastAsiaTheme="minorEastAsia" w:cs="Times New Roman"/>
                <w:iCs/>
                <w:sz w:val="20"/>
                <w:szCs w:val="20"/>
                <w:lang w:val="en-GB"/>
              </w:rPr>
              <w:t>(-1)</w:t>
            </w:r>
          </w:p>
        </w:tc>
        <w:tc>
          <w:tcPr>
            <w:tcW w:w="1767" w:type="dxa"/>
          </w:tcPr>
          <w:p w14:paraId="63E1B9A7" w14:textId="3C504647" w:rsidR="005B6D5D" w:rsidRPr="006F5452" w:rsidRDefault="005B6D5D" w:rsidP="005B6D5D">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-0.1918**</w:t>
            </w:r>
          </w:p>
        </w:tc>
        <w:tc>
          <w:tcPr>
            <w:tcW w:w="1427" w:type="dxa"/>
          </w:tcPr>
          <w:p w14:paraId="659C2CA8" w14:textId="477D7CB2" w:rsidR="005B6D5D" w:rsidRPr="006F5452" w:rsidRDefault="005B6D5D" w:rsidP="005B6D5D">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0.0128</w:t>
            </w:r>
          </w:p>
        </w:tc>
      </w:tr>
      <w:tr w:rsidR="006F5452" w:rsidRPr="006F5452" w14:paraId="2B1FD302" w14:textId="77777777" w:rsidTr="00447A11">
        <w:tc>
          <w:tcPr>
            <w:cnfStyle w:val="001000000000" w:firstRow="0" w:lastRow="0" w:firstColumn="1" w:lastColumn="0" w:oddVBand="0" w:evenVBand="0" w:oddHBand="0" w:evenHBand="0" w:firstRowFirstColumn="0" w:firstRowLastColumn="0" w:lastRowFirstColumn="0" w:lastRowLastColumn="0"/>
            <w:tcW w:w="1619" w:type="dxa"/>
            <w:hideMark/>
          </w:tcPr>
          <w:p w14:paraId="0A3E3A2A" w14:textId="221B9D66" w:rsidR="005B6D5D" w:rsidRPr="006F5452" w:rsidRDefault="005B6D5D" w:rsidP="005B6D5D">
            <w:pPr>
              <w:spacing w:line="360" w:lineRule="auto"/>
              <w:rPr>
                <w:rFonts w:cs="Times New Roman"/>
                <w:sz w:val="20"/>
                <w:szCs w:val="20"/>
                <w:lang w:val="en-GB"/>
              </w:rPr>
            </w:pPr>
            <w:r w:rsidRPr="006F5452">
              <w:rPr>
                <w:rFonts w:cs="Times New Roman"/>
                <w:b w:val="0"/>
                <w:bCs w:val="0"/>
                <w:sz w:val="20"/>
                <w:szCs w:val="20"/>
                <w:lang w:val="en-GB"/>
              </w:rPr>
              <w:t>∆GPRA</w:t>
            </w:r>
            <w:r w:rsidRPr="006F5452">
              <w:rPr>
                <w:rFonts w:cs="Times New Roman"/>
                <w:b w:val="0"/>
                <w:bCs w:val="0"/>
                <w:sz w:val="20"/>
                <w:szCs w:val="20"/>
                <w:vertAlign w:val="superscript"/>
                <w:lang w:val="en-GB"/>
              </w:rPr>
              <w:t>−</w:t>
            </w:r>
          </w:p>
        </w:tc>
        <w:tc>
          <w:tcPr>
            <w:tcW w:w="1411" w:type="dxa"/>
          </w:tcPr>
          <w:p w14:paraId="104A05CC" w14:textId="69CF3E20" w:rsidR="005B6D5D" w:rsidRPr="006F5452" w:rsidRDefault="005B6D5D" w:rsidP="005B6D5D">
            <w:pPr>
              <w:spacing w:line="360" w:lineRule="auto"/>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0.1602**</w:t>
            </w:r>
          </w:p>
        </w:tc>
        <w:tc>
          <w:tcPr>
            <w:tcW w:w="1578" w:type="dxa"/>
          </w:tcPr>
          <w:p w14:paraId="02CD20DB" w14:textId="6B880095" w:rsidR="005B6D5D" w:rsidRPr="006F5452" w:rsidRDefault="005B6D5D" w:rsidP="005B6D5D">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0.0149</w:t>
            </w:r>
          </w:p>
        </w:tc>
        <w:tc>
          <w:tcPr>
            <w:tcW w:w="1440" w:type="dxa"/>
          </w:tcPr>
          <w:p w14:paraId="12721873" w14:textId="07CAF9B0" w:rsidR="005B6D5D" w:rsidRPr="006F5452" w:rsidRDefault="005B6D5D" w:rsidP="005B6D5D">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eastAsiaTheme="minorEastAsia"/>
                <w:iCs/>
                <w:sz w:val="20"/>
                <w:szCs w:val="20"/>
                <w:lang w:val="en-GB"/>
              </w:rPr>
              <w:t>GPRA</w:t>
            </w:r>
            <w:r w:rsidRPr="006F5452">
              <w:rPr>
                <w:rFonts w:eastAsiaTheme="minorEastAsia" w:cs="Times New Roman"/>
                <w:iCs/>
                <w:sz w:val="20"/>
                <w:szCs w:val="20"/>
                <w:vertAlign w:val="superscript"/>
                <w:lang w:val="en-GB"/>
              </w:rPr>
              <w:t>−</w:t>
            </w:r>
          </w:p>
        </w:tc>
        <w:tc>
          <w:tcPr>
            <w:tcW w:w="1767" w:type="dxa"/>
            <w:hideMark/>
          </w:tcPr>
          <w:p w14:paraId="3E20B1AC" w14:textId="021715EB" w:rsidR="005B6D5D" w:rsidRPr="006F5452" w:rsidRDefault="005B6D5D" w:rsidP="005B6D5D">
            <w:pPr>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-0.1072**</w:t>
            </w:r>
          </w:p>
        </w:tc>
        <w:tc>
          <w:tcPr>
            <w:tcW w:w="1427" w:type="dxa"/>
            <w:hideMark/>
          </w:tcPr>
          <w:p w14:paraId="074CDF51" w14:textId="740B5D52" w:rsidR="005B6D5D" w:rsidRPr="006F5452" w:rsidRDefault="005B6D5D" w:rsidP="005B6D5D">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0.1171</w:t>
            </w:r>
          </w:p>
        </w:tc>
      </w:tr>
      <w:tr w:rsidR="006F5452" w:rsidRPr="006F5452" w14:paraId="374A08CD" w14:textId="77777777" w:rsidTr="00447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7EEED07C" w14:textId="14ED8D21" w:rsidR="005B6D5D" w:rsidRPr="006F5452" w:rsidRDefault="005B6D5D" w:rsidP="005B6D5D">
            <w:pPr>
              <w:spacing w:line="360" w:lineRule="auto"/>
              <w:rPr>
                <w:rFonts w:cs="Times New Roman"/>
                <w:b w:val="0"/>
                <w:bCs w:val="0"/>
                <w:sz w:val="20"/>
                <w:szCs w:val="20"/>
                <w:lang w:val="en-GB"/>
              </w:rPr>
            </w:pPr>
            <w:r w:rsidRPr="006F5452">
              <w:rPr>
                <w:rFonts w:cs="Times New Roman"/>
                <w:b w:val="0"/>
                <w:bCs w:val="0"/>
                <w:sz w:val="20"/>
                <w:szCs w:val="20"/>
                <w:lang w:val="en-GB"/>
              </w:rPr>
              <w:t>USEPU</w:t>
            </w:r>
          </w:p>
        </w:tc>
        <w:tc>
          <w:tcPr>
            <w:tcW w:w="1411" w:type="dxa"/>
          </w:tcPr>
          <w:p w14:paraId="2AC1204E" w14:textId="157F206B" w:rsidR="005B6D5D" w:rsidRPr="006F5452" w:rsidRDefault="005B6D5D" w:rsidP="005B6D5D">
            <w:pPr>
              <w:spacing w:line="360" w:lineRule="auto"/>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-0.7281***</w:t>
            </w:r>
          </w:p>
        </w:tc>
        <w:tc>
          <w:tcPr>
            <w:tcW w:w="1578" w:type="dxa"/>
          </w:tcPr>
          <w:p w14:paraId="4E012288" w14:textId="541C116B" w:rsidR="005B6D5D" w:rsidRPr="006F5452" w:rsidRDefault="005B6D5D" w:rsidP="005B6D5D">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0.0253</w:t>
            </w:r>
          </w:p>
        </w:tc>
        <w:tc>
          <w:tcPr>
            <w:tcW w:w="1440" w:type="dxa"/>
          </w:tcPr>
          <w:p w14:paraId="1C969F37" w14:textId="2EDCD565" w:rsidR="005B6D5D" w:rsidRPr="006F5452" w:rsidRDefault="005B6D5D" w:rsidP="005B6D5D">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USEPU</w:t>
            </w:r>
          </w:p>
        </w:tc>
        <w:tc>
          <w:tcPr>
            <w:tcW w:w="1767" w:type="dxa"/>
            <w:hideMark/>
          </w:tcPr>
          <w:p w14:paraId="5966B25B" w14:textId="5A2D0987" w:rsidR="005B6D5D" w:rsidRPr="006F5452" w:rsidRDefault="005B6D5D" w:rsidP="005B6D5D">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-0.0875***</w:t>
            </w:r>
          </w:p>
        </w:tc>
        <w:tc>
          <w:tcPr>
            <w:tcW w:w="1427" w:type="dxa"/>
            <w:hideMark/>
          </w:tcPr>
          <w:p w14:paraId="53D541CC" w14:textId="2417BA2C" w:rsidR="005B6D5D" w:rsidRPr="006F5452" w:rsidRDefault="005B6D5D" w:rsidP="005B6D5D">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0.0424</w:t>
            </w:r>
          </w:p>
        </w:tc>
      </w:tr>
      <w:tr w:rsidR="006F5452" w:rsidRPr="006F5452" w14:paraId="7F0596C9" w14:textId="77777777" w:rsidTr="00447A11">
        <w:tc>
          <w:tcPr>
            <w:cnfStyle w:val="001000000000" w:firstRow="0" w:lastRow="0" w:firstColumn="1" w:lastColumn="0" w:oddVBand="0" w:evenVBand="0" w:oddHBand="0" w:evenHBand="0" w:firstRowFirstColumn="0" w:firstRowLastColumn="0" w:lastRowFirstColumn="0" w:lastRowLastColumn="0"/>
            <w:tcW w:w="1619" w:type="dxa"/>
          </w:tcPr>
          <w:p w14:paraId="2E406436" w14:textId="703E3DA3" w:rsidR="005B6D5D" w:rsidRPr="006F5452" w:rsidRDefault="005B6D5D" w:rsidP="005B6D5D">
            <w:pPr>
              <w:spacing w:line="360" w:lineRule="auto"/>
              <w:rPr>
                <w:rFonts w:cs="Times New Roman"/>
                <w:b w:val="0"/>
                <w:bCs w:val="0"/>
                <w:sz w:val="20"/>
                <w:szCs w:val="20"/>
                <w:lang w:val="en-GB"/>
              </w:rPr>
            </w:pPr>
            <w:proofErr w:type="gramStart"/>
            <w:r w:rsidRPr="006F5452">
              <w:rPr>
                <w:rFonts w:cs="Times New Roman"/>
                <w:b w:val="0"/>
                <w:bCs w:val="0"/>
                <w:sz w:val="20"/>
                <w:szCs w:val="20"/>
                <w:lang w:val="en-GB"/>
              </w:rPr>
              <w:t>USEPU(</w:t>
            </w:r>
            <w:proofErr w:type="gramEnd"/>
            <w:r w:rsidRPr="006F5452">
              <w:rPr>
                <w:rFonts w:cs="Times New Roman"/>
                <w:b w:val="0"/>
                <w:bCs w:val="0"/>
                <w:sz w:val="20"/>
                <w:szCs w:val="20"/>
                <w:lang w:val="en-GB"/>
              </w:rPr>
              <w:t>-2)</w:t>
            </w:r>
          </w:p>
        </w:tc>
        <w:tc>
          <w:tcPr>
            <w:tcW w:w="1411" w:type="dxa"/>
          </w:tcPr>
          <w:p w14:paraId="775126E2" w14:textId="1D6591A3" w:rsidR="005B6D5D" w:rsidRPr="006F5452" w:rsidRDefault="005B6D5D" w:rsidP="005B6D5D">
            <w:pPr>
              <w:spacing w:line="360" w:lineRule="auto"/>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-0.3729***</w:t>
            </w:r>
          </w:p>
        </w:tc>
        <w:tc>
          <w:tcPr>
            <w:tcW w:w="1578" w:type="dxa"/>
          </w:tcPr>
          <w:p w14:paraId="7F4D9FF0" w14:textId="3C4F1888" w:rsidR="005B6D5D" w:rsidRPr="006F5452" w:rsidRDefault="005B6D5D" w:rsidP="005B6D5D">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0.0197</w:t>
            </w:r>
          </w:p>
        </w:tc>
        <w:tc>
          <w:tcPr>
            <w:tcW w:w="1440" w:type="dxa"/>
          </w:tcPr>
          <w:p w14:paraId="5FFDB37F" w14:textId="09EDBE62" w:rsidR="005B6D5D" w:rsidRPr="006F5452" w:rsidRDefault="005B6D5D" w:rsidP="005B6D5D">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eastAsiaTheme="minorEastAsia" w:cs="Times New Roman"/>
                <w:iCs/>
                <w:sz w:val="20"/>
                <w:szCs w:val="20"/>
                <w:lang w:val="en-GB"/>
              </w:rPr>
              <w:t>GPRT</w:t>
            </w:r>
            <w:r w:rsidRPr="006F5452">
              <w:rPr>
                <w:rFonts w:eastAsiaTheme="minorEastAsia" w:cs="Times New Roman"/>
                <w:iCs/>
                <w:sz w:val="20"/>
                <w:szCs w:val="20"/>
                <w:vertAlign w:val="superscript"/>
                <w:lang w:val="en-GB"/>
              </w:rPr>
              <w:t xml:space="preserve"> </w:t>
            </w:r>
            <w:r w:rsidRPr="006F5452">
              <w:rPr>
                <w:rFonts w:eastAsiaTheme="minorEastAsia" w:cs="Times New Roman"/>
                <w:iCs/>
                <w:sz w:val="20"/>
                <w:szCs w:val="20"/>
                <w:lang w:val="en-GB"/>
              </w:rPr>
              <w:t>(-1)</w:t>
            </w:r>
          </w:p>
        </w:tc>
        <w:tc>
          <w:tcPr>
            <w:tcW w:w="1767" w:type="dxa"/>
            <w:hideMark/>
          </w:tcPr>
          <w:p w14:paraId="22DBEBFA" w14:textId="1945C330" w:rsidR="005B6D5D" w:rsidRPr="006F5452" w:rsidRDefault="005B6D5D" w:rsidP="005B6D5D">
            <w:pPr>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0.2832***</w:t>
            </w:r>
          </w:p>
        </w:tc>
        <w:tc>
          <w:tcPr>
            <w:tcW w:w="1427" w:type="dxa"/>
            <w:hideMark/>
          </w:tcPr>
          <w:p w14:paraId="69F88B51" w14:textId="3D5D61E5" w:rsidR="005B6D5D" w:rsidRPr="006F5452" w:rsidRDefault="005B6D5D" w:rsidP="005B6D5D">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0.0529</w:t>
            </w:r>
          </w:p>
        </w:tc>
      </w:tr>
      <w:tr w:rsidR="006F5452" w:rsidRPr="006F5452" w14:paraId="486979C3" w14:textId="77777777" w:rsidTr="00447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1476A099" w14:textId="77CD5021" w:rsidR="005B6D5D" w:rsidRPr="006F5452" w:rsidRDefault="005B6D5D" w:rsidP="005B6D5D">
            <w:pPr>
              <w:spacing w:line="360" w:lineRule="auto"/>
              <w:ind w:left="1440" w:hanging="1440"/>
              <w:rPr>
                <w:rFonts w:cs="Times New Roman"/>
                <w:b w:val="0"/>
                <w:bCs w:val="0"/>
                <w:sz w:val="20"/>
                <w:szCs w:val="20"/>
                <w:lang w:val="en-GB"/>
              </w:rPr>
            </w:pPr>
            <w:r w:rsidRPr="006F5452">
              <w:rPr>
                <w:rFonts w:cs="Times New Roman"/>
                <w:b w:val="0"/>
                <w:bCs w:val="0"/>
                <w:sz w:val="20"/>
                <w:szCs w:val="20"/>
                <w:lang w:val="en-GB"/>
              </w:rPr>
              <w:t>∆GPRT</w:t>
            </w:r>
          </w:p>
        </w:tc>
        <w:tc>
          <w:tcPr>
            <w:tcW w:w="1411" w:type="dxa"/>
          </w:tcPr>
          <w:p w14:paraId="25FBBF90" w14:textId="6FC5D82A" w:rsidR="005B6D5D" w:rsidRPr="006F5452" w:rsidRDefault="005B6D5D" w:rsidP="005B6D5D">
            <w:pPr>
              <w:spacing w:line="360" w:lineRule="auto"/>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0.1044***</w:t>
            </w:r>
          </w:p>
        </w:tc>
        <w:tc>
          <w:tcPr>
            <w:tcW w:w="1578" w:type="dxa"/>
          </w:tcPr>
          <w:p w14:paraId="45F0B0B5" w14:textId="47708A71" w:rsidR="005B6D5D" w:rsidRPr="006F5452" w:rsidRDefault="005B6D5D" w:rsidP="005B6D5D">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0.0199</w:t>
            </w:r>
          </w:p>
        </w:tc>
        <w:tc>
          <w:tcPr>
            <w:tcW w:w="1440" w:type="dxa"/>
          </w:tcPr>
          <w:p w14:paraId="3DB7EED7" w14:textId="0384A34A" w:rsidR="005B6D5D" w:rsidRPr="006F5452" w:rsidRDefault="005B6D5D" w:rsidP="005B6D5D">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roofErr w:type="gramStart"/>
            <w:r w:rsidRPr="006F5452">
              <w:rPr>
                <w:rFonts w:eastAsia="Calibri" w:cs="Times New Roman"/>
                <w:iCs/>
                <w:sz w:val="20"/>
                <w:szCs w:val="20"/>
                <w:lang w:val="en-GB"/>
              </w:rPr>
              <w:t>GPRT(</w:t>
            </w:r>
            <w:proofErr w:type="gramEnd"/>
            <w:r w:rsidRPr="006F5452">
              <w:rPr>
                <w:rFonts w:eastAsia="Calibri" w:cs="Times New Roman"/>
                <w:iCs/>
                <w:sz w:val="20"/>
                <w:szCs w:val="20"/>
                <w:lang w:val="en-GB"/>
              </w:rPr>
              <w:t>-2)</w:t>
            </w:r>
          </w:p>
        </w:tc>
        <w:tc>
          <w:tcPr>
            <w:tcW w:w="1767" w:type="dxa"/>
            <w:hideMark/>
          </w:tcPr>
          <w:p w14:paraId="545274D6" w14:textId="46FF5A8D" w:rsidR="005B6D5D" w:rsidRPr="006F5452" w:rsidRDefault="005B6D5D" w:rsidP="005B6D5D">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0.1953**</w:t>
            </w:r>
          </w:p>
        </w:tc>
        <w:tc>
          <w:tcPr>
            <w:tcW w:w="1427" w:type="dxa"/>
            <w:hideMark/>
          </w:tcPr>
          <w:p w14:paraId="7A592190" w14:textId="6BC42E8B" w:rsidR="005B6D5D" w:rsidRPr="006F5452" w:rsidRDefault="005B6D5D" w:rsidP="005B6D5D">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0.0510</w:t>
            </w:r>
          </w:p>
        </w:tc>
      </w:tr>
      <w:tr w:rsidR="006F5452" w:rsidRPr="006F5452" w14:paraId="484138EB" w14:textId="77777777" w:rsidTr="00447A11">
        <w:tc>
          <w:tcPr>
            <w:cnfStyle w:val="001000000000" w:firstRow="0" w:lastRow="0" w:firstColumn="1" w:lastColumn="0" w:oddVBand="0" w:evenVBand="0" w:oddHBand="0" w:evenHBand="0" w:firstRowFirstColumn="0" w:firstRowLastColumn="0" w:lastRowFirstColumn="0" w:lastRowLastColumn="0"/>
            <w:tcW w:w="1619" w:type="dxa"/>
          </w:tcPr>
          <w:p w14:paraId="11710FC6" w14:textId="3D52CFF4" w:rsidR="005B6D5D" w:rsidRPr="006F5452" w:rsidRDefault="005B6D5D" w:rsidP="005B6D5D">
            <w:pPr>
              <w:spacing w:line="360" w:lineRule="auto"/>
              <w:ind w:left="1440" w:hanging="1440"/>
              <w:rPr>
                <w:rFonts w:cs="Times New Roman"/>
                <w:sz w:val="20"/>
                <w:szCs w:val="20"/>
                <w:lang w:val="en-GB"/>
              </w:rPr>
            </w:pPr>
            <w:r w:rsidRPr="006F5452">
              <w:rPr>
                <w:rFonts w:cs="Times New Roman"/>
                <w:b w:val="0"/>
                <w:bCs w:val="0"/>
                <w:sz w:val="20"/>
                <w:szCs w:val="20"/>
                <w:lang w:val="en-GB"/>
              </w:rPr>
              <w:t>∆GPRT (-1)</w:t>
            </w:r>
          </w:p>
        </w:tc>
        <w:tc>
          <w:tcPr>
            <w:tcW w:w="1411" w:type="dxa"/>
          </w:tcPr>
          <w:p w14:paraId="3976E1EB" w14:textId="0D1ED86B" w:rsidR="005B6D5D" w:rsidRPr="006F5452" w:rsidRDefault="005B6D5D" w:rsidP="005B6D5D">
            <w:pPr>
              <w:spacing w:line="360" w:lineRule="auto"/>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0.1981***</w:t>
            </w:r>
          </w:p>
        </w:tc>
        <w:tc>
          <w:tcPr>
            <w:tcW w:w="1578" w:type="dxa"/>
          </w:tcPr>
          <w:p w14:paraId="20C5B6AF" w14:textId="72A67190" w:rsidR="005B6D5D" w:rsidRPr="006F5452" w:rsidRDefault="005B6D5D" w:rsidP="005B6D5D">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0.0252</w:t>
            </w:r>
          </w:p>
        </w:tc>
        <w:tc>
          <w:tcPr>
            <w:tcW w:w="1440" w:type="dxa"/>
          </w:tcPr>
          <w:p w14:paraId="5BFE27E5" w14:textId="4B853091" w:rsidR="005B6D5D" w:rsidRPr="006F5452" w:rsidRDefault="005B6D5D" w:rsidP="005B6D5D">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eastAsia="Calibri" w:cs="Times New Roman"/>
                <w:iCs/>
                <w:sz w:val="20"/>
                <w:szCs w:val="20"/>
                <w:lang w:val="en-GB"/>
              </w:rPr>
              <w:t>SP500</w:t>
            </w:r>
          </w:p>
        </w:tc>
        <w:tc>
          <w:tcPr>
            <w:tcW w:w="1767" w:type="dxa"/>
          </w:tcPr>
          <w:p w14:paraId="404D719B" w14:textId="06B12464" w:rsidR="005B6D5D" w:rsidRPr="006F5452" w:rsidRDefault="005B6D5D" w:rsidP="005B6D5D">
            <w:pPr>
              <w:spacing w:line="360" w:lineRule="auto"/>
              <w:jc w:val="both"/>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0.0945**</w:t>
            </w:r>
          </w:p>
        </w:tc>
        <w:tc>
          <w:tcPr>
            <w:tcW w:w="1427" w:type="dxa"/>
          </w:tcPr>
          <w:p w14:paraId="760C12FC" w14:textId="74424E7D" w:rsidR="005B6D5D" w:rsidRPr="006F5452" w:rsidRDefault="005B6D5D" w:rsidP="005B6D5D">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sz w:val="20"/>
                <w:szCs w:val="20"/>
                <w:lang w:val="en-GB"/>
              </w:rPr>
              <w:t>0.0675</w:t>
            </w:r>
          </w:p>
        </w:tc>
      </w:tr>
      <w:tr w:rsidR="006F5452" w:rsidRPr="006F5452" w14:paraId="0658C5B1" w14:textId="77777777" w:rsidTr="00447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09317474" w14:textId="17DC13C0" w:rsidR="005B6D5D" w:rsidRPr="006F5452" w:rsidRDefault="005B6D5D" w:rsidP="005B6D5D">
            <w:pPr>
              <w:spacing w:line="360" w:lineRule="auto"/>
              <w:rPr>
                <w:rFonts w:cs="Times New Roman"/>
                <w:b w:val="0"/>
                <w:bCs w:val="0"/>
                <w:sz w:val="20"/>
                <w:szCs w:val="20"/>
                <w:lang w:val="en-GB"/>
              </w:rPr>
            </w:pPr>
            <w:r w:rsidRPr="006F5452">
              <w:rPr>
                <w:rFonts w:cs="Times New Roman"/>
                <w:b w:val="0"/>
                <w:bCs w:val="0"/>
                <w:sz w:val="20"/>
                <w:szCs w:val="20"/>
                <w:lang w:val="en-GB"/>
              </w:rPr>
              <w:t>∆GB (-1)</w:t>
            </w:r>
          </w:p>
        </w:tc>
        <w:tc>
          <w:tcPr>
            <w:tcW w:w="1411" w:type="dxa"/>
          </w:tcPr>
          <w:p w14:paraId="494D3AE4" w14:textId="085DCFAA" w:rsidR="005B6D5D" w:rsidRPr="006F5452" w:rsidRDefault="005B6D5D" w:rsidP="005B6D5D">
            <w:pPr>
              <w:spacing w:line="360" w:lineRule="auto"/>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-0.8454***</w:t>
            </w:r>
          </w:p>
        </w:tc>
        <w:tc>
          <w:tcPr>
            <w:tcW w:w="1578" w:type="dxa"/>
            <w:hideMark/>
          </w:tcPr>
          <w:p w14:paraId="32D911DF" w14:textId="64930CB2" w:rsidR="005B6D5D" w:rsidRPr="006F5452" w:rsidRDefault="005B6D5D" w:rsidP="005B6D5D">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0.0610</w:t>
            </w:r>
          </w:p>
        </w:tc>
        <w:tc>
          <w:tcPr>
            <w:tcW w:w="1440" w:type="dxa"/>
          </w:tcPr>
          <w:p w14:paraId="4C8F7812" w14:textId="53372EF2" w:rsidR="005B6D5D" w:rsidRPr="006F5452" w:rsidRDefault="005B6D5D" w:rsidP="005B6D5D">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eastAsia="Calibri" w:cs="Times New Roman"/>
                <w:iCs/>
                <w:sz w:val="20"/>
                <w:szCs w:val="20"/>
                <w:lang w:val="en-GB"/>
              </w:rPr>
              <w:t>SP500(-1)</w:t>
            </w:r>
          </w:p>
        </w:tc>
        <w:tc>
          <w:tcPr>
            <w:tcW w:w="1767" w:type="dxa"/>
          </w:tcPr>
          <w:p w14:paraId="36FE1F22" w14:textId="2DCBCB70" w:rsidR="005B6D5D" w:rsidRPr="006F5452" w:rsidRDefault="005B6D5D" w:rsidP="005B6D5D">
            <w:pPr>
              <w:spacing w:line="360" w:lineRule="auto"/>
              <w:jc w:val="both"/>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0.1189***</w:t>
            </w:r>
          </w:p>
        </w:tc>
        <w:tc>
          <w:tcPr>
            <w:tcW w:w="1427" w:type="dxa"/>
          </w:tcPr>
          <w:p w14:paraId="4DFD37F6" w14:textId="39708E1D" w:rsidR="005B6D5D" w:rsidRPr="006F5452" w:rsidRDefault="005B6D5D" w:rsidP="005B6D5D">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sz w:val="20"/>
                <w:szCs w:val="20"/>
                <w:lang w:val="en-GB"/>
              </w:rPr>
              <w:t>0.0494</w:t>
            </w:r>
          </w:p>
        </w:tc>
      </w:tr>
      <w:tr w:rsidR="006F5452" w:rsidRPr="006F5452" w14:paraId="7FE730CC" w14:textId="77777777" w:rsidTr="00DD3813">
        <w:tc>
          <w:tcPr>
            <w:cnfStyle w:val="001000000000" w:firstRow="0" w:lastRow="0" w:firstColumn="1" w:lastColumn="0" w:oddVBand="0" w:evenVBand="0" w:oddHBand="0" w:evenHBand="0" w:firstRowFirstColumn="0" w:firstRowLastColumn="0" w:lastRowFirstColumn="0" w:lastRowLastColumn="0"/>
            <w:tcW w:w="1619" w:type="dxa"/>
          </w:tcPr>
          <w:p w14:paraId="16A4CB4E" w14:textId="19C8C8B2" w:rsidR="00DD3813" w:rsidRPr="006F5452" w:rsidRDefault="00DD3813" w:rsidP="00DD3813">
            <w:pPr>
              <w:spacing w:line="360" w:lineRule="auto"/>
              <w:rPr>
                <w:rFonts w:eastAsia="Calibri" w:cs="Times New Roman"/>
                <w:b w:val="0"/>
                <w:bCs w:val="0"/>
                <w:sz w:val="20"/>
                <w:szCs w:val="20"/>
                <w:lang w:val="en-GB"/>
              </w:rPr>
            </w:pPr>
            <w:r w:rsidRPr="006F5452">
              <w:rPr>
                <w:rFonts w:cs="Times New Roman"/>
                <w:b w:val="0"/>
                <w:bCs w:val="0"/>
                <w:sz w:val="20"/>
                <w:szCs w:val="20"/>
                <w:lang w:val="en-GB"/>
              </w:rPr>
              <w:t>∆SP500</w:t>
            </w:r>
          </w:p>
        </w:tc>
        <w:tc>
          <w:tcPr>
            <w:tcW w:w="1411" w:type="dxa"/>
          </w:tcPr>
          <w:p w14:paraId="4B18250F" w14:textId="46C81AA6" w:rsidR="00DD3813" w:rsidRPr="006F5452" w:rsidRDefault="00DD3813" w:rsidP="00BE3E32">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sz w:val="20"/>
                <w:szCs w:val="20"/>
                <w:lang w:val="en-GB"/>
              </w:rPr>
              <w:t>0.0240**</w:t>
            </w:r>
          </w:p>
        </w:tc>
        <w:tc>
          <w:tcPr>
            <w:tcW w:w="1578" w:type="dxa"/>
            <w:hideMark/>
          </w:tcPr>
          <w:p w14:paraId="7852935A" w14:textId="20344445" w:rsidR="00DD3813" w:rsidRPr="006F5452" w:rsidRDefault="00DD3813" w:rsidP="00DD381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sz w:val="20"/>
                <w:szCs w:val="20"/>
                <w:lang w:val="en-GB"/>
              </w:rPr>
              <w:t>0.0945</w:t>
            </w:r>
          </w:p>
        </w:tc>
        <w:tc>
          <w:tcPr>
            <w:tcW w:w="1440" w:type="dxa"/>
          </w:tcPr>
          <w:p w14:paraId="12EBDAE9" w14:textId="1FB3937E" w:rsidR="00DD3813" w:rsidRPr="006F5452" w:rsidRDefault="00DD3813" w:rsidP="00DD3813">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767" w:type="dxa"/>
          </w:tcPr>
          <w:p w14:paraId="7D39CFD1" w14:textId="577E3491" w:rsidR="00DD3813" w:rsidRPr="006F5452" w:rsidRDefault="00DD3813" w:rsidP="00DD381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2DE68774" w14:textId="2B1ECBD3" w:rsidR="00DD3813" w:rsidRPr="006F5452" w:rsidRDefault="00DD3813" w:rsidP="00DD381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1C437377" w14:textId="77777777" w:rsidTr="00DD38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63480322" w14:textId="47B279E9" w:rsidR="00DD3813" w:rsidRPr="006F5452" w:rsidRDefault="00DD3813" w:rsidP="00DD3813">
            <w:pPr>
              <w:spacing w:line="360" w:lineRule="auto"/>
              <w:rPr>
                <w:rFonts w:eastAsia="Calibri" w:cs="Times New Roman"/>
                <w:b w:val="0"/>
                <w:bCs w:val="0"/>
                <w:sz w:val="20"/>
                <w:szCs w:val="20"/>
                <w:lang w:val="en-GB"/>
              </w:rPr>
            </w:pPr>
            <w:r w:rsidRPr="006F5452">
              <w:rPr>
                <w:rFonts w:cs="Times New Roman"/>
                <w:b w:val="0"/>
                <w:bCs w:val="0"/>
                <w:sz w:val="20"/>
                <w:szCs w:val="20"/>
                <w:lang w:val="en-GB"/>
              </w:rPr>
              <w:t>∆SP500(-1)</w:t>
            </w:r>
          </w:p>
        </w:tc>
        <w:tc>
          <w:tcPr>
            <w:tcW w:w="1411" w:type="dxa"/>
          </w:tcPr>
          <w:p w14:paraId="5CAD2776" w14:textId="092E86FF" w:rsidR="00DD3813" w:rsidRPr="006F5452" w:rsidRDefault="00DD3813" w:rsidP="00BE3E32">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0.0778**</w:t>
            </w:r>
          </w:p>
        </w:tc>
        <w:tc>
          <w:tcPr>
            <w:tcW w:w="1578" w:type="dxa"/>
          </w:tcPr>
          <w:p w14:paraId="79CFBA39" w14:textId="063ACCFF"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0.0349</w:t>
            </w:r>
          </w:p>
        </w:tc>
        <w:tc>
          <w:tcPr>
            <w:tcW w:w="1440" w:type="dxa"/>
          </w:tcPr>
          <w:p w14:paraId="31280D2D" w14:textId="5664349E" w:rsidR="00DD3813" w:rsidRPr="006F5452" w:rsidRDefault="00DD3813" w:rsidP="00DD3813">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767" w:type="dxa"/>
          </w:tcPr>
          <w:p w14:paraId="688E438C" w14:textId="7D58E55E"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34C247A6" w14:textId="1529BD89"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6F5452" w:rsidRPr="006F5452" w14:paraId="77F5F833" w14:textId="77777777" w:rsidTr="00447A11">
        <w:tc>
          <w:tcPr>
            <w:cnfStyle w:val="001000000000" w:firstRow="0" w:lastRow="0" w:firstColumn="1" w:lastColumn="0" w:oddVBand="0" w:evenVBand="0" w:oddHBand="0" w:evenHBand="0" w:firstRowFirstColumn="0" w:firstRowLastColumn="0" w:lastRowFirstColumn="0" w:lastRowLastColumn="0"/>
            <w:tcW w:w="1619" w:type="dxa"/>
            <w:hideMark/>
          </w:tcPr>
          <w:p w14:paraId="589EB456" w14:textId="77777777" w:rsidR="00DD3813" w:rsidRPr="006F5452" w:rsidRDefault="00DD3813" w:rsidP="00DD3813">
            <w:pPr>
              <w:spacing w:line="360" w:lineRule="auto"/>
              <w:rPr>
                <w:rFonts w:eastAsia="Calibri" w:cs="Times New Roman"/>
                <w:b w:val="0"/>
                <w:bCs w:val="0"/>
                <w:iCs/>
                <w:sz w:val="20"/>
                <w:szCs w:val="20"/>
                <w:lang w:val="en-GB"/>
              </w:rPr>
            </w:pPr>
            <w:r w:rsidRPr="006F5452">
              <w:rPr>
                <w:rFonts w:eastAsia="Calibri" w:cs="Times New Roman"/>
                <w:b w:val="0"/>
                <w:bCs w:val="0"/>
                <w:iCs/>
                <w:sz w:val="20"/>
                <w:szCs w:val="20"/>
                <w:lang w:val="en-GB"/>
              </w:rPr>
              <w:t xml:space="preserve">Constant </w:t>
            </w:r>
          </w:p>
        </w:tc>
        <w:tc>
          <w:tcPr>
            <w:tcW w:w="1411" w:type="dxa"/>
          </w:tcPr>
          <w:p w14:paraId="5B792FB1" w14:textId="505F7B15" w:rsidR="00DD3813" w:rsidRPr="006F5452" w:rsidRDefault="00DD3813" w:rsidP="00BE3E32">
            <w:pPr>
              <w:spacing w:line="360" w:lineRule="auto"/>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w:t>
            </w:r>
            <w:r w:rsidR="003512BA" w:rsidRPr="006F5452">
              <w:rPr>
                <w:sz w:val="20"/>
                <w:szCs w:val="20"/>
                <w:lang w:val="en-GB"/>
              </w:rPr>
              <w:t>4</w:t>
            </w:r>
            <w:r w:rsidR="00BE3E32" w:rsidRPr="006F5452">
              <w:rPr>
                <w:sz w:val="20"/>
                <w:szCs w:val="20"/>
                <w:lang w:val="en-GB"/>
              </w:rPr>
              <w:t>9</w:t>
            </w:r>
            <w:r w:rsidRPr="006F5452">
              <w:rPr>
                <w:sz w:val="20"/>
                <w:szCs w:val="20"/>
                <w:lang w:val="en-GB"/>
              </w:rPr>
              <w:t>21</w:t>
            </w:r>
          </w:p>
        </w:tc>
        <w:tc>
          <w:tcPr>
            <w:tcW w:w="1578" w:type="dxa"/>
          </w:tcPr>
          <w:p w14:paraId="53277B15" w14:textId="2BCBB792" w:rsidR="00DD3813" w:rsidRPr="006F5452" w:rsidRDefault="00DD3813" w:rsidP="00DD3813">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0.2</w:t>
            </w:r>
            <w:r w:rsidR="003512BA" w:rsidRPr="006F5452">
              <w:rPr>
                <w:sz w:val="20"/>
                <w:szCs w:val="20"/>
                <w:lang w:val="en-GB"/>
              </w:rPr>
              <w:t>5</w:t>
            </w:r>
            <w:r w:rsidRPr="006F5452">
              <w:rPr>
                <w:sz w:val="20"/>
                <w:szCs w:val="20"/>
                <w:lang w:val="en-GB"/>
              </w:rPr>
              <w:t>67</w:t>
            </w:r>
          </w:p>
        </w:tc>
        <w:tc>
          <w:tcPr>
            <w:tcW w:w="1440" w:type="dxa"/>
          </w:tcPr>
          <w:p w14:paraId="2CA9B00B" w14:textId="77777777" w:rsidR="00DD3813" w:rsidRPr="006F5452" w:rsidRDefault="00DD3813" w:rsidP="00DD381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767" w:type="dxa"/>
          </w:tcPr>
          <w:p w14:paraId="04D3608E" w14:textId="2AD63532" w:rsidR="00DD3813" w:rsidRPr="006F5452" w:rsidRDefault="00DD3813" w:rsidP="00BE3E32">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3C2BD0CC" w14:textId="5C00EECE" w:rsidR="00DD3813" w:rsidRPr="006F5452" w:rsidRDefault="00DD3813" w:rsidP="00DD3813">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6F5452" w:rsidRPr="006F5452" w14:paraId="554E0F2F" w14:textId="77777777" w:rsidTr="00447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323FB16B" w14:textId="77777777" w:rsidR="00DD3813" w:rsidRPr="006F5452" w:rsidRDefault="00DD3813" w:rsidP="00DD3813">
            <w:pPr>
              <w:spacing w:line="360" w:lineRule="auto"/>
              <w:rPr>
                <w:rFonts w:eastAsiaTheme="minorEastAsia"/>
                <w:b w:val="0"/>
                <w:bCs w:val="0"/>
                <w:iCs/>
                <w:sz w:val="20"/>
                <w:szCs w:val="20"/>
                <w:lang w:val="en-GB"/>
              </w:rPr>
            </w:pPr>
            <w:r w:rsidRPr="006F5452">
              <w:rPr>
                <w:rFonts w:eastAsiaTheme="minorEastAsia"/>
                <w:b w:val="0"/>
                <w:bCs w:val="0"/>
                <w:iCs/>
                <w:sz w:val="20"/>
                <w:szCs w:val="20"/>
                <w:lang w:val="en-GB"/>
              </w:rPr>
              <w:t xml:space="preserve">Asymmetries </w:t>
            </w:r>
          </w:p>
        </w:tc>
        <w:tc>
          <w:tcPr>
            <w:tcW w:w="1411" w:type="dxa"/>
          </w:tcPr>
          <w:p w14:paraId="50861722" w14:textId="77777777" w:rsidR="00DD3813" w:rsidRPr="006F5452" w:rsidRDefault="00DD3813" w:rsidP="00BE3E32">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578" w:type="dxa"/>
          </w:tcPr>
          <w:p w14:paraId="43325535" w14:textId="77777777"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40" w:type="dxa"/>
          </w:tcPr>
          <w:p w14:paraId="7CFBB4A2" w14:textId="77777777"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767" w:type="dxa"/>
          </w:tcPr>
          <w:p w14:paraId="5F4D97A5" w14:textId="77777777"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3EBF8B41" w14:textId="77777777"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6F5452" w:rsidRPr="006F5452" w14:paraId="4F554B61" w14:textId="77777777" w:rsidTr="00447A11">
        <w:tc>
          <w:tcPr>
            <w:cnfStyle w:val="001000000000" w:firstRow="0" w:lastRow="0" w:firstColumn="1" w:lastColumn="0" w:oddVBand="0" w:evenVBand="0" w:oddHBand="0" w:evenHBand="0" w:firstRowFirstColumn="0" w:firstRowLastColumn="0" w:lastRowFirstColumn="0" w:lastRowLastColumn="0"/>
            <w:tcW w:w="1619" w:type="dxa"/>
            <w:hideMark/>
          </w:tcPr>
          <w:p w14:paraId="2EA95E5C" w14:textId="324538F9" w:rsidR="005B6D5D" w:rsidRPr="006F5452" w:rsidRDefault="005B6D5D" w:rsidP="005B6D5D">
            <w:pPr>
              <w:spacing w:line="360" w:lineRule="auto"/>
              <w:rPr>
                <w:rFonts w:eastAsiaTheme="minorEastAsia"/>
                <w:b w:val="0"/>
                <w:bCs w:val="0"/>
                <w:iCs/>
                <w:sz w:val="20"/>
                <w:szCs w:val="20"/>
                <w:lang w:val="en-GB"/>
              </w:rPr>
            </w:pPr>
            <w:r w:rsidRPr="006F5452">
              <w:rPr>
                <w:rFonts w:eastAsiaTheme="minorEastAsia"/>
                <w:b w:val="0"/>
                <w:bCs w:val="0"/>
                <w:iCs/>
                <w:sz w:val="20"/>
                <w:szCs w:val="20"/>
                <w:lang w:val="en-GB"/>
              </w:rPr>
              <w:t>W</w:t>
            </w:r>
            <w:r w:rsidRPr="006F5452">
              <w:rPr>
                <w:rFonts w:eastAsiaTheme="minorEastAsia"/>
                <w:b w:val="0"/>
                <w:bCs w:val="0"/>
                <w:iCs/>
                <w:sz w:val="20"/>
                <w:szCs w:val="20"/>
                <w:vertAlign w:val="subscript"/>
                <w:lang w:val="en-GB"/>
              </w:rPr>
              <w:t>SR</w:t>
            </w:r>
          </w:p>
        </w:tc>
        <w:tc>
          <w:tcPr>
            <w:tcW w:w="1411" w:type="dxa"/>
            <w:hideMark/>
          </w:tcPr>
          <w:p w14:paraId="3295B28F" w14:textId="457E5A7A" w:rsidR="005B6D5D" w:rsidRPr="006F5452" w:rsidRDefault="005B6D5D" w:rsidP="005B6D5D">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1.7826</w:t>
            </w:r>
          </w:p>
        </w:tc>
        <w:tc>
          <w:tcPr>
            <w:tcW w:w="1578" w:type="dxa"/>
            <w:hideMark/>
          </w:tcPr>
          <w:p w14:paraId="33EFE833" w14:textId="1251835D" w:rsidR="005B6D5D" w:rsidRPr="006F5452" w:rsidRDefault="005B6D5D" w:rsidP="005B6D5D">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[0.0510]</w:t>
            </w:r>
          </w:p>
        </w:tc>
        <w:tc>
          <w:tcPr>
            <w:tcW w:w="1440" w:type="dxa"/>
          </w:tcPr>
          <w:p w14:paraId="15ABB49C" w14:textId="77777777" w:rsidR="005B6D5D" w:rsidRPr="006F5452" w:rsidRDefault="005B6D5D" w:rsidP="005B6D5D">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767" w:type="dxa"/>
          </w:tcPr>
          <w:p w14:paraId="773C9478" w14:textId="75AB4476" w:rsidR="005B6D5D" w:rsidRPr="006F5452" w:rsidRDefault="005B6D5D" w:rsidP="005B6D5D">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6A18AA97" w14:textId="383F7654" w:rsidR="005B6D5D" w:rsidRPr="006F5452" w:rsidRDefault="005B6D5D" w:rsidP="005B6D5D">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7CA97AEF" w14:textId="77777777" w:rsidTr="00447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1639B0FE" w14:textId="77777777" w:rsidR="00DD3813" w:rsidRPr="006F5452" w:rsidRDefault="00DD3813" w:rsidP="00DD3813">
            <w:pPr>
              <w:spacing w:line="360" w:lineRule="auto"/>
              <w:rPr>
                <w:rFonts w:eastAsiaTheme="minorEastAsia"/>
                <w:b w:val="0"/>
                <w:bCs w:val="0"/>
                <w:iCs/>
                <w:sz w:val="20"/>
                <w:szCs w:val="20"/>
                <w:lang w:val="en-GB"/>
              </w:rPr>
            </w:pPr>
            <w:r w:rsidRPr="006F5452">
              <w:rPr>
                <w:rFonts w:eastAsiaTheme="minorEastAsia"/>
                <w:b w:val="0"/>
                <w:bCs w:val="0"/>
                <w:iCs/>
                <w:sz w:val="20"/>
                <w:szCs w:val="20"/>
                <w:lang w:val="en-GB"/>
              </w:rPr>
              <w:t>W</w:t>
            </w:r>
            <w:r w:rsidRPr="006F5452">
              <w:rPr>
                <w:rFonts w:eastAsiaTheme="minorEastAsia"/>
                <w:b w:val="0"/>
                <w:bCs w:val="0"/>
                <w:iCs/>
                <w:sz w:val="20"/>
                <w:szCs w:val="20"/>
                <w:vertAlign w:val="subscript"/>
                <w:lang w:val="en-GB"/>
              </w:rPr>
              <w:t>LR</w:t>
            </w:r>
          </w:p>
        </w:tc>
        <w:tc>
          <w:tcPr>
            <w:tcW w:w="1411" w:type="dxa"/>
            <w:hideMark/>
          </w:tcPr>
          <w:p w14:paraId="3E47B134" w14:textId="28DB4D65" w:rsidR="00DD3813" w:rsidRPr="006F5452" w:rsidRDefault="00DD3813" w:rsidP="00BE3E32">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2.3259</w:t>
            </w:r>
          </w:p>
        </w:tc>
        <w:tc>
          <w:tcPr>
            <w:tcW w:w="1578" w:type="dxa"/>
            <w:hideMark/>
          </w:tcPr>
          <w:p w14:paraId="5F65E2D1" w14:textId="3515342E"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w:t>
            </w:r>
            <w:r w:rsidR="006D038E" w:rsidRPr="006F5452">
              <w:rPr>
                <w:rFonts w:cs="Times New Roman"/>
                <w:sz w:val="20"/>
                <w:szCs w:val="20"/>
                <w:lang w:val="en-GB"/>
              </w:rPr>
              <w:t>049</w:t>
            </w:r>
            <w:r w:rsidRPr="006F5452">
              <w:rPr>
                <w:rFonts w:cs="Times New Roman"/>
                <w:sz w:val="20"/>
                <w:szCs w:val="20"/>
                <w:lang w:val="en-GB"/>
              </w:rPr>
              <w:t>7]</w:t>
            </w:r>
          </w:p>
        </w:tc>
        <w:tc>
          <w:tcPr>
            <w:tcW w:w="1440" w:type="dxa"/>
          </w:tcPr>
          <w:p w14:paraId="62BB5E57" w14:textId="77777777"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767" w:type="dxa"/>
          </w:tcPr>
          <w:p w14:paraId="491F1775" w14:textId="12C4A7E9"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48D3B3E7" w14:textId="466E5BCD"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6F5452" w:rsidRPr="006F5452" w14:paraId="4025C295" w14:textId="77777777" w:rsidTr="00447A11">
        <w:tc>
          <w:tcPr>
            <w:cnfStyle w:val="001000000000" w:firstRow="0" w:lastRow="0" w:firstColumn="1" w:lastColumn="0" w:oddVBand="0" w:evenVBand="0" w:oddHBand="0" w:evenHBand="0" w:firstRowFirstColumn="0" w:firstRowLastColumn="0" w:lastRowFirstColumn="0" w:lastRowLastColumn="0"/>
            <w:tcW w:w="4608" w:type="dxa"/>
            <w:gridSpan w:val="3"/>
            <w:hideMark/>
          </w:tcPr>
          <w:p w14:paraId="0CDE10BF" w14:textId="77777777" w:rsidR="00DD3813" w:rsidRPr="006F5452" w:rsidRDefault="00DD3813" w:rsidP="00DD3813">
            <w:pPr>
              <w:spacing w:line="360" w:lineRule="auto"/>
              <w:rPr>
                <w:rFonts w:cs="Times New Roman"/>
                <w:b w:val="0"/>
                <w:bCs w:val="0"/>
                <w:sz w:val="20"/>
                <w:szCs w:val="20"/>
                <w:lang w:val="en-GB"/>
              </w:rPr>
            </w:pPr>
            <w:r w:rsidRPr="006F5452">
              <w:rPr>
                <w:rFonts w:eastAsia="Calibri" w:cs="Times New Roman"/>
                <w:b w:val="0"/>
                <w:bCs w:val="0"/>
                <w:iCs/>
                <w:sz w:val="20"/>
                <w:szCs w:val="20"/>
                <w:lang w:val="en-GB"/>
              </w:rPr>
              <w:t>Diagnostics tests</w:t>
            </w:r>
          </w:p>
        </w:tc>
        <w:tc>
          <w:tcPr>
            <w:tcW w:w="1440" w:type="dxa"/>
          </w:tcPr>
          <w:p w14:paraId="3E3534D8" w14:textId="77777777" w:rsidR="00DD3813" w:rsidRPr="006F5452" w:rsidRDefault="00DD3813" w:rsidP="00DD381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767" w:type="dxa"/>
          </w:tcPr>
          <w:p w14:paraId="1A392AEC" w14:textId="77777777" w:rsidR="00DD3813" w:rsidRPr="006F5452" w:rsidRDefault="00DD3813" w:rsidP="00DD381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1E305B28" w14:textId="77777777" w:rsidR="00DD3813" w:rsidRPr="006F5452" w:rsidRDefault="00DD3813" w:rsidP="00DD381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3EE1CFF5" w14:textId="77777777" w:rsidTr="00447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03A698B0" w14:textId="77777777" w:rsidR="00DD3813" w:rsidRPr="006F5452" w:rsidRDefault="00DD3813" w:rsidP="00DD3813">
            <w:pPr>
              <w:spacing w:line="360" w:lineRule="auto"/>
              <w:rPr>
                <w:rFonts w:eastAsia="Calibri" w:cs="Times New Roman"/>
                <w:b w:val="0"/>
                <w:bCs w:val="0"/>
                <w:iCs/>
                <w:sz w:val="20"/>
                <w:szCs w:val="20"/>
                <w:lang w:val="en-GB"/>
              </w:rPr>
            </w:pPr>
            <w:r w:rsidRPr="006F5452">
              <w:rPr>
                <w:rFonts w:eastAsia="Calibri" w:cs="Times New Roman"/>
                <w:b w:val="0"/>
                <w:bCs w:val="0"/>
                <w:iCs/>
                <w:sz w:val="20"/>
                <w:szCs w:val="20"/>
                <w:lang w:val="en-GB"/>
              </w:rPr>
              <w:t>R</w:t>
            </w:r>
            <w:r w:rsidRPr="006F5452">
              <w:rPr>
                <w:rFonts w:eastAsia="Calibri" w:cs="Times New Roman"/>
                <w:b w:val="0"/>
                <w:bCs w:val="0"/>
                <w:iCs/>
                <w:sz w:val="20"/>
                <w:szCs w:val="20"/>
                <w:vertAlign w:val="superscript"/>
                <w:lang w:val="en-GB"/>
              </w:rPr>
              <w:t>2</w:t>
            </w:r>
          </w:p>
        </w:tc>
        <w:tc>
          <w:tcPr>
            <w:tcW w:w="1411" w:type="dxa"/>
            <w:hideMark/>
          </w:tcPr>
          <w:p w14:paraId="293C4126" w14:textId="064AF5A5"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w:t>
            </w:r>
            <w:r w:rsidR="00F6458A" w:rsidRPr="006F5452">
              <w:rPr>
                <w:rFonts w:cs="Times New Roman"/>
                <w:sz w:val="20"/>
                <w:szCs w:val="20"/>
                <w:lang w:val="en-GB"/>
              </w:rPr>
              <w:t>68</w:t>
            </w:r>
            <w:r w:rsidRPr="006F5452">
              <w:rPr>
                <w:rFonts w:cs="Times New Roman"/>
                <w:sz w:val="20"/>
                <w:szCs w:val="20"/>
                <w:lang w:val="en-GB"/>
              </w:rPr>
              <w:t>39</w:t>
            </w:r>
          </w:p>
        </w:tc>
        <w:tc>
          <w:tcPr>
            <w:tcW w:w="1578" w:type="dxa"/>
          </w:tcPr>
          <w:p w14:paraId="079C24E7" w14:textId="77777777"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40" w:type="dxa"/>
          </w:tcPr>
          <w:p w14:paraId="0C405A15" w14:textId="77777777"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767" w:type="dxa"/>
          </w:tcPr>
          <w:p w14:paraId="1BCC98E5" w14:textId="5A457035"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131244B0" w14:textId="77777777"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6F5452" w:rsidRPr="006F5452" w14:paraId="519B17B5" w14:textId="77777777" w:rsidTr="00447A11">
        <w:tc>
          <w:tcPr>
            <w:cnfStyle w:val="001000000000" w:firstRow="0" w:lastRow="0" w:firstColumn="1" w:lastColumn="0" w:oddVBand="0" w:evenVBand="0" w:oddHBand="0" w:evenHBand="0" w:firstRowFirstColumn="0" w:firstRowLastColumn="0" w:lastRowFirstColumn="0" w:lastRowLastColumn="0"/>
            <w:tcW w:w="1619" w:type="dxa"/>
            <w:hideMark/>
          </w:tcPr>
          <w:p w14:paraId="77F3B06F" w14:textId="77777777" w:rsidR="00DD3813" w:rsidRPr="006F5452" w:rsidRDefault="00DD3813" w:rsidP="00DD3813">
            <w:pPr>
              <w:spacing w:line="360" w:lineRule="auto"/>
              <w:rPr>
                <w:rFonts w:eastAsia="Calibri" w:cs="Times New Roman"/>
                <w:b w:val="0"/>
                <w:bCs w:val="0"/>
                <w:sz w:val="20"/>
                <w:szCs w:val="20"/>
                <w:lang w:val="en-GB"/>
              </w:rPr>
            </w:pPr>
            <w:r w:rsidRPr="006F5452">
              <w:rPr>
                <w:rFonts w:eastAsia="Calibri" w:cs="Times New Roman"/>
                <w:b w:val="0"/>
                <w:bCs w:val="0"/>
                <w:sz w:val="20"/>
                <w:szCs w:val="20"/>
                <w:lang w:val="en-GB"/>
              </w:rPr>
              <w:t>ECM (-1)</w:t>
            </w:r>
          </w:p>
        </w:tc>
        <w:tc>
          <w:tcPr>
            <w:tcW w:w="1411" w:type="dxa"/>
            <w:hideMark/>
          </w:tcPr>
          <w:p w14:paraId="5AC488A2" w14:textId="5FBFC069" w:rsidR="00DD3813" w:rsidRPr="006F5452" w:rsidRDefault="00DD3813" w:rsidP="00DD381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-0.8454***</w:t>
            </w:r>
          </w:p>
        </w:tc>
        <w:tc>
          <w:tcPr>
            <w:tcW w:w="1578" w:type="dxa"/>
            <w:hideMark/>
          </w:tcPr>
          <w:p w14:paraId="40BAA7DC" w14:textId="62551859" w:rsidR="00DD3813" w:rsidRPr="006F5452" w:rsidRDefault="00DD3813" w:rsidP="00DD381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0.0883</w:t>
            </w:r>
          </w:p>
        </w:tc>
        <w:tc>
          <w:tcPr>
            <w:tcW w:w="1440" w:type="dxa"/>
          </w:tcPr>
          <w:p w14:paraId="53C68A2C" w14:textId="77777777" w:rsidR="00DD3813" w:rsidRPr="006F5452" w:rsidRDefault="00DD3813" w:rsidP="00DD381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767" w:type="dxa"/>
          </w:tcPr>
          <w:p w14:paraId="02AF9F5E" w14:textId="3E08E177" w:rsidR="00DD3813" w:rsidRPr="006F5452" w:rsidRDefault="00DD3813" w:rsidP="00DD381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26818369" w14:textId="34EE88F5" w:rsidR="00DD3813" w:rsidRPr="006F5452" w:rsidRDefault="00DD3813" w:rsidP="00DD381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1D0B3B56" w14:textId="77777777" w:rsidTr="00447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45E94CF3" w14:textId="77777777" w:rsidR="00DD3813" w:rsidRPr="006F5452" w:rsidRDefault="00DD3813" w:rsidP="00DD3813">
            <w:pPr>
              <w:spacing w:line="360" w:lineRule="auto"/>
              <w:rPr>
                <w:rFonts w:cs="Times New Roman"/>
                <w:b w:val="0"/>
                <w:bCs w:val="0"/>
                <w:iCs/>
                <w:sz w:val="20"/>
                <w:szCs w:val="20"/>
                <w:lang w:val="en-GB"/>
              </w:rPr>
            </w:pPr>
            <w:r w:rsidRPr="006F5452">
              <w:rPr>
                <w:rFonts w:cs="Times New Roman"/>
                <w:b w:val="0"/>
                <w:bCs w:val="0"/>
                <w:iCs/>
                <w:sz w:val="20"/>
                <w:szCs w:val="20"/>
                <w:lang w:val="en-GB"/>
              </w:rPr>
              <w:t>χ</w:t>
            </w:r>
            <w:r w:rsidRPr="006F5452">
              <w:rPr>
                <w:rFonts w:cs="Times New Roman"/>
                <w:b w:val="0"/>
                <w:bCs w:val="0"/>
                <w:iCs/>
                <w:sz w:val="20"/>
                <w:szCs w:val="20"/>
                <w:vertAlign w:val="superscript"/>
                <w:lang w:val="en-GB"/>
              </w:rPr>
              <w:t>2</w:t>
            </w:r>
            <w:r w:rsidRPr="006F5452">
              <w:rPr>
                <w:rFonts w:cs="Times New Roman"/>
                <w:b w:val="0"/>
                <w:bCs w:val="0"/>
                <w:iCs/>
                <w:sz w:val="20"/>
                <w:szCs w:val="20"/>
                <w:vertAlign w:val="subscript"/>
                <w:lang w:val="en-GB"/>
              </w:rPr>
              <w:t>HETR</w:t>
            </w:r>
          </w:p>
        </w:tc>
        <w:tc>
          <w:tcPr>
            <w:tcW w:w="1411" w:type="dxa"/>
            <w:hideMark/>
          </w:tcPr>
          <w:p w14:paraId="2239EA15" w14:textId="7801750E"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0.0234</w:t>
            </w:r>
          </w:p>
        </w:tc>
        <w:tc>
          <w:tcPr>
            <w:tcW w:w="1578" w:type="dxa"/>
            <w:hideMark/>
          </w:tcPr>
          <w:p w14:paraId="22D5FF5F" w14:textId="4A9695EE"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[0.8783]</w:t>
            </w:r>
          </w:p>
        </w:tc>
        <w:tc>
          <w:tcPr>
            <w:tcW w:w="1440" w:type="dxa"/>
          </w:tcPr>
          <w:p w14:paraId="06B2ADE4" w14:textId="77777777"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767" w:type="dxa"/>
          </w:tcPr>
          <w:p w14:paraId="0FC5B728" w14:textId="25EE5895"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2F103D45" w14:textId="75BE707D"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6F5452" w:rsidRPr="006F5452" w14:paraId="25E7F6B4" w14:textId="77777777" w:rsidTr="00447A11">
        <w:tc>
          <w:tcPr>
            <w:cnfStyle w:val="001000000000" w:firstRow="0" w:lastRow="0" w:firstColumn="1" w:lastColumn="0" w:oddVBand="0" w:evenVBand="0" w:oddHBand="0" w:evenHBand="0" w:firstRowFirstColumn="0" w:firstRowLastColumn="0" w:lastRowFirstColumn="0" w:lastRowLastColumn="0"/>
            <w:tcW w:w="1619" w:type="dxa"/>
            <w:hideMark/>
          </w:tcPr>
          <w:p w14:paraId="52F01FB8" w14:textId="77777777" w:rsidR="00DD3813" w:rsidRPr="006F5452" w:rsidRDefault="00DD3813" w:rsidP="00DD3813">
            <w:pPr>
              <w:spacing w:line="360" w:lineRule="auto"/>
              <w:rPr>
                <w:rFonts w:cs="Times New Roman"/>
                <w:b w:val="0"/>
                <w:bCs w:val="0"/>
                <w:iCs/>
                <w:sz w:val="20"/>
                <w:szCs w:val="20"/>
                <w:lang w:val="en-GB"/>
              </w:rPr>
            </w:pPr>
            <w:r w:rsidRPr="006F5452">
              <w:rPr>
                <w:rFonts w:cs="Times New Roman"/>
                <w:b w:val="0"/>
                <w:bCs w:val="0"/>
                <w:iCs/>
                <w:sz w:val="20"/>
                <w:szCs w:val="20"/>
                <w:lang w:val="en-GB"/>
              </w:rPr>
              <w:t>χ</w:t>
            </w:r>
            <w:r w:rsidRPr="006F5452">
              <w:rPr>
                <w:rFonts w:cs="Times New Roman"/>
                <w:b w:val="0"/>
                <w:bCs w:val="0"/>
                <w:iCs/>
                <w:sz w:val="20"/>
                <w:szCs w:val="20"/>
                <w:vertAlign w:val="superscript"/>
                <w:lang w:val="en-GB"/>
              </w:rPr>
              <w:t>2</w:t>
            </w:r>
            <w:r w:rsidRPr="006F5452">
              <w:rPr>
                <w:rFonts w:cs="Times New Roman"/>
                <w:b w:val="0"/>
                <w:bCs w:val="0"/>
                <w:iCs/>
                <w:sz w:val="20"/>
                <w:szCs w:val="20"/>
                <w:vertAlign w:val="subscript"/>
                <w:lang w:val="en-GB"/>
              </w:rPr>
              <w:t>SC</w:t>
            </w:r>
          </w:p>
        </w:tc>
        <w:tc>
          <w:tcPr>
            <w:tcW w:w="1411" w:type="dxa"/>
            <w:hideMark/>
          </w:tcPr>
          <w:p w14:paraId="60FDA8A3" w14:textId="0E988874" w:rsidR="00DD3813" w:rsidRPr="006F5452" w:rsidRDefault="00DD3813" w:rsidP="00DD381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0.0641</w:t>
            </w:r>
          </w:p>
        </w:tc>
        <w:tc>
          <w:tcPr>
            <w:tcW w:w="1578" w:type="dxa"/>
            <w:hideMark/>
          </w:tcPr>
          <w:p w14:paraId="7E3B6A66" w14:textId="6E94D438" w:rsidR="00DD3813" w:rsidRPr="006F5452" w:rsidRDefault="00DD3813" w:rsidP="00DD381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[0.9685]</w:t>
            </w:r>
          </w:p>
        </w:tc>
        <w:tc>
          <w:tcPr>
            <w:tcW w:w="1440" w:type="dxa"/>
          </w:tcPr>
          <w:p w14:paraId="486DCE8E" w14:textId="77777777" w:rsidR="00DD3813" w:rsidRPr="006F5452" w:rsidRDefault="00DD3813" w:rsidP="00DD381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767" w:type="dxa"/>
          </w:tcPr>
          <w:p w14:paraId="3799EF09" w14:textId="14C2C3CA" w:rsidR="00DD3813" w:rsidRPr="006F5452" w:rsidRDefault="00DD3813" w:rsidP="00DD381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2773F0C1" w14:textId="43C918A1" w:rsidR="00DD3813" w:rsidRPr="006F5452" w:rsidRDefault="00DD3813" w:rsidP="00DD381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0E130810" w14:textId="77777777" w:rsidTr="00447A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4EF02205" w14:textId="77777777" w:rsidR="00DD3813" w:rsidRPr="006F5452" w:rsidRDefault="00DD3813" w:rsidP="00DD3813">
            <w:pPr>
              <w:spacing w:line="360" w:lineRule="auto"/>
              <w:rPr>
                <w:rFonts w:cs="Times New Roman"/>
                <w:iCs/>
                <w:sz w:val="20"/>
                <w:szCs w:val="20"/>
                <w:lang w:val="en-GB"/>
              </w:rPr>
            </w:pPr>
            <w:r w:rsidRPr="006F5452">
              <w:rPr>
                <w:rFonts w:cs="Times New Roman"/>
                <w:b w:val="0"/>
                <w:bCs w:val="0"/>
                <w:iCs/>
                <w:sz w:val="20"/>
                <w:szCs w:val="20"/>
                <w:lang w:val="en-GB"/>
              </w:rPr>
              <w:t>χ</w:t>
            </w:r>
            <w:r w:rsidRPr="006F5452">
              <w:rPr>
                <w:rFonts w:cs="Times New Roman"/>
                <w:b w:val="0"/>
                <w:bCs w:val="0"/>
                <w:iCs/>
                <w:sz w:val="20"/>
                <w:szCs w:val="20"/>
                <w:vertAlign w:val="superscript"/>
                <w:lang w:val="en-GB"/>
              </w:rPr>
              <w:t>2</w:t>
            </w:r>
            <w:r w:rsidRPr="006F5452">
              <w:rPr>
                <w:rFonts w:cs="Times New Roman"/>
                <w:b w:val="0"/>
                <w:bCs w:val="0"/>
                <w:iCs/>
                <w:sz w:val="20"/>
                <w:szCs w:val="20"/>
                <w:vertAlign w:val="subscript"/>
                <w:lang w:val="en-GB"/>
              </w:rPr>
              <w:t>NOR</w:t>
            </w:r>
          </w:p>
        </w:tc>
        <w:tc>
          <w:tcPr>
            <w:tcW w:w="1411" w:type="dxa"/>
            <w:hideMark/>
          </w:tcPr>
          <w:p w14:paraId="6D55F05B" w14:textId="5934863D"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1.2980</w:t>
            </w:r>
          </w:p>
        </w:tc>
        <w:tc>
          <w:tcPr>
            <w:tcW w:w="1578" w:type="dxa"/>
            <w:hideMark/>
          </w:tcPr>
          <w:p w14:paraId="14F2CB65" w14:textId="7FDB61C4"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[0.8048]</w:t>
            </w:r>
          </w:p>
        </w:tc>
        <w:tc>
          <w:tcPr>
            <w:tcW w:w="1440" w:type="dxa"/>
          </w:tcPr>
          <w:p w14:paraId="4171B0BE" w14:textId="77777777"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767" w:type="dxa"/>
          </w:tcPr>
          <w:p w14:paraId="419634B4" w14:textId="6F1CF559"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3A70A266" w14:textId="0EDDD40F" w:rsidR="00DD3813" w:rsidRPr="006F5452" w:rsidRDefault="00DD3813" w:rsidP="00DD3813">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6F5452" w:rsidRPr="006F5452" w14:paraId="2D293CBD" w14:textId="77777777" w:rsidTr="00447A11">
        <w:tc>
          <w:tcPr>
            <w:cnfStyle w:val="001000000000" w:firstRow="0" w:lastRow="0" w:firstColumn="1" w:lastColumn="0" w:oddVBand="0" w:evenVBand="0" w:oddHBand="0" w:evenHBand="0" w:firstRowFirstColumn="0" w:firstRowLastColumn="0" w:lastRowFirstColumn="0" w:lastRowLastColumn="0"/>
            <w:tcW w:w="1619" w:type="dxa"/>
            <w:hideMark/>
          </w:tcPr>
          <w:p w14:paraId="0B28FB99" w14:textId="77777777" w:rsidR="00DD3813" w:rsidRPr="006F5452" w:rsidRDefault="00DD3813" w:rsidP="00DD3813">
            <w:pPr>
              <w:spacing w:line="360" w:lineRule="auto"/>
              <w:rPr>
                <w:rFonts w:cs="Times New Roman"/>
                <w:b w:val="0"/>
                <w:bCs w:val="0"/>
                <w:iCs/>
                <w:sz w:val="20"/>
                <w:szCs w:val="20"/>
                <w:lang w:val="en-GB"/>
              </w:rPr>
            </w:pPr>
            <w:r w:rsidRPr="006F5452">
              <w:rPr>
                <w:rFonts w:cs="Times New Roman"/>
                <w:b w:val="0"/>
                <w:bCs w:val="0"/>
                <w:iCs/>
                <w:sz w:val="20"/>
                <w:szCs w:val="20"/>
                <w:lang w:val="en-GB"/>
              </w:rPr>
              <w:t>Ramsey</w:t>
            </w:r>
          </w:p>
        </w:tc>
        <w:tc>
          <w:tcPr>
            <w:tcW w:w="1411" w:type="dxa"/>
            <w:hideMark/>
          </w:tcPr>
          <w:p w14:paraId="3E48CF62" w14:textId="74C25D06" w:rsidR="00DD3813" w:rsidRPr="006F5452" w:rsidRDefault="00DD3813" w:rsidP="00DD381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1.7726</w:t>
            </w:r>
          </w:p>
        </w:tc>
        <w:tc>
          <w:tcPr>
            <w:tcW w:w="1578" w:type="dxa"/>
            <w:hideMark/>
          </w:tcPr>
          <w:p w14:paraId="0A48C24A" w14:textId="574ED383" w:rsidR="00DD3813" w:rsidRPr="006F5452" w:rsidRDefault="00DD3813" w:rsidP="00DD381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[0.0791]</w:t>
            </w:r>
          </w:p>
        </w:tc>
        <w:tc>
          <w:tcPr>
            <w:tcW w:w="1440" w:type="dxa"/>
          </w:tcPr>
          <w:p w14:paraId="245242A3" w14:textId="77777777" w:rsidR="00DD3813" w:rsidRPr="006F5452" w:rsidRDefault="00DD3813" w:rsidP="00DD381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767" w:type="dxa"/>
          </w:tcPr>
          <w:p w14:paraId="02D33213" w14:textId="45EBB654" w:rsidR="00DD3813" w:rsidRPr="006F5452" w:rsidRDefault="00DD3813" w:rsidP="00DD381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7B34A19F" w14:textId="44FD567C" w:rsidR="00DD3813" w:rsidRPr="006F5452" w:rsidRDefault="00DD3813" w:rsidP="00DD3813">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bl>
    <w:p w14:paraId="75F8531E" w14:textId="22BA25B2" w:rsidR="003D108F" w:rsidRPr="006F5452" w:rsidRDefault="003D108F" w:rsidP="00803B1C">
      <w:pPr>
        <w:autoSpaceDE w:val="0"/>
        <w:autoSpaceDN w:val="0"/>
        <w:adjustRightInd w:val="0"/>
        <w:spacing w:line="240" w:lineRule="auto"/>
        <w:jc w:val="both"/>
        <w:rPr>
          <w:sz w:val="20"/>
          <w:szCs w:val="18"/>
        </w:rPr>
      </w:pPr>
      <w:r w:rsidRPr="006F5452">
        <w:rPr>
          <w:sz w:val="20"/>
          <w:szCs w:val="18"/>
        </w:rPr>
        <w:t>Notes: “+” and “-” are positive and negative cumulative sums. Superscripts “a”, “b”, and “c” specify the 1%, 5%, and 10% significance levels, respectively. χ2HETR, χ2SC, χ2NOR</w:t>
      </w:r>
      <w:r w:rsidR="00FC34DC" w:rsidRPr="006F5452">
        <w:rPr>
          <w:sz w:val="20"/>
          <w:szCs w:val="18"/>
        </w:rPr>
        <w:t>,</w:t>
      </w:r>
      <w:r w:rsidRPr="006F5452">
        <w:rPr>
          <w:sz w:val="20"/>
          <w:szCs w:val="18"/>
        </w:rPr>
        <w:t xml:space="preserve"> and Ramsey are heteroskedasticity, LM tests for serial correlation, normality, and Ramsey RESET tests, respectively. W</w:t>
      </w:r>
      <w:r w:rsidRPr="006F5452">
        <w:rPr>
          <w:sz w:val="20"/>
          <w:szCs w:val="18"/>
          <w:vertAlign w:val="subscript"/>
        </w:rPr>
        <w:t>SR</w:t>
      </w:r>
      <w:r w:rsidRPr="006F5452">
        <w:rPr>
          <w:sz w:val="20"/>
          <w:szCs w:val="18"/>
        </w:rPr>
        <w:t xml:space="preserve"> and W</w:t>
      </w:r>
      <w:r w:rsidRPr="006F5452">
        <w:rPr>
          <w:sz w:val="20"/>
          <w:szCs w:val="18"/>
          <w:vertAlign w:val="subscript"/>
        </w:rPr>
        <w:t>LR</w:t>
      </w:r>
      <w:r w:rsidRPr="006F5452">
        <w:rPr>
          <w:sz w:val="20"/>
          <w:szCs w:val="18"/>
        </w:rPr>
        <w:t xml:space="preserve"> relate to the short- and long-run Wald tests. </w:t>
      </w:r>
      <w:r w:rsidR="00744529" w:rsidRPr="006F5452">
        <w:rPr>
          <w:rFonts w:cs="Times New Roman"/>
          <w:sz w:val="20"/>
          <w:szCs w:val="20"/>
          <w:lang w:val="en-GB"/>
        </w:rPr>
        <w:t>P-values are indicated in parentheses.</w:t>
      </w:r>
    </w:p>
    <w:p w14:paraId="69670C26" w14:textId="3149FC53" w:rsidR="008079A6" w:rsidRPr="006F5452" w:rsidRDefault="008079A6" w:rsidP="00803B1C">
      <w:pPr>
        <w:autoSpaceDE w:val="0"/>
        <w:autoSpaceDN w:val="0"/>
        <w:adjustRightInd w:val="0"/>
        <w:spacing w:line="240" w:lineRule="auto"/>
        <w:jc w:val="both"/>
        <w:rPr>
          <w:sz w:val="20"/>
          <w:szCs w:val="18"/>
        </w:rPr>
      </w:pPr>
    </w:p>
    <w:p w14:paraId="706FB552" w14:textId="33FBAC9D" w:rsidR="005B6D5D" w:rsidRPr="006F5452" w:rsidRDefault="005B6D5D" w:rsidP="005B6D5D">
      <w:pPr>
        <w:pStyle w:val="Heading2"/>
        <w:rPr>
          <w:lang w:val="en-GB"/>
        </w:rPr>
      </w:pPr>
      <w:r w:rsidRPr="006F5452">
        <w:rPr>
          <w:lang w:val="en-GB"/>
        </w:rPr>
        <w:t>5.4 Asymmetric effects of WTI oil prices on green bond returns.</w:t>
      </w:r>
    </w:p>
    <w:p w14:paraId="611E6555" w14:textId="56A2B650" w:rsidR="005B6D5D" w:rsidRPr="006F5452" w:rsidRDefault="00FD5958" w:rsidP="008079A6">
      <w:pPr>
        <w:ind w:firstLine="432"/>
        <w:jc w:val="both"/>
        <w:rPr>
          <w:lang w:val="en-GB"/>
        </w:rPr>
      </w:pPr>
      <w:r w:rsidRPr="006F5452">
        <w:rPr>
          <w:lang w:val="en-GB"/>
        </w:rPr>
        <w:t xml:space="preserve">Asymmetric effects of WTI oil price changes on green bond returns are shown in Table </w:t>
      </w:r>
      <w:r w:rsidR="005B6D5D" w:rsidRPr="006F5452">
        <w:rPr>
          <w:lang w:val="en-GB"/>
        </w:rPr>
        <w:t>8</w:t>
      </w:r>
      <w:r w:rsidRPr="006F5452">
        <w:rPr>
          <w:lang w:val="en-GB"/>
        </w:rPr>
        <w:t xml:space="preserve">. </w:t>
      </w:r>
      <w:r w:rsidR="005B6D5D" w:rsidRPr="006F5452">
        <w:rPr>
          <w:lang w:val="en-GB"/>
        </w:rPr>
        <w:t>An increase in WTI positively affects green bond returns by 0.20% in the current period and by 0.16% in the lagged period in the short run, which supports previous findings (</w:t>
      </w:r>
      <w:proofErr w:type="spellStart"/>
      <w:r w:rsidR="005B6D5D" w:rsidRPr="006F5452">
        <w:rPr>
          <w:lang w:val="en-GB"/>
        </w:rPr>
        <w:t>Su</w:t>
      </w:r>
      <w:proofErr w:type="spellEnd"/>
      <w:r w:rsidR="00671DD7" w:rsidRPr="006F5452">
        <w:rPr>
          <w:lang w:val="en-GB"/>
        </w:rPr>
        <w:t xml:space="preserve"> et al</w:t>
      </w:r>
      <w:r w:rsidR="005B6D5D" w:rsidRPr="006F5452">
        <w:rPr>
          <w:lang w:val="en-GB"/>
        </w:rPr>
        <w:t xml:space="preserve">, 2022). </w:t>
      </w:r>
      <w:r w:rsidRPr="005D7330">
        <w:rPr>
          <w:color w:val="0000CC"/>
          <w:lang w:val="en-GB"/>
        </w:rPr>
        <w:t xml:space="preserve">Conversely, a </w:t>
      </w:r>
      <w:r w:rsidR="005D7330">
        <w:rPr>
          <w:color w:val="0000CC"/>
          <w:lang w:val="en-GB"/>
        </w:rPr>
        <w:t xml:space="preserve">reduction </w:t>
      </w:r>
      <w:r w:rsidRPr="005D7330">
        <w:rPr>
          <w:color w:val="0000CC"/>
          <w:lang w:val="en-GB"/>
        </w:rPr>
        <w:t xml:space="preserve">in the WTI </w:t>
      </w:r>
      <w:r w:rsidR="005D7330">
        <w:rPr>
          <w:color w:val="0000CC"/>
          <w:lang w:val="en-GB"/>
        </w:rPr>
        <w:t>adversely</w:t>
      </w:r>
      <w:r w:rsidRPr="005D7330">
        <w:rPr>
          <w:color w:val="0000CC"/>
          <w:lang w:val="en-GB"/>
        </w:rPr>
        <w:t xml:space="preserve"> affects green bond returns by 0.06%. Our finding signifies th</w:t>
      </w:r>
      <w:r w:rsidR="005D7330" w:rsidRPr="005D7330">
        <w:rPr>
          <w:color w:val="0000CC"/>
          <w:lang w:val="en-GB"/>
        </w:rPr>
        <w:t>at</w:t>
      </w:r>
      <w:r w:rsidRPr="005D7330">
        <w:rPr>
          <w:color w:val="0000CC"/>
          <w:lang w:val="en-GB"/>
        </w:rPr>
        <w:t xml:space="preserve"> green bond investors’ dynamic reactions or sentiment</w:t>
      </w:r>
      <w:r w:rsidR="005D7330" w:rsidRPr="005D7330">
        <w:rPr>
          <w:color w:val="0000CC"/>
          <w:lang w:val="en-GB"/>
        </w:rPr>
        <w:t>s</w:t>
      </w:r>
      <w:r w:rsidRPr="005D7330">
        <w:rPr>
          <w:color w:val="0000CC"/>
          <w:lang w:val="en-GB"/>
        </w:rPr>
        <w:t xml:space="preserve"> are asymmetric. It </w:t>
      </w:r>
      <w:r w:rsidR="005D7330">
        <w:rPr>
          <w:color w:val="0000CC"/>
          <w:lang w:val="en-GB"/>
        </w:rPr>
        <w:t xml:space="preserve">is found </w:t>
      </w:r>
      <w:r w:rsidRPr="005D7330">
        <w:rPr>
          <w:color w:val="0000CC"/>
          <w:lang w:val="en-GB"/>
        </w:rPr>
        <w:t xml:space="preserve">that when investors perceive that the WTI is rising, they may increase their investments in green bonds. In turn, this leads to an increase in the price of green bonds, </w:t>
      </w:r>
      <w:r w:rsidR="005D7330">
        <w:rPr>
          <w:color w:val="0000CC"/>
          <w:lang w:val="en-GB"/>
        </w:rPr>
        <w:t>ultimately leading</w:t>
      </w:r>
      <w:r w:rsidRPr="005D7330">
        <w:rPr>
          <w:color w:val="0000CC"/>
          <w:lang w:val="en-GB"/>
        </w:rPr>
        <w:t xml:space="preserve"> to an increase in returns on green bonds. There is the possibility that the opposite may also occur, as evidenced by our results</w:t>
      </w:r>
      <w:r w:rsidR="00A2679D" w:rsidRPr="005D7330">
        <w:rPr>
          <w:color w:val="0000CC"/>
          <w:lang w:val="en-GB"/>
        </w:rPr>
        <w:t xml:space="preserve"> and other studies (e.g., Lee et al., 2021)</w:t>
      </w:r>
      <w:r w:rsidRPr="006F5452">
        <w:rPr>
          <w:lang w:val="en-GB"/>
        </w:rPr>
        <w:t xml:space="preserve">. </w:t>
      </w:r>
      <w:r w:rsidR="005D7330" w:rsidRPr="005D7330">
        <w:rPr>
          <w:color w:val="0000CC"/>
          <w:lang w:val="en-GB"/>
        </w:rPr>
        <w:t xml:space="preserve">This result supports </w:t>
      </w:r>
      <w:r w:rsidR="005D7330" w:rsidRPr="005D7330">
        <w:rPr>
          <w:color w:val="0000CC"/>
          <w:lang w:val="en-GB"/>
        </w:rPr>
        <w:lastRenderedPageBreak/>
        <w:t xml:space="preserve">the goal of </w:t>
      </w:r>
      <w:r w:rsidR="005D7330">
        <w:rPr>
          <w:color w:val="0000CC"/>
          <w:lang w:val="en-GB"/>
        </w:rPr>
        <w:t xml:space="preserve">the </w:t>
      </w:r>
      <w:r w:rsidR="005D7330" w:rsidRPr="005D7330">
        <w:rPr>
          <w:color w:val="0000CC"/>
          <w:lang w:val="en-GB"/>
        </w:rPr>
        <w:t>COP26 zero-emission transition</w:t>
      </w:r>
      <w:r w:rsidR="005D7330">
        <w:rPr>
          <w:color w:val="0000CC"/>
          <w:lang w:val="en-GB"/>
        </w:rPr>
        <w:t xml:space="preserve"> by lowering the use of fossil fuels</w:t>
      </w:r>
      <w:r w:rsidR="006A400B">
        <w:rPr>
          <w:color w:val="0000CC"/>
          <w:lang w:val="en-GB"/>
        </w:rPr>
        <w:t xml:space="preserve"> (Dogan et al., 2022; Ren et al., 2022)</w:t>
      </w:r>
      <w:r w:rsidR="005D7330" w:rsidRPr="005D7330">
        <w:rPr>
          <w:color w:val="0000CC"/>
          <w:lang w:val="en-GB"/>
        </w:rPr>
        <w:t xml:space="preserve">. </w:t>
      </w:r>
      <w:r w:rsidR="00953E13">
        <w:rPr>
          <w:color w:val="0000CC"/>
          <w:lang w:val="en-GB"/>
        </w:rPr>
        <w:t>R</w:t>
      </w:r>
      <w:r w:rsidR="00953E13" w:rsidRPr="00953E13">
        <w:rPr>
          <w:color w:val="0000CC"/>
          <w:lang w:val="en-GB"/>
        </w:rPr>
        <w:t>epresentatives of governments, businesses, and other organi</w:t>
      </w:r>
      <w:r w:rsidR="00953E13">
        <w:rPr>
          <w:color w:val="0000CC"/>
          <w:lang w:val="en-GB"/>
        </w:rPr>
        <w:t>z</w:t>
      </w:r>
      <w:r w:rsidR="00953E13" w:rsidRPr="00953E13">
        <w:rPr>
          <w:color w:val="0000CC"/>
          <w:lang w:val="en-GB"/>
        </w:rPr>
        <w:t>ations with an influence over the future of the automotive industry and road transport</w:t>
      </w:r>
      <w:r w:rsidR="00953E13">
        <w:rPr>
          <w:color w:val="0000CC"/>
          <w:lang w:val="en-GB"/>
        </w:rPr>
        <w:t xml:space="preserve"> are </w:t>
      </w:r>
      <w:r w:rsidR="00953E13" w:rsidRPr="00953E13">
        <w:rPr>
          <w:color w:val="0000CC"/>
          <w:lang w:val="en-GB"/>
        </w:rPr>
        <w:t>rapidly accelerating the transition to zero</w:t>
      </w:r>
      <w:r w:rsidR="00953E13">
        <w:rPr>
          <w:color w:val="0000CC"/>
          <w:lang w:val="en-GB"/>
        </w:rPr>
        <w:t>-</w:t>
      </w:r>
      <w:r w:rsidR="00953E13" w:rsidRPr="00953E13">
        <w:rPr>
          <w:color w:val="0000CC"/>
          <w:lang w:val="en-GB"/>
        </w:rPr>
        <w:t>emission vehicles to achieve the goals of the Paris Agreement</w:t>
      </w:r>
      <w:r w:rsidR="00953E13">
        <w:rPr>
          <w:color w:val="0000CC"/>
          <w:lang w:val="en-GB"/>
        </w:rPr>
        <w:t xml:space="preserve"> by 2035 in leading markets. </w:t>
      </w:r>
      <w:r w:rsidRPr="006F5452">
        <w:rPr>
          <w:lang w:val="en-GB"/>
        </w:rPr>
        <w:t xml:space="preserve">However, the magnitude of WTI increases is more significant than that of WTI decreases. </w:t>
      </w:r>
      <w:r w:rsidR="005B6D5D" w:rsidRPr="006F5452">
        <w:rPr>
          <w:lang w:val="en-GB"/>
        </w:rPr>
        <w:t xml:space="preserve">The results also show that USEPU and geographic acts (GPRA) negatively affect green bond returns. This can be explained by the policy uncertainty or shocks that arise from government policy change or geographical conflicts. </w:t>
      </w:r>
      <w:r w:rsidR="005A5679" w:rsidRPr="006F5452">
        <w:rPr>
          <w:lang w:val="en-GB"/>
        </w:rPr>
        <w:t>For example, global financial and commodity markets (</w:t>
      </w:r>
      <w:proofErr w:type="spellStart"/>
      <w:r w:rsidR="005A5679" w:rsidRPr="006F5452">
        <w:rPr>
          <w:lang w:val="en-GB"/>
        </w:rPr>
        <w:t>Apergis</w:t>
      </w:r>
      <w:proofErr w:type="spellEnd"/>
      <w:r w:rsidR="005A5679" w:rsidRPr="006F5452">
        <w:rPr>
          <w:lang w:val="en-GB"/>
        </w:rPr>
        <w:t xml:space="preserve"> et al., 2018; Wang et al., 2022), especially those in the energy sector, have been negatively affected by recent geopolitical threats and acts, e.g., the Russian invasion of Ukraine. In response to these threats, investors disinvested their holdings to reduce the risk of their portfolios being exposed to these risks. The effects immediately led to a decline in market indices as investors were not able to anticipate the ramifications of the events. Furthermore, we find a negative effect of geopolitical risks on asset prices and returns. </w:t>
      </w:r>
      <w:r w:rsidR="005D7330">
        <w:rPr>
          <w:lang w:val="en-GB"/>
        </w:rPr>
        <w:t>Several studies have demonstrated that geopolitical risks negatively impact</w:t>
      </w:r>
      <w:r w:rsidR="005A5679" w:rsidRPr="006F5452">
        <w:rPr>
          <w:lang w:val="en-GB"/>
        </w:rPr>
        <w:t xml:space="preserve"> asset prices, including green markets (see </w:t>
      </w:r>
      <w:proofErr w:type="spellStart"/>
      <w:r w:rsidR="005A5679" w:rsidRPr="006F5452">
        <w:rPr>
          <w:lang w:val="en-GB"/>
        </w:rPr>
        <w:t>Balcilar</w:t>
      </w:r>
      <w:proofErr w:type="spellEnd"/>
      <w:r w:rsidR="005A5679" w:rsidRPr="006F5452">
        <w:rPr>
          <w:lang w:val="en-GB"/>
        </w:rPr>
        <w:t xml:space="preserve"> et al., 2018; </w:t>
      </w:r>
      <w:proofErr w:type="spellStart"/>
      <w:r w:rsidR="00BA5948" w:rsidRPr="006F5452">
        <w:rPr>
          <w:lang w:val="en-GB"/>
        </w:rPr>
        <w:t>Smales</w:t>
      </w:r>
      <w:proofErr w:type="spellEnd"/>
      <w:r w:rsidR="00BA5948" w:rsidRPr="006F5452">
        <w:rPr>
          <w:lang w:val="en-GB"/>
        </w:rPr>
        <w:t xml:space="preserve">, 2021; </w:t>
      </w:r>
      <w:r w:rsidR="00BA5948" w:rsidRPr="006F5452">
        <w:t xml:space="preserve">Caldara &amp; </w:t>
      </w:r>
      <w:proofErr w:type="spellStart"/>
      <w:r w:rsidR="00BA5948" w:rsidRPr="006F5452">
        <w:t>Iacoviello</w:t>
      </w:r>
      <w:proofErr w:type="spellEnd"/>
      <w:r w:rsidR="00BA5948" w:rsidRPr="006F5452">
        <w:t xml:space="preserve">, </w:t>
      </w:r>
      <w:r w:rsidR="005A5679" w:rsidRPr="006F5452">
        <w:rPr>
          <w:lang w:val="en-GB"/>
        </w:rPr>
        <w:t>2022).</w:t>
      </w:r>
      <w:r w:rsidR="003F13B2" w:rsidRPr="006F5452">
        <w:rPr>
          <w:lang w:val="en-GB"/>
        </w:rPr>
        <w:t xml:space="preserve"> </w:t>
      </w:r>
    </w:p>
    <w:p w14:paraId="3E42E28B" w14:textId="26F9B408" w:rsidR="005A5679" w:rsidRPr="006F5452" w:rsidRDefault="005A5679" w:rsidP="008079A6">
      <w:pPr>
        <w:ind w:firstLine="432"/>
        <w:jc w:val="both"/>
        <w:rPr>
          <w:lang w:val="en-GB"/>
        </w:rPr>
      </w:pPr>
    </w:p>
    <w:p w14:paraId="189120D4" w14:textId="5B5B62B9" w:rsidR="008079A6" w:rsidRPr="006F5452" w:rsidRDefault="005A5679" w:rsidP="005A5679">
      <w:pPr>
        <w:ind w:firstLine="432"/>
        <w:jc w:val="both"/>
        <w:rPr>
          <w:lang w:val="en-GB"/>
        </w:rPr>
      </w:pPr>
      <w:r w:rsidRPr="006F5452">
        <w:rPr>
          <w:lang w:val="en-GB"/>
        </w:rPr>
        <w:t>Geopolitical threats (GPRT) have positive short-run effects on green bond returns. This finding is consistent with previous studies, i.e. (</w:t>
      </w:r>
      <w:proofErr w:type="spellStart"/>
      <w:r w:rsidRPr="006F5452">
        <w:rPr>
          <w:lang w:val="en-GB"/>
        </w:rPr>
        <w:t>Sohag</w:t>
      </w:r>
      <w:proofErr w:type="spellEnd"/>
      <w:r w:rsidR="00BA5948" w:rsidRPr="006F5452">
        <w:rPr>
          <w:lang w:val="en-GB"/>
        </w:rPr>
        <w:t xml:space="preserve"> et al.</w:t>
      </w:r>
      <w:r w:rsidRPr="006F5452">
        <w:rPr>
          <w:lang w:val="en-GB"/>
        </w:rPr>
        <w:t>, 2022</w:t>
      </w:r>
      <w:r w:rsidR="00BA5948" w:rsidRPr="006F5452">
        <w:rPr>
          <w:lang w:val="en-GB"/>
        </w:rPr>
        <w:t>); Geopolitical</w:t>
      </w:r>
      <w:r w:rsidRPr="006F5452">
        <w:rPr>
          <w:lang w:val="en-GB"/>
        </w:rPr>
        <w:t xml:space="preserve"> threats.</w:t>
      </w:r>
      <w:r w:rsidRPr="006F5452">
        <w:t xml:space="preserve"> </w:t>
      </w:r>
      <w:r w:rsidRPr="006F5452">
        <w:rPr>
          <w:lang w:val="en-GB"/>
        </w:rPr>
        <w:t>Moreover, the short-term effects of SP500 and green bond returns are adverse, meaning SP500 changes negatively affect the green bond returns. The negative return of the green bond itself also decreases the bond returns in the subsequent period.</w:t>
      </w:r>
    </w:p>
    <w:p w14:paraId="0697D0F0" w14:textId="77777777" w:rsidR="00B86826" w:rsidRPr="006F5452" w:rsidRDefault="00B86826" w:rsidP="005A5679">
      <w:pPr>
        <w:ind w:firstLine="432"/>
        <w:jc w:val="both"/>
        <w:rPr>
          <w:lang w:val="en-GB"/>
        </w:rPr>
      </w:pPr>
    </w:p>
    <w:p w14:paraId="47334490" w14:textId="0256D012" w:rsidR="005B6D5D" w:rsidRPr="006F5452" w:rsidRDefault="00B728D3" w:rsidP="00BA5948">
      <w:pPr>
        <w:ind w:firstLine="720"/>
        <w:jc w:val="both"/>
        <w:rPr>
          <w:lang w:val="en-GB"/>
        </w:rPr>
      </w:pPr>
      <w:r w:rsidRPr="006F5452">
        <w:rPr>
          <w:lang w:val="en-GB"/>
        </w:rPr>
        <w:t>When WTI increases or decreases, the long-term effects on green bond investors are asymmetric, suggesting that investors behave differently in the long run</w:t>
      </w:r>
      <w:r w:rsidR="00B452B4" w:rsidRPr="006F5452">
        <w:rPr>
          <w:lang w:val="en-GB"/>
        </w:rPr>
        <w:t xml:space="preserve"> (Wei et al., 2022)</w:t>
      </w:r>
      <w:r w:rsidRPr="006F5452">
        <w:rPr>
          <w:lang w:val="en-GB"/>
        </w:rPr>
        <w:t xml:space="preserve">. According to the results, rising WTI </w:t>
      </w:r>
      <w:r w:rsidR="005D7330">
        <w:rPr>
          <w:lang w:val="en-GB"/>
        </w:rPr>
        <w:t>positively impacts</w:t>
      </w:r>
      <w:r w:rsidRPr="006F5452">
        <w:rPr>
          <w:lang w:val="en-GB"/>
        </w:rPr>
        <w:t xml:space="preserve"> green bond returns by 0.29%. </w:t>
      </w:r>
      <w:r w:rsidR="005A5679" w:rsidRPr="006F5452">
        <w:rPr>
          <w:lang w:val="en-GB"/>
        </w:rPr>
        <w:t xml:space="preserve">This finding is </w:t>
      </w:r>
      <w:proofErr w:type="gramStart"/>
      <w:r w:rsidR="005A5679" w:rsidRPr="006F5452">
        <w:rPr>
          <w:lang w:val="en-GB"/>
        </w:rPr>
        <w:t>similar to</w:t>
      </w:r>
      <w:proofErr w:type="gramEnd"/>
      <w:r w:rsidR="005A5679" w:rsidRPr="006F5452">
        <w:rPr>
          <w:lang w:val="en-GB"/>
        </w:rPr>
        <w:t xml:space="preserve"> the previous studies (e.g., </w:t>
      </w:r>
      <w:proofErr w:type="spellStart"/>
      <w:r w:rsidR="005A5679" w:rsidRPr="006F5452">
        <w:rPr>
          <w:lang w:val="en-GB"/>
        </w:rPr>
        <w:t>Rasoulinezhad</w:t>
      </w:r>
      <w:proofErr w:type="spellEnd"/>
      <w:r w:rsidR="005A5679" w:rsidRPr="006F5452">
        <w:rPr>
          <w:lang w:val="en-GB"/>
        </w:rPr>
        <w:t xml:space="preserve"> et al., 2020; Gong et al., 2020). It can be explained that an increase in oil prices can be expected to result in rises in the prices of commodities, energy markets, and energy stocks as well (</w:t>
      </w:r>
      <w:proofErr w:type="spellStart"/>
      <w:r w:rsidR="005A5679" w:rsidRPr="006F5452">
        <w:rPr>
          <w:lang w:val="en-GB"/>
        </w:rPr>
        <w:t>Eissa</w:t>
      </w:r>
      <w:proofErr w:type="spellEnd"/>
      <w:r w:rsidR="005A5679" w:rsidRPr="006F5452">
        <w:rPr>
          <w:lang w:val="en-GB"/>
        </w:rPr>
        <w:t xml:space="preserve"> and Al </w:t>
      </w:r>
      <w:proofErr w:type="spellStart"/>
      <w:r w:rsidR="005A5679" w:rsidRPr="006F5452">
        <w:rPr>
          <w:lang w:val="en-GB"/>
        </w:rPr>
        <w:t>Refai</w:t>
      </w:r>
      <w:proofErr w:type="spellEnd"/>
      <w:r w:rsidR="005A5679" w:rsidRPr="006F5452">
        <w:rPr>
          <w:lang w:val="en-GB"/>
        </w:rPr>
        <w:t xml:space="preserve">, 2019; </w:t>
      </w:r>
      <w:proofErr w:type="spellStart"/>
      <w:r w:rsidR="005A5679" w:rsidRPr="006F5452">
        <w:rPr>
          <w:lang w:val="en-GB"/>
        </w:rPr>
        <w:t>Sahu</w:t>
      </w:r>
      <w:proofErr w:type="spellEnd"/>
      <w:r w:rsidR="005A5679" w:rsidRPr="006F5452">
        <w:rPr>
          <w:lang w:val="en-GB"/>
        </w:rPr>
        <w:t xml:space="preserve"> et al., 2022). Moreover, </w:t>
      </w:r>
      <w:proofErr w:type="gramStart"/>
      <w:r w:rsidR="00B86826" w:rsidRPr="006F5452">
        <w:rPr>
          <w:lang w:val="en-GB"/>
        </w:rPr>
        <w:t>As</w:t>
      </w:r>
      <w:proofErr w:type="gramEnd"/>
      <w:r w:rsidR="00B86826" w:rsidRPr="006F5452">
        <w:rPr>
          <w:lang w:val="en-GB"/>
        </w:rPr>
        <w:t xml:space="preserve"> oil prices rise, green investments should also increase due to substitution effects.</w:t>
      </w:r>
      <w:r w:rsidR="005A5679" w:rsidRPr="006F5452">
        <w:rPr>
          <w:lang w:val="en-GB"/>
        </w:rPr>
        <w:t xml:space="preserve"> </w:t>
      </w:r>
      <w:r w:rsidRPr="006F5452">
        <w:rPr>
          <w:lang w:val="en-GB"/>
        </w:rPr>
        <w:t xml:space="preserve">Thus, the positive </w:t>
      </w:r>
      <w:proofErr w:type="spellStart"/>
      <w:r w:rsidRPr="006F5452">
        <w:rPr>
          <w:lang w:val="en-GB"/>
        </w:rPr>
        <w:t>spillover</w:t>
      </w:r>
      <w:proofErr w:type="spellEnd"/>
      <w:r w:rsidRPr="006F5452">
        <w:rPr>
          <w:lang w:val="en-GB"/>
        </w:rPr>
        <w:t xml:space="preserve"> effects can lead to an increase in green bond prices.</w:t>
      </w:r>
      <w:r w:rsidR="00953E13">
        <w:rPr>
          <w:lang w:val="en-GB"/>
        </w:rPr>
        <w:t xml:space="preserve"> </w:t>
      </w:r>
      <w:r w:rsidR="00953E13" w:rsidRPr="00953E13">
        <w:rPr>
          <w:color w:val="0000CC"/>
          <w:lang w:val="en-GB"/>
        </w:rPr>
        <w:t xml:space="preserve">The substitution effect can be capitalized to </w:t>
      </w:r>
      <w:r w:rsidR="00953E13">
        <w:rPr>
          <w:color w:val="0000CC"/>
          <w:lang w:val="en-GB"/>
        </w:rPr>
        <w:t xml:space="preserve">transit to </w:t>
      </w:r>
      <w:r w:rsidR="00953E13" w:rsidRPr="00953E13">
        <w:rPr>
          <w:color w:val="0000CC"/>
          <w:lang w:val="en-GB"/>
        </w:rPr>
        <w:t>zero-emission vehicle</w:t>
      </w:r>
      <w:r w:rsidR="00953E13">
        <w:rPr>
          <w:color w:val="0000CC"/>
          <w:lang w:val="en-GB"/>
        </w:rPr>
        <w:t>s (ZEVs)</w:t>
      </w:r>
      <w:r w:rsidR="00953E13">
        <w:rPr>
          <w:rFonts w:cs="Times New Roman"/>
          <w:color w:val="0000CC"/>
          <w:lang w:val="en-GB"/>
        </w:rPr>
        <w:t>─</w:t>
      </w:r>
      <w:r w:rsidR="00953E13">
        <w:rPr>
          <w:color w:val="0000CC"/>
          <w:lang w:val="en-GB"/>
        </w:rPr>
        <w:t>a goal of COP26</w:t>
      </w:r>
      <w:r w:rsidR="00953E13">
        <w:rPr>
          <w:rFonts w:cs="Times New Roman"/>
          <w:color w:val="0000CC"/>
          <w:lang w:val="en-GB"/>
        </w:rPr>
        <w:t>─</w:t>
      </w:r>
      <w:r w:rsidR="00953E13" w:rsidRPr="00953E13">
        <w:rPr>
          <w:color w:val="0000CC"/>
          <w:lang w:val="en-GB"/>
        </w:rPr>
        <w:t xml:space="preserve"> </w:t>
      </w:r>
      <w:r w:rsidR="00953E13">
        <w:rPr>
          <w:color w:val="0000CC"/>
          <w:lang w:val="en-GB"/>
        </w:rPr>
        <w:t>by reducing the dependence on fossil energy</w:t>
      </w:r>
      <w:r w:rsidR="006A400B">
        <w:rPr>
          <w:color w:val="0000CC"/>
          <w:lang w:val="en-GB"/>
        </w:rPr>
        <w:t xml:space="preserve"> (Dogan et al., 2022)</w:t>
      </w:r>
      <w:r w:rsidR="00953E13">
        <w:rPr>
          <w:color w:val="0000CC"/>
          <w:lang w:val="en-GB"/>
        </w:rPr>
        <w:t xml:space="preserve">. This </w:t>
      </w:r>
      <w:r w:rsidR="00953E13">
        <w:rPr>
          <w:color w:val="0000CC"/>
          <w:lang w:val="en-GB"/>
        </w:rPr>
        <w:lastRenderedPageBreak/>
        <w:t xml:space="preserve">transition will immensely help to achieve zero greenhouse gas emissions </w:t>
      </w:r>
      <w:r w:rsidR="00953E13" w:rsidRPr="00953E13">
        <w:rPr>
          <w:color w:val="0000CC"/>
          <w:lang w:val="en-GB"/>
        </w:rPr>
        <w:t xml:space="preserve">as </w:t>
      </w:r>
      <w:r w:rsidR="00953E13">
        <w:rPr>
          <w:rFonts w:cs="Times New Roman"/>
          <w:color w:val="0000CC"/>
          <w:shd w:val="clear" w:color="auto" w:fill="FFFFFF"/>
        </w:rPr>
        <w:t>r</w:t>
      </w:r>
      <w:r w:rsidR="00953E13" w:rsidRPr="00953E13">
        <w:rPr>
          <w:rFonts w:cs="Times New Roman"/>
          <w:color w:val="0000CC"/>
          <w:shd w:val="clear" w:color="auto" w:fill="FFFFFF"/>
        </w:rPr>
        <w:t>oad transport accounts for over 10% of global greenhouse gas emissions, and the total emissions are rising faster than any other sector.</w:t>
      </w:r>
      <w:r w:rsidRPr="00953E13">
        <w:rPr>
          <w:color w:val="0000CC"/>
          <w:lang w:val="en-GB"/>
        </w:rPr>
        <w:t xml:space="preserve"> </w:t>
      </w:r>
      <w:r w:rsidR="00953E13">
        <w:rPr>
          <w:lang w:val="en-GB"/>
        </w:rPr>
        <w:t>However</w:t>
      </w:r>
      <w:r w:rsidRPr="006F5452">
        <w:rPr>
          <w:lang w:val="en-GB"/>
        </w:rPr>
        <w:t xml:space="preserve">, a decrease in WTI also lowers green bond returns by 0.11%. It means green bond investors can predict the price of green bonds based on market information and adjust their investment decisions accordingly, such as replacing green bonds in response to WTI </w:t>
      </w:r>
      <w:r w:rsidR="002C5173" w:rsidRPr="006F5452">
        <w:rPr>
          <w:lang w:val="en-GB"/>
        </w:rPr>
        <w:t xml:space="preserve">oil </w:t>
      </w:r>
      <w:r w:rsidRPr="006F5452">
        <w:rPr>
          <w:lang w:val="en-GB"/>
        </w:rPr>
        <w:t xml:space="preserve">prices and vice versa. </w:t>
      </w:r>
      <w:r w:rsidR="00574547" w:rsidRPr="006F5452">
        <w:rPr>
          <w:lang w:val="en-GB"/>
        </w:rPr>
        <w:t>Also,</w:t>
      </w:r>
      <w:r w:rsidR="005A5679" w:rsidRPr="006F5452">
        <w:rPr>
          <w:lang w:val="en-GB"/>
        </w:rPr>
        <w:t xml:space="preserve"> GPRT ha</w:t>
      </w:r>
      <w:r w:rsidR="005D7330">
        <w:rPr>
          <w:lang w:val="en-GB"/>
        </w:rPr>
        <w:t>s</w:t>
      </w:r>
      <w:r w:rsidR="005A5679" w:rsidRPr="006F5452">
        <w:rPr>
          <w:lang w:val="en-GB"/>
        </w:rPr>
        <w:t xml:space="preserve"> a positive influence, and GPRA has adverse long-run effects o</w:t>
      </w:r>
      <w:r w:rsidR="005D7330">
        <w:rPr>
          <w:lang w:val="en-GB"/>
        </w:rPr>
        <w:t>n</w:t>
      </w:r>
      <w:r w:rsidR="005A5679" w:rsidRPr="006F5452">
        <w:rPr>
          <w:lang w:val="en-GB"/>
        </w:rPr>
        <w:t xml:space="preserve"> green bond returns. Also, SP500 positively affects green bond returns.</w:t>
      </w:r>
    </w:p>
    <w:p w14:paraId="0ADEE7FD" w14:textId="24768504" w:rsidR="005A5679" w:rsidRPr="006F5452" w:rsidRDefault="005A5679" w:rsidP="005B6D5D">
      <w:pPr>
        <w:ind w:firstLine="720"/>
        <w:rPr>
          <w:lang w:val="en-GB"/>
        </w:rPr>
      </w:pPr>
    </w:p>
    <w:p w14:paraId="71D9B574" w14:textId="3F8D333E" w:rsidR="005A5679" w:rsidRPr="006F5452" w:rsidRDefault="005A5679" w:rsidP="00BA5948">
      <w:pPr>
        <w:ind w:firstLine="720"/>
        <w:jc w:val="both"/>
        <w:rPr>
          <w:lang w:val="en-GB"/>
        </w:rPr>
      </w:pPr>
      <w:r w:rsidRPr="006F5452">
        <w:rPr>
          <w:lang w:val="en-GB"/>
        </w:rPr>
        <w:t>The short- and long-run asymmetries (W</w:t>
      </w:r>
      <w:r w:rsidRPr="006F5452">
        <w:rPr>
          <w:vertAlign w:val="subscript"/>
          <w:lang w:val="en-GB"/>
        </w:rPr>
        <w:t>SR</w:t>
      </w:r>
      <w:r w:rsidRPr="006F5452">
        <w:rPr>
          <w:lang w:val="en-GB"/>
        </w:rPr>
        <w:t xml:space="preserve"> and W</w:t>
      </w:r>
      <w:r w:rsidRPr="006F5452">
        <w:rPr>
          <w:vertAlign w:val="subscript"/>
          <w:lang w:val="en-GB"/>
        </w:rPr>
        <w:t>LR</w:t>
      </w:r>
      <w:r w:rsidRPr="006F5452">
        <w:rPr>
          <w:lang w:val="en-GB"/>
        </w:rPr>
        <w:t xml:space="preserve">) hold at the 5% level. The diagnostic </w:t>
      </w:r>
      <w:r w:rsidR="00EE4E07" w:rsidRPr="006F5452">
        <w:rPr>
          <w:lang w:val="en-GB"/>
        </w:rPr>
        <w:t xml:space="preserve">test </w:t>
      </w:r>
      <w:r w:rsidRPr="006F5452">
        <w:rPr>
          <w:lang w:val="en-GB"/>
        </w:rPr>
        <w:t>statistics</w:t>
      </w:r>
      <w:r w:rsidR="00EE4E07" w:rsidRPr="006F5452">
        <w:rPr>
          <w:lang w:val="en-GB"/>
        </w:rPr>
        <w:t xml:space="preserve"> show that the application of the NADRL models is well suited as the results show no heteroskedasticity, serial correlation, or normal distribution problems</w:t>
      </w:r>
      <w:r w:rsidRPr="006F5452">
        <w:rPr>
          <w:lang w:val="en-GB"/>
        </w:rPr>
        <w:t>.</w:t>
      </w:r>
    </w:p>
    <w:p w14:paraId="40DD21DD" w14:textId="77777777" w:rsidR="008079A6" w:rsidRPr="006F5452" w:rsidRDefault="008079A6" w:rsidP="00803B1C">
      <w:pPr>
        <w:autoSpaceDE w:val="0"/>
        <w:autoSpaceDN w:val="0"/>
        <w:adjustRightInd w:val="0"/>
        <w:spacing w:line="240" w:lineRule="auto"/>
        <w:jc w:val="both"/>
        <w:rPr>
          <w:lang w:val="en-GB"/>
        </w:rPr>
      </w:pPr>
    </w:p>
    <w:p w14:paraId="4AC1BA5B" w14:textId="0BB76D36" w:rsidR="003D108F" w:rsidRPr="006F5452" w:rsidRDefault="0017253E" w:rsidP="0017253E">
      <w:pPr>
        <w:pStyle w:val="Caption"/>
        <w:keepNext/>
        <w:jc w:val="center"/>
        <w:rPr>
          <w:color w:val="auto"/>
          <w:lang w:val="en-GB"/>
        </w:rPr>
      </w:pPr>
      <w:r w:rsidRPr="006F5452">
        <w:rPr>
          <w:color w:val="auto"/>
        </w:rPr>
        <w:t xml:space="preserve">Table </w:t>
      </w:r>
      <w:r w:rsidRPr="006F5452">
        <w:rPr>
          <w:color w:val="auto"/>
        </w:rPr>
        <w:fldChar w:fldCharType="begin"/>
      </w:r>
      <w:r w:rsidRPr="006F5452">
        <w:rPr>
          <w:color w:val="auto"/>
        </w:rPr>
        <w:instrText xml:space="preserve"> SEQ Table \* ARABIC </w:instrText>
      </w:r>
      <w:r w:rsidRPr="006F5452">
        <w:rPr>
          <w:color w:val="auto"/>
        </w:rPr>
        <w:fldChar w:fldCharType="separate"/>
      </w:r>
      <w:r w:rsidR="00F816D1" w:rsidRPr="006F5452">
        <w:rPr>
          <w:noProof/>
          <w:color w:val="auto"/>
        </w:rPr>
        <w:t>8</w:t>
      </w:r>
      <w:r w:rsidRPr="006F5452">
        <w:rPr>
          <w:noProof/>
          <w:color w:val="auto"/>
        </w:rPr>
        <w:fldChar w:fldCharType="end"/>
      </w:r>
      <w:r w:rsidR="003D108F" w:rsidRPr="006F5452">
        <w:rPr>
          <w:color w:val="auto"/>
          <w:lang w:val="en-GB"/>
        </w:rPr>
        <w:t xml:space="preserve"> Asymmetric effects of WTI on </w:t>
      </w:r>
      <w:r w:rsidR="005A5679" w:rsidRPr="006F5452">
        <w:rPr>
          <w:color w:val="auto"/>
          <w:lang w:val="en-GB"/>
        </w:rPr>
        <w:t>g</w:t>
      </w:r>
      <w:r w:rsidR="003D108F" w:rsidRPr="006F5452">
        <w:rPr>
          <w:color w:val="auto"/>
          <w:lang w:val="en-GB"/>
        </w:rPr>
        <w:t>reen Bond’s returns.</w:t>
      </w:r>
    </w:p>
    <w:tbl>
      <w:tblPr>
        <w:tblStyle w:val="PlainTable2"/>
        <w:tblW w:w="0" w:type="auto"/>
        <w:tblLook w:val="04A0" w:firstRow="1" w:lastRow="0" w:firstColumn="1" w:lastColumn="0" w:noHBand="0" w:noVBand="1"/>
      </w:tblPr>
      <w:tblGrid>
        <w:gridCol w:w="1823"/>
        <w:gridCol w:w="1383"/>
        <w:gridCol w:w="1463"/>
        <w:gridCol w:w="1363"/>
        <w:gridCol w:w="1679"/>
        <w:gridCol w:w="1315"/>
      </w:tblGrid>
      <w:tr w:rsidR="006F5452" w:rsidRPr="006F5452" w14:paraId="5AB6A5FB" w14:textId="77777777" w:rsidTr="00CB7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0517217C" w14:textId="77777777" w:rsidR="003D108F" w:rsidRPr="006F5452" w:rsidRDefault="003D108F" w:rsidP="000D1131">
            <w:pPr>
              <w:spacing w:line="360" w:lineRule="auto"/>
              <w:rPr>
                <w:rFonts w:cs="Times New Roman"/>
                <w:b w:val="0"/>
                <w:bCs w:val="0"/>
                <w:sz w:val="20"/>
                <w:szCs w:val="20"/>
                <w:lang w:val="en-GB"/>
              </w:rPr>
            </w:pPr>
          </w:p>
        </w:tc>
        <w:tc>
          <w:tcPr>
            <w:tcW w:w="2989" w:type="dxa"/>
            <w:gridSpan w:val="2"/>
            <w:hideMark/>
          </w:tcPr>
          <w:p w14:paraId="636C3F27" w14:textId="588B91EB" w:rsidR="003D108F" w:rsidRPr="006F5452" w:rsidRDefault="003D108F" w:rsidP="000D1131">
            <w:pPr>
              <w:spacing w:line="360" w:lineRule="auto"/>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lang w:val="en-GB"/>
              </w:rPr>
            </w:pPr>
            <w:r w:rsidRPr="006F5452">
              <w:rPr>
                <w:rFonts w:cs="Times New Roman"/>
                <w:b w:val="0"/>
                <w:bCs w:val="0"/>
                <w:sz w:val="20"/>
                <w:szCs w:val="20"/>
                <w:lang w:val="en-GB"/>
              </w:rPr>
              <w:t xml:space="preserve"> Short-run estimates</w:t>
            </w:r>
          </w:p>
        </w:tc>
        <w:tc>
          <w:tcPr>
            <w:tcW w:w="1440" w:type="dxa"/>
          </w:tcPr>
          <w:p w14:paraId="4ABFA258" w14:textId="77777777" w:rsidR="003D108F" w:rsidRPr="006F5452" w:rsidRDefault="003D108F" w:rsidP="000D1131">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lang w:val="en-GB"/>
              </w:rPr>
            </w:pPr>
          </w:p>
        </w:tc>
        <w:tc>
          <w:tcPr>
            <w:tcW w:w="3194" w:type="dxa"/>
            <w:gridSpan w:val="2"/>
            <w:hideMark/>
          </w:tcPr>
          <w:p w14:paraId="34C3E861" w14:textId="7D69D3C9" w:rsidR="003D108F" w:rsidRPr="006F5452" w:rsidRDefault="003D108F" w:rsidP="000D1131">
            <w:pPr>
              <w:spacing w:line="360" w:lineRule="auto"/>
              <w:cnfStyle w:val="100000000000" w:firstRow="1" w:lastRow="0" w:firstColumn="0" w:lastColumn="0" w:oddVBand="0" w:evenVBand="0" w:oddHBand="0" w:evenHBand="0" w:firstRowFirstColumn="0" w:firstRowLastColumn="0" w:lastRowFirstColumn="0" w:lastRowLastColumn="0"/>
              <w:rPr>
                <w:rFonts w:cs="Times New Roman"/>
                <w:b w:val="0"/>
                <w:bCs w:val="0"/>
                <w:sz w:val="20"/>
                <w:szCs w:val="20"/>
                <w:lang w:val="en-GB"/>
              </w:rPr>
            </w:pPr>
            <w:r w:rsidRPr="006F5452">
              <w:rPr>
                <w:rFonts w:cs="Times New Roman"/>
                <w:b w:val="0"/>
                <w:bCs w:val="0"/>
                <w:sz w:val="20"/>
                <w:szCs w:val="20"/>
                <w:lang w:val="en-GB"/>
              </w:rPr>
              <w:t>Long-term estimates</w:t>
            </w:r>
            <w:r w:rsidRPr="006F5452">
              <w:rPr>
                <w:rFonts w:cs="Times New Roman"/>
                <w:b w:val="0"/>
                <w:bCs w:val="0"/>
                <w:sz w:val="20"/>
                <w:szCs w:val="20"/>
                <w:lang w:val="en-GB"/>
              </w:rPr>
              <w:tab/>
            </w:r>
          </w:p>
        </w:tc>
      </w:tr>
      <w:tr w:rsidR="006F5452" w:rsidRPr="006F5452" w14:paraId="778D7346" w14:textId="77777777" w:rsidTr="00CB7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2C0A78BC" w14:textId="77777777" w:rsidR="003D108F" w:rsidRPr="006F5452" w:rsidRDefault="003D108F" w:rsidP="000D1131">
            <w:pPr>
              <w:spacing w:line="360" w:lineRule="auto"/>
              <w:rPr>
                <w:rFonts w:cs="Times New Roman"/>
                <w:b w:val="0"/>
                <w:bCs w:val="0"/>
                <w:sz w:val="20"/>
                <w:szCs w:val="20"/>
                <w:lang w:val="en-GB"/>
              </w:rPr>
            </w:pPr>
            <w:r w:rsidRPr="006F5452">
              <w:rPr>
                <w:rFonts w:cs="Times New Roman"/>
                <w:b w:val="0"/>
                <w:bCs w:val="0"/>
                <w:sz w:val="20"/>
                <w:szCs w:val="20"/>
                <w:lang w:val="en-GB"/>
              </w:rPr>
              <w:t>Variables</w:t>
            </w:r>
          </w:p>
        </w:tc>
        <w:tc>
          <w:tcPr>
            <w:tcW w:w="1411" w:type="dxa"/>
            <w:hideMark/>
          </w:tcPr>
          <w:p w14:paraId="28C68303" w14:textId="77777777" w:rsidR="003D108F" w:rsidRPr="006F5452" w:rsidRDefault="003D108F" w:rsidP="000D113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Coefficients.</w:t>
            </w:r>
          </w:p>
        </w:tc>
        <w:tc>
          <w:tcPr>
            <w:tcW w:w="1578" w:type="dxa"/>
            <w:hideMark/>
          </w:tcPr>
          <w:p w14:paraId="629CE533" w14:textId="77777777" w:rsidR="003D108F" w:rsidRPr="006F5452" w:rsidRDefault="003D108F" w:rsidP="000D113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Std. Error</w:t>
            </w:r>
          </w:p>
        </w:tc>
        <w:tc>
          <w:tcPr>
            <w:tcW w:w="1440" w:type="dxa"/>
          </w:tcPr>
          <w:p w14:paraId="3811D0EF" w14:textId="77777777" w:rsidR="003D108F" w:rsidRPr="006F5452" w:rsidRDefault="003D108F" w:rsidP="000D113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Variables</w:t>
            </w:r>
          </w:p>
        </w:tc>
        <w:tc>
          <w:tcPr>
            <w:tcW w:w="1767" w:type="dxa"/>
            <w:hideMark/>
          </w:tcPr>
          <w:p w14:paraId="1E8940E2" w14:textId="77777777" w:rsidR="003D108F" w:rsidRPr="006F5452" w:rsidRDefault="003D108F" w:rsidP="000D113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Coefficients.</w:t>
            </w:r>
          </w:p>
        </w:tc>
        <w:tc>
          <w:tcPr>
            <w:tcW w:w="1427" w:type="dxa"/>
            <w:hideMark/>
          </w:tcPr>
          <w:p w14:paraId="128AF2B3" w14:textId="77777777" w:rsidR="003D108F" w:rsidRPr="006F5452" w:rsidRDefault="003D108F" w:rsidP="000D1131">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Std. Error</w:t>
            </w:r>
          </w:p>
        </w:tc>
      </w:tr>
      <w:tr w:rsidR="006F5452" w:rsidRPr="006F5452" w14:paraId="624C6958" w14:textId="77777777" w:rsidTr="00CB793C">
        <w:tc>
          <w:tcPr>
            <w:cnfStyle w:val="001000000000" w:firstRow="0" w:lastRow="0" w:firstColumn="1" w:lastColumn="0" w:oddVBand="0" w:evenVBand="0" w:oddHBand="0" w:evenHBand="0" w:firstRowFirstColumn="0" w:firstRowLastColumn="0" w:lastRowFirstColumn="0" w:lastRowLastColumn="0"/>
            <w:tcW w:w="1619" w:type="dxa"/>
            <w:hideMark/>
          </w:tcPr>
          <w:p w14:paraId="1CADD440" w14:textId="258F1880" w:rsidR="005A5679" w:rsidRPr="006F5452" w:rsidRDefault="005A5679" w:rsidP="005A5679">
            <w:pPr>
              <w:spacing w:line="360" w:lineRule="auto"/>
              <w:rPr>
                <w:rFonts w:cs="Times New Roman"/>
                <w:b w:val="0"/>
                <w:bCs w:val="0"/>
                <w:iCs/>
                <w:sz w:val="20"/>
                <w:szCs w:val="20"/>
                <w:lang w:val="en-GB"/>
              </w:rPr>
            </w:pPr>
            <w:r w:rsidRPr="006F5452">
              <w:rPr>
                <w:rFonts w:cs="Times New Roman"/>
                <w:b w:val="0"/>
                <w:bCs w:val="0"/>
                <w:sz w:val="20"/>
                <w:szCs w:val="20"/>
                <w:lang w:val="en-GB"/>
              </w:rPr>
              <w:t>∆WTI</w:t>
            </w:r>
            <w:r w:rsidRPr="006F5452">
              <w:rPr>
                <w:rFonts w:cs="Times New Roman"/>
                <w:b w:val="0"/>
                <w:bCs w:val="0"/>
                <w:sz w:val="20"/>
                <w:szCs w:val="20"/>
                <w:vertAlign w:val="superscript"/>
                <w:lang w:val="en-GB"/>
              </w:rPr>
              <w:t>+</w:t>
            </w:r>
          </w:p>
        </w:tc>
        <w:tc>
          <w:tcPr>
            <w:tcW w:w="1411" w:type="dxa"/>
            <w:hideMark/>
          </w:tcPr>
          <w:p w14:paraId="53B451DF" w14:textId="3FD68899" w:rsidR="005A5679" w:rsidRPr="006F5452" w:rsidRDefault="005A5679" w:rsidP="005A5679">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0.2064***</w:t>
            </w:r>
          </w:p>
        </w:tc>
        <w:tc>
          <w:tcPr>
            <w:tcW w:w="1578" w:type="dxa"/>
            <w:hideMark/>
          </w:tcPr>
          <w:p w14:paraId="47B5C1CF" w14:textId="40CF9049" w:rsidR="005A5679" w:rsidRPr="006F5452" w:rsidRDefault="005A5679" w:rsidP="005A567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0.0305</w:t>
            </w:r>
          </w:p>
        </w:tc>
        <w:tc>
          <w:tcPr>
            <w:tcW w:w="1440" w:type="dxa"/>
          </w:tcPr>
          <w:p w14:paraId="22D90E53" w14:textId="0AE64E64" w:rsidR="005A5679" w:rsidRPr="006F5452" w:rsidRDefault="005A5679" w:rsidP="005A5679">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eastAsiaTheme="minorEastAsia"/>
                <w:iCs/>
                <w:sz w:val="20"/>
                <w:szCs w:val="20"/>
                <w:lang w:val="en-GB"/>
              </w:rPr>
              <w:t>WTI</w:t>
            </w:r>
            <w:r w:rsidRPr="006F5452">
              <w:rPr>
                <w:rFonts w:eastAsiaTheme="minorEastAsia"/>
                <w:iCs/>
                <w:sz w:val="20"/>
                <w:szCs w:val="20"/>
                <w:vertAlign w:val="superscript"/>
                <w:lang w:val="en-GB"/>
              </w:rPr>
              <w:t xml:space="preserve">+ </w:t>
            </w:r>
          </w:p>
        </w:tc>
        <w:tc>
          <w:tcPr>
            <w:tcW w:w="1767" w:type="dxa"/>
            <w:hideMark/>
          </w:tcPr>
          <w:p w14:paraId="7C073DBF" w14:textId="58F97D5E" w:rsidR="005A5679" w:rsidRPr="006F5452" w:rsidRDefault="005A5679" w:rsidP="005A567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0.2961**</w:t>
            </w:r>
          </w:p>
        </w:tc>
        <w:tc>
          <w:tcPr>
            <w:tcW w:w="1427" w:type="dxa"/>
            <w:hideMark/>
          </w:tcPr>
          <w:p w14:paraId="3CD8C00C" w14:textId="46CC4F1D" w:rsidR="005A5679" w:rsidRPr="006F5452" w:rsidRDefault="005A5679" w:rsidP="005A567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0.0376</w:t>
            </w:r>
          </w:p>
        </w:tc>
      </w:tr>
      <w:tr w:rsidR="006F5452" w:rsidRPr="006F5452" w14:paraId="12D0AB5D" w14:textId="77777777" w:rsidTr="00CB7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28723EC5" w14:textId="59C2F9B8" w:rsidR="005A5679" w:rsidRPr="006F5452" w:rsidRDefault="005A5679" w:rsidP="005A5679">
            <w:pPr>
              <w:spacing w:line="360" w:lineRule="auto"/>
              <w:rPr>
                <w:rFonts w:cs="Times New Roman"/>
                <w:sz w:val="20"/>
                <w:szCs w:val="20"/>
                <w:lang w:val="en-GB"/>
              </w:rPr>
            </w:pPr>
            <w:r w:rsidRPr="006F5452">
              <w:rPr>
                <w:rFonts w:cs="Times New Roman"/>
                <w:b w:val="0"/>
                <w:bCs w:val="0"/>
                <w:sz w:val="20"/>
                <w:szCs w:val="20"/>
                <w:lang w:val="en-GB"/>
              </w:rPr>
              <w:t>∆WTI</w:t>
            </w:r>
            <w:r w:rsidRPr="006F5452">
              <w:rPr>
                <w:rFonts w:cs="Times New Roman"/>
                <w:b w:val="0"/>
                <w:bCs w:val="0"/>
                <w:sz w:val="20"/>
                <w:szCs w:val="20"/>
                <w:vertAlign w:val="superscript"/>
                <w:lang w:val="en-GB"/>
              </w:rPr>
              <w:t xml:space="preserve">+ </w:t>
            </w:r>
          </w:p>
        </w:tc>
        <w:tc>
          <w:tcPr>
            <w:tcW w:w="1411" w:type="dxa"/>
            <w:hideMark/>
          </w:tcPr>
          <w:p w14:paraId="41DED153" w14:textId="3012D6D8" w:rsidR="005A5679" w:rsidRPr="006F5452" w:rsidRDefault="005A5679" w:rsidP="005A5679">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sz w:val="20"/>
                <w:szCs w:val="20"/>
                <w:lang w:val="en-GB"/>
              </w:rPr>
              <w:t>0.1644***</w:t>
            </w:r>
          </w:p>
        </w:tc>
        <w:tc>
          <w:tcPr>
            <w:tcW w:w="1578" w:type="dxa"/>
            <w:hideMark/>
          </w:tcPr>
          <w:p w14:paraId="1C113B1D" w14:textId="0159097B" w:rsidR="005A5679" w:rsidRPr="006F5452" w:rsidRDefault="005A5679" w:rsidP="005A567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sz w:val="20"/>
                <w:szCs w:val="20"/>
                <w:lang w:val="en-GB"/>
              </w:rPr>
              <w:t>0.0645</w:t>
            </w:r>
          </w:p>
        </w:tc>
        <w:tc>
          <w:tcPr>
            <w:tcW w:w="1440" w:type="dxa"/>
          </w:tcPr>
          <w:p w14:paraId="5C1598D5" w14:textId="137D3E48" w:rsidR="005A5679" w:rsidRPr="006F5452" w:rsidRDefault="005A5679" w:rsidP="005A5679">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eastAsiaTheme="minorEastAsia"/>
                <w:iCs/>
                <w:sz w:val="20"/>
                <w:szCs w:val="20"/>
                <w:lang w:val="en-GB"/>
              </w:rPr>
              <w:t>WTI</w:t>
            </w:r>
            <w:r w:rsidRPr="006F5452">
              <w:rPr>
                <w:rFonts w:eastAsiaTheme="minorEastAsia" w:cs="Times New Roman"/>
                <w:iCs/>
                <w:sz w:val="20"/>
                <w:szCs w:val="20"/>
                <w:vertAlign w:val="superscript"/>
                <w:lang w:val="en-GB"/>
              </w:rPr>
              <w:t>−</w:t>
            </w:r>
          </w:p>
        </w:tc>
        <w:tc>
          <w:tcPr>
            <w:tcW w:w="1767" w:type="dxa"/>
          </w:tcPr>
          <w:p w14:paraId="4395004A" w14:textId="761D8699" w:rsidR="005A5679" w:rsidRPr="006F5452" w:rsidRDefault="005A5679" w:rsidP="005A567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-0.1172**</w:t>
            </w:r>
          </w:p>
        </w:tc>
        <w:tc>
          <w:tcPr>
            <w:tcW w:w="1427" w:type="dxa"/>
          </w:tcPr>
          <w:p w14:paraId="4638F9B7" w14:textId="4D127BE8" w:rsidR="005A5679" w:rsidRPr="006F5452" w:rsidRDefault="005A5679" w:rsidP="005A567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0.0159</w:t>
            </w:r>
          </w:p>
        </w:tc>
      </w:tr>
      <w:tr w:rsidR="006F5452" w:rsidRPr="006F5452" w14:paraId="25D2F883" w14:textId="77777777" w:rsidTr="00CB793C">
        <w:tc>
          <w:tcPr>
            <w:cnfStyle w:val="001000000000" w:firstRow="0" w:lastRow="0" w:firstColumn="1" w:lastColumn="0" w:oddVBand="0" w:evenVBand="0" w:oddHBand="0" w:evenHBand="0" w:firstRowFirstColumn="0" w:firstRowLastColumn="0" w:lastRowFirstColumn="0" w:lastRowLastColumn="0"/>
            <w:tcW w:w="1619" w:type="dxa"/>
            <w:hideMark/>
          </w:tcPr>
          <w:p w14:paraId="6A4AC601" w14:textId="7832264E" w:rsidR="005A5679" w:rsidRPr="006F5452" w:rsidRDefault="005A5679" w:rsidP="005A5679">
            <w:pPr>
              <w:spacing w:line="360" w:lineRule="auto"/>
              <w:rPr>
                <w:rFonts w:cs="Times New Roman"/>
                <w:sz w:val="20"/>
                <w:szCs w:val="20"/>
                <w:lang w:val="en-GB"/>
              </w:rPr>
            </w:pPr>
            <w:r w:rsidRPr="006F5452">
              <w:rPr>
                <w:rFonts w:cs="Times New Roman"/>
                <w:b w:val="0"/>
                <w:bCs w:val="0"/>
                <w:sz w:val="20"/>
                <w:szCs w:val="20"/>
                <w:lang w:val="en-GB"/>
              </w:rPr>
              <w:t>∆WTI</w:t>
            </w:r>
            <w:r w:rsidRPr="006F5452">
              <w:rPr>
                <w:rFonts w:cs="Times New Roman"/>
                <w:b w:val="0"/>
                <w:bCs w:val="0"/>
                <w:sz w:val="20"/>
                <w:szCs w:val="20"/>
                <w:vertAlign w:val="superscript"/>
                <w:lang w:val="en-GB"/>
              </w:rPr>
              <w:t>−</w:t>
            </w:r>
            <w:r w:rsidRPr="006F5452">
              <w:rPr>
                <w:rFonts w:cs="Times New Roman"/>
                <w:b w:val="0"/>
                <w:bCs w:val="0"/>
                <w:sz w:val="20"/>
                <w:szCs w:val="20"/>
                <w:lang w:val="en-GB"/>
              </w:rPr>
              <w:t>(-1)</w:t>
            </w:r>
          </w:p>
        </w:tc>
        <w:tc>
          <w:tcPr>
            <w:tcW w:w="1411" w:type="dxa"/>
          </w:tcPr>
          <w:p w14:paraId="519B0F8B" w14:textId="5A31C220" w:rsidR="005A5679" w:rsidRPr="006F5452" w:rsidRDefault="005A5679" w:rsidP="005A5679">
            <w:pPr>
              <w:spacing w:line="360" w:lineRule="auto"/>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-0.0695**</w:t>
            </w:r>
          </w:p>
        </w:tc>
        <w:tc>
          <w:tcPr>
            <w:tcW w:w="1578" w:type="dxa"/>
          </w:tcPr>
          <w:p w14:paraId="44B03903" w14:textId="5D44E7E3" w:rsidR="005A5679" w:rsidRPr="006F5452" w:rsidRDefault="005A5679" w:rsidP="005A5679">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0.0157</w:t>
            </w:r>
          </w:p>
        </w:tc>
        <w:tc>
          <w:tcPr>
            <w:tcW w:w="1440" w:type="dxa"/>
          </w:tcPr>
          <w:p w14:paraId="3788090C" w14:textId="66F33640" w:rsidR="005A5679" w:rsidRPr="006F5452" w:rsidRDefault="005A5679" w:rsidP="005A5679">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eastAsiaTheme="minorEastAsia"/>
                <w:iCs/>
                <w:sz w:val="20"/>
                <w:szCs w:val="20"/>
                <w:lang w:val="en-GB"/>
              </w:rPr>
              <w:t>WTI</w:t>
            </w:r>
            <w:r w:rsidRPr="006F5452">
              <w:rPr>
                <w:rFonts w:eastAsiaTheme="minorEastAsia" w:cs="Times New Roman"/>
                <w:iCs/>
                <w:sz w:val="20"/>
                <w:szCs w:val="20"/>
                <w:vertAlign w:val="superscript"/>
                <w:lang w:val="en-GB"/>
              </w:rPr>
              <w:t xml:space="preserve">− </w:t>
            </w:r>
            <w:r w:rsidRPr="006F5452">
              <w:rPr>
                <w:rFonts w:eastAsiaTheme="minorEastAsia" w:cs="Times New Roman"/>
                <w:iCs/>
                <w:sz w:val="20"/>
                <w:szCs w:val="20"/>
                <w:lang w:val="en-GB"/>
              </w:rPr>
              <w:t>(-1)</w:t>
            </w:r>
          </w:p>
        </w:tc>
        <w:tc>
          <w:tcPr>
            <w:tcW w:w="1767" w:type="dxa"/>
          </w:tcPr>
          <w:p w14:paraId="78CFECD8" w14:textId="77A23690" w:rsidR="005A5679" w:rsidRPr="006F5452" w:rsidRDefault="005A5679" w:rsidP="005A567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0.2017***</w:t>
            </w:r>
          </w:p>
        </w:tc>
        <w:tc>
          <w:tcPr>
            <w:tcW w:w="1427" w:type="dxa"/>
          </w:tcPr>
          <w:p w14:paraId="5BBE125A" w14:textId="130821F2" w:rsidR="005A5679" w:rsidRPr="006F5452" w:rsidRDefault="005A5679" w:rsidP="005A567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0.0524</w:t>
            </w:r>
          </w:p>
        </w:tc>
      </w:tr>
      <w:tr w:rsidR="006F5452" w:rsidRPr="006F5452" w14:paraId="5C55247E" w14:textId="77777777" w:rsidTr="00CB7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tcPr>
          <w:p w14:paraId="0D565E3F" w14:textId="54B56AD0" w:rsidR="005A5679" w:rsidRPr="006F5452" w:rsidRDefault="005A5679" w:rsidP="005A5679">
            <w:pPr>
              <w:spacing w:line="360" w:lineRule="auto"/>
              <w:rPr>
                <w:rFonts w:cs="Times New Roman"/>
                <w:sz w:val="20"/>
                <w:szCs w:val="20"/>
                <w:lang w:val="en-GB"/>
              </w:rPr>
            </w:pPr>
            <w:r w:rsidRPr="006F5452">
              <w:rPr>
                <w:rFonts w:cs="Times New Roman"/>
                <w:b w:val="0"/>
                <w:bCs w:val="0"/>
                <w:sz w:val="20"/>
                <w:szCs w:val="20"/>
                <w:lang w:val="en-GB"/>
              </w:rPr>
              <w:t>∆WTI</w:t>
            </w:r>
            <w:r w:rsidRPr="006F5452">
              <w:rPr>
                <w:rFonts w:cs="Times New Roman"/>
                <w:b w:val="0"/>
                <w:bCs w:val="0"/>
                <w:sz w:val="20"/>
                <w:szCs w:val="20"/>
                <w:vertAlign w:val="superscript"/>
                <w:lang w:val="en-GB"/>
              </w:rPr>
              <w:t>−</w:t>
            </w:r>
            <w:r w:rsidRPr="006F5452">
              <w:rPr>
                <w:rFonts w:cs="Times New Roman"/>
                <w:b w:val="0"/>
                <w:bCs w:val="0"/>
                <w:sz w:val="20"/>
                <w:szCs w:val="20"/>
                <w:lang w:val="en-GB"/>
              </w:rPr>
              <w:t>(-2)</w:t>
            </w:r>
          </w:p>
        </w:tc>
        <w:tc>
          <w:tcPr>
            <w:tcW w:w="1411" w:type="dxa"/>
          </w:tcPr>
          <w:p w14:paraId="456A5141" w14:textId="0D110EFF" w:rsidR="005A5679" w:rsidRPr="006F5452" w:rsidRDefault="005A5679" w:rsidP="005A5679">
            <w:pPr>
              <w:spacing w:line="360" w:lineRule="auto"/>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-0.8291***</w:t>
            </w:r>
          </w:p>
        </w:tc>
        <w:tc>
          <w:tcPr>
            <w:tcW w:w="1578" w:type="dxa"/>
          </w:tcPr>
          <w:p w14:paraId="1ABC1790" w14:textId="55FAD63C" w:rsidR="005A5679" w:rsidRPr="006F5452" w:rsidRDefault="005A5679" w:rsidP="005A5679">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0.0164</w:t>
            </w:r>
          </w:p>
        </w:tc>
        <w:tc>
          <w:tcPr>
            <w:tcW w:w="1440" w:type="dxa"/>
          </w:tcPr>
          <w:p w14:paraId="3CE0A6D6" w14:textId="0BCEC150" w:rsidR="005A5679" w:rsidRPr="006F5452" w:rsidRDefault="005A5679" w:rsidP="005A5679">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iCs/>
                <w:sz w:val="20"/>
                <w:szCs w:val="20"/>
                <w:lang w:val="en-GB"/>
              </w:rPr>
            </w:pPr>
            <w:r w:rsidRPr="006F5452">
              <w:rPr>
                <w:rFonts w:eastAsia="Calibri" w:cs="Times New Roman"/>
                <w:iCs/>
                <w:sz w:val="20"/>
                <w:szCs w:val="20"/>
                <w:lang w:val="en-GB"/>
              </w:rPr>
              <w:t>USEPU</w:t>
            </w:r>
          </w:p>
        </w:tc>
        <w:tc>
          <w:tcPr>
            <w:tcW w:w="1767" w:type="dxa"/>
          </w:tcPr>
          <w:p w14:paraId="116D2A13" w14:textId="07060D8F" w:rsidR="005A5679" w:rsidRPr="006F5452" w:rsidRDefault="005A5679" w:rsidP="005A567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-0.2402***</w:t>
            </w:r>
          </w:p>
        </w:tc>
        <w:tc>
          <w:tcPr>
            <w:tcW w:w="1427" w:type="dxa"/>
          </w:tcPr>
          <w:p w14:paraId="23F3D593" w14:textId="33B450F0" w:rsidR="005A5679" w:rsidRPr="006F5452" w:rsidRDefault="005A5679" w:rsidP="005A567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0.0527</w:t>
            </w:r>
          </w:p>
        </w:tc>
      </w:tr>
      <w:tr w:rsidR="006F5452" w:rsidRPr="006F5452" w14:paraId="7EE570ED" w14:textId="77777777" w:rsidTr="00CB793C">
        <w:tc>
          <w:tcPr>
            <w:cnfStyle w:val="001000000000" w:firstRow="0" w:lastRow="0" w:firstColumn="1" w:lastColumn="0" w:oddVBand="0" w:evenVBand="0" w:oddHBand="0" w:evenHBand="0" w:firstRowFirstColumn="0" w:firstRowLastColumn="0" w:lastRowFirstColumn="0" w:lastRowLastColumn="0"/>
            <w:tcW w:w="1619" w:type="dxa"/>
            <w:hideMark/>
          </w:tcPr>
          <w:p w14:paraId="2994900F" w14:textId="206A52A0" w:rsidR="005A5679" w:rsidRPr="006F5452" w:rsidRDefault="005A5679" w:rsidP="005A5679">
            <w:pPr>
              <w:spacing w:line="360" w:lineRule="auto"/>
              <w:rPr>
                <w:rFonts w:cs="Times New Roman"/>
                <w:b w:val="0"/>
                <w:bCs w:val="0"/>
                <w:sz w:val="20"/>
                <w:szCs w:val="20"/>
                <w:lang w:val="en-GB"/>
              </w:rPr>
            </w:pPr>
            <w:r w:rsidRPr="006F5452">
              <w:rPr>
                <w:rFonts w:cs="Times New Roman"/>
                <w:b w:val="0"/>
                <w:bCs w:val="0"/>
                <w:sz w:val="20"/>
                <w:szCs w:val="20"/>
                <w:lang w:val="en-GB"/>
              </w:rPr>
              <w:t>∆USEPU</w:t>
            </w:r>
          </w:p>
        </w:tc>
        <w:tc>
          <w:tcPr>
            <w:tcW w:w="1411" w:type="dxa"/>
            <w:hideMark/>
          </w:tcPr>
          <w:p w14:paraId="43675A74" w14:textId="0BA4640A" w:rsidR="005A5679" w:rsidRPr="006F5452" w:rsidRDefault="005A5679" w:rsidP="005A5679">
            <w:pPr>
              <w:spacing w:line="360" w:lineRule="auto"/>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-0.2290***</w:t>
            </w:r>
          </w:p>
        </w:tc>
        <w:tc>
          <w:tcPr>
            <w:tcW w:w="1578" w:type="dxa"/>
            <w:hideMark/>
          </w:tcPr>
          <w:p w14:paraId="6F05E729" w14:textId="2A1F1E6C" w:rsidR="005A5679" w:rsidRPr="006F5452" w:rsidRDefault="005A5679" w:rsidP="005A5679">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0.0025</w:t>
            </w:r>
          </w:p>
        </w:tc>
        <w:tc>
          <w:tcPr>
            <w:tcW w:w="1440" w:type="dxa"/>
          </w:tcPr>
          <w:p w14:paraId="5081F3A0" w14:textId="2DC388E6" w:rsidR="005A5679" w:rsidRPr="006F5452" w:rsidRDefault="005A5679" w:rsidP="005A5679">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eastAsia="Calibri" w:cs="Times New Roman"/>
                <w:iCs/>
                <w:sz w:val="20"/>
                <w:szCs w:val="20"/>
                <w:lang w:val="en-GB"/>
              </w:rPr>
              <w:t xml:space="preserve">GPRT </w:t>
            </w:r>
          </w:p>
        </w:tc>
        <w:tc>
          <w:tcPr>
            <w:tcW w:w="1767" w:type="dxa"/>
          </w:tcPr>
          <w:p w14:paraId="246C11FA" w14:textId="431ACB0B" w:rsidR="005A5679" w:rsidRPr="006F5452" w:rsidRDefault="005A5679" w:rsidP="005A567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0.3530***</w:t>
            </w:r>
          </w:p>
        </w:tc>
        <w:tc>
          <w:tcPr>
            <w:tcW w:w="1427" w:type="dxa"/>
          </w:tcPr>
          <w:p w14:paraId="60FA56EB" w14:textId="0569AFF1" w:rsidR="005A5679" w:rsidRPr="006F5452" w:rsidRDefault="005A5679" w:rsidP="005A567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0.0199</w:t>
            </w:r>
          </w:p>
        </w:tc>
      </w:tr>
      <w:tr w:rsidR="006F5452" w:rsidRPr="006F5452" w14:paraId="38BF4E3C" w14:textId="77777777" w:rsidTr="00CB7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432A2218" w14:textId="05AE75E8" w:rsidR="005A5679" w:rsidRPr="006F5452" w:rsidRDefault="005A5679" w:rsidP="005A5679">
            <w:pPr>
              <w:spacing w:line="360" w:lineRule="auto"/>
              <w:rPr>
                <w:rFonts w:cs="Times New Roman"/>
                <w:b w:val="0"/>
                <w:bCs w:val="0"/>
                <w:sz w:val="20"/>
                <w:szCs w:val="20"/>
                <w:lang w:val="en-GB"/>
              </w:rPr>
            </w:pPr>
            <w:r w:rsidRPr="006F5452">
              <w:rPr>
                <w:rFonts w:cs="Times New Roman"/>
                <w:b w:val="0"/>
                <w:bCs w:val="0"/>
                <w:sz w:val="20"/>
                <w:szCs w:val="20"/>
                <w:lang w:val="en-GB"/>
              </w:rPr>
              <w:t>∆</w:t>
            </w:r>
            <w:proofErr w:type="gramStart"/>
            <w:r w:rsidRPr="006F5452">
              <w:rPr>
                <w:rFonts w:cs="Times New Roman"/>
                <w:b w:val="0"/>
                <w:bCs w:val="0"/>
                <w:sz w:val="20"/>
                <w:szCs w:val="20"/>
                <w:lang w:val="en-GB"/>
              </w:rPr>
              <w:t>USEPU(</w:t>
            </w:r>
            <w:proofErr w:type="gramEnd"/>
            <w:r w:rsidRPr="006F5452">
              <w:rPr>
                <w:rFonts w:cs="Times New Roman"/>
                <w:b w:val="0"/>
                <w:bCs w:val="0"/>
                <w:sz w:val="20"/>
                <w:szCs w:val="20"/>
                <w:lang w:val="en-GB"/>
              </w:rPr>
              <w:t>-1)</w:t>
            </w:r>
          </w:p>
        </w:tc>
        <w:tc>
          <w:tcPr>
            <w:tcW w:w="1411" w:type="dxa"/>
            <w:hideMark/>
          </w:tcPr>
          <w:p w14:paraId="426ABF12" w14:textId="4CA915E5" w:rsidR="005A5679" w:rsidRPr="006F5452" w:rsidRDefault="005A5679" w:rsidP="005A5679">
            <w:pPr>
              <w:spacing w:line="360" w:lineRule="auto"/>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-0.1025**</w:t>
            </w:r>
          </w:p>
        </w:tc>
        <w:tc>
          <w:tcPr>
            <w:tcW w:w="1578" w:type="dxa"/>
            <w:hideMark/>
          </w:tcPr>
          <w:p w14:paraId="1430F2E7" w14:textId="2A2BB3B8" w:rsidR="005A5679" w:rsidRPr="006F5452" w:rsidRDefault="005A5679" w:rsidP="005A5679">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0.0452</w:t>
            </w:r>
          </w:p>
        </w:tc>
        <w:tc>
          <w:tcPr>
            <w:tcW w:w="1440" w:type="dxa"/>
          </w:tcPr>
          <w:p w14:paraId="34E347D5" w14:textId="64AE19BF" w:rsidR="005A5679" w:rsidRPr="006F5452" w:rsidRDefault="005A5679" w:rsidP="005A5679">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eastAsia="Calibri" w:cs="Times New Roman"/>
                <w:iCs/>
                <w:sz w:val="20"/>
                <w:szCs w:val="20"/>
                <w:lang w:val="en-GB"/>
              </w:rPr>
              <w:t>GPRA</w:t>
            </w:r>
          </w:p>
        </w:tc>
        <w:tc>
          <w:tcPr>
            <w:tcW w:w="1767" w:type="dxa"/>
          </w:tcPr>
          <w:p w14:paraId="0E478DE6" w14:textId="5E850A42" w:rsidR="005A5679" w:rsidRPr="006F5452" w:rsidRDefault="005A5679" w:rsidP="005A567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-0.3460***</w:t>
            </w:r>
          </w:p>
        </w:tc>
        <w:tc>
          <w:tcPr>
            <w:tcW w:w="1427" w:type="dxa"/>
          </w:tcPr>
          <w:p w14:paraId="6A1B6A06" w14:textId="37146972" w:rsidR="005A5679" w:rsidRPr="006F5452" w:rsidRDefault="005A5679" w:rsidP="005A567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0.0177</w:t>
            </w:r>
          </w:p>
        </w:tc>
      </w:tr>
      <w:tr w:rsidR="006F5452" w:rsidRPr="006F5452" w14:paraId="217B3D49" w14:textId="77777777" w:rsidTr="00CB793C">
        <w:tc>
          <w:tcPr>
            <w:cnfStyle w:val="001000000000" w:firstRow="0" w:lastRow="0" w:firstColumn="1" w:lastColumn="0" w:oddVBand="0" w:evenVBand="0" w:oddHBand="0" w:evenHBand="0" w:firstRowFirstColumn="0" w:firstRowLastColumn="0" w:lastRowFirstColumn="0" w:lastRowLastColumn="0"/>
            <w:tcW w:w="1619" w:type="dxa"/>
            <w:hideMark/>
          </w:tcPr>
          <w:p w14:paraId="1E291669" w14:textId="0A417E3A" w:rsidR="005A5679" w:rsidRPr="006F5452" w:rsidRDefault="005A5679" w:rsidP="005A5679">
            <w:pPr>
              <w:spacing w:line="360" w:lineRule="auto"/>
              <w:ind w:left="1440" w:hanging="1440"/>
              <w:rPr>
                <w:rFonts w:cs="Times New Roman"/>
                <w:b w:val="0"/>
                <w:bCs w:val="0"/>
                <w:sz w:val="20"/>
                <w:szCs w:val="20"/>
                <w:lang w:val="en-GB"/>
              </w:rPr>
            </w:pPr>
            <w:r w:rsidRPr="006F5452">
              <w:rPr>
                <w:rFonts w:cs="Times New Roman"/>
                <w:b w:val="0"/>
                <w:bCs w:val="0"/>
                <w:sz w:val="20"/>
                <w:szCs w:val="20"/>
                <w:lang w:val="en-GB"/>
              </w:rPr>
              <w:t>∆GPRT</w:t>
            </w:r>
          </w:p>
        </w:tc>
        <w:tc>
          <w:tcPr>
            <w:tcW w:w="1411" w:type="dxa"/>
            <w:hideMark/>
          </w:tcPr>
          <w:p w14:paraId="294D7FFB" w14:textId="0631658E" w:rsidR="005A5679" w:rsidRPr="006F5452" w:rsidRDefault="005A5679" w:rsidP="005A5679">
            <w:pPr>
              <w:spacing w:line="360" w:lineRule="auto"/>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0.2101**</w:t>
            </w:r>
          </w:p>
        </w:tc>
        <w:tc>
          <w:tcPr>
            <w:tcW w:w="1578" w:type="dxa"/>
            <w:hideMark/>
          </w:tcPr>
          <w:p w14:paraId="1D337EC0" w14:textId="31A3AC3E" w:rsidR="005A5679" w:rsidRPr="006F5452" w:rsidRDefault="005A5679" w:rsidP="005A5679">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0.0682</w:t>
            </w:r>
          </w:p>
        </w:tc>
        <w:tc>
          <w:tcPr>
            <w:tcW w:w="1440" w:type="dxa"/>
          </w:tcPr>
          <w:p w14:paraId="5B9258ED" w14:textId="5ED3A344" w:rsidR="005A5679" w:rsidRPr="006F5452" w:rsidRDefault="005A5679" w:rsidP="005A5679">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eastAsia="Calibri" w:cs="Times New Roman"/>
                <w:iCs/>
                <w:sz w:val="20"/>
                <w:szCs w:val="20"/>
                <w:lang w:val="en-GB"/>
              </w:rPr>
              <w:t>SP500</w:t>
            </w:r>
          </w:p>
        </w:tc>
        <w:tc>
          <w:tcPr>
            <w:tcW w:w="1767" w:type="dxa"/>
          </w:tcPr>
          <w:p w14:paraId="186A5963" w14:textId="3152A294" w:rsidR="005A5679" w:rsidRPr="006F5452" w:rsidRDefault="005A5679" w:rsidP="005A567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0.1589*</w:t>
            </w:r>
          </w:p>
        </w:tc>
        <w:tc>
          <w:tcPr>
            <w:tcW w:w="1427" w:type="dxa"/>
          </w:tcPr>
          <w:p w14:paraId="42F3E3E9" w14:textId="42EFCE27" w:rsidR="005A5679" w:rsidRPr="006F5452" w:rsidRDefault="005A5679" w:rsidP="005A5679">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sz w:val="20"/>
                <w:szCs w:val="20"/>
                <w:lang w:val="en-GB"/>
              </w:rPr>
              <w:t>0.0975</w:t>
            </w:r>
          </w:p>
        </w:tc>
      </w:tr>
      <w:tr w:rsidR="006F5452" w:rsidRPr="006F5452" w14:paraId="43E54879" w14:textId="77777777" w:rsidTr="00CB7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0FEAD29E" w14:textId="04463385" w:rsidR="005A5679" w:rsidRPr="006F5452" w:rsidRDefault="005A5679" w:rsidP="005A5679">
            <w:pPr>
              <w:spacing w:line="360" w:lineRule="auto"/>
              <w:ind w:left="1440" w:hanging="1440"/>
              <w:rPr>
                <w:rFonts w:cs="Times New Roman"/>
                <w:sz w:val="20"/>
                <w:szCs w:val="20"/>
                <w:lang w:val="en-GB"/>
              </w:rPr>
            </w:pPr>
            <w:r w:rsidRPr="006F5452">
              <w:rPr>
                <w:rFonts w:cs="Times New Roman"/>
                <w:b w:val="0"/>
                <w:bCs w:val="0"/>
                <w:sz w:val="20"/>
                <w:szCs w:val="20"/>
                <w:lang w:val="en-GB"/>
              </w:rPr>
              <w:t>∆GPRA (-1)</w:t>
            </w:r>
          </w:p>
        </w:tc>
        <w:tc>
          <w:tcPr>
            <w:tcW w:w="1411" w:type="dxa"/>
          </w:tcPr>
          <w:p w14:paraId="3E9EBA9C" w14:textId="0B71313F" w:rsidR="005A5679" w:rsidRPr="006F5452" w:rsidRDefault="005A5679" w:rsidP="005A5679">
            <w:pPr>
              <w:spacing w:line="360" w:lineRule="auto"/>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-0.0413**</w:t>
            </w:r>
          </w:p>
        </w:tc>
        <w:tc>
          <w:tcPr>
            <w:tcW w:w="1578" w:type="dxa"/>
          </w:tcPr>
          <w:p w14:paraId="6A69C9E3" w14:textId="58DD7F32" w:rsidR="005A5679" w:rsidRPr="006F5452" w:rsidRDefault="005A5679" w:rsidP="005A5679">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0.0211</w:t>
            </w:r>
          </w:p>
        </w:tc>
        <w:tc>
          <w:tcPr>
            <w:tcW w:w="1440" w:type="dxa"/>
          </w:tcPr>
          <w:p w14:paraId="7772F3C9" w14:textId="05F89259" w:rsidR="005A5679" w:rsidRPr="006F5452" w:rsidRDefault="005A5679" w:rsidP="005A5679">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eastAsia="Calibri" w:cs="Times New Roman"/>
                <w:iCs/>
                <w:sz w:val="20"/>
                <w:szCs w:val="20"/>
                <w:lang w:val="en-GB"/>
              </w:rPr>
              <w:t>SP500(-1)</w:t>
            </w:r>
          </w:p>
        </w:tc>
        <w:tc>
          <w:tcPr>
            <w:tcW w:w="1767" w:type="dxa"/>
          </w:tcPr>
          <w:p w14:paraId="0FFF5C8F" w14:textId="71C68B0F" w:rsidR="005A5679" w:rsidRPr="006F5452" w:rsidRDefault="005A5679" w:rsidP="005A567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0.2046***</w:t>
            </w:r>
          </w:p>
        </w:tc>
        <w:tc>
          <w:tcPr>
            <w:tcW w:w="1427" w:type="dxa"/>
          </w:tcPr>
          <w:p w14:paraId="528E9B36" w14:textId="513B6209" w:rsidR="005A5679" w:rsidRPr="006F5452" w:rsidRDefault="005A5679" w:rsidP="005A5679">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sz w:val="20"/>
                <w:szCs w:val="20"/>
                <w:lang w:val="en-GB"/>
              </w:rPr>
              <w:t>0.0793</w:t>
            </w:r>
          </w:p>
        </w:tc>
      </w:tr>
      <w:tr w:rsidR="006F5452" w:rsidRPr="006F5452" w14:paraId="01AFD8C8" w14:textId="77777777" w:rsidTr="00CB793C">
        <w:tc>
          <w:tcPr>
            <w:cnfStyle w:val="001000000000" w:firstRow="0" w:lastRow="0" w:firstColumn="1" w:lastColumn="0" w:oddVBand="0" w:evenVBand="0" w:oddHBand="0" w:evenHBand="0" w:firstRowFirstColumn="0" w:firstRowLastColumn="0" w:lastRowFirstColumn="0" w:lastRowLastColumn="0"/>
            <w:tcW w:w="1619" w:type="dxa"/>
            <w:hideMark/>
          </w:tcPr>
          <w:p w14:paraId="4E1A2C56" w14:textId="5C3C9239" w:rsidR="008437B8" w:rsidRPr="006F5452" w:rsidRDefault="008437B8" w:rsidP="008437B8">
            <w:pPr>
              <w:spacing w:line="360" w:lineRule="auto"/>
              <w:rPr>
                <w:rFonts w:cs="Times New Roman"/>
                <w:b w:val="0"/>
                <w:bCs w:val="0"/>
                <w:sz w:val="20"/>
                <w:szCs w:val="20"/>
                <w:lang w:val="en-GB"/>
              </w:rPr>
            </w:pPr>
            <w:r w:rsidRPr="006F5452">
              <w:rPr>
                <w:rFonts w:cs="Times New Roman"/>
                <w:b w:val="0"/>
                <w:bCs w:val="0"/>
                <w:sz w:val="20"/>
                <w:szCs w:val="20"/>
                <w:lang w:val="en-GB"/>
              </w:rPr>
              <w:t>∆GB</w:t>
            </w:r>
          </w:p>
        </w:tc>
        <w:tc>
          <w:tcPr>
            <w:tcW w:w="1411" w:type="dxa"/>
            <w:hideMark/>
          </w:tcPr>
          <w:p w14:paraId="5D23CC09" w14:textId="484F78B1" w:rsidR="008437B8" w:rsidRPr="006F5452" w:rsidRDefault="0076552A" w:rsidP="0076552A">
            <w:pPr>
              <w:spacing w:line="360" w:lineRule="auto"/>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w:t>
            </w:r>
            <w:r w:rsidR="008437B8" w:rsidRPr="006F5452">
              <w:rPr>
                <w:sz w:val="20"/>
                <w:szCs w:val="20"/>
                <w:lang w:val="en-GB"/>
              </w:rPr>
              <w:t>0.0440</w:t>
            </w:r>
            <w:r w:rsidRPr="006F5452">
              <w:rPr>
                <w:sz w:val="20"/>
                <w:szCs w:val="20"/>
                <w:lang w:val="en-GB"/>
              </w:rPr>
              <w:t>***</w:t>
            </w:r>
          </w:p>
        </w:tc>
        <w:tc>
          <w:tcPr>
            <w:tcW w:w="1578" w:type="dxa"/>
            <w:hideMark/>
          </w:tcPr>
          <w:p w14:paraId="41576B95" w14:textId="77777777"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6F5452">
              <w:rPr>
                <w:sz w:val="20"/>
                <w:szCs w:val="20"/>
                <w:lang w:val="en-GB"/>
              </w:rPr>
              <w:t>0.0080</w:t>
            </w:r>
          </w:p>
        </w:tc>
        <w:tc>
          <w:tcPr>
            <w:tcW w:w="1440" w:type="dxa"/>
          </w:tcPr>
          <w:p w14:paraId="51C705B3" w14:textId="2F51BB44" w:rsidR="008437B8" w:rsidRPr="006F5452" w:rsidRDefault="008437B8" w:rsidP="008437B8">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767" w:type="dxa"/>
          </w:tcPr>
          <w:p w14:paraId="5B32844F" w14:textId="2CD2D568"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3C0AB433" w14:textId="5D414A78"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6C44913D" w14:textId="77777777" w:rsidTr="00CB7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521C1260" w14:textId="4C1AA728" w:rsidR="008437B8" w:rsidRPr="006F5452" w:rsidRDefault="008437B8" w:rsidP="008437B8">
            <w:pPr>
              <w:spacing w:line="360" w:lineRule="auto"/>
              <w:rPr>
                <w:rFonts w:eastAsia="Calibri" w:cs="Times New Roman"/>
                <w:b w:val="0"/>
                <w:bCs w:val="0"/>
                <w:sz w:val="20"/>
                <w:szCs w:val="20"/>
                <w:lang w:val="en-GB"/>
              </w:rPr>
            </w:pPr>
            <w:r w:rsidRPr="006F5452">
              <w:rPr>
                <w:rFonts w:cs="Times New Roman"/>
                <w:b w:val="0"/>
                <w:bCs w:val="0"/>
                <w:sz w:val="20"/>
                <w:szCs w:val="20"/>
                <w:lang w:val="en-GB"/>
              </w:rPr>
              <w:t>∆GB (-1)</w:t>
            </w:r>
          </w:p>
        </w:tc>
        <w:tc>
          <w:tcPr>
            <w:tcW w:w="1411" w:type="dxa"/>
            <w:hideMark/>
          </w:tcPr>
          <w:p w14:paraId="19F9BCAE" w14:textId="2BD60421" w:rsidR="008437B8" w:rsidRPr="006F5452" w:rsidRDefault="0076552A" w:rsidP="0076552A">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sz w:val="20"/>
                <w:szCs w:val="20"/>
                <w:lang w:val="en-GB"/>
              </w:rPr>
              <w:t>-</w:t>
            </w:r>
            <w:r w:rsidR="008437B8" w:rsidRPr="006F5452">
              <w:rPr>
                <w:sz w:val="20"/>
                <w:szCs w:val="20"/>
                <w:lang w:val="en-GB"/>
              </w:rPr>
              <w:t>0.1214*</w:t>
            </w:r>
          </w:p>
        </w:tc>
        <w:tc>
          <w:tcPr>
            <w:tcW w:w="1578" w:type="dxa"/>
            <w:hideMark/>
          </w:tcPr>
          <w:p w14:paraId="1CC8147D" w14:textId="1DE6A620"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sz w:val="20"/>
                <w:szCs w:val="20"/>
                <w:lang w:val="en-GB"/>
              </w:rPr>
              <w:t>0.0940</w:t>
            </w:r>
          </w:p>
        </w:tc>
        <w:tc>
          <w:tcPr>
            <w:tcW w:w="1440" w:type="dxa"/>
          </w:tcPr>
          <w:p w14:paraId="42C6B881" w14:textId="0EA5469F" w:rsidR="008437B8" w:rsidRPr="006F5452" w:rsidRDefault="008437B8" w:rsidP="008437B8">
            <w:pPr>
              <w:spacing w:line="360" w:lineRule="auto"/>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767" w:type="dxa"/>
          </w:tcPr>
          <w:p w14:paraId="5CA11670" w14:textId="119EA825"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2AE69DE8" w14:textId="0D83BAB7"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6F5452" w:rsidRPr="006F5452" w14:paraId="648FBC4A" w14:textId="77777777" w:rsidTr="00CB793C">
        <w:tc>
          <w:tcPr>
            <w:cnfStyle w:val="001000000000" w:firstRow="0" w:lastRow="0" w:firstColumn="1" w:lastColumn="0" w:oddVBand="0" w:evenVBand="0" w:oddHBand="0" w:evenHBand="0" w:firstRowFirstColumn="0" w:firstRowLastColumn="0" w:lastRowFirstColumn="0" w:lastRowLastColumn="0"/>
            <w:tcW w:w="1619" w:type="dxa"/>
            <w:hideMark/>
          </w:tcPr>
          <w:p w14:paraId="1D84C7B3" w14:textId="43B6E4BA" w:rsidR="008437B8" w:rsidRPr="006F5452" w:rsidRDefault="008437B8" w:rsidP="008437B8">
            <w:pPr>
              <w:spacing w:line="360" w:lineRule="auto"/>
              <w:rPr>
                <w:rFonts w:eastAsia="Calibri" w:cs="Times New Roman"/>
                <w:b w:val="0"/>
                <w:bCs w:val="0"/>
                <w:sz w:val="20"/>
                <w:szCs w:val="20"/>
                <w:lang w:val="en-GB"/>
              </w:rPr>
            </w:pPr>
            <w:r w:rsidRPr="006F5452">
              <w:rPr>
                <w:rFonts w:cs="Times New Roman"/>
                <w:b w:val="0"/>
                <w:bCs w:val="0"/>
                <w:sz w:val="20"/>
                <w:szCs w:val="20"/>
                <w:lang w:val="en-GB"/>
              </w:rPr>
              <w:t>∆</w:t>
            </w:r>
            <w:r w:rsidRPr="006F5452">
              <w:rPr>
                <w:rFonts w:eastAsia="Calibri" w:cs="Times New Roman"/>
                <w:b w:val="0"/>
                <w:bCs w:val="0"/>
                <w:iCs/>
                <w:sz w:val="20"/>
                <w:szCs w:val="20"/>
                <w:lang w:val="en-GB"/>
              </w:rPr>
              <w:t xml:space="preserve"> SP500</w:t>
            </w:r>
            <w:r w:rsidRPr="006F5452">
              <w:rPr>
                <w:rFonts w:cs="Times New Roman"/>
                <w:b w:val="0"/>
                <w:bCs w:val="0"/>
                <w:sz w:val="20"/>
                <w:szCs w:val="20"/>
                <w:lang w:val="en-GB"/>
              </w:rPr>
              <w:t xml:space="preserve"> (-1)</w:t>
            </w:r>
          </w:p>
        </w:tc>
        <w:tc>
          <w:tcPr>
            <w:tcW w:w="1411" w:type="dxa"/>
            <w:hideMark/>
          </w:tcPr>
          <w:p w14:paraId="09EDDF4B" w14:textId="3DD28B34" w:rsidR="008437B8" w:rsidRPr="006F5452" w:rsidRDefault="008437B8" w:rsidP="0076552A">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sz w:val="20"/>
                <w:szCs w:val="20"/>
                <w:lang w:val="en-GB"/>
              </w:rPr>
              <w:t>-0.1075**</w:t>
            </w:r>
          </w:p>
        </w:tc>
        <w:tc>
          <w:tcPr>
            <w:tcW w:w="1578" w:type="dxa"/>
            <w:hideMark/>
          </w:tcPr>
          <w:p w14:paraId="059BFBBE" w14:textId="6AFC89E9"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sz w:val="20"/>
                <w:szCs w:val="20"/>
                <w:lang w:val="en-GB"/>
              </w:rPr>
              <w:t>0.0230</w:t>
            </w:r>
          </w:p>
        </w:tc>
        <w:tc>
          <w:tcPr>
            <w:tcW w:w="1440" w:type="dxa"/>
          </w:tcPr>
          <w:p w14:paraId="4C15640A" w14:textId="39D43A02" w:rsidR="008437B8" w:rsidRPr="006F5452" w:rsidRDefault="008437B8" w:rsidP="008437B8">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767" w:type="dxa"/>
          </w:tcPr>
          <w:p w14:paraId="6BABC06D" w14:textId="1E979FA5"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37020BE9" w14:textId="6B68627F"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4B0AAB43" w14:textId="77777777" w:rsidTr="00F64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19116BBA" w14:textId="77777777" w:rsidR="008437B8" w:rsidRPr="006F5452" w:rsidRDefault="008437B8" w:rsidP="008437B8">
            <w:pPr>
              <w:spacing w:line="360" w:lineRule="auto"/>
              <w:rPr>
                <w:rFonts w:eastAsia="Calibri" w:cs="Times New Roman"/>
                <w:b w:val="0"/>
                <w:bCs w:val="0"/>
                <w:iCs/>
                <w:sz w:val="20"/>
                <w:szCs w:val="20"/>
                <w:lang w:val="en-GB"/>
              </w:rPr>
            </w:pPr>
            <w:r w:rsidRPr="006F5452">
              <w:rPr>
                <w:rFonts w:eastAsia="Calibri" w:cs="Times New Roman"/>
                <w:b w:val="0"/>
                <w:bCs w:val="0"/>
                <w:iCs/>
                <w:sz w:val="20"/>
                <w:szCs w:val="20"/>
                <w:lang w:val="en-GB"/>
              </w:rPr>
              <w:t xml:space="preserve">Constant </w:t>
            </w:r>
          </w:p>
        </w:tc>
        <w:tc>
          <w:tcPr>
            <w:tcW w:w="1411" w:type="dxa"/>
          </w:tcPr>
          <w:p w14:paraId="4C5E7ABD" w14:textId="025D0E10" w:rsidR="008437B8" w:rsidRPr="006F5452" w:rsidRDefault="008437B8" w:rsidP="0076552A">
            <w:pPr>
              <w:spacing w:line="360" w:lineRule="auto"/>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-0.4890</w:t>
            </w:r>
          </w:p>
        </w:tc>
        <w:tc>
          <w:tcPr>
            <w:tcW w:w="1578" w:type="dxa"/>
          </w:tcPr>
          <w:p w14:paraId="5F977907" w14:textId="328407E2"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6F5452">
              <w:rPr>
                <w:sz w:val="20"/>
                <w:szCs w:val="20"/>
                <w:lang w:val="en-GB"/>
              </w:rPr>
              <w:t>0.2799</w:t>
            </w:r>
          </w:p>
        </w:tc>
        <w:tc>
          <w:tcPr>
            <w:tcW w:w="1440" w:type="dxa"/>
          </w:tcPr>
          <w:p w14:paraId="510AEF9D" w14:textId="77777777"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767" w:type="dxa"/>
          </w:tcPr>
          <w:p w14:paraId="2B972D5B" w14:textId="66C9E3EE"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61B3D54C" w14:textId="5FEECA0B"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r>
      <w:tr w:rsidR="006F5452" w:rsidRPr="006F5452" w14:paraId="10AD2BB1" w14:textId="77777777" w:rsidTr="00CB793C">
        <w:tc>
          <w:tcPr>
            <w:cnfStyle w:val="001000000000" w:firstRow="0" w:lastRow="0" w:firstColumn="1" w:lastColumn="0" w:oddVBand="0" w:evenVBand="0" w:oddHBand="0" w:evenHBand="0" w:firstRowFirstColumn="0" w:firstRowLastColumn="0" w:lastRowFirstColumn="0" w:lastRowLastColumn="0"/>
            <w:tcW w:w="1619" w:type="dxa"/>
            <w:hideMark/>
          </w:tcPr>
          <w:p w14:paraId="7358FD55" w14:textId="77777777" w:rsidR="008437B8" w:rsidRPr="006F5452" w:rsidRDefault="008437B8" w:rsidP="008437B8">
            <w:pPr>
              <w:spacing w:line="360" w:lineRule="auto"/>
              <w:rPr>
                <w:rFonts w:eastAsiaTheme="minorEastAsia"/>
                <w:b w:val="0"/>
                <w:bCs w:val="0"/>
                <w:iCs/>
                <w:sz w:val="20"/>
                <w:szCs w:val="20"/>
                <w:lang w:val="en-GB"/>
              </w:rPr>
            </w:pPr>
            <w:r w:rsidRPr="006F5452">
              <w:rPr>
                <w:rFonts w:eastAsiaTheme="minorEastAsia"/>
                <w:b w:val="0"/>
                <w:bCs w:val="0"/>
                <w:iCs/>
                <w:sz w:val="20"/>
                <w:szCs w:val="20"/>
                <w:lang w:val="en-GB"/>
              </w:rPr>
              <w:t xml:space="preserve">Asymmetries </w:t>
            </w:r>
          </w:p>
        </w:tc>
        <w:tc>
          <w:tcPr>
            <w:tcW w:w="1411" w:type="dxa"/>
          </w:tcPr>
          <w:p w14:paraId="37FB9779" w14:textId="77777777" w:rsidR="008437B8" w:rsidRPr="006F5452" w:rsidRDefault="008437B8" w:rsidP="0076552A">
            <w:pPr>
              <w:spacing w:line="360" w:lineRule="auto"/>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578" w:type="dxa"/>
          </w:tcPr>
          <w:p w14:paraId="49EEBE85" w14:textId="77777777"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40" w:type="dxa"/>
          </w:tcPr>
          <w:p w14:paraId="670FCBAE" w14:textId="77777777"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767" w:type="dxa"/>
          </w:tcPr>
          <w:p w14:paraId="6405CA78" w14:textId="77777777"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4D354BE3" w14:textId="77777777"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14F617DC" w14:textId="77777777" w:rsidTr="00F64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5E71F22D" w14:textId="77777777" w:rsidR="008437B8" w:rsidRPr="006F5452" w:rsidRDefault="008437B8" w:rsidP="008437B8">
            <w:pPr>
              <w:spacing w:line="360" w:lineRule="auto"/>
              <w:rPr>
                <w:rFonts w:eastAsiaTheme="minorEastAsia"/>
                <w:b w:val="0"/>
                <w:bCs w:val="0"/>
                <w:iCs/>
                <w:sz w:val="20"/>
                <w:szCs w:val="20"/>
                <w:lang w:val="en-GB"/>
              </w:rPr>
            </w:pPr>
            <w:r w:rsidRPr="006F5452">
              <w:rPr>
                <w:rFonts w:eastAsiaTheme="minorEastAsia"/>
                <w:b w:val="0"/>
                <w:bCs w:val="0"/>
                <w:iCs/>
                <w:sz w:val="20"/>
                <w:szCs w:val="20"/>
                <w:lang w:val="en-GB"/>
              </w:rPr>
              <w:t>W</w:t>
            </w:r>
            <w:r w:rsidRPr="006F5452">
              <w:rPr>
                <w:rFonts w:eastAsiaTheme="minorEastAsia"/>
                <w:b w:val="0"/>
                <w:bCs w:val="0"/>
                <w:iCs/>
                <w:sz w:val="20"/>
                <w:szCs w:val="20"/>
                <w:vertAlign w:val="subscript"/>
                <w:lang w:val="en-GB"/>
              </w:rPr>
              <w:t>SR</w:t>
            </w:r>
          </w:p>
        </w:tc>
        <w:tc>
          <w:tcPr>
            <w:tcW w:w="1411" w:type="dxa"/>
            <w:hideMark/>
          </w:tcPr>
          <w:p w14:paraId="5464901F" w14:textId="1E802646" w:rsidR="008437B8" w:rsidRPr="006F5452" w:rsidRDefault="00803B1C"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1</w:t>
            </w:r>
            <w:r w:rsidR="008437B8" w:rsidRPr="006F5452">
              <w:rPr>
                <w:rFonts w:cs="Times New Roman"/>
                <w:sz w:val="20"/>
                <w:szCs w:val="20"/>
                <w:lang w:val="en-GB"/>
              </w:rPr>
              <w:t>.7826</w:t>
            </w:r>
          </w:p>
        </w:tc>
        <w:tc>
          <w:tcPr>
            <w:tcW w:w="1578" w:type="dxa"/>
            <w:hideMark/>
          </w:tcPr>
          <w:p w14:paraId="30F9E50E" w14:textId="33727545"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w:t>
            </w:r>
            <w:r w:rsidR="00803B1C" w:rsidRPr="006F5452">
              <w:rPr>
                <w:rFonts w:cs="Times New Roman"/>
                <w:sz w:val="20"/>
                <w:szCs w:val="20"/>
                <w:lang w:val="en-GB"/>
              </w:rPr>
              <w:t>0964</w:t>
            </w:r>
            <w:r w:rsidRPr="006F5452">
              <w:rPr>
                <w:rFonts w:cs="Times New Roman"/>
                <w:sz w:val="20"/>
                <w:szCs w:val="20"/>
                <w:lang w:val="en-GB"/>
              </w:rPr>
              <w:t>]</w:t>
            </w:r>
          </w:p>
        </w:tc>
        <w:tc>
          <w:tcPr>
            <w:tcW w:w="1440" w:type="dxa"/>
          </w:tcPr>
          <w:p w14:paraId="7DD52439" w14:textId="77777777"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767" w:type="dxa"/>
          </w:tcPr>
          <w:p w14:paraId="74DB8C40" w14:textId="526F70D6"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25A062AC" w14:textId="6A3A1CCA"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6F5452" w:rsidRPr="006F5452" w14:paraId="2277DA97" w14:textId="77777777" w:rsidTr="00F6458A">
        <w:tc>
          <w:tcPr>
            <w:cnfStyle w:val="001000000000" w:firstRow="0" w:lastRow="0" w:firstColumn="1" w:lastColumn="0" w:oddVBand="0" w:evenVBand="0" w:oddHBand="0" w:evenHBand="0" w:firstRowFirstColumn="0" w:firstRowLastColumn="0" w:lastRowFirstColumn="0" w:lastRowLastColumn="0"/>
            <w:tcW w:w="1619" w:type="dxa"/>
            <w:hideMark/>
          </w:tcPr>
          <w:p w14:paraId="3FFE0F50" w14:textId="77777777" w:rsidR="008437B8" w:rsidRPr="006F5452" w:rsidRDefault="008437B8" w:rsidP="008437B8">
            <w:pPr>
              <w:spacing w:line="360" w:lineRule="auto"/>
              <w:rPr>
                <w:rFonts w:eastAsiaTheme="minorEastAsia"/>
                <w:b w:val="0"/>
                <w:bCs w:val="0"/>
                <w:iCs/>
                <w:sz w:val="20"/>
                <w:szCs w:val="20"/>
                <w:lang w:val="en-GB"/>
              </w:rPr>
            </w:pPr>
            <w:r w:rsidRPr="006F5452">
              <w:rPr>
                <w:rFonts w:eastAsiaTheme="minorEastAsia"/>
                <w:b w:val="0"/>
                <w:bCs w:val="0"/>
                <w:iCs/>
                <w:sz w:val="20"/>
                <w:szCs w:val="20"/>
                <w:lang w:val="en-GB"/>
              </w:rPr>
              <w:t>W</w:t>
            </w:r>
            <w:r w:rsidRPr="006F5452">
              <w:rPr>
                <w:rFonts w:eastAsiaTheme="minorEastAsia"/>
                <w:b w:val="0"/>
                <w:bCs w:val="0"/>
                <w:iCs/>
                <w:sz w:val="20"/>
                <w:szCs w:val="20"/>
                <w:vertAlign w:val="subscript"/>
                <w:lang w:val="en-GB"/>
              </w:rPr>
              <w:t>LR</w:t>
            </w:r>
          </w:p>
        </w:tc>
        <w:tc>
          <w:tcPr>
            <w:tcW w:w="1411" w:type="dxa"/>
            <w:hideMark/>
          </w:tcPr>
          <w:p w14:paraId="109E5957" w14:textId="30E52849" w:rsidR="008437B8" w:rsidRPr="006F5452" w:rsidRDefault="00803B1C"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2</w:t>
            </w:r>
            <w:r w:rsidR="008437B8" w:rsidRPr="006F5452">
              <w:rPr>
                <w:rFonts w:cs="Times New Roman"/>
                <w:sz w:val="20"/>
                <w:szCs w:val="20"/>
                <w:lang w:val="en-GB"/>
              </w:rPr>
              <w:t>.9</w:t>
            </w:r>
            <w:r w:rsidRPr="006F5452">
              <w:rPr>
                <w:rFonts w:cs="Times New Roman"/>
                <w:sz w:val="20"/>
                <w:szCs w:val="20"/>
                <w:lang w:val="en-GB"/>
              </w:rPr>
              <w:t>801</w:t>
            </w:r>
          </w:p>
        </w:tc>
        <w:tc>
          <w:tcPr>
            <w:tcW w:w="1578" w:type="dxa"/>
            <w:hideMark/>
          </w:tcPr>
          <w:p w14:paraId="25D619F3" w14:textId="58A9AA6B"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[0.8</w:t>
            </w:r>
            <w:r w:rsidR="00803B1C" w:rsidRPr="006F5452">
              <w:rPr>
                <w:rFonts w:cs="Times New Roman"/>
                <w:sz w:val="20"/>
                <w:szCs w:val="20"/>
                <w:lang w:val="en-GB"/>
              </w:rPr>
              <w:t>05</w:t>
            </w:r>
            <w:r w:rsidRPr="006F5452">
              <w:rPr>
                <w:rFonts w:cs="Times New Roman"/>
                <w:sz w:val="20"/>
                <w:szCs w:val="20"/>
                <w:lang w:val="en-GB"/>
              </w:rPr>
              <w:t>7]</w:t>
            </w:r>
          </w:p>
        </w:tc>
        <w:tc>
          <w:tcPr>
            <w:tcW w:w="1440" w:type="dxa"/>
          </w:tcPr>
          <w:p w14:paraId="21AE53B9" w14:textId="77777777"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767" w:type="dxa"/>
          </w:tcPr>
          <w:p w14:paraId="37CEAEE2" w14:textId="345A56BE"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0F17E34E" w14:textId="18489A76"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57BC52A1" w14:textId="77777777" w:rsidTr="00CB7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8" w:type="dxa"/>
            <w:gridSpan w:val="3"/>
            <w:hideMark/>
          </w:tcPr>
          <w:p w14:paraId="6B098F9F" w14:textId="77777777" w:rsidR="008437B8" w:rsidRPr="006F5452" w:rsidRDefault="008437B8" w:rsidP="008437B8">
            <w:pPr>
              <w:spacing w:line="360" w:lineRule="auto"/>
              <w:rPr>
                <w:rFonts w:cs="Times New Roman"/>
                <w:b w:val="0"/>
                <w:bCs w:val="0"/>
                <w:sz w:val="20"/>
                <w:szCs w:val="20"/>
                <w:lang w:val="en-GB"/>
              </w:rPr>
            </w:pPr>
            <w:r w:rsidRPr="006F5452">
              <w:rPr>
                <w:rFonts w:eastAsia="Calibri" w:cs="Times New Roman"/>
                <w:b w:val="0"/>
                <w:bCs w:val="0"/>
                <w:iCs/>
                <w:sz w:val="20"/>
                <w:szCs w:val="20"/>
                <w:lang w:val="en-GB"/>
              </w:rPr>
              <w:t>Diagnostics tests</w:t>
            </w:r>
          </w:p>
        </w:tc>
        <w:tc>
          <w:tcPr>
            <w:tcW w:w="1440" w:type="dxa"/>
          </w:tcPr>
          <w:p w14:paraId="68D7AC83" w14:textId="77777777"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767" w:type="dxa"/>
          </w:tcPr>
          <w:p w14:paraId="35021135" w14:textId="77777777"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2B5ADC25" w14:textId="77777777"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6F5452" w:rsidRPr="006F5452" w14:paraId="2333104D" w14:textId="77777777" w:rsidTr="00F6458A">
        <w:tc>
          <w:tcPr>
            <w:cnfStyle w:val="001000000000" w:firstRow="0" w:lastRow="0" w:firstColumn="1" w:lastColumn="0" w:oddVBand="0" w:evenVBand="0" w:oddHBand="0" w:evenHBand="0" w:firstRowFirstColumn="0" w:firstRowLastColumn="0" w:lastRowFirstColumn="0" w:lastRowLastColumn="0"/>
            <w:tcW w:w="1619" w:type="dxa"/>
            <w:hideMark/>
          </w:tcPr>
          <w:p w14:paraId="6EBAC67F" w14:textId="77777777" w:rsidR="008437B8" w:rsidRPr="006F5452" w:rsidRDefault="008437B8" w:rsidP="008437B8">
            <w:pPr>
              <w:spacing w:line="360" w:lineRule="auto"/>
              <w:rPr>
                <w:rFonts w:eastAsia="Calibri" w:cs="Times New Roman"/>
                <w:b w:val="0"/>
                <w:bCs w:val="0"/>
                <w:iCs/>
                <w:sz w:val="20"/>
                <w:szCs w:val="20"/>
                <w:lang w:val="en-GB"/>
              </w:rPr>
            </w:pPr>
            <w:r w:rsidRPr="006F5452">
              <w:rPr>
                <w:rFonts w:eastAsia="Calibri" w:cs="Times New Roman"/>
                <w:b w:val="0"/>
                <w:bCs w:val="0"/>
                <w:iCs/>
                <w:sz w:val="20"/>
                <w:szCs w:val="20"/>
                <w:lang w:val="en-GB"/>
              </w:rPr>
              <w:t>R</w:t>
            </w:r>
            <w:r w:rsidRPr="006F5452">
              <w:rPr>
                <w:rFonts w:eastAsia="Calibri" w:cs="Times New Roman"/>
                <w:b w:val="0"/>
                <w:bCs w:val="0"/>
                <w:iCs/>
                <w:sz w:val="20"/>
                <w:szCs w:val="20"/>
                <w:vertAlign w:val="superscript"/>
                <w:lang w:val="en-GB"/>
              </w:rPr>
              <w:t>2</w:t>
            </w:r>
          </w:p>
        </w:tc>
        <w:tc>
          <w:tcPr>
            <w:tcW w:w="1411" w:type="dxa"/>
            <w:hideMark/>
          </w:tcPr>
          <w:p w14:paraId="0E5DF871" w14:textId="45B8F419"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0.4009</w:t>
            </w:r>
          </w:p>
        </w:tc>
        <w:tc>
          <w:tcPr>
            <w:tcW w:w="1578" w:type="dxa"/>
          </w:tcPr>
          <w:p w14:paraId="4610B5BB" w14:textId="77777777"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40" w:type="dxa"/>
          </w:tcPr>
          <w:p w14:paraId="0A18A6FF" w14:textId="77777777"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767" w:type="dxa"/>
          </w:tcPr>
          <w:p w14:paraId="6ECB32DD" w14:textId="08BE8182"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046B4B44" w14:textId="77777777"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1D2FE0EE" w14:textId="77777777" w:rsidTr="00F64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79050DF8" w14:textId="77777777" w:rsidR="008437B8" w:rsidRPr="006F5452" w:rsidRDefault="008437B8" w:rsidP="008437B8">
            <w:pPr>
              <w:spacing w:line="360" w:lineRule="auto"/>
              <w:rPr>
                <w:rFonts w:eastAsia="Calibri" w:cs="Times New Roman"/>
                <w:b w:val="0"/>
                <w:bCs w:val="0"/>
                <w:sz w:val="20"/>
                <w:szCs w:val="20"/>
                <w:lang w:val="en-GB"/>
              </w:rPr>
            </w:pPr>
            <w:r w:rsidRPr="006F5452">
              <w:rPr>
                <w:rFonts w:eastAsia="Calibri" w:cs="Times New Roman"/>
                <w:b w:val="0"/>
                <w:bCs w:val="0"/>
                <w:sz w:val="20"/>
                <w:szCs w:val="20"/>
                <w:lang w:val="en-GB"/>
              </w:rPr>
              <w:t>ECM (-1)</w:t>
            </w:r>
          </w:p>
        </w:tc>
        <w:tc>
          <w:tcPr>
            <w:tcW w:w="1411" w:type="dxa"/>
            <w:hideMark/>
          </w:tcPr>
          <w:p w14:paraId="51F5E58B" w14:textId="3D55915A"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-0.8385***</w:t>
            </w:r>
          </w:p>
        </w:tc>
        <w:tc>
          <w:tcPr>
            <w:tcW w:w="1578" w:type="dxa"/>
            <w:hideMark/>
          </w:tcPr>
          <w:p w14:paraId="6173E87A" w14:textId="61675CC8"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0.0876</w:t>
            </w:r>
          </w:p>
        </w:tc>
        <w:tc>
          <w:tcPr>
            <w:tcW w:w="1440" w:type="dxa"/>
          </w:tcPr>
          <w:p w14:paraId="36AA6823" w14:textId="77777777"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767" w:type="dxa"/>
          </w:tcPr>
          <w:p w14:paraId="4269DC0F" w14:textId="7BE7A7CE"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722C0104" w14:textId="0F7AFA79"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6F5452" w:rsidRPr="006F5452" w14:paraId="3B501DA4" w14:textId="77777777" w:rsidTr="00F6458A">
        <w:tc>
          <w:tcPr>
            <w:cnfStyle w:val="001000000000" w:firstRow="0" w:lastRow="0" w:firstColumn="1" w:lastColumn="0" w:oddVBand="0" w:evenVBand="0" w:oddHBand="0" w:evenHBand="0" w:firstRowFirstColumn="0" w:firstRowLastColumn="0" w:lastRowFirstColumn="0" w:lastRowLastColumn="0"/>
            <w:tcW w:w="1619" w:type="dxa"/>
            <w:hideMark/>
          </w:tcPr>
          <w:p w14:paraId="50D4C248" w14:textId="77777777" w:rsidR="008437B8" w:rsidRPr="006F5452" w:rsidRDefault="008437B8" w:rsidP="008437B8">
            <w:pPr>
              <w:spacing w:line="360" w:lineRule="auto"/>
              <w:rPr>
                <w:rFonts w:cs="Times New Roman"/>
                <w:b w:val="0"/>
                <w:bCs w:val="0"/>
                <w:iCs/>
                <w:sz w:val="20"/>
                <w:szCs w:val="20"/>
                <w:lang w:val="en-GB"/>
              </w:rPr>
            </w:pPr>
            <w:r w:rsidRPr="006F5452">
              <w:rPr>
                <w:rFonts w:cs="Times New Roman"/>
                <w:b w:val="0"/>
                <w:bCs w:val="0"/>
                <w:iCs/>
                <w:sz w:val="20"/>
                <w:szCs w:val="20"/>
                <w:lang w:val="en-GB"/>
              </w:rPr>
              <w:t>χ</w:t>
            </w:r>
            <w:r w:rsidRPr="006F5452">
              <w:rPr>
                <w:rFonts w:cs="Times New Roman"/>
                <w:b w:val="0"/>
                <w:bCs w:val="0"/>
                <w:iCs/>
                <w:sz w:val="20"/>
                <w:szCs w:val="20"/>
                <w:vertAlign w:val="superscript"/>
                <w:lang w:val="en-GB"/>
              </w:rPr>
              <w:t>2</w:t>
            </w:r>
            <w:r w:rsidRPr="006F5452">
              <w:rPr>
                <w:rFonts w:cs="Times New Roman"/>
                <w:b w:val="0"/>
                <w:bCs w:val="0"/>
                <w:iCs/>
                <w:sz w:val="20"/>
                <w:szCs w:val="20"/>
                <w:vertAlign w:val="subscript"/>
                <w:lang w:val="en-GB"/>
              </w:rPr>
              <w:t>HETR</w:t>
            </w:r>
          </w:p>
        </w:tc>
        <w:tc>
          <w:tcPr>
            <w:tcW w:w="1411" w:type="dxa"/>
            <w:hideMark/>
          </w:tcPr>
          <w:p w14:paraId="0D2E2A5D" w14:textId="6A488158"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w:t>
            </w:r>
            <w:r w:rsidR="00803B1C" w:rsidRPr="006F5452">
              <w:rPr>
                <w:rFonts w:cs="Times New Roman"/>
                <w:sz w:val="20"/>
                <w:szCs w:val="20"/>
                <w:lang w:val="en-GB"/>
              </w:rPr>
              <w:t>9</w:t>
            </w:r>
            <w:r w:rsidRPr="006F5452">
              <w:rPr>
                <w:rFonts w:cs="Times New Roman"/>
                <w:sz w:val="20"/>
                <w:szCs w:val="20"/>
                <w:lang w:val="en-GB"/>
              </w:rPr>
              <w:t>275</w:t>
            </w:r>
          </w:p>
        </w:tc>
        <w:tc>
          <w:tcPr>
            <w:tcW w:w="1578" w:type="dxa"/>
            <w:hideMark/>
          </w:tcPr>
          <w:p w14:paraId="3F1BDBF8" w14:textId="100E2F72"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[0.8682]</w:t>
            </w:r>
          </w:p>
        </w:tc>
        <w:tc>
          <w:tcPr>
            <w:tcW w:w="1440" w:type="dxa"/>
          </w:tcPr>
          <w:p w14:paraId="2AD29D0D" w14:textId="77777777"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767" w:type="dxa"/>
          </w:tcPr>
          <w:p w14:paraId="6CDFBB09" w14:textId="6385078D"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5E1734C4" w14:textId="011D7E5B"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11765BB2" w14:textId="77777777" w:rsidTr="00F64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0B8DFFA3" w14:textId="77777777" w:rsidR="008437B8" w:rsidRPr="006F5452" w:rsidRDefault="008437B8" w:rsidP="008437B8">
            <w:pPr>
              <w:spacing w:line="360" w:lineRule="auto"/>
              <w:rPr>
                <w:rFonts w:cs="Times New Roman"/>
                <w:b w:val="0"/>
                <w:bCs w:val="0"/>
                <w:iCs/>
                <w:sz w:val="20"/>
                <w:szCs w:val="20"/>
                <w:lang w:val="en-GB"/>
              </w:rPr>
            </w:pPr>
            <w:r w:rsidRPr="006F5452">
              <w:rPr>
                <w:rFonts w:cs="Times New Roman"/>
                <w:b w:val="0"/>
                <w:bCs w:val="0"/>
                <w:iCs/>
                <w:sz w:val="20"/>
                <w:szCs w:val="20"/>
                <w:lang w:val="en-GB"/>
              </w:rPr>
              <w:t>χ</w:t>
            </w:r>
            <w:r w:rsidRPr="006F5452">
              <w:rPr>
                <w:rFonts w:cs="Times New Roman"/>
                <w:b w:val="0"/>
                <w:bCs w:val="0"/>
                <w:iCs/>
                <w:sz w:val="20"/>
                <w:szCs w:val="20"/>
                <w:vertAlign w:val="superscript"/>
                <w:lang w:val="en-GB"/>
              </w:rPr>
              <w:t>2</w:t>
            </w:r>
            <w:r w:rsidRPr="006F5452">
              <w:rPr>
                <w:rFonts w:cs="Times New Roman"/>
                <w:b w:val="0"/>
                <w:bCs w:val="0"/>
                <w:iCs/>
                <w:sz w:val="20"/>
                <w:szCs w:val="20"/>
                <w:vertAlign w:val="subscript"/>
                <w:lang w:val="en-GB"/>
              </w:rPr>
              <w:t>SC</w:t>
            </w:r>
          </w:p>
        </w:tc>
        <w:tc>
          <w:tcPr>
            <w:tcW w:w="1411" w:type="dxa"/>
            <w:hideMark/>
          </w:tcPr>
          <w:p w14:paraId="6194C8A2" w14:textId="0B0D1A45"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w:t>
            </w:r>
            <w:r w:rsidR="00803B1C" w:rsidRPr="006F5452">
              <w:rPr>
                <w:rFonts w:cs="Times New Roman"/>
                <w:sz w:val="20"/>
                <w:szCs w:val="20"/>
                <w:lang w:val="en-GB"/>
              </w:rPr>
              <w:t>7</w:t>
            </w:r>
            <w:r w:rsidRPr="006F5452">
              <w:rPr>
                <w:rFonts w:cs="Times New Roman"/>
                <w:sz w:val="20"/>
                <w:szCs w:val="20"/>
                <w:lang w:val="en-GB"/>
              </w:rPr>
              <w:t>546</w:t>
            </w:r>
          </w:p>
        </w:tc>
        <w:tc>
          <w:tcPr>
            <w:tcW w:w="1578" w:type="dxa"/>
            <w:hideMark/>
          </w:tcPr>
          <w:p w14:paraId="23E1E670" w14:textId="64F62138"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[0.8804]</w:t>
            </w:r>
          </w:p>
        </w:tc>
        <w:tc>
          <w:tcPr>
            <w:tcW w:w="1440" w:type="dxa"/>
          </w:tcPr>
          <w:p w14:paraId="2C522CA2" w14:textId="77777777"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767" w:type="dxa"/>
          </w:tcPr>
          <w:p w14:paraId="67870370" w14:textId="199C5385"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419BCF8E" w14:textId="017FA9A8"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r w:rsidR="006F5452" w:rsidRPr="006F5452" w14:paraId="692622D5" w14:textId="77777777" w:rsidTr="00F6458A">
        <w:tc>
          <w:tcPr>
            <w:cnfStyle w:val="001000000000" w:firstRow="0" w:lastRow="0" w:firstColumn="1" w:lastColumn="0" w:oddVBand="0" w:evenVBand="0" w:oddHBand="0" w:evenHBand="0" w:firstRowFirstColumn="0" w:firstRowLastColumn="0" w:lastRowFirstColumn="0" w:lastRowLastColumn="0"/>
            <w:tcW w:w="1619" w:type="dxa"/>
            <w:hideMark/>
          </w:tcPr>
          <w:p w14:paraId="04A87EBB" w14:textId="77777777" w:rsidR="008437B8" w:rsidRPr="006F5452" w:rsidRDefault="008437B8" w:rsidP="008437B8">
            <w:pPr>
              <w:spacing w:line="360" w:lineRule="auto"/>
              <w:rPr>
                <w:rFonts w:cs="Times New Roman"/>
                <w:iCs/>
                <w:sz w:val="20"/>
                <w:szCs w:val="20"/>
                <w:lang w:val="en-GB"/>
              </w:rPr>
            </w:pPr>
            <w:r w:rsidRPr="006F5452">
              <w:rPr>
                <w:rFonts w:cs="Times New Roman"/>
                <w:b w:val="0"/>
                <w:bCs w:val="0"/>
                <w:iCs/>
                <w:sz w:val="20"/>
                <w:szCs w:val="20"/>
                <w:lang w:val="en-GB"/>
              </w:rPr>
              <w:t>χ</w:t>
            </w:r>
            <w:r w:rsidRPr="006F5452">
              <w:rPr>
                <w:rFonts w:cs="Times New Roman"/>
                <w:b w:val="0"/>
                <w:bCs w:val="0"/>
                <w:iCs/>
                <w:sz w:val="20"/>
                <w:szCs w:val="20"/>
                <w:vertAlign w:val="superscript"/>
                <w:lang w:val="en-GB"/>
              </w:rPr>
              <w:t>2</w:t>
            </w:r>
            <w:r w:rsidRPr="006F5452">
              <w:rPr>
                <w:rFonts w:cs="Times New Roman"/>
                <w:b w:val="0"/>
                <w:bCs w:val="0"/>
                <w:iCs/>
                <w:sz w:val="20"/>
                <w:szCs w:val="20"/>
                <w:vertAlign w:val="subscript"/>
                <w:lang w:val="en-GB"/>
              </w:rPr>
              <w:t>NOR</w:t>
            </w:r>
          </w:p>
        </w:tc>
        <w:tc>
          <w:tcPr>
            <w:tcW w:w="1411" w:type="dxa"/>
            <w:hideMark/>
          </w:tcPr>
          <w:p w14:paraId="4F126ED9" w14:textId="5A57633B"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3.5124</w:t>
            </w:r>
          </w:p>
        </w:tc>
        <w:tc>
          <w:tcPr>
            <w:tcW w:w="1578" w:type="dxa"/>
            <w:hideMark/>
          </w:tcPr>
          <w:p w14:paraId="11336D67" w14:textId="03B4C05F"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r w:rsidRPr="006F5452">
              <w:rPr>
                <w:rFonts w:cs="Times New Roman"/>
                <w:sz w:val="20"/>
                <w:szCs w:val="20"/>
                <w:lang w:val="en-GB"/>
              </w:rPr>
              <w:t>[0.1728]</w:t>
            </w:r>
          </w:p>
        </w:tc>
        <w:tc>
          <w:tcPr>
            <w:tcW w:w="1440" w:type="dxa"/>
          </w:tcPr>
          <w:p w14:paraId="7CF8B17A" w14:textId="77777777"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767" w:type="dxa"/>
          </w:tcPr>
          <w:p w14:paraId="6BBD83D6" w14:textId="44457F00"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c>
          <w:tcPr>
            <w:tcW w:w="1427" w:type="dxa"/>
          </w:tcPr>
          <w:p w14:paraId="6077A5F2" w14:textId="1D3CE5B8" w:rsidR="008437B8" w:rsidRPr="006F5452" w:rsidRDefault="008437B8" w:rsidP="008437B8">
            <w:pPr>
              <w:spacing w:line="360" w:lineRule="auto"/>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en-GB"/>
              </w:rPr>
            </w:pPr>
          </w:p>
        </w:tc>
      </w:tr>
      <w:tr w:rsidR="006F5452" w:rsidRPr="006F5452" w14:paraId="1D26D100" w14:textId="77777777" w:rsidTr="00F645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9" w:type="dxa"/>
            <w:hideMark/>
          </w:tcPr>
          <w:p w14:paraId="7713311F" w14:textId="77777777" w:rsidR="008437B8" w:rsidRPr="006F5452" w:rsidRDefault="008437B8" w:rsidP="008437B8">
            <w:pPr>
              <w:spacing w:line="360" w:lineRule="auto"/>
              <w:rPr>
                <w:rFonts w:cs="Times New Roman"/>
                <w:b w:val="0"/>
                <w:bCs w:val="0"/>
                <w:iCs/>
                <w:sz w:val="20"/>
                <w:szCs w:val="20"/>
                <w:lang w:val="en-GB"/>
              </w:rPr>
            </w:pPr>
            <w:r w:rsidRPr="006F5452">
              <w:rPr>
                <w:rFonts w:cs="Times New Roman"/>
                <w:b w:val="0"/>
                <w:bCs w:val="0"/>
                <w:iCs/>
                <w:sz w:val="20"/>
                <w:szCs w:val="20"/>
                <w:lang w:val="en-GB"/>
              </w:rPr>
              <w:lastRenderedPageBreak/>
              <w:t>Ramsey</w:t>
            </w:r>
          </w:p>
        </w:tc>
        <w:tc>
          <w:tcPr>
            <w:tcW w:w="1411" w:type="dxa"/>
            <w:hideMark/>
          </w:tcPr>
          <w:p w14:paraId="36507A1C" w14:textId="1E78D626"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3.0944</w:t>
            </w:r>
          </w:p>
        </w:tc>
        <w:tc>
          <w:tcPr>
            <w:tcW w:w="1578" w:type="dxa"/>
            <w:hideMark/>
          </w:tcPr>
          <w:p w14:paraId="486943C9" w14:textId="53419F51"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r w:rsidRPr="006F5452">
              <w:rPr>
                <w:rFonts w:cs="Times New Roman"/>
                <w:sz w:val="20"/>
                <w:szCs w:val="20"/>
                <w:lang w:val="en-GB"/>
              </w:rPr>
              <w:t>[0.8160]</w:t>
            </w:r>
          </w:p>
        </w:tc>
        <w:tc>
          <w:tcPr>
            <w:tcW w:w="1440" w:type="dxa"/>
          </w:tcPr>
          <w:p w14:paraId="095A5808" w14:textId="77777777"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767" w:type="dxa"/>
          </w:tcPr>
          <w:p w14:paraId="69EFCE7F" w14:textId="00D62C17"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c>
          <w:tcPr>
            <w:tcW w:w="1427" w:type="dxa"/>
          </w:tcPr>
          <w:p w14:paraId="2FD1C2B1" w14:textId="3925F935" w:rsidR="008437B8" w:rsidRPr="006F5452" w:rsidRDefault="008437B8" w:rsidP="008437B8">
            <w:pPr>
              <w:spacing w:line="360" w:lineRule="auto"/>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en-GB"/>
              </w:rPr>
            </w:pPr>
          </w:p>
        </w:tc>
      </w:tr>
    </w:tbl>
    <w:p w14:paraId="752CB886" w14:textId="1E4E1729" w:rsidR="003D108F" w:rsidRDefault="003D108F" w:rsidP="00D36FAE">
      <w:pPr>
        <w:autoSpaceDE w:val="0"/>
        <w:autoSpaceDN w:val="0"/>
        <w:adjustRightInd w:val="0"/>
        <w:spacing w:line="240" w:lineRule="auto"/>
        <w:jc w:val="both"/>
        <w:rPr>
          <w:rFonts w:cs="Times New Roman"/>
          <w:sz w:val="20"/>
          <w:szCs w:val="20"/>
          <w:lang w:val="en-GB"/>
        </w:rPr>
      </w:pPr>
      <w:r w:rsidRPr="006F5452">
        <w:rPr>
          <w:sz w:val="20"/>
          <w:szCs w:val="18"/>
        </w:rPr>
        <w:t>Notes: “+” and “-” are positive and negative cumulative sums. Superscripts “a”, “b”, and “c” specify the 1%, 5%, and 10% significance levels, respectively. χ2HETR, χ2SC, χ2NOR</w:t>
      </w:r>
      <w:r w:rsidR="00FC34DC" w:rsidRPr="006F5452">
        <w:rPr>
          <w:sz w:val="20"/>
          <w:szCs w:val="18"/>
        </w:rPr>
        <w:t>,</w:t>
      </w:r>
      <w:r w:rsidRPr="006F5452">
        <w:rPr>
          <w:sz w:val="20"/>
          <w:szCs w:val="18"/>
        </w:rPr>
        <w:t xml:space="preserve"> and Ramsey are heteroskedasticity, LM tests for serial correlation, normality, and Ramsey RESET tests, respectively. W</w:t>
      </w:r>
      <w:r w:rsidRPr="006F5452">
        <w:rPr>
          <w:sz w:val="20"/>
          <w:szCs w:val="18"/>
          <w:vertAlign w:val="subscript"/>
        </w:rPr>
        <w:t>SR</w:t>
      </w:r>
      <w:r w:rsidRPr="006F5452">
        <w:rPr>
          <w:sz w:val="20"/>
          <w:szCs w:val="18"/>
        </w:rPr>
        <w:t xml:space="preserve"> and W</w:t>
      </w:r>
      <w:r w:rsidRPr="006F5452">
        <w:rPr>
          <w:sz w:val="20"/>
          <w:szCs w:val="18"/>
          <w:vertAlign w:val="subscript"/>
        </w:rPr>
        <w:t>LR</w:t>
      </w:r>
      <w:r w:rsidRPr="006F5452">
        <w:rPr>
          <w:sz w:val="20"/>
          <w:szCs w:val="18"/>
        </w:rPr>
        <w:t xml:space="preserve"> relate to the short- and long-run Wald tests, respectively. </w:t>
      </w:r>
      <w:r w:rsidR="00AD4E12" w:rsidRPr="006F5452">
        <w:rPr>
          <w:rFonts w:cs="Times New Roman"/>
          <w:sz w:val="20"/>
          <w:szCs w:val="20"/>
          <w:lang w:val="en-GB"/>
        </w:rPr>
        <w:t>P-values are indicated in parentheses.</w:t>
      </w:r>
    </w:p>
    <w:p w14:paraId="34DB36E5" w14:textId="58D5AF1B" w:rsidR="009F041E" w:rsidRDefault="009F041E" w:rsidP="00D36FAE">
      <w:pPr>
        <w:autoSpaceDE w:val="0"/>
        <w:autoSpaceDN w:val="0"/>
        <w:adjustRightInd w:val="0"/>
        <w:spacing w:line="240" w:lineRule="auto"/>
        <w:jc w:val="both"/>
        <w:rPr>
          <w:rFonts w:cs="Times New Roman"/>
          <w:sz w:val="20"/>
          <w:szCs w:val="20"/>
          <w:lang w:val="en-GB"/>
        </w:rPr>
      </w:pPr>
    </w:p>
    <w:p w14:paraId="18AB7654" w14:textId="04E72DFD" w:rsidR="009F041E" w:rsidRDefault="009F041E" w:rsidP="00D36FAE">
      <w:pPr>
        <w:autoSpaceDE w:val="0"/>
        <w:autoSpaceDN w:val="0"/>
        <w:adjustRightInd w:val="0"/>
        <w:spacing w:line="240" w:lineRule="auto"/>
        <w:jc w:val="both"/>
        <w:rPr>
          <w:rFonts w:cs="Times New Roman"/>
          <w:sz w:val="20"/>
          <w:szCs w:val="20"/>
          <w:lang w:val="en-GB"/>
        </w:rPr>
      </w:pPr>
    </w:p>
    <w:p w14:paraId="33DC029A" w14:textId="3B799EA9" w:rsidR="009F041E" w:rsidRDefault="009F041E" w:rsidP="00262347">
      <w:pPr>
        <w:pStyle w:val="Heading2"/>
        <w:rPr>
          <w:color w:val="0000CC"/>
          <w:lang w:val="en-GB"/>
        </w:rPr>
      </w:pPr>
      <w:r w:rsidRPr="00262347">
        <w:rPr>
          <w:color w:val="0000CC"/>
          <w:lang w:val="en-GB"/>
        </w:rPr>
        <w:t>5.5 Nonlinear Granger Causality</w:t>
      </w:r>
    </w:p>
    <w:p w14:paraId="15941C18" w14:textId="638052BF" w:rsidR="00BC62E0" w:rsidRPr="00BC62E0" w:rsidRDefault="001D3600" w:rsidP="00FD6EC1">
      <w:pPr>
        <w:ind w:firstLine="720"/>
        <w:jc w:val="both"/>
        <w:rPr>
          <w:color w:val="0000CC"/>
          <w:lang w:val="en-GB"/>
        </w:rPr>
      </w:pPr>
      <w:r>
        <w:rPr>
          <w:color w:val="0000CC"/>
          <w:lang w:val="en-GB"/>
        </w:rPr>
        <w:t xml:space="preserve">The causal relationship of green bond returns with economic policy uncertainty, geopolitical </w:t>
      </w:r>
      <w:proofErr w:type="gramStart"/>
      <w:r>
        <w:rPr>
          <w:color w:val="0000CC"/>
          <w:lang w:val="en-GB"/>
        </w:rPr>
        <w:t>threats</w:t>
      </w:r>
      <w:proofErr w:type="gramEnd"/>
      <w:r>
        <w:rPr>
          <w:color w:val="0000CC"/>
          <w:lang w:val="en-GB"/>
        </w:rPr>
        <w:t xml:space="preserve"> and acts</w:t>
      </w:r>
      <w:r w:rsidR="005D7330">
        <w:rPr>
          <w:color w:val="0000CC"/>
          <w:lang w:val="en-GB"/>
        </w:rPr>
        <w:t>,</w:t>
      </w:r>
      <w:r>
        <w:rPr>
          <w:color w:val="0000CC"/>
          <w:lang w:val="en-GB"/>
        </w:rPr>
        <w:t xml:space="preserve"> and WTI crude oil can provide investment information to investors and portfolio managers. Notably, in the wake of </w:t>
      </w:r>
      <w:r w:rsidR="005D7330">
        <w:rPr>
          <w:color w:val="0000CC"/>
          <w:lang w:val="en-GB"/>
        </w:rPr>
        <w:t xml:space="preserve">the </w:t>
      </w:r>
      <w:r>
        <w:rPr>
          <w:color w:val="0000CC"/>
          <w:lang w:val="en-GB"/>
        </w:rPr>
        <w:t>COP-26 and COP-27</w:t>
      </w:r>
      <w:r w:rsidR="009B3C4D">
        <w:rPr>
          <w:color w:val="0000CC"/>
          <w:lang w:val="en-GB"/>
        </w:rPr>
        <w:t xml:space="preserve"> </w:t>
      </w:r>
      <w:r>
        <w:rPr>
          <w:color w:val="0000CC"/>
          <w:lang w:val="en-GB"/>
        </w:rPr>
        <w:t>summit</w:t>
      </w:r>
      <w:r w:rsidR="005D7330">
        <w:rPr>
          <w:color w:val="0000CC"/>
          <w:lang w:val="en-GB"/>
        </w:rPr>
        <w:t>s</w:t>
      </w:r>
      <w:r>
        <w:rPr>
          <w:color w:val="0000CC"/>
          <w:lang w:val="en-GB"/>
        </w:rPr>
        <w:t>, the talk of climate change and it</w:t>
      </w:r>
      <w:r w:rsidR="005D7330">
        <w:rPr>
          <w:color w:val="0000CC"/>
          <w:lang w:val="en-GB"/>
        </w:rPr>
        <w:t>s</w:t>
      </w:r>
      <w:r>
        <w:rPr>
          <w:color w:val="0000CC"/>
          <w:lang w:val="en-GB"/>
        </w:rPr>
        <w:t xml:space="preserve"> perceived effects have made green bond</w:t>
      </w:r>
      <w:r w:rsidR="005D7330">
        <w:rPr>
          <w:color w:val="0000CC"/>
          <w:lang w:val="en-GB"/>
        </w:rPr>
        <w:t>s</w:t>
      </w:r>
      <w:r>
        <w:rPr>
          <w:color w:val="0000CC"/>
          <w:lang w:val="en-GB"/>
        </w:rPr>
        <w:t xml:space="preserve"> a</w:t>
      </w:r>
      <w:r w:rsidR="005D7330">
        <w:rPr>
          <w:color w:val="0000CC"/>
          <w:lang w:val="en-GB"/>
        </w:rPr>
        <w:t xml:space="preserve"> timely</w:t>
      </w:r>
      <w:r>
        <w:rPr>
          <w:color w:val="0000CC"/>
          <w:lang w:val="en-GB"/>
        </w:rPr>
        <w:t xml:space="preserve"> investment</w:t>
      </w:r>
      <w:r w:rsidR="005D7330">
        <w:rPr>
          <w:color w:val="0000CC"/>
          <w:lang w:val="en-GB"/>
        </w:rPr>
        <w:t xml:space="preserve"> </w:t>
      </w:r>
      <w:r>
        <w:rPr>
          <w:color w:val="0000CC"/>
          <w:lang w:val="en-GB"/>
        </w:rPr>
        <w:t xml:space="preserve">instrument. </w:t>
      </w:r>
      <w:proofErr w:type="gramStart"/>
      <w:r>
        <w:rPr>
          <w:color w:val="0000CC"/>
          <w:lang w:val="en-GB"/>
        </w:rPr>
        <w:t>In light of</w:t>
      </w:r>
      <w:proofErr w:type="gramEnd"/>
      <w:r>
        <w:rPr>
          <w:color w:val="0000CC"/>
          <w:lang w:val="en-GB"/>
        </w:rPr>
        <w:t xml:space="preserve"> that, we examined the causal relationship </w:t>
      </w:r>
      <w:r w:rsidR="009B3C4D">
        <w:rPr>
          <w:color w:val="0000CC"/>
          <w:lang w:val="en-GB"/>
        </w:rPr>
        <w:t>between green bond returns and USEPU, GPRT, GPRA, and WTI. In doing so, w</w:t>
      </w:r>
      <w:r w:rsidR="00950C21" w:rsidRPr="00BC62E0">
        <w:rPr>
          <w:color w:val="0000CC"/>
          <w:lang w:val="en-GB"/>
        </w:rPr>
        <w:t>e used the nonli</w:t>
      </w:r>
      <w:r w:rsidR="005D7330">
        <w:rPr>
          <w:color w:val="0000CC"/>
          <w:lang w:val="en-GB"/>
        </w:rPr>
        <w:t>n</w:t>
      </w:r>
      <w:r w:rsidR="00950C21" w:rsidRPr="00BC62E0">
        <w:rPr>
          <w:color w:val="0000CC"/>
          <w:lang w:val="en-GB"/>
        </w:rPr>
        <w:t xml:space="preserve">ear </w:t>
      </w:r>
      <w:r w:rsidR="00727639">
        <w:rPr>
          <w:color w:val="0000CC"/>
          <w:lang w:val="en-GB"/>
        </w:rPr>
        <w:t>G</w:t>
      </w:r>
      <w:r w:rsidR="00950C21" w:rsidRPr="00BC62E0">
        <w:rPr>
          <w:color w:val="0000CC"/>
          <w:lang w:val="en-GB"/>
        </w:rPr>
        <w:t>ranger causality test</w:t>
      </w:r>
      <w:r w:rsidR="00BC62E0" w:rsidRPr="00BC62E0">
        <w:rPr>
          <w:color w:val="0000CC"/>
          <w:lang w:val="en-GB"/>
        </w:rPr>
        <w:t xml:space="preserve"> </w:t>
      </w:r>
      <w:r w:rsidR="00BC62E0" w:rsidRPr="00BC62E0">
        <w:rPr>
          <w:noProof/>
          <w:color w:val="0000CC"/>
        </w:rPr>
        <w:t>(Diks &amp; Panchenko, 2006)</w:t>
      </w:r>
      <w:r w:rsidR="00BC62E0" w:rsidRPr="00BC62E0">
        <w:rPr>
          <w:color w:val="0000CC"/>
          <w:lang w:val="en-GB"/>
        </w:rPr>
        <w:t xml:space="preserve">. A dimension </w:t>
      </w:r>
      <w:r w:rsidR="00A26F42">
        <w:rPr>
          <w:color w:val="0000CC"/>
          <w:lang w:val="en-GB"/>
        </w:rPr>
        <w:t xml:space="preserve">(m) </w:t>
      </w:r>
      <w:r w:rsidR="00BC62E0" w:rsidRPr="00BC62E0">
        <w:rPr>
          <w:color w:val="0000CC"/>
          <w:lang w:val="en-GB"/>
        </w:rPr>
        <w:t>of 1 an</w:t>
      </w:r>
      <w:r w:rsidR="00BC62E0">
        <w:rPr>
          <w:color w:val="0000CC"/>
          <w:lang w:val="en-GB"/>
        </w:rPr>
        <w:t>d</w:t>
      </w:r>
      <w:r w:rsidR="00BC62E0" w:rsidRPr="00BC62E0">
        <w:rPr>
          <w:color w:val="0000CC"/>
          <w:lang w:val="en-GB"/>
        </w:rPr>
        <w:t xml:space="preserve"> 2 is used</w:t>
      </w:r>
      <w:r w:rsidR="00BC62E0">
        <w:rPr>
          <w:color w:val="0000CC"/>
          <w:lang w:val="en-GB"/>
        </w:rPr>
        <w:t xml:space="preserve"> </w:t>
      </w:r>
      <w:r w:rsidR="00BC62E0" w:rsidRPr="00BC62E0">
        <w:rPr>
          <w:color w:val="0000CC"/>
          <w:lang w:val="en-GB"/>
        </w:rPr>
        <w:t>with a bandwi</w:t>
      </w:r>
      <w:r w:rsidR="005D7330">
        <w:rPr>
          <w:color w:val="0000CC"/>
          <w:lang w:val="en-GB"/>
        </w:rPr>
        <w:t>d</w:t>
      </w:r>
      <w:r w:rsidR="00BC62E0" w:rsidRPr="00BC62E0">
        <w:rPr>
          <w:color w:val="0000CC"/>
          <w:lang w:val="en-GB"/>
        </w:rPr>
        <w:t>th of 0.7.</w:t>
      </w:r>
      <w:r w:rsidR="00BC62E0">
        <w:rPr>
          <w:color w:val="0000CC"/>
          <w:lang w:val="en-GB"/>
        </w:rPr>
        <w:t xml:space="preserve"> </w:t>
      </w:r>
    </w:p>
    <w:p w14:paraId="43C87EDA" w14:textId="2448B18E" w:rsidR="00262347" w:rsidRPr="00D43AEF" w:rsidRDefault="00262347" w:rsidP="00262347">
      <w:pPr>
        <w:jc w:val="center"/>
        <w:rPr>
          <w:color w:val="0000CC"/>
          <w:sz w:val="20"/>
          <w:szCs w:val="18"/>
          <w:lang w:val="en-GB"/>
        </w:rPr>
      </w:pPr>
      <w:r w:rsidRPr="00D43AEF">
        <w:rPr>
          <w:color w:val="0000CC"/>
          <w:sz w:val="20"/>
          <w:szCs w:val="18"/>
          <w:lang w:val="en-GB"/>
        </w:rPr>
        <w:t xml:space="preserve">Table 9 Nonlinear Granger causality </w:t>
      </w:r>
      <w:r w:rsidR="00950C21">
        <w:rPr>
          <w:color w:val="0000CC"/>
          <w:sz w:val="20"/>
          <w:szCs w:val="18"/>
          <w:lang w:val="en-GB"/>
        </w:rPr>
        <w:t>test</w:t>
      </w:r>
      <w:r w:rsidRPr="00D43AEF">
        <w:rPr>
          <w:color w:val="0000CC"/>
          <w:sz w:val="20"/>
          <w:szCs w:val="18"/>
          <w:lang w:val="en-GB"/>
        </w:rPr>
        <w:t xml:space="preserve">. </w:t>
      </w:r>
    </w:p>
    <w:tbl>
      <w:tblPr>
        <w:tblStyle w:val="PlainTable2"/>
        <w:tblW w:w="0" w:type="auto"/>
        <w:jc w:val="center"/>
        <w:tblLook w:val="04A0" w:firstRow="1" w:lastRow="0" w:firstColumn="1" w:lastColumn="0" w:noHBand="0" w:noVBand="1"/>
      </w:tblPr>
      <w:tblGrid>
        <w:gridCol w:w="2239"/>
        <w:gridCol w:w="2340"/>
        <w:gridCol w:w="1631"/>
      </w:tblGrid>
      <w:tr w:rsidR="00950C21" w:rsidRPr="00950C21" w14:paraId="67D53368" w14:textId="6A536219" w:rsidTr="00C841B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9" w:type="dxa"/>
          </w:tcPr>
          <w:p w14:paraId="4EB2C74B" w14:textId="4078F15F" w:rsidR="00950C21" w:rsidRPr="00950C21" w:rsidRDefault="00950C21" w:rsidP="00BC62E0">
            <w:pPr>
              <w:spacing w:line="360" w:lineRule="auto"/>
              <w:rPr>
                <w:rFonts w:cs="Times New Roman"/>
                <w:b w:val="0"/>
                <w:bCs w:val="0"/>
                <w:color w:val="0000CC"/>
                <w:sz w:val="20"/>
                <w:szCs w:val="18"/>
                <w:lang w:val="en-GB"/>
              </w:rPr>
            </w:pPr>
            <w:r w:rsidRPr="00950C21">
              <w:rPr>
                <w:rFonts w:cs="Times New Roman"/>
                <w:b w:val="0"/>
                <w:bCs w:val="0"/>
                <w:color w:val="0000CC"/>
                <w:sz w:val="20"/>
                <w:szCs w:val="18"/>
                <w:lang w:val="en-GB"/>
              </w:rPr>
              <w:t xml:space="preserve">Hypothesis </w:t>
            </w:r>
          </w:p>
        </w:tc>
        <w:tc>
          <w:tcPr>
            <w:tcW w:w="2340" w:type="dxa"/>
          </w:tcPr>
          <w:p w14:paraId="455BA4FC" w14:textId="1DE20F18" w:rsidR="00950C21" w:rsidRPr="00950C21" w:rsidRDefault="00A26F42" w:rsidP="00BC62E0">
            <w:pPr>
              <w:spacing w:line="360" w:lineRule="auto"/>
              <w:cnfStyle w:val="100000000000" w:firstRow="1" w:lastRow="0" w:firstColumn="0" w:lastColumn="0" w:oddVBand="0" w:evenVBand="0" w:oddHBand="0" w:evenHBand="0" w:firstRowFirstColumn="0" w:firstRowLastColumn="0" w:lastRowFirstColumn="0" w:lastRowLastColumn="0"/>
              <w:rPr>
                <w:b w:val="0"/>
                <w:bCs w:val="0"/>
                <w:color w:val="0000CC"/>
                <w:sz w:val="20"/>
                <w:szCs w:val="18"/>
                <w:lang w:val="en-GB"/>
              </w:rPr>
            </w:pPr>
            <w:r>
              <w:rPr>
                <w:b w:val="0"/>
                <w:bCs w:val="0"/>
                <w:color w:val="0000CC"/>
                <w:sz w:val="20"/>
                <w:szCs w:val="18"/>
                <w:lang w:val="en-GB"/>
              </w:rPr>
              <w:t>m=</w:t>
            </w:r>
            <w:r w:rsidR="00950C21" w:rsidRPr="00950C21">
              <w:rPr>
                <w:b w:val="0"/>
                <w:bCs w:val="0"/>
                <w:color w:val="0000CC"/>
                <w:sz w:val="20"/>
                <w:szCs w:val="18"/>
                <w:lang w:val="en-GB"/>
              </w:rPr>
              <w:t>1</w:t>
            </w:r>
          </w:p>
        </w:tc>
        <w:tc>
          <w:tcPr>
            <w:tcW w:w="1631" w:type="dxa"/>
          </w:tcPr>
          <w:p w14:paraId="5F19A15D" w14:textId="37C2041D" w:rsidR="00950C21" w:rsidRPr="00950C21" w:rsidRDefault="00A26F42" w:rsidP="00BC62E0">
            <w:pPr>
              <w:spacing w:line="360" w:lineRule="auto"/>
              <w:cnfStyle w:val="100000000000" w:firstRow="1" w:lastRow="0" w:firstColumn="0" w:lastColumn="0" w:oddVBand="0" w:evenVBand="0" w:oddHBand="0" w:evenHBand="0" w:firstRowFirstColumn="0" w:firstRowLastColumn="0" w:lastRowFirstColumn="0" w:lastRowLastColumn="0"/>
              <w:rPr>
                <w:b w:val="0"/>
                <w:bCs w:val="0"/>
                <w:color w:val="0000CC"/>
                <w:sz w:val="20"/>
                <w:szCs w:val="18"/>
                <w:lang w:val="en-GB"/>
              </w:rPr>
            </w:pPr>
            <w:r>
              <w:rPr>
                <w:b w:val="0"/>
                <w:bCs w:val="0"/>
                <w:color w:val="0000CC"/>
                <w:sz w:val="20"/>
                <w:szCs w:val="18"/>
                <w:lang w:val="en-GB"/>
              </w:rPr>
              <w:t>m=</w:t>
            </w:r>
            <w:r w:rsidR="00950C21" w:rsidRPr="00950C21">
              <w:rPr>
                <w:b w:val="0"/>
                <w:bCs w:val="0"/>
                <w:color w:val="0000CC"/>
                <w:sz w:val="20"/>
                <w:szCs w:val="18"/>
                <w:lang w:val="en-GB"/>
              </w:rPr>
              <w:t>2</w:t>
            </w:r>
          </w:p>
        </w:tc>
      </w:tr>
      <w:tr w:rsidR="00950C21" w:rsidRPr="00950C21" w14:paraId="22813F8D" w14:textId="45D03D1B" w:rsidTr="00C841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9" w:type="dxa"/>
          </w:tcPr>
          <w:p w14:paraId="143D8735" w14:textId="1B5B8698" w:rsidR="00950C21" w:rsidRPr="00950C21" w:rsidRDefault="00950C21" w:rsidP="00BC62E0">
            <w:pPr>
              <w:spacing w:line="360" w:lineRule="auto"/>
              <w:rPr>
                <w:b w:val="0"/>
                <w:bCs w:val="0"/>
                <w:color w:val="0000CC"/>
                <w:sz w:val="20"/>
                <w:szCs w:val="18"/>
                <w:lang w:val="en-GB"/>
              </w:rPr>
            </w:pPr>
            <w:r w:rsidRPr="00950C21">
              <w:rPr>
                <w:rFonts w:cs="Times New Roman"/>
                <w:b w:val="0"/>
                <w:bCs w:val="0"/>
                <w:color w:val="0000CC"/>
                <w:sz w:val="20"/>
                <w:szCs w:val="18"/>
                <w:lang w:val="en-GB"/>
              </w:rPr>
              <w:t>USEPU→</w:t>
            </w:r>
            <w:r w:rsidRPr="00950C21">
              <w:rPr>
                <w:b w:val="0"/>
                <w:bCs w:val="0"/>
                <w:color w:val="0000CC"/>
                <w:sz w:val="20"/>
                <w:szCs w:val="18"/>
                <w:lang w:val="en-GB"/>
              </w:rPr>
              <w:t xml:space="preserve">GB </w:t>
            </w:r>
          </w:p>
        </w:tc>
        <w:tc>
          <w:tcPr>
            <w:tcW w:w="2340" w:type="dxa"/>
          </w:tcPr>
          <w:p w14:paraId="0DD79524" w14:textId="606DB2BC" w:rsidR="00950C21" w:rsidRPr="00950C21" w:rsidRDefault="00BC62E0" w:rsidP="00BC62E0">
            <w:pPr>
              <w:spacing w:line="360" w:lineRule="auto"/>
              <w:cnfStyle w:val="000000100000" w:firstRow="0" w:lastRow="0" w:firstColumn="0" w:lastColumn="0" w:oddVBand="0" w:evenVBand="0" w:oddHBand="1" w:evenHBand="0" w:firstRowFirstColumn="0" w:firstRowLastColumn="0" w:lastRowFirstColumn="0" w:lastRowLastColumn="0"/>
              <w:rPr>
                <w:color w:val="0000CC"/>
                <w:sz w:val="20"/>
                <w:szCs w:val="18"/>
                <w:lang w:val="en-GB"/>
              </w:rPr>
            </w:pPr>
            <w:r>
              <w:rPr>
                <w:color w:val="0000CC"/>
                <w:sz w:val="20"/>
                <w:szCs w:val="18"/>
                <w:lang w:val="en-GB"/>
              </w:rPr>
              <w:t>0.389</w:t>
            </w:r>
          </w:p>
        </w:tc>
        <w:tc>
          <w:tcPr>
            <w:tcW w:w="1631" w:type="dxa"/>
          </w:tcPr>
          <w:p w14:paraId="7A799A9F" w14:textId="7604306B" w:rsidR="00950C21" w:rsidRPr="00950C21" w:rsidRDefault="00BC62E0" w:rsidP="00BC62E0">
            <w:pPr>
              <w:spacing w:line="360" w:lineRule="auto"/>
              <w:cnfStyle w:val="000000100000" w:firstRow="0" w:lastRow="0" w:firstColumn="0" w:lastColumn="0" w:oddVBand="0" w:evenVBand="0" w:oddHBand="1" w:evenHBand="0" w:firstRowFirstColumn="0" w:firstRowLastColumn="0" w:lastRowFirstColumn="0" w:lastRowLastColumn="0"/>
              <w:rPr>
                <w:color w:val="0000CC"/>
                <w:sz w:val="20"/>
                <w:szCs w:val="18"/>
                <w:lang w:val="en-GB"/>
              </w:rPr>
            </w:pPr>
            <w:r>
              <w:rPr>
                <w:color w:val="0000CC"/>
                <w:sz w:val="20"/>
                <w:szCs w:val="18"/>
                <w:lang w:val="en-GB"/>
              </w:rPr>
              <w:t>0.507</w:t>
            </w:r>
          </w:p>
        </w:tc>
      </w:tr>
      <w:tr w:rsidR="00BC62E0" w:rsidRPr="00950C21" w14:paraId="0B95800E" w14:textId="77777777" w:rsidTr="00C841B8">
        <w:trPr>
          <w:jc w:val="center"/>
        </w:trPr>
        <w:tc>
          <w:tcPr>
            <w:cnfStyle w:val="001000000000" w:firstRow="0" w:lastRow="0" w:firstColumn="1" w:lastColumn="0" w:oddVBand="0" w:evenVBand="0" w:oddHBand="0" w:evenHBand="0" w:firstRowFirstColumn="0" w:firstRowLastColumn="0" w:lastRowFirstColumn="0" w:lastRowLastColumn="0"/>
            <w:tcW w:w="2239" w:type="dxa"/>
          </w:tcPr>
          <w:p w14:paraId="3F48B91D" w14:textId="77777777" w:rsidR="00BC62E0" w:rsidRPr="00950C21" w:rsidRDefault="00BC62E0" w:rsidP="00BC62E0">
            <w:pPr>
              <w:spacing w:line="360" w:lineRule="auto"/>
              <w:rPr>
                <w:rFonts w:cs="Times New Roman"/>
                <w:color w:val="0000CC"/>
                <w:sz w:val="20"/>
                <w:szCs w:val="18"/>
                <w:lang w:val="en-GB"/>
              </w:rPr>
            </w:pPr>
          </w:p>
        </w:tc>
        <w:tc>
          <w:tcPr>
            <w:tcW w:w="2340" w:type="dxa"/>
          </w:tcPr>
          <w:p w14:paraId="63F250E5" w14:textId="6A893D78" w:rsidR="00BC62E0" w:rsidRPr="00950C21" w:rsidRDefault="00BC62E0" w:rsidP="00BC62E0">
            <w:pPr>
              <w:spacing w:line="360" w:lineRule="auto"/>
              <w:cnfStyle w:val="000000000000" w:firstRow="0" w:lastRow="0" w:firstColumn="0" w:lastColumn="0" w:oddVBand="0" w:evenVBand="0" w:oddHBand="0" w:evenHBand="0" w:firstRowFirstColumn="0" w:firstRowLastColumn="0" w:lastRowFirstColumn="0" w:lastRowLastColumn="0"/>
              <w:rPr>
                <w:color w:val="0000CC"/>
                <w:sz w:val="20"/>
                <w:szCs w:val="18"/>
                <w:lang w:val="en-GB"/>
              </w:rPr>
            </w:pPr>
            <w:r>
              <w:rPr>
                <w:color w:val="0000CC"/>
                <w:sz w:val="20"/>
                <w:szCs w:val="18"/>
                <w:lang w:val="en-GB"/>
              </w:rPr>
              <w:t>[0.032]</w:t>
            </w:r>
          </w:p>
        </w:tc>
        <w:tc>
          <w:tcPr>
            <w:tcW w:w="1631" w:type="dxa"/>
          </w:tcPr>
          <w:p w14:paraId="62164658" w14:textId="37341F31" w:rsidR="00BC62E0" w:rsidRPr="00950C21" w:rsidRDefault="00BC62E0" w:rsidP="00BC62E0">
            <w:pPr>
              <w:spacing w:line="360" w:lineRule="auto"/>
              <w:cnfStyle w:val="000000000000" w:firstRow="0" w:lastRow="0" w:firstColumn="0" w:lastColumn="0" w:oddVBand="0" w:evenVBand="0" w:oddHBand="0" w:evenHBand="0" w:firstRowFirstColumn="0" w:firstRowLastColumn="0" w:lastRowFirstColumn="0" w:lastRowLastColumn="0"/>
              <w:rPr>
                <w:color w:val="0000CC"/>
                <w:sz w:val="20"/>
                <w:szCs w:val="18"/>
                <w:lang w:val="en-GB"/>
              </w:rPr>
            </w:pPr>
            <w:r>
              <w:rPr>
                <w:color w:val="0000CC"/>
                <w:sz w:val="20"/>
                <w:szCs w:val="18"/>
                <w:lang w:val="en-GB"/>
              </w:rPr>
              <w:t>[0.019]</w:t>
            </w:r>
          </w:p>
        </w:tc>
      </w:tr>
      <w:tr w:rsidR="00950C21" w:rsidRPr="00950C21" w14:paraId="24FFBB27" w14:textId="00770303" w:rsidTr="00C841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9" w:type="dxa"/>
          </w:tcPr>
          <w:p w14:paraId="536FC3E9" w14:textId="66EAB5A9" w:rsidR="00950C21" w:rsidRPr="00950C21" w:rsidRDefault="00950C21" w:rsidP="00BC62E0">
            <w:pPr>
              <w:spacing w:line="360" w:lineRule="auto"/>
              <w:rPr>
                <w:b w:val="0"/>
                <w:bCs w:val="0"/>
                <w:color w:val="0000CC"/>
                <w:sz w:val="20"/>
                <w:szCs w:val="18"/>
                <w:lang w:val="en-GB"/>
              </w:rPr>
            </w:pPr>
            <w:r w:rsidRPr="00950C21">
              <w:rPr>
                <w:b w:val="0"/>
                <w:bCs w:val="0"/>
                <w:color w:val="0000CC"/>
                <w:sz w:val="20"/>
                <w:szCs w:val="18"/>
                <w:lang w:val="en-GB"/>
              </w:rPr>
              <w:t xml:space="preserve">GB </w:t>
            </w:r>
            <w:r w:rsidRPr="00950C21">
              <w:rPr>
                <w:rFonts w:cs="Times New Roman"/>
                <w:b w:val="0"/>
                <w:bCs w:val="0"/>
                <w:color w:val="0000CC"/>
                <w:sz w:val="20"/>
                <w:szCs w:val="18"/>
                <w:lang w:val="en-GB"/>
              </w:rPr>
              <w:t>→</w:t>
            </w:r>
            <w:r w:rsidRPr="00950C21">
              <w:rPr>
                <w:b w:val="0"/>
                <w:bCs w:val="0"/>
                <w:color w:val="0000CC"/>
                <w:sz w:val="20"/>
                <w:szCs w:val="18"/>
                <w:lang w:val="en-GB"/>
              </w:rPr>
              <w:t>USEPU</w:t>
            </w:r>
          </w:p>
        </w:tc>
        <w:tc>
          <w:tcPr>
            <w:tcW w:w="2340" w:type="dxa"/>
          </w:tcPr>
          <w:p w14:paraId="178D5B99" w14:textId="2D1B0493" w:rsidR="00950C21" w:rsidRPr="00950C21" w:rsidRDefault="00F850E7" w:rsidP="00BC62E0">
            <w:pPr>
              <w:spacing w:line="360" w:lineRule="auto"/>
              <w:cnfStyle w:val="000000100000" w:firstRow="0" w:lastRow="0" w:firstColumn="0" w:lastColumn="0" w:oddVBand="0" w:evenVBand="0" w:oddHBand="1" w:evenHBand="0" w:firstRowFirstColumn="0" w:firstRowLastColumn="0" w:lastRowFirstColumn="0" w:lastRowLastColumn="0"/>
              <w:rPr>
                <w:color w:val="0000CC"/>
                <w:sz w:val="20"/>
                <w:szCs w:val="18"/>
                <w:lang w:val="en-GB"/>
              </w:rPr>
            </w:pPr>
            <w:r>
              <w:rPr>
                <w:color w:val="0000CC"/>
                <w:sz w:val="20"/>
                <w:szCs w:val="18"/>
                <w:lang w:val="en-GB"/>
              </w:rPr>
              <w:t>1.036</w:t>
            </w:r>
          </w:p>
        </w:tc>
        <w:tc>
          <w:tcPr>
            <w:tcW w:w="1631" w:type="dxa"/>
          </w:tcPr>
          <w:p w14:paraId="43447B2B" w14:textId="764013BE" w:rsidR="00950C21" w:rsidRPr="00950C21" w:rsidRDefault="00F850E7" w:rsidP="00BC62E0">
            <w:pPr>
              <w:spacing w:line="360" w:lineRule="auto"/>
              <w:cnfStyle w:val="000000100000" w:firstRow="0" w:lastRow="0" w:firstColumn="0" w:lastColumn="0" w:oddVBand="0" w:evenVBand="0" w:oddHBand="1" w:evenHBand="0" w:firstRowFirstColumn="0" w:firstRowLastColumn="0" w:lastRowFirstColumn="0" w:lastRowLastColumn="0"/>
              <w:rPr>
                <w:color w:val="0000CC"/>
                <w:sz w:val="20"/>
                <w:szCs w:val="18"/>
                <w:lang w:val="en-GB"/>
              </w:rPr>
            </w:pPr>
            <w:r>
              <w:rPr>
                <w:color w:val="0000CC"/>
                <w:sz w:val="20"/>
                <w:szCs w:val="18"/>
                <w:lang w:val="en-GB"/>
              </w:rPr>
              <w:t>1.284</w:t>
            </w:r>
          </w:p>
        </w:tc>
      </w:tr>
      <w:tr w:rsidR="00BC62E0" w:rsidRPr="00950C21" w14:paraId="2AE4CA82" w14:textId="77777777" w:rsidTr="00C841B8">
        <w:trPr>
          <w:jc w:val="center"/>
        </w:trPr>
        <w:tc>
          <w:tcPr>
            <w:cnfStyle w:val="001000000000" w:firstRow="0" w:lastRow="0" w:firstColumn="1" w:lastColumn="0" w:oddVBand="0" w:evenVBand="0" w:oddHBand="0" w:evenHBand="0" w:firstRowFirstColumn="0" w:firstRowLastColumn="0" w:lastRowFirstColumn="0" w:lastRowLastColumn="0"/>
            <w:tcW w:w="2239" w:type="dxa"/>
          </w:tcPr>
          <w:p w14:paraId="465171A4" w14:textId="77777777" w:rsidR="00BC62E0" w:rsidRPr="00950C21" w:rsidRDefault="00BC62E0" w:rsidP="00BC62E0">
            <w:pPr>
              <w:spacing w:line="360" w:lineRule="auto"/>
              <w:rPr>
                <w:color w:val="0000CC"/>
                <w:sz w:val="20"/>
                <w:szCs w:val="18"/>
                <w:lang w:val="en-GB"/>
              </w:rPr>
            </w:pPr>
          </w:p>
        </w:tc>
        <w:tc>
          <w:tcPr>
            <w:tcW w:w="2340" w:type="dxa"/>
          </w:tcPr>
          <w:p w14:paraId="3D816F07" w14:textId="542B4EA6" w:rsidR="00BC62E0" w:rsidRPr="00950C21" w:rsidRDefault="00BC62E0" w:rsidP="00BC62E0">
            <w:pPr>
              <w:spacing w:line="360" w:lineRule="auto"/>
              <w:cnfStyle w:val="000000000000" w:firstRow="0" w:lastRow="0" w:firstColumn="0" w:lastColumn="0" w:oddVBand="0" w:evenVBand="0" w:oddHBand="0" w:evenHBand="0" w:firstRowFirstColumn="0" w:firstRowLastColumn="0" w:lastRowFirstColumn="0" w:lastRowLastColumn="0"/>
              <w:rPr>
                <w:color w:val="0000CC"/>
                <w:sz w:val="20"/>
                <w:szCs w:val="18"/>
                <w:lang w:val="en-GB"/>
              </w:rPr>
            </w:pPr>
            <w:r>
              <w:rPr>
                <w:color w:val="0000CC"/>
                <w:sz w:val="20"/>
                <w:szCs w:val="18"/>
                <w:lang w:val="en-GB"/>
              </w:rPr>
              <w:t>[</w:t>
            </w:r>
            <w:r w:rsidR="00F850E7">
              <w:rPr>
                <w:color w:val="0000CC"/>
                <w:sz w:val="20"/>
                <w:szCs w:val="18"/>
                <w:lang w:val="en-GB"/>
              </w:rPr>
              <w:t>0.383</w:t>
            </w:r>
            <w:r>
              <w:rPr>
                <w:color w:val="0000CC"/>
                <w:sz w:val="20"/>
                <w:szCs w:val="18"/>
                <w:lang w:val="en-GB"/>
              </w:rPr>
              <w:t>]</w:t>
            </w:r>
          </w:p>
        </w:tc>
        <w:tc>
          <w:tcPr>
            <w:tcW w:w="1631" w:type="dxa"/>
          </w:tcPr>
          <w:p w14:paraId="298D4034" w14:textId="3F5FD18C" w:rsidR="00BC62E0" w:rsidRPr="00950C21" w:rsidRDefault="00BC62E0" w:rsidP="00BC62E0">
            <w:pPr>
              <w:spacing w:line="360" w:lineRule="auto"/>
              <w:cnfStyle w:val="000000000000" w:firstRow="0" w:lastRow="0" w:firstColumn="0" w:lastColumn="0" w:oddVBand="0" w:evenVBand="0" w:oddHBand="0" w:evenHBand="0" w:firstRowFirstColumn="0" w:firstRowLastColumn="0" w:lastRowFirstColumn="0" w:lastRowLastColumn="0"/>
              <w:rPr>
                <w:color w:val="0000CC"/>
                <w:sz w:val="20"/>
                <w:szCs w:val="18"/>
                <w:lang w:val="en-GB"/>
              </w:rPr>
            </w:pPr>
            <w:r>
              <w:rPr>
                <w:color w:val="0000CC"/>
                <w:sz w:val="20"/>
                <w:szCs w:val="18"/>
                <w:lang w:val="en-GB"/>
              </w:rPr>
              <w:t>[</w:t>
            </w:r>
            <w:r w:rsidR="00F850E7">
              <w:rPr>
                <w:color w:val="0000CC"/>
                <w:sz w:val="20"/>
                <w:szCs w:val="18"/>
                <w:lang w:val="en-GB"/>
              </w:rPr>
              <w:t>0.627</w:t>
            </w:r>
            <w:r>
              <w:rPr>
                <w:color w:val="0000CC"/>
                <w:sz w:val="20"/>
                <w:szCs w:val="18"/>
                <w:lang w:val="en-GB"/>
              </w:rPr>
              <w:t>]</w:t>
            </w:r>
          </w:p>
        </w:tc>
      </w:tr>
      <w:tr w:rsidR="00950C21" w:rsidRPr="00950C21" w14:paraId="6FC9DBCE" w14:textId="56FCBA77" w:rsidTr="00C841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9" w:type="dxa"/>
          </w:tcPr>
          <w:p w14:paraId="01BB84FD" w14:textId="554804C9" w:rsidR="00950C21" w:rsidRPr="00950C21" w:rsidRDefault="00950C21" w:rsidP="00BC62E0">
            <w:pPr>
              <w:spacing w:line="360" w:lineRule="auto"/>
              <w:rPr>
                <w:b w:val="0"/>
                <w:bCs w:val="0"/>
                <w:color w:val="0000CC"/>
                <w:sz w:val="20"/>
                <w:szCs w:val="18"/>
                <w:lang w:val="en-GB"/>
              </w:rPr>
            </w:pPr>
            <w:r w:rsidRPr="00950C21">
              <w:rPr>
                <w:b w:val="0"/>
                <w:bCs w:val="0"/>
                <w:color w:val="0000CC"/>
                <w:sz w:val="20"/>
                <w:szCs w:val="18"/>
                <w:lang w:val="en-GB"/>
              </w:rPr>
              <w:t xml:space="preserve">GPRT </w:t>
            </w:r>
            <w:r w:rsidRPr="00950C21">
              <w:rPr>
                <w:rFonts w:cs="Times New Roman"/>
                <w:b w:val="0"/>
                <w:bCs w:val="0"/>
                <w:color w:val="0000CC"/>
                <w:sz w:val="20"/>
                <w:szCs w:val="18"/>
                <w:lang w:val="en-GB"/>
              </w:rPr>
              <w:t>→</w:t>
            </w:r>
            <w:r w:rsidRPr="00950C21">
              <w:rPr>
                <w:b w:val="0"/>
                <w:bCs w:val="0"/>
                <w:color w:val="0000CC"/>
                <w:sz w:val="20"/>
                <w:szCs w:val="18"/>
                <w:lang w:val="en-GB"/>
              </w:rPr>
              <w:t>GB</w:t>
            </w:r>
          </w:p>
        </w:tc>
        <w:tc>
          <w:tcPr>
            <w:tcW w:w="2340" w:type="dxa"/>
          </w:tcPr>
          <w:p w14:paraId="47A3BE57" w14:textId="5B672B1E" w:rsidR="00950C21" w:rsidRPr="00950C21" w:rsidRDefault="009D1F52" w:rsidP="00BC62E0">
            <w:pPr>
              <w:spacing w:line="360" w:lineRule="auto"/>
              <w:cnfStyle w:val="000000100000" w:firstRow="0" w:lastRow="0" w:firstColumn="0" w:lastColumn="0" w:oddVBand="0" w:evenVBand="0" w:oddHBand="1" w:evenHBand="0" w:firstRowFirstColumn="0" w:firstRowLastColumn="0" w:lastRowFirstColumn="0" w:lastRowLastColumn="0"/>
              <w:rPr>
                <w:color w:val="0000CC"/>
                <w:sz w:val="20"/>
                <w:szCs w:val="18"/>
                <w:lang w:val="en-GB"/>
              </w:rPr>
            </w:pPr>
            <w:r>
              <w:rPr>
                <w:color w:val="0000CC"/>
                <w:sz w:val="20"/>
                <w:szCs w:val="18"/>
                <w:lang w:val="en-GB"/>
              </w:rPr>
              <w:t>0.581</w:t>
            </w:r>
          </w:p>
        </w:tc>
        <w:tc>
          <w:tcPr>
            <w:tcW w:w="1631" w:type="dxa"/>
          </w:tcPr>
          <w:p w14:paraId="74E45ADF" w14:textId="044BD096" w:rsidR="00950C21" w:rsidRPr="00950C21" w:rsidRDefault="009D1F52" w:rsidP="00BC62E0">
            <w:pPr>
              <w:spacing w:line="360" w:lineRule="auto"/>
              <w:cnfStyle w:val="000000100000" w:firstRow="0" w:lastRow="0" w:firstColumn="0" w:lastColumn="0" w:oddVBand="0" w:evenVBand="0" w:oddHBand="1" w:evenHBand="0" w:firstRowFirstColumn="0" w:firstRowLastColumn="0" w:lastRowFirstColumn="0" w:lastRowLastColumn="0"/>
              <w:rPr>
                <w:color w:val="0000CC"/>
                <w:sz w:val="20"/>
                <w:szCs w:val="18"/>
                <w:lang w:val="en-GB"/>
              </w:rPr>
            </w:pPr>
            <w:r>
              <w:rPr>
                <w:color w:val="0000CC"/>
                <w:sz w:val="20"/>
                <w:szCs w:val="18"/>
                <w:lang w:val="en-GB"/>
              </w:rPr>
              <w:t>0.677</w:t>
            </w:r>
          </w:p>
        </w:tc>
      </w:tr>
      <w:tr w:rsidR="00BC62E0" w:rsidRPr="00950C21" w14:paraId="76576655" w14:textId="77777777" w:rsidTr="00C841B8">
        <w:trPr>
          <w:jc w:val="center"/>
        </w:trPr>
        <w:tc>
          <w:tcPr>
            <w:cnfStyle w:val="001000000000" w:firstRow="0" w:lastRow="0" w:firstColumn="1" w:lastColumn="0" w:oddVBand="0" w:evenVBand="0" w:oddHBand="0" w:evenHBand="0" w:firstRowFirstColumn="0" w:firstRowLastColumn="0" w:lastRowFirstColumn="0" w:lastRowLastColumn="0"/>
            <w:tcW w:w="2239" w:type="dxa"/>
          </w:tcPr>
          <w:p w14:paraId="63FD38CA" w14:textId="77777777" w:rsidR="00BC62E0" w:rsidRPr="00950C21" w:rsidRDefault="00BC62E0" w:rsidP="00BC62E0">
            <w:pPr>
              <w:spacing w:line="360" w:lineRule="auto"/>
              <w:rPr>
                <w:color w:val="0000CC"/>
                <w:sz w:val="20"/>
                <w:szCs w:val="18"/>
                <w:lang w:val="en-GB"/>
              </w:rPr>
            </w:pPr>
          </w:p>
        </w:tc>
        <w:tc>
          <w:tcPr>
            <w:tcW w:w="2340" w:type="dxa"/>
          </w:tcPr>
          <w:p w14:paraId="04787D98" w14:textId="33AD30F2" w:rsidR="00BC62E0" w:rsidRPr="00950C21" w:rsidRDefault="00BC62E0" w:rsidP="00BC62E0">
            <w:pPr>
              <w:spacing w:line="360" w:lineRule="auto"/>
              <w:cnfStyle w:val="000000000000" w:firstRow="0" w:lastRow="0" w:firstColumn="0" w:lastColumn="0" w:oddVBand="0" w:evenVBand="0" w:oddHBand="0" w:evenHBand="0" w:firstRowFirstColumn="0" w:firstRowLastColumn="0" w:lastRowFirstColumn="0" w:lastRowLastColumn="0"/>
              <w:rPr>
                <w:color w:val="0000CC"/>
                <w:sz w:val="20"/>
                <w:szCs w:val="18"/>
                <w:lang w:val="en-GB"/>
              </w:rPr>
            </w:pPr>
            <w:r>
              <w:rPr>
                <w:color w:val="0000CC"/>
                <w:sz w:val="20"/>
                <w:szCs w:val="18"/>
                <w:lang w:val="en-GB"/>
              </w:rPr>
              <w:t>[</w:t>
            </w:r>
            <w:r w:rsidR="009D1F52">
              <w:rPr>
                <w:color w:val="0000CC"/>
                <w:sz w:val="20"/>
                <w:szCs w:val="18"/>
                <w:lang w:val="en-GB"/>
              </w:rPr>
              <w:t>0.209</w:t>
            </w:r>
            <w:r>
              <w:rPr>
                <w:color w:val="0000CC"/>
                <w:sz w:val="20"/>
                <w:szCs w:val="18"/>
                <w:lang w:val="en-GB"/>
              </w:rPr>
              <w:t>]</w:t>
            </w:r>
          </w:p>
        </w:tc>
        <w:tc>
          <w:tcPr>
            <w:tcW w:w="1631" w:type="dxa"/>
          </w:tcPr>
          <w:p w14:paraId="1D76EC63" w14:textId="0AEB28AB" w:rsidR="00BC62E0" w:rsidRPr="00950C21" w:rsidRDefault="00BC62E0" w:rsidP="00BC62E0">
            <w:pPr>
              <w:spacing w:line="360" w:lineRule="auto"/>
              <w:cnfStyle w:val="000000000000" w:firstRow="0" w:lastRow="0" w:firstColumn="0" w:lastColumn="0" w:oddVBand="0" w:evenVBand="0" w:oddHBand="0" w:evenHBand="0" w:firstRowFirstColumn="0" w:firstRowLastColumn="0" w:lastRowFirstColumn="0" w:lastRowLastColumn="0"/>
              <w:rPr>
                <w:color w:val="0000CC"/>
                <w:sz w:val="20"/>
                <w:szCs w:val="18"/>
                <w:lang w:val="en-GB"/>
              </w:rPr>
            </w:pPr>
            <w:r>
              <w:rPr>
                <w:color w:val="0000CC"/>
                <w:sz w:val="20"/>
                <w:szCs w:val="18"/>
                <w:lang w:val="en-GB"/>
              </w:rPr>
              <w:t>[</w:t>
            </w:r>
            <w:r w:rsidR="009D1F52">
              <w:rPr>
                <w:color w:val="0000CC"/>
                <w:sz w:val="20"/>
                <w:szCs w:val="18"/>
                <w:lang w:val="en-GB"/>
              </w:rPr>
              <w:t>0.228</w:t>
            </w:r>
            <w:r>
              <w:rPr>
                <w:color w:val="0000CC"/>
                <w:sz w:val="20"/>
                <w:szCs w:val="18"/>
                <w:lang w:val="en-GB"/>
              </w:rPr>
              <w:t>]</w:t>
            </w:r>
          </w:p>
        </w:tc>
      </w:tr>
      <w:tr w:rsidR="00950C21" w:rsidRPr="00950C21" w14:paraId="732305D4" w14:textId="2BA15932" w:rsidTr="00C841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9" w:type="dxa"/>
          </w:tcPr>
          <w:p w14:paraId="5E7A0C9A" w14:textId="46EC7E8B" w:rsidR="00950C21" w:rsidRPr="00950C21" w:rsidRDefault="00950C21" w:rsidP="00BC62E0">
            <w:pPr>
              <w:spacing w:line="360" w:lineRule="auto"/>
              <w:rPr>
                <w:b w:val="0"/>
                <w:bCs w:val="0"/>
                <w:color w:val="0000CC"/>
                <w:sz w:val="20"/>
                <w:szCs w:val="18"/>
                <w:lang w:val="en-GB"/>
              </w:rPr>
            </w:pPr>
            <w:r w:rsidRPr="00950C21">
              <w:rPr>
                <w:b w:val="0"/>
                <w:bCs w:val="0"/>
                <w:color w:val="0000CC"/>
                <w:sz w:val="20"/>
                <w:szCs w:val="18"/>
                <w:lang w:val="en-GB"/>
              </w:rPr>
              <w:t xml:space="preserve">GB </w:t>
            </w:r>
            <w:r w:rsidRPr="00950C21">
              <w:rPr>
                <w:rFonts w:cs="Times New Roman"/>
                <w:b w:val="0"/>
                <w:bCs w:val="0"/>
                <w:color w:val="0000CC"/>
                <w:sz w:val="20"/>
                <w:szCs w:val="18"/>
                <w:lang w:val="en-GB"/>
              </w:rPr>
              <w:t>→</w:t>
            </w:r>
            <w:r w:rsidRPr="00950C21">
              <w:rPr>
                <w:b w:val="0"/>
                <w:bCs w:val="0"/>
                <w:color w:val="0000CC"/>
                <w:sz w:val="20"/>
                <w:szCs w:val="18"/>
                <w:lang w:val="en-GB"/>
              </w:rPr>
              <w:t>GPRT</w:t>
            </w:r>
          </w:p>
        </w:tc>
        <w:tc>
          <w:tcPr>
            <w:tcW w:w="2340" w:type="dxa"/>
          </w:tcPr>
          <w:p w14:paraId="0D7C4300" w14:textId="2EE072B2" w:rsidR="00950C21" w:rsidRPr="00950C21" w:rsidRDefault="009D1F52" w:rsidP="00BC62E0">
            <w:pPr>
              <w:spacing w:line="360" w:lineRule="auto"/>
              <w:cnfStyle w:val="000000100000" w:firstRow="0" w:lastRow="0" w:firstColumn="0" w:lastColumn="0" w:oddVBand="0" w:evenVBand="0" w:oddHBand="1" w:evenHBand="0" w:firstRowFirstColumn="0" w:firstRowLastColumn="0" w:lastRowFirstColumn="0" w:lastRowLastColumn="0"/>
              <w:rPr>
                <w:color w:val="0000CC"/>
                <w:sz w:val="20"/>
                <w:szCs w:val="18"/>
                <w:lang w:val="en-GB"/>
              </w:rPr>
            </w:pPr>
            <w:r>
              <w:rPr>
                <w:color w:val="0000CC"/>
                <w:sz w:val="20"/>
                <w:szCs w:val="18"/>
                <w:lang w:val="en-GB"/>
              </w:rPr>
              <w:t>1.694</w:t>
            </w:r>
          </w:p>
        </w:tc>
        <w:tc>
          <w:tcPr>
            <w:tcW w:w="1631" w:type="dxa"/>
          </w:tcPr>
          <w:p w14:paraId="5EB6A502" w14:textId="237695EA" w:rsidR="00950C21" w:rsidRPr="00950C21" w:rsidRDefault="009D1F52" w:rsidP="00BC62E0">
            <w:pPr>
              <w:spacing w:line="360" w:lineRule="auto"/>
              <w:cnfStyle w:val="000000100000" w:firstRow="0" w:lastRow="0" w:firstColumn="0" w:lastColumn="0" w:oddVBand="0" w:evenVBand="0" w:oddHBand="1" w:evenHBand="0" w:firstRowFirstColumn="0" w:firstRowLastColumn="0" w:lastRowFirstColumn="0" w:lastRowLastColumn="0"/>
              <w:rPr>
                <w:color w:val="0000CC"/>
                <w:sz w:val="20"/>
                <w:szCs w:val="18"/>
                <w:lang w:val="en-GB"/>
              </w:rPr>
            </w:pPr>
            <w:r>
              <w:rPr>
                <w:color w:val="0000CC"/>
                <w:sz w:val="20"/>
                <w:szCs w:val="18"/>
                <w:lang w:val="en-GB"/>
              </w:rPr>
              <w:t>1.738</w:t>
            </w:r>
          </w:p>
        </w:tc>
      </w:tr>
      <w:tr w:rsidR="00BC62E0" w:rsidRPr="00950C21" w14:paraId="524A2E70" w14:textId="77777777" w:rsidTr="00C841B8">
        <w:trPr>
          <w:jc w:val="center"/>
        </w:trPr>
        <w:tc>
          <w:tcPr>
            <w:cnfStyle w:val="001000000000" w:firstRow="0" w:lastRow="0" w:firstColumn="1" w:lastColumn="0" w:oddVBand="0" w:evenVBand="0" w:oddHBand="0" w:evenHBand="0" w:firstRowFirstColumn="0" w:firstRowLastColumn="0" w:lastRowFirstColumn="0" w:lastRowLastColumn="0"/>
            <w:tcW w:w="2239" w:type="dxa"/>
          </w:tcPr>
          <w:p w14:paraId="133099E5" w14:textId="77777777" w:rsidR="00BC62E0" w:rsidRPr="00950C21" w:rsidRDefault="00BC62E0" w:rsidP="00BC62E0">
            <w:pPr>
              <w:spacing w:line="360" w:lineRule="auto"/>
              <w:rPr>
                <w:color w:val="0000CC"/>
                <w:sz w:val="20"/>
                <w:szCs w:val="18"/>
                <w:lang w:val="en-GB"/>
              </w:rPr>
            </w:pPr>
          </w:p>
        </w:tc>
        <w:tc>
          <w:tcPr>
            <w:tcW w:w="2340" w:type="dxa"/>
          </w:tcPr>
          <w:p w14:paraId="4A8CA67B" w14:textId="439E763B" w:rsidR="00BC62E0" w:rsidRPr="00950C21" w:rsidRDefault="00BC62E0" w:rsidP="00BC62E0">
            <w:pPr>
              <w:spacing w:line="360" w:lineRule="auto"/>
              <w:cnfStyle w:val="000000000000" w:firstRow="0" w:lastRow="0" w:firstColumn="0" w:lastColumn="0" w:oddVBand="0" w:evenVBand="0" w:oddHBand="0" w:evenHBand="0" w:firstRowFirstColumn="0" w:firstRowLastColumn="0" w:lastRowFirstColumn="0" w:lastRowLastColumn="0"/>
              <w:rPr>
                <w:color w:val="0000CC"/>
                <w:sz w:val="20"/>
                <w:szCs w:val="18"/>
                <w:lang w:val="en-GB"/>
              </w:rPr>
            </w:pPr>
            <w:r>
              <w:rPr>
                <w:color w:val="0000CC"/>
                <w:sz w:val="20"/>
                <w:szCs w:val="18"/>
                <w:lang w:val="en-GB"/>
              </w:rPr>
              <w:t>[</w:t>
            </w:r>
            <w:r w:rsidR="009D1F52">
              <w:rPr>
                <w:color w:val="0000CC"/>
                <w:sz w:val="20"/>
                <w:szCs w:val="18"/>
                <w:lang w:val="en-GB"/>
              </w:rPr>
              <w:t>0.461</w:t>
            </w:r>
            <w:r>
              <w:rPr>
                <w:color w:val="0000CC"/>
                <w:sz w:val="20"/>
                <w:szCs w:val="18"/>
                <w:lang w:val="en-GB"/>
              </w:rPr>
              <w:t>]</w:t>
            </w:r>
          </w:p>
        </w:tc>
        <w:tc>
          <w:tcPr>
            <w:tcW w:w="1631" w:type="dxa"/>
          </w:tcPr>
          <w:p w14:paraId="10DB90AE" w14:textId="0C0EE10E" w:rsidR="00BC62E0" w:rsidRPr="00950C21" w:rsidRDefault="00BC62E0" w:rsidP="00BC62E0">
            <w:pPr>
              <w:spacing w:line="360" w:lineRule="auto"/>
              <w:cnfStyle w:val="000000000000" w:firstRow="0" w:lastRow="0" w:firstColumn="0" w:lastColumn="0" w:oddVBand="0" w:evenVBand="0" w:oddHBand="0" w:evenHBand="0" w:firstRowFirstColumn="0" w:firstRowLastColumn="0" w:lastRowFirstColumn="0" w:lastRowLastColumn="0"/>
              <w:rPr>
                <w:color w:val="0000CC"/>
                <w:sz w:val="20"/>
                <w:szCs w:val="18"/>
                <w:lang w:val="en-GB"/>
              </w:rPr>
            </w:pPr>
            <w:r>
              <w:rPr>
                <w:color w:val="0000CC"/>
                <w:sz w:val="20"/>
                <w:szCs w:val="18"/>
                <w:lang w:val="en-GB"/>
              </w:rPr>
              <w:t>[</w:t>
            </w:r>
            <w:r w:rsidR="009D1F52">
              <w:rPr>
                <w:color w:val="0000CC"/>
                <w:sz w:val="20"/>
                <w:szCs w:val="18"/>
                <w:lang w:val="en-GB"/>
              </w:rPr>
              <w:t>0.509</w:t>
            </w:r>
            <w:r>
              <w:rPr>
                <w:color w:val="0000CC"/>
                <w:sz w:val="20"/>
                <w:szCs w:val="18"/>
                <w:lang w:val="en-GB"/>
              </w:rPr>
              <w:t>]</w:t>
            </w:r>
          </w:p>
        </w:tc>
      </w:tr>
      <w:tr w:rsidR="00950C21" w:rsidRPr="00950C21" w14:paraId="6753C928" w14:textId="3A07FD86" w:rsidTr="00C841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9" w:type="dxa"/>
          </w:tcPr>
          <w:p w14:paraId="73D59363" w14:textId="79BF6712" w:rsidR="00950C21" w:rsidRPr="00950C21" w:rsidRDefault="00950C21" w:rsidP="00BC62E0">
            <w:pPr>
              <w:spacing w:line="360" w:lineRule="auto"/>
              <w:rPr>
                <w:b w:val="0"/>
                <w:bCs w:val="0"/>
                <w:color w:val="0000CC"/>
                <w:sz w:val="20"/>
                <w:szCs w:val="18"/>
                <w:lang w:val="en-GB"/>
              </w:rPr>
            </w:pPr>
            <w:r w:rsidRPr="00950C21">
              <w:rPr>
                <w:b w:val="0"/>
                <w:bCs w:val="0"/>
                <w:color w:val="0000CC"/>
                <w:sz w:val="20"/>
                <w:szCs w:val="18"/>
                <w:lang w:val="en-GB"/>
              </w:rPr>
              <w:t xml:space="preserve">GPRA </w:t>
            </w:r>
            <w:r w:rsidRPr="00950C21">
              <w:rPr>
                <w:rFonts w:cs="Times New Roman"/>
                <w:b w:val="0"/>
                <w:bCs w:val="0"/>
                <w:color w:val="0000CC"/>
                <w:sz w:val="20"/>
                <w:szCs w:val="18"/>
                <w:lang w:val="en-GB"/>
              </w:rPr>
              <w:t>→</w:t>
            </w:r>
            <w:r w:rsidRPr="00950C21">
              <w:rPr>
                <w:b w:val="0"/>
                <w:bCs w:val="0"/>
                <w:color w:val="0000CC"/>
                <w:sz w:val="20"/>
                <w:szCs w:val="18"/>
                <w:lang w:val="en-GB"/>
              </w:rPr>
              <w:t>GB</w:t>
            </w:r>
          </w:p>
        </w:tc>
        <w:tc>
          <w:tcPr>
            <w:tcW w:w="2340" w:type="dxa"/>
          </w:tcPr>
          <w:p w14:paraId="5EFB3CAE" w14:textId="26E3A30B" w:rsidR="00950C21" w:rsidRPr="00950C21" w:rsidRDefault="00727639" w:rsidP="00BC62E0">
            <w:pPr>
              <w:spacing w:line="360" w:lineRule="auto"/>
              <w:cnfStyle w:val="000000100000" w:firstRow="0" w:lastRow="0" w:firstColumn="0" w:lastColumn="0" w:oddVBand="0" w:evenVBand="0" w:oddHBand="1" w:evenHBand="0" w:firstRowFirstColumn="0" w:firstRowLastColumn="0" w:lastRowFirstColumn="0" w:lastRowLastColumn="0"/>
              <w:rPr>
                <w:color w:val="0000CC"/>
                <w:sz w:val="20"/>
                <w:szCs w:val="18"/>
                <w:lang w:val="en-GB"/>
              </w:rPr>
            </w:pPr>
            <w:r>
              <w:rPr>
                <w:color w:val="0000CC"/>
                <w:sz w:val="20"/>
                <w:szCs w:val="18"/>
                <w:lang w:val="en-GB"/>
              </w:rPr>
              <w:t>0</w:t>
            </w:r>
            <w:r w:rsidR="009D1F52">
              <w:rPr>
                <w:color w:val="0000CC"/>
                <w:sz w:val="20"/>
                <w:szCs w:val="18"/>
                <w:lang w:val="en-GB"/>
              </w:rPr>
              <w:t>.881</w:t>
            </w:r>
          </w:p>
        </w:tc>
        <w:tc>
          <w:tcPr>
            <w:tcW w:w="1631" w:type="dxa"/>
          </w:tcPr>
          <w:p w14:paraId="37942FFF" w14:textId="3F102A0F" w:rsidR="00950C21" w:rsidRPr="00950C21" w:rsidRDefault="009D1F52" w:rsidP="00BC62E0">
            <w:pPr>
              <w:spacing w:line="360" w:lineRule="auto"/>
              <w:cnfStyle w:val="000000100000" w:firstRow="0" w:lastRow="0" w:firstColumn="0" w:lastColumn="0" w:oddVBand="0" w:evenVBand="0" w:oddHBand="1" w:evenHBand="0" w:firstRowFirstColumn="0" w:firstRowLastColumn="0" w:lastRowFirstColumn="0" w:lastRowLastColumn="0"/>
              <w:rPr>
                <w:color w:val="0000CC"/>
                <w:sz w:val="20"/>
                <w:szCs w:val="18"/>
                <w:lang w:val="en-GB"/>
              </w:rPr>
            </w:pPr>
            <w:r>
              <w:rPr>
                <w:color w:val="0000CC"/>
                <w:sz w:val="20"/>
                <w:szCs w:val="18"/>
                <w:lang w:val="en-GB"/>
              </w:rPr>
              <w:t>1.002</w:t>
            </w:r>
          </w:p>
        </w:tc>
      </w:tr>
      <w:tr w:rsidR="00BC62E0" w:rsidRPr="00950C21" w14:paraId="1B06A33E" w14:textId="77777777" w:rsidTr="00C841B8">
        <w:trPr>
          <w:jc w:val="center"/>
        </w:trPr>
        <w:tc>
          <w:tcPr>
            <w:cnfStyle w:val="001000000000" w:firstRow="0" w:lastRow="0" w:firstColumn="1" w:lastColumn="0" w:oddVBand="0" w:evenVBand="0" w:oddHBand="0" w:evenHBand="0" w:firstRowFirstColumn="0" w:firstRowLastColumn="0" w:lastRowFirstColumn="0" w:lastRowLastColumn="0"/>
            <w:tcW w:w="2239" w:type="dxa"/>
          </w:tcPr>
          <w:p w14:paraId="6B7057D2" w14:textId="77777777" w:rsidR="00BC62E0" w:rsidRPr="00950C21" w:rsidRDefault="00BC62E0" w:rsidP="00BC62E0">
            <w:pPr>
              <w:spacing w:line="360" w:lineRule="auto"/>
              <w:rPr>
                <w:color w:val="0000CC"/>
                <w:sz w:val="20"/>
                <w:szCs w:val="18"/>
                <w:lang w:val="en-GB"/>
              </w:rPr>
            </w:pPr>
          </w:p>
        </w:tc>
        <w:tc>
          <w:tcPr>
            <w:tcW w:w="2340" w:type="dxa"/>
          </w:tcPr>
          <w:p w14:paraId="4FE5F24C" w14:textId="2E000ADA" w:rsidR="00BC62E0" w:rsidRPr="00950C21" w:rsidRDefault="00BC62E0" w:rsidP="00BC62E0">
            <w:pPr>
              <w:spacing w:line="360" w:lineRule="auto"/>
              <w:cnfStyle w:val="000000000000" w:firstRow="0" w:lastRow="0" w:firstColumn="0" w:lastColumn="0" w:oddVBand="0" w:evenVBand="0" w:oddHBand="0" w:evenHBand="0" w:firstRowFirstColumn="0" w:firstRowLastColumn="0" w:lastRowFirstColumn="0" w:lastRowLastColumn="0"/>
              <w:rPr>
                <w:color w:val="0000CC"/>
                <w:sz w:val="20"/>
                <w:szCs w:val="18"/>
                <w:lang w:val="en-GB"/>
              </w:rPr>
            </w:pPr>
            <w:r>
              <w:rPr>
                <w:color w:val="0000CC"/>
                <w:sz w:val="20"/>
                <w:szCs w:val="18"/>
                <w:lang w:val="en-GB"/>
              </w:rPr>
              <w:t>[</w:t>
            </w:r>
            <w:r w:rsidR="009D1F52">
              <w:rPr>
                <w:color w:val="0000CC"/>
                <w:sz w:val="20"/>
                <w:szCs w:val="18"/>
                <w:lang w:val="en-GB"/>
              </w:rPr>
              <w:t>0.020</w:t>
            </w:r>
            <w:r>
              <w:rPr>
                <w:color w:val="0000CC"/>
                <w:sz w:val="20"/>
                <w:szCs w:val="18"/>
                <w:lang w:val="en-GB"/>
              </w:rPr>
              <w:t>]</w:t>
            </w:r>
          </w:p>
        </w:tc>
        <w:tc>
          <w:tcPr>
            <w:tcW w:w="1631" w:type="dxa"/>
          </w:tcPr>
          <w:p w14:paraId="438D33BD" w14:textId="7448A843" w:rsidR="00BC62E0" w:rsidRPr="00950C21" w:rsidRDefault="00BC62E0" w:rsidP="00BC62E0">
            <w:pPr>
              <w:spacing w:line="360" w:lineRule="auto"/>
              <w:cnfStyle w:val="000000000000" w:firstRow="0" w:lastRow="0" w:firstColumn="0" w:lastColumn="0" w:oddVBand="0" w:evenVBand="0" w:oddHBand="0" w:evenHBand="0" w:firstRowFirstColumn="0" w:firstRowLastColumn="0" w:lastRowFirstColumn="0" w:lastRowLastColumn="0"/>
              <w:rPr>
                <w:color w:val="0000CC"/>
                <w:sz w:val="20"/>
                <w:szCs w:val="18"/>
                <w:lang w:val="en-GB"/>
              </w:rPr>
            </w:pPr>
            <w:r>
              <w:rPr>
                <w:color w:val="0000CC"/>
                <w:sz w:val="20"/>
                <w:szCs w:val="18"/>
                <w:lang w:val="en-GB"/>
              </w:rPr>
              <w:t>[</w:t>
            </w:r>
            <w:r w:rsidR="009D1F52">
              <w:rPr>
                <w:color w:val="0000CC"/>
                <w:sz w:val="20"/>
                <w:szCs w:val="18"/>
                <w:lang w:val="en-GB"/>
              </w:rPr>
              <w:t>0.069</w:t>
            </w:r>
            <w:r>
              <w:rPr>
                <w:color w:val="0000CC"/>
                <w:sz w:val="20"/>
                <w:szCs w:val="18"/>
                <w:lang w:val="en-GB"/>
              </w:rPr>
              <w:t>]</w:t>
            </w:r>
          </w:p>
        </w:tc>
      </w:tr>
      <w:tr w:rsidR="00BC62E0" w:rsidRPr="00950C21" w14:paraId="017A006E" w14:textId="12239EDF" w:rsidTr="00C841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9" w:type="dxa"/>
          </w:tcPr>
          <w:p w14:paraId="06E369D6" w14:textId="3EE20FCE" w:rsidR="00BC62E0" w:rsidRPr="00950C21" w:rsidRDefault="00BC62E0" w:rsidP="00BC62E0">
            <w:pPr>
              <w:spacing w:line="360" w:lineRule="auto"/>
              <w:rPr>
                <w:b w:val="0"/>
                <w:bCs w:val="0"/>
                <w:color w:val="0000CC"/>
                <w:sz w:val="20"/>
                <w:szCs w:val="18"/>
                <w:lang w:val="en-GB"/>
              </w:rPr>
            </w:pPr>
            <w:r w:rsidRPr="00950C21">
              <w:rPr>
                <w:b w:val="0"/>
                <w:bCs w:val="0"/>
                <w:color w:val="0000CC"/>
                <w:sz w:val="20"/>
                <w:szCs w:val="18"/>
                <w:lang w:val="en-GB"/>
              </w:rPr>
              <w:t xml:space="preserve">GB </w:t>
            </w:r>
            <w:r w:rsidRPr="00950C21">
              <w:rPr>
                <w:rFonts w:cs="Times New Roman"/>
                <w:b w:val="0"/>
                <w:bCs w:val="0"/>
                <w:color w:val="0000CC"/>
                <w:sz w:val="20"/>
                <w:szCs w:val="18"/>
                <w:lang w:val="en-GB"/>
              </w:rPr>
              <w:t>→</w:t>
            </w:r>
            <w:r w:rsidRPr="00950C21">
              <w:rPr>
                <w:b w:val="0"/>
                <w:bCs w:val="0"/>
                <w:color w:val="0000CC"/>
                <w:sz w:val="20"/>
                <w:szCs w:val="18"/>
                <w:lang w:val="en-GB"/>
              </w:rPr>
              <w:t>GPRA</w:t>
            </w:r>
          </w:p>
        </w:tc>
        <w:tc>
          <w:tcPr>
            <w:tcW w:w="2340" w:type="dxa"/>
          </w:tcPr>
          <w:p w14:paraId="41089647" w14:textId="20F6FB6C" w:rsidR="00BC62E0" w:rsidRPr="00950C21" w:rsidRDefault="009D1F52" w:rsidP="00BC62E0">
            <w:pPr>
              <w:spacing w:line="360" w:lineRule="auto"/>
              <w:cnfStyle w:val="000000100000" w:firstRow="0" w:lastRow="0" w:firstColumn="0" w:lastColumn="0" w:oddVBand="0" w:evenVBand="0" w:oddHBand="1" w:evenHBand="0" w:firstRowFirstColumn="0" w:firstRowLastColumn="0" w:lastRowFirstColumn="0" w:lastRowLastColumn="0"/>
              <w:rPr>
                <w:color w:val="0000CC"/>
                <w:sz w:val="20"/>
                <w:szCs w:val="18"/>
                <w:lang w:val="en-GB"/>
              </w:rPr>
            </w:pPr>
            <w:r>
              <w:rPr>
                <w:color w:val="0000CC"/>
                <w:sz w:val="20"/>
                <w:szCs w:val="18"/>
                <w:lang w:val="en-GB"/>
              </w:rPr>
              <w:t>1.489</w:t>
            </w:r>
          </w:p>
        </w:tc>
        <w:tc>
          <w:tcPr>
            <w:tcW w:w="1631" w:type="dxa"/>
          </w:tcPr>
          <w:p w14:paraId="2C291038" w14:textId="299FCAAD" w:rsidR="00BC62E0" w:rsidRPr="00950C21" w:rsidRDefault="009D1F52" w:rsidP="00BC62E0">
            <w:pPr>
              <w:spacing w:line="360" w:lineRule="auto"/>
              <w:cnfStyle w:val="000000100000" w:firstRow="0" w:lastRow="0" w:firstColumn="0" w:lastColumn="0" w:oddVBand="0" w:evenVBand="0" w:oddHBand="1" w:evenHBand="0" w:firstRowFirstColumn="0" w:firstRowLastColumn="0" w:lastRowFirstColumn="0" w:lastRowLastColumn="0"/>
              <w:rPr>
                <w:color w:val="0000CC"/>
                <w:sz w:val="20"/>
                <w:szCs w:val="18"/>
                <w:lang w:val="en-GB"/>
              </w:rPr>
            </w:pPr>
            <w:r>
              <w:rPr>
                <w:color w:val="0000CC"/>
                <w:sz w:val="20"/>
                <w:szCs w:val="18"/>
                <w:lang w:val="en-GB"/>
              </w:rPr>
              <w:t>1.508</w:t>
            </w:r>
          </w:p>
        </w:tc>
      </w:tr>
      <w:tr w:rsidR="00BC62E0" w:rsidRPr="00950C21" w14:paraId="3E85774F" w14:textId="77777777" w:rsidTr="00C841B8">
        <w:trPr>
          <w:jc w:val="center"/>
        </w:trPr>
        <w:tc>
          <w:tcPr>
            <w:cnfStyle w:val="001000000000" w:firstRow="0" w:lastRow="0" w:firstColumn="1" w:lastColumn="0" w:oddVBand="0" w:evenVBand="0" w:oddHBand="0" w:evenHBand="0" w:firstRowFirstColumn="0" w:firstRowLastColumn="0" w:lastRowFirstColumn="0" w:lastRowLastColumn="0"/>
            <w:tcW w:w="2239" w:type="dxa"/>
          </w:tcPr>
          <w:p w14:paraId="516D0C0B" w14:textId="77777777" w:rsidR="00BC62E0" w:rsidRPr="00950C21" w:rsidRDefault="00BC62E0" w:rsidP="00BC62E0">
            <w:pPr>
              <w:spacing w:line="360" w:lineRule="auto"/>
              <w:rPr>
                <w:color w:val="0000CC"/>
                <w:sz w:val="20"/>
                <w:szCs w:val="18"/>
                <w:lang w:val="en-GB"/>
              </w:rPr>
            </w:pPr>
          </w:p>
        </w:tc>
        <w:tc>
          <w:tcPr>
            <w:tcW w:w="2340" w:type="dxa"/>
          </w:tcPr>
          <w:p w14:paraId="5F73E892" w14:textId="4E7F7D4A" w:rsidR="00BC62E0" w:rsidRPr="00950C21" w:rsidRDefault="00BC62E0" w:rsidP="00BC62E0">
            <w:pPr>
              <w:spacing w:line="360" w:lineRule="auto"/>
              <w:cnfStyle w:val="000000000000" w:firstRow="0" w:lastRow="0" w:firstColumn="0" w:lastColumn="0" w:oddVBand="0" w:evenVBand="0" w:oddHBand="0" w:evenHBand="0" w:firstRowFirstColumn="0" w:firstRowLastColumn="0" w:lastRowFirstColumn="0" w:lastRowLastColumn="0"/>
              <w:rPr>
                <w:color w:val="0000CC"/>
                <w:sz w:val="20"/>
                <w:szCs w:val="18"/>
                <w:lang w:val="en-GB"/>
              </w:rPr>
            </w:pPr>
            <w:r>
              <w:rPr>
                <w:color w:val="0000CC"/>
                <w:sz w:val="20"/>
                <w:szCs w:val="18"/>
                <w:lang w:val="en-GB"/>
              </w:rPr>
              <w:t>[</w:t>
            </w:r>
            <w:r w:rsidR="009D1F52">
              <w:rPr>
                <w:color w:val="0000CC"/>
                <w:sz w:val="20"/>
                <w:szCs w:val="18"/>
                <w:lang w:val="en-GB"/>
              </w:rPr>
              <w:t>0.198</w:t>
            </w:r>
            <w:r>
              <w:rPr>
                <w:color w:val="0000CC"/>
                <w:sz w:val="20"/>
                <w:szCs w:val="18"/>
                <w:lang w:val="en-GB"/>
              </w:rPr>
              <w:t>]</w:t>
            </w:r>
          </w:p>
        </w:tc>
        <w:tc>
          <w:tcPr>
            <w:tcW w:w="1631" w:type="dxa"/>
          </w:tcPr>
          <w:p w14:paraId="7CAE1C6D" w14:textId="729ACF69" w:rsidR="00BC62E0" w:rsidRPr="00950C21" w:rsidRDefault="00BC62E0" w:rsidP="00BC62E0">
            <w:pPr>
              <w:spacing w:line="360" w:lineRule="auto"/>
              <w:cnfStyle w:val="000000000000" w:firstRow="0" w:lastRow="0" w:firstColumn="0" w:lastColumn="0" w:oddVBand="0" w:evenVBand="0" w:oddHBand="0" w:evenHBand="0" w:firstRowFirstColumn="0" w:firstRowLastColumn="0" w:lastRowFirstColumn="0" w:lastRowLastColumn="0"/>
              <w:rPr>
                <w:color w:val="0000CC"/>
                <w:sz w:val="20"/>
                <w:szCs w:val="18"/>
                <w:lang w:val="en-GB"/>
              </w:rPr>
            </w:pPr>
            <w:r>
              <w:rPr>
                <w:color w:val="0000CC"/>
                <w:sz w:val="20"/>
                <w:szCs w:val="18"/>
                <w:lang w:val="en-GB"/>
              </w:rPr>
              <w:t>[</w:t>
            </w:r>
            <w:r w:rsidR="009D1F52">
              <w:rPr>
                <w:color w:val="0000CC"/>
                <w:sz w:val="20"/>
                <w:szCs w:val="18"/>
                <w:lang w:val="en-GB"/>
              </w:rPr>
              <w:t>0.281</w:t>
            </w:r>
            <w:r>
              <w:rPr>
                <w:color w:val="0000CC"/>
                <w:sz w:val="20"/>
                <w:szCs w:val="18"/>
                <w:lang w:val="en-GB"/>
              </w:rPr>
              <w:t>]</w:t>
            </w:r>
          </w:p>
        </w:tc>
      </w:tr>
      <w:tr w:rsidR="00BC62E0" w:rsidRPr="00950C21" w14:paraId="0336CF23" w14:textId="4027F31D" w:rsidTr="00C841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9" w:type="dxa"/>
          </w:tcPr>
          <w:p w14:paraId="7E2AC213" w14:textId="01852BD4" w:rsidR="00BC62E0" w:rsidRPr="00950C21" w:rsidRDefault="00BC62E0" w:rsidP="00BC62E0">
            <w:pPr>
              <w:spacing w:line="360" w:lineRule="auto"/>
              <w:rPr>
                <w:b w:val="0"/>
                <w:bCs w:val="0"/>
                <w:color w:val="0000CC"/>
                <w:sz w:val="20"/>
                <w:szCs w:val="18"/>
                <w:lang w:val="en-GB"/>
              </w:rPr>
            </w:pPr>
            <w:r w:rsidRPr="00950C21">
              <w:rPr>
                <w:b w:val="0"/>
                <w:bCs w:val="0"/>
                <w:color w:val="0000CC"/>
                <w:sz w:val="20"/>
                <w:szCs w:val="18"/>
                <w:lang w:val="en-GB"/>
              </w:rPr>
              <w:t xml:space="preserve">WTI </w:t>
            </w:r>
            <w:r w:rsidRPr="00950C21">
              <w:rPr>
                <w:rFonts w:cs="Times New Roman"/>
                <w:b w:val="0"/>
                <w:bCs w:val="0"/>
                <w:color w:val="0000CC"/>
                <w:sz w:val="20"/>
                <w:szCs w:val="18"/>
                <w:lang w:val="en-GB"/>
              </w:rPr>
              <w:t>→</w:t>
            </w:r>
            <w:r w:rsidRPr="00950C21">
              <w:rPr>
                <w:b w:val="0"/>
                <w:bCs w:val="0"/>
                <w:color w:val="0000CC"/>
                <w:sz w:val="20"/>
                <w:szCs w:val="18"/>
                <w:lang w:val="en-GB"/>
              </w:rPr>
              <w:t>GB</w:t>
            </w:r>
          </w:p>
        </w:tc>
        <w:tc>
          <w:tcPr>
            <w:tcW w:w="2340" w:type="dxa"/>
          </w:tcPr>
          <w:p w14:paraId="29537EDE" w14:textId="6B9AF581" w:rsidR="00BC62E0" w:rsidRPr="00950C21" w:rsidRDefault="00727639" w:rsidP="00BC62E0">
            <w:pPr>
              <w:spacing w:line="360" w:lineRule="auto"/>
              <w:cnfStyle w:val="000000100000" w:firstRow="0" w:lastRow="0" w:firstColumn="0" w:lastColumn="0" w:oddVBand="0" w:evenVBand="0" w:oddHBand="1" w:evenHBand="0" w:firstRowFirstColumn="0" w:firstRowLastColumn="0" w:lastRowFirstColumn="0" w:lastRowLastColumn="0"/>
              <w:rPr>
                <w:color w:val="0000CC"/>
                <w:sz w:val="20"/>
                <w:szCs w:val="18"/>
                <w:lang w:val="en-GB"/>
              </w:rPr>
            </w:pPr>
            <w:r>
              <w:rPr>
                <w:color w:val="0000CC"/>
                <w:sz w:val="20"/>
                <w:szCs w:val="18"/>
                <w:lang w:val="en-GB"/>
              </w:rPr>
              <w:t>1.029</w:t>
            </w:r>
          </w:p>
        </w:tc>
        <w:tc>
          <w:tcPr>
            <w:tcW w:w="1631" w:type="dxa"/>
          </w:tcPr>
          <w:p w14:paraId="02471E34" w14:textId="722558F0" w:rsidR="00BC62E0" w:rsidRPr="00950C21" w:rsidRDefault="00727639" w:rsidP="00BC62E0">
            <w:pPr>
              <w:spacing w:line="360" w:lineRule="auto"/>
              <w:cnfStyle w:val="000000100000" w:firstRow="0" w:lastRow="0" w:firstColumn="0" w:lastColumn="0" w:oddVBand="0" w:evenVBand="0" w:oddHBand="1" w:evenHBand="0" w:firstRowFirstColumn="0" w:firstRowLastColumn="0" w:lastRowFirstColumn="0" w:lastRowLastColumn="0"/>
              <w:rPr>
                <w:color w:val="0000CC"/>
                <w:sz w:val="20"/>
                <w:szCs w:val="18"/>
                <w:lang w:val="en-GB"/>
              </w:rPr>
            </w:pPr>
            <w:r>
              <w:rPr>
                <w:color w:val="0000CC"/>
                <w:sz w:val="20"/>
                <w:szCs w:val="18"/>
                <w:lang w:val="en-GB"/>
              </w:rPr>
              <w:t>1.485</w:t>
            </w:r>
          </w:p>
        </w:tc>
      </w:tr>
      <w:tr w:rsidR="00BC62E0" w:rsidRPr="00950C21" w14:paraId="3BBFA578" w14:textId="77777777" w:rsidTr="00C841B8">
        <w:trPr>
          <w:jc w:val="center"/>
        </w:trPr>
        <w:tc>
          <w:tcPr>
            <w:cnfStyle w:val="001000000000" w:firstRow="0" w:lastRow="0" w:firstColumn="1" w:lastColumn="0" w:oddVBand="0" w:evenVBand="0" w:oddHBand="0" w:evenHBand="0" w:firstRowFirstColumn="0" w:firstRowLastColumn="0" w:lastRowFirstColumn="0" w:lastRowLastColumn="0"/>
            <w:tcW w:w="2239" w:type="dxa"/>
          </w:tcPr>
          <w:p w14:paraId="12B2DEF1" w14:textId="77777777" w:rsidR="00BC62E0" w:rsidRPr="00950C21" w:rsidRDefault="00BC62E0" w:rsidP="00BC62E0">
            <w:pPr>
              <w:spacing w:line="360" w:lineRule="auto"/>
              <w:rPr>
                <w:color w:val="0000CC"/>
                <w:sz w:val="20"/>
                <w:szCs w:val="18"/>
                <w:lang w:val="en-GB"/>
              </w:rPr>
            </w:pPr>
          </w:p>
        </w:tc>
        <w:tc>
          <w:tcPr>
            <w:tcW w:w="2340" w:type="dxa"/>
          </w:tcPr>
          <w:p w14:paraId="731F8C4E" w14:textId="1C1CDFCD" w:rsidR="00BC62E0" w:rsidRPr="00950C21" w:rsidRDefault="00BC62E0" w:rsidP="00BC62E0">
            <w:pPr>
              <w:spacing w:line="360" w:lineRule="auto"/>
              <w:cnfStyle w:val="000000000000" w:firstRow="0" w:lastRow="0" w:firstColumn="0" w:lastColumn="0" w:oddVBand="0" w:evenVBand="0" w:oddHBand="0" w:evenHBand="0" w:firstRowFirstColumn="0" w:firstRowLastColumn="0" w:lastRowFirstColumn="0" w:lastRowLastColumn="0"/>
              <w:rPr>
                <w:color w:val="0000CC"/>
                <w:sz w:val="20"/>
                <w:szCs w:val="18"/>
                <w:lang w:val="en-GB"/>
              </w:rPr>
            </w:pPr>
            <w:r>
              <w:rPr>
                <w:color w:val="0000CC"/>
                <w:sz w:val="20"/>
                <w:szCs w:val="18"/>
                <w:lang w:val="en-GB"/>
              </w:rPr>
              <w:t>[</w:t>
            </w:r>
            <w:r w:rsidR="00727639">
              <w:rPr>
                <w:color w:val="0000CC"/>
                <w:sz w:val="20"/>
                <w:szCs w:val="18"/>
                <w:lang w:val="en-GB"/>
              </w:rPr>
              <w:t>0.000</w:t>
            </w:r>
            <w:r>
              <w:rPr>
                <w:color w:val="0000CC"/>
                <w:sz w:val="20"/>
                <w:szCs w:val="18"/>
                <w:lang w:val="en-GB"/>
              </w:rPr>
              <w:t>]</w:t>
            </w:r>
          </w:p>
        </w:tc>
        <w:tc>
          <w:tcPr>
            <w:tcW w:w="1631" w:type="dxa"/>
          </w:tcPr>
          <w:p w14:paraId="1C56747D" w14:textId="1AC2897A" w:rsidR="00BC62E0" w:rsidRPr="00950C21" w:rsidRDefault="00BC62E0" w:rsidP="00BC62E0">
            <w:pPr>
              <w:spacing w:line="360" w:lineRule="auto"/>
              <w:cnfStyle w:val="000000000000" w:firstRow="0" w:lastRow="0" w:firstColumn="0" w:lastColumn="0" w:oddVBand="0" w:evenVBand="0" w:oddHBand="0" w:evenHBand="0" w:firstRowFirstColumn="0" w:firstRowLastColumn="0" w:lastRowFirstColumn="0" w:lastRowLastColumn="0"/>
              <w:rPr>
                <w:color w:val="0000CC"/>
                <w:sz w:val="20"/>
                <w:szCs w:val="18"/>
                <w:lang w:val="en-GB"/>
              </w:rPr>
            </w:pPr>
            <w:r>
              <w:rPr>
                <w:color w:val="0000CC"/>
                <w:sz w:val="20"/>
                <w:szCs w:val="18"/>
                <w:lang w:val="en-GB"/>
              </w:rPr>
              <w:t>[</w:t>
            </w:r>
            <w:r w:rsidR="00727639">
              <w:rPr>
                <w:color w:val="0000CC"/>
                <w:sz w:val="20"/>
                <w:szCs w:val="18"/>
                <w:lang w:val="en-GB"/>
              </w:rPr>
              <w:t>0.002</w:t>
            </w:r>
            <w:r>
              <w:rPr>
                <w:color w:val="0000CC"/>
                <w:sz w:val="20"/>
                <w:szCs w:val="18"/>
                <w:lang w:val="en-GB"/>
              </w:rPr>
              <w:t>]</w:t>
            </w:r>
          </w:p>
        </w:tc>
      </w:tr>
      <w:tr w:rsidR="00BC62E0" w:rsidRPr="00950C21" w14:paraId="6F689C99" w14:textId="2ACA0FAF" w:rsidTr="00C841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9" w:type="dxa"/>
          </w:tcPr>
          <w:p w14:paraId="1BE1982C" w14:textId="6CEF1D42" w:rsidR="00BC62E0" w:rsidRPr="00950C21" w:rsidRDefault="00BC62E0" w:rsidP="00BC62E0">
            <w:pPr>
              <w:spacing w:line="360" w:lineRule="auto"/>
              <w:rPr>
                <w:b w:val="0"/>
                <w:bCs w:val="0"/>
                <w:color w:val="0000CC"/>
                <w:sz w:val="20"/>
                <w:szCs w:val="18"/>
                <w:lang w:val="en-GB"/>
              </w:rPr>
            </w:pPr>
            <w:r w:rsidRPr="00950C21">
              <w:rPr>
                <w:b w:val="0"/>
                <w:bCs w:val="0"/>
                <w:color w:val="0000CC"/>
                <w:sz w:val="20"/>
                <w:szCs w:val="18"/>
                <w:lang w:val="en-GB"/>
              </w:rPr>
              <w:t xml:space="preserve">GB </w:t>
            </w:r>
            <w:r w:rsidRPr="00950C21">
              <w:rPr>
                <w:rFonts w:cs="Times New Roman"/>
                <w:b w:val="0"/>
                <w:bCs w:val="0"/>
                <w:color w:val="0000CC"/>
                <w:sz w:val="20"/>
                <w:szCs w:val="18"/>
                <w:lang w:val="en-GB"/>
              </w:rPr>
              <w:t>→</w:t>
            </w:r>
            <w:r w:rsidRPr="00950C21">
              <w:rPr>
                <w:b w:val="0"/>
                <w:bCs w:val="0"/>
                <w:color w:val="0000CC"/>
                <w:sz w:val="20"/>
                <w:szCs w:val="18"/>
                <w:lang w:val="en-GB"/>
              </w:rPr>
              <w:t>WTI</w:t>
            </w:r>
          </w:p>
        </w:tc>
        <w:tc>
          <w:tcPr>
            <w:tcW w:w="2340" w:type="dxa"/>
          </w:tcPr>
          <w:p w14:paraId="2C526139" w14:textId="2669A4DA" w:rsidR="00BC62E0" w:rsidRPr="00950C21" w:rsidRDefault="00727639" w:rsidP="00BC62E0">
            <w:pPr>
              <w:spacing w:line="360" w:lineRule="auto"/>
              <w:cnfStyle w:val="000000100000" w:firstRow="0" w:lastRow="0" w:firstColumn="0" w:lastColumn="0" w:oddVBand="0" w:evenVBand="0" w:oddHBand="1" w:evenHBand="0" w:firstRowFirstColumn="0" w:firstRowLastColumn="0" w:lastRowFirstColumn="0" w:lastRowLastColumn="0"/>
              <w:rPr>
                <w:color w:val="0000CC"/>
                <w:sz w:val="20"/>
                <w:szCs w:val="18"/>
                <w:lang w:val="en-GB"/>
              </w:rPr>
            </w:pPr>
            <w:r>
              <w:rPr>
                <w:color w:val="0000CC"/>
                <w:sz w:val="20"/>
                <w:szCs w:val="18"/>
                <w:lang w:val="en-GB"/>
              </w:rPr>
              <w:t>0.984</w:t>
            </w:r>
          </w:p>
        </w:tc>
        <w:tc>
          <w:tcPr>
            <w:tcW w:w="1631" w:type="dxa"/>
          </w:tcPr>
          <w:p w14:paraId="29B5F665" w14:textId="2FFC89AE" w:rsidR="00BC62E0" w:rsidRPr="00950C21" w:rsidRDefault="00727639" w:rsidP="00BC62E0">
            <w:pPr>
              <w:spacing w:line="360" w:lineRule="auto"/>
              <w:cnfStyle w:val="000000100000" w:firstRow="0" w:lastRow="0" w:firstColumn="0" w:lastColumn="0" w:oddVBand="0" w:evenVBand="0" w:oddHBand="1" w:evenHBand="0" w:firstRowFirstColumn="0" w:firstRowLastColumn="0" w:lastRowFirstColumn="0" w:lastRowLastColumn="0"/>
              <w:rPr>
                <w:color w:val="0000CC"/>
                <w:sz w:val="20"/>
                <w:szCs w:val="18"/>
                <w:lang w:val="en-GB"/>
              </w:rPr>
            </w:pPr>
            <w:r>
              <w:rPr>
                <w:color w:val="0000CC"/>
                <w:sz w:val="20"/>
                <w:szCs w:val="18"/>
                <w:lang w:val="en-GB"/>
              </w:rPr>
              <w:t>1.437</w:t>
            </w:r>
          </w:p>
        </w:tc>
      </w:tr>
      <w:tr w:rsidR="009D1F52" w:rsidRPr="009D1F52" w14:paraId="11AEDFF8" w14:textId="77777777" w:rsidTr="00C841B8">
        <w:trPr>
          <w:jc w:val="center"/>
        </w:trPr>
        <w:tc>
          <w:tcPr>
            <w:cnfStyle w:val="001000000000" w:firstRow="0" w:lastRow="0" w:firstColumn="1" w:lastColumn="0" w:oddVBand="0" w:evenVBand="0" w:oddHBand="0" w:evenHBand="0" w:firstRowFirstColumn="0" w:firstRowLastColumn="0" w:lastRowFirstColumn="0" w:lastRowLastColumn="0"/>
            <w:tcW w:w="2239" w:type="dxa"/>
          </w:tcPr>
          <w:p w14:paraId="3CB83B68" w14:textId="77777777" w:rsidR="00BC62E0" w:rsidRPr="009D1F52" w:rsidRDefault="00BC62E0" w:rsidP="00BC62E0">
            <w:pPr>
              <w:spacing w:line="360" w:lineRule="auto"/>
              <w:rPr>
                <w:color w:val="0000CC"/>
                <w:sz w:val="20"/>
                <w:szCs w:val="18"/>
                <w:lang w:val="en-GB"/>
              </w:rPr>
            </w:pPr>
          </w:p>
        </w:tc>
        <w:tc>
          <w:tcPr>
            <w:tcW w:w="2340" w:type="dxa"/>
          </w:tcPr>
          <w:p w14:paraId="02CBDB07" w14:textId="4EFDBC5F" w:rsidR="00BC62E0" w:rsidRPr="009D1F52" w:rsidRDefault="00BC62E0" w:rsidP="00BC62E0">
            <w:pPr>
              <w:spacing w:line="360" w:lineRule="auto"/>
              <w:cnfStyle w:val="000000000000" w:firstRow="0" w:lastRow="0" w:firstColumn="0" w:lastColumn="0" w:oddVBand="0" w:evenVBand="0" w:oddHBand="0" w:evenHBand="0" w:firstRowFirstColumn="0" w:firstRowLastColumn="0" w:lastRowFirstColumn="0" w:lastRowLastColumn="0"/>
              <w:rPr>
                <w:color w:val="0000CC"/>
                <w:sz w:val="20"/>
                <w:szCs w:val="18"/>
                <w:lang w:val="en-GB"/>
              </w:rPr>
            </w:pPr>
            <w:r w:rsidRPr="009D1F52">
              <w:rPr>
                <w:color w:val="0000CC"/>
                <w:sz w:val="20"/>
                <w:szCs w:val="18"/>
                <w:lang w:val="en-GB"/>
              </w:rPr>
              <w:t>[</w:t>
            </w:r>
            <w:r w:rsidR="00727639" w:rsidRPr="009D1F52">
              <w:rPr>
                <w:color w:val="0000CC"/>
                <w:sz w:val="20"/>
                <w:szCs w:val="18"/>
                <w:lang w:val="en-GB"/>
              </w:rPr>
              <w:t>0.092</w:t>
            </w:r>
            <w:r w:rsidRPr="009D1F52">
              <w:rPr>
                <w:color w:val="0000CC"/>
                <w:sz w:val="20"/>
                <w:szCs w:val="18"/>
                <w:lang w:val="en-GB"/>
              </w:rPr>
              <w:t>]</w:t>
            </w:r>
          </w:p>
        </w:tc>
        <w:tc>
          <w:tcPr>
            <w:tcW w:w="1631" w:type="dxa"/>
          </w:tcPr>
          <w:p w14:paraId="619E51A4" w14:textId="45FB2591" w:rsidR="00BC62E0" w:rsidRPr="009D1F52" w:rsidRDefault="00BC62E0" w:rsidP="00BC62E0">
            <w:pPr>
              <w:spacing w:line="360" w:lineRule="auto"/>
              <w:cnfStyle w:val="000000000000" w:firstRow="0" w:lastRow="0" w:firstColumn="0" w:lastColumn="0" w:oddVBand="0" w:evenVBand="0" w:oddHBand="0" w:evenHBand="0" w:firstRowFirstColumn="0" w:firstRowLastColumn="0" w:lastRowFirstColumn="0" w:lastRowLastColumn="0"/>
              <w:rPr>
                <w:color w:val="0000CC"/>
                <w:sz w:val="20"/>
                <w:szCs w:val="18"/>
                <w:lang w:val="en-GB"/>
              </w:rPr>
            </w:pPr>
            <w:r w:rsidRPr="009D1F52">
              <w:rPr>
                <w:color w:val="0000CC"/>
                <w:sz w:val="20"/>
                <w:szCs w:val="18"/>
                <w:lang w:val="en-GB"/>
              </w:rPr>
              <w:t>[</w:t>
            </w:r>
            <w:r w:rsidR="00727639" w:rsidRPr="009D1F52">
              <w:rPr>
                <w:color w:val="0000CC"/>
                <w:sz w:val="20"/>
                <w:szCs w:val="18"/>
                <w:lang w:val="en-GB"/>
              </w:rPr>
              <w:t>0.130</w:t>
            </w:r>
            <w:r w:rsidRPr="009D1F52">
              <w:rPr>
                <w:color w:val="0000CC"/>
                <w:sz w:val="20"/>
                <w:szCs w:val="18"/>
                <w:lang w:val="en-GB"/>
              </w:rPr>
              <w:t>]</w:t>
            </w:r>
          </w:p>
        </w:tc>
      </w:tr>
    </w:tbl>
    <w:p w14:paraId="3B0EAF51" w14:textId="470667F7" w:rsidR="009F041E" w:rsidRPr="00173C25" w:rsidRDefault="00BC62E0" w:rsidP="00173C25">
      <w:pPr>
        <w:jc w:val="center"/>
        <w:rPr>
          <w:color w:val="0000CC"/>
          <w:sz w:val="20"/>
          <w:szCs w:val="18"/>
          <w:lang w:val="en-GB"/>
        </w:rPr>
      </w:pPr>
      <w:r w:rsidRPr="00173C25">
        <w:rPr>
          <w:color w:val="0000CC"/>
          <w:sz w:val="20"/>
          <w:szCs w:val="18"/>
          <w:lang w:val="en-GB"/>
        </w:rPr>
        <w:t>Notes: T</w:t>
      </w:r>
      <w:r w:rsidR="009D1F52" w:rsidRPr="00173C25">
        <w:rPr>
          <w:color w:val="0000CC"/>
          <w:sz w:val="20"/>
          <w:szCs w:val="18"/>
          <w:lang w:val="en-GB"/>
        </w:rPr>
        <w:t>-</w:t>
      </w:r>
      <w:r w:rsidRPr="00173C25">
        <w:rPr>
          <w:color w:val="0000CC"/>
          <w:sz w:val="20"/>
          <w:szCs w:val="18"/>
          <w:lang w:val="en-GB"/>
        </w:rPr>
        <w:t>statistics and p-values (in brackets)</w:t>
      </w:r>
      <w:r w:rsidR="009D1F52" w:rsidRPr="00173C25">
        <w:rPr>
          <w:color w:val="0000CC"/>
          <w:sz w:val="20"/>
          <w:szCs w:val="18"/>
          <w:lang w:val="en-GB"/>
        </w:rPr>
        <w:t xml:space="preserve"> reported</w:t>
      </w:r>
      <w:r w:rsidRPr="00173C25">
        <w:rPr>
          <w:color w:val="0000CC"/>
          <w:sz w:val="20"/>
          <w:szCs w:val="18"/>
          <w:lang w:val="en-GB"/>
        </w:rPr>
        <w:t>. *** &lt; 0.001, ** &lt; 0.05, * &lt; 0.1</w:t>
      </w:r>
    </w:p>
    <w:p w14:paraId="4E5564D8" w14:textId="752A8412" w:rsidR="007A33BB" w:rsidRPr="00692F3F" w:rsidRDefault="0021026E" w:rsidP="00692F3F">
      <w:pPr>
        <w:jc w:val="both"/>
      </w:pPr>
      <w:r w:rsidRPr="006F5452">
        <w:tab/>
      </w:r>
      <w:r w:rsidR="007A33BB" w:rsidRPr="00086D04">
        <w:rPr>
          <w:color w:val="0000CC"/>
          <w:lang w:val="en-GB"/>
        </w:rPr>
        <w:t xml:space="preserve">The results show that USEPU has </w:t>
      </w:r>
      <w:r w:rsidR="005D7330">
        <w:rPr>
          <w:color w:val="0000CC"/>
          <w:lang w:val="en-GB"/>
        </w:rPr>
        <w:t xml:space="preserve">a </w:t>
      </w:r>
      <w:r w:rsidR="00086D04" w:rsidRPr="00086D04">
        <w:rPr>
          <w:color w:val="0000CC"/>
          <w:lang w:val="en-GB"/>
        </w:rPr>
        <w:t>u</w:t>
      </w:r>
      <w:r w:rsidR="005D7330">
        <w:rPr>
          <w:color w:val="0000CC"/>
          <w:lang w:val="en-GB"/>
        </w:rPr>
        <w:t>nidirecti</w:t>
      </w:r>
      <w:r w:rsidR="00086D04" w:rsidRPr="00086D04">
        <w:rPr>
          <w:color w:val="0000CC"/>
          <w:lang w:val="en-GB"/>
        </w:rPr>
        <w:t xml:space="preserve">onal </w:t>
      </w:r>
      <w:r w:rsidR="007A33BB" w:rsidRPr="00086D04">
        <w:rPr>
          <w:color w:val="0000CC"/>
          <w:lang w:val="en-GB"/>
        </w:rPr>
        <w:t xml:space="preserve">causal effect on green bond returns. </w:t>
      </w:r>
      <w:r w:rsidR="00882C30">
        <w:rPr>
          <w:color w:val="0000CC"/>
          <w:lang w:val="en-GB"/>
        </w:rPr>
        <w:t>As a market force, the policy news swiftly affect</w:t>
      </w:r>
      <w:r w:rsidR="005D7330">
        <w:rPr>
          <w:color w:val="0000CC"/>
          <w:lang w:val="en-GB"/>
        </w:rPr>
        <w:t>s</w:t>
      </w:r>
      <w:r w:rsidR="00882C30">
        <w:rPr>
          <w:color w:val="0000CC"/>
          <w:lang w:val="en-GB"/>
        </w:rPr>
        <w:t xml:space="preserve"> the investors’ reactions. </w:t>
      </w:r>
      <w:r w:rsidR="00E36BEC">
        <w:rPr>
          <w:color w:val="0000CC"/>
          <w:lang w:val="en-GB"/>
        </w:rPr>
        <w:t xml:space="preserve">For example, United Nations Climate Change Conference (COP26 and </w:t>
      </w:r>
      <w:r w:rsidR="005D7330">
        <w:rPr>
          <w:color w:val="0000CC"/>
          <w:lang w:val="en-GB"/>
        </w:rPr>
        <w:t>COP</w:t>
      </w:r>
      <w:r w:rsidR="00E36BEC">
        <w:rPr>
          <w:color w:val="0000CC"/>
          <w:lang w:val="en-GB"/>
        </w:rPr>
        <w:t xml:space="preserve">27) </w:t>
      </w:r>
      <w:r w:rsidR="00805DA9">
        <w:rPr>
          <w:color w:val="0000CC"/>
          <w:lang w:val="en-GB"/>
        </w:rPr>
        <w:t xml:space="preserve">has positively influenced </w:t>
      </w:r>
      <w:r w:rsidR="001F314A">
        <w:rPr>
          <w:color w:val="0000CC"/>
          <w:lang w:val="en-GB"/>
        </w:rPr>
        <w:t>green bond investors</w:t>
      </w:r>
      <w:r w:rsidR="00953E13">
        <w:rPr>
          <w:color w:val="0000CC"/>
          <w:lang w:val="en-GB"/>
        </w:rPr>
        <w:t xml:space="preserve"> by committing to zero-emission by 2035 in the leading markets globally</w:t>
      </w:r>
      <w:r w:rsidR="005D7330">
        <w:rPr>
          <w:color w:val="0000CC"/>
          <w:lang w:val="en-GB"/>
        </w:rPr>
        <w:t>, as seen from the green bond market growth</w:t>
      </w:r>
      <w:r w:rsidR="006A400B">
        <w:rPr>
          <w:color w:val="0000CC"/>
          <w:lang w:val="en-GB"/>
        </w:rPr>
        <w:t xml:space="preserve"> (Dogan et al., 2022)</w:t>
      </w:r>
      <w:r w:rsidR="00E36BEC">
        <w:rPr>
          <w:color w:val="0000CC"/>
          <w:lang w:val="en-GB"/>
        </w:rPr>
        <w:t xml:space="preserve">. </w:t>
      </w:r>
      <w:r w:rsidR="001F314A">
        <w:rPr>
          <w:color w:val="0000CC"/>
          <w:lang w:val="en-GB"/>
        </w:rPr>
        <w:t xml:space="preserve">Our results also indicate </w:t>
      </w:r>
      <w:r w:rsidR="00023B1D">
        <w:rPr>
          <w:color w:val="0000CC"/>
          <w:lang w:val="en-GB"/>
        </w:rPr>
        <w:t xml:space="preserve">that the </w:t>
      </w:r>
      <w:r w:rsidR="00023B1D">
        <w:rPr>
          <w:color w:val="0000CC"/>
          <w:lang w:val="en-GB"/>
        </w:rPr>
        <w:lastRenderedPageBreak/>
        <w:t>US economic policy uncertainty affects green bond returns</w:t>
      </w:r>
      <w:r w:rsidR="005D7330">
        <w:rPr>
          <w:color w:val="0000CC"/>
          <w:lang w:val="en-GB"/>
        </w:rPr>
        <w:t>,</w:t>
      </w:r>
      <w:r w:rsidR="00023B1D">
        <w:rPr>
          <w:color w:val="0000CC"/>
          <w:lang w:val="en-GB"/>
        </w:rPr>
        <w:t xml:space="preserve"> whereas the green bond returns have no causal effects on US economic policy uncertainty.</w:t>
      </w:r>
      <w:r w:rsidR="00692F3F">
        <w:rPr>
          <w:color w:val="0000CC"/>
          <w:lang w:val="en-GB"/>
        </w:rPr>
        <w:t xml:space="preserve"> This finding is consistent with (</w:t>
      </w:r>
      <w:r w:rsidR="00692F3F" w:rsidRPr="00692F3F">
        <w:rPr>
          <w:rFonts w:cs="Times New Roman"/>
          <w:color w:val="0000CC"/>
          <w:szCs w:val="24"/>
        </w:rPr>
        <w:fldChar w:fldCharType="begin"/>
      </w:r>
      <w:r w:rsidR="00E97657">
        <w:rPr>
          <w:rFonts w:cs="Times New Roman"/>
          <w:color w:val="0000CC"/>
          <w:szCs w:val="24"/>
        </w:rPr>
        <w:instrText xml:space="preserve"> ADDIN EN.CITE &lt;EndNote&gt;&lt;Cite AuthorYear="1"&gt;&lt;Author&gt;Wei&lt;/Author&gt;&lt;Year&gt;2022&lt;/Year&gt;&lt;RecNum&gt;25&lt;/RecNum&gt;&lt;DisplayText&gt;Wei et al. (2022)&lt;/DisplayText&gt;&lt;record&gt;&lt;rec-number&gt;25&lt;/rec-number&gt;&lt;foreign-keys&gt;&lt;key app="EN" db-id="azfxvt991df2r2ew2adxzdekws2tx55feewr" timestamp="1663925454"&gt;25&lt;/key&gt;&lt;/foreign-keys&gt;&lt;ref-type name="Journal Article"&gt;17&lt;/ref-type&gt;&lt;contributors&gt;&lt;authors&gt;&lt;author&gt;Wei, Wei&lt;/author&gt;&lt;author&gt;Hu, Haiqing&lt;/author&gt;&lt;author&gt;Chang, Chun-Ping&lt;/author&gt;&lt;/authors&gt;&lt;/contributors&gt;&lt;titles&gt;&lt;title&gt;Why the same degree of economic policy uncertainty can produce different outcomes in energy efficiency? New evidence from China&lt;/title&gt;&lt;secondary-title&gt;Structural Change and Economic Dynamics&lt;/secondary-title&gt;&lt;/titles&gt;&lt;periodical&gt;&lt;full-title&gt;Structural Change and Economic Dynamics&lt;/full-title&gt;&lt;/periodical&gt;&lt;pages&gt;467-481&lt;/pages&gt;&lt;volume&gt;60&lt;/volume&gt;&lt;dates&gt;&lt;year&gt;2022&lt;/year&gt;&lt;/dates&gt;&lt;isbn&gt;0954-349X&lt;/isbn&gt;&lt;urls&gt;&lt;/urls&gt;&lt;/record&gt;&lt;/Cite&gt;&lt;/EndNote&gt;</w:instrText>
      </w:r>
      <w:r w:rsidR="00692F3F" w:rsidRPr="00692F3F">
        <w:rPr>
          <w:rFonts w:cs="Times New Roman"/>
          <w:color w:val="0000CC"/>
          <w:szCs w:val="24"/>
        </w:rPr>
        <w:fldChar w:fldCharType="separate"/>
      </w:r>
      <w:r w:rsidR="00E97657">
        <w:rPr>
          <w:rFonts w:cs="Times New Roman"/>
          <w:noProof/>
          <w:color w:val="0000CC"/>
          <w:szCs w:val="24"/>
        </w:rPr>
        <w:t>Wei et al. (2022)</w:t>
      </w:r>
      <w:r w:rsidR="00692F3F" w:rsidRPr="00692F3F">
        <w:rPr>
          <w:rFonts w:cs="Times New Roman"/>
          <w:color w:val="0000CC"/>
          <w:szCs w:val="24"/>
        </w:rPr>
        <w:fldChar w:fldCharType="end"/>
      </w:r>
      <w:r w:rsidR="0077547B">
        <w:rPr>
          <w:rFonts w:cs="Times New Roman"/>
          <w:color w:val="0000CC"/>
          <w:szCs w:val="24"/>
        </w:rPr>
        <w:t>.</w:t>
      </w:r>
      <w:r w:rsidR="00023B1D" w:rsidRPr="00692F3F">
        <w:rPr>
          <w:color w:val="0000CC"/>
          <w:lang w:val="en-GB"/>
        </w:rPr>
        <w:t xml:space="preserve"> </w:t>
      </w:r>
      <w:r w:rsidR="00086D04" w:rsidRPr="00086D04">
        <w:rPr>
          <w:color w:val="0000CC"/>
          <w:lang w:val="en-GB"/>
        </w:rPr>
        <w:t>Geopolitical threats ha</w:t>
      </w:r>
      <w:r w:rsidR="005D7330">
        <w:rPr>
          <w:color w:val="0000CC"/>
          <w:lang w:val="en-GB"/>
        </w:rPr>
        <w:t>ve</w:t>
      </w:r>
      <w:r w:rsidR="00086D04" w:rsidRPr="00086D04">
        <w:rPr>
          <w:color w:val="0000CC"/>
          <w:lang w:val="en-GB"/>
        </w:rPr>
        <w:t xml:space="preserve"> no causal relationship with green bond returns</w:t>
      </w:r>
      <w:r w:rsidR="005D7330">
        <w:rPr>
          <w:color w:val="0000CC"/>
          <w:lang w:val="en-GB"/>
        </w:rPr>
        <w:t>,</w:t>
      </w:r>
      <w:r w:rsidR="00086D04" w:rsidRPr="00086D04">
        <w:rPr>
          <w:color w:val="0000CC"/>
          <w:lang w:val="en-GB"/>
        </w:rPr>
        <w:t xml:space="preserve"> whereas geopolitical acts </w:t>
      </w:r>
      <w:r w:rsidR="005D7330">
        <w:rPr>
          <w:color w:val="0000CC"/>
          <w:lang w:val="en-GB"/>
        </w:rPr>
        <w:t xml:space="preserve">have </w:t>
      </w:r>
      <w:r w:rsidR="00086D04" w:rsidRPr="00086D04">
        <w:rPr>
          <w:color w:val="0000CC"/>
          <w:lang w:val="en-GB"/>
        </w:rPr>
        <w:t xml:space="preserve">unidirectional causal effects on green bond returns. </w:t>
      </w:r>
      <w:r w:rsidR="00086D04">
        <w:rPr>
          <w:color w:val="0000CC"/>
          <w:lang w:val="en-GB"/>
        </w:rPr>
        <w:t>However, WTI has bidirectional Granger causality with green bond returns</w:t>
      </w:r>
      <w:r w:rsidR="00692F3F">
        <w:rPr>
          <w:color w:val="0000CC"/>
          <w:lang w:val="en-GB"/>
        </w:rPr>
        <w:t xml:space="preserve">, supporting the finding of </w:t>
      </w:r>
      <w:r w:rsidR="00692F3F" w:rsidRPr="00692F3F">
        <w:rPr>
          <w:rFonts w:cs="Times New Roman"/>
          <w:color w:val="0000CC"/>
          <w:szCs w:val="24"/>
        </w:rPr>
        <w:fldChar w:fldCharType="begin"/>
      </w:r>
      <w:r w:rsidR="00692F3F" w:rsidRPr="00692F3F">
        <w:rPr>
          <w:rFonts w:cs="Times New Roman"/>
          <w:color w:val="0000CC"/>
          <w:szCs w:val="24"/>
        </w:rPr>
        <w:instrText xml:space="preserve"> ADDIN EN.CITE &lt;EndNote&gt;&lt;Cite AuthorYear="1"&gt;&lt;Author&gt;Dutta&lt;/Author&gt;&lt;Year&gt;2020&lt;/Year&gt;&lt;RecNum&gt;51&lt;/RecNum&gt;&lt;DisplayText&gt;Dutta et al. (2020)&lt;/DisplayText&gt;&lt;record&gt;&lt;rec-number&gt;51&lt;/rec-number&gt;&lt;foreign-keys&gt;&lt;key app="EN" db-id="azfxvt991df2r2ew2adxzdekws2tx55feewr" timestamp="1663930563"&gt;51&lt;/key&gt;&lt;/foreign-keys&gt;&lt;ref-type name="Journal Article"&gt;17&lt;/ref-type&gt;&lt;contributors&gt;&lt;authors&gt;&lt;author&gt;Dutta, Anupam&lt;/author&gt;&lt;author&gt;Jana, RK&lt;/author&gt;&lt;author&gt;Das, Debojyoti&lt;/author&gt;&lt;/authors&gt;&lt;/contributors&gt;&lt;titles&gt;&lt;title&gt;Do green investments react to oil price shocks? Implications for sustainable development&lt;/title&gt;&lt;secondary-title&gt;Journal of Cleaner Production&lt;/secondary-title&gt;&lt;/titles&gt;&lt;periodical&gt;&lt;full-title&gt;Journal of Cleaner Production&lt;/full-title&gt;&lt;/periodical&gt;&lt;pages&gt;121956&lt;/pages&gt;&lt;volume&gt;266&lt;/volume&gt;&lt;dates&gt;&lt;year&gt;2020&lt;/year&gt;&lt;/dates&gt;&lt;isbn&gt;0959-6526&lt;/isbn&gt;&lt;urls&gt;&lt;/urls&gt;&lt;/record&gt;&lt;/Cite&gt;&lt;/EndNote&gt;</w:instrText>
      </w:r>
      <w:r w:rsidR="00692F3F" w:rsidRPr="00692F3F">
        <w:rPr>
          <w:rFonts w:cs="Times New Roman"/>
          <w:color w:val="0000CC"/>
          <w:szCs w:val="24"/>
        </w:rPr>
        <w:fldChar w:fldCharType="separate"/>
      </w:r>
      <w:r w:rsidR="00692F3F" w:rsidRPr="00692F3F">
        <w:rPr>
          <w:rFonts w:cs="Times New Roman"/>
          <w:noProof/>
          <w:color w:val="0000CC"/>
          <w:szCs w:val="24"/>
        </w:rPr>
        <w:t>Dutta et al. (2020)</w:t>
      </w:r>
      <w:r w:rsidR="00692F3F" w:rsidRPr="00692F3F">
        <w:rPr>
          <w:rFonts w:cs="Times New Roman"/>
          <w:color w:val="0000CC"/>
          <w:szCs w:val="24"/>
        </w:rPr>
        <w:fldChar w:fldCharType="end"/>
      </w:r>
      <w:r w:rsidR="004A63F6">
        <w:rPr>
          <w:rFonts w:cs="Times New Roman"/>
          <w:color w:val="0000CC"/>
          <w:szCs w:val="24"/>
        </w:rPr>
        <w:t xml:space="preserve"> and</w:t>
      </w:r>
      <w:r w:rsidR="00692F3F" w:rsidRPr="00692F3F">
        <w:rPr>
          <w:rFonts w:cs="Times New Roman"/>
          <w:color w:val="0000CC"/>
          <w:szCs w:val="24"/>
        </w:rPr>
        <w:t xml:space="preserve"> </w:t>
      </w:r>
      <w:r w:rsidR="00692F3F" w:rsidRPr="00692F3F">
        <w:rPr>
          <w:rFonts w:cs="Times New Roman"/>
          <w:noProof/>
          <w:color w:val="0000CC"/>
          <w:szCs w:val="24"/>
        </w:rPr>
        <w:t>Shang et al.</w:t>
      </w:r>
      <w:r w:rsidR="004A63F6">
        <w:rPr>
          <w:rFonts w:cs="Times New Roman"/>
          <w:noProof/>
          <w:color w:val="0000CC"/>
          <w:szCs w:val="24"/>
        </w:rPr>
        <w:t xml:space="preserve"> (</w:t>
      </w:r>
      <w:r w:rsidR="00692F3F" w:rsidRPr="00692F3F">
        <w:rPr>
          <w:rFonts w:cs="Times New Roman"/>
          <w:noProof/>
          <w:color w:val="0000CC"/>
          <w:szCs w:val="24"/>
        </w:rPr>
        <w:t>2022)</w:t>
      </w:r>
      <w:r w:rsidR="00086D04" w:rsidRPr="00692F3F">
        <w:rPr>
          <w:color w:val="0000CC"/>
          <w:lang w:val="en-GB"/>
        </w:rPr>
        <w:t>.</w:t>
      </w:r>
      <w:r w:rsidR="00086D04">
        <w:rPr>
          <w:color w:val="0000CC"/>
          <w:lang w:val="en-GB"/>
        </w:rPr>
        <w:t xml:space="preserve"> </w:t>
      </w:r>
      <w:r w:rsidR="00A00656">
        <w:rPr>
          <w:color w:val="0000CC"/>
          <w:lang w:val="en-GB"/>
        </w:rPr>
        <w:t xml:space="preserve">Crude oil is a </w:t>
      </w:r>
      <w:r w:rsidR="005D7330">
        <w:rPr>
          <w:color w:val="0000CC"/>
          <w:lang w:val="en-GB"/>
        </w:rPr>
        <w:t>leading</w:t>
      </w:r>
      <w:r w:rsidR="00A00656">
        <w:rPr>
          <w:color w:val="0000CC"/>
          <w:lang w:val="en-GB"/>
        </w:rPr>
        <w:t xml:space="preserve"> source </w:t>
      </w:r>
      <w:r w:rsidR="005D7330">
        <w:rPr>
          <w:color w:val="0000CC"/>
          <w:lang w:val="en-GB"/>
        </w:rPr>
        <w:t xml:space="preserve">of </w:t>
      </w:r>
      <w:r w:rsidR="00A00656">
        <w:rPr>
          <w:color w:val="0000CC"/>
          <w:lang w:val="en-GB"/>
        </w:rPr>
        <w:t xml:space="preserve">fossil energy and </w:t>
      </w:r>
      <w:r w:rsidR="005D7330">
        <w:rPr>
          <w:color w:val="0000CC"/>
          <w:lang w:val="en-GB"/>
        </w:rPr>
        <w:t xml:space="preserve">is </w:t>
      </w:r>
      <w:r w:rsidR="00A00656">
        <w:rPr>
          <w:color w:val="0000CC"/>
          <w:lang w:val="en-GB"/>
        </w:rPr>
        <w:t>thus mainly used by the power-intensive industry.</w:t>
      </w:r>
      <w:r w:rsidR="00397728">
        <w:rPr>
          <w:color w:val="0000CC"/>
          <w:lang w:val="en-GB"/>
        </w:rPr>
        <w:t xml:space="preserve"> As closely linked with carbon emissions, WTI crude oil is opposite to green bond investment</w:t>
      </w:r>
      <w:r w:rsidR="004A63F6">
        <w:rPr>
          <w:color w:val="0000CC"/>
          <w:lang w:val="en-GB"/>
        </w:rPr>
        <w:t xml:space="preserve"> (</w:t>
      </w:r>
      <w:r w:rsidR="004A63F6" w:rsidRPr="004A63F6">
        <w:rPr>
          <w:color w:val="0000CC"/>
        </w:rPr>
        <w:t>Shahbaz</w:t>
      </w:r>
      <w:r w:rsidR="004A63F6">
        <w:rPr>
          <w:color w:val="0000CC"/>
        </w:rPr>
        <w:t xml:space="preserve"> et al., 2020</w:t>
      </w:r>
      <w:r w:rsidR="004A63F6">
        <w:rPr>
          <w:color w:val="0000CC"/>
          <w:lang w:val="en-GB"/>
        </w:rPr>
        <w:t>)</w:t>
      </w:r>
      <w:r w:rsidR="00397728">
        <w:rPr>
          <w:color w:val="0000CC"/>
          <w:lang w:val="en-GB"/>
        </w:rPr>
        <w:t xml:space="preserve">. Thus, </w:t>
      </w:r>
      <w:r w:rsidR="005D7330">
        <w:rPr>
          <w:color w:val="0000CC"/>
          <w:lang w:val="en-GB"/>
        </w:rPr>
        <w:t>with increases</w:t>
      </w:r>
      <w:r w:rsidR="00397728">
        <w:rPr>
          <w:color w:val="0000CC"/>
          <w:lang w:val="en-GB"/>
        </w:rPr>
        <w:t xml:space="preserve"> and decreases in WTI prices, green bond prices may fluctuate</w:t>
      </w:r>
      <w:r w:rsidR="00157CA8">
        <w:rPr>
          <w:color w:val="0000CC"/>
          <w:lang w:val="en-GB"/>
        </w:rPr>
        <w:t xml:space="preserve"> and vice-vers</w:t>
      </w:r>
      <w:r w:rsidR="00FD6EC1">
        <w:rPr>
          <w:color w:val="0000CC"/>
          <w:lang w:val="en-GB"/>
        </w:rPr>
        <w:t>a. Nonlinear causality supports the bidirectional causal relationship.</w:t>
      </w:r>
      <w:r w:rsidR="00397728">
        <w:rPr>
          <w:color w:val="0000CC"/>
          <w:lang w:val="en-GB"/>
        </w:rPr>
        <w:t xml:space="preserve"> </w:t>
      </w:r>
      <w:r w:rsidR="005D7330">
        <w:rPr>
          <w:color w:val="0000CC"/>
          <w:lang w:val="en-GB"/>
        </w:rPr>
        <w:t xml:space="preserve">Most importantly, this result is </w:t>
      </w:r>
      <w:r w:rsidR="004A63F6">
        <w:rPr>
          <w:color w:val="0000CC"/>
          <w:lang w:val="en-GB"/>
        </w:rPr>
        <w:t>aligned</w:t>
      </w:r>
      <w:r w:rsidR="005D7330">
        <w:rPr>
          <w:color w:val="0000CC"/>
          <w:lang w:val="en-GB"/>
        </w:rPr>
        <w:t xml:space="preserve"> with the COP26 </w:t>
      </w:r>
      <w:r w:rsidR="004A63F6">
        <w:rPr>
          <w:color w:val="0000CC"/>
          <w:lang w:val="en-GB"/>
        </w:rPr>
        <w:t>commitment</w:t>
      </w:r>
      <w:r w:rsidR="005D7330">
        <w:rPr>
          <w:color w:val="0000CC"/>
          <w:lang w:val="en-GB"/>
        </w:rPr>
        <w:t xml:space="preserve"> to zero emission</w:t>
      </w:r>
      <w:r w:rsidR="006A400B">
        <w:rPr>
          <w:color w:val="0000CC"/>
          <w:lang w:val="en-GB"/>
        </w:rPr>
        <w:t xml:space="preserve"> (Ren et al., 2022)</w:t>
      </w:r>
      <w:r w:rsidR="005D7330">
        <w:rPr>
          <w:color w:val="0000CC"/>
          <w:lang w:val="en-GB"/>
        </w:rPr>
        <w:t xml:space="preserve">. Transition to zero-emission vehicles implies that fossil fuel will be gradually replaced by green energy, which will </w:t>
      </w:r>
      <w:r w:rsidR="004A63F6">
        <w:rPr>
          <w:color w:val="0000CC"/>
          <w:lang w:val="en-GB"/>
        </w:rPr>
        <w:t>eventually</w:t>
      </w:r>
      <w:r w:rsidR="005D7330">
        <w:rPr>
          <w:color w:val="0000CC"/>
          <w:lang w:val="en-GB"/>
        </w:rPr>
        <w:t xml:space="preserve"> increase green investment. </w:t>
      </w:r>
    </w:p>
    <w:p w14:paraId="20509EBF" w14:textId="6AE2158C" w:rsidR="00575254" w:rsidRPr="0021026E" w:rsidRDefault="00575254" w:rsidP="0017253E">
      <w:pPr>
        <w:pStyle w:val="Heading1"/>
        <w:rPr>
          <w:color w:val="0000CC"/>
        </w:rPr>
      </w:pPr>
      <w:bookmarkStart w:id="13" w:name="_Hlk120887702"/>
      <w:r w:rsidRPr="0021026E">
        <w:rPr>
          <w:color w:val="0000CC"/>
        </w:rPr>
        <w:t>6. Policy implications</w:t>
      </w:r>
    </w:p>
    <w:p w14:paraId="7E619EDE" w14:textId="215788E8" w:rsidR="0021026E" w:rsidRDefault="0021026E" w:rsidP="0021026E">
      <w:pPr>
        <w:jc w:val="both"/>
        <w:rPr>
          <w:color w:val="0000CC"/>
        </w:rPr>
      </w:pPr>
      <w:r w:rsidRPr="006F5452">
        <w:tab/>
      </w:r>
    </w:p>
    <w:p w14:paraId="6B58CD75" w14:textId="77777777" w:rsidR="00F36649" w:rsidRPr="00F36649" w:rsidRDefault="00F36649" w:rsidP="00F36649">
      <w:pPr>
        <w:jc w:val="both"/>
        <w:rPr>
          <w:color w:val="0000CC"/>
        </w:rPr>
      </w:pPr>
      <w:r w:rsidRPr="00F36649">
        <w:rPr>
          <w:color w:val="0000CC"/>
        </w:rPr>
        <w:t>The green bond market is booming, although its share of the overall bond market remains small. In this paper, insights are provided into the extent to which policies implemented by various countries have been effective in an uncertain environment (Chopra and Mehta, 2023).  There has been an increase in interest in green bond policies, including those related to green bond guidelines and standards, as well as those related to green bond grants. Increasing transparency through the implementation of policies is one of the key components of improving market efficiency. The purpose of these legislative initiatives is to increase the confidence of investors and issuers in green bond markets as well as increase the share of institutional investor-controlled capital flowing into green bonds. By increasing institutional investors' capital pool, it contributes to sustainable development.</w:t>
      </w:r>
    </w:p>
    <w:p w14:paraId="48CEEB27" w14:textId="77777777" w:rsidR="00F36649" w:rsidRPr="00F36649" w:rsidRDefault="00F36649" w:rsidP="00F36649">
      <w:pPr>
        <w:jc w:val="both"/>
        <w:rPr>
          <w:color w:val="0000CC"/>
        </w:rPr>
      </w:pPr>
    </w:p>
    <w:p w14:paraId="3F07E43E" w14:textId="67704467" w:rsidR="00D173B5" w:rsidRPr="00334B40" w:rsidRDefault="00F36649" w:rsidP="00F36649">
      <w:pPr>
        <w:jc w:val="both"/>
        <w:rPr>
          <w:color w:val="0000CC"/>
        </w:rPr>
      </w:pPr>
      <w:r w:rsidRPr="006F5452">
        <w:tab/>
      </w:r>
      <w:proofErr w:type="gramStart"/>
      <w:r w:rsidRPr="00F36649">
        <w:rPr>
          <w:color w:val="0000CC"/>
        </w:rPr>
        <w:t>In light of the fact that</w:t>
      </w:r>
      <w:proofErr w:type="gramEnd"/>
      <w:r w:rsidRPr="00F36649">
        <w:rPr>
          <w:color w:val="0000CC"/>
        </w:rPr>
        <w:t xml:space="preserve"> green bond markets are effective at mitigating the effects of uncertainty, policymakers should provide more assistance to sectors that are new to issuing bonds. The reason for this is that they are subject to higher costs and risks. Among these sectors are renewable energy inventors and industries (</w:t>
      </w:r>
      <w:proofErr w:type="spellStart"/>
      <w:r w:rsidRPr="00F36649">
        <w:rPr>
          <w:color w:val="0000CC"/>
        </w:rPr>
        <w:t>Azhgaliyeva</w:t>
      </w:r>
      <w:proofErr w:type="spellEnd"/>
      <w:r w:rsidRPr="00F36649">
        <w:rPr>
          <w:color w:val="0000CC"/>
        </w:rPr>
        <w:t xml:space="preserve"> &amp; </w:t>
      </w:r>
      <w:proofErr w:type="spellStart"/>
      <w:r w:rsidRPr="00F36649">
        <w:rPr>
          <w:color w:val="0000CC"/>
        </w:rPr>
        <w:t>Kapsalyamova</w:t>
      </w:r>
      <w:proofErr w:type="spellEnd"/>
      <w:r w:rsidRPr="00F36649">
        <w:rPr>
          <w:color w:val="0000CC"/>
        </w:rPr>
        <w:t>, 2021). Both the EPU and the GPR have a significant impact on these sectors. Grants and tax incentives, as well as collaboration and regional and global policies, may be used by governments to encourage the issuance of green bonds.</w:t>
      </w:r>
      <w:r>
        <w:rPr>
          <w:color w:val="0000CC"/>
        </w:rPr>
        <w:t xml:space="preserve"> </w:t>
      </w:r>
      <w:r w:rsidRPr="00F36649">
        <w:rPr>
          <w:color w:val="0000CC"/>
        </w:rPr>
        <w:t xml:space="preserve">According to </w:t>
      </w:r>
      <w:proofErr w:type="spellStart"/>
      <w:r w:rsidRPr="00F36649">
        <w:rPr>
          <w:color w:val="0000CC"/>
        </w:rPr>
        <w:t>Azhgaliyeva</w:t>
      </w:r>
      <w:proofErr w:type="spellEnd"/>
      <w:r w:rsidRPr="00F36649">
        <w:rPr>
          <w:color w:val="0000CC"/>
        </w:rPr>
        <w:t xml:space="preserve"> and </w:t>
      </w:r>
      <w:proofErr w:type="spellStart"/>
      <w:r w:rsidRPr="00F36649">
        <w:rPr>
          <w:color w:val="0000CC"/>
        </w:rPr>
        <w:t>Kapsalyamova</w:t>
      </w:r>
      <w:proofErr w:type="spellEnd"/>
      <w:r w:rsidRPr="00F36649">
        <w:rPr>
          <w:color w:val="0000CC"/>
        </w:rPr>
        <w:t xml:space="preserve"> (2021), regional </w:t>
      </w:r>
      <w:r w:rsidRPr="00F36649">
        <w:rPr>
          <w:color w:val="0000CC"/>
        </w:rPr>
        <w:lastRenderedPageBreak/>
        <w:t xml:space="preserve">cooperation and green bond standardization are beneficial to fostering green bonds in the corporate sector of the European Union. </w:t>
      </w:r>
      <w:proofErr w:type="gramStart"/>
      <w:r w:rsidRPr="00F36649">
        <w:rPr>
          <w:color w:val="0000CC"/>
        </w:rPr>
        <w:t>In order to</w:t>
      </w:r>
      <w:proofErr w:type="gramEnd"/>
      <w:r w:rsidRPr="00F36649">
        <w:rPr>
          <w:color w:val="0000CC"/>
        </w:rPr>
        <w:t xml:space="preserve"> mitigate uncertainty risks, policymakers should focus on regional cooperation and green bond </w:t>
      </w:r>
      <w:r w:rsidR="000867F0" w:rsidRPr="00F36649">
        <w:rPr>
          <w:color w:val="0000CC"/>
        </w:rPr>
        <w:t>standardization.</w:t>
      </w:r>
    </w:p>
    <w:bookmarkEnd w:id="13"/>
    <w:p w14:paraId="1AEEBB3D" w14:textId="28B77001" w:rsidR="00245D7D" w:rsidRPr="0021026E" w:rsidRDefault="00575254" w:rsidP="0017253E">
      <w:pPr>
        <w:pStyle w:val="Heading1"/>
        <w:rPr>
          <w:color w:val="0000CC"/>
        </w:rPr>
      </w:pPr>
      <w:r w:rsidRPr="0021026E">
        <w:rPr>
          <w:color w:val="0000CC"/>
        </w:rPr>
        <w:t>7</w:t>
      </w:r>
      <w:r w:rsidR="00502804" w:rsidRPr="0021026E">
        <w:rPr>
          <w:color w:val="0000CC"/>
        </w:rPr>
        <w:t>. Conclusion</w:t>
      </w:r>
      <w:r w:rsidR="002214A9" w:rsidRPr="0021026E">
        <w:rPr>
          <w:color w:val="0000CC"/>
        </w:rPr>
        <w:t xml:space="preserve">s, </w:t>
      </w:r>
      <w:proofErr w:type="gramStart"/>
      <w:r w:rsidR="002214A9" w:rsidRPr="0021026E">
        <w:rPr>
          <w:color w:val="0000CC"/>
        </w:rPr>
        <w:t>limitations</w:t>
      </w:r>
      <w:proofErr w:type="gramEnd"/>
      <w:r w:rsidR="002214A9" w:rsidRPr="0021026E">
        <w:rPr>
          <w:color w:val="0000CC"/>
        </w:rPr>
        <w:t xml:space="preserve"> and recommendations</w:t>
      </w:r>
      <w:r w:rsidR="00502804" w:rsidRPr="0021026E">
        <w:rPr>
          <w:color w:val="0000CC"/>
        </w:rPr>
        <w:t xml:space="preserve"> </w:t>
      </w:r>
    </w:p>
    <w:p w14:paraId="1A685D5B" w14:textId="66CEB2D9" w:rsidR="00975DE5" w:rsidRPr="000867F0" w:rsidRDefault="00F36649" w:rsidP="00BE3E32">
      <w:pPr>
        <w:jc w:val="both"/>
        <w:rPr>
          <w:szCs w:val="24"/>
        </w:rPr>
      </w:pPr>
      <w:r>
        <w:t xml:space="preserve">Our study extends previous scanty literature on the </w:t>
      </w:r>
      <w:r w:rsidR="00975DE5" w:rsidRPr="006F5452">
        <w:rPr>
          <w:rFonts w:cs="Times New Roman"/>
          <w:szCs w:val="24"/>
        </w:rPr>
        <w:t>relationship between EPU, GP</w:t>
      </w:r>
      <w:r w:rsidR="00D319A4" w:rsidRPr="006F5452">
        <w:rPr>
          <w:rFonts w:cs="Times New Roman"/>
          <w:szCs w:val="24"/>
        </w:rPr>
        <w:t>RT, GPRA, WTI</w:t>
      </w:r>
      <w:r w:rsidR="00975DE5" w:rsidRPr="006F5452">
        <w:rPr>
          <w:rFonts w:cs="Times New Roman"/>
          <w:szCs w:val="24"/>
        </w:rPr>
        <w:t xml:space="preserve"> oil price</w:t>
      </w:r>
      <w:r w:rsidR="00D319A4" w:rsidRPr="006F5452">
        <w:rPr>
          <w:rFonts w:cs="Times New Roman"/>
          <w:szCs w:val="24"/>
        </w:rPr>
        <w:t xml:space="preserve"> and green bonds</w:t>
      </w:r>
      <w:r w:rsidR="00975DE5" w:rsidRPr="006F5452">
        <w:rPr>
          <w:rFonts w:cs="Times New Roman"/>
          <w:szCs w:val="24"/>
        </w:rPr>
        <w:t xml:space="preserve">. </w:t>
      </w:r>
      <w:r w:rsidR="000867F0">
        <w:rPr>
          <w:color w:val="0000CC"/>
        </w:rPr>
        <w:t>We conclude that</w:t>
      </w:r>
      <w:r w:rsidR="000867F0" w:rsidRPr="000867F0">
        <w:rPr>
          <w:color w:val="0000CC"/>
        </w:rPr>
        <w:t xml:space="preserve"> fund managers and retail investors can utilize green bonds to mitigate economic policy uncertainty, geopolitical threats, and volatility in the WTI oil market.</w:t>
      </w:r>
      <w:r w:rsidR="000867F0">
        <w:rPr>
          <w:color w:val="0000CC"/>
        </w:rPr>
        <w:t xml:space="preserve"> </w:t>
      </w:r>
      <w:r w:rsidR="00DC333C" w:rsidRPr="0021026E">
        <w:rPr>
          <w:color w:val="0000CC"/>
        </w:rPr>
        <w:t>Investing in environmentally sustainable products (e.g., green bonds) should be widely promoted by institutional investors and fund managers</w:t>
      </w:r>
      <w:r w:rsidR="000867F0">
        <w:rPr>
          <w:color w:val="0000CC"/>
        </w:rPr>
        <w:t xml:space="preserve"> due to the hedging benefits of green bonds</w:t>
      </w:r>
      <w:r w:rsidR="00DC333C" w:rsidRPr="0021026E">
        <w:rPr>
          <w:color w:val="0000CC"/>
        </w:rPr>
        <w:t xml:space="preserve">. </w:t>
      </w:r>
    </w:p>
    <w:p w14:paraId="6FF5700D" w14:textId="35D8955D" w:rsidR="00D319A4" w:rsidRPr="006F5452" w:rsidRDefault="00D319A4" w:rsidP="00BE3E32">
      <w:pPr>
        <w:jc w:val="both"/>
      </w:pPr>
    </w:p>
    <w:p w14:paraId="21D41D20" w14:textId="77777777" w:rsidR="008C3931" w:rsidRPr="008C3931" w:rsidRDefault="000867F0" w:rsidP="008C3931">
      <w:pPr>
        <w:rPr>
          <w:color w:val="0000CC"/>
        </w:rPr>
      </w:pPr>
      <w:r w:rsidRPr="006F5452">
        <w:tab/>
      </w:r>
      <w:r w:rsidR="008C3931" w:rsidRPr="008C3931">
        <w:rPr>
          <w:color w:val="0000CC"/>
        </w:rPr>
        <w:t xml:space="preserve">We have identified some limitations in our study. First, we only used a limited period of data to study the implications of contextual factors on green bonds and their impact on sustainable investment strategies. Additional research is required to comprehend the potential of modern financial instruments. Green bonds are critical to meeting the aims of the COP 26 Agreement because they can provide funding for sustainable projects. However, this kind of funding is currently facing significant difficulty </w:t>
      </w:r>
      <w:proofErr w:type="gramStart"/>
      <w:r w:rsidR="008C3931" w:rsidRPr="008C3931">
        <w:rPr>
          <w:color w:val="0000CC"/>
        </w:rPr>
        <w:t>as a result of</w:t>
      </w:r>
      <w:proofErr w:type="gramEnd"/>
      <w:r w:rsidR="008C3931" w:rsidRPr="008C3931">
        <w:rPr>
          <w:color w:val="0000CC"/>
        </w:rPr>
        <w:t xml:space="preserve"> the COVID-19 situation. This is exacerbated by inflation, and governments have responded with a variety of monetary and fiscal measures. </w:t>
      </w:r>
      <w:proofErr w:type="gramStart"/>
      <w:r w:rsidR="008C3931" w:rsidRPr="008C3931">
        <w:rPr>
          <w:color w:val="0000CC"/>
        </w:rPr>
        <w:t>In light of</w:t>
      </w:r>
      <w:proofErr w:type="gramEnd"/>
      <w:r w:rsidR="008C3931" w:rsidRPr="008C3931">
        <w:rPr>
          <w:color w:val="0000CC"/>
        </w:rPr>
        <w:t xml:space="preserve"> the COVID-19 scenario, it would be interesting to study how different components of economic policy uncertainty (e.g., fiscal policy and monetary policy) affect green bond markets and to consider how inflation and government responses through fiscal and monetary policy affect green bonds. Third, our study focuses on the US context only. Future research could focus on emerging economies (e.g., India and China) to examine the impact of such contextual factors on the green bond markets. Fourth, we only examined the relationship between EPU, GPRT, GPRA, WTI oil prices, and green bond returns with data from the American stock market. We posit that geopolitical risk will be more pronounced (</w:t>
      </w:r>
      <w:proofErr w:type="spellStart"/>
      <w:r w:rsidR="008C3931" w:rsidRPr="008C3931">
        <w:rPr>
          <w:color w:val="0000CC"/>
        </w:rPr>
        <w:t>Balcilar</w:t>
      </w:r>
      <w:proofErr w:type="spellEnd"/>
      <w:r w:rsidR="008C3931" w:rsidRPr="008C3931">
        <w:rPr>
          <w:color w:val="0000CC"/>
        </w:rPr>
        <w:t xml:space="preserve"> et al., 2018; Qin et al., 2020) in countries such as Russia and Ukraine due to the recent invasion. Therefore, we recommend performing comparative studies investigating the hedging effect of green bonds on carbon market risks.</w:t>
      </w:r>
    </w:p>
    <w:p w14:paraId="7FEF4712" w14:textId="616E0EFE" w:rsidR="002963BD" w:rsidRPr="00334B40" w:rsidRDefault="002963BD" w:rsidP="008C3931">
      <w:pPr>
        <w:pStyle w:val="ListParagraph"/>
        <w:ind w:left="0"/>
        <w:jc w:val="both"/>
        <w:rPr>
          <w:color w:val="0000CC"/>
        </w:rPr>
      </w:pPr>
    </w:p>
    <w:p w14:paraId="70263CBD" w14:textId="77777777" w:rsidR="007137D9" w:rsidRPr="006F5452" w:rsidRDefault="007137D9" w:rsidP="00A01380">
      <w:pPr>
        <w:jc w:val="both"/>
        <w:rPr>
          <w:b/>
          <w:bCs/>
        </w:rPr>
      </w:pPr>
      <w:r w:rsidRPr="006F5452">
        <w:rPr>
          <w:b/>
          <w:bCs/>
        </w:rPr>
        <w:br w:type="page"/>
      </w:r>
    </w:p>
    <w:p w14:paraId="765B6F59" w14:textId="1B88F4DB" w:rsidR="007137D9" w:rsidRPr="006F5452" w:rsidRDefault="007137D9" w:rsidP="0017253E">
      <w:pPr>
        <w:pStyle w:val="Heading1"/>
      </w:pPr>
      <w:bookmarkStart w:id="14" w:name="_Hlk114844179"/>
      <w:r w:rsidRPr="006F5452">
        <w:lastRenderedPageBreak/>
        <w:t>References:</w:t>
      </w:r>
    </w:p>
    <w:p w14:paraId="0F7A5730" w14:textId="77777777" w:rsidR="00A01380" w:rsidRPr="00A01380" w:rsidRDefault="00C13D2E" w:rsidP="00A01380">
      <w:pPr>
        <w:pStyle w:val="EndNoteBibliography"/>
        <w:ind w:left="720" w:hanging="720"/>
      </w:pPr>
      <w:r w:rsidRPr="006F5452">
        <w:rPr>
          <w:b/>
          <w:bCs/>
        </w:rPr>
        <w:fldChar w:fldCharType="begin"/>
      </w:r>
      <w:r w:rsidRPr="006F5452">
        <w:rPr>
          <w:b/>
          <w:bCs/>
        </w:rPr>
        <w:instrText xml:space="preserve"> ADDIN EN.REFLIST </w:instrText>
      </w:r>
      <w:r w:rsidRPr="006F5452">
        <w:rPr>
          <w:b/>
          <w:bCs/>
        </w:rPr>
        <w:fldChar w:fldCharType="separate"/>
      </w:r>
      <w:r w:rsidR="00A01380" w:rsidRPr="00A01380">
        <w:t xml:space="preserve">Afonso, A., Jalles, J. T., &amp; Kazemi, M. (2020). The effects of macroeconomic, fiscal and monetary policy announcements on sovereign bond spreads. </w:t>
      </w:r>
      <w:r w:rsidR="00A01380" w:rsidRPr="00A01380">
        <w:rPr>
          <w:i/>
        </w:rPr>
        <w:t>International Review of Law and Economics</w:t>
      </w:r>
      <w:r w:rsidR="00A01380" w:rsidRPr="00A01380">
        <w:t>,</w:t>
      </w:r>
      <w:r w:rsidR="00A01380" w:rsidRPr="00A01380">
        <w:rPr>
          <w:i/>
        </w:rPr>
        <w:t xml:space="preserve"> 63</w:t>
      </w:r>
      <w:r w:rsidR="00A01380" w:rsidRPr="00A01380">
        <w:t xml:space="preserve">, 105924. </w:t>
      </w:r>
    </w:p>
    <w:p w14:paraId="5E7B927F" w14:textId="77777777" w:rsidR="00A01380" w:rsidRPr="00A01380" w:rsidRDefault="00A01380" w:rsidP="00A01380">
      <w:pPr>
        <w:pStyle w:val="EndNoteBibliography"/>
        <w:ind w:left="720" w:hanging="720"/>
      </w:pPr>
      <w:r w:rsidRPr="00A01380">
        <w:t xml:space="preserve">Al-Thaqeb, S. A., &amp; Algharabali, B. G. (2019). Economic policy uncertainty: A literature review. </w:t>
      </w:r>
      <w:r w:rsidRPr="00A01380">
        <w:rPr>
          <w:i/>
        </w:rPr>
        <w:t>The Journal of Economic Asymmetries</w:t>
      </w:r>
      <w:r w:rsidRPr="00A01380">
        <w:t>,</w:t>
      </w:r>
      <w:r w:rsidRPr="00A01380">
        <w:rPr>
          <w:i/>
        </w:rPr>
        <w:t xml:space="preserve"> 20</w:t>
      </w:r>
      <w:r w:rsidRPr="00A01380">
        <w:t xml:space="preserve">, e00133. </w:t>
      </w:r>
    </w:p>
    <w:p w14:paraId="3DA9A995" w14:textId="77777777" w:rsidR="00A01380" w:rsidRPr="00A01380" w:rsidRDefault="00A01380" w:rsidP="00A01380">
      <w:pPr>
        <w:pStyle w:val="EndNoteBibliography"/>
        <w:ind w:left="720" w:hanging="720"/>
      </w:pPr>
      <w:r w:rsidRPr="00A01380">
        <w:t xml:space="preserve">Antonakakis, N., Gupta, R., Kollias, C., &amp; Papadamou, S. (2017). Geopolitical risks and the oil-stock nexus over 1899–2016. </w:t>
      </w:r>
      <w:r w:rsidRPr="00A01380">
        <w:rPr>
          <w:i/>
        </w:rPr>
        <w:t>Finance Research Letters</w:t>
      </w:r>
      <w:r w:rsidRPr="00A01380">
        <w:t>,</w:t>
      </w:r>
      <w:r w:rsidRPr="00A01380">
        <w:rPr>
          <w:i/>
        </w:rPr>
        <w:t xml:space="preserve"> 23</w:t>
      </w:r>
      <w:r w:rsidRPr="00A01380">
        <w:t xml:space="preserve">, 165-173. </w:t>
      </w:r>
    </w:p>
    <w:p w14:paraId="70603FC2" w14:textId="77777777" w:rsidR="00A01380" w:rsidRPr="00A01380" w:rsidRDefault="00A01380" w:rsidP="00A01380">
      <w:pPr>
        <w:pStyle w:val="EndNoteBibliography"/>
        <w:ind w:left="720" w:hanging="720"/>
      </w:pPr>
      <w:r w:rsidRPr="00A01380">
        <w:t xml:space="preserve">Apergis, N., Baruník, J., &amp; Lau, M. C. K. (2017). Good volatility, bad volatility: What drives the asymmetric connectedness of Australian electricity markets? </w:t>
      </w:r>
      <w:r w:rsidRPr="00A01380">
        <w:rPr>
          <w:i/>
        </w:rPr>
        <w:t>Energy Economics</w:t>
      </w:r>
      <w:r w:rsidRPr="00A01380">
        <w:t>,</w:t>
      </w:r>
      <w:r w:rsidRPr="00A01380">
        <w:rPr>
          <w:i/>
        </w:rPr>
        <w:t xml:space="preserve"> 66</w:t>
      </w:r>
      <w:r w:rsidRPr="00A01380">
        <w:t xml:space="preserve">, 108-115. </w:t>
      </w:r>
    </w:p>
    <w:p w14:paraId="426FFA00" w14:textId="77777777" w:rsidR="00A01380" w:rsidRPr="00A01380" w:rsidRDefault="00A01380" w:rsidP="00A01380">
      <w:pPr>
        <w:pStyle w:val="EndNoteBibliography"/>
        <w:ind w:left="720" w:hanging="720"/>
      </w:pPr>
      <w:r w:rsidRPr="00A01380">
        <w:t xml:space="preserve">Arouri, M. E. H., &amp; Nguyen, D. K. (2010). Oil prices, stock markets and portfolio investment: Evidence from sector analysis in Europe over the last decade. </w:t>
      </w:r>
      <w:r w:rsidRPr="00A01380">
        <w:rPr>
          <w:i/>
        </w:rPr>
        <w:t>Energy policy</w:t>
      </w:r>
      <w:r w:rsidRPr="00A01380">
        <w:t>,</w:t>
      </w:r>
      <w:r w:rsidRPr="00A01380">
        <w:rPr>
          <w:i/>
        </w:rPr>
        <w:t xml:space="preserve"> 38</w:t>
      </w:r>
      <w:r w:rsidRPr="00A01380">
        <w:t xml:space="preserve">(8), 4528-4539. </w:t>
      </w:r>
    </w:p>
    <w:p w14:paraId="303B0EE2" w14:textId="77777777" w:rsidR="00A01380" w:rsidRPr="00A01380" w:rsidRDefault="00A01380" w:rsidP="00A01380">
      <w:pPr>
        <w:pStyle w:val="EndNoteBibliography"/>
        <w:ind w:left="720" w:hanging="720"/>
      </w:pPr>
      <w:r w:rsidRPr="00A01380">
        <w:t xml:space="preserve">Azhgaliyeva, D., &amp; Kapsalyamova, Z. (2021). </w:t>
      </w:r>
      <w:r w:rsidRPr="00A01380">
        <w:rPr>
          <w:i/>
        </w:rPr>
        <w:t>Policy support in promoting green bonds in Asia</w:t>
      </w:r>
      <w:r w:rsidRPr="00A01380">
        <w:t xml:space="preserve">. </w:t>
      </w:r>
    </w:p>
    <w:p w14:paraId="7C48BB3B" w14:textId="77777777" w:rsidR="00A01380" w:rsidRPr="00A01380" w:rsidRDefault="00A01380" w:rsidP="00A01380">
      <w:pPr>
        <w:pStyle w:val="EndNoteBibliography"/>
        <w:ind w:left="720" w:hanging="720"/>
      </w:pPr>
      <w:r w:rsidRPr="00A01380">
        <w:t xml:space="preserve">Baker, S. R., Bloom, N., &amp; Davis, S. J. (2016). Measuring economic policy uncertainty. </w:t>
      </w:r>
      <w:r w:rsidRPr="00A01380">
        <w:rPr>
          <w:i/>
        </w:rPr>
        <w:t>The quarterly journal of economics</w:t>
      </w:r>
      <w:r w:rsidRPr="00A01380">
        <w:t>,</w:t>
      </w:r>
      <w:r w:rsidRPr="00A01380">
        <w:rPr>
          <w:i/>
        </w:rPr>
        <w:t xml:space="preserve"> 131</w:t>
      </w:r>
      <w:r w:rsidRPr="00A01380">
        <w:t xml:space="preserve">(4), 1593-1636. </w:t>
      </w:r>
    </w:p>
    <w:p w14:paraId="39E03063" w14:textId="77777777" w:rsidR="00A01380" w:rsidRPr="00A01380" w:rsidRDefault="00A01380" w:rsidP="00A01380">
      <w:pPr>
        <w:pStyle w:val="EndNoteBibliography"/>
        <w:ind w:left="720" w:hanging="720"/>
      </w:pPr>
      <w:r w:rsidRPr="00A01380">
        <w:t xml:space="preserve">Baker, S. R., Bloom, N., Davis, S. J., Kost, K., Sammon, M., &amp; Viratyosin, T. (2020). The unprecedented stock market reaction to COVID-19. </w:t>
      </w:r>
      <w:r w:rsidRPr="00A01380">
        <w:rPr>
          <w:i/>
        </w:rPr>
        <w:t>The review of asset pricing studies</w:t>
      </w:r>
      <w:r w:rsidRPr="00A01380">
        <w:t>,</w:t>
      </w:r>
      <w:r w:rsidRPr="00A01380">
        <w:rPr>
          <w:i/>
        </w:rPr>
        <w:t xml:space="preserve"> 10</w:t>
      </w:r>
      <w:r w:rsidRPr="00A01380">
        <w:t xml:space="preserve">(4), 742-758. </w:t>
      </w:r>
    </w:p>
    <w:p w14:paraId="536801FE" w14:textId="77777777" w:rsidR="00A01380" w:rsidRPr="00A01380" w:rsidRDefault="00A01380" w:rsidP="00A01380">
      <w:pPr>
        <w:pStyle w:val="EndNoteBibliography"/>
        <w:ind w:left="720" w:hanging="720"/>
      </w:pPr>
      <w:r w:rsidRPr="00A01380">
        <w:t xml:space="preserve">Balcilar, M., Bonato, M., Demirer, R., &amp; Gupta, R. (2018). Geopolitical risks and stock market dynamics of the BRICS. </w:t>
      </w:r>
      <w:r w:rsidRPr="00A01380">
        <w:rPr>
          <w:i/>
        </w:rPr>
        <w:t>Economic Systems</w:t>
      </w:r>
      <w:r w:rsidRPr="00A01380">
        <w:t>,</w:t>
      </w:r>
      <w:r w:rsidRPr="00A01380">
        <w:rPr>
          <w:i/>
        </w:rPr>
        <w:t xml:space="preserve"> 42</w:t>
      </w:r>
      <w:r w:rsidRPr="00A01380">
        <w:t xml:space="preserve">(2), 295-306. </w:t>
      </w:r>
    </w:p>
    <w:p w14:paraId="07D8EE8E" w14:textId="77777777" w:rsidR="00A01380" w:rsidRPr="00A01380" w:rsidRDefault="00A01380" w:rsidP="00A01380">
      <w:pPr>
        <w:pStyle w:val="EndNoteBibliography"/>
        <w:ind w:left="720" w:hanging="720"/>
      </w:pPr>
      <w:r w:rsidRPr="00A01380">
        <w:t xml:space="preserve">Baumeister, C., &amp; Benati, L. (2010). Unconventional monetary policy and the Great Recession. </w:t>
      </w:r>
      <w:r w:rsidRPr="00A01380">
        <w:rPr>
          <w:i/>
        </w:rPr>
        <w:t>European Central Bank WP</w:t>
      </w:r>
      <w:r w:rsidRPr="00A01380">
        <w:t>,</w:t>
      </w:r>
      <w:r w:rsidRPr="00A01380">
        <w:rPr>
          <w:i/>
        </w:rPr>
        <w:t xml:space="preserve"> 1258</w:t>
      </w:r>
      <w:r w:rsidRPr="00A01380">
        <w:t xml:space="preserve">. </w:t>
      </w:r>
    </w:p>
    <w:p w14:paraId="63847210" w14:textId="77777777" w:rsidR="00A01380" w:rsidRPr="00A01380" w:rsidRDefault="00A01380" w:rsidP="00A01380">
      <w:pPr>
        <w:pStyle w:val="EndNoteBibliography"/>
        <w:ind w:left="720" w:hanging="720"/>
      </w:pPr>
      <w:r w:rsidRPr="00A01380">
        <w:t xml:space="preserve">Bernanke, B. S. (1983). Irreversibility, uncertainty, and cyclical investment. </w:t>
      </w:r>
      <w:r w:rsidRPr="00A01380">
        <w:rPr>
          <w:i/>
        </w:rPr>
        <w:t>The quarterly journal of economics</w:t>
      </w:r>
      <w:r w:rsidRPr="00A01380">
        <w:t>,</w:t>
      </w:r>
      <w:r w:rsidRPr="00A01380">
        <w:rPr>
          <w:i/>
        </w:rPr>
        <w:t xml:space="preserve"> 98</w:t>
      </w:r>
      <w:r w:rsidRPr="00A01380">
        <w:t xml:space="preserve">(1), 85-106. </w:t>
      </w:r>
    </w:p>
    <w:p w14:paraId="7BB9B716" w14:textId="77777777" w:rsidR="00A01380" w:rsidRPr="00A01380" w:rsidRDefault="00A01380" w:rsidP="00A01380">
      <w:pPr>
        <w:pStyle w:val="EndNoteBibliography"/>
        <w:ind w:left="720" w:hanging="720"/>
      </w:pPr>
      <w:r w:rsidRPr="00A01380">
        <w:t xml:space="preserve">Bona-Sanchez, C., Perez-Aleman, J., &amp; Santana-Martin, D. J. (2017). Sustainability disclosure, dominant owners and earnings informativeness. </w:t>
      </w:r>
      <w:r w:rsidRPr="00A01380">
        <w:rPr>
          <w:i/>
        </w:rPr>
        <w:t>Research in International Business and Finance</w:t>
      </w:r>
      <w:r w:rsidRPr="00A01380">
        <w:t>,</w:t>
      </w:r>
      <w:r w:rsidRPr="00A01380">
        <w:rPr>
          <w:i/>
        </w:rPr>
        <w:t xml:space="preserve"> 39</w:t>
      </w:r>
      <w:r w:rsidRPr="00A01380">
        <w:t xml:space="preserve">, 625-639. </w:t>
      </w:r>
    </w:p>
    <w:p w14:paraId="185586BD" w14:textId="77777777" w:rsidR="00A01380" w:rsidRPr="00A01380" w:rsidRDefault="00A01380" w:rsidP="00A01380">
      <w:pPr>
        <w:pStyle w:val="EndNoteBibliography"/>
        <w:ind w:left="720" w:hanging="720"/>
      </w:pPr>
      <w:r w:rsidRPr="00A01380">
        <w:t xml:space="preserve">Bondia, R., Ghosh, S., &amp; Kanjilal, K. (2016). International crude oil prices and the stock prices of clean energy and technology companies: Evidence from non-linear cointegration tests with unknown structural breaks. </w:t>
      </w:r>
      <w:r w:rsidRPr="00A01380">
        <w:rPr>
          <w:i/>
        </w:rPr>
        <w:t>Energy</w:t>
      </w:r>
      <w:r w:rsidRPr="00A01380">
        <w:t>,</w:t>
      </w:r>
      <w:r w:rsidRPr="00A01380">
        <w:rPr>
          <w:i/>
        </w:rPr>
        <w:t xml:space="preserve"> 101</w:t>
      </w:r>
      <w:r w:rsidRPr="00A01380">
        <w:t xml:space="preserve">, 558-565. </w:t>
      </w:r>
    </w:p>
    <w:p w14:paraId="5DCEC7A5" w14:textId="77777777" w:rsidR="00A01380" w:rsidRPr="00A01380" w:rsidRDefault="00A01380" w:rsidP="00A01380">
      <w:pPr>
        <w:pStyle w:val="EndNoteBibliography"/>
        <w:ind w:left="720" w:hanging="720"/>
      </w:pPr>
      <w:r w:rsidRPr="00A01380">
        <w:t xml:space="preserve">Bouri, E., Demirer, R., Gupta, R., &amp; Marfatia, H. A. (2019). Geopolitical risks and movements in Islamic bond and equity markets: A note. </w:t>
      </w:r>
      <w:r w:rsidRPr="00A01380">
        <w:rPr>
          <w:i/>
        </w:rPr>
        <w:t>Defence and Peace Economics</w:t>
      </w:r>
      <w:r w:rsidRPr="00A01380">
        <w:t>,</w:t>
      </w:r>
      <w:r w:rsidRPr="00A01380">
        <w:rPr>
          <w:i/>
        </w:rPr>
        <w:t xml:space="preserve"> 30</w:t>
      </w:r>
      <w:r w:rsidRPr="00A01380">
        <w:t xml:space="preserve">(3), 367-379. </w:t>
      </w:r>
    </w:p>
    <w:p w14:paraId="30B43847" w14:textId="77777777" w:rsidR="00A01380" w:rsidRPr="00A01380" w:rsidRDefault="00A01380" w:rsidP="00A01380">
      <w:pPr>
        <w:pStyle w:val="EndNoteBibliography"/>
        <w:ind w:left="720" w:hanging="720"/>
      </w:pPr>
      <w:r w:rsidRPr="00A01380">
        <w:t xml:space="preserve">Broadstock, D. C., &amp; Cheng, L. T. (2019). Time-varying relation between black and green bond price benchmarks: Macroeconomic determinants for the first decade. </w:t>
      </w:r>
      <w:r w:rsidRPr="00A01380">
        <w:rPr>
          <w:i/>
        </w:rPr>
        <w:t>Finance Research Letters</w:t>
      </w:r>
      <w:r w:rsidRPr="00A01380">
        <w:t>,</w:t>
      </w:r>
      <w:r w:rsidRPr="00A01380">
        <w:rPr>
          <w:i/>
        </w:rPr>
        <w:t xml:space="preserve"> 29</w:t>
      </w:r>
      <w:r w:rsidRPr="00A01380">
        <w:t xml:space="preserve">, 17-22. </w:t>
      </w:r>
    </w:p>
    <w:p w14:paraId="7E4DA4F9" w14:textId="77777777" w:rsidR="00A01380" w:rsidRPr="00A01380" w:rsidRDefault="00A01380" w:rsidP="00A01380">
      <w:pPr>
        <w:pStyle w:val="EndNoteBibliography"/>
        <w:ind w:left="720" w:hanging="720"/>
      </w:pPr>
      <w:r w:rsidRPr="00A01380">
        <w:t xml:space="preserve">Caldara, D., &amp; Iacoviello, M. (2022). Measuring geopolitical risk. </w:t>
      </w:r>
      <w:r w:rsidRPr="00A01380">
        <w:rPr>
          <w:i/>
        </w:rPr>
        <w:t>American Economic Review</w:t>
      </w:r>
      <w:r w:rsidRPr="00A01380">
        <w:t>,</w:t>
      </w:r>
      <w:r w:rsidRPr="00A01380">
        <w:rPr>
          <w:i/>
        </w:rPr>
        <w:t xml:space="preserve"> 112</w:t>
      </w:r>
      <w:r w:rsidRPr="00A01380">
        <w:t xml:space="preserve">(4), 1194-1225. </w:t>
      </w:r>
    </w:p>
    <w:p w14:paraId="342E19D8" w14:textId="77777777" w:rsidR="00A01380" w:rsidRPr="00A01380" w:rsidRDefault="00A01380" w:rsidP="00A01380">
      <w:pPr>
        <w:pStyle w:val="EndNoteBibliography"/>
        <w:ind w:left="720" w:hanging="720"/>
      </w:pPr>
      <w:r w:rsidRPr="00A01380">
        <w:t xml:space="preserve">Capelle-Blancard, G., Crifo, P., Diaye, M.-A., Oueghlissi, R., &amp; Scholtens, B. (2019). Sovereign bond yield spreads and sustainability: An empirical analysis of OECD countries. </w:t>
      </w:r>
      <w:r w:rsidRPr="00A01380">
        <w:rPr>
          <w:i/>
        </w:rPr>
        <w:t>Journal of Banking &amp; Finance</w:t>
      </w:r>
      <w:r w:rsidRPr="00A01380">
        <w:t>,</w:t>
      </w:r>
      <w:r w:rsidRPr="00A01380">
        <w:rPr>
          <w:i/>
        </w:rPr>
        <w:t xml:space="preserve"> 98</w:t>
      </w:r>
      <w:r w:rsidRPr="00A01380">
        <w:t xml:space="preserve">, 156-169. </w:t>
      </w:r>
    </w:p>
    <w:p w14:paraId="404792E7" w14:textId="77777777" w:rsidR="00A01380" w:rsidRPr="00A01380" w:rsidRDefault="00A01380" w:rsidP="00A01380">
      <w:pPr>
        <w:pStyle w:val="EndNoteBibliography"/>
        <w:ind w:left="720" w:hanging="720"/>
      </w:pPr>
      <w:r w:rsidRPr="00A01380">
        <w:rPr>
          <w:rFonts w:hint="eastAsia"/>
        </w:rPr>
        <w:t>Castells</w:t>
      </w:r>
      <w:r w:rsidRPr="00A01380">
        <w:rPr>
          <w:rFonts w:hint="eastAsia"/>
        </w:rPr>
        <w:t>‐</w:t>
      </w:r>
      <w:r w:rsidRPr="00A01380">
        <w:rPr>
          <w:rFonts w:hint="eastAsia"/>
        </w:rPr>
        <w:t xml:space="preserve">Quintana, D., Royuela, V., &amp; Thiel, F. (2019). Inequality and sustainable development: Insights from an analysis of the human development index. </w:t>
      </w:r>
      <w:r w:rsidRPr="00A01380">
        <w:rPr>
          <w:rFonts w:hint="eastAsia"/>
          <w:i/>
        </w:rPr>
        <w:t>Sustainable D</w:t>
      </w:r>
      <w:r w:rsidRPr="00A01380">
        <w:rPr>
          <w:i/>
        </w:rPr>
        <w:t>evelopment</w:t>
      </w:r>
      <w:r w:rsidRPr="00A01380">
        <w:t>,</w:t>
      </w:r>
      <w:r w:rsidRPr="00A01380">
        <w:rPr>
          <w:i/>
        </w:rPr>
        <w:t xml:space="preserve"> 27</w:t>
      </w:r>
      <w:r w:rsidRPr="00A01380">
        <w:t xml:space="preserve">(3), 448-460. </w:t>
      </w:r>
    </w:p>
    <w:p w14:paraId="42503532" w14:textId="77777777" w:rsidR="00A01380" w:rsidRPr="00A01380" w:rsidRDefault="00A01380" w:rsidP="00A01380">
      <w:pPr>
        <w:pStyle w:val="EndNoteBibliography"/>
        <w:ind w:left="720" w:hanging="720"/>
      </w:pPr>
      <w:r w:rsidRPr="00A01380">
        <w:t xml:space="preserve">Cernev, T., &amp; Fenner, R. (2020). The importance of achieving foundational Sustainable Development Goals in reducing global risk. </w:t>
      </w:r>
      <w:r w:rsidRPr="00A01380">
        <w:rPr>
          <w:i/>
        </w:rPr>
        <w:t>Futures</w:t>
      </w:r>
      <w:r w:rsidRPr="00A01380">
        <w:t>,</w:t>
      </w:r>
      <w:r w:rsidRPr="00A01380">
        <w:rPr>
          <w:i/>
        </w:rPr>
        <w:t xml:space="preserve"> 115</w:t>
      </w:r>
      <w:r w:rsidRPr="00A01380">
        <w:t xml:space="preserve">, 102492. </w:t>
      </w:r>
    </w:p>
    <w:p w14:paraId="3E9BE5E3" w14:textId="2F02C90E" w:rsidR="00A01380" w:rsidRDefault="00A01380" w:rsidP="00A01380">
      <w:pPr>
        <w:pStyle w:val="EndNoteBibliography"/>
        <w:ind w:left="720" w:hanging="720"/>
      </w:pPr>
      <w:r w:rsidRPr="00A01380">
        <w:lastRenderedPageBreak/>
        <w:t xml:space="preserve">Cheng, C. H. J., &amp; Chiu, C.-W. J. (2018). How important are global geopolitical risks to emerging countries? </w:t>
      </w:r>
      <w:r w:rsidRPr="00A01380">
        <w:rPr>
          <w:i/>
        </w:rPr>
        <w:t>International economics</w:t>
      </w:r>
      <w:r w:rsidRPr="00A01380">
        <w:t>,</w:t>
      </w:r>
      <w:r w:rsidRPr="00A01380">
        <w:rPr>
          <w:i/>
        </w:rPr>
        <w:t xml:space="preserve"> 156</w:t>
      </w:r>
      <w:r w:rsidRPr="00A01380">
        <w:t xml:space="preserve">, 305-325. </w:t>
      </w:r>
    </w:p>
    <w:p w14:paraId="18E7E423" w14:textId="64279678" w:rsidR="007D6C2B" w:rsidRPr="007D6C2B" w:rsidRDefault="007D6C2B" w:rsidP="00A01380">
      <w:pPr>
        <w:pStyle w:val="EndNoteBibliography"/>
        <w:ind w:left="720" w:hanging="720"/>
        <w:rPr>
          <w:color w:val="0000CC"/>
        </w:rPr>
      </w:pPr>
      <w:r w:rsidRPr="007D6C2B">
        <w:rPr>
          <w:color w:val="0000CC"/>
        </w:rPr>
        <w:t xml:space="preserve">Chopra, M. and Mehta, C., 2022. Going green: Do green bonds act as a hedge and safe haven for stock sector risk?. </w:t>
      </w:r>
      <w:r w:rsidRPr="007D6C2B">
        <w:rPr>
          <w:i/>
          <w:iCs/>
          <w:color w:val="0000CC"/>
        </w:rPr>
        <w:t xml:space="preserve">Finance Research Letters, </w:t>
      </w:r>
      <w:r>
        <w:rPr>
          <w:color w:val="0000CC"/>
        </w:rPr>
        <w:t xml:space="preserve">51, </w:t>
      </w:r>
      <w:r w:rsidRPr="007D6C2B">
        <w:rPr>
          <w:color w:val="0000CC"/>
        </w:rPr>
        <w:t>p.103357.</w:t>
      </w:r>
    </w:p>
    <w:p w14:paraId="0AE9FC41" w14:textId="77777777" w:rsidR="00A01380" w:rsidRPr="00A01380" w:rsidRDefault="00A01380" w:rsidP="00A01380">
      <w:pPr>
        <w:pStyle w:val="EndNoteBibliography"/>
        <w:ind w:left="720" w:hanging="720"/>
      </w:pPr>
      <w:r w:rsidRPr="00A01380">
        <w:t xml:space="preserve">Cunado, J., Gupta, R., Lau, C. K. M., &amp; Sheng, X. (2020). Time-varying impact of geopolitical risks on oil prices. </w:t>
      </w:r>
      <w:r w:rsidRPr="00A01380">
        <w:rPr>
          <w:i/>
        </w:rPr>
        <w:t>Defence and Peace Economics</w:t>
      </w:r>
      <w:r w:rsidRPr="00A01380">
        <w:t>,</w:t>
      </w:r>
      <w:r w:rsidRPr="00A01380">
        <w:rPr>
          <w:i/>
        </w:rPr>
        <w:t xml:space="preserve"> 31</w:t>
      </w:r>
      <w:r w:rsidRPr="00A01380">
        <w:t xml:space="preserve">(6), 692-706. </w:t>
      </w:r>
    </w:p>
    <w:p w14:paraId="6FA5E67E" w14:textId="77777777" w:rsidR="00A01380" w:rsidRPr="00A01380" w:rsidRDefault="00A01380" w:rsidP="00A01380">
      <w:pPr>
        <w:pStyle w:val="EndNoteBibliography"/>
        <w:ind w:left="720" w:hanging="720"/>
      </w:pPr>
      <w:r w:rsidRPr="00A01380">
        <w:t xml:space="preserve">De Grauwe, P., Ji, Y., &amp; Macchiarelli, C. (2017). Fundamentals versus market sentiments in the euro bond markets: implications for QE. </w:t>
      </w:r>
    </w:p>
    <w:p w14:paraId="5C0432EC" w14:textId="77777777" w:rsidR="00A01380" w:rsidRPr="00A01380" w:rsidRDefault="00A01380" w:rsidP="00A01380">
      <w:pPr>
        <w:pStyle w:val="EndNoteBibliography"/>
        <w:ind w:left="720" w:hanging="720"/>
      </w:pPr>
      <w:r w:rsidRPr="00A01380">
        <w:t xml:space="preserve">Demirer, R., Gupta, R., Ji, Q., &amp; Tiwari, A. K. (2019). Geopolitical risks and the predictability of regional oil returns and volatility. </w:t>
      </w:r>
      <w:r w:rsidRPr="00A01380">
        <w:rPr>
          <w:i/>
        </w:rPr>
        <w:t>OPEC Energy Review</w:t>
      </w:r>
      <w:r w:rsidRPr="00A01380">
        <w:t>,</w:t>
      </w:r>
      <w:r w:rsidRPr="00A01380">
        <w:rPr>
          <w:i/>
        </w:rPr>
        <w:t xml:space="preserve"> 43</w:t>
      </w:r>
      <w:r w:rsidRPr="00A01380">
        <w:t xml:space="preserve">(3), 342-361. </w:t>
      </w:r>
    </w:p>
    <w:p w14:paraId="4C397CBA" w14:textId="77777777" w:rsidR="00A01380" w:rsidRPr="00A01380" w:rsidRDefault="00A01380" w:rsidP="00A01380">
      <w:pPr>
        <w:pStyle w:val="EndNoteBibliography"/>
        <w:ind w:left="720" w:hanging="720"/>
      </w:pPr>
      <w:r w:rsidRPr="00A01380">
        <w:t xml:space="preserve">Demirer, R., Gupta, R., Suleman, T., &amp; Wohar, M. E. (2018). Time-varying rare disaster risks, oil returns and volatility. </w:t>
      </w:r>
      <w:r w:rsidRPr="00A01380">
        <w:rPr>
          <w:i/>
        </w:rPr>
        <w:t>Energy Economics</w:t>
      </w:r>
      <w:r w:rsidRPr="00A01380">
        <w:t>,</w:t>
      </w:r>
      <w:r w:rsidRPr="00A01380">
        <w:rPr>
          <w:i/>
        </w:rPr>
        <w:t xml:space="preserve"> 75</w:t>
      </w:r>
      <w:r w:rsidRPr="00A01380">
        <w:t xml:space="preserve">, 239-248. </w:t>
      </w:r>
    </w:p>
    <w:p w14:paraId="10AD0109" w14:textId="77777777" w:rsidR="00A01380" w:rsidRPr="00A01380" w:rsidRDefault="00A01380" w:rsidP="00A01380">
      <w:pPr>
        <w:pStyle w:val="EndNoteBibliography"/>
        <w:ind w:left="720" w:hanging="720"/>
      </w:pPr>
      <w:r w:rsidRPr="00A01380">
        <w:t xml:space="preserve">Doyle, M. W., &amp; Stiglitz, J. E. (2014). Eliminating extreme inequality: A sustainable development goal, 2015–2030. </w:t>
      </w:r>
      <w:r w:rsidRPr="00A01380">
        <w:rPr>
          <w:i/>
        </w:rPr>
        <w:t>Ethics &amp; International Affairs</w:t>
      </w:r>
      <w:r w:rsidRPr="00A01380">
        <w:t>,</w:t>
      </w:r>
      <w:r w:rsidRPr="00A01380">
        <w:rPr>
          <w:i/>
        </w:rPr>
        <w:t xml:space="preserve"> 28</w:t>
      </w:r>
      <w:r w:rsidRPr="00A01380">
        <w:t xml:space="preserve">(1), 5-13. </w:t>
      </w:r>
    </w:p>
    <w:p w14:paraId="0D5EF065" w14:textId="77777777" w:rsidR="00A01380" w:rsidRPr="00A01380" w:rsidRDefault="00A01380" w:rsidP="00A01380">
      <w:pPr>
        <w:pStyle w:val="EndNoteBibliography"/>
        <w:ind w:left="720" w:hanging="720"/>
      </w:pPr>
      <w:r w:rsidRPr="00A01380">
        <w:t xml:space="preserve">Dutta, A., Jana, R., &amp; Das, D. (2020). Do green investments react to oil price shocks? Implications for sustainable development. </w:t>
      </w:r>
      <w:r w:rsidRPr="00A01380">
        <w:rPr>
          <w:i/>
        </w:rPr>
        <w:t>Journal of Cleaner Production</w:t>
      </w:r>
      <w:r w:rsidRPr="00A01380">
        <w:t>,</w:t>
      </w:r>
      <w:r w:rsidRPr="00A01380">
        <w:rPr>
          <w:i/>
        </w:rPr>
        <w:t xml:space="preserve"> 266</w:t>
      </w:r>
      <w:r w:rsidRPr="00A01380">
        <w:t xml:space="preserve">, 121956. </w:t>
      </w:r>
    </w:p>
    <w:p w14:paraId="3FB0CEA2" w14:textId="77777777" w:rsidR="00A01380" w:rsidRPr="00A01380" w:rsidRDefault="00A01380" w:rsidP="00A01380">
      <w:pPr>
        <w:pStyle w:val="EndNoteBibliography"/>
        <w:ind w:left="720" w:hanging="720"/>
      </w:pPr>
      <w:r w:rsidRPr="00A01380">
        <w:t xml:space="preserve">Febi, W., Schäfer, D., Stephan, A., &amp; Sun, C. (2018). The impact of liquidity risk on the yield spread of green bonds. </w:t>
      </w:r>
      <w:r w:rsidRPr="00A01380">
        <w:rPr>
          <w:i/>
        </w:rPr>
        <w:t>Finance Research Letters</w:t>
      </w:r>
      <w:r w:rsidRPr="00A01380">
        <w:t>,</w:t>
      </w:r>
      <w:r w:rsidRPr="00A01380">
        <w:rPr>
          <w:i/>
        </w:rPr>
        <w:t xml:space="preserve"> 27</w:t>
      </w:r>
      <w:r w:rsidRPr="00A01380">
        <w:t xml:space="preserve">, 53-59. </w:t>
      </w:r>
    </w:p>
    <w:p w14:paraId="019F1BB3" w14:textId="77777777" w:rsidR="00A01380" w:rsidRPr="00A01380" w:rsidRDefault="00A01380" w:rsidP="00A01380">
      <w:pPr>
        <w:pStyle w:val="EndNoteBibliography"/>
        <w:ind w:left="720" w:hanging="720"/>
      </w:pPr>
      <w:r w:rsidRPr="00A01380">
        <w:t xml:space="preserve">Fernandez, V. (2008). The war on terror and its impact on the long-term volatility of financial markets. </w:t>
      </w:r>
      <w:r w:rsidRPr="00A01380">
        <w:rPr>
          <w:i/>
        </w:rPr>
        <w:t>International Review of Financial Analysis</w:t>
      </w:r>
      <w:r w:rsidRPr="00A01380">
        <w:t>,</w:t>
      </w:r>
      <w:r w:rsidRPr="00A01380">
        <w:rPr>
          <w:i/>
        </w:rPr>
        <w:t xml:space="preserve"> 17</w:t>
      </w:r>
      <w:r w:rsidRPr="00A01380">
        <w:t xml:space="preserve">(1), 1-26. </w:t>
      </w:r>
    </w:p>
    <w:p w14:paraId="2A6E06CA" w14:textId="77777777" w:rsidR="00A01380" w:rsidRPr="00A01380" w:rsidRDefault="00A01380" w:rsidP="00A01380">
      <w:pPr>
        <w:pStyle w:val="EndNoteBibliography"/>
        <w:ind w:left="720" w:hanging="720"/>
      </w:pPr>
      <w:r w:rsidRPr="00A01380">
        <w:t xml:space="preserve">Ferrer, R., Shahzad, S. J. H., López, R., &amp; Jareño, F. (2018). Time and frequency dynamics of connectedness between renewable energy stocks and crude oil prices. </w:t>
      </w:r>
      <w:r w:rsidRPr="00A01380">
        <w:rPr>
          <w:i/>
        </w:rPr>
        <w:t>Energy Economics</w:t>
      </w:r>
      <w:r w:rsidRPr="00A01380">
        <w:t>,</w:t>
      </w:r>
      <w:r w:rsidRPr="00A01380">
        <w:rPr>
          <w:i/>
        </w:rPr>
        <w:t xml:space="preserve"> 76</w:t>
      </w:r>
      <w:r w:rsidRPr="00A01380">
        <w:t xml:space="preserve">, 1-20. </w:t>
      </w:r>
    </w:p>
    <w:p w14:paraId="64E8385A" w14:textId="77777777" w:rsidR="00A01380" w:rsidRPr="00A01380" w:rsidRDefault="00A01380" w:rsidP="00A01380">
      <w:pPr>
        <w:pStyle w:val="EndNoteBibliography"/>
        <w:ind w:left="720" w:hanging="720"/>
      </w:pPr>
      <w:r w:rsidRPr="00A01380">
        <w:t xml:space="preserve">Flammer, C. (2019). Corporate green bonds. </w:t>
      </w:r>
      <w:r w:rsidRPr="00A01380">
        <w:rPr>
          <w:i/>
        </w:rPr>
        <w:t>Academy of Management Global Proceedings</w:t>
      </w:r>
      <w:r w:rsidRPr="00A01380">
        <w:t xml:space="preserve">(2019), 136. </w:t>
      </w:r>
    </w:p>
    <w:p w14:paraId="1388EFC0" w14:textId="77777777" w:rsidR="00A01380" w:rsidRPr="00A01380" w:rsidRDefault="00A01380" w:rsidP="00A01380">
      <w:pPr>
        <w:pStyle w:val="EndNoteBibliography"/>
        <w:ind w:left="720" w:hanging="720"/>
      </w:pPr>
      <w:r w:rsidRPr="00A01380">
        <w:t xml:space="preserve">Forouli, A., Nikas, A., Van de Ven, D.-J., Sampedro, J., &amp; Doukas, H. (2020). A multiple-uncertainty analysis framework for integrated assessment modelling of several sustainable development goals. </w:t>
      </w:r>
      <w:r w:rsidRPr="00A01380">
        <w:rPr>
          <w:i/>
        </w:rPr>
        <w:t>Environmental Modelling &amp; Software</w:t>
      </w:r>
      <w:r w:rsidRPr="00A01380">
        <w:t>,</w:t>
      </w:r>
      <w:r w:rsidRPr="00A01380">
        <w:rPr>
          <w:i/>
        </w:rPr>
        <w:t xml:space="preserve"> 131</w:t>
      </w:r>
      <w:r w:rsidRPr="00A01380">
        <w:t xml:space="preserve">, 104795. </w:t>
      </w:r>
    </w:p>
    <w:p w14:paraId="2DFC8293" w14:textId="77777777" w:rsidR="00A01380" w:rsidRPr="00A01380" w:rsidRDefault="00A01380" w:rsidP="00A01380">
      <w:pPr>
        <w:pStyle w:val="EndNoteBibliography"/>
        <w:ind w:left="720" w:hanging="720"/>
      </w:pPr>
      <w:r w:rsidRPr="00A01380">
        <w:t xml:space="preserve">Hopwood, B., Mellor, M., &amp; O'Brien, G. (2005). Sustainable development: mapping different approaches. </w:t>
      </w:r>
      <w:r w:rsidRPr="00A01380">
        <w:rPr>
          <w:i/>
        </w:rPr>
        <w:t>Sustainable Development</w:t>
      </w:r>
      <w:r w:rsidRPr="00A01380">
        <w:t>,</w:t>
      </w:r>
      <w:r w:rsidRPr="00A01380">
        <w:rPr>
          <w:i/>
        </w:rPr>
        <w:t xml:space="preserve"> 13</w:t>
      </w:r>
      <w:r w:rsidRPr="00A01380">
        <w:t xml:space="preserve">(1), 38-52. </w:t>
      </w:r>
    </w:p>
    <w:p w14:paraId="0547A07A" w14:textId="77777777" w:rsidR="00A01380" w:rsidRPr="00A01380" w:rsidRDefault="00A01380" w:rsidP="00A01380">
      <w:pPr>
        <w:pStyle w:val="EndNoteBibliography"/>
        <w:ind w:left="720" w:hanging="720"/>
      </w:pPr>
      <w:r w:rsidRPr="00A01380">
        <w:t xml:space="preserve">Hunjra, A. I., Azam, M., Bruna, M. G., Verhoeven, P., &amp; Al-Faryan, M. A. S. (2022). Sustainable development: The impact of political risk, macroeconomic policy uncertainty and ethnic conflict. </w:t>
      </w:r>
      <w:r w:rsidRPr="00A01380">
        <w:rPr>
          <w:i/>
        </w:rPr>
        <w:t>International Review of Financial Analysis</w:t>
      </w:r>
      <w:r w:rsidRPr="00A01380">
        <w:t xml:space="preserve">, 102370. </w:t>
      </w:r>
    </w:p>
    <w:p w14:paraId="4DF2389A" w14:textId="77777777" w:rsidR="00A01380" w:rsidRPr="00A01380" w:rsidRDefault="00A01380" w:rsidP="00A01380">
      <w:pPr>
        <w:pStyle w:val="EndNoteBibliography"/>
        <w:ind w:left="720" w:hanging="720"/>
      </w:pPr>
      <w:r w:rsidRPr="00A01380">
        <w:t xml:space="preserve">Huynh, T. L. D., Hille, E., &amp; Nasir, M. A. (2020). Diversification in the age of the 4th industrial revolution: The role of artificial intelligence, green bonds and cryptocurrencies. </w:t>
      </w:r>
      <w:r w:rsidRPr="00A01380">
        <w:rPr>
          <w:i/>
        </w:rPr>
        <w:t>Technological Forecasting and Social Change</w:t>
      </w:r>
      <w:r w:rsidRPr="00A01380">
        <w:t>,</w:t>
      </w:r>
      <w:r w:rsidRPr="00A01380">
        <w:rPr>
          <w:i/>
        </w:rPr>
        <w:t xml:space="preserve"> 159</w:t>
      </w:r>
      <w:r w:rsidRPr="00A01380">
        <w:t xml:space="preserve">, 120188. </w:t>
      </w:r>
    </w:p>
    <w:p w14:paraId="43C8C858" w14:textId="77777777" w:rsidR="00A01380" w:rsidRPr="00A01380" w:rsidRDefault="00A01380" w:rsidP="00A01380">
      <w:pPr>
        <w:pStyle w:val="EndNoteBibliography"/>
        <w:ind w:left="720" w:hanging="720"/>
      </w:pPr>
      <w:r w:rsidRPr="00A01380">
        <w:t xml:space="preserve">Kanamura, T. (2020). Are green bonds environmentally friendly and good performing assets? </w:t>
      </w:r>
      <w:r w:rsidRPr="00A01380">
        <w:rPr>
          <w:i/>
        </w:rPr>
        <w:t>Energy Economics</w:t>
      </w:r>
      <w:r w:rsidRPr="00A01380">
        <w:t>,</w:t>
      </w:r>
      <w:r w:rsidRPr="00A01380">
        <w:rPr>
          <w:i/>
        </w:rPr>
        <w:t xml:space="preserve"> 88</w:t>
      </w:r>
      <w:r w:rsidRPr="00A01380">
        <w:t xml:space="preserve">, 104767. </w:t>
      </w:r>
    </w:p>
    <w:p w14:paraId="7D5842F6" w14:textId="77777777" w:rsidR="00A01380" w:rsidRPr="00A01380" w:rsidRDefault="00A01380" w:rsidP="00A01380">
      <w:pPr>
        <w:pStyle w:val="EndNoteBibliography"/>
        <w:ind w:left="720" w:hanging="720"/>
      </w:pPr>
      <w:r w:rsidRPr="00A01380">
        <w:t xml:space="preserve">Kang, W., Ratti, R. A., &amp; Yoon, K. H. (2014). The impact of oil price shocks on US bond market returns. </w:t>
      </w:r>
      <w:r w:rsidRPr="00A01380">
        <w:rPr>
          <w:i/>
        </w:rPr>
        <w:t>Energy Economics</w:t>
      </w:r>
      <w:r w:rsidRPr="00A01380">
        <w:t>,</w:t>
      </w:r>
      <w:r w:rsidRPr="00A01380">
        <w:rPr>
          <w:i/>
        </w:rPr>
        <w:t xml:space="preserve"> 44</w:t>
      </w:r>
      <w:r w:rsidRPr="00A01380">
        <w:t xml:space="preserve">, 248-258. </w:t>
      </w:r>
    </w:p>
    <w:p w14:paraId="160FA548" w14:textId="77777777" w:rsidR="00A01380" w:rsidRPr="00A01380" w:rsidRDefault="00A01380" w:rsidP="00A01380">
      <w:pPr>
        <w:pStyle w:val="EndNoteBibliography"/>
        <w:ind w:left="720" w:hanging="720"/>
      </w:pPr>
      <w:r w:rsidRPr="00A01380">
        <w:t xml:space="preserve">Koziuk, V., Hayda, Y., Dluhopolskyi, O., &amp; Kozlovskyi, S. (2020). Ecological performance: ethnic fragmentation versus governance quality and sustainable development. In. </w:t>
      </w:r>
    </w:p>
    <w:p w14:paraId="4A0D5ED9" w14:textId="77777777" w:rsidR="00A01380" w:rsidRPr="00A01380" w:rsidRDefault="00A01380" w:rsidP="00A01380">
      <w:pPr>
        <w:pStyle w:val="EndNoteBibliography"/>
        <w:ind w:left="720" w:hanging="720"/>
      </w:pPr>
      <w:r w:rsidRPr="00A01380">
        <w:t xml:space="preserve">Lee, C.-C., Lee, C.-C., &amp; Li, Y.-Y. (2021). Oil price shocks, geopolitical risks, and green bond market dynamics. </w:t>
      </w:r>
      <w:r w:rsidRPr="00A01380">
        <w:rPr>
          <w:i/>
        </w:rPr>
        <w:t>The North American Journal of Economics and Finance</w:t>
      </w:r>
      <w:r w:rsidRPr="00A01380">
        <w:t>,</w:t>
      </w:r>
      <w:r w:rsidRPr="00A01380">
        <w:rPr>
          <w:i/>
        </w:rPr>
        <w:t xml:space="preserve"> 55</w:t>
      </w:r>
      <w:r w:rsidRPr="00A01380">
        <w:t xml:space="preserve">, 101309. </w:t>
      </w:r>
    </w:p>
    <w:p w14:paraId="5C01A614" w14:textId="77777777" w:rsidR="00A01380" w:rsidRPr="00A01380" w:rsidRDefault="00A01380" w:rsidP="00A01380">
      <w:pPr>
        <w:pStyle w:val="EndNoteBibliography"/>
        <w:ind w:left="720" w:hanging="720"/>
      </w:pPr>
      <w:r w:rsidRPr="00A01380">
        <w:t xml:space="preserve">Liu, J., Ma, F., Tang, Y., &amp; Zhang, Y. (2019). Geopolitical risk and oil volatility: A new insight. </w:t>
      </w:r>
      <w:r w:rsidRPr="00A01380">
        <w:rPr>
          <w:i/>
        </w:rPr>
        <w:t>Energy Economics</w:t>
      </w:r>
      <w:r w:rsidRPr="00A01380">
        <w:t>,</w:t>
      </w:r>
      <w:r w:rsidRPr="00A01380">
        <w:rPr>
          <w:i/>
        </w:rPr>
        <w:t xml:space="preserve"> 84</w:t>
      </w:r>
      <w:r w:rsidRPr="00A01380">
        <w:t xml:space="preserve">, 104548. </w:t>
      </w:r>
    </w:p>
    <w:p w14:paraId="462BC75A" w14:textId="2CF9AF2A" w:rsidR="00A01380" w:rsidRPr="00A01380" w:rsidRDefault="00A01380" w:rsidP="00A01380">
      <w:pPr>
        <w:pStyle w:val="EndNoteBibliography"/>
        <w:ind w:left="720" w:hanging="720"/>
      </w:pPr>
      <w:r w:rsidRPr="00A01380">
        <w:lastRenderedPageBreak/>
        <w:t xml:space="preserve">Maltais, A., &amp; Nykvist, B. (2020). Understanding the role of green bonds in advancing sustainability. </w:t>
      </w:r>
      <w:r w:rsidRPr="00A01380">
        <w:rPr>
          <w:i/>
        </w:rPr>
        <w:t>Journal of Sustainable Finance &amp; Investment</w:t>
      </w:r>
      <w:r w:rsidRPr="00A01380">
        <w:t xml:space="preserve">, 1-20. </w:t>
      </w:r>
    </w:p>
    <w:p w14:paraId="4213DBAC" w14:textId="35F167CE" w:rsidR="00A01380" w:rsidRDefault="00A01380" w:rsidP="00A01380">
      <w:pPr>
        <w:pStyle w:val="EndNoteBibliography"/>
        <w:ind w:left="720" w:hanging="720"/>
      </w:pPr>
      <w:r w:rsidRPr="00A01380">
        <w:t xml:space="preserve">Marques, A. C., Fuinhas, J. A., &amp; Pereira, D. A. (2018). Have fossil fuels been substituted by renewables? An empirical assessment for 10 European countries. </w:t>
      </w:r>
      <w:r w:rsidRPr="00A01380">
        <w:rPr>
          <w:i/>
        </w:rPr>
        <w:t>Energy policy</w:t>
      </w:r>
      <w:r w:rsidRPr="00A01380">
        <w:t>,</w:t>
      </w:r>
      <w:r w:rsidRPr="00A01380">
        <w:rPr>
          <w:i/>
        </w:rPr>
        <w:t xml:space="preserve"> 116</w:t>
      </w:r>
      <w:r w:rsidRPr="00A01380">
        <w:t xml:space="preserve">, 257-265. </w:t>
      </w:r>
    </w:p>
    <w:p w14:paraId="09282C85" w14:textId="309BC71C" w:rsidR="007D6C2B" w:rsidRPr="007D6C2B" w:rsidRDefault="007D6C2B" w:rsidP="00A01380">
      <w:pPr>
        <w:pStyle w:val="EndNoteBibliography"/>
        <w:ind w:left="720" w:hanging="720"/>
        <w:rPr>
          <w:color w:val="0000CC"/>
        </w:rPr>
      </w:pPr>
      <w:r w:rsidRPr="007D6C2B">
        <w:rPr>
          <w:color w:val="0000CC"/>
        </w:rPr>
        <w:t xml:space="preserve">Masini, A. and Menichetti, E., 2013. Investment decisions in the renewable energy sector: An analysis of non-financial drivers. </w:t>
      </w:r>
      <w:r w:rsidRPr="007D6C2B">
        <w:rPr>
          <w:i/>
          <w:iCs/>
          <w:color w:val="0000CC"/>
        </w:rPr>
        <w:t>Technological Forecasting and Social Change,</w:t>
      </w:r>
      <w:r w:rsidRPr="007D6C2B">
        <w:rPr>
          <w:color w:val="0000CC"/>
        </w:rPr>
        <w:t xml:space="preserve"> 80(3), pp.510-524.</w:t>
      </w:r>
    </w:p>
    <w:p w14:paraId="01FF73EF" w14:textId="77777777" w:rsidR="00A01380" w:rsidRPr="00A01380" w:rsidRDefault="00A01380" w:rsidP="00A01380">
      <w:pPr>
        <w:pStyle w:val="EndNoteBibliography"/>
        <w:ind w:left="720" w:hanging="720"/>
      </w:pPr>
      <w:r w:rsidRPr="00A01380">
        <w:t xml:space="preserve">Mauerhofer, V. (2019). Legal institutions and ecological economics: Their common contribution for achieving a sustainable development. </w:t>
      </w:r>
      <w:r w:rsidRPr="00A01380">
        <w:rPr>
          <w:i/>
        </w:rPr>
        <w:t>Ecological Economics</w:t>
      </w:r>
      <w:r w:rsidRPr="00A01380">
        <w:t>,</w:t>
      </w:r>
      <w:r w:rsidRPr="00A01380">
        <w:rPr>
          <w:i/>
        </w:rPr>
        <w:t xml:space="preserve"> 156</w:t>
      </w:r>
      <w:r w:rsidRPr="00A01380">
        <w:t xml:space="preserve">, 350-359. </w:t>
      </w:r>
    </w:p>
    <w:p w14:paraId="5B6A9EBA" w14:textId="77777777" w:rsidR="00A01380" w:rsidRPr="00A01380" w:rsidRDefault="00A01380" w:rsidP="00A01380">
      <w:pPr>
        <w:pStyle w:val="EndNoteBibliography"/>
        <w:ind w:left="720" w:hanging="720"/>
      </w:pPr>
      <w:r w:rsidRPr="00A01380">
        <w:t xml:space="preserve">Mensi, W., Hammoudeh, S., Yoon, S. M., &amp; Nguyen, D. K. (2016). Asymmetric linkages between BRICS stock returns and country risk ratings: Evidence from dynamic panel threshold models. </w:t>
      </w:r>
      <w:r w:rsidRPr="00A01380">
        <w:rPr>
          <w:i/>
        </w:rPr>
        <w:t>Review of International Economics</w:t>
      </w:r>
      <w:r w:rsidRPr="00A01380">
        <w:t>,</w:t>
      </w:r>
      <w:r w:rsidRPr="00A01380">
        <w:rPr>
          <w:i/>
        </w:rPr>
        <w:t xml:space="preserve"> 24</w:t>
      </w:r>
      <w:r w:rsidRPr="00A01380">
        <w:t xml:space="preserve">(1), 1-19. </w:t>
      </w:r>
    </w:p>
    <w:p w14:paraId="779EBD8C" w14:textId="77777777" w:rsidR="00A01380" w:rsidRPr="00A01380" w:rsidRDefault="00A01380" w:rsidP="00A01380">
      <w:pPr>
        <w:pStyle w:val="EndNoteBibliography"/>
        <w:ind w:left="720" w:hanging="720"/>
      </w:pPr>
      <w:r w:rsidRPr="00A01380">
        <w:t xml:space="preserve">Nguyen, T. T. H., Naeem, M. A., Balli, F., Balli, H. O., &amp; Vo, X. V. (2021). Time-frequency comovement among green bonds, stocks, commodities, clean energy, and conventional bonds. </w:t>
      </w:r>
      <w:r w:rsidRPr="00A01380">
        <w:rPr>
          <w:i/>
        </w:rPr>
        <w:t>Finance Research Letters</w:t>
      </w:r>
      <w:r w:rsidRPr="00A01380">
        <w:t>,</w:t>
      </w:r>
      <w:r w:rsidRPr="00A01380">
        <w:rPr>
          <w:i/>
        </w:rPr>
        <w:t xml:space="preserve"> 40</w:t>
      </w:r>
      <w:r w:rsidRPr="00A01380">
        <w:t xml:space="preserve">, 101739. </w:t>
      </w:r>
    </w:p>
    <w:p w14:paraId="44FDBB37" w14:textId="77777777" w:rsidR="00A01380" w:rsidRPr="00A01380" w:rsidRDefault="00A01380" w:rsidP="00A01380">
      <w:pPr>
        <w:pStyle w:val="EndNoteBibliography"/>
        <w:ind w:left="720" w:hanging="720"/>
      </w:pPr>
      <w:r w:rsidRPr="00A01380">
        <w:t xml:space="preserve">Peng, C., Zhu, H., Guo, Y., &amp; Chen, X. (2018). Risk spillover of international crude oil to China's firms: Evidence from granger causality across quantile. </w:t>
      </w:r>
      <w:r w:rsidRPr="00A01380">
        <w:rPr>
          <w:i/>
        </w:rPr>
        <w:t>Energy Economics</w:t>
      </w:r>
      <w:r w:rsidRPr="00A01380">
        <w:t>,</w:t>
      </w:r>
      <w:r w:rsidRPr="00A01380">
        <w:rPr>
          <w:i/>
        </w:rPr>
        <w:t xml:space="preserve"> 72</w:t>
      </w:r>
      <w:r w:rsidRPr="00A01380">
        <w:t xml:space="preserve">, 188-199. </w:t>
      </w:r>
    </w:p>
    <w:p w14:paraId="1458D10E" w14:textId="77777777" w:rsidR="00A01380" w:rsidRPr="00A01380" w:rsidRDefault="00A01380" w:rsidP="00A01380">
      <w:pPr>
        <w:pStyle w:val="EndNoteBibliography"/>
        <w:ind w:left="720" w:hanging="720"/>
      </w:pPr>
      <w:r w:rsidRPr="00A01380">
        <w:t xml:space="preserve">Pham, L., &amp; Nguyen, C. P. (2022). How do stock, oil, and economic policy uncertainty influence the green bond market? </w:t>
      </w:r>
      <w:r w:rsidRPr="00A01380">
        <w:rPr>
          <w:i/>
        </w:rPr>
        <w:t>Finance Research Letters</w:t>
      </w:r>
      <w:r w:rsidRPr="00A01380">
        <w:t>,</w:t>
      </w:r>
      <w:r w:rsidRPr="00A01380">
        <w:rPr>
          <w:i/>
        </w:rPr>
        <w:t xml:space="preserve"> 45</w:t>
      </w:r>
      <w:r w:rsidRPr="00A01380">
        <w:t xml:space="preserve">, 102128. </w:t>
      </w:r>
    </w:p>
    <w:p w14:paraId="14B92890" w14:textId="77777777" w:rsidR="00A01380" w:rsidRPr="00A01380" w:rsidRDefault="00A01380" w:rsidP="00A01380">
      <w:pPr>
        <w:pStyle w:val="EndNoteBibliography"/>
        <w:ind w:left="720" w:hanging="720"/>
      </w:pPr>
      <w:r w:rsidRPr="00A01380">
        <w:t xml:space="preserve">Plakandaras, V., Gupta, R., &amp; Wong, W.-K. (2019). Point and density forecasts of oil returns: The role of geopolitical risks. </w:t>
      </w:r>
      <w:r w:rsidRPr="00A01380">
        <w:rPr>
          <w:i/>
        </w:rPr>
        <w:t>Resources Policy</w:t>
      </w:r>
      <w:r w:rsidRPr="00A01380">
        <w:t>,</w:t>
      </w:r>
      <w:r w:rsidRPr="00A01380">
        <w:rPr>
          <w:i/>
        </w:rPr>
        <w:t xml:space="preserve"> 62</w:t>
      </w:r>
      <w:r w:rsidRPr="00A01380">
        <w:t xml:space="preserve">, 580-587. </w:t>
      </w:r>
    </w:p>
    <w:p w14:paraId="5C22B4CA" w14:textId="77777777" w:rsidR="00A01380" w:rsidRPr="00A01380" w:rsidRDefault="00A01380" w:rsidP="00A01380">
      <w:pPr>
        <w:pStyle w:val="EndNoteBibliography"/>
        <w:ind w:left="720" w:hanging="720"/>
      </w:pPr>
      <w:r w:rsidRPr="00A01380">
        <w:t xml:space="preserve">Reboredo, J. C. (2018). Green bond and financial markets: Co-movement, diversification and price spillover effects. </w:t>
      </w:r>
      <w:r w:rsidRPr="00A01380">
        <w:rPr>
          <w:i/>
        </w:rPr>
        <w:t>Energy Economics</w:t>
      </w:r>
      <w:r w:rsidRPr="00A01380">
        <w:t>,</w:t>
      </w:r>
      <w:r w:rsidRPr="00A01380">
        <w:rPr>
          <w:i/>
        </w:rPr>
        <w:t xml:space="preserve"> 74</w:t>
      </w:r>
      <w:r w:rsidRPr="00A01380">
        <w:t xml:space="preserve">, 38-50. </w:t>
      </w:r>
    </w:p>
    <w:p w14:paraId="131764FD" w14:textId="77777777" w:rsidR="00A01380" w:rsidRPr="00A01380" w:rsidRDefault="00A01380" w:rsidP="00A01380">
      <w:pPr>
        <w:pStyle w:val="EndNoteBibliography"/>
        <w:ind w:left="720" w:hanging="720"/>
      </w:pPr>
      <w:r w:rsidRPr="00A01380">
        <w:t xml:space="preserve">Reboredo, J. C., Rivera-Castro, M. A., &amp; Ugolini, A. (2017). Wavelet-based test of co-movement and causality between oil and renewable energy stock prices. </w:t>
      </w:r>
      <w:r w:rsidRPr="00A01380">
        <w:rPr>
          <w:i/>
        </w:rPr>
        <w:t>Energy Economics</w:t>
      </w:r>
      <w:r w:rsidRPr="00A01380">
        <w:t>,</w:t>
      </w:r>
      <w:r w:rsidRPr="00A01380">
        <w:rPr>
          <w:i/>
        </w:rPr>
        <w:t xml:space="preserve"> 61</w:t>
      </w:r>
      <w:r w:rsidRPr="00A01380">
        <w:t xml:space="preserve">, 241-252. </w:t>
      </w:r>
    </w:p>
    <w:p w14:paraId="3B047E5C" w14:textId="77777777" w:rsidR="00A01380" w:rsidRPr="00A01380" w:rsidRDefault="00A01380" w:rsidP="00A01380">
      <w:pPr>
        <w:pStyle w:val="EndNoteBibliography"/>
        <w:ind w:left="720" w:hanging="720"/>
      </w:pPr>
      <w:r w:rsidRPr="00A01380">
        <w:t xml:space="preserve">Reboredo, J. C., &amp; Ugolini, A. (2020). Price connectedness between green bond and financial markets. </w:t>
      </w:r>
      <w:r w:rsidRPr="00A01380">
        <w:rPr>
          <w:i/>
        </w:rPr>
        <w:t>Economic Modelling</w:t>
      </w:r>
      <w:r w:rsidRPr="00A01380">
        <w:t>,</w:t>
      </w:r>
      <w:r w:rsidRPr="00A01380">
        <w:rPr>
          <w:i/>
        </w:rPr>
        <w:t xml:space="preserve"> 88</w:t>
      </w:r>
      <w:r w:rsidRPr="00A01380">
        <w:t xml:space="preserve">, 25-38. </w:t>
      </w:r>
    </w:p>
    <w:p w14:paraId="525C672D" w14:textId="21BDF565" w:rsidR="00A01380" w:rsidRDefault="00A01380" w:rsidP="00A01380">
      <w:pPr>
        <w:pStyle w:val="EndNoteBibliography"/>
        <w:ind w:left="720" w:hanging="720"/>
      </w:pPr>
      <w:r w:rsidRPr="00A01380">
        <w:t xml:space="preserve">Ren, X., Li, Y., Wen, F., &amp; Lu, Z. (2022). The interrelationship between the carbon market and the green bonds market: Evidence from wavelet quantile-on-quantile method. </w:t>
      </w:r>
      <w:r w:rsidRPr="00A01380">
        <w:rPr>
          <w:i/>
        </w:rPr>
        <w:t>Technological Forecasting and Social Change</w:t>
      </w:r>
      <w:r w:rsidRPr="00A01380">
        <w:t>,</w:t>
      </w:r>
      <w:r w:rsidRPr="00A01380">
        <w:rPr>
          <w:i/>
        </w:rPr>
        <w:t xml:space="preserve"> 179</w:t>
      </w:r>
      <w:r w:rsidRPr="00A01380">
        <w:t xml:space="preserve">, 121611. </w:t>
      </w:r>
    </w:p>
    <w:p w14:paraId="0F7BEFD2" w14:textId="0CEAB516" w:rsidR="004A63F6" w:rsidRPr="004A63F6" w:rsidRDefault="004A63F6" w:rsidP="00A01380">
      <w:pPr>
        <w:pStyle w:val="EndNoteBibliography"/>
        <w:ind w:left="720" w:hanging="720"/>
        <w:rPr>
          <w:color w:val="0000CC"/>
        </w:rPr>
      </w:pPr>
      <w:r w:rsidRPr="004A63F6">
        <w:rPr>
          <w:color w:val="0000CC"/>
        </w:rPr>
        <w:t xml:space="preserve">Shahbaz, M., Nasir, M.A., Hille, E. and Mahalik, M.K., 2020. UK's net-zero carbon emissions target: Investigating the potential role of economic growth, financial development, and R&amp;D expenditures based on historical data (1870–2017). </w:t>
      </w:r>
      <w:r w:rsidRPr="004A63F6">
        <w:rPr>
          <w:i/>
          <w:iCs/>
          <w:color w:val="0000CC"/>
        </w:rPr>
        <w:t>Technological Forecasting and Social Change</w:t>
      </w:r>
      <w:r w:rsidRPr="004A63F6">
        <w:rPr>
          <w:color w:val="0000CC"/>
        </w:rPr>
        <w:t>, 161, p.120255.</w:t>
      </w:r>
    </w:p>
    <w:p w14:paraId="191A2EEB" w14:textId="77777777" w:rsidR="00A01380" w:rsidRPr="00A01380" w:rsidRDefault="00A01380" w:rsidP="00A01380">
      <w:pPr>
        <w:pStyle w:val="EndNoteBibliography"/>
        <w:ind w:left="720" w:hanging="720"/>
      </w:pPr>
      <w:r w:rsidRPr="00A01380">
        <w:t xml:space="preserve">Silvapulle, P., Fenech, J. P., Thomas, A., &amp; Brooks, R. (2016). Determinants of sovereign bond yield spreads and contagion in the peripheral EU countries. </w:t>
      </w:r>
      <w:r w:rsidRPr="00A01380">
        <w:rPr>
          <w:i/>
        </w:rPr>
        <w:t>Economic Modelling</w:t>
      </w:r>
      <w:r w:rsidRPr="00A01380">
        <w:t>,</w:t>
      </w:r>
      <w:r w:rsidRPr="00A01380">
        <w:rPr>
          <w:i/>
        </w:rPr>
        <w:t xml:space="preserve"> 58</w:t>
      </w:r>
      <w:r w:rsidRPr="00A01380">
        <w:t xml:space="preserve">, 83-92. </w:t>
      </w:r>
    </w:p>
    <w:p w14:paraId="7E973620" w14:textId="77777777" w:rsidR="00A01380" w:rsidRPr="00A01380" w:rsidRDefault="00A01380" w:rsidP="00A01380">
      <w:pPr>
        <w:pStyle w:val="EndNoteBibliography"/>
        <w:ind w:left="720" w:hanging="720"/>
      </w:pPr>
      <w:r w:rsidRPr="00A01380">
        <w:t xml:space="preserve">Suarez, A., Arias-Arévalo, P., Martinez-Mera, E., Granobles-Torres, J. C., &amp; Enríquez-Acevedo, T. (2018). Involving victim population in environmentally sustainable strategies: An analysis for post-conflict Colombia. </w:t>
      </w:r>
      <w:r w:rsidRPr="00A01380">
        <w:rPr>
          <w:i/>
        </w:rPr>
        <w:t>Science of the total environment</w:t>
      </w:r>
      <w:r w:rsidRPr="00A01380">
        <w:t>,</w:t>
      </w:r>
      <w:r w:rsidRPr="00A01380">
        <w:rPr>
          <w:i/>
        </w:rPr>
        <w:t xml:space="preserve"> 643</w:t>
      </w:r>
      <w:r w:rsidRPr="00A01380">
        <w:t xml:space="preserve">, 1223-1231. </w:t>
      </w:r>
    </w:p>
    <w:p w14:paraId="5544266C" w14:textId="77777777" w:rsidR="00A01380" w:rsidRPr="00A01380" w:rsidRDefault="00A01380" w:rsidP="00A01380">
      <w:pPr>
        <w:pStyle w:val="EndNoteBibliography"/>
        <w:ind w:left="720" w:hanging="720"/>
      </w:pPr>
      <w:r w:rsidRPr="00A01380">
        <w:t xml:space="preserve">Tang, D. Y., &amp; Zhang, Y. (2020). Do shareholders benefit from green bonds? </w:t>
      </w:r>
      <w:r w:rsidRPr="00A01380">
        <w:rPr>
          <w:i/>
        </w:rPr>
        <w:t>Journal of Corporate Finance</w:t>
      </w:r>
      <w:r w:rsidRPr="00A01380">
        <w:t>,</w:t>
      </w:r>
      <w:r w:rsidRPr="00A01380">
        <w:rPr>
          <w:i/>
        </w:rPr>
        <w:t xml:space="preserve"> 61</w:t>
      </w:r>
      <w:r w:rsidRPr="00A01380">
        <w:t xml:space="preserve">, 101427. </w:t>
      </w:r>
    </w:p>
    <w:p w14:paraId="5F795178" w14:textId="77777777" w:rsidR="00A01380" w:rsidRPr="00A01380" w:rsidRDefault="00A01380" w:rsidP="00A01380">
      <w:pPr>
        <w:pStyle w:val="EndNoteBibliography"/>
        <w:ind w:left="720" w:hanging="720"/>
      </w:pPr>
      <w:r w:rsidRPr="00A01380">
        <w:t xml:space="preserve">Tang, W., Wu, L., &amp; Zhang, Z. (2010). Oil price shocks and their short-and long-term effects on the Chinese economy. </w:t>
      </w:r>
      <w:r w:rsidRPr="00A01380">
        <w:rPr>
          <w:i/>
        </w:rPr>
        <w:t>Energy Economics</w:t>
      </w:r>
      <w:r w:rsidRPr="00A01380">
        <w:t>,</w:t>
      </w:r>
      <w:r w:rsidRPr="00A01380">
        <w:rPr>
          <w:i/>
        </w:rPr>
        <w:t xml:space="preserve"> 32</w:t>
      </w:r>
      <w:r w:rsidRPr="00A01380">
        <w:t xml:space="preserve">, S3-S14. </w:t>
      </w:r>
    </w:p>
    <w:p w14:paraId="53C12443" w14:textId="77777777" w:rsidR="00A01380" w:rsidRPr="00A01380" w:rsidRDefault="00A01380" w:rsidP="00A01380">
      <w:pPr>
        <w:pStyle w:val="EndNoteBibliography"/>
        <w:ind w:left="720" w:hanging="720"/>
      </w:pPr>
      <w:r w:rsidRPr="00A01380">
        <w:lastRenderedPageBreak/>
        <w:t xml:space="preserve">Troster, V., Shahbaz, M., &amp; Uddin, G. S. (2018). Renewable energy, oil prices, and economic activity: A Granger-causality in quantiles analysis. </w:t>
      </w:r>
      <w:r w:rsidRPr="00A01380">
        <w:rPr>
          <w:i/>
        </w:rPr>
        <w:t>Energy Economics</w:t>
      </w:r>
      <w:r w:rsidRPr="00A01380">
        <w:t>,</w:t>
      </w:r>
      <w:r w:rsidRPr="00A01380">
        <w:rPr>
          <w:i/>
        </w:rPr>
        <w:t xml:space="preserve"> 70</w:t>
      </w:r>
      <w:r w:rsidRPr="00A01380">
        <w:t xml:space="preserve">, 440-452. </w:t>
      </w:r>
    </w:p>
    <w:p w14:paraId="79E88A09" w14:textId="77777777" w:rsidR="00A01380" w:rsidRPr="00A01380" w:rsidRDefault="00A01380" w:rsidP="00A01380">
      <w:pPr>
        <w:pStyle w:val="EndNoteBibliography"/>
        <w:ind w:left="720" w:hanging="720"/>
      </w:pPr>
      <w:r w:rsidRPr="00A01380">
        <w:t xml:space="preserve">Wei, W., Hu, H., &amp; Chang, C.-P. (2022). Why the same degree of economic policy uncertainty can produce different outcomes in energy efficiency? New evidence from China. </w:t>
      </w:r>
      <w:r w:rsidRPr="00A01380">
        <w:rPr>
          <w:i/>
        </w:rPr>
        <w:t>Structural Change and Economic Dynamics</w:t>
      </w:r>
      <w:r w:rsidRPr="00A01380">
        <w:t>,</w:t>
      </w:r>
      <w:r w:rsidRPr="00A01380">
        <w:rPr>
          <w:i/>
        </w:rPr>
        <w:t xml:space="preserve"> 60</w:t>
      </w:r>
      <w:r w:rsidRPr="00A01380">
        <w:t xml:space="preserve">, 467-481. </w:t>
      </w:r>
    </w:p>
    <w:p w14:paraId="784B6DEF" w14:textId="77777777" w:rsidR="00A01380" w:rsidRPr="00A01380" w:rsidRDefault="00A01380" w:rsidP="00A01380">
      <w:pPr>
        <w:pStyle w:val="EndNoteBibliography"/>
        <w:ind w:left="720" w:hanging="720"/>
      </w:pPr>
      <w:r w:rsidRPr="00A01380">
        <w:t xml:space="preserve">Xia, T., Ji, Q., Zhang, D., &amp; Han, J. (2019). Asymmetric and extreme influence of energy price changes on renewable energy stock performance. </w:t>
      </w:r>
      <w:r w:rsidRPr="00A01380">
        <w:rPr>
          <w:i/>
        </w:rPr>
        <w:t>Journal of Cleaner Production</w:t>
      </w:r>
      <w:r w:rsidRPr="00A01380">
        <w:t>,</w:t>
      </w:r>
      <w:r w:rsidRPr="00A01380">
        <w:rPr>
          <w:i/>
        </w:rPr>
        <w:t xml:space="preserve"> 241</w:t>
      </w:r>
      <w:r w:rsidRPr="00A01380">
        <w:t xml:space="preserve">, 118338. </w:t>
      </w:r>
    </w:p>
    <w:p w14:paraId="2D0C0820" w14:textId="77777777" w:rsidR="00A01380" w:rsidRPr="00A01380" w:rsidRDefault="00A01380" w:rsidP="00A01380">
      <w:pPr>
        <w:pStyle w:val="EndNoteBibliography"/>
        <w:ind w:left="720" w:hanging="720"/>
      </w:pPr>
      <w:r w:rsidRPr="00A01380">
        <w:t xml:space="preserve">Yang, J., &amp; Yang, C. (2021). The impact of mixed-frequency geopolitical risk on stock market returns. </w:t>
      </w:r>
      <w:r w:rsidRPr="00A01380">
        <w:rPr>
          <w:i/>
        </w:rPr>
        <w:t>Economic Analysis and Policy</w:t>
      </w:r>
      <w:r w:rsidRPr="00A01380">
        <w:t>,</w:t>
      </w:r>
      <w:r w:rsidRPr="00A01380">
        <w:rPr>
          <w:i/>
        </w:rPr>
        <w:t xml:space="preserve"> 72</w:t>
      </w:r>
      <w:r w:rsidRPr="00A01380">
        <w:t xml:space="preserve">, 226-240. </w:t>
      </w:r>
    </w:p>
    <w:p w14:paraId="270B1E27" w14:textId="077CE575" w:rsidR="00A01380" w:rsidRDefault="00A01380" w:rsidP="00A01380">
      <w:pPr>
        <w:pStyle w:val="EndNoteBibliography"/>
        <w:ind w:left="720" w:hanging="720"/>
      </w:pPr>
      <w:r w:rsidRPr="00A01380">
        <w:t xml:space="preserve">Yen, K.-C., &amp; Cheng, H.-P. (2021). Economic policy uncertainty and cryptocurrency volatility. </w:t>
      </w:r>
      <w:r w:rsidRPr="00A01380">
        <w:rPr>
          <w:i/>
        </w:rPr>
        <w:t>Finance Research Letters</w:t>
      </w:r>
      <w:r w:rsidRPr="00A01380">
        <w:t>,</w:t>
      </w:r>
      <w:r w:rsidRPr="00A01380">
        <w:rPr>
          <w:i/>
        </w:rPr>
        <w:t xml:space="preserve"> 38</w:t>
      </w:r>
      <w:r w:rsidRPr="00A01380">
        <w:t xml:space="preserve">, 101428. </w:t>
      </w:r>
    </w:p>
    <w:p w14:paraId="5D7B5F7E" w14:textId="5132122E" w:rsidR="003C62A0" w:rsidRPr="003C62A0" w:rsidRDefault="003C62A0" w:rsidP="003C62A0">
      <w:pPr>
        <w:pStyle w:val="EndNoteBibliography"/>
        <w:ind w:left="720" w:hanging="720"/>
        <w:rPr>
          <w:color w:val="0000CC"/>
        </w:rPr>
      </w:pPr>
      <w:r w:rsidRPr="003C62A0">
        <w:rPr>
          <w:color w:val="0000CC"/>
        </w:rPr>
        <w:t xml:space="preserve">Zhang, D., Chen, H.X., Lau, C.K.M., &amp;Xu, B. (2023). Implications of cryptocurrency energy usage on climate change. </w:t>
      </w:r>
      <w:r w:rsidRPr="003C62A0">
        <w:rPr>
          <w:i/>
          <w:color w:val="0000CC"/>
        </w:rPr>
        <w:t>Technological Forecasting and Social Change</w:t>
      </w:r>
      <w:r w:rsidRPr="003C62A0">
        <w:rPr>
          <w:color w:val="0000CC"/>
        </w:rPr>
        <w:t>,</w:t>
      </w:r>
      <w:r w:rsidRPr="003C62A0">
        <w:rPr>
          <w:i/>
          <w:color w:val="0000CC"/>
        </w:rPr>
        <w:t xml:space="preserve"> 187</w:t>
      </w:r>
      <w:r w:rsidRPr="003C62A0">
        <w:rPr>
          <w:color w:val="0000CC"/>
        </w:rPr>
        <w:t>, 122219. ISSN 0040-1625, https://doi.org/10.1016/j.techfore.2022.122219</w:t>
      </w:r>
    </w:p>
    <w:p w14:paraId="73B77254" w14:textId="77777777" w:rsidR="00A01380" w:rsidRPr="00A01380" w:rsidRDefault="00A01380" w:rsidP="00A01380">
      <w:pPr>
        <w:pStyle w:val="EndNoteBibliography"/>
        <w:ind w:left="720" w:hanging="720"/>
      </w:pPr>
      <w:r w:rsidRPr="00A01380">
        <w:t xml:space="preserve">Žigman, A., &amp; Cota, B. (2011). The impact of fiscal policy on government bond spreads in emerging markets. </w:t>
      </w:r>
      <w:r w:rsidRPr="00A01380">
        <w:rPr>
          <w:i/>
        </w:rPr>
        <w:t>Financial Theory and Practice</w:t>
      </w:r>
      <w:r w:rsidRPr="00A01380">
        <w:t>,</w:t>
      </w:r>
      <w:r w:rsidRPr="00A01380">
        <w:rPr>
          <w:i/>
        </w:rPr>
        <w:t xml:space="preserve"> 35</w:t>
      </w:r>
      <w:r w:rsidRPr="00A01380">
        <w:t xml:space="preserve">(4), 385-412. </w:t>
      </w:r>
    </w:p>
    <w:p w14:paraId="0D074CDF" w14:textId="709087D2" w:rsidR="007137D9" w:rsidRPr="00242F1B" w:rsidRDefault="00C13D2E" w:rsidP="00176524">
      <w:pPr>
        <w:rPr>
          <w:b/>
          <w:bCs/>
        </w:rPr>
      </w:pPr>
      <w:r w:rsidRPr="006F5452">
        <w:rPr>
          <w:b/>
          <w:bCs/>
        </w:rPr>
        <w:fldChar w:fldCharType="end"/>
      </w:r>
      <w:bookmarkEnd w:id="14"/>
    </w:p>
    <w:sectPr w:rsidR="007137D9" w:rsidRPr="00242F1B" w:rsidSect="00351D0C">
      <w:footerReference w:type="default" r:id="rId11"/>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7E537" w14:textId="77777777" w:rsidR="008D5CA6" w:rsidRDefault="008D5CA6" w:rsidP="006F10D0">
      <w:pPr>
        <w:spacing w:line="240" w:lineRule="auto"/>
      </w:pPr>
      <w:r>
        <w:separator/>
      </w:r>
    </w:p>
  </w:endnote>
  <w:endnote w:type="continuationSeparator" w:id="0">
    <w:p w14:paraId="7D5F4876" w14:textId="77777777" w:rsidR="008D5CA6" w:rsidRDefault="008D5CA6" w:rsidP="006F1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707836"/>
      <w:docPartObj>
        <w:docPartGallery w:val="Page Numbers (Bottom of Page)"/>
        <w:docPartUnique/>
      </w:docPartObj>
    </w:sdtPr>
    <w:sdtContent>
      <w:sdt>
        <w:sdtPr>
          <w:id w:val="-1769616900"/>
          <w:docPartObj>
            <w:docPartGallery w:val="Page Numbers (Top of Page)"/>
            <w:docPartUnique/>
          </w:docPartObj>
        </w:sdtPr>
        <w:sdtContent>
          <w:p w14:paraId="18DA00B2" w14:textId="55F36067" w:rsidR="006F10D0" w:rsidRDefault="006F10D0">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815262F" w14:textId="77777777" w:rsidR="006F10D0" w:rsidRDefault="006F1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12583" w14:textId="77777777" w:rsidR="008D5CA6" w:rsidRDefault="008D5CA6" w:rsidP="006F10D0">
      <w:pPr>
        <w:spacing w:line="240" w:lineRule="auto"/>
      </w:pPr>
      <w:r>
        <w:separator/>
      </w:r>
    </w:p>
  </w:footnote>
  <w:footnote w:type="continuationSeparator" w:id="0">
    <w:p w14:paraId="5FF77558" w14:textId="77777777" w:rsidR="008D5CA6" w:rsidRDefault="008D5CA6" w:rsidP="006F10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16FC"/>
    <w:multiLevelType w:val="hybridMultilevel"/>
    <w:tmpl w:val="B0F66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4245DE"/>
    <w:multiLevelType w:val="hybridMultilevel"/>
    <w:tmpl w:val="E5E2955A"/>
    <w:lvl w:ilvl="0" w:tplc="82AC624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B750DF"/>
    <w:multiLevelType w:val="hybridMultilevel"/>
    <w:tmpl w:val="8E221130"/>
    <w:lvl w:ilvl="0" w:tplc="ECC0450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465109">
    <w:abstractNumId w:val="2"/>
  </w:num>
  <w:num w:numId="2" w16cid:durableId="1949728632">
    <w:abstractNumId w:val="1"/>
  </w:num>
  <w:num w:numId="3" w16cid:durableId="145621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zMzE1MTG1NDcwMTJU0lEKTi0uzszPAykwMq0FADCRr2It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zfxvt991df2r2ew2adxzdekws2tx55feewr&quot;&gt;Endnote green bonds&lt;record-ids&gt;&lt;item&gt;1&lt;/item&gt;&lt;item&gt;2&lt;/item&gt;&lt;item&gt;3&lt;/item&gt;&lt;item&gt;4&lt;/item&gt;&lt;item&gt;5&lt;/item&gt;&lt;item&gt;6&lt;/item&gt;&lt;item&gt;7&lt;/item&gt;&lt;item&gt;9&lt;/item&gt;&lt;item&gt;10&lt;/item&gt;&lt;item&gt;11&lt;/item&gt;&lt;item&gt;12&lt;/item&gt;&lt;item&gt;13&lt;/item&gt;&lt;item&gt;14&lt;/item&gt;&lt;item&gt;15&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4&lt;/item&gt;&lt;item&gt;35&lt;/item&gt;&lt;item&gt;36&lt;/item&gt;&lt;item&gt;37&lt;/item&gt;&lt;item&gt;38&lt;/item&gt;&lt;item&gt;39&lt;/item&gt;&lt;item&gt;40&lt;/item&gt;&lt;item&gt;42&lt;/item&gt;&lt;item&gt;43&lt;/item&gt;&lt;item&gt;44&lt;/item&gt;&lt;item&gt;45&lt;/item&gt;&lt;item&gt;46&lt;/item&gt;&lt;item&gt;47&lt;/item&gt;&lt;item&gt;48&lt;/item&gt;&lt;item&gt;49&lt;/item&gt;&lt;item&gt;50&lt;/item&gt;&lt;item&gt;51&lt;/item&gt;&lt;item&gt;52&lt;/item&gt;&lt;item&gt;53&lt;/item&gt;&lt;item&gt;56&lt;/item&gt;&lt;item&gt;57&lt;/item&gt;&lt;item&gt;58&lt;/item&gt;&lt;item&gt;59&lt;/item&gt;&lt;item&gt;61&lt;/item&gt;&lt;item&gt;62&lt;/item&gt;&lt;item&gt;63&lt;/item&gt;&lt;item&gt;64&lt;/item&gt;&lt;item&gt;65&lt;/item&gt;&lt;item&gt;66&lt;/item&gt;&lt;item&gt;69&lt;/item&gt;&lt;item&gt;70&lt;/item&gt;&lt;item&gt;71&lt;/item&gt;&lt;item&gt;72&lt;/item&gt;&lt;/record-ids&gt;&lt;/item&gt;&lt;/Libraries&gt;"/>
  </w:docVars>
  <w:rsids>
    <w:rsidRoot w:val="00010C1A"/>
    <w:rsid w:val="00004BDD"/>
    <w:rsid w:val="00006D02"/>
    <w:rsid w:val="00007DB2"/>
    <w:rsid w:val="00007DBE"/>
    <w:rsid w:val="00007DD8"/>
    <w:rsid w:val="00010C1A"/>
    <w:rsid w:val="0001133E"/>
    <w:rsid w:val="00012210"/>
    <w:rsid w:val="00012547"/>
    <w:rsid w:val="00023B1D"/>
    <w:rsid w:val="00024E02"/>
    <w:rsid w:val="00030660"/>
    <w:rsid w:val="0004619A"/>
    <w:rsid w:val="00050E33"/>
    <w:rsid w:val="00067050"/>
    <w:rsid w:val="000671CC"/>
    <w:rsid w:val="00071824"/>
    <w:rsid w:val="000867F0"/>
    <w:rsid w:val="00086D04"/>
    <w:rsid w:val="00087399"/>
    <w:rsid w:val="000916C5"/>
    <w:rsid w:val="00091F70"/>
    <w:rsid w:val="000A2247"/>
    <w:rsid w:val="000A42FE"/>
    <w:rsid w:val="000A62B7"/>
    <w:rsid w:val="000B1E1F"/>
    <w:rsid w:val="000B4441"/>
    <w:rsid w:val="000B5833"/>
    <w:rsid w:val="000B6698"/>
    <w:rsid w:val="000C004C"/>
    <w:rsid w:val="000C067F"/>
    <w:rsid w:val="000C2761"/>
    <w:rsid w:val="000C6374"/>
    <w:rsid w:val="000C6DF7"/>
    <w:rsid w:val="000C6F3B"/>
    <w:rsid w:val="000D1131"/>
    <w:rsid w:val="000D16F5"/>
    <w:rsid w:val="000D3BF1"/>
    <w:rsid w:val="000E0694"/>
    <w:rsid w:val="000E1221"/>
    <w:rsid w:val="000E5663"/>
    <w:rsid w:val="000E6960"/>
    <w:rsid w:val="000E6DD7"/>
    <w:rsid w:val="000F3204"/>
    <w:rsid w:val="000F374B"/>
    <w:rsid w:val="00100983"/>
    <w:rsid w:val="00104538"/>
    <w:rsid w:val="0010636E"/>
    <w:rsid w:val="001118DA"/>
    <w:rsid w:val="001234F1"/>
    <w:rsid w:val="00130BC7"/>
    <w:rsid w:val="00133D3A"/>
    <w:rsid w:val="00140921"/>
    <w:rsid w:val="00157CA8"/>
    <w:rsid w:val="001640A2"/>
    <w:rsid w:val="00166B70"/>
    <w:rsid w:val="00167109"/>
    <w:rsid w:val="0017253E"/>
    <w:rsid w:val="00173C25"/>
    <w:rsid w:val="00176524"/>
    <w:rsid w:val="001831C0"/>
    <w:rsid w:val="00184659"/>
    <w:rsid w:val="00186061"/>
    <w:rsid w:val="0019277A"/>
    <w:rsid w:val="001A58FF"/>
    <w:rsid w:val="001A7609"/>
    <w:rsid w:val="001B6F84"/>
    <w:rsid w:val="001D0F54"/>
    <w:rsid w:val="001D20DB"/>
    <w:rsid w:val="001D3600"/>
    <w:rsid w:val="001D4EA7"/>
    <w:rsid w:val="001D65D7"/>
    <w:rsid w:val="001E1473"/>
    <w:rsid w:val="001E389F"/>
    <w:rsid w:val="001F0088"/>
    <w:rsid w:val="001F314A"/>
    <w:rsid w:val="0021026E"/>
    <w:rsid w:val="0021252B"/>
    <w:rsid w:val="002135CC"/>
    <w:rsid w:val="00215ECC"/>
    <w:rsid w:val="00215FB9"/>
    <w:rsid w:val="002214A9"/>
    <w:rsid w:val="002323E3"/>
    <w:rsid w:val="0023292A"/>
    <w:rsid w:val="00242F1B"/>
    <w:rsid w:val="00245D7D"/>
    <w:rsid w:val="00262347"/>
    <w:rsid w:val="00262D49"/>
    <w:rsid w:val="00264A3C"/>
    <w:rsid w:val="0026571E"/>
    <w:rsid w:val="00277FE9"/>
    <w:rsid w:val="00281CA4"/>
    <w:rsid w:val="002905AC"/>
    <w:rsid w:val="00290AE1"/>
    <w:rsid w:val="002963BD"/>
    <w:rsid w:val="00297AE6"/>
    <w:rsid w:val="00297F92"/>
    <w:rsid w:val="002A2086"/>
    <w:rsid w:val="002A2825"/>
    <w:rsid w:val="002A35C2"/>
    <w:rsid w:val="002A3F6E"/>
    <w:rsid w:val="002A4B33"/>
    <w:rsid w:val="002A6482"/>
    <w:rsid w:val="002A71CB"/>
    <w:rsid w:val="002C32B0"/>
    <w:rsid w:val="002C5173"/>
    <w:rsid w:val="002C60A1"/>
    <w:rsid w:val="002C7136"/>
    <w:rsid w:val="002D0CC3"/>
    <w:rsid w:val="002D167B"/>
    <w:rsid w:val="002E0FA6"/>
    <w:rsid w:val="002F1417"/>
    <w:rsid w:val="002F2E74"/>
    <w:rsid w:val="00317086"/>
    <w:rsid w:val="0033150C"/>
    <w:rsid w:val="00332E72"/>
    <w:rsid w:val="00334B40"/>
    <w:rsid w:val="00335658"/>
    <w:rsid w:val="00342444"/>
    <w:rsid w:val="003512BA"/>
    <w:rsid w:val="0035175C"/>
    <w:rsid w:val="00351D0C"/>
    <w:rsid w:val="00352770"/>
    <w:rsid w:val="0036075C"/>
    <w:rsid w:val="00372E18"/>
    <w:rsid w:val="00375172"/>
    <w:rsid w:val="0038071F"/>
    <w:rsid w:val="00380CE2"/>
    <w:rsid w:val="00394ADF"/>
    <w:rsid w:val="00397728"/>
    <w:rsid w:val="003A01D6"/>
    <w:rsid w:val="003B2CA6"/>
    <w:rsid w:val="003B6EFC"/>
    <w:rsid w:val="003B7B01"/>
    <w:rsid w:val="003C0335"/>
    <w:rsid w:val="003C3790"/>
    <w:rsid w:val="003C4A8E"/>
    <w:rsid w:val="003C62A0"/>
    <w:rsid w:val="003C7D67"/>
    <w:rsid w:val="003D108F"/>
    <w:rsid w:val="003D12BB"/>
    <w:rsid w:val="003D2730"/>
    <w:rsid w:val="003D3B8E"/>
    <w:rsid w:val="003D6AA9"/>
    <w:rsid w:val="003E6B15"/>
    <w:rsid w:val="003E6DF0"/>
    <w:rsid w:val="003F13B2"/>
    <w:rsid w:val="003F320E"/>
    <w:rsid w:val="003F599B"/>
    <w:rsid w:val="003F709E"/>
    <w:rsid w:val="003F7333"/>
    <w:rsid w:val="00400834"/>
    <w:rsid w:val="00400ACB"/>
    <w:rsid w:val="00415CDB"/>
    <w:rsid w:val="00427668"/>
    <w:rsid w:val="004306ED"/>
    <w:rsid w:val="00433B7F"/>
    <w:rsid w:val="004371E0"/>
    <w:rsid w:val="00437F2F"/>
    <w:rsid w:val="00442BFD"/>
    <w:rsid w:val="00443F5C"/>
    <w:rsid w:val="00447A11"/>
    <w:rsid w:val="00450B59"/>
    <w:rsid w:val="00461AC5"/>
    <w:rsid w:val="004633F5"/>
    <w:rsid w:val="00463BD1"/>
    <w:rsid w:val="00464433"/>
    <w:rsid w:val="00473D1F"/>
    <w:rsid w:val="0047703A"/>
    <w:rsid w:val="00484469"/>
    <w:rsid w:val="00494182"/>
    <w:rsid w:val="004A1240"/>
    <w:rsid w:val="004A63F6"/>
    <w:rsid w:val="004C68B0"/>
    <w:rsid w:val="004D0CCC"/>
    <w:rsid w:val="004D4A88"/>
    <w:rsid w:val="004E0819"/>
    <w:rsid w:val="004F7D46"/>
    <w:rsid w:val="00500DDD"/>
    <w:rsid w:val="00502804"/>
    <w:rsid w:val="00504A2D"/>
    <w:rsid w:val="005264C6"/>
    <w:rsid w:val="005315E2"/>
    <w:rsid w:val="00544C2E"/>
    <w:rsid w:val="0054694B"/>
    <w:rsid w:val="00550215"/>
    <w:rsid w:val="00556FD5"/>
    <w:rsid w:val="00562C88"/>
    <w:rsid w:val="00574547"/>
    <w:rsid w:val="00575254"/>
    <w:rsid w:val="005754BC"/>
    <w:rsid w:val="00575593"/>
    <w:rsid w:val="00575A56"/>
    <w:rsid w:val="005766CC"/>
    <w:rsid w:val="00582516"/>
    <w:rsid w:val="00582AAF"/>
    <w:rsid w:val="00584162"/>
    <w:rsid w:val="005A30E4"/>
    <w:rsid w:val="005A5679"/>
    <w:rsid w:val="005A5D83"/>
    <w:rsid w:val="005B2821"/>
    <w:rsid w:val="005B2970"/>
    <w:rsid w:val="005B6D5D"/>
    <w:rsid w:val="005C2BA4"/>
    <w:rsid w:val="005C3153"/>
    <w:rsid w:val="005D416F"/>
    <w:rsid w:val="005D5ECD"/>
    <w:rsid w:val="005D7330"/>
    <w:rsid w:val="005E0481"/>
    <w:rsid w:val="005E5075"/>
    <w:rsid w:val="005E7244"/>
    <w:rsid w:val="005F07B6"/>
    <w:rsid w:val="005F305A"/>
    <w:rsid w:val="005F32B0"/>
    <w:rsid w:val="005F4A37"/>
    <w:rsid w:val="005F6655"/>
    <w:rsid w:val="005F6EE5"/>
    <w:rsid w:val="00600795"/>
    <w:rsid w:val="00601706"/>
    <w:rsid w:val="00604A6C"/>
    <w:rsid w:val="00604CD3"/>
    <w:rsid w:val="0061534E"/>
    <w:rsid w:val="00616648"/>
    <w:rsid w:val="00621280"/>
    <w:rsid w:val="006244AB"/>
    <w:rsid w:val="00630C2A"/>
    <w:rsid w:val="00632027"/>
    <w:rsid w:val="006359F0"/>
    <w:rsid w:val="00641ED3"/>
    <w:rsid w:val="0064410D"/>
    <w:rsid w:val="00653D8E"/>
    <w:rsid w:val="00666A43"/>
    <w:rsid w:val="00670B80"/>
    <w:rsid w:val="00671DD7"/>
    <w:rsid w:val="006724ED"/>
    <w:rsid w:val="00677414"/>
    <w:rsid w:val="0068440B"/>
    <w:rsid w:val="00685A75"/>
    <w:rsid w:val="00691E70"/>
    <w:rsid w:val="00692F3F"/>
    <w:rsid w:val="006945D1"/>
    <w:rsid w:val="006A400B"/>
    <w:rsid w:val="006A4107"/>
    <w:rsid w:val="006D038E"/>
    <w:rsid w:val="006D2E32"/>
    <w:rsid w:val="006D72A2"/>
    <w:rsid w:val="006D734A"/>
    <w:rsid w:val="006E2593"/>
    <w:rsid w:val="006E5548"/>
    <w:rsid w:val="006F10D0"/>
    <w:rsid w:val="006F5452"/>
    <w:rsid w:val="007008FE"/>
    <w:rsid w:val="00704AD7"/>
    <w:rsid w:val="007137D9"/>
    <w:rsid w:val="00713BC0"/>
    <w:rsid w:val="00713EA4"/>
    <w:rsid w:val="007173AF"/>
    <w:rsid w:val="007243D1"/>
    <w:rsid w:val="00724788"/>
    <w:rsid w:val="00727639"/>
    <w:rsid w:val="00732C6B"/>
    <w:rsid w:val="00740B5E"/>
    <w:rsid w:val="00744529"/>
    <w:rsid w:val="00745C48"/>
    <w:rsid w:val="00746ED7"/>
    <w:rsid w:val="00747E93"/>
    <w:rsid w:val="007526B5"/>
    <w:rsid w:val="00752DC2"/>
    <w:rsid w:val="007541E3"/>
    <w:rsid w:val="00757D50"/>
    <w:rsid w:val="0076552A"/>
    <w:rsid w:val="00766A60"/>
    <w:rsid w:val="007702DA"/>
    <w:rsid w:val="00770C97"/>
    <w:rsid w:val="0077547B"/>
    <w:rsid w:val="0077740B"/>
    <w:rsid w:val="007778C0"/>
    <w:rsid w:val="00783352"/>
    <w:rsid w:val="007853E1"/>
    <w:rsid w:val="0079626A"/>
    <w:rsid w:val="0079694C"/>
    <w:rsid w:val="007A33BB"/>
    <w:rsid w:val="007B1A7A"/>
    <w:rsid w:val="007B6D05"/>
    <w:rsid w:val="007C0038"/>
    <w:rsid w:val="007C0E98"/>
    <w:rsid w:val="007C1747"/>
    <w:rsid w:val="007C2BA5"/>
    <w:rsid w:val="007C422C"/>
    <w:rsid w:val="007C47C5"/>
    <w:rsid w:val="007D6C2B"/>
    <w:rsid w:val="007E3543"/>
    <w:rsid w:val="007E6EBA"/>
    <w:rsid w:val="007E7EA5"/>
    <w:rsid w:val="007F1400"/>
    <w:rsid w:val="007F6A5A"/>
    <w:rsid w:val="00803B1C"/>
    <w:rsid w:val="00805214"/>
    <w:rsid w:val="00805DA9"/>
    <w:rsid w:val="008079A6"/>
    <w:rsid w:val="0081334E"/>
    <w:rsid w:val="00814D1B"/>
    <w:rsid w:val="008151CD"/>
    <w:rsid w:val="00831BF8"/>
    <w:rsid w:val="00831F4C"/>
    <w:rsid w:val="00832485"/>
    <w:rsid w:val="00836443"/>
    <w:rsid w:val="008404C1"/>
    <w:rsid w:val="00840B4C"/>
    <w:rsid w:val="00841A37"/>
    <w:rsid w:val="008437B8"/>
    <w:rsid w:val="00851982"/>
    <w:rsid w:val="00871397"/>
    <w:rsid w:val="00874FA8"/>
    <w:rsid w:val="00875014"/>
    <w:rsid w:val="008763ED"/>
    <w:rsid w:val="0088102B"/>
    <w:rsid w:val="00882C30"/>
    <w:rsid w:val="008934CE"/>
    <w:rsid w:val="008A1D94"/>
    <w:rsid w:val="008B46DF"/>
    <w:rsid w:val="008B6DA5"/>
    <w:rsid w:val="008B71D7"/>
    <w:rsid w:val="008C3931"/>
    <w:rsid w:val="008C67A0"/>
    <w:rsid w:val="008D049F"/>
    <w:rsid w:val="008D0937"/>
    <w:rsid w:val="008D460C"/>
    <w:rsid w:val="008D4788"/>
    <w:rsid w:val="008D5CA6"/>
    <w:rsid w:val="008D729F"/>
    <w:rsid w:val="008E16B9"/>
    <w:rsid w:val="008E4F7D"/>
    <w:rsid w:val="008F1BC6"/>
    <w:rsid w:val="008F521B"/>
    <w:rsid w:val="00904363"/>
    <w:rsid w:val="00905FFC"/>
    <w:rsid w:val="00907C6A"/>
    <w:rsid w:val="00910E7E"/>
    <w:rsid w:val="00912B03"/>
    <w:rsid w:val="00915F47"/>
    <w:rsid w:val="00930615"/>
    <w:rsid w:val="009344F0"/>
    <w:rsid w:val="00947B21"/>
    <w:rsid w:val="00950C21"/>
    <w:rsid w:val="009526D6"/>
    <w:rsid w:val="00952878"/>
    <w:rsid w:val="00953E13"/>
    <w:rsid w:val="009545A7"/>
    <w:rsid w:val="00954AF8"/>
    <w:rsid w:val="009565B6"/>
    <w:rsid w:val="00960CED"/>
    <w:rsid w:val="009625BF"/>
    <w:rsid w:val="009625D7"/>
    <w:rsid w:val="009630BC"/>
    <w:rsid w:val="00973710"/>
    <w:rsid w:val="00975DE5"/>
    <w:rsid w:val="009843EA"/>
    <w:rsid w:val="009972C3"/>
    <w:rsid w:val="009B1A7A"/>
    <w:rsid w:val="009B3C4D"/>
    <w:rsid w:val="009C085F"/>
    <w:rsid w:val="009C09FC"/>
    <w:rsid w:val="009C5AD1"/>
    <w:rsid w:val="009D144D"/>
    <w:rsid w:val="009D1F52"/>
    <w:rsid w:val="009E2DDF"/>
    <w:rsid w:val="009F041E"/>
    <w:rsid w:val="00A00656"/>
    <w:rsid w:val="00A01380"/>
    <w:rsid w:val="00A0208F"/>
    <w:rsid w:val="00A13931"/>
    <w:rsid w:val="00A2679D"/>
    <w:rsid w:val="00A26F42"/>
    <w:rsid w:val="00A303BE"/>
    <w:rsid w:val="00A42CF2"/>
    <w:rsid w:val="00A464CD"/>
    <w:rsid w:val="00A52A2E"/>
    <w:rsid w:val="00A54235"/>
    <w:rsid w:val="00A553F7"/>
    <w:rsid w:val="00A55A3C"/>
    <w:rsid w:val="00A6657F"/>
    <w:rsid w:val="00A66FC6"/>
    <w:rsid w:val="00A75090"/>
    <w:rsid w:val="00A874FC"/>
    <w:rsid w:val="00A876FC"/>
    <w:rsid w:val="00A9405C"/>
    <w:rsid w:val="00A9692B"/>
    <w:rsid w:val="00A96C62"/>
    <w:rsid w:val="00AB3A23"/>
    <w:rsid w:val="00AB59FA"/>
    <w:rsid w:val="00AC1F44"/>
    <w:rsid w:val="00AC65D4"/>
    <w:rsid w:val="00AD307A"/>
    <w:rsid w:val="00AD4371"/>
    <w:rsid w:val="00AD4CB1"/>
    <w:rsid w:val="00AD4E12"/>
    <w:rsid w:val="00AF0C2E"/>
    <w:rsid w:val="00B15883"/>
    <w:rsid w:val="00B17E08"/>
    <w:rsid w:val="00B20F5C"/>
    <w:rsid w:val="00B21FBD"/>
    <w:rsid w:val="00B3202A"/>
    <w:rsid w:val="00B326EE"/>
    <w:rsid w:val="00B343CE"/>
    <w:rsid w:val="00B452B4"/>
    <w:rsid w:val="00B516D6"/>
    <w:rsid w:val="00B558A1"/>
    <w:rsid w:val="00B5625D"/>
    <w:rsid w:val="00B57A14"/>
    <w:rsid w:val="00B60C49"/>
    <w:rsid w:val="00B71A09"/>
    <w:rsid w:val="00B728D3"/>
    <w:rsid w:val="00B76A58"/>
    <w:rsid w:val="00B80524"/>
    <w:rsid w:val="00B81533"/>
    <w:rsid w:val="00B86826"/>
    <w:rsid w:val="00B90E51"/>
    <w:rsid w:val="00B9744F"/>
    <w:rsid w:val="00BA101A"/>
    <w:rsid w:val="00BA5948"/>
    <w:rsid w:val="00BA5CF1"/>
    <w:rsid w:val="00BB0410"/>
    <w:rsid w:val="00BB0B1E"/>
    <w:rsid w:val="00BB668D"/>
    <w:rsid w:val="00BB7367"/>
    <w:rsid w:val="00BC62E0"/>
    <w:rsid w:val="00BE325D"/>
    <w:rsid w:val="00BE38F7"/>
    <w:rsid w:val="00BE3E32"/>
    <w:rsid w:val="00BF07FF"/>
    <w:rsid w:val="00BF08B7"/>
    <w:rsid w:val="00C0012C"/>
    <w:rsid w:val="00C12B87"/>
    <w:rsid w:val="00C13D2E"/>
    <w:rsid w:val="00C216F0"/>
    <w:rsid w:val="00C21C96"/>
    <w:rsid w:val="00C232D4"/>
    <w:rsid w:val="00C23A23"/>
    <w:rsid w:val="00C35596"/>
    <w:rsid w:val="00C36B4E"/>
    <w:rsid w:val="00C4302A"/>
    <w:rsid w:val="00C45A6F"/>
    <w:rsid w:val="00C465DE"/>
    <w:rsid w:val="00C51908"/>
    <w:rsid w:val="00C57C76"/>
    <w:rsid w:val="00C604FC"/>
    <w:rsid w:val="00C73D53"/>
    <w:rsid w:val="00C805F4"/>
    <w:rsid w:val="00C81CC2"/>
    <w:rsid w:val="00C841B8"/>
    <w:rsid w:val="00C95847"/>
    <w:rsid w:val="00CA003D"/>
    <w:rsid w:val="00CB793C"/>
    <w:rsid w:val="00CC1F16"/>
    <w:rsid w:val="00CC4471"/>
    <w:rsid w:val="00CC5A40"/>
    <w:rsid w:val="00CC619F"/>
    <w:rsid w:val="00CD1899"/>
    <w:rsid w:val="00CD259A"/>
    <w:rsid w:val="00CD4581"/>
    <w:rsid w:val="00CD6E29"/>
    <w:rsid w:val="00CE2848"/>
    <w:rsid w:val="00CE39BC"/>
    <w:rsid w:val="00CF435A"/>
    <w:rsid w:val="00CF5E86"/>
    <w:rsid w:val="00D05383"/>
    <w:rsid w:val="00D06294"/>
    <w:rsid w:val="00D11D0C"/>
    <w:rsid w:val="00D121C2"/>
    <w:rsid w:val="00D139D1"/>
    <w:rsid w:val="00D13E8D"/>
    <w:rsid w:val="00D173B5"/>
    <w:rsid w:val="00D21047"/>
    <w:rsid w:val="00D213EC"/>
    <w:rsid w:val="00D224A6"/>
    <w:rsid w:val="00D231D4"/>
    <w:rsid w:val="00D265EB"/>
    <w:rsid w:val="00D309A7"/>
    <w:rsid w:val="00D313BC"/>
    <w:rsid w:val="00D319A4"/>
    <w:rsid w:val="00D32370"/>
    <w:rsid w:val="00D36FAE"/>
    <w:rsid w:val="00D43AEF"/>
    <w:rsid w:val="00D60CF9"/>
    <w:rsid w:val="00D61573"/>
    <w:rsid w:val="00D666A3"/>
    <w:rsid w:val="00D71313"/>
    <w:rsid w:val="00D848F6"/>
    <w:rsid w:val="00D84CE4"/>
    <w:rsid w:val="00D858FA"/>
    <w:rsid w:val="00D90908"/>
    <w:rsid w:val="00D91E80"/>
    <w:rsid w:val="00D92319"/>
    <w:rsid w:val="00D94A8E"/>
    <w:rsid w:val="00DA5199"/>
    <w:rsid w:val="00DA5C5E"/>
    <w:rsid w:val="00DB0AA1"/>
    <w:rsid w:val="00DB6382"/>
    <w:rsid w:val="00DC333C"/>
    <w:rsid w:val="00DD0501"/>
    <w:rsid w:val="00DD3813"/>
    <w:rsid w:val="00DD3AE6"/>
    <w:rsid w:val="00DF07A7"/>
    <w:rsid w:val="00DF0983"/>
    <w:rsid w:val="00DF629E"/>
    <w:rsid w:val="00E013B5"/>
    <w:rsid w:val="00E01593"/>
    <w:rsid w:val="00E0407E"/>
    <w:rsid w:val="00E11009"/>
    <w:rsid w:val="00E20118"/>
    <w:rsid w:val="00E24A5E"/>
    <w:rsid w:val="00E24B2C"/>
    <w:rsid w:val="00E26327"/>
    <w:rsid w:val="00E3343B"/>
    <w:rsid w:val="00E3531C"/>
    <w:rsid w:val="00E36BEC"/>
    <w:rsid w:val="00E41E3D"/>
    <w:rsid w:val="00E52F13"/>
    <w:rsid w:val="00E63C7B"/>
    <w:rsid w:val="00E651E9"/>
    <w:rsid w:val="00E74CF5"/>
    <w:rsid w:val="00E76944"/>
    <w:rsid w:val="00E77571"/>
    <w:rsid w:val="00E86F02"/>
    <w:rsid w:val="00E930BA"/>
    <w:rsid w:val="00E97657"/>
    <w:rsid w:val="00EA1BB8"/>
    <w:rsid w:val="00EA40A8"/>
    <w:rsid w:val="00EB3170"/>
    <w:rsid w:val="00EB3668"/>
    <w:rsid w:val="00EC01AD"/>
    <w:rsid w:val="00EC0FB7"/>
    <w:rsid w:val="00EC1151"/>
    <w:rsid w:val="00EC4052"/>
    <w:rsid w:val="00EC4B25"/>
    <w:rsid w:val="00EC681E"/>
    <w:rsid w:val="00ED5887"/>
    <w:rsid w:val="00ED7683"/>
    <w:rsid w:val="00EE21FD"/>
    <w:rsid w:val="00EE4E07"/>
    <w:rsid w:val="00EF2885"/>
    <w:rsid w:val="00EF4180"/>
    <w:rsid w:val="00EF5B08"/>
    <w:rsid w:val="00EF69E8"/>
    <w:rsid w:val="00F0158E"/>
    <w:rsid w:val="00F0391B"/>
    <w:rsid w:val="00F06922"/>
    <w:rsid w:val="00F15E53"/>
    <w:rsid w:val="00F17A06"/>
    <w:rsid w:val="00F21915"/>
    <w:rsid w:val="00F25DCD"/>
    <w:rsid w:val="00F36649"/>
    <w:rsid w:val="00F412F2"/>
    <w:rsid w:val="00F452DA"/>
    <w:rsid w:val="00F546AE"/>
    <w:rsid w:val="00F6458A"/>
    <w:rsid w:val="00F65A8C"/>
    <w:rsid w:val="00F73F95"/>
    <w:rsid w:val="00F77861"/>
    <w:rsid w:val="00F80C3F"/>
    <w:rsid w:val="00F80F7F"/>
    <w:rsid w:val="00F816D1"/>
    <w:rsid w:val="00F81826"/>
    <w:rsid w:val="00F850E7"/>
    <w:rsid w:val="00F87BBB"/>
    <w:rsid w:val="00F91DC8"/>
    <w:rsid w:val="00FA07FD"/>
    <w:rsid w:val="00FA290B"/>
    <w:rsid w:val="00FA354E"/>
    <w:rsid w:val="00FA670E"/>
    <w:rsid w:val="00FA7225"/>
    <w:rsid w:val="00FA7C0F"/>
    <w:rsid w:val="00FB3CF9"/>
    <w:rsid w:val="00FC34DC"/>
    <w:rsid w:val="00FC4384"/>
    <w:rsid w:val="00FC4C9C"/>
    <w:rsid w:val="00FC54EE"/>
    <w:rsid w:val="00FC5E53"/>
    <w:rsid w:val="00FD5958"/>
    <w:rsid w:val="00FD6EC1"/>
    <w:rsid w:val="00FD7070"/>
    <w:rsid w:val="00FE4DF4"/>
    <w:rsid w:val="00FF33BD"/>
    <w:rsid w:val="00FF614F"/>
  </w:rsids>
  <m:mathPr>
    <m:mathFont m:val="Cambria Math"/>
    <m:brkBin m:val="before"/>
    <m:brkBinSub m:val="--"/>
    <m:smallFrac/>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6FEB7"/>
  <w15:docId w15:val="{92D9C73A-8867-46E5-82C8-0D24D74D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038"/>
  </w:style>
  <w:style w:type="paragraph" w:styleId="Heading1">
    <w:name w:val="heading 1"/>
    <w:basedOn w:val="Normal"/>
    <w:next w:val="Normal"/>
    <w:link w:val="Heading1Char"/>
    <w:uiPriority w:val="9"/>
    <w:qFormat/>
    <w:rsid w:val="002A4B33"/>
    <w:pPr>
      <w:keepNext/>
      <w:keepLines/>
      <w:spacing w:before="240" w:line="259"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A4B33"/>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B0AA1"/>
    <w:pPr>
      <w:keepNext/>
      <w:keepLines/>
      <w:spacing w:before="4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5DE"/>
    <w:rPr>
      <w:color w:val="0563C1" w:themeColor="hyperlink"/>
      <w:u w:val="single"/>
    </w:rPr>
  </w:style>
  <w:style w:type="character" w:customStyle="1" w:styleId="UnresolvedMention1">
    <w:name w:val="Unresolved Mention1"/>
    <w:basedOn w:val="DefaultParagraphFont"/>
    <w:uiPriority w:val="99"/>
    <w:semiHidden/>
    <w:unhideWhenUsed/>
    <w:rsid w:val="00C465DE"/>
    <w:rPr>
      <w:color w:val="605E5C"/>
      <w:shd w:val="clear" w:color="auto" w:fill="E1DFDD"/>
    </w:rPr>
  </w:style>
  <w:style w:type="paragraph" w:styleId="ListParagraph">
    <w:name w:val="List Paragraph"/>
    <w:basedOn w:val="Normal"/>
    <w:uiPriority w:val="34"/>
    <w:qFormat/>
    <w:rsid w:val="00133D3A"/>
    <w:pPr>
      <w:ind w:left="720"/>
      <w:contextualSpacing/>
    </w:pPr>
  </w:style>
  <w:style w:type="character" w:customStyle="1" w:styleId="Heading1Char">
    <w:name w:val="Heading 1 Char"/>
    <w:basedOn w:val="DefaultParagraphFont"/>
    <w:link w:val="Heading1"/>
    <w:uiPriority w:val="9"/>
    <w:rsid w:val="002A4B33"/>
    <w:rPr>
      <w:rFonts w:eastAsiaTheme="majorEastAsia" w:cstheme="majorBidi"/>
      <w:b/>
      <w:szCs w:val="32"/>
    </w:rPr>
  </w:style>
  <w:style w:type="paragraph" w:styleId="Bibliography">
    <w:name w:val="Bibliography"/>
    <w:basedOn w:val="Normal"/>
    <w:next w:val="Normal"/>
    <w:uiPriority w:val="37"/>
    <w:unhideWhenUsed/>
    <w:rsid w:val="00245D7D"/>
  </w:style>
  <w:style w:type="paragraph" w:styleId="BalloonText">
    <w:name w:val="Balloon Text"/>
    <w:basedOn w:val="Normal"/>
    <w:link w:val="BalloonTextChar"/>
    <w:uiPriority w:val="99"/>
    <w:semiHidden/>
    <w:unhideWhenUsed/>
    <w:rsid w:val="00242F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F1B"/>
    <w:rPr>
      <w:rFonts w:ascii="Tahoma" w:hAnsi="Tahoma" w:cs="Tahoma"/>
      <w:sz w:val="16"/>
      <w:szCs w:val="16"/>
    </w:rPr>
  </w:style>
  <w:style w:type="table" w:styleId="TableGrid">
    <w:name w:val="Table Grid"/>
    <w:basedOn w:val="TableNormal"/>
    <w:uiPriority w:val="39"/>
    <w:rsid w:val="00D91E8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91E80"/>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F10D0"/>
    <w:pPr>
      <w:tabs>
        <w:tab w:val="center" w:pos="4513"/>
        <w:tab w:val="right" w:pos="9026"/>
      </w:tabs>
      <w:spacing w:line="240" w:lineRule="auto"/>
    </w:pPr>
  </w:style>
  <w:style w:type="character" w:customStyle="1" w:styleId="HeaderChar">
    <w:name w:val="Header Char"/>
    <w:basedOn w:val="DefaultParagraphFont"/>
    <w:link w:val="Header"/>
    <w:uiPriority w:val="99"/>
    <w:rsid w:val="006F10D0"/>
  </w:style>
  <w:style w:type="paragraph" w:styleId="Footer">
    <w:name w:val="footer"/>
    <w:basedOn w:val="Normal"/>
    <w:link w:val="FooterChar"/>
    <w:uiPriority w:val="99"/>
    <w:unhideWhenUsed/>
    <w:rsid w:val="006F10D0"/>
    <w:pPr>
      <w:tabs>
        <w:tab w:val="center" w:pos="4513"/>
        <w:tab w:val="right" w:pos="9026"/>
      </w:tabs>
      <w:spacing w:line="240" w:lineRule="auto"/>
    </w:pPr>
  </w:style>
  <w:style w:type="character" w:customStyle="1" w:styleId="FooterChar">
    <w:name w:val="Footer Char"/>
    <w:basedOn w:val="DefaultParagraphFont"/>
    <w:link w:val="Footer"/>
    <w:uiPriority w:val="99"/>
    <w:rsid w:val="006F10D0"/>
  </w:style>
  <w:style w:type="character" w:styleId="UnresolvedMention">
    <w:name w:val="Unresolved Mention"/>
    <w:basedOn w:val="DefaultParagraphFont"/>
    <w:uiPriority w:val="99"/>
    <w:semiHidden/>
    <w:unhideWhenUsed/>
    <w:rsid w:val="009D144D"/>
    <w:rPr>
      <w:color w:val="605E5C"/>
      <w:shd w:val="clear" w:color="auto" w:fill="E1DFDD"/>
    </w:rPr>
  </w:style>
  <w:style w:type="character" w:customStyle="1" w:styleId="Heading2Char">
    <w:name w:val="Heading 2 Char"/>
    <w:basedOn w:val="DefaultParagraphFont"/>
    <w:link w:val="Heading2"/>
    <w:uiPriority w:val="9"/>
    <w:rsid w:val="002A4B33"/>
    <w:rPr>
      <w:rFonts w:eastAsiaTheme="majorEastAsia" w:cstheme="majorBidi"/>
      <w:b/>
      <w:szCs w:val="26"/>
    </w:rPr>
  </w:style>
  <w:style w:type="paragraph" w:styleId="Caption">
    <w:name w:val="caption"/>
    <w:basedOn w:val="Normal"/>
    <w:next w:val="Normal"/>
    <w:uiPriority w:val="35"/>
    <w:unhideWhenUsed/>
    <w:qFormat/>
    <w:rsid w:val="002A4B33"/>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5A5D83"/>
    <w:rPr>
      <w:sz w:val="16"/>
      <w:szCs w:val="16"/>
    </w:rPr>
  </w:style>
  <w:style w:type="paragraph" w:styleId="CommentText">
    <w:name w:val="annotation text"/>
    <w:basedOn w:val="Normal"/>
    <w:link w:val="CommentTextChar"/>
    <w:uiPriority w:val="99"/>
    <w:unhideWhenUsed/>
    <w:rsid w:val="005A5D83"/>
    <w:pPr>
      <w:spacing w:line="240" w:lineRule="auto"/>
    </w:pPr>
    <w:rPr>
      <w:sz w:val="20"/>
      <w:szCs w:val="20"/>
    </w:rPr>
  </w:style>
  <w:style w:type="character" w:customStyle="1" w:styleId="CommentTextChar">
    <w:name w:val="Comment Text Char"/>
    <w:basedOn w:val="DefaultParagraphFont"/>
    <w:link w:val="CommentText"/>
    <w:uiPriority w:val="99"/>
    <w:rsid w:val="005A5D83"/>
    <w:rPr>
      <w:sz w:val="20"/>
      <w:szCs w:val="20"/>
    </w:rPr>
  </w:style>
  <w:style w:type="paragraph" w:styleId="CommentSubject">
    <w:name w:val="annotation subject"/>
    <w:basedOn w:val="CommentText"/>
    <w:next w:val="CommentText"/>
    <w:link w:val="CommentSubjectChar"/>
    <w:uiPriority w:val="99"/>
    <w:semiHidden/>
    <w:unhideWhenUsed/>
    <w:rsid w:val="005A5D83"/>
    <w:rPr>
      <w:b/>
      <w:bCs/>
    </w:rPr>
  </w:style>
  <w:style w:type="character" w:customStyle="1" w:styleId="CommentSubjectChar">
    <w:name w:val="Comment Subject Char"/>
    <w:basedOn w:val="CommentTextChar"/>
    <w:link w:val="CommentSubject"/>
    <w:uiPriority w:val="99"/>
    <w:semiHidden/>
    <w:rsid w:val="005A5D83"/>
    <w:rPr>
      <w:b/>
      <w:bCs/>
      <w:sz w:val="20"/>
      <w:szCs w:val="20"/>
    </w:rPr>
  </w:style>
  <w:style w:type="paragraph" w:styleId="EndnoteText">
    <w:name w:val="endnote text"/>
    <w:basedOn w:val="Normal"/>
    <w:link w:val="EndnoteTextChar"/>
    <w:uiPriority w:val="99"/>
    <w:semiHidden/>
    <w:unhideWhenUsed/>
    <w:rsid w:val="00AD4CB1"/>
    <w:pPr>
      <w:spacing w:line="240" w:lineRule="auto"/>
    </w:pPr>
    <w:rPr>
      <w:rFonts w:asciiTheme="minorHAnsi" w:eastAsiaTheme="minorEastAsia" w:hAnsiTheme="minorHAnsi"/>
      <w:sz w:val="20"/>
      <w:szCs w:val="20"/>
      <w:lang w:val="en-GB" w:eastAsia="zh-CN"/>
    </w:rPr>
  </w:style>
  <w:style w:type="character" w:customStyle="1" w:styleId="EndnoteTextChar">
    <w:name w:val="Endnote Text Char"/>
    <w:basedOn w:val="DefaultParagraphFont"/>
    <w:link w:val="EndnoteText"/>
    <w:uiPriority w:val="99"/>
    <w:semiHidden/>
    <w:rsid w:val="00AD4CB1"/>
    <w:rPr>
      <w:rFonts w:asciiTheme="minorHAnsi" w:eastAsiaTheme="minorEastAsia" w:hAnsiTheme="minorHAnsi"/>
      <w:sz w:val="20"/>
      <w:szCs w:val="20"/>
      <w:lang w:val="en-GB" w:eastAsia="zh-CN"/>
    </w:rPr>
  </w:style>
  <w:style w:type="character" w:styleId="EndnoteReference">
    <w:name w:val="endnote reference"/>
    <w:basedOn w:val="DefaultParagraphFont"/>
    <w:uiPriority w:val="99"/>
    <w:semiHidden/>
    <w:unhideWhenUsed/>
    <w:rsid w:val="00AD4CB1"/>
    <w:rPr>
      <w:vertAlign w:val="superscript"/>
    </w:rPr>
  </w:style>
  <w:style w:type="paragraph" w:customStyle="1" w:styleId="EndNoteBibliographyTitle">
    <w:name w:val="EndNote Bibliography Title"/>
    <w:basedOn w:val="Normal"/>
    <w:link w:val="EndNoteBibliographyTitleChar"/>
    <w:rsid w:val="00C13D2E"/>
    <w:pPr>
      <w:jc w:val="center"/>
    </w:pPr>
    <w:rPr>
      <w:rFonts w:cs="Times New Roman"/>
      <w:noProof/>
    </w:rPr>
  </w:style>
  <w:style w:type="character" w:customStyle="1" w:styleId="EndNoteBibliographyTitleChar">
    <w:name w:val="EndNote Bibliography Title Char"/>
    <w:basedOn w:val="DefaultParagraphFont"/>
    <w:link w:val="EndNoteBibliographyTitle"/>
    <w:rsid w:val="00C13D2E"/>
    <w:rPr>
      <w:rFonts w:cs="Times New Roman"/>
      <w:noProof/>
    </w:rPr>
  </w:style>
  <w:style w:type="paragraph" w:customStyle="1" w:styleId="EndNoteBibliography">
    <w:name w:val="EndNote Bibliography"/>
    <w:basedOn w:val="Normal"/>
    <w:link w:val="EndNoteBibliographyChar"/>
    <w:rsid w:val="00C13D2E"/>
    <w:pPr>
      <w:spacing w:line="240" w:lineRule="auto"/>
    </w:pPr>
    <w:rPr>
      <w:rFonts w:cs="Times New Roman"/>
      <w:noProof/>
    </w:rPr>
  </w:style>
  <w:style w:type="character" w:customStyle="1" w:styleId="EndNoteBibliographyChar">
    <w:name w:val="EndNote Bibliography Char"/>
    <w:basedOn w:val="DefaultParagraphFont"/>
    <w:link w:val="EndNoteBibliography"/>
    <w:rsid w:val="00C13D2E"/>
    <w:rPr>
      <w:rFonts w:cs="Times New Roman"/>
      <w:noProof/>
    </w:rPr>
  </w:style>
  <w:style w:type="character" w:customStyle="1" w:styleId="Heading3Char">
    <w:name w:val="Heading 3 Char"/>
    <w:basedOn w:val="DefaultParagraphFont"/>
    <w:link w:val="Heading3"/>
    <w:uiPriority w:val="9"/>
    <w:rsid w:val="00DB0AA1"/>
    <w:rPr>
      <w:rFonts w:eastAsiaTheme="majorEastAsia" w:cstheme="majorBidi"/>
      <w:i/>
      <w:szCs w:val="24"/>
    </w:rPr>
  </w:style>
  <w:style w:type="character" w:styleId="Strong">
    <w:name w:val="Strong"/>
    <w:basedOn w:val="DefaultParagraphFont"/>
    <w:uiPriority w:val="22"/>
    <w:qFormat/>
    <w:rsid w:val="00E976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348">
      <w:bodyDiv w:val="1"/>
      <w:marLeft w:val="0"/>
      <w:marRight w:val="0"/>
      <w:marTop w:val="0"/>
      <w:marBottom w:val="0"/>
      <w:divBdr>
        <w:top w:val="none" w:sz="0" w:space="0" w:color="auto"/>
        <w:left w:val="none" w:sz="0" w:space="0" w:color="auto"/>
        <w:bottom w:val="none" w:sz="0" w:space="0" w:color="auto"/>
        <w:right w:val="none" w:sz="0" w:space="0" w:color="auto"/>
      </w:divBdr>
    </w:div>
    <w:div w:id="15229280">
      <w:bodyDiv w:val="1"/>
      <w:marLeft w:val="0"/>
      <w:marRight w:val="0"/>
      <w:marTop w:val="0"/>
      <w:marBottom w:val="0"/>
      <w:divBdr>
        <w:top w:val="none" w:sz="0" w:space="0" w:color="auto"/>
        <w:left w:val="none" w:sz="0" w:space="0" w:color="auto"/>
        <w:bottom w:val="none" w:sz="0" w:space="0" w:color="auto"/>
        <w:right w:val="none" w:sz="0" w:space="0" w:color="auto"/>
      </w:divBdr>
    </w:div>
    <w:div w:id="23598241">
      <w:bodyDiv w:val="1"/>
      <w:marLeft w:val="0"/>
      <w:marRight w:val="0"/>
      <w:marTop w:val="0"/>
      <w:marBottom w:val="0"/>
      <w:divBdr>
        <w:top w:val="none" w:sz="0" w:space="0" w:color="auto"/>
        <w:left w:val="none" w:sz="0" w:space="0" w:color="auto"/>
        <w:bottom w:val="none" w:sz="0" w:space="0" w:color="auto"/>
        <w:right w:val="none" w:sz="0" w:space="0" w:color="auto"/>
      </w:divBdr>
    </w:div>
    <w:div w:id="35862714">
      <w:bodyDiv w:val="1"/>
      <w:marLeft w:val="0"/>
      <w:marRight w:val="0"/>
      <w:marTop w:val="0"/>
      <w:marBottom w:val="0"/>
      <w:divBdr>
        <w:top w:val="none" w:sz="0" w:space="0" w:color="auto"/>
        <w:left w:val="none" w:sz="0" w:space="0" w:color="auto"/>
        <w:bottom w:val="none" w:sz="0" w:space="0" w:color="auto"/>
        <w:right w:val="none" w:sz="0" w:space="0" w:color="auto"/>
      </w:divBdr>
    </w:div>
    <w:div w:id="37122375">
      <w:bodyDiv w:val="1"/>
      <w:marLeft w:val="0"/>
      <w:marRight w:val="0"/>
      <w:marTop w:val="0"/>
      <w:marBottom w:val="0"/>
      <w:divBdr>
        <w:top w:val="none" w:sz="0" w:space="0" w:color="auto"/>
        <w:left w:val="none" w:sz="0" w:space="0" w:color="auto"/>
        <w:bottom w:val="none" w:sz="0" w:space="0" w:color="auto"/>
        <w:right w:val="none" w:sz="0" w:space="0" w:color="auto"/>
      </w:divBdr>
    </w:div>
    <w:div w:id="66805884">
      <w:bodyDiv w:val="1"/>
      <w:marLeft w:val="0"/>
      <w:marRight w:val="0"/>
      <w:marTop w:val="0"/>
      <w:marBottom w:val="0"/>
      <w:divBdr>
        <w:top w:val="none" w:sz="0" w:space="0" w:color="auto"/>
        <w:left w:val="none" w:sz="0" w:space="0" w:color="auto"/>
        <w:bottom w:val="none" w:sz="0" w:space="0" w:color="auto"/>
        <w:right w:val="none" w:sz="0" w:space="0" w:color="auto"/>
      </w:divBdr>
    </w:div>
    <w:div w:id="94598191">
      <w:bodyDiv w:val="1"/>
      <w:marLeft w:val="0"/>
      <w:marRight w:val="0"/>
      <w:marTop w:val="0"/>
      <w:marBottom w:val="0"/>
      <w:divBdr>
        <w:top w:val="none" w:sz="0" w:space="0" w:color="auto"/>
        <w:left w:val="none" w:sz="0" w:space="0" w:color="auto"/>
        <w:bottom w:val="none" w:sz="0" w:space="0" w:color="auto"/>
        <w:right w:val="none" w:sz="0" w:space="0" w:color="auto"/>
      </w:divBdr>
    </w:div>
    <w:div w:id="107892339">
      <w:bodyDiv w:val="1"/>
      <w:marLeft w:val="0"/>
      <w:marRight w:val="0"/>
      <w:marTop w:val="0"/>
      <w:marBottom w:val="0"/>
      <w:divBdr>
        <w:top w:val="none" w:sz="0" w:space="0" w:color="auto"/>
        <w:left w:val="none" w:sz="0" w:space="0" w:color="auto"/>
        <w:bottom w:val="none" w:sz="0" w:space="0" w:color="auto"/>
        <w:right w:val="none" w:sz="0" w:space="0" w:color="auto"/>
      </w:divBdr>
    </w:div>
    <w:div w:id="126245674">
      <w:bodyDiv w:val="1"/>
      <w:marLeft w:val="0"/>
      <w:marRight w:val="0"/>
      <w:marTop w:val="0"/>
      <w:marBottom w:val="0"/>
      <w:divBdr>
        <w:top w:val="none" w:sz="0" w:space="0" w:color="auto"/>
        <w:left w:val="none" w:sz="0" w:space="0" w:color="auto"/>
        <w:bottom w:val="none" w:sz="0" w:space="0" w:color="auto"/>
        <w:right w:val="none" w:sz="0" w:space="0" w:color="auto"/>
      </w:divBdr>
    </w:div>
    <w:div w:id="145631365">
      <w:bodyDiv w:val="1"/>
      <w:marLeft w:val="0"/>
      <w:marRight w:val="0"/>
      <w:marTop w:val="0"/>
      <w:marBottom w:val="0"/>
      <w:divBdr>
        <w:top w:val="none" w:sz="0" w:space="0" w:color="auto"/>
        <w:left w:val="none" w:sz="0" w:space="0" w:color="auto"/>
        <w:bottom w:val="none" w:sz="0" w:space="0" w:color="auto"/>
        <w:right w:val="none" w:sz="0" w:space="0" w:color="auto"/>
      </w:divBdr>
    </w:div>
    <w:div w:id="157117786">
      <w:bodyDiv w:val="1"/>
      <w:marLeft w:val="0"/>
      <w:marRight w:val="0"/>
      <w:marTop w:val="0"/>
      <w:marBottom w:val="0"/>
      <w:divBdr>
        <w:top w:val="none" w:sz="0" w:space="0" w:color="auto"/>
        <w:left w:val="none" w:sz="0" w:space="0" w:color="auto"/>
        <w:bottom w:val="none" w:sz="0" w:space="0" w:color="auto"/>
        <w:right w:val="none" w:sz="0" w:space="0" w:color="auto"/>
      </w:divBdr>
    </w:div>
    <w:div w:id="163205296">
      <w:bodyDiv w:val="1"/>
      <w:marLeft w:val="0"/>
      <w:marRight w:val="0"/>
      <w:marTop w:val="0"/>
      <w:marBottom w:val="0"/>
      <w:divBdr>
        <w:top w:val="none" w:sz="0" w:space="0" w:color="auto"/>
        <w:left w:val="none" w:sz="0" w:space="0" w:color="auto"/>
        <w:bottom w:val="none" w:sz="0" w:space="0" w:color="auto"/>
        <w:right w:val="none" w:sz="0" w:space="0" w:color="auto"/>
      </w:divBdr>
    </w:div>
    <w:div w:id="173957479">
      <w:bodyDiv w:val="1"/>
      <w:marLeft w:val="0"/>
      <w:marRight w:val="0"/>
      <w:marTop w:val="0"/>
      <w:marBottom w:val="0"/>
      <w:divBdr>
        <w:top w:val="none" w:sz="0" w:space="0" w:color="auto"/>
        <w:left w:val="none" w:sz="0" w:space="0" w:color="auto"/>
        <w:bottom w:val="none" w:sz="0" w:space="0" w:color="auto"/>
        <w:right w:val="none" w:sz="0" w:space="0" w:color="auto"/>
      </w:divBdr>
    </w:div>
    <w:div w:id="178589590">
      <w:bodyDiv w:val="1"/>
      <w:marLeft w:val="0"/>
      <w:marRight w:val="0"/>
      <w:marTop w:val="0"/>
      <w:marBottom w:val="0"/>
      <w:divBdr>
        <w:top w:val="none" w:sz="0" w:space="0" w:color="auto"/>
        <w:left w:val="none" w:sz="0" w:space="0" w:color="auto"/>
        <w:bottom w:val="none" w:sz="0" w:space="0" w:color="auto"/>
        <w:right w:val="none" w:sz="0" w:space="0" w:color="auto"/>
      </w:divBdr>
    </w:div>
    <w:div w:id="181941362">
      <w:bodyDiv w:val="1"/>
      <w:marLeft w:val="0"/>
      <w:marRight w:val="0"/>
      <w:marTop w:val="0"/>
      <w:marBottom w:val="0"/>
      <w:divBdr>
        <w:top w:val="none" w:sz="0" w:space="0" w:color="auto"/>
        <w:left w:val="none" w:sz="0" w:space="0" w:color="auto"/>
        <w:bottom w:val="none" w:sz="0" w:space="0" w:color="auto"/>
        <w:right w:val="none" w:sz="0" w:space="0" w:color="auto"/>
      </w:divBdr>
    </w:div>
    <w:div w:id="182791197">
      <w:bodyDiv w:val="1"/>
      <w:marLeft w:val="0"/>
      <w:marRight w:val="0"/>
      <w:marTop w:val="0"/>
      <w:marBottom w:val="0"/>
      <w:divBdr>
        <w:top w:val="none" w:sz="0" w:space="0" w:color="auto"/>
        <w:left w:val="none" w:sz="0" w:space="0" w:color="auto"/>
        <w:bottom w:val="none" w:sz="0" w:space="0" w:color="auto"/>
        <w:right w:val="none" w:sz="0" w:space="0" w:color="auto"/>
      </w:divBdr>
    </w:div>
    <w:div w:id="188380347">
      <w:bodyDiv w:val="1"/>
      <w:marLeft w:val="0"/>
      <w:marRight w:val="0"/>
      <w:marTop w:val="0"/>
      <w:marBottom w:val="0"/>
      <w:divBdr>
        <w:top w:val="none" w:sz="0" w:space="0" w:color="auto"/>
        <w:left w:val="none" w:sz="0" w:space="0" w:color="auto"/>
        <w:bottom w:val="none" w:sz="0" w:space="0" w:color="auto"/>
        <w:right w:val="none" w:sz="0" w:space="0" w:color="auto"/>
      </w:divBdr>
    </w:div>
    <w:div w:id="190848074">
      <w:bodyDiv w:val="1"/>
      <w:marLeft w:val="0"/>
      <w:marRight w:val="0"/>
      <w:marTop w:val="0"/>
      <w:marBottom w:val="0"/>
      <w:divBdr>
        <w:top w:val="none" w:sz="0" w:space="0" w:color="auto"/>
        <w:left w:val="none" w:sz="0" w:space="0" w:color="auto"/>
        <w:bottom w:val="none" w:sz="0" w:space="0" w:color="auto"/>
        <w:right w:val="none" w:sz="0" w:space="0" w:color="auto"/>
      </w:divBdr>
    </w:div>
    <w:div w:id="240218291">
      <w:bodyDiv w:val="1"/>
      <w:marLeft w:val="0"/>
      <w:marRight w:val="0"/>
      <w:marTop w:val="0"/>
      <w:marBottom w:val="0"/>
      <w:divBdr>
        <w:top w:val="none" w:sz="0" w:space="0" w:color="auto"/>
        <w:left w:val="none" w:sz="0" w:space="0" w:color="auto"/>
        <w:bottom w:val="none" w:sz="0" w:space="0" w:color="auto"/>
        <w:right w:val="none" w:sz="0" w:space="0" w:color="auto"/>
      </w:divBdr>
    </w:div>
    <w:div w:id="252861820">
      <w:bodyDiv w:val="1"/>
      <w:marLeft w:val="0"/>
      <w:marRight w:val="0"/>
      <w:marTop w:val="0"/>
      <w:marBottom w:val="0"/>
      <w:divBdr>
        <w:top w:val="none" w:sz="0" w:space="0" w:color="auto"/>
        <w:left w:val="none" w:sz="0" w:space="0" w:color="auto"/>
        <w:bottom w:val="none" w:sz="0" w:space="0" w:color="auto"/>
        <w:right w:val="none" w:sz="0" w:space="0" w:color="auto"/>
      </w:divBdr>
    </w:div>
    <w:div w:id="275984720">
      <w:bodyDiv w:val="1"/>
      <w:marLeft w:val="0"/>
      <w:marRight w:val="0"/>
      <w:marTop w:val="0"/>
      <w:marBottom w:val="0"/>
      <w:divBdr>
        <w:top w:val="none" w:sz="0" w:space="0" w:color="auto"/>
        <w:left w:val="none" w:sz="0" w:space="0" w:color="auto"/>
        <w:bottom w:val="none" w:sz="0" w:space="0" w:color="auto"/>
        <w:right w:val="none" w:sz="0" w:space="0" w:color="auto"/>
      </w:divBdr>
    </w:div>
    <w:div w:id="280958832">
      <w:bodyDiv w:val="1"/>
      <w:marLeft w:val="0"/>
      <w:marRight w:val="0"/>
      <w:marTop w:val="0"/>
      <w:marBottom w:val="0"/>
      <w:divBdr>
        <w:top w:val="none" w:sz="0" w:space="0" w:color="auto"/>
        <w:left w:val="none" w:sz="0" w:space="0" w:color="auto"/>
        <w:bottom w:val="none" w:sz="0" w:space="0" w:color="auto"/>
        <w:right w:val="none" w:sz="0" w:space="0" w:color="auto"/>
      </w:divBdr>
    </w:div>
    <w:div w:id="327025309">
      <w:bodyDiv w:val="1"/>
      <w:marLeft w:val="0"/>
      <w:marRight w:val="0"/>
      <w:marTop w:val="0"/>
      <w:marBottom w:val="0"/>
      <w:divBdr>
        <w:top w:val="none" w:sz="0" w:space="0" w:color="auto"/>
        <w:left w:val="none" w:sz="0" w:space="0" w:color="auto"/>
        <w:bottom w:val="none" w:sz="0" w:space="0" w:color="auto"/>
        <w:right w:val="none" w:sz="0" w:space="0" w:color="auto"/>
      </w:divBdr>
    </w:div>
    <w:div w:id="399402149">
      <w:bodyDiv w:val="1"/>
      <w:marLeft w:val="0"/>
      <w:marRight w:val="0"/>
      <w:marTop w:val="0"/>
      <w:marBottom w:val="0"/>
      <w:divBdr>
        <w:top w:val="none" w:sz="0" w:space="0" w:color="auto"/>
        <w:left w:val="none" w:sz="0" w:space="0" w:color="auto"/>
        <w:bottom w:val="none" w:sz="0" w:space="0" w:color="auto"/>
        <w:right w:val="none" w:sz="0" w:space="0" w:color="auto"/>
      </w:divBdr>
    </w:div>
    <w:div w:id="404500548">
      <w:bodyDiv w:val="1"/>
      <w:marLeft w:val="0"/>
      <w:marRight w:val="0"/>
      <w:marTop w:val="0"/>
      <w:marBottom w:val="0"/>
      <w:divBdr>
        <w:top w:val="none" w:sz="0" w:space="0" w:color="auto"/>
        <w:left w:val="none" w:sz="0" w:space="0" w:color="auto"/>
        <w:bottom w:val="none" w:sz="0" w:space="0" w:color="auto"/>
        <w:right w:val="none" w:sz="0" w:space="0" w:color="auto"/>
      </w:divBdr>
    </w:div>
    <w:div w:id="483008158">
      <w:bodyDiv w:val="1"/>
      <w:marLeft w:val="0"/>
      <w:marRight w:val="0"/>
      <w:marTop w:val="0"/>
      <w:marBottom w:val="0"/>
      <w:divBdr>
        <w:top w:val="none" w:sz="0" w:space="0" w:color="auto"/>
        <w:left w:val="none" w:sz="0" w:space="0" w:color="auto"/>
        <w:bottom w:val="none" w:sz="0" w:space="0" w:color="auto"/>
        <w:right w:val="none" w:sz="0" w:space="0" w:color="auto"/>
      </w:divBdr>
    </w:div>
    <w:div w:id="663317688">
      <w:bodyDiv w:val="1"/>
      <w:marLeft w:val="0"/>
      <w:marRight w:val="0"/>
      <w:marTop w:val="0"/>
      <w:marBottom w:val="0"/>
      <w:divBdr>
        <w:top w:val="none" w:sz="0" w:space="0" w:color="auto"/>
        <w:left w:val="none" w:sz="0" w:space="0" w:color="auto"/>
        <w:bottom w:val="none" w:sz="0" w:space="0" w:color="auto"/>
        <w:right w:val="none" w:sz="0" w:space="0" w:color="auto"/>
      </w:divBdr>
    </w:div>
    <w:div w:id="666519205">
      <w:bodyDiv w:val="1"/>
      <w:marLeft w:val="0"/>
      <w:marRight w:val="0"/>
      <w:marTop w:val="0"/>
      <w:marBottom w:val="0"/>
      <w:divBdr>
        <w:top w:val="none" w:sz="0" w:space="0" w:color="auto"/>
        <w:left w:val="none" w:sz="0" w:space="0" w:color="auto"/>
        <w:bottom w:val="none" w:sz="0" w:space="0" w:color="auto"/>
        <w:right w:val="none" w:sz="0" w:space="0" w:color="auto"/>
      </w:divBdr>
    </w:div>
    <w:div w:id="691954003">
      <w:bodyDiv w:val="1"/>
      <w:marLeft w:val="0"/>
      <w:marRight w:val="0"/>
      <w:marTop w:val="0"/>
      <w:marBottom w:val="0"/>
      <w:divBdr>
        <w:top w:val="none" w:sz="0" w:space="0" w:color="auto"/>
        <w:left w:val="none" w:sz="0" w:space="0" w:color="auto"/>
        <w:bottom w:val="none" w:sz="0" w:space="0" w:color="auto"/>
        <w:right w:val="none" w:sz="0" w:space="0" w:color="auto"/>
      </w:divBdr>
    </w:div>
    <w:div w:id="741221818">
      <w:bodyDiv w:val="1"/>
      <w:marLeft w:val="0"/>
      <w:marRight w:val="0"/>
      <w:marTop w:val="0"/>
      <w:marBottom w:val="0"/>
      <w:divBdr>
        <w:top w:val="none" w:sz="0" w:space="0" w:color="auto"/>
        <w:left w:val="none" w:sz="0" w:space="0" w:color="auto"/>
        <w:bottom w:val="none" w:sz="0" w:space="0" w:color="auto"/>
        <w:right w:val="none" w:sz="0" w:space="0" w:color="auto"/>
      </w:divBdr>
    </w:div>
    <w:div w:id="745805050">
      <w:bodyDiv w:val="1"/>
      <w:marLeft w:val="0"/>
      <w:marRight w:val="0"/>
      <w:marTop w:val="0"/>
      <w:marBottom w:val="0"/>
      <w:divBdr>
        <w:top w:val="none" w:sz="0" w:space="0" w:color="auto"/>
        <w:left w:val="none" w:sz="0" w:space="0" w:color="auto"/>
        <w:bottom w:val="none" w:sz="0" w:space="0" w:color="auto"/>
        <w:right w:val="none" w:sz="0" w:space="0" w:color="auto"/>
      </w:divBdr>
    </w:div>
    <w:div w:id="819273146">
      <w:bodyDiv w:val="1"/>
      <w:marLeft w:val="0"/>
      <w:marRight w:val="0"/>
      <w:marTop w:val="0"/>
      <w:marBottom w:val="0"/>
      <w:divBdr>
        <w:top w:val="none" w:sz="0" w:space="0" w:color="auto"/>
        <w:left w:val="none" w:sz="0" w:space="0" w:color="auto"/>
        <w:bottom w:val="none" w:sz="0" w:space="0" w:color="auto"/>
        <w:right w:val="none" w:sz="0" w:space="0" w:color="auto"/>
      </w:divBdr>
    </w:div>
    <w:div w:id="833762371">
      <w:bodyDiv w:val="1"/>
      <w:marLeft w:val="0"/>
      <w:marRight w:val="0"/>
      <w:marTop w:val="0"/>
      <w:marBottom w:val="0"/>
      <w:divBdr>
        <w:top w:val="none" w:sz="0" w:space="0" w:color="auto"/>
        <w:left w:val="none" w:sz="0" w:space="0" w:color="auto"/>
        <w:bottom w:val="none" w:sz="0" w:space="0" w:color="auto"/>
        <w:right w:val="none" w:sz="0" w:space="0" w:color="auto"/>
      </w:divBdr>
    </w:div>
    <w:div w:id="875701067">
      <w:bodyDiv w:val="1"/>
      <w:marLeft w:val="0"/>
      <w:marRight w:val="0"/>
      <w:marTop w:val="0"/>
      <w:marBottom w:val="0"/>
      <w:divBdr>
        <w:top w:val="none" w:sz="0" w:space="0" w:color="auto"/>
        <w:left w:val="none" w:sz="0" w:space="0" w:color="auto"/>
        <w:bottom w:val="none" w:sz="0" w:space="0" w:color="auto"/>
        <w:right w:val="none" w:sz="0" w:space="0" w:color="auto"/>
      </w:divBdr>
    </w:div>
    <w:div w:id="896551326">
      <w:bodyDiv w:val="1"/>
      <w:marLeft w:val="0"/>
      <w:marRight w:val="0"/>
      <w:marTop w:val="0"/>
      <w:marBottom w:val="0"/>
      <w:divBdr>
        <w:top w:val="none" w:sz="0" w:space="0" w:color="auto"/>
        <w:left w:val="none" w:sz="0" w:space="0" w:color="auto"/>
        <w:bottom w:val="none" w:sz="0" w:space="0" w:color="auto"/>
        <w:right w:val="none" w:sz="0" w:space="0" w:color="auto"/>
      </w:divBdr>
    </w:div>
    <w:div w:id="896748994">
      <w:bodyDiv w:val="1"/>
      <w:marLeft w:val="0"/>
      <w:marRight w:val="0"/>
      <w:marTop w:val="0"/>
      <w:marBottom w:val="0"/>
      <w:divBdr>
        <w:top w:val="none" w:sz="0" w:space="0" w:color="auto"/>
        <w:left w:val="none" w:sz="0" w:space="0" w:color="auto"/>
        <w:bottom w:val="none" w:sz="0" w:space="0" w:color="auto"/>
        <w:right w:val="none" w:sz="0" w:space="0" w:color="auto"/>
      </w:divBdr>
    </w:div>
    <w:div w:id="940142657">
      <w:bodyDiv w:val="1"/>
      <w:marLeft w:val="0"/>
      <w:marRight w:val="0"/>
      <w:marTop w:val="0"/>
      <w:marBottom w:val="0"/>
      <w:divBdr>
        <w:top w:val="none" w:sz="0" w:space="0" w:color="auto"/>
        <w:left w:val="none" w:sz="0" w:space="0" w:color="auto"/>
        <w:bottom w:val="none" w:sz="0" w:space="0" w:color="auto"/>
        <w:right w:val="none" w:sz="0" w:space="0" w:color="auto"/>
      </w:divBdr>
    </w:div>
    <w:div w:id="975379957">
      <w:bodyDiv w:val="1"/>
      <w:marLeft w:val="0"/>
      <w:marRight w:val="0"/>
      <w:marTop w:val="0"/>
      <w:marBottom w:val="0"/>
      <w:divBdr>
        <w:top w:val="none" w:sz="0" w:space="0" w:color="auto"/>
        <w:left w:val="none" w:sz="0" w:space="0" w:color="auto"/>
        <w:bottom w:val="none" w:sz="0" w:space="0" w:color="auto"/>
        <w:right w:val="none" w:sz="0" w:space="0" w:color="auto"/>
      </w:divBdr>
    </w:div>
    <w:div w:id="989597764">
      <w:bodyDiv w:val="1"/>
      <w:marLeft w:val="0"/>
      <w:marRight w:val="0"/>
      <w:marTop w:val="0"/>
      <w:marBottom w:val="0"/>
      <w:divBdr>
        <w:top w:val="none" w:sz="0" w:space="0" w:color="auto"/>
        <w:left w:val="none" w:sz="0" w:space="0" w:color="auto"/>
        <w:bottom w:val="none" w:sz="0" w:space="0" w:color="auto"/>
        <w:right w:val="none" w:sz="0" w:space="0" w:color="auto"/>
      </w:divBdr>
    </w:div>
    <w:div w:id="994725793">
      <w:bodyDiv w:val="1"/>
      <w:marLeft w:val="0"/>
      <w:marRight w:val="0"/>
      <w:marTop w:val="0"/>
      <w:marBottom w:val="0"/>
      <w:divBdr>
        <w:top w:val="none" w:sz="0" w:space="0" w:color="auto"/>
        <w:left w:val="none" w:sz="0" w:space="0" w:color="auto"/>
        <w:bottom w:val="none" w:sz="0" w:space="0" w:color="auto"/>
        <w:right w:val="none" w:sz="0" w:space="0" w:color="auto"/>
      </w:divBdr>
    </w:div>
    <w:div w:id="1037706346">
      <w:bodyDiv w:val="1"/>
      <w:marLeft w:val="0"/>
      <w:marRight w:val="0"/>
      <w:marTop w:val="0"/>
      <w:marBottom w:val="0"/>
      <w:divBdr>
        <w:top w:val="none" w:sz="0" w:space="0" w:color="auto"/>
        <w:left w:val="none" w:sz="0" w:space="0" w:color="auto"/>
        <w:bottom w:val="none" w:sz="0" w:space="0" w:color="auto"/>
        <w:right w:val="none" w:sz="0" w:space="0" w:color="auto"/>
      </w:divBdr>
    </w:div>
    <w:div w:id="1057440435">
      <w:bodyDiv w:val="1"/>
      <w:marLeft w:val="0"/>
      <w:marRight w:val="0"/>
      <w:marTop w:val="0"/>
      <w:marBottom w:val="0"/>
      <w:divBdr>
        <w:top w:val="none" w:sz="0" w:space="0" w:color="auto"/>
        <w:left w:val="none" w:sz="0" w:space="0" w:color="auto"/>
        <w:bottom w:val="none" w:sz="0" w:space="0" w:color="auto"/>
        <w:right w:val="none" w:sz="0" w:space="0" w:color="auto"/>
      </w:divBdr>
    </w:div>
    <w:div w:id="1078985711">
      <w:bodyDiv w:val="1"/>
      <w:marLeft w:val="0"/>
      <w:marRight w:val="0"/>
      <w:marTop w:val="0"/>
      <w:marBottom w:val="0"/>
      <w:divBdr>
        <w:top w:val="none" w:sz="0" w:space="0" w:color="auto"/>
        <w:left w:val="none" w:sz="0" w:space="0" w:color="auto"/>
        <w:bottom w:val="none" w:sz="0" w:space="0" w:color="auto"/>
        <w:right w:val="none" w:sz="0" w:space="0" w:color="auto"/>
      </w:divBdr>
    </w:div>
    <w:div w:id="1086729692">
      <w:bodyDiv w:val="1"/>
      <w:marLeft w:val="0"/>
      <w:marRight w:val="0"/>
      <w:marTop w:val="0"/>
      <w:marBottom w:val="0"/>
      <w:divBdr>
        <w:top w:val="none" w:sz="0" w:space="0" w:color="auto"/>
        <w:left w:val="none" w:sz="0" w:space="0" w:color="auto"/>
        <w:bottom w:val="none" w:sz="0" w:space="0" w:color="auto"/>
        <w:right w:val="none" w:sz="0" w:space="0" w:color="auto"/>
      </w:divBdr>
    </w:div>
    <w:div w:id="1104880112">
      <w:bodyDiv w:val="1"/>
      <w:marLeft w:val="0"/>
      <w:marRight w:val="0"/>
      <w:marTop w:val="0"/>
      <w:marBottom w:val="0"/>
      <w:divBdr>
        <w:top w:val="none" w:sz="0" w:space="0" w:color="auto"/>
        <w:left w:val="none" w:sz="0" w:space="0" w:color="auto"/>
        <w:bottom w:val="none" w:sz="0" w:space="0" w:color="auto"/>
        <w:right w:val="none" w:sz="0" w:space="0" w:color="auto"/>
      </w:divBdr>
    </w:div>
    <w:div w:id="1126386059">
      <w:bodyDiv w:val="1"/>
      <w:marLeft w:val="0"/>
      <w:marRight w:val="0"/>
      <w:marTop w:val="0"/>
      <w:marBottom w:val="0"/>
      <w:divBdr>
        <w:top w:val="none" w:sz="0" w:space="0" w:color="auto"/>
        <w:left w:val="none" w:sz="0" w:space="0" w:color="auto"/>
        <w:bottom w:val="none" w:sz="0" w:space="0" w:color="auto"/>
        <w:right w:val="none" w:sz="0" w:space="0" w:color="auto"/>
      </w:divBdr>
    </w:div>
    <w:div w:id="1176841450">
      <w:bodyDiv w:val="1"/>
      <w:marLeft w:val="0"/>
      <w:marRight w:val="0"/>
      <w:marTop w:val="0"/>
      <w:marBottom w:val="0"/>
      <w:divBdr>
        <w:top w:val="none" w:sz="0" w:space="0" w:color="auto"/>
        <w:left w:val="none" w:sz="0" w:space="0" w:color="auto"/>
        <w:bottom w:val="none" w:sz="0" w:space="0" w:color="auto"/>
        <w:right w:val="none" w:sz="0" w:space="0" w:color="auto"/>
      </w:divBdr>
    </w:div>
    <w:div w:id="1264531218">
      <w:bodyDiv w:val="1"/>
      <w:marLeft w:val="0"/>
      <w:marRight w:val="0"/>
      <w:marTop w:val="0"/>
      <w:marBottom w:val="0"/>
      <w:divBdr>
        <w:top w:val="none" w:sz="0" w:space="0" w:color="auto"/>
        <w:left w:val="none" w:sz="0" w:space="0" w:color="auto"/>
        <w:bottom w:val="none" w:sz="0" w:space="0" w:color="auto"/>
        <w:right w:val="none" w:sz="0" w:space="0" w:color="auto"/>
      </w:divBdr>
    </w:div>
    <w:div w:id="1269462398">
      <w:bodyDiv w:val="1"/>
      <w:marLeft w:val="0"/>
      <w:marRight w:val="0"/>
      <w:marTop w:val="0"/>
      <w:marBottom w:val="0"/>
      <w:divBdr>
        <w:top w:val="none" w:sz="0" w:space="0" w:color="auto"/>
        <w:left w:val="none" w:sz="0" w:space="0" w:color="auto"/>
        <w:bottom w:val="none" w:sz="0" w:space="0" w:color="auto"/>
        <w:right w:val="none" w:sz="0" w:space="0" w:color="auto"/>
      </w:divBdr>
    </w:div>
    <w:div w:id="1281257965">
      <w:bodyDiv w:val="1"/>
      <w:marLeft w:val="0"/>
      <w:marRight w:val="0"/>
      <w:marTop w:val="0"/>
      <w:marBottom w:val="0"/>
      <w:divBdr>
        <w:top w:val="none" w:sz="0" w:space="0" w:color="auto"/>
        <w:left w:val="none" w:sz="0" w:space="0" w:color="auto"/>
        <w:bottom w:val="none" w:sz="0" w:space="0" w:color="auto"/>
        <w:right w:val="none" w:sz="0" w:space="0" w:color="auto"/>
      </w:divBdr>
    </w:div>
    <w:div w:id="1283152275">
      <w:bodyDiv w:val="1"/>
      <w:marLeft w:val="0"/>
      <w:marRight w:val="0"/>
      <w:marTop w:val="0"/>
      <w:marBottom w:val="0"/>
      <w:divBdr>
        <w:top w:val="none" w:sz="0" w:space="0" w:color="auto"/>
        <w:left w:val="none" w:sz="0" w:space="0" w:color="auto"/>
        <w:bottom w:val="none" w:sz="0" w:space="0" w:color="auto"/>
        <w:right w:val="none" w:sz="0" w:space="0" w:color="auto"/>
      </w:divBdr>
    </w:div>
    <w:div w:id="1351448066">
      <w:bodyDiv w:val="1"/>
      <w:marLeft w:val="0"/>
      <w:marRight w:val="0"/>
      <w:marTop w:val="0"/>
      <w:marBottom w:val="0"/>
      <w:divBdr>
        <w:top w:val="none" w:sz="0" w:space="0" w:color="auto"/>
        <w:left w:val="none" w:sz="0" w:space="0" w:color="auto"/>
        <w:bottom w:val="none" w:sz="0" w:space="0" w:color="auto"/>
        <w:right w:val="none" w:sz="0" w:space="0" w:color="auto"/>
      </w:divBdr>
    </w:div>
    <w:div w:id="1401756437">
      <w:bodyDiv w:val="1"/>
      <w:marLeft w:val="0"/>
      <w:marRight w:val="0"/>
      <w:marTop w:val="0"/>
      <w:marBottom w:val="0"/>
      <w:divBdr>
        <w:top w:val="none" w:sz="0" w:space="0" w:color="auto"/>
        <w:left w:val="none" w:sz="0" w:space="0" w:color="auto"/>
        <w:bottom w:val="none" w:sz="0" w:space="0" w:color="auto"/>
        <w:right w:val="none" w:sz="0" w:space="0" w:color="auto"/>
      </w:divBdr>
    </w:div>
    <w:div w:id="1477331078">
      <w:bodyDiv w:val="1"/>
      <w:marLeft w:val="0"/>
      <w:marRight w:val="0"/>
      <w:marTop w:val="0"/>
      <w:marBottom w:val="0"/>
      <w:divBdr>
        <w:top w:val="none" w:sz="0" w:space="0" w:color="auto"/>
        <w:left w:val="none" w:sz="0" w:space="0" w:color="auto"/>
        <w:bottom w:val="none" w:sz="0" w:space="0" w:color="auto"/>
        <w:right w:val="none" w:sz="0" w:space="0" w:color="auto"/>
      </w:divBdr>
      <w:divsChild>
        <w:div w:id="1357388414">
          <w:marLeft w:val="0"/>
          <w:marRight w:val="0"/>
          <w:marTop w:val="0"/>
          <w:marBottom w:val="0"/>
          <w:divBdr>
            <w:top w:val="none" w:sz="0" w:space="0" w:color="auto"/>
            <w:left w:val="none" w:sz="0" w:space="0" w:color="auto"/>
            <w:bottom w:val="none" w:sz="0" w:space="0" w:color="auto"/>
            <w:right w:val="none" w:sz="0" w:space="0" w:color="auto"/>
          </w:divBdr>
        </w:div>
      </w:divsChild>
    </w:div>
    <w:div w:id="1520578813">
      <w:bodyDiv w:val="1"/>
      <w:marLeft w:val="0"/>
      <w:marRight w:val="0"/>
      <w:marTop w:val="0"/>
      <w:marBottom w:val="0"/>
      <w:divBdr>
        <w:top w:val="none" w:sz="0" w:space="0" w:color="auto"/>
        <w:left w:val="none" w:sz="0" w:space="0" w:color="auto"/>
        <w:bottom w:val="none" w:sz="0" w:space="0" w:color="auto"/>
        <w:right w:val="none" w:sz="0" w:space="0" w:color="auto"/>
      </w:divBdr>
    </w:div>
    <w:div w:id="1600068636">
      <w:bodyDiv w:val="1"/>
      <w:marLeft w:val="0"/>
      <w:marRight w:val="0"/>
      <w:marTop w:val="0"/>
      <w:marBottom w:val="0"/>
      <w:divBdr>
        <w:top w:val="none" w:sz="0" w:space="0" w:color="auto"/>
        <w:left w:val="none" w:sz="0" w:space="0" w:color="auto"/>
        <w:bottom w:val="none" w:sz="0" w:space="0" w:color="auto"/>
        <w:right w:val="none" w:sz="0" w:space="0" w:color="auto"/>
      </w:divBdr>
    </w:div>
    <w:div w:id="1616137013">
      <w:bodyDiv w:val="1"/>
      <w:marLeft w:val="0"/>
      <w:marRight w:val="0"/>
      <w:marTop w:val="0"/>
      <w:marBottom w:val="0"/>
      <w:divBdr>
        <w:top w:val="none" w:sz="0" w:space="0" w:color="auto"/>
        <w:left w:val="none" w:sz="0" w:space="0" w:color="auto"/>
        <w:bottom w:val="none" w:sz="0" w:space="0" w:color="auto"/>
        <w:right w:val="none" w:sz="0" w:space="0" w:color="auto"/>
      </w:divBdr>
    </w:div>
    <w:div w:id="1631979957">
      <w:bodyDiv w:val="1"/>
      <w:marLeft w:val="0"/>
      <w:marRight w:val="0"/>
      <w:marTop w:val="0"/>
      <w:marBottom w:val="0"/>
      <w:divBdr>
        <w:top w:val="none" w:sz="0" w:space="0" w:color="auto"/>
        <w:left w:val="none" w:sz="0" w:space="0" w:color="auto"/>
        <w:bottom w:val="none" w:sz="0" w:space="0" w:color="auto"/>
        <w:right w:val="none" w:sz="0" w:space="0" w:color="auto"/>
      </w:divBdr>
    </w:div>
    <w:div w:id="1672878861">
      <w:bodyDiv w:val="1"/>
      <w:marLeft w:val="0"/>
      <w:marRight w:val="0"/>
      <w:marTop w:val="0"/>
      <w:marBottom w:val="0"/>
      <w:divBdr>
        <w:top w:val="none" w:sz="0" w:space="0" w:color="auto"/>
        <w:left w:val="none" w:sz="0" w:space="0" w:color="auto"/>
        <w:bottom w:val="none" w:sz="0" w:space="0" w:color="auto"/>
        <w:right w:val="none" w:sz="0" w:space="0" w:color="auto"/>
      </w:divBdr>
    </w:div>
    <w:div w:id="1715692129">
      <w:bodyDiv w:val="1"/>
      <w:marLeft w:val="0"/>
      <w:marRight w:val="0"/>
      <w:marTop w:val="0"/>
      <w:marBottom w:val="0"/>
      <w:divBdr>
        <w:top w:val="none" w:sz="0" w:space="0" w:color="auto"/>
        <w:left w:val="none" w:sz="0" w:space="0" w:color="auto"/>
        <w:bottom w:val="none" w:sz="0" w:space="0" w:color="auto"/>
        <w:right w:val="none" w:sz="0" w:space="0" w:color="auto"/>
      </w:divBdr>
    </w:div>
    <w:div w:id="1793942023">
      <w:bodyDiv w:val="1"/>
      <w:marLeft w:val="0"/>
      <w:marRight w:val="0"/>
      <w:marTop w:val="0"/>
      <w:marBottom w:val="0"/>
      <w:divBdr>
        <w:top w:val="none" w:sz="0" w:space="0" w:color="auto"/>
        <w:left w:val="none" w:sz="0" w:space="0" w:color="auto"/>
        <w:bottom w:val="none" w:sz="0" w:space="0" w:color="auto"/>
        <w:right w:val="none" w:sz="0" w:space="0" w:color="auto"/>
      </w:divBdr>
    </w:div>
    <w:div w:id="1831558696">
      <w:bodyDiv w:val="1"/>
      <w:marLeft w:val="0"/>
      <w:marRight w:val="0"/>
      <w:marTop w:val="0"/>
      <w:marBottom w:val="0"/>
      <w:divBdr>
        <w:top w:val="none" w:sz="0" w:space="0" w:color="auto"/>
        <w:left w:val="none" w:sz="0" w:space="0" w:color="auto"/>
        <w:bottom w:val="none" w:sz="0" w:space="0" w:color="auto"/>
        <w:right w:val="none" w:sz="0" w:space="0" w:color="auto"/>
      </w:divBdr>
    </w:div>
    <w:div w:id="1833721406">
      <w:bodyDiv w:val="1"/>
      <w:marLeft w:val="0"/>
      <w:marRight w:val="0"/>
      <w:marTop w:val="0"/>
      <w:marBottom w:val="0"/>
      <w:divBdr>
        <w:top w:val="none" w:sz="0" w:space="0" w:color="auto"/>
        <w:left w:val="none" w:sz="0" w:space="0" w:color="auto"/>
        <w:bottom w:val="none" w:sz="0" w:space="0" w:color="auto"/>
        <w:right w:val="none" w:sz="0" w:space="0" w:color="auto"/>
      </w:divBdr>
    </w:div>
    <w:div w:id="1847555022">
      <w:bodyDiv w:val="1"/>
      <w:marLeft w:val="0"/>
      <w:marRight w:val="0"/>
      <w:marTop w:val="0"/>
      <w:marBottom w:val="0"/>
      <w:divBdr>
        <w:top w:val="none" w:sz="0" w:space="0" w:color="auto"/>
        <w:left w:val="none" w:sz="0" w:space="0" w:color="auto"/>
        <w:bottom w:val="none" w:sz="0" w:space="0" w:color="auto"/>
        <w:right w:val="none" w:sz="0" w:space="0" w:color="auto"/>
      </w:divBdr>
    </w:div>
    <w:div w:id="1854150503">
      <w:bodyDiv w:val="1"/>
      <w:marLeft w:val="0"/>
      <w:marRight w:val="0"/>
      <w:marTop w:val="0"/>
      <w:marBottom w:val="0"/>
      <w:divBdr>
        <w:top w:val="none" w:sz="0" w:space="0" w:color="auto"/>
        <w:left w:val="none" w:sz="0" w:space="0" w:color="auto"/>
        <w:bottom w:val="none" w:sz="0" w:space="0" w:color="auto"/>
        <w:right w:val="none" w:sz="0" w:space="0" w:color="auto"/>
      </w:divBdr>
    </w:div>
    <w:div w:id="1890876142">
      <w:bodyDiv w:val="1"/>
      <w:marLeft w:val="0"/>
      <w:marRight w:val="0"/>
      <w:marTop w:val="0"/>
      <w:marBottom w:val="0"/>
      <w:divBdr>
        <w:top w:val="none" w:sz="0" w:space="0" w:color="auto"/>
        <w:left w:val="none" w:sz="0" w:space="0" w:color="auto"/>
        <w:bottom w:val="none" w:sz="0" w:space="0" w:color="auto"/>
        <w:right w:val="none" w:sz="0" w:space="0" w:color="auto"/>
      </w:divBdr>
    </w:div>
    <w:div w:id="1895506754">
      <w:bodyDiv w:val="1"/>
      <w:marLeft w:val="0"/>
      <w:marRight w:val="0"/>
      <w:marTop w:val="0"/>
      <w:marBottom w:val="0"/>
      <w:divBdr>
        <w:top w:val="none" w:sz="0" w:space="0" w:color="auto"/>
        <w:left w:val="none" w:sz="0" w:space="0" w:color="auto"/>
        <w:bottom w:val="none" w:sz="0" w:space="0" w:color="auto"/>
        <w:right w:val="none" w:sz="0" w:space="0" w:color="auto"/>
      </w:divBdr>
    </w:div>
    <w:div w:id="1897936246">
      <w:bodyDiv w:val="1"/>
      <w:marLeft w:val="0"/>
      <w:marRight w:val="0"/>
      <w:marTop w:val="0"/>
      <w:marBottom w:val="0"/>
      <w:divBdr>
        <w:top w:val="none" w:sz="0" w:space="0" w:color="auto"/>
        <w:left w:val="none" w:sz="0" w:space="0" w:color="auto"/>
        <w:bottom w:val="none" w:sz="0" w:space="0" w:color="auto"/>
        <w:right w:val="none" w:sz="0" w:space="0" w:color="auto"/>
      </w:divBdr>
    </w:div>
    <w:div w:id="1902255727">
      <w:bodyDiv w:val="1"/>
      <w:marLeft w:val="0"/>
      <w:marRight w:val="0"/>
      <w:marTop w:val="0"/>
      <w:marBottom w:val="0"/>
      <w:divBdr>
        <w:top w:val="none" w:sz="0" w:space="0" w:color="auto"/>
        <w:left w:val="none" w:sz="0" w:space="0" w:color="auto"/>
        <w:bottom w:val="none" w:sz="0" w:space="0" w:color="auto"/>
        <w:right w:val="none" w:sz="0" w:space="0" w:color="auto"/>
      </w:divBdr>
    </w:div>
    <w:div w:id="1905530913">
      <w:bodyDiv w:val="1"/>
      <w:marLeft w:val="0"/>
      <w:marRight w:val="0"/>
      <w:marTop w:val="0"/>
      <w:marBottom w:val="0"/>
      <w:divBdr>
        <w:top w:val="none" w:sz="0" w:space="0" w:color="auto"/>
        <w:left w:val="none" w:sz="0" w:space="0" w:color="auto"/>
        <w:bottom w:val="none" w:sz="0" w:space="0" w:color="auto"/>
        <w:right w:val="none" w:sz="0" w:space="0" w:color="auto"/>
      </w:divBdr>
    </w:div>
    <w:div w:id="1911426517">
      <w:bodyDiv w:val="1"/>
      <w:marLeft w:val="0"/>
      <w:marRight w:val="0"/>
      <w:marTop w:val="0"/>
      <w:marBottom w:val="0"/>
      <w:divBdr>
        <w:top w:val="none" w:sz="0" w:space="0" w:color="auto"/>
        <w:left w:val="none" w:sz="0" w:space="0" w:color="auto"/>
        <w:bottom w:val="none" w:sz="0" w:space="0" w:color="auto"/>
        <w:right w:val="none" w:sz="0" w:space="0" w:color="auto"/>
      </w:divBdr>
    </w:div>
    <w:div w:id="1943217849">
      <w:bodyDiv w:val="1"/>
      <w:marLeft w:val="0"/>
      <w:marRight w:val="0"/>
      <w:marTop w:val="0"/>
      <w:marBottom w:val="0"/>
      <w:divBdr>
        <w:top w:val="none" w:sz="0" w:space="0" w:color="auto"/>
        <w:left w:val="none" w:sz="0" w:space="0" w:color="auto"/>
        <w:bottom w:val="none" w:sz="0" w:space="0" w:color="auto"/>
        <w:right w:val="none" w:sz="0" w:space="0" w:color="auto"/>
      </w:divBdr>
    </w:div>
    <w:div w:id="2082480584">
      <w:bodyDiv w:val="1"/>
      <w:marLeft w:val="0"/>
      <w:marRight w:val="0"/>
      <w:marTop w:val="0"/>
      <w:marBottom w:val="0"/>
      <w:divBdr>
        <w:top w:val="none" w:sz="0" w:space="0" w:color="auto"/>
        <w:left w:val="none" w:sz="0" w:space="0" w:color="auto"/>
        <w:bottom w:val="none" w:sz="0" w:space="0" w:color="auto"/>
        <w:right w:val="none" w:sz="0" w:space="0" w:color="auto"/>
      </w:divBdr>
    </w:div>
    <w:div w:id="2098211213">
      <w:bodyDiv w:val="1"/>
      <w:marLeft w:val="0"/>
      <w:marRight w:val="0"/>
      <w:marTop w:val="0"/>
      <w:marBottom w:val="0"/>
      <w:divBdr>
        <w:top w:val="none" w:sz="0" w:space="0" w:color="auto"/>
        <w:left w:val="none" w:sz="0" w:space="0" w:color="auto"/>
        <w:bottom w:val="none" w:sz="0" w:space="0" w:color="auto"/>
        <w:right w:val="none" w:sz="0" w:space="0" w:color="auto"/>
      </w:divBdr>
    </w:div>
    <w:div w:id="2116779619">
      <w:bodyDiv w:val="1"/>
      <w:marLeft w:val="0"/>
      <w:marRight w:val="0"/>
      <w:marTop w:val="0"/>
      <w:marBottom w:val="0"/>
      <w:divBdr>
        <w:top w:val="none" w:sz="0" w:space="0" w:color="auto"/>
        <w:left w:val="none" w:sz="0" w:space="0" w:color="auto"/>
        <w:bottom w:val="none" w:sz="0" w:space="0" w:color="auto"/>
        <w:right w:val="none" w:sz="0" w:space="0" w:color="auto"/>
      </w:divBdr>
    </w:div>
    <w:div w:id="21427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yuncertaint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Lee212</b:Tag>
    <b:SourceType>JournalArticle</b:SourceType>
    <b:Guid>{09ED2C15-FEB6-44CC-9141-126BBCB6318B}</b:Guid>
    <b:Author>
      <b:Author>
        <b:NameList>
          <b:Person>
            <b:Last>Lee</b:Last>
            <b:First>Chi-Chuan</b:First>
          </b:Person>
          <b:Person>
            <b:Last>Lee</b:Last>
            <b:First>Chien-Chiang</b:First>
          </b:Person>
          <b:Person>
            <b:Last>Li</b:Last>
            <b:First>Yong-Yi</b:First>
          </b:Person>
        </b:NameList>
      </b:Author>
    </b:Author>
    <b:Title>Oil price shocks, geopolitical risks, and green bond market dynamics</b:Title>
    <b:JournalName>The North American Journal of Economics and Finance</b:JournalName>
    <b:Year>2021</b:Year>
    <b:Pages>101309</b:Pages>
    <b:Volume>55</b:Volume>
    <b:DOI>https://doi.org/10.1016/j.najef.2020.101309</b:DOI>
    <b:RefOrder>2</b:RefOrder>
  </b:Source>
  <b:Source>
    <b:Tag>Ape18</b:Tag>
    <b:SourceType>JournalArticle</b:SourceType>
    <b:Guid>{45B25EF1-3397-458A-BE8D-E98E73F2FCD7}</b:Guid>
    <b:Author>
      <b:Author>
        <b:NameList>
          <b:Person>
            <b:Last>Apergis</b:Last>
            <b:First>Nicholas</b:First>
          </b:Person>
          <b:Person>
            <b:Last>Bonato</b:Last>
            <b:First>Matteo</b:First>
          </b:Person>
          <b:Person>
            <b:Last>Gupta</b:Last>
            <b:First>Rangan</b:First>
          </b:Person>
          <b:Person>
            <b:Last>Kyei</b:Last>
            <b:First>Clement</b:First>
          </b:Person>
        </b:NameList>
      </b:Author>
    </b:Author>
    <b:Title>Does Geopolitical Risks Predict Stock Returns and Volatility of Leading Defense Companies? Evidence from a Nonparametric Approach</b:Title>
    <b:JournalName>Defence and Peace Economics</b:JournalName>
    <b:Year>2018</b:Year>
    <b:Volume>29</b:Volume>
    <b:Issue>6</b:Issue>
    <b:DOI>https://doi.org/10.1080/10242694.2017.1292097</b:DOI>
    <b:RefOrder>3</b:RefOrder>
  </b:Source>
  <b:Source>
    <b:Tag>Bou192</b:Tag>
    <b:SourceType>JournalArticle</b:SourceType>
    <b:Guid>{B2F2C6A7-0309-47EF-8B47-52A699C6D011}</b:Guid>
    <b:Author>
      <b:Author>
        <b:NameList>
          <b:Person>
            <b:Last>Bouri</b:Last>
            <b:First>Elie</b:First>
          </b:Person>
          <b:Person>
            <b:Last>Demirer</b:Last>
            <b:First>Riza</b:First>
          </b:Person>
          <b:Person>
            <b:Last>Gupta</b:Last>
            <b:First>Rangan</b:First>
          </b:Person>
          <b:Person>
            <b:Last>Marfatia</b:Last>
            <b:First>Hardik</b:First>
            <b:Middle>A.</b:Middle>
          </b:Person>
        </b:NameList>
      </b:Author>
    </b:Author>
    <b:Title>Geopolitical Risks and Movements in Islamic Bond and Equity Markets: A Note</b:Title>
    <b:JournalName> Defence and Peace Economics </b:JournalName>
    <b:Year>2019</b:Year>
    <b:Pages>367-379</b:Pages>
    <b:Volume>2019</b:Volume>
    <b:Issue>3</b:Issue>
    <b:DOI>https://doi.org/10.1080/10242694.2018.1424613</b:DOI>
    <b:RefOrder>4</b:RefOrder>
  </b:Source>
  <b:Source>
    <b:Tag>Bal18</b:Tag>
    <b:SourceType>JournalArticle</b:SourceType>
    <b:Guid>{F38FF51F-C0EE-4AE4-B308-B7010752DD2E}</b:Guid>
    <b:Author>
      <b:Author>
        <b:NameList>
          <b:Person>
            <b:Last>Balcilar</b:Last>
            <b:First>Mehmet</b:First>
          </b:Person>
          <b:Person>
            <b:Last>Bonato</b:Last>
            <b:First>Matteo</b:First>
          </b:Person>
          <b:Person>
            <b:Last>Demirere</b:Last>
            <b:First>Riza</b:First>
          </b:Person>
          <b:Person>
            <b:Last>Gupta</b:Last>
            <b:First>Rangan</b:First>
          </b:Person>
        </b:NameList>
      </b:Author>
    </b:Author>
    <b:Title>Geopolitical risks and stock market dynamics of the BRICS</b:Title>
    <b:JournalName>Economic Systems</b:JournalName>
    <b:Year>2018</b:Year>
    <b:Pages>295-306</b:Pages>
    <b:Volume>42</b:Volume>
    <b:Issue>2</b:Issue>
    <b:DOI>https://doi.org/10.1016/j.ecosys.2017.05.008</b:DOI>
    <b:RefOrder>5</b:RefOrder>
  </b:Source>
  <b:Source>
    <b:Tag>Mar18</b:Tag>
    <b:SourceType>JournalArticle</b:SourceType>
    <b:Guid>{FB3D3017-ED94-43F0-95DF-A9A125D3EBC4}</b:Guid>
    <b:Author>
      <b:Author>
        <b:NameList>
          <b:Person>
            <b:Last>Marques</b:Last>
            <b:First>António</b:First>
            <b:Middle>Cardoso</b:Middle>
          </b:Person>
          <b:Person>
            <b:Last>Fuinhas</b:Last>
            <b:First>José</b:First>
            <b:Middle>Alberto</b:Middle>
          </b:Person>
          <b:Person>
            <b:Last>Pereira</b:Last>
            <b:First>Diogo</b:First>
            <b:Middle>André</b:Middle>
          </b:Person>
        </b:NameList>
      </b:Author>
    </b:Author>
    <b:Title>Have fossil fuels been substituted by renewables? An empirical assessment for 10 European countries</b:Title>
    <b:JournalName>Energy Policy</b:JournalName>
    <b:Year>2018</b:Year>
    <b:Pages>257-265</b:Pages>
    <b:Volume>116</b:Volume>
    <b:Issue>May 2018</b:Issue>
    <b:DOI>https://doi.org/10.1016/j.enpol.2018.02.021</b:DOI>
    <b:RefOrder>6</b:RefOrder>
  </b:Source>
  <b:Source>
    <b:Tag>Yan213</b:Tag>
    <b:SourceType>JournalArticle</b:SourceType>
    <b:Guid>{A96EEA45-C15E-4630-A01C-BD108B4DCD4A}</b:Guid>
    <b:Author>
      <b:Author>
        <b:NameList>
          <b:Person>
            <b:Last>Yang</b:Last>
            <b:First>Kun</b:First>
          </b:Person>
          <b:Person>
            <b:Last>Wei</b:Last>
            <b:First>Yu</b:First>
          </b:Person>
          <b:Person>
            <b:Last>Li</b:Last>
            <b:First>Shouwei</b:First>
          </b:Person>
          <b:Person>
            <b:Last>He</b:Last>
            <b:First>Jianmin</b:First>
          </b:Person>
        </b:NameList>
      </b:Author>
    </b:Author>
    <b:Title>Geopolitical risk and renewable energy stock markets: An insight from multiscale dynamic risk spillover</b:Title>
    <b:JournalName>Journal of Cleaner Production</b:JournalName>
    <b:Year>2021</b:Year>
    <b:Pages>123429</b:Pages>
    <b:Volume>279</b:Volume>
    <b:DOI>https://doi.org/10.1016/j.jclepro.2020.123429</b:DOI>
    <b:RefOrder>7</b:RefOrder>
  </b:Source>
  <b:Source>
    <b:Tag>Tia221</b:Tag>
    <b:SourceType>JournalArticle</b:SourceType>
    <b:Guid>{0A5FDE14-240B-4344-8A29-1002F35A0EEF}</b:Guid>
    <b:Author>
      <b:Author>
        <b:NameList>
          <b:Person>
            <b:Last>Tian</b:Last>
            <b:First>Hao</b:First>
          </b:Person>
          <b:Person>
            <b:Last>Long</b:Last>
            <b:First>Shaobo</b:First>
          </b:Person>
          <b:Person>
            <b:Last>Li</b:Last>
            <b:First>Zixuan</b:First>
          </b:Person>
        </b:NameList>
      </b:Author>
    </b:Author>
    <b:Title>Asymmetric effects of climate policy uncertainty, infectious diseases-related uncertainty, crude oil volatility, and geopolitical risks on green bond prices</b:Title>
    <b:JournalName>Finance Research Letters</b:JournalName>
    <b:Year>2022</b:Year>
    <b:Pages>103008</b:Pages>
    <b:Volume>48</b:Volume>
    <b:DOI>https://doi.org/10.1016/j.frl.2022.103008</b:DOI>
    <b:RefOrder>8</b:RefOrder>
  </b:Source>
  <b:Source>
    <b:Tag>Lee222</b:Tag>
    <b:SourceType>JournalArticle</b:SourceType>
    <b:Guid>{DA2E6C20-047F-4A22-AB01-EB9A5C874E5C}</b:Guid>
    <b:Author>
      <b:Author>
        <b:NameList>
          <b:Person>
            <b:Last>Lee</b:Last>
            <b:First>Chi-Chuan</b:First>
          </b:Person>
          <b:Person>
            <b:Last>Tang</b:Last>
            <b:First>Huayun</b:First>
          </b:Person>
          <b:Person>
            <b:Last>Li</b:Last>
            <b:First>Ding</b:First>
          </b:Person>
        </b:NameList>
      </b:Author>
    </b:Author>
    <b:Title>The roles of oil shocks and geopolitical uncertainties on China’s green bond returns</b:Title>
    <b:JournalName>Economic Analysis and Policy</b:JournalName>
    <b:Year>2022</b:Year>
    <b:Pages>494-505</b:Pages>
    <b:Volume>74</b:Volume>
    <b:DOI>https://doi.org/10.1016/j.eap.2022.03.008</b:DOI>
    <b:RefOrder>9</b:RefOrder>
  </b:Source>
  <b:Source>
    <b:Tag>Yan214</b:Tag>
    <b:SourceType>JournalArticle</b:SourceType>
    <b:Guid>{81DB052F-9E75-45DD-AA66-987DE9A77B95}</b:Guid>
    <b:Author>
      <b:Author>
        <b:NameList>
          <b:Person>
            <b:Last>Yang</b:Last>
            <b:First>Jianlei</b:First>
          </b:Person>
          <b:Person>
            <b:Last>Yang</b:Last>
            <b:First>Chunpeng</b:First>
          </b:Person>
        </b:NameList>
      </b:Author>
    </b:Author>
    <b:Title>The impact of mixed-frequency geopolitical risk on stock market returns</b:Title>
    <b:JournalName>Economic Analysis and Policy</b:JournalName>
    <b:Year>2021</b:Year>
    <b:Pages>226-240</b:Pages>
    <b:Volume>72</b:Volume>
    <b:Issue>December 2021</b:Issue>
    <b:DOI>https://doi.org/10.1016/j.eap.2021.08.008</b:DOI>
    <b:RefOrder>10</b:RefOrder>
  </b:Source>
  <b:Source>
    <b:Tag>Pha22</b:Tag>
    <b:SourceType>JournalArticle</b:SourceType>
    <b:Guid>{D23111BE-3E57-4D83-BF59-9CAECE4DC954}</b:Guid>
    <b:Author>
      <b:Author>
        <b:NameList>
          <b:Person>
            <b:Last>Pham</b:Last>
            <b:First>Linh</b:First>
          </b:Person>
          <b:Person>
            <b:Last>Nguyen</b:Last>
            <b:First>Canh</b:First>
            <b:Middle>Phu</b:Middle>
          </b:Person>
        </b:NameList>
      </b:Author>
    </b:Author>
    <b:Title>How do stock, oil, and economic policy uncertainty influence the green bond market?</b:Title>
    <b:JournalName>Finance Research Letters</b:JournalName>
    <b:Year>2022</b:Year>
    <b:Pages>102128</b:Pages>
    <b:Volume>45</b:Volume>
    <b:Issue>March 2022</b:Issue>
    <b:DOI>https://doi.org/10.1016/j.frl.2021.102128</b:DOI>
    <b:RefOrder>11</b:RefOrder>
  </b:Source>
  <b:Source>
    <b:Tag>Ren221</b:Tag>
    <b:SourceType>JournalArticle</b:SourceType>
    <b:Guid>{4BB4F875-F4A4-42B1-B57F-C46F9FC71CA7}</b:Guid>
    <b:Author>
      <b:Author>
        <b:NameList>
          <b:Person>
            <b:Last>Ren</b:Last>
            <b:First>Xiaohang</b:First>
          </b:Person>
          <b:Person>
            <b:Last>Li</b:Last>
            <b:First>Yiying</b:First>
          </b:Person>
          <b:Person>
            <b:Last>yan</b:Last>
            <b:First>Cheng</b:First>
          </b:Person>
          <b:Person>
            <b:Last>Wen</b:Last>
            <b:First>Fenghua</b:First>
          </b:Person>
          <b:Person>
            <b:Last>Lu</b:Last>
            <b:First>Zudi</b:First>
          </b:Person>
        </b:NameList>
      </b:Author>
    </b:Author>
    <b:Title>The interrelationship between the carbon market and the green bonds market: Evidence from wavelet quantile-on-quantile method</b:Title>
    <b:JournalName>Technological Forecasting and Social Change</b:JournalName>
    <b:Year>2022</b:Year>
    <b:Pages>121611</b:Pages>
    <b:Volume>179</b:Volume>
    <b:Issue>June 2022</b:Issue>
    <b:DOI>https://doi.org/10.1016/j.techfore.2022.121611</b:DOI>
    <b:RefOrder>12</b:RefOrder>
  </b:Source>
  <b:Source>
    <b:Tag>Wei22</b:Tag>
    <b:SourceType>JournalArticle</b:SourceType>
    <b:Guid>{D2F608A5-A4FD-4F53-B358-23D82717A337}</b:Guid>
    <b:Author>
      <b:Author>
        <b:NameList>
          <b:Person>
            <b:Last>Wei</b:Last>
            <b:First>Ping</b:First>
          </b:Person>
          <b:Person>
            <b:Last>Qi</b:Last>
            <b:First>Yinshu</b:First>
          </b:Person>
          <b:Person>
            <b:Last>Ren</b:Last>
            <b:First>Xiaohang</b:First>
          </b:Person>
          <b:Person>
            <b:Last>Duan</b:Last>
            <b:First>Kun</b:First>
          </b:Person>
        </b:NameList>
      </b:Author>
    </b:Author>
    <b:Title>Does Economic Policy Uncertainty Affect Green Bond Markets? Evidence from Wavelet-Based Quantile Analysis</b:Title>
    <b:JournalName>Emerging Markets Finance and Trade</b:JournalName>
    <b:Year>2022</b:Year>
    <b:DOI>https://doi.org/10.1080/1540496X.2022.2069487</b:DOI>
    <b:RefOrder>13</b:RefOrder>
  </b:Source>
  <b:Source>
    <b:Tag>Pes01</b:Tag>
    <b:SourceType>JournalArticle</b:SourceType>
    <b:Guid>{093AEB2B-21D5-4F6F-90E7-DE8D75760BCE}</b:Guid>
    <b:Title>Bounds testing approaches to the analysis of level relationships</b:Title>
    <b:Year>2001</b:Year>
    <b:Pages>289-326</b:Pages>
    <b:Author>
      <b:Author>
        <b:NameList>
          <b:Person>
            <b:Last>Pesaran</b:Last>
            <b:First>M.</b:First>
            <b:Middle>Hashem</b:Middle>
          </b:Person>
          <b:Person>
            <b:Last>Shin</b:Last>
            <b:First>Yongcheol</b:First>
          </b:Person>
          <b:Person>
            <b:Last>Smith</b:Last>
            <b:First>Richard</b:First>
            <b:Middle>J.</b:Middle>
          </b:Person>
        </b:NameList>
      </b:Author>
    </b:Author>
    <b:JournalName>Journal of Applied Econometrics</b:JournalName>
    <b:Volume>16</b:Volume>
    <b:Issue>3</b:Issue>
    <b:DOI>https://doi.org/10.1002/jae.616</b:DOI>
    <b:RefOrder>14</b:RefOrder>
  </b:Source>
  <b:Source>
    <b:Tag>Ban98</b:Tag>
    <b:SourceType>JournalArticle</b:SourceType>
    <b:Guid>{E4443730-C9C2-4AB0-ACF1-0326C1D6F75B}</b:Guid>
    <b:Author>
      <b:Author>
        <b:NameList>
          <b:Person>
            <b:Last>Banerjee</b:Last>
            <b:First>Anindya</b:First>
          </b:Person>
          <b:Person>
            <b:Last>Dolado</b:Last>
            <b:First>Juan</b:First>
          </b:Person>
          <b:Person>
            <b:Last>Mestre</b:Last>
            <b:First>Ricardo</b:First>
          </b:Person>
        </b:NameList>
      </b:Author>
    </b:Author>
    <b:Title>Error-correction Mechanism Tests for Cointegration in a Single-equation Framework</b:Title>
    <b:JournalName>Journal of Time Series Analysis</b:JournalName>
    <b:Year>1998</b:Year>
    <b:Pages>267-283</b:Pages>
    <b:Volume>19</b:Volume>
    <b:Issue>3</b:Issue>
    <b:DOI>https://doi.org/10.1111/1467-9892.00091</b:DOI>
    <b:RefOrder>15</b:RefOrder>
  </b:Source>
  <b:Source>
    <b:Tag>Sar222</b:Tag>
    <b:SourceType>JournalArticle</b:SourceType>
    <b:Guid>{27641E91-A44D-4DC7-A0BF-70125054AA2C}</b:Guid>
    <b:Author>
      <b:Author>
        <b:NameList>
          <b:Person>
            <b:Last>Sarker</b:Last>
            <b:First>Provash</b:First>
            <b:Middle>Kumer</b:Middle>
          </b:Person>
          <b:Person>
            <b:Last>Bouri</b:Last>
            <b:First>Elie</b:First>
          </b:Person>
          <b:Person>
            <b:Last>Marco</b:Last>
            <b:First>Chi</b:First>
            <b:Middle>Keung Lau</b:Middle>
          </b:Person>
        </b:NameList>
      </b:Author>
    </b:Author>
    <b:Title>Asymmetric effects of climate policy uncertainty, geopolitical risk, and crude oil prices on clean energy prices</b:Title>
    <b:JournalName>Environemental Science and Pollution Research</b:JournalName>
    <b:Year>2022</b:Year>
    <b:DOI>https://doi.org/10.1007/s11356-022-23020-w</b:DOI>
    <b:RefOrder>16</b:RefOrder>
  </b:Source>
  <b:Source>
    <b:Tag>LiX22</b:Tag>
    <b:SourceType>JournalArticle</b:SourceType>
    <b:Guid>{3B6FB1A2-1BB8-4E04-A299-CE61656F329F}</b:Guid>
    <b:Author>
      <b:Author>
        <b:NameList>
          <b:Person>
            <b:Last>Li</b:Last>
            <b:First>Xin</b:First>
          </b:Person>
          <b:Person>
            <b:Last>Li</b:Last>
            <b:First>Zheng</b:First>
          </b:Person>
          <b:Person>
            <b:Last>Su</b:Last>
            <b:First>Chi-Wei</b:First>
          </b:Person>
          <b:Person>
            <b:Last>Umar</b:Last>
            <b:First>Muhammad</b:First>
          </b:Person>
          <b:Person>
            <b:Last>Shao</b:Last>
            <b:First>Xuefeng</b:First>
          </b:Person>
        </b:NameList>
      </b:Author>
    </b:Author>
    <b:Title>Exploring the asymmetric impact of economic policy uncertainty on China's carbon emissions trading market price: Do different types of uncertainty matter?</b:Title>
    <b:JournalName>Technological Forecasting and Social Change</b:JournalName>
    <b:Year>2022</b:Year>
    <b:Volume>178</b:Volume>
    <b:Issue>May 2022</b:Issue>
    <b:DOI>https://doi.org/10.1016/j.techfore.2022.121601</b:DOI>
    <b:RefOrder>17</b:RefOrder>
  </b:Source>
  <b:Source>
    <b:Tag>Cha152</b:Tag>
    <b:SourceType>JournalArticle</b:SourceType>
    <b:Guid>{3F4D99C7-B0A4-49EC-9E0D-69F1A90CCCA8}</b:Guid>
    <b:Author>
      <b:Author>
        <b:NameList>
          <b:Person>
            <b:Last>Chattopadhyay</b:Last>
            <b:First>Manojit</b:First>
          </b:Person>
          <b:Person>
            <b:Last>Mitra</b:Last>
            <b:First>Subrata</b:First>
            <b:Middle>Kumar</b:Middle>
          </b:Person>
        </b:NameList>
      </b:Author>
    </b:Author>
    <b:Title>Exploring asymmetric behavior pattern from Indian oil products prices using NARDL and GHSOM approaches</b:Title>
    <b:JournalName>Energy Policy</b:JournalName>
    <b:Year>2015</b:Year>
    <b:Pages>262-272</b:Pages>
    <b:Volume>86</b:Volume>
    <b:Issue>November 2015</b:Issue>
    <b:DOI>https://doi.org/10.1016/j.enpol.2015.06.035</b:DOI>
    <b:RefOrder>18</b:RefOrder>
  </b:Source>
  <b:Source>
    <b:Tag>Sha22</b:Tag>
    <b:SourceType>JournalArticle</b:SourceType>
    <b:Guid>{F5C29DC8-4A47-43EE-BAE2-1D2C40881998}</b:Guid>
    <b:Author>
      <b:Author>
        <b:NameList>
          <b:Person>
            <b:Last>Shang</b:Last>
            <b:First>Yunfeng</b:First>
          </b:Person>
          <b:Person>
            <b:Last>Han</b:Last>
            <b:First>Ding</b:First>
          </b:Person>
          <b:Person>
            <b:Last>Gozgor</b:Last>
            <b:First>Giray</b:First>
          </b:Person>
          <b:Person>
            <b:Last>Mahalik</b:Last>
            <b:First>Mantu</b:First>
            <b:Middle>Kumar</b:Middle>
          </b:Person>
          <b:Person>
            <b:Last>Sahoo</b:Last>
            <b:First>Bimal</b:First>
            <b:Middle>Kishore</b:Middle>
          </b:Person>
        </b:NameList>
      </b:Author>
    </b:Author>
    <b:Title>The impact of climate policy uncertainty on renewable and non-renewable energy demand in the United States</b:Title>
    <b:JournalName>Renewable Energy</b:JournalName>
    <b:Year>2022</b:Year>
    <b:Pages>654-667</b:Pages>
    <b:Volume>197</b:Volume>
    <b:Issue>September 2022</b:Issue>
    <b:DOI>https://doi.org/10.1016/j.renene.2022.07.159</b:DOI>
    <b:RefOrder>19</b:RefOrder>
  </b:Source>
  <b:Source>
    <b:Tag>Dik06</b:Tag>
    <b:SourceType>JournalArticle</b:SourceType>
    <b:Guid>{DE2BD14B-AB01-41F0-9139-8A489DB0B8C7}</b:Guid>
    <b:Author>
      <b:Author>
        <b:NameList>
          <b:Person>
            <b:Last>Diks</b:Last>
            <b:First>Cees</b:First>
          </b:Person>
          <b:Person>
            <b:Last>Panchenko</b:Last>
            <b:First>Valentyn</b:First>
          </b:Person>
        </b:NameList>
      </b:Author>
    </b:Author>
    <b:Title>A new statistic and practical guidelines for nonparametric Granger causality testing</b:Title>
    <b:JournalName>J. Econ. Dyn. Control.</b:JournalName>
    <b:Year>2006</b:Year>
    <b:Pages>1647-1669</b:Pages>
    <b:Volume>30</b:Volume>
    <b:Issue>9-10</b:Issue>
    <b:DOI>https://doi.org/10.1016/j.jedc.2005.08.008</b:DOI>
    <b:RefOrder>1</b:RefOrder>
  </b:Source>
</b:Sources>
</file>

<file path=customXml/itemProps1.xml><?xml version="1.0" encoding="utf-8"?>
<ds:datastoreItem xmlns:ds="http://schemas.openxmlformats.org/officeDocument/2006/customXml" ds:itemID="{59878F81-BAFB-4497-8A99-EC57B13C1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32</Pages>
  <Words>19112</Words>
  <Characters>108939</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Provash Sarker</dc:creator>
  <cp:keywords/>
  <dc:description/>
  <cp:lastModifiedBy>Chen, Xihui</cp:lastModifiedBy>
  <cp:revision>4</cp:revision>
  <dcterms:created xsi:type="dcterms:W3CDTF">2022-12-03T22:29:00Z</dcterms:created>
  <dcterms:modified xsi:type="dcterms:W3CDTF">2023-01-28T16:46:00Z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d198db7cfa661b36e297c21bee7776700ad4895d9b84a2e13583e99c5b312c06</vt:lpwstr>
  </property>
</Properties>
</file>