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76DB1" w14:textId="2E569D8D" w:rsidR="003A49C8" w:rsidRPr="003A49C8" w:rsidRDefault="003A49C8" w:rsidP="003A49C8">
      <w:pPr>
        <w:jc w:val="center"/>
        <w:rPr>
          <w:b/>
          <w:bCs/>
        </w:rPr>
      </w:pPr>
      <w:r w:rsidRPr="003A49C8">
        <w:rPr>
          <w:b/>
          <w:bCs/>
        </w:rPr>
        <w:t>Risk Analysis of ESG (Environment, Social, and Governance), Healthcare and Financial Sectors</w:t>
      </w:r>
    </w:p>
    <w:p w14:paraId="5EE7D27A" w14:textId="77777777" w:rsidR="003A49C8" w:rsidRPr="003A49C8" w:rsidRDefault="003A49C8" w:rsidP="003A49C8">
      <w:pPr>
        <w:jc w:val="center"/>
        <w:rPr>
          <w:b/>
          <w:bCs/>
        </w:rPr>
      </w:pPr>
    </w:p>
    <w:p w14:paraId="111C0CDD" w14:textId="1FACCAF0" w:rsidR="003A49C8" w:rsidRPr="003A49C8" w:rsidRDefault="003A49C8" w:rsidP="003A49C8">
      <w:pPr>
        <w:jc w:val="center"/>
        <w:rPr>
          <w:b/>
          <w:bCs/>
          <w:szCs w:val="24"/>
        </w:rPr>
      </w:pPr>
      <w:r w:rsidRPr="003A49C8">
        <w:rPr>
          <w:b/>
          <w:bCs/>
        </w:rPr>
        <w:t>Sajid M. Chaudhry</w:t>
      </w:r>
      <w:r w:rsidRPr="003A49C8">
        <w:rPr>
          <w:b/>
          <w:bCs/>
          <w:vertAlign w:val="superscript"/>
        </w:rPr>
        <w:t>1</w:t>
      </w:r>
      <w:r w:rsidRPr="003A49C8">
        <w:rPr>
          <w:b/>
          <w:bCs/>
        </w:rPr>
        <w:t>, Xihui Haviour Chen</w:t>
      </w:r>
      <w:r w:rsidRPr="003A49C8">
        <w:rPr>
          <w:b/>
          <w:bCs/>
          <w:vertAlign w:val="superscript"/>
        </w:rPr>
        <w:t>2</w:t>
      </w:r>
      <w:r w:rsidRPr="003A49C8">
        <w:rPr>
          <w:b/>
          <w:bCs/>
        </w:rPr>
        <w:t>, Rizwan Ahmed</w:t>
      </w:r>
      <w:r w:rsidRPr="003A49C8">
        <w:rPr>
          <w:b/>
          <w:bCs/>
          <w:vertAlign w:val="superscript"/>
        </w:rPr>
        <w:t>3</w:t>
      </w:r>
      <w:r w:rsidRPr="003A49C8">
        <w:rPr>
          <w:b/>
          <w:bCs/>
        </w:rPr>
        <w:t xml:space="preserve">, </w:t>
      </w:r>
      <w:r w:rsidRPr="003A49C8">
        <w:rPr>
          <w:b/>
          <w:bCs/>
          <w:szCs w:val="24"/>
        </w:rPr>
        <w:t>Muhammad Ali Nasir</w:t>
      </w:r>
      <w:r w:rsidRPr="003A49C8">
        <w:rPr>
          <w:b/>
          <w:bCs/>
          <w:szCs w:val="24"/>
          <w:vertAlign w:val="superscript"/>
        </w:rPr>
        <w:t>4*</w:t>
      </w:r>
    </w:p>
    <w:p w14:paraId="77F6098D" w14:textId="282256C4" w:rsidR="003A49C8" w:rsidRPr="003A49C8" w:rsidRDefault="003A49C8" w:rsidP="003A49C8">
      <w:pPr>
        <w:jc w:val="left"/>
        <w:rPr>
          <w:b/>
          <w:bCs/>
        </w:rPr>
      </w:pPr>
    </w:p>
    <w:p w14:paraId="7E826E7B" w14:textId="34D96D8B" w:rsidR="003A49C8" w:rsidRPr="003A49C8" w:rsidRDefault="003A49C8" w:rsidP="003A49C8">
      <w:pPr>
        <w:jc w:val="center"/>
        <w:rPr>
          <w:b/>
          <w:bCs/>
        </w:rPr>
      </w:pPr>
    </w:p>
    <w:p w14:paraId="2B44F6A2" w14:textId="353F1F3A" w:rsidR="003A49C8" w:rsidRPr="003A49C8" w:rsidRDefault="003A49C8" w:rsidP="003A49C8">
      <w:r w:rsidRPr="003A49C8">
        <w:rPr>
          <w:vertAlign w:val="superscript"/>
        </w:rPr>
        <w:t>1</w:t>
      </w:r>
      <w:r w:rsidRPr="003A49C8">
        <w:t>Economics, Finance &amp; Entrepreneurship</w:t>
      </w:r>
      <w:r>
        <w:t xml:space="preserve"> Department</w:t>
      </w:r>
      <w:r w:rsidRPr="003A49C8">
        <w:t xml:space="preserve">, Aston Business School, </w:t>
      </w:r>
      <w:r>
        <w:t xml:space="preserve">Aston </w:t>
      </w:r>
      <w:r w:rsidRPr="003A49C8">
        <w:t xml:space="preserve">University, Birmingham, </w:t>
      </w:r>
      <w:r>
        <w:t xml:space="preserve">B4 7ET, </w:t>
      </w:r>
      <w:r w:rsidRPr="003A49C8">
        <w:t xml:space="preserve">UK. </w:t>
      </w:r>
    </w:p>
    <w:p w14:paraId="2580C673" w14:textId="77777777" w:rsidR="003A49C8" w:rsidRPr="003A49C8" w:rsidRDefault="003A49C8" w:rsidP="003A49C8">
      <w:pPr>
        <w:rPr>
          <w:u w:val="single"/>
        </w:rPr>
      </w:pPr>
    </w:p>
    <w:p w14:paraId="4D2E549C" w14:textId="52523E5B" w:rsidR="003A49C8" w:rsidRPr="003A49C8" w:rsidRDefault="003A49C8" w:rsidP="003A49C8">
      <w:pPr>
        <w:spacing w:line="240" w:lineRule="auto"/>
        <w:jc w:val="left"/>
      </w:pPr>
      <w:r w:rsidRPr="003A49C8">
        <w:rPr>
          <w:vertAlign w:val="superscript"/>
        </w:rPr>
        <w:t>2</w:t>
      </w:r>
      <w:r w:rsidRPr="003A49C8">
        <w:t>Edinburgh Business School, The Centre for Social and Economic Data Analytics (CSEDA),</w:t>
      </w:r>
    </w:p>
    <w:p w14:paraId="0570BEAA" w14:textId="5849E173" w:rsidR="003A49C8" w:rsidRPr="003A49C8" w:rsidRDefault="003A49C8" w:rsidP="003A49C8">
      <w:pPr>
        <w:spacing w:line="240" w:lineRule="auto"/>
        <w:jc w:val="left"/>
      </w:pPr>
      <w:r w:rsidRPr="003A49C8">
        <w:t>Heriot-Watt University, Edinburgh, UK</w:t>
      </w:r>
    </w:p>
    <w:p w14:paraId="65BDE139" w14:textId="77777777" w:rsidR="003A49C8" w:rsidRPr="003A49C8" w:rsidRDefault="003A49C8" w:rsidP="003A49C8">
      <w:pPr>
        <w:jc w:val="left"/>
      </w:pPr>
    </w:p>
    <w:p w14:paraId="55283B62" w14:textId="02122984" w:rsidR="003A49C8" w:rsidRDefault="003A49C8" w:rsidP="003A49C8">
      <w:pPr>
        <w:jc w:val="left"/>
      </w:pPr>
      <w:r w:rsidRPr="003A49C8">
        <w:rPr>
          <w:vertAlign w:val="superscript"/>
        </w:rPr>
        <w:t>3</w:t>
      </w:r>
      <w:r w:rsidRPr="003A49C8">
        <w:t>Kent Business School, University of Kent, UK</w:t>
      </w:r>
    </w:p>
    <w:p w14:paraId="0DCF64C7" w14:textId="77777777" w:rsidR="003A49C8" w:rsidRPr="003A49C8" w:rsidRDefault="003A49C8" w:rsidP="003A49C8">
      <w:pPr>
        <w:spacing w:line="240" w:lineRule="auto"/>
        <w:jc w:val="left"/>
      </w:pPr>
    </w:p>
    <w:p w14:paraId="2DE67995" w14:textId="53C514D0" w:rsidR="003A49C8" w:rsidRPr="003A49C8" w:rsidRDefault="003A49C8" w:rsidP="003A49C8">
      <w:pPr>
        <w:spacing w:line="240" w:lineRule="auto"/>
        <w:jc w:val="left"/>
        <w:rPr>
          <w:szCs w:val="24"/>
          <w:lang w:val="fr-FR"/>
        </w:rPr>
      </w:pPr>
      <w:r w:rsidRPr="003A49C8">
        <w:rPr>
          <w:szCs w:val="24"/>
          <w:vertAlign w:val="superscript"/>
        </w:rPr>
        <w:t>4*</w:t>
      </w:r>
      <w:r w:rsidRPr="003A49C8">
        <w:rPr>
          <w:szCs w:val="24"/>
        </w:rPr>
        <w:t xml:space="preserve">Department of Economics, University of Leeds, UK. Department of Land Economy, University of Cambridge, UK. </w:t>
      </w:r>
      <w:r w:rsidRPr="003A49C8">
        <w:rPr>
          <w:szCs w:val="24"/>
          <w:lang w:val="fr-FR"/>
        </w:rPr>
        <w:t xml:space="preserve">Email: </w:t>
      </w:r>
      <w:hyperlink r:id="rId8" w:history="1">
        <w:r w:rsidRPr="003A49C8">
          <w:rPr>
            <w:rStyle w:val="Hyperlink"/>
            <w:color w:val="auto"/>
          </w:rPr>
          <w:t>M.A.Nasir@leeds.ac.uk</w:t>
        </w:r>
      </w:hyperlink>
      <w:r>
        <w:rPr>
          <w:szCs w:val="24"/>
          <w:lang w:val="fr-FR"/>
        </w:rPr>
        <w:t xml:space="preserve"> </w:t>
      </w:r>
    </w:p>
    <w:p w14:paraId="119847B3" w14:textId="7DD307EA" w:rsidR="003A49C8" w:rsidRPr="003A49C8" w:rsidRDefault="003A49C8">
      <w:pPr>
        <w:spacing w:line="259" w:lineRule="auto"/>
        <w:jc w:val="left"/>
        <w:rPr>
          <w:b/>
          <w:bCs/>
          <w:sz w:val="28"/>
          <w:szCs w:val="28"/>
        </w:rPr>
      </w:pPr>
    </w:p>
    <w:p w14:paraId="5E5B6675" w14:textId="77777777" w:rsidR="003A49C8" w:rsidRPr="003A49C8" w:rsidRDefault="003A49C8">
      <w:pPr>
        <w:spacing w:line="259" w:lineRule="auto"/>
        <w:jc w:val="left"/>
        <w:rPr>
          <w:b/>
          <w:bCs/>
          <w:sz w:val="28"/>
          <w:szCs w:val="28"/>
        </w:rPr>
      </w:pPr>
      <w:r w:rsidRPr="003A49C8">
        <w:rPr>
          <w:b/>
          <w:bCs/>
          <w:sz w:val="28"/>
          <w:szCs w:val="28"/>
        </w:rPr>
        <w:br w:type="page"/>
      </w:r>
    </w:p>
    <w:p w14:paraId="4CF59C9A" w14:textId="6402E6C1" w:rsidR="002314F1" w:rsidRPr="003A49C8" w:rsidRDefault="00FD57D1" w:rsidP="001E2E0A">
      <w:pPr>
        <w:spacing w:line="240" w:lineRule="auto"/>
        <w:jc w:val="center"/>
        <w:rPr>
          <w:b/>
          <w:bCs/>
          <w:sz w:val="28"/>
          <w:szCs w:val="28"/>
        </w:rPr>
      </w:pPr>
      <w:r w:rsidRPr="003A49C8">
        <w:rPr>
          <w:b/>
          <w:bCs/>
          <w:sz w:val="28"/>
          <w:szCs w:val="28"/>
        </w:rPr>
        <w:lastRenderedPageBreak/>
        <w:t>Risk Analysis of ESG (Environment, Social</w:t>
      </w:r>
      <w:r w:rsidR="00FC6359" w:rsidRPr="003A49C8">
        <w:rPr>
          <w:b/>
          <w:bCs/>
          <w:sz w:val="28"/>
          <w:szCs w:val="28"/>
        </w:rPr>
        <w:t>,</w:t>
      </w:r>
      <w:r w:rsidRPr="003A49C8">
        <w:rPr>
          <w:b/>
          <w:bCs/>
          <w:sz w:val="28"/>
          <w:szCs w:val="28"/>
        </w:rPr>
        <w:t xml:space="preserve"> and Governance), Healthcare and Financial Sectors</w:t>
      </w:r>
    </w:p>
    <w:p w14:paraId="047AED11" w14:textId="77777777" w:rsidR="00E33705" w:rsidRPr="003A49C8" w:rsidRDefault="00E33705" w:rsidP="00E33705">
      <w:pPr>
        <w:jc w:val="center"/>
        <w:rPr>
          <w:b/>
          <w:bCs/>
        </w:rPr>
      </w:pPr>
    </w:p>
    <w:p w14:paraId="329DC63A" w14:textId="7BCA2243" w:rsidR="00E33705" w:rsidRPr="003A49C8" w:rsidRDefault="00E33705">
      <w:pPr>
        <w:spacing w:line="259" w:lineRule="auto"/>
        <w:jc w:val="left"/>
        <w:rPr>
          <w:rFonts w:cs="Times New Roman"/>
          <w:b/>
          <w:bCs/>
          <w:szCs w:val="24"/>
          <w:lang w:val="fr-FR"/>
        </w:rPr>
      </w:pPr>
    </w:p>
    <w:p w14:paraId="5A940749" w14:textId="1F5C4A5E" w:rsidR="00FD57D1" w:rsidRPr="003A49C8" w:rsidRDefault="00FD57D1" w:rsidP="00656132">
      <w:pPr>
        <w:pStyle w:val="Heading1"/>
        <w:jc w:val="center"/>
        <w:rPr>
          <w:lang w:val="fr-FR"/>
        </w:rPr>
      </w:pPr>
      <w:r w:rsidRPr="003A49C8">
        <w:rPr>
          <w:lang w:val="fr-FR"/>
        </w:rPr>
        <w:t>Abstract</w:t>
      </w:r>
    </w:p>
    <w:p w14:paraId="2B1A459C" w14:textId="278409C7" w:rsidR="00FD57D1" w:rsidRPr="003A49C8" w:rsidRDefault="00FD57D1" w:rsidP="00FC6359">
      <w:r w:rsidRPr="003A49C8">
        <w:t>Climate change poses enormous ecological, socio-economic, health</w:t>
      </w:r>
      <w:r w:rsidR="001B73F0" w:rsidRPr="003A49C8">
        <w:t>,</w:t>
      </w:r>
      <w:r w:rsidRPr="003A49C8">
        <w:t xml:space="preserve"> and financial challenges. </w:t>
      </w:r>
      <w:r w:rsidR="0031674D" w:rsidRPr="003A49C8">
        <w:t xml:space="preserve">A novel extreme value theory is employed in this study to model the risk to ESG, healthcare, and financial </w:t>
      </w:r>
      <w:r w:rsidR="004376C1" w:rsidRPr="003A49C8">
        <w:t>sectors</w:t>
      </w:r>
      <w:r w:rsidR="0031674D" w:rsidRPr="003A49C8">
        <w:t xml:space="preserve">, and assess their downside risk, extreme systemic risk, and </w:t>
      </w:r>
      <w:r w:rsidR="006A5517" w:rsidRPr="003A49C8">
        <w:t xml:space="preserve">extreme </w:t>
      </w:r>
      <w:r w:rsidR="0031674D" w:rsidRPr="003A49C8">
        <w:t xml:space="preserve">spillover risk. </w:t>
      </w:r>
      <w:r w:rsidRPr="003A49C8">
        <w:t xml:space="preserve">We </w:t>
      </w:r>
      <w:r w:rsidR="00EF086E" w:rsidRPr="003A49C8">
        <w:t xml:space="preserve">use </w:t>
      </w:r>
      <w:r w:rsidR="00F71A3C" w:rsidRPr="003A49C8">
        <w:t xml:space="preserve">a rich set of </w:t>
      </w:r>
      <w:r w:rsidR="006B3A39" w:rsidRPr="003A49C8">
        <w:t xml:space="preserve">global </w:t>
      </w:r>
      <w:r w:rsidR="00EF086E" w:rsidRPr="003A49C8">
        <w:t>daily</w:t>
      </w:r>
      <w:r w:rsidRPr="003A49C8">
        <w:t xml:space="preserve"> data </w:t>
      </w:r>
      <w:r w:rsidR="006A5517" w:rsidRPr="003A49C8">
        <w:t>of exchange</w:t>
      </w:r>
      <w:r w:rsidR="00390518" w:rsidRPr="003A49C8">
        <w:t>-</w:t>
      </w:r>
      <w:r w:rsidR="006A5517" w:rsidRPr="003A49C8">
        <w:t xml:space="preserve">traded funds (ETFs) </w:t>
      </w:r>
      <w:r w:rsidRPr="003A49C8">
        <w:t>from 1</w:t>
      </w:r>
      <w:r w:rsidRPr="003A49C8">
        <w:rPr>
          <w:vertAlign w:val="superscript"/>
        </w:rPr>
        <w:t>st</w:t>
      </w:r>
      <w:r w:rsidRPr="003A49C8">
        <w:t xml:space="preserve"> July 1999 to 30</w:t>
      </w:r>
      <w:r w:rsidRPr="003A49C8">
        <w:rPr>
          <w:vertAlign w:val="superscript"/>
        </w:rPr>
        <w:t>th</w:t>
      </w:r>
      <w:r w:rsidRPr="003A49C8">
        <w:t xml:space="preserve"> June 2022 in </w:t>
      </w:r>
      <w:r w:rsidR="0027141B" w:rsidRPr="003A49C8">
        <w:t xml:space="preserve">the </w:t>
      </w:r>
      <w:r w:rsidRPr="003A49C8">
        <w:t xml:space="preserve">case of healthcare and financial </w:t>
      </w:r>
      <w:r w:rsidR="006A5517" w:rsidRPr="003A49C8">
        <w:t xml:space="preserve">sectors </w:t>
      </w:r>
      <w:r w:rsidRPr="003A49C8">
        <w:t>and from 1</w:t>
      </w:r>
      <w:r w:rsidRPr="003A49C8">
        <w:rPr>
          <w:vertAlign w:val="superscript"/>
        </w:rPr>
        <w:t>st</w:t>
      </w:r>
      <w:r w:rsidRPr="003A49C8">
        <w:t xml:space="preserve"> July 2007 to 30</w:t>
      </w:r>
      <w:r w:rsidRPr="003A49C8">
        <w:rPr>
          <w:vertAlign w:val="superscript"/>
        </w:rPr>
        <w:t>th</w:t>
      </w:r>
      <w:r w:rsidRPr="003A49C8">
        <w:t xml:space="preserve"> June 2022 in </w:t>
      </w:r>
      <w:r w:rsidR="0027141B" w:rsidRPr="003A49C8">
        <w:t xml:space="preserve">the </w:t>
      </w:r>
      <w:r w:rsidRPr="003A49C8">
        <w:t xml:space="preserve">case of ESG </w:t>
      </w:r>
      <w:r w:rsidR="006A5517" w:rsidRPr="003A49C8">
        <w:t>sectors</w:t>
      </w:r>
      <w:r w:rsidRPr="003A49C8">
        <w:t xml:space="preserve">. We find that </w:t>
      </w:r>
      <w:r w:rsidR="0027141B" w:rsidRPr="003A49C8">
        <w:t xml:space="preserve">the </w:t>
      </w:r>
      <w:r w:rsidRPr="003A49C8">
        <w:t xml:space="preserve">financial </w:t>
      </w:r>
      <w:r w:rsidR="004376C1" w:rsidRPr="003A49C8">
        <w:t>sector</w:t>
      </w:r>
      <w:r w:rsidRPr="003A49C8">
        <w:t xml:space="preserve"> is the riskiest when we consider </w:t>
      </w:r>
      <w:r w:rsidR="001B73F0" w:rsidRPr="003A49C8">
        <w:t xml:space="preserve">the </w:t>
      </w:r>
      <w:r w:rsidRPr="003A49C8">
        <w:t>tail index, tail quantile</w:t>
      </w:r>
      <w:r w:rsidR="001B73F0" w:rsidRPr="003A49C8">
        <w:t>,</w:t>
      </w:r>
      <w:r w:rsidRPr="003A49C8">
        <w:t xml:space="preserve"> and tail expected shortfall. However, </w:t>
      </w:r>
      <w:r w:rsidR="0027141B" w:rsidRPr="003A49C8">
        <w:t xml:space="preserve">the </w:t>
      </w:r>
      <w:r w:rsidRPr="003A49C8">
        <w:t xml:space="preserve">ESG </w:t>
      </w:r>
      <w:r w:rsidR="004376C1" w:rsidRPr="003A49C8">
        <w:t xml:space="preserve">sector </w:t>
      </w:r>
      <w:r w:rsidRPr="003A49C8">
        <w:t>exhibit</w:t>
      </w:r>
      <w:r w:rsidR="004376C1" w:rsidRPr="003A49C8">
        <w:t>s</w:t>
      </w:r>
      <w:r w:rsidRPr="003A49C8">
        <w:t xml:space="preserve"> the highest tail risk in </w:t>
      </w:r>
      <w:r w:rsidR="0027141B" w:rsidRPr="003A49C8">
        <w:t xml:space="preserve">the </w:t>
      </w:r>
      <w:r w:rsidRPr="003A49C8">
        <w:t xml:space="preserve">extreme environment when we consider a shock in the form of </w:t>
      </w:r>
      <w:r w:rsidR="00390518" w:rsidRPr="003A49C8">
        <w:t xml:space="preserve">an </w:t>
      </w:r>
      <w:r w:rsidRPr="003A49C8">
        <w:t xml:space="preserve">ETF drop of 25% or 50%. </w:t>
      </w:r>
      <w:r w:rsidR="008A5BE2" w:rsidRPr="003A49C8">
        <w:t>T</w:t>
      </w:r>
      <w:r w:rsidR="00EB5C1D" w:rsidRPr="003A49C8">
        <w:t xml:space="preserve">he </w:t>
      </w:r>
      <w:r w:rsidR="0030386F" w:rsidRPr="003A49C8">
        <w:t xml:space="preserve">ESG </w:t>
      </w:r>
      <w:r w:rsidR="004376C1" w:rsidRPr="003A49C8">
        <w:t>sector</w:t>
      </w:r>
      <w:r w:rsidR="0030386F" w:rsidRPr="003A49C8">
        <w:t xml:space="preserve"> pose</w:t>
      </w:r>
      <w:r w:rsidR="004376C1" w:rsidRPr="003A49C8">
        <w:t>s</w:t>
      </w:r>
      <w:r w:rsidR="0030386F" w:rsidRPr="003A49C8">
        <w:t xml:space="preserve"> </w:t>
      </w:r>
      <w:r w:rsidRPr="003A49C8">
        <w:t xml:space="preserve">the </w:t>
      </w:r>
      <w:r w:rsidR="0030386F" w:rsidRPr="003A49C8">
        <w:t xml:space="preserve">highest </w:t>
      </w:r>
      <w:r w:rsidRPr="003A49C8">
        <w:t xml:space="preserve">extreme systemic risk </w:t>
      </w:r>
      <w:r w:rsidR="0030386F" w:rsidRPr="003A49C8">
        <w:t xml:space="preserve">when a </w:t>
      </w:r>
      <w:r w:rsidRPr="003A49C8">
        <w:t xml:space="preserve">shock </w:t>
      </w:r>
      <w:r w:rsidR="00EF086E" w:rsidRPr="003A49C8">
        <w:t xml:space="preserve">comes </w:t>
      </w:r>
      <w:r w:rsidRPr="003A49C8">
        <w:t>from Chin</w:t>
      </w:r>
      <w:r w:rsidR="00CF2B14" w:rsidRPr="003A49C8">
        <w:t>a</w:t>
      </w:r>
      <w:r w:rsidRPr="003A49C8">
        <w:t xml:space="preserve">. Finally, we find that ESG and healthcare </w:t>
      </w:r>
      <w:r w:rsidR="004376C1" w:rsidRPr="003A49C8">
        <w:t>sectors</w:t>
      </w:r>
      <w:r w:rsidRPr="003A49C8">
        <w:t xml:space="preserve"> have lower extreme spillover risk (contagion risk) compared to </w:t>
      </w:r>
      <w:r w:rsidR="00EB5C1D" w:rsidRPr="003A49C8">
        <w:t xml:space="preserve">the </w:t>
      </w:r>
      <w:r w:rsidRPr="003A49C8">
        <w:t xml:space="preserve">financial </w:t>
      </w:r>
      <w:r w:rsidR="004376C1" w:rsidRPr="003A49C8">
        <w:t>sector</w:t>
      </w:r>
      <w:r w:rsidRPr="003A49C8">
        <w:t xml:space="preserve">. Our </w:t>
      </w:r>
      <w:r w:rsidR="00EF086E" w:rsidRPr="003A49C8">
        <w:t xml:space="preserve">study </w:t>
      </w:r>
      <w:r w:rsidRPr="003A49C8">
        <w:t>provide</w:t>
      </w:r>
      <w:r w:rsidR="00EF086E" w:rsidRPr="003A49C8">
        <w:t>s</w:t>
      </w:r>
      <w:r w:rsidRPr="003A49C8">
        <w:t xml:space="preserve"> great insights </w:t>
      </w:r>
      <w:r w:rsidR="0045258E" w:rsidRPr="003A49C8">
        <w:t>into</w:t>
      </w:r>
      <w:r w:rsidRPr="003A49C8">
        <w:t xml:space="preserve"> making sustainable economic, business</w:t>
      </w:r>
      <w:r w:rsidR="0031674D" w:rsidRPr="003A49C8">
        <w:t>,</w:t>
      </w:r>
      <w:r w:rsidRPr="003A49C8">
        <w:t xml:space="preserve"> and financial strategies as </w:t>
      </w:r>
      <w:r w:rsidR="0045258E" w:rsidRPr="003A49C8">
        <w:t xml:space="preserve">it includes </w:t>
      </w:r>
      <w:r w:rsidR="0027141B" w:rsidRPr="003A49C8">
        <w:t xml:space="preserve">a </w:t>
      </w:r>
      <w:r w:rsidRPr="003A49C8">
        <w:t xml:space="preserve">detailed </w:t>
      </w:r>
      <w:r w:rsidR="00EF086E" w:rsidRPr="003A49C8">
        <w:t xml:space="preserve">risk </w:t>
      </w:r>
      <w:r w:rsidRPr="003A49C8">
        <w:t xml:space="preserve">assessment </w:t>
      </w:r>
      <w:r w:rsidR="00EF086E" w:rsidRPr="003A49C8">
        <w:t xml:space="preserve">of </w:t>
      </w:r>
      <w:r w:rsidRPr="003A49C8">
        <w:t>ESG, healthcare and financial</w:t>
      </w:r>
      <w:r w:rsidR="0045258E" w:rsidRPr="003A49C8">
        <w:t xml:space="preserve"> </w:t>
      </w:r>
      <w:r w:rsidR="004376C1" w:rsidRPr="003A49C8">
        <w:t>sectors</w:t>
      </w:r>
      <w:r w:rsidR="0045258E" w:rsidRPr="003A49C8">
        <w:t xml:space="preserve">, as well as </w:t>
      </w:r>
      <w:r w:rsidR="0027141B" w:rsidRPr="003A49C8">
        <w:t xml:space="preserve">a </w:t>
      </w:r>
      <w:r w:rsidR="009764A0" w:rsidRPr="003A49C8">
        <w:t>new approach to risk analysis</w:t>
      </w:r>
      <w:r w:rsidRPr="003A49C8">
        <w:t xml:space="preserve">. </w:t>
      </w:r>
    </w:p>
    <w:p w14:paraId="04C8431B" w14:textId="77777777" w:rsidR="00FC6359" w:rsidRPr="003A49C8" w:rsidRDefault="00FC6359" w:rsidP="00FD57D1">
      <w:pPr>
        <w:autoSpaceDE w:val="0"/>
        <w:autoSpaceDN w:val="0"/>
        <w:adjustRightInd w:val="0"/>
        <w:spacing w:after="0" w:line="240" w:lineRule="auto"/>
        <w:rPr>
          <w:rFonts w:cs="Times New Roman"/>
          <w:szCs w:val="24"/>
        </w:rPr>
      </w:pPr>
    </w:p>
    <w:p w14:paraId="470DD2B8" w14:textId="345039DB" w:rsidR="00FD57D1" w:rsidRPr="003A49C8" w:rsidRDefault="00FD57D1" w:rsidP="00FD57D1">
      <w:pPr>
        <w:autoSpaceDE w:val="0"/>
        <w:autoSpaceDN w:val="0"/>
        <w:adjustRightInd w:val="0"/>
        <w:spacing w:after="0" w:line="240" w:lineRule="auto"/>
        <w:rPr>
          <w:rFonts w:cs="Times New Roman"/>
          <w:szCs w:val="24"/>
        </w:rPr>
      </w:pPr>
      <w:r w:rsidRPr="003A49C8">
        <w:rPr>
          <w:rFonts w:cs="Times New Roman"/>
          <w:b/>
          <w:bCs/>
          <w:szCs w:val="24"/>
        </w:rPr>
        <w:t xml:space="preserve">JEL codes: </w:t>
      </w:r>
      <w:r w:rsidR="00BD4538" w:rsidRPr="003A49C8">
        <w:rPr>
          <w:rFonts w:cs="Times New Roman"/>
          <w:szCs w:val="24"/>
        </w:rPr>
        <w:t xml:space="preserve">Q57, </w:t>
      </w:r>
      <w:r w:rsidR="00DA1598" w:rsidRPr="003A49C8">
        <w:rPr>
          <w:rFonts w:cs="Times New Roman"/>
          <w:szCs w:val="24"/>
        </w:rPr>
        <w:t xml:space="preserve">I11, G32 </w:t>
      </w:r>
      <w:r w:rsidR="00BD4538" w:rsidRPr="003A49C8">
        <w:rPr>
          <w:rFonts w:cs="Times New Roman"/>
          <w:szCs w:val="24"/>
        </w:rPr>
        <w:t>G12</w:t>
      </w:r>
      <w:r w:rsidRPr="003A49C8">
        <w:rPr>
          <w:rFonts w:cs="Times New Roman"/>
          <w:szCs w:val="24"/>
        </w:rPr>
        <w:t xml:space="preserve">, </w:t>
      </w:r>
      <w:r w:rsidR="00BD4538" w:rsidRPr="003A49C8">
        <w:rPr>
          <w:rFonts w:cs="Times New Roman"/>
          <w:szCs w:val="24"/>
        </w:rPr>
        <w:t>C49,</w:t>
      </w:r>
      <w:r w:rsidR="00DA1598" w:rsidRPr="003A49C8">
        <w:rPr>
          <w:rFonts w:cs="Times New Roman"/>
          <w:szCs w:val="24"/>
        </w:rPr>
        <w:t xml:space="preserve"> </w:t>
      </w:r>
    </w:p>
    <w:p w14:paraId="6A86DDDA" w14:textId="77777777" w:rsidR="00BD4538" w:rsidRPr="003A49C8" w:rsidRDefault="00BD4538" w:rsidP="00FD57D1">
      <w:pPr>
        <w:autoSpaceDE w:val="0"/>
        <w:autoSpaceDN w:val="0"/>
        <w:adjustRightInd w:val="0"/>
        <w:spacing w:after="0" w:line="240" w:lineRule="auto"/>
        <w:rPr>
          <w:rFonts w:cs="Times New Roman"/>
          <w:szCs w:val="24"/>
        </w:rPr>
      </w:pPr>
    </w:p>
    <w:p w14:paraId="7859C823" w14:textId="32E93631" w:rsidR="00BD4538" w:rsidRPr="003A49C8" w:rsidRDefault="00FD57D1" w:rsidP="00687D35">
      <w:pPr>
        <w:autoSpaceDE w:val="0"/>
        <w:autoSpaceDN w:val="0"/>
        <w:adjustRightInd w:val="0"/>
        <w:spacing w:after="0" w:line="240" w:lineRule="auto"/>
        <w:rPr>
          <w:rFonts w:cs="Times New Roman"/>
          <w:szCs w:val="24"/>
        </w:rPr>
      </w:pPr>
      <w:r w:rsidRPr="003A49C8">
        <w:rPr>
          <w:rFonts w:cs="Times New Roman"/>
          <w:b/>
          <w:bCs/>
          <w:szCs w:val="24"/>
        </w:rPr>
        <w:t xml:space="preserve">Keywords: </w:t>
      </w:r>
      <w:r w:rsidR="00BD4538" w:rsidRPr="003A49C8">
        <w:rPr>
          <w:rFonts w:cs="Times New Roman"/>
          <w:szCs w:val="24"/>
        </w:rPr>
        <w:t>Ecological</w:t>
      </w:r>
      <w:r w:rsidR="00DA1598" w:rsidRPr="003A49C8">
        <w:rPr>
          <w:rFonts w:cs="Times New Roman"/>
          <w:szCs w:val="24"/>
        </w:rPr>
        <w:t xml:space="preserve"> risk modelling</w:t>
      </w:r>
      <w:r w:rsidR="006B3A39" w:rsidRPr="003A49C8">
        <w:rPr>
          <w:rFonts w:cs="Times New Roman"/>
          <w:szCs w:val="24"/>
        </w:rPr>
        <w:t>;</w:t>
      </w:r>
      <w:r w:rsidRPr="003A49C8">
        <w:rPr>
          <w:rFonts w:cs="Times New Roman"/>
          <w:szCs w:val="24"/>
        </w:rPr>
        <w:t xml:space="preserve"> </w:t>
      </w:r>
      <w:r w:rsidR="00DA1598" w:rsidRPr="003A49C8">
        <w:rPr>
          <w:rFonts w:cs="Times New Roman"/>
          <w:szCs w:val="24"/>
        </w:rPr>
        <w:t xml:space="preserve">Healthcare </w:t>
      </w:r>
      <w:r w:rsidR="008B0DFD" w:rsidRPr="003A49C8">
        <w:rPr>
          <w:rFonts w:cs="Times New Roman"/>
          <w:szCs w:val="24"/>
        </w:rPr>
        <w:t>r</w:t>
      </w:r>
      <w:r w:rsidR="00F71A3C" w:rsidRPr="003A49C8">
        <w:rPr>
          <w:rFonts w:cs="Times New Roman"/>
          <w:szCs w:val="24"/>
        </w:rPr>
        <w:t>isks</w:t>
      </w:r>
      <w:r w:rsidR="006B3A39" w:rsidRPr="003A49C8">
        <w:rPr>
          <w:rFonts w:cs="Times New Roman"/>
          <w:szCs w:val="24"/>
        </w:rPr>
        <w:t>;</w:t>
      </w:r>
      <w:r w:rsidR="00F71A3C" w:rsidRPr="003A49C8">
        <w:rPr>
          <w:rFonts w:cs="Times New Roman"/>
          <w:szCs w:val="24"/>
        </w:rPr>
        <w:t xml:space="preserve"> </w:t>
      </w:r>
      <w:r w:rsidR="005266FD" w:rsidRPr="003A49C8">
        <w:rPr>
          <w:rFonts w:cs="Times New Roman"/>
          <w:szCs w:val="24"/>
        </w:rPr>
        <w:t>Financial</w:t>
      </w:r>
      <w:r w:rsidR="00DA1598" w:rsidRPr="003A49C8">
        <w:rPr>
          <w:rFonts w:cs="Times New Roman"/>
          <w:szCs w:val="24"/>
        </w:rPr>
        <w:t xml:space="preserve"> </w:t>
      </w:r>
      <w:r w:rsidR="008B0DFD" w:rsidRPr="003A49C8">
        <w:rPr>
          <w:rFonts w:cs="Times New Roman"/>
          <w:szCs w:val="24"/>
        </w:rPr>
        <w:t>r</w:t>
      </w:r>
      <w:r w:rsidR="00DA1598" w:rsidRPr="003A49C8">
        <w:rPr>
          <w:rFonts w:cs="Times New Roman"/>
          <w:szCs w:val="24"/>
        </w:rPr>
        <w:t>isk</w:t>
      </w:r>
      <w:r w:rsidR="005266FD" w:rsidRPr="003A49C8">
        <w:rPr>
          <w:rFonts w:cs="Times New Roman"/>
          <w:szCs w:val="24"/>
        </w:rPr>
        <w:t>s</w:t>
      </w:r>
      <w:r w:rsidR="006B3A39" w:rsidRPr="003A49C8">
        <w:rPr>
          <w:rFonts w:cs="Times New Roman"/>
          <w:szCs w:val="24"/>
        </w:rPr>
        <w:t>;</w:t>
      </w:r>
      <w:r w:rsidRPr="003A49C8">
        <w:rPr>
          <w:rFonts w:cs="Times New Roman"/>
          <w:szCs w:val="24"/>
        </w:rPr>
        <w:t xml:space="preserve"> </w:t>
      </w:r>
      <w:r w:rsidR="00F71A3C" w:rsidRPr="003A49C8">
        <w:rPr>
          <w:rFonts w:cs="Times New Roman"/>
          <w:szCs w:val="24"/>
        </w:rPr>
        <w:t xml:space="preserve">Risk </w:t>
      </w:r>
      <w:r w:rsidR="008B0DFD" w:rsidRPr="003A49C8">
        <w:rPr>
          <w:rFonts w:cs="Times New Roman"/>
          <w:szCs w:val="24"/>
        </w:rPr>
        <w:t>assessment</w:t>
      </w:r>
      <w:r w:rsidR="006B3A39" w:rsidRPr="003A49C8">
        <w:rPr>
          <w:rFonts w:cs="Times New Roman"/>
          <w:szCs w:val="24"/>
        </w:rPr>
        <w:t>;</w:t>
      </w:r>
      <w:r w:rsidR="00F71A3C" w:rsidRPr="003A49C8">
        <w:rPr>
          <w:rFonts w:cs="Times New Roman"/>
          <w:szCs w:val="24"/>
        </w:rPr>
        <w:t xml:space="preserve"> Risk </w:t>
      </w:r>
      <w:r w:rsidR="008B0DFD" w:rsidRPr="003A49C8">
        <w:rPr>
          <w:rFonts w:cs="Times New Roman"/>
          <w:szCs w:val="24"/>
        </w:rPr>
        <w:t>a</w:t>
      </w:r>
      <w:r w:rsidR="00F71A3C" w:rsidRPr="003A49C8">
        <w:rPr>
          <w:rFonts w:cs="Times New Roman"/>
          <w:szCs w:val="24"/>
        </w:rPr>
        <w:t>nalysis</w:t>
      </w:r>
      <w:r w:rsidR="006B3A39" w:rsidRPr="003A49C8">
        <w:rPr>
          <w:rFonts w:cs="Times New Roman"/>
          <w:szCs w:val="24"/>
        </w:rPr>
        <w:t>;</w:t>
      </w:r>
      <w:r w:rsidR="00F71A3C" w:rsidRPr="003A49C8">
        <w:rPr>
          <w:rFonts w:cs="Times New Roman"/>
          <w:szCs w:val="24"/>
        </w:rPr>
        <w:t xml:space="preserve"> ESG</w:t>
      </w:r>
      <w:r w:rsidR="006B3A39" w:rsidRPr="003A49C8">
        <w:rPr>
          <w:rFonts w:cs="Times New Roman"/>
          <w:szCs w:val="24"/>
        </w:rPr>
        <w:t>;</w:t>
      </w:r>
      <w:r w:rsidRPr="003A49C8">
        <w:rPr>
          <w:rFonts w:cs="Times New Roman"/>
          <w:szCs w:val="24"/>
        </w:rPr>
        <w:t xml:space="preserve"> </w:t>
      </w:r>
      <w:r w:rsidR="00BD4538" w:rsidRPr="003A49C8">
        <w:rPr>
          <w:rFonts w:cs="Times New Roman"/>
          <w:szCs w:val="24"/>
        </w:rPr>
        <w:t>Extreme value theory</w:t>
      </w:r>
    </w:p>
    <w:p w14:paraId="2B9599B7" w14:textId="4FD08754" w:rsidR="00FD57D1" w:rsidRPr="003A49C8" w:rsidRDefault="00FD57D1" w:rsidP="00DA1598">
      <w:pPr>
        <w:rPr>
          <w:rFonts w:cs="Times New Roman"/>
          <w:b/>
          <w:bCs/>
          <w:szCs w:val="24"/>
        </w:rPr>
      </w:pPr>
      <w:r w:rsidRPr="003A49C8">
        <w:rPr>
          <w:rFonts w:cs="Times New Roman"/>
          <w:b/>
          <w:bCs/>
          <w:szCs w:val="24"/>
        </w:rPr>
        <w:br w:type="page"/>
      </w:r>
    </w:p>
    <w:p w14:paraId="6462A3B8" w14:textId="2F926D3C" w:rsidR="00016D1A" w:rsidRPr="003A49C8" w:rsidRDefault="00E33705" w:rsidP="00E33705">
      <w:pPr>
        <w:pStyle w:val="Heading1"/>
      </w:pPr>
      <w:r w:rsidRPr="003A49C8">
        <w:lastRenderedPageBreak/>
        <w:t xml:space="preserve">1. </w:t>
      </w:r>
      <w:r w:rsidR="003A4357" w:rsidRPr="003A49C8">
        <w:t>Introduction</w:t>
      </w:r>
    </w:p>
    <w:p w14:paraId="5FC6E6FD" w14:textId="500F99C2" w:rsidR="00221F27" w:rsidRPr="003A49C8" w:rsidRDefault="009764A0" w:rsidP="00E33705">
      <w:r w:rsidRPr="003A49C8">
        <w:t>Ecological challenges pos</w:t>
      </w:r>
      <w:r w:rsidR="0027141B" w:rsidRPr="003A49C8">
        <w:t>e</w:t>
      </w:r>
      <w:r w:rsidRPr="003A49C8">
        <w:t xml:space="preserve"> existential risks to human civilisation and to address these risks m</w:t>
      </w:r>
      <w:r w:rsidR="007A0C33" w:rsidRPr="003A49C8">
        <w:t xml:space="preserve">any countries </w:t>
      </w:r>
      <w:r w:rsidRPr="003A49C8">
        <w:t xml:space="preserve">have embarked on </w:t>
      </w:r>
      <w:r w:rsidR="0027141B" w:rsidRPr="003A49C8">
        <w:t xml:space="preserve">the </w:t>
      </w:r>
      <w:r w:rsidRPr="003A49C8">
        <w:t xml:space="preserve">road to </w:t>
      </w:r>
      <w:r w:rsidR="00F349DD" w:rsidRPr="003A49C8">
        <w:t>c</w:t>
      </w:r>
      <w:r w:rsidRPr="003A49C8">
        <w:t xml:space="preserve">arbon neutrality or </w:t>
      </w:r>
      <w:r w:rsidR="00F349DD" w:rsidRPr="003A49C8">
        <w:t>n</w:t>
      </w:r>
      <w:r w:rsidRPr="003A49C8">
        <w:t>et</w:t>
      </w:r>
      <w:r w:rsidR="00F349DD" w:rsidRPr="003A49C8">
        <w:t xml:space="preserve"> z</w:t>
      </w:r>
      <w:r w:rsidRPr="003A49C8">
        <w:t>ero</w:t>
      </w:r>
      <w:r w:rsidR="00FE2717" w:rsidRPr="003A49C8">
        <w:t xml:space="preserve"> (</w:t>
      </w:r>
      <w:proofErr w:type="spellStart"/>
      <w:r w:rsidR="00CF2B14" w:rsidRPr="003A49C8">
        <w:t>Hallegatte</w:t>
      </w:r>
      <w:proofErr w:type="spellEnd"/>
      <w:r w:rsidR="00CF2B14" w:rsidRPr="003A49C8">
        <w:t xml:space="preserve"> </w:t>
      </w:r>
      <w:r w:rsidR="008C0623">
        <w:t>&amp;</w:t>
      </w:r>
      <w:r w:rsidR="00CF2B14" w:rsidRPr="003A49C8">
        <w:t xml:space="preserve"> Rentschler, 2015; Gil </w:t>
      </w:r>
      <w:r w:rsidR="008C0623">
        <w:t>&amp;</w:t>
      </w:r>
      <w:r w:rsidR="00CF2B14" w:rsidRPr="003A49C8">
        <w:t xml:space="preserve"> Bernardo, 2020; </w:t>
      </w:r>
      <w:r w:rsidR="00FE2717" w:rsidRPr="003A49C8">
        <w:t>Too et al</w:t>
      </w:r>
      <w:r w:rsidR="00C74298" w:rsidRPr="003A49C8">
        <w:t>.,</w:t>
      </w:r>
      <w:r w:rsidR="00FE2717" w:rsidRPr="003A49C8">
        <w:t xml:space="preserve"> 2022)</w:t>
      </w:r>
      <w:r w:rsidRPr="003A49C8">
        <w:t>.</w:t>
      </w:r>
      <w:r w:rsidR="007A0C33" w:rsidRPr="003A49C8">
        <w:t xml:space="preserve"> </w:t>
      </w:r>
      <w:r w:rsidR="00A91980" w:rsidRPr="003A49C8">
        <w:t>As the progress to achieve net zero remains slow, the Intergovernmental Panel on Climate Change (IPCC) i</w:t>
      </w:r>
      <w:r w:rsidR="007A0C33" w:rsidRPr="003A49C8">
        <w:t xml:space="preserve">n the final draft of the </w:t>
      </w:r>
      <w:r w:rsidR="00A91980" w:rsidRPr="003A49C8">
        <w:t xml:space="preserve">synthesis report to the sixth assessment report reiterates the importance of </w:t>
      </w:r>
      <w:r w:rsidR="0027141B" w:rsidRPr="003A49C8">
        <w:t xml:space="preserve">an </w:t>
      </w:r>
      <w:r w:rsidR="00A91980" w:rsidRPr="003A49C8">
        <w:t xml:space="preserve">increase </w:t>
      </w:r>
      <w:r w:rsidR="008A57BD" w:rsidRPr="003A49C8">
        <w:t xml:space="preserve">in </w:t>
      </w:r>
      <w:r w:rsidR="00A91980" w:rsidRPr="003A49C8">
        <w:t xml:space="preserve">the pace of taking </w:t>
      </w:r>
      <w:r w:rsidR="0027141B" w:rsidRPr="003A49C8">
        <w:t xml:space="preserve">effective </w:t>
      </w:r>
      <w:r w:rsidR="00A91980" w:rsidRPr="003A49C8">
        <w:t>actions in the following words</w:t>
      </w:r>
      <w:r w:rsidR="00F349DD" w:rsidRPr="003A49C8">
        <w:t>: “</w:t>
      </w:r>
      <w:r w:rsidR="00A91980" w:rsidRPr="003A49C8">
        <w:t>With climate change fast bearing down on humanity, the Synthesis Report will underscore the urgency of taking more ambitious action,”</w:t>
      </w:r>
      <w:r w:rsidR="00A91980" w:rsidRPr="003A49C8">
        <w:rPr>
          <w:vertAlign w:val="superscript"/>
        </w:rPr>
        <w:footnoteReference w:id="1"/>
      </w:r>
      <w:r w:rsidR="00A91980" w:rsidRPr="003A49C8">
        <w:t xml:space="preserve">. </w:t>
      </w:r>
      <w:r w:rsidR="00C31622" w:rsidRPr="003A49C8">
        <w:t>C</w:t>
      </w:r>
      <w:r w:rsidR="00A91980" w:rsidRPr="003A49C8">
        <w:t xml:space="preserve">limate change induces </w:t>
      </w:r>
      <w:r w:rsidR="002456C9" w:rsidRPr="003A49C8">
        <w:t>several</w:t>
      </w:r>
      <w:r w:rsidR="00A91980" w:rsidRPr="003A49C8">
        <w:t xml:space="preserve"> risks</w:t>
      </w:r>
      <w:r w:rsidR="00F349DD" w:rsidRPr="003A49C8">
        <w:t xml:space="preserve"> (e.g., death and illness from extreme weather events, and mental health issues)</w:t>
      </w:r>
      <w:r w:rsidR="00A91980" w:rsidRPr="003A49C8">
        <w:t xml:space="preserve">, </w:t>
      </w:r>
      <w:r w:rsidR="00C31622" w:rsidRPr="003A49C8">
        <w:t xml:space="preserve">yet most of </w:t>
      </w:r>
      <w:r w:rsidR="0027141B" w:rsidRPr="003A49C8">
        <w:t xml:space="preserve">the </w:t>
      </w:r>
      <w:r w:rsidR="00A91980" w:rsidRPr="003A49C8">
        <w:t xml:space="preserve">attention has been </w:t>
      </w:r>
      <w:r w:rsidR="00C31622" w:rsidRPr="003A49C8">
        <w:t xml:space="preserve">only </w:t>
      </w:r>
      <w:r w:rsidR="00A91980" w:rsidRPr="003A49C8">
        <w:t xml:space="preserve">focused on financial </w:t>
      </w:r>
      <w:r w:rsidR="004376C1" w:rsidRPr="003A49C8">
        <w:t>risks (</w:t>
      </w:r>
      <w:r w:rsidR="00FE2717" w:rsidRPr="003A49C8">
        <w:t>see</w:t>
      </w:r>
      <w:r w:rsidR="0038736F" w:rsidRPr="003A49C8">
        <w:t xml:space="preserve"> e.g.,</w:t>
      </w:r>
      <w:r w:rsidR="00FE2717" w:rsidRPr="003A49C8">
        <w:t xml:space="preserve"> Kron et al. 2019; Mirza, 2003; Fankhauser </w:t>
      </w:r>
      <w:r w:rsidR="008C0623">
        <w:t>&amp;</w:t>
      </w:r>
      <w:r w:rsidR="00FE2717" w:rsidRPr="003A49C8">
        <w:t xml:space="preserve"> McDermott 2014</w:t>
      </w:r>
      <w:r w:rsidR="00C74298" w:rsidRPr="003A49C8">
        <w:t>; Moore, 2015</w:t>
      </w:r>
      <w:r w:rsidR="00FE2717" w:rsidRPr="003A49C8">
        <w:t>).</w:t>
      </w:r>
      <w:r w:rsidR="00A91980" w:rsidRPr="003A49C8">
        <w:t xml:space="preserve"> </w:t>
      </w:r>
      <w:bookmarkStart w:id="0" w:name="_Hlk131583252"/>
      <w:r w:rsidR="00A91980" w:rsidRPr="003A49C8">
        <w:t xml:space="preserve">However, for a sustainable and feasible strategy, we </w:t>
      </w:r>
      <w:r w:rsidR="007126CC" w:rsidRPr="003A49C8">
        <w:t xml:space="preserve">also </w:t>
      </w:r>
      <w:r w:rsidR="00A91980" w:rsidRPr="003A49C8">
        <w:t xml:space="preserve">need to understand the risks posed by </w:t>
      </w:r>
      <w:r w:rsidR="0027141B" w:rsidRPr="003A49C8">
        <w:t xml:space="preserve">the </w:t>
      </w:r>
      <w:r w:rsidR="00A91980" w:rsidRPr="003A49C8">
        <w:t>environment, socioeconomic</w:t>
      </w:r>
      <w:r w:rsidR="002926D9" w:rsidRPr="003A49C8">
        <w:t>, governance</w:t>
      </w:r>
      <w:r w:rsidR="00A91980" w:rsidRPr="003A49C8">
        <w:t xml:space="preserve"> and health</w:t>
      </w:r>
      <w:r w:rsidR="001C136C" w:rsidRPr="003A49C8">
        <w:t>care</w:t>
      </w:r>
      <w:r w:rsidR="00DE62E0" w:rsidRPr="003A49C8">
        <w:t xml:space="preserve"> sectors</w:t>
      </w:r>
      <w:r w:rsidR="00791CAF" w:rsidRPr="003A49C8">
        <w:t xml:space="preserve"> (de </w:t>
      </w:r>
      <w:proofErr w:type="spellStart"/>
      <w:r w:rsidR="00791CAF" w:rsidRPr="003A49C8">
        <w:t>Goër</w:t>
      </w:r>
      <w:proofErr w:type="spellEnd"/>
      <w:r w:rsidR="00791CAF" w:rsidRPr="003A49C8">
        <w:t xml:space="preserve"> de Herve et al., 2023; Wu et al., 2022)</w:t>
      </w:r>
      <w:r w:rsidR="00DE62E0" w:rsidRPr="003A49C8">
        <w:t>.</w:t>
      </w:r>
      <w:r w:rsidR="007126CC" w:rsidRPr="003A49C8">
        <w:t xml:space="preserve"> </w:t>
      </w:r>
      <w:bookmarkEnd w:id="0"/>
      <w:r w:rsidR="007126CC" w:rsidRPr="003A49C8">
        <w:t xml:space="preserve">In this paper, we fill this gap in the literature and provide a comprehensive risk </w:t>
      </w:r>
      <w:r w:rsidR="00C31622" w:rsidRPr="003A49C8">
        <w:t xml:space="preserve">assessment and </w:t>
      </w:r>
      <w:r w:rsidR="007126CC" w:rsidRPr="003A49C8">
        <w:t>analysis from</w:t>
      </w:r>
      <w:r w:rsidR="00C31622" w:rsidRPr="003A49C8">
        <w:t xml:space="preserve"> </w:t>
      </w:r>
      <w:r w:rsidR="007126CC" w:rsidRPr="003A49C8">
        <w:t>ecological, socio-economic, governance</w:t>
      </w:r>
      <w:r w:rsidR="00EF2D77" w:rsidRPr="003A49C8">
        <w:t xml:space="preserve">, </w:t>
      </w:r>
      <w:r w:rsidR="007126CC" w:rsidRPr="003A49C8">
        <w:t>health</w:t>
      </w:r>
      <w:r w:rsidR="002456C9" w:rsidRPr="003A49C8">
        <w:t>care</w:t>
      </w:r>
      <w:r w:rsidR="007126CC" w:rsidRPr="003A49C8">
        <w:t xml:space="preserve"> </w:t>
      </w:r>
      <w:r w:rsidR="00EF2D77" w:rsidRPr="003A49C8">
        <w:t xml:space="preserve">and financial </w:t>
      </w:r>
      <w:r w:rsidR="007126CC" w:rsidRPr="003A49C8">
        <w:t>perspective</w:t>
      </w:r>
      <w:r w:rsidR="00C31622" w:rsidRPr="003A49C8">
        <w:t>s</w:t>
      </w:r>
      <w:r w:rsidR="007126CC" w:rsidRPr="003A49C8">
        <w:t xml:space="preserve">. To this aim, </w:t>
      </w:r>
      <w:r w:rsidR="00BF0142" w:rsidRPr="003A49C8">
        <w:t>drawing on e</w:t>
      </w:r>
      <w:r w:rsidR="00EF2D77" w:rsidRPr="003A49C8">
        <w:t>xtreme value theory</w:t>
      </w:r>
      <w:r w:rsidR="000E4A84" w:rsidRPr="003A49C8">
        <w:t xml:space="preserve"> (EVT)</w:t>
      </w:r>
      <w:r w:rsidR="00BF0142" w:rsidRPr="003A49C8">
        <w:t xml:space="preserve">, we analyse and model ecological </w:t>
      </w:r>
      <w:r w:rsidR="007126CC" w:rsidRPr="003A49C8">
        <w:t>risk</w:t>
      </w:r>
      <w:r w:rsidR="00BF0142" w:rsidRPr="003A49C8">
        <w:t>s</w:t>
      </w:r>
      <w:r w:rsidR="007126CC" w:rsidRPr="003A49C8">
        <w:t xml:space="preserve"> </w:t>
      </w:r>
      <w:r w:rsidR="00BF0142" w:rsidRPr="003A49C8">
        <w:t xml:space="preserve">to </w:t>
      </w:r>
      <w:r w:rsidR="007126CC" w:rsidRPr="003A49C8">
        <w:t xml:space="preserve">ESG </w:t>
      </w:r>
      <w:r w:rsidR="0038000F" w:rsidRPr="003A49C8">
        <w:t>(Environment, Social and Governance)</w:t>
      </w:r>
      <w:r w:rsidR="00F349DD" w:rsidRPr="003A49C8">
        <w:t>, financial,</w:t>
      </w:r>
      <w:r w:rsidR="0038000F" w:rsidRPr="003A49C8">
        <w:t xml:space="preserve"> and healthcare ETFs</w:t>
      </w:r>
      <w:r w:rsidR="008D7ABE" w:rsidRPr="003A49C8">
        <w:rPr>
          <w:rStyle w:val="FootnoteReference"/>
        </w:rPr>
        <w:footnoteReference w:id="2"/>
      </w:r>
      <w:r w:rsidR="0038000F" w:rsidRPr="003A49C8">
        <w:t xml:space="preserve"> (Exchange Traded Funds)</w:t>
      </w:r>
      <w:r w:rsidR="00C31622" w:rsidRPr="003A49C8">
        <w:t xml:space="preserve"> </w:t>
      </w:r>
      <w:r w:rsidR="00BF0142" w:rsidRPr="003A49C8">
        <w:t xml:space="preserve">employing rich </w:t>
      </w:r>
      <w:r w:rsidR="00EF2D77" w:rsidRPr="003A49C8">
        <w:t xml:space="preserve">data </w:t>
      </w:r>
      <w:r w:rsidR="00C31622" w:rsidRPr="003A49C8">
        <w:t>from</w:t>
      </w:r>
      <w:r w:rsidR="00EF2D77" w:rsidRPr="003A49C8">
        <w:t xml:space="preserve"> each category. </w:t>
      </w:r>
    </w:p>
    <w:p w14:paraId="527338CE" w14:textId="4C3DC176" w:rsidR="00D45FD9" w:rsidRPr="003A49C8" w:rsidRDefault="00D45FD9" w:rsidP="00D45FD9">
      <w:pPr>
        <w:ind w:firstLine="397"/>
        <w:rPr>
          <w:rFonts w:cs="Times New Roman"/>
          <w:shd w:val="clear" w:color="auto" w:fill="FFFFFF"/>
        </w:rPr>
      </w:pPr>
      <w:r w:rsidRPr="003A49C8">
        <w:rPr>
          <w:rFonts w:cs="Times New Roman"/>
          <w:shd w:val="clear" w:color="auto" w:fill="FFFFFF"/>
        </w:rPr>
        <w:t xml:space="preserve">We focus on </w:t>
      </w:r>
      <w:r w:rsidR="00C74298" w:rsidRPr="003A49C8">
        <w:rPr>
          <w:rFonts w:cs="Times New Roman"/>
          <w:shd w:val="clear" w:color="auto" w:fill="FFFFFF"/>
        </w:rPr>
        <w:t xml:space="preserve">the </w:t>
      </w:r>
      <w:r w:rsidRPr="003A49C8">
        <w:rPr>
          <w:rFonts w:cs="Times New Roman"/>
          <w:shd w:val="clear" w:color="auto" w:fill="FFFFFF"/>
        </w:rPr>
        <w:t xml:space="preserve">ESG sector because of the climate change crisis that humanity is </w:t>
      </w:r>
      <w:r w:rsidR="00390518" w:rsidRPr="003A49C8">
        <w:rPr>
          <w:rFonts w:cs="Times New Roman"/>
          <w:shd w:val="clear" w:color="auto" w:fill="FFFFFF"/>
        </w:rPr>
        <w:t xml:space="preserve">facing </w:t>
      </w:r>
      <w:r w:rsidR="002456C9" w:rsidRPr="003A49C8">
        <w:rPr>
          <w:rFonts w:cs="Times New Roman"/>
          <w:shd w:val="clear" w:color="auto" w:fill="FFFFFF"/>
        </w:rPr>
        <w:t>now</w:t>
      </w:r>
      <w:r w:rsidRPr="003A49C8">
        <w:rPr>
          <w:rFonts w:cs="Times New Roman"/>
          <w:shd w:val="clear" w:color="auto" w:fill="FFFFFF"/>
        </w:rPr>
        <w:t xml:space="preserve"> and will continue to </w:t>
      </w:r>
      <w:r w:rsidR="00390518" w:rsidRPr="003A49C8">
        <w:rPr>
          <w:rFonts w:cs="Times New Roman"/>
          <w:shd w:val="clear" w:color="auto" w:fill="FFFFFF"/>
        </w:rPr>
        <w:t>face</w:t>
      </w:r>
      <w:r w:rsidRPr="003A49C8">
        <w:rPr>
          <w:rFonts w:cs="Times New Roman"/>
          <w:shd w:val="clear" w:color="auto" w:fill="FFFFFF"/>
        </w:rPr>
        <w:t xml:space="preserve"> for some time in the future until we achieve </w:t>
      </w:r>
      <w:r w:rsidR="00390518" w:rsidRPr="003A49C8">
        <w:rPr>
          <w:rFonts w:cs="Times New Roman"/>
          <w:shd w:val="clear" w:color="auto" w:fill="FFFFFF"/>
        </w:rPr>
        <w:t xml:space="preserve">the </w:t>
      </w:r>
      <w:r w:rsidRPr="003A49C8">
        <w:rPr>
          <w:rFonts w:cs="Times New Roman"/>
          <w:shd w:val="clear" w:color="auto" w:fill="FFFFFF"/>
        </w:rPr>
        <w:t>transition to net zero</w:t>
      </w:r>
      <w:r w:rsidR="001A69E9" w:rsidRPr="003A49C8">
        <w:rPr>
          <w:rStyle w:val="FootnoteReference"/>
          <w:rFonts w:cs="Times New Roman"/>
          <w:shd w:val="clear" w:color="auto" w:fill="FFFFFF"/>
        </w:rPr>
        <w:footnoteReference w:id="3"/>
      </w:r>
      <w:r w:rsidRPr="003A49C8">
        <w:rPr>
          <w:rFonts w:cs="Times New Roman"/>
          <w:shd w:val="clear" w:color="auto" w:fill="FFFFFF"/>
        </w:rPr>
        <w:t>. Our risk analysis and risk assessment of this sector help us to mitigate the ecological risk pose</w:t>
      </w:r>
      <w:r w:rsidR="00390518" w:rsidRPr="003A49C8">
        <w:rPr>
          <w:rFonts w:cs="Times New Roman"/>
          <w:shd w:val="clear" w:color="auto" w:fill="FFFFFF"/>
        </w:rPr>
        <w:t>d</w:t>
      </w:r>
      <w:r w:rsidRPr="003A49C8">
        <w:rPr>
          <w:rFonts w:cs="Times New Roman"/>
          <w:shd w:val="clear" w:color="auto" w:fill="FFFFFF"/>
        </w:rPr>
        <w:t xml:space="preserve"> to our economic and financial system in particular and to other</w:t>
      </w:r>
      <w:r w:rsidR="00390518" w:rsidRPr="003A49C8">
        <w:rPr>
          <w:rFonts w:cs="Times New Roman"/>
          <w:shd w:val="clear" w:color="auto" w:fill="FFFFFF"/>
        </w:rPr>
        <w:t xml:space="preserve"> eco</w:t>
      </w:r>
      <w:r w:rsidRPr="003A49C8">
        <w:rPr>
          <w:rFonts w:cs="Times New Roman"/>
          <w:shd w:val="clear" w:color="auto" w:fill="FFFFFF"/>
        </w:rPr>
        <w:t>system</w:t>
      </w:r>
      <w:r w:rsidR="00390518" w:rsidRPr="003A49C8">
        <w:rPr>
          <w:rFonts w:cs="Times New Roman"/>
          <w:shd w:val="clear" w:color="auto" w:fill="FFFFFF"/>
        </w:rPr>
        <w:t>s in general</w:t>
      </w:r>
      <w:r w:rsidRPr="003A49C8">
        <w:rPr>
          <w:rFonts w:cs="Times New Roman"/>
          <w:shd w:val="clear" w:color="auto" w:fill="FFFFFF"/>
        </w:rPr>
        <w:t xml:space="preserve">. We focus on </w:t>
      </w:r>
      <w:r w:rsidR="00390518" w:rsidRPr="003A49C8">
        <w:rPr>
          <w:rFonts w:cs="Times New Roman"/>
          <w:shd w:val="clear" w:color="auto" w:fill="FFFFFF"/>
        </w:rPr>
        <w:t xml:space="preserve">the </w:t>
      </w:r>
      <w:r w:rsidRPr="003A49C8">
        <w:rPr>
          <w:rFonts w:cs="Times New Roman"/>
          <w:shd w:val="clear" w:color="auto" w:fill="FFFFFF"/>
        </w:rPr>
        <w:t xml:space="preserve">healthcare sector because we have observed an unprecedented crisis in the form of </w:t>
      </w:r>
      <w:r w:rsidR="00390518" w:rsidRPr="003A49C8">
        <w:rPr>
          <w:rFonts w:cs="Times New Roman"/>
          <w:shd w:val="clear" w:color="auto" w:fill="FFFFFF"/>
        </w:rPr>
        <w:t xml:space="preserve">the </w:t>
      </w:r>
      <w:r w:rsidRPr="003A49C8">
        <w:rPr>
          <w:rFonts w:cs="Times New Roman"/>
          <w:shd w:val="clear" w:color="auto" w:fill="FFFFFF"/>
        </w:rPr>
        <w:t xml:space="preserve">COVID-19 crisis in 2020. Our risk measurement of healthcare educates us </w:t>
      </w:r>
      <w:r w:rsidR="00390518" w:rsidRPr="003A49C8">
        <w:rPr>
          <w:rFonts w:cs="Times New Roman"/>
          <w:shd w:val="clear" w:color="auto" w:fill="FFFFFF"/>
        </w:rPr>
        <w:t xml:space="preserve">on </w:t>
      </w:r>
      <w:r w:rsidRPr="003A49C8">
        <w:rPr>
          <w:rFonts w:cs="Times New Roman"/>
          <w:shd w:val="clear" w:color="auto" w:fill="FFFFFF"/>
        </w:rPr>
        <w:t>the risk</w:t>
      </w:r>
      <w:r w:rsidR="002456C9" w:rsidRPr="003A49C8">
        <w:rPr>
          <w:rFonts w:cs="Times New Roman"/>
          <w:shd w:val="clear" w:color="auto" w:fill="FFFFFF"/>
        </w:rPr>
        <w:t>s</w:t>
      </w:r>
      <w:r w:rsidRPr="003A49C8">
        <w:rPr>
          <w:rFonts w:cs="Times New Roman"/>
          <w:shd w:val="clear" w:color="auto" w:fill="FFFFFF"/>
        </w:rPr>
        <w:t xml:space="preserve"> this sector poses and the need to keep the sector within reasonable risk so that any </w:t>
      </w:r>
      <w:r w:rsidR="00DE62E0" w:rsidRPr="003A49C8">
        <w:rPr>
          <w:rFonts w:cs="Times New Roman"/>
          <w:shd w:val="clear" w:color="auto" w:fill="FFFFFF"/>
        </w:rPr>
        <w:t xml:space="preserve">future pandemic </w:t>
      </w:r>
      <w:r w:rsidRPr="003A49C8">
        <w:rPr>
          <w:rFonts w:cs="Times New Roman"/>
          <w:shd w:val="clear" w:color="auto" w:fill="FFFFFF"/>
        </w:rPr>
        <w:t xml:space="preserve">crisis can easily be dealt with. Finally, </w:t>
      </w:r>
      <w:r w:rsidR="00390518" w:rsidRPr="003A49C8">
        <w:rPr>
          <w:rFonts w:cs="Times New Roman"/>
          <w:shd w:val="clear" w:color="auto" w:fill="FFFFFF"/>
        </w:rPr>
        <w:t xml:space="preserve">the </w:t>
      </w:r>
      <w:r w:rsidRPr="003A49C8">
        <w:rPr>
          <w:rFonts w:cs="Times New Roman"/>
          <w:shd w:val="clear" w:color="auto" w:fill="FFFFFF"/>
        </w:rPr>
        <w:t xml:space="preserve">financial sector is in the business of providing </w:t>
      </w:r>
      <w:r w:rsidR="008A5BE2" w:rsidRPr="003A49C8">
        <w:rPr>
          <w:rFonts w:cs="Times New Roman"/>
          <w:shd w:val="clear" w:color="auto" w:fill="FFFFFF"/>
        </w:rPr>
        <w:t xml:space="preserve">resources </w:t>
      </w:r>
      <w:r w:rsidRPr="003A49C8">
        <w:rPr>
          <w:rFonts w:cs="Times New Roman"/>
          <w:shd w:val="clear" w:color="auto" w:fill="FFFFFF"/>
        </w:rPr>
        <w:t>not only to ESG and healthcare sector</w:t>
      </w:r>
      <w:r w:rsidR="00352574" w:rsidRPr="003A49C8">
        <w:rPr>
          <w:rFonts w:cs="Times New Roman"/>
          <w:shd w:val="clear" w:color="auto" w:fill="FFFFFF"/>
        </w:rPr>
        <w:t>s</w:t>
      </w:r>
      <w:r w:rsidRPr="003A49C8">
        <w:rPr>
          <w:rFonts w:cs="Times New Roman"/>
          <w:shd w:val="clear" w:color="auto" w:fill="FFFFFF"/>
        </w:rPr>
        <w:t xml:space="preserve"> but also to other sectors that are important for the sustainability of all the socio-economic sectors. The risk analysis and risk </w:t>
      </w:r>
      <w:r w:rsidRPr="003A49C8">
        <w:rPr>
          <w:rFonts w:cs="Times New Roman"/>
          <w:shd w:val="clear" w:color="auto" w:fill="FFFFFF"/>
        </w:rPr>
        <w:lastRenderedPageBreak/>
        <w:t xml:space="preserve">measurement of this sector provides us </w:t>
      </w:r>
      <w:r w:rsidR="00390518" w:rsidRPr="003A49C8">
        <w:rPr>
          <w:rFonts w:cs="Times New Roman"/>
          <w:shd w:val="clear" w:color="auto" w:fill="FFFFFF"/>
        </w:rPr>
        <w:t xml:space="preserve">with </w:t>
      </w:r>
      <w:r w:rsidRPr="003A49C8">
        <w:rPr>
          <w:rFonts w:cs="Times New Roman"/>
          <w:shd w:val="clear" w:color="auto" w:fill="FFFFFF"/>
        </w:rPr>
        <w:t xml:space="preserve">an idea </w:t>
      </w:r>
      <w:r w:rsidR="00390518" w:rsidRPr="003A49C8">
        <w:rPr>
          <w:rFonts w:cs="Times New Roman"/>
          <w:shd w:val="clear" w:color="auto" w:fill="FFFFFF"/>
        </w:rPr>
        <w:t xml:space="preserve">of </w:t>
      </w:r>
      <w:r w:rsidRPr="003A49C8">
        <w:rPr>
          <w:rFonts w:cs="Times New Roman"/>
          <w:shd w:val="clear" w:color="auto" w:fill="FFFFFF"/>
        </w:rPr>
        <w:t xml:space="preserve">where we stand with respect to financing resources so that we do not run into </w:t>
      </w:r>
      <w:r w:rsidR="00390518" w:rsidRPr="003A49C8">
        <w:rPr>
          <w:rFonts w:cs="Times New Roman"/>
          <w:shd w:val="clear" w:color="auto" w:fill="FFFFFF"/>
        </w:rPr>
        <w:t xml:space="preserve">a </w:t>
      </w:r>
      <w:r w:rsidRPr="003A49C8">
        <w:rPr>
          <w:rFonts w:cs="Times New Roman"/>
          <w:shd w:val="clear" w:color="auto" w:fill="FFFFFF"/>
        </w:rPr>
        <w:t xml:space="preserve">problem in </w:t>
      </w:r>
      <w:r w:rsidR="00841BD7" w:rsidRPr="003A49C8">
        <w:rPr>
          <w:rFonts w:cs="Times New Roman"/>
          <w:shd w:val="clear" w:color="auto" w:fill="FFFFFF"/>
        </w:rPr>
        <w:t xml:space="preserve">the </w:t>
      </w:r>
      <w:r w:rsidRPr="003A49C8">
        <w:rPr>
          <w:rFonts w:cs="Times New Roman"/>
          <w:shd w:val="clear" w:color="auto" w:fill="FFFFFF"/>
        </w:rPr>
        <w:t>case of financing needs. Since the financial sector is in the business of risk</w:t>
      </w:r>
      <w:r w:rsidR="00841BD7" w:rsidRPr="003A49C8">
        <w:rPr>
          <w:rFonts w:cs="Times New Roman"/>
          <w:shd w:val="clear" w:color="auto" w:fill="FFFFFF"/>
        </w:rPr>
        <w:t>-</w:t>
      </w:r>
      <w:r w:rsidRPr="003A49C8">
        <w:rPr>
          <w:rFonts w:cs="Times New Roman"/>
          <w:shd w:val="clear" w:color="auto" w:fill="FFFFFF"/>
        </w:rPr>
        <w:t xml:space="preserve">taking, this sector also provides us </w:t>
      </w:r>
      <w:r w:rsidR="00841BD7" w:rsidRPr="003A49C8">
        <w:rPr>
          <w:rFonts w:cs="Times New Roman"/>
          <w:shd w:val="clear" w:color="auto" w:fill="FFFFFF"/>
        </w:rPr>
        <w:t xml:space="preserve">with </w:t>
      </w:r>
      <w:r w:rsidRPr="003A49C8">
        <w:rPr>
          <w:rFonts w:cs="Times New Roman"/>
          <w:shd w:val="clear" w:color="auto" w:fill="FFFFFF"/>
        </w:rPr>
        <w:t xml:space="preserve">an opportunity to do </w:t>
      </w:r>
      <w:r w:rsidR="00841BD7" w:rsidRPr="003A49C8">
        <w:rPr>
          <w:rFonts w:cs="Times New Roman"/>
          <w:shd w:val="clear" w:color="auto" w:fill="FFFFFF"/>
        </w:rPr>
        <w:t>a</w:t>
      </w:r>
      <w:r w:rsidRPr="003A49C8">
        <w:rPr>
          <w:rFonts w:cs="Times New Roman"/>
          <w:shd w:val="clear" w:color="auto" w:fill="FFFFFF"/>
        </w:rPr>
        <w:t xml:space="preserve"> comparative analysis. </w:t>
      </w:r>
    </w:p>
    <w:p w14:paraId="52B459A1" w14:textId="5EA87355" w:rsidR="001947EE" w:rsidRPr="003A49C8" w:rsidRDefault="00551098" w:rsidP="004E25DD">
      <w:pPr>
        <w:ind w:firstLine="397"/>
        <w:rPr>
          <w:rFonts w:cs="Times New Roman"/>
          <w:szCs w:val="24"/>
        </w:rPr>
      </w:pPr>
      <w:r w:rsidRPr="003A49C8">
        <w:t xml:space="preserve">Ecological-related risk </w:t>
      </w:r>
      <w:r w:rsidR="00075F28" w:rsidRPr="003A49C8">
        <w:t>ana</w:t>
      </w:r>
      <w:r w:rsidR="00C74298" w:rsidRPr="003A49C8">
        <w:t>lyse</w:t>
      </w:r>
      <w:r w:rsidR="00075F28" w:rsidRPr="003A49C8">
        <w:t>s</w:t>
      </w:r>
      <w:r w:rsidRPr="003A49C8">
        <w:t xml:space="preserve"> are instrumental in evaluating the probability of future climate hazards and their potential impacts on cities and communities</w:t>
      </w:r>
      <w:r w:rsidR="007D2D6B" w:rsidRPr="003A49C8">
        <w:t xml:space="preserve"> (de </w:t>
      </w:r>
      <w:proofErr w:type="spellStart"/>
      <w:r w:rsidR="007D2D6B" w:rsidRPr="003A49C8">
        <w:t>Goër</w:t>
      </w:r>
      <w:proofErr w:type="spellEnd"/>
      <w:r w:rsidR="007D2D6B" w:rsidRPr="003A49C8">
        <w:t xml:space="preserve"> de Herve et al., 2023)</w:t>
      </w:r>
      <w:r w:rsidRPr="003A49C8">
        <w:t xml:space="preserve">. </w:t>
      </w:r>
      <w:r w:rsidR="00D93566" w:rsidRPr="003A49C8">
        <w:t>Furthermore</w:t>
      </w:r>
      <w:r w:rsidRPr="003A49C8">
        <w:t>, these</w:t>
      </w:r>
      <w:r w:rsidR="00075F28" w:rsidRPr="003A49C8">
        <w:t xml:space="preserve"> analyses</w:t>
      </w:r>
      <w:r w:rsidRPr="003A49C8">
        <w:t xml:space="preserve"> contribute to the prevention and preparedness for</w:t>
      </w:r>
      <w:r w:rsidR="007D2D6B" w:rsidRPr="003A49C8">
        <w:t xml:space="preserve"> different risk contexts</w:t>
      </w:r>
      <w:r w:rsidRPr="003A49C8">
        <w:t xml:space="preserve"> enabling proactive measures to mitigate risks and ensure the well-being of populations. This information is essential for guiding the prioritization of climate action and making informed decisions regarding investments in adaptation measures</w:t>
      </w:r>
      <w:r w:rsidR="006C11D8" w:rsidRPr="003A49C8">
        <w:t xml:space="preserve"> (Wu et al., 2022)</w:t>
      </w:r>
      <w:r w:rsidRPr="003A49C8">
        <w:t xml:space="preserve">. </w:t>
      </w:r>
      <w:r w:rsidR="00783364" w:rsidRPr="003A49C8">
        <w:t xml:space="preserve">The overarching </w:t>
      </w:r>
      <w:r w:rsidR="0048133F" w:rsidRPr="003A49C8">
        <w:t>research</w:t>
      </w:r>
      <w:r w:rsidR="00E22CCD" w:rsidRPr="003A49C8">
        <w:t xml:space="preserve"> on the subject</w:t>
      </w:r>
      <w:r w:rsidR="003A4357" w:rsidRPr="003A49C8">
        <w:t xml:space="preserve"> </w:t>
      </w:r>
      <w:r w:rsidR="00320DC8" w:rsidRPr="003A49C8">
        <w:t>focu</w:t>
      </w:r>
      <w:r w:rsidR="0027141B" w:rsidRPr="003A49C8">
        <w:t>se</w:t>
      </w:r>
      <w:r w:rsidR="00320DC8" w:rsidRPr="003A49C8">
        <w:t xml:space="preserve">s </w:t>
      </w:r>
      <w:r w:rsidR="0048133F" w:rsidRPr="003A49C8">
        <w:t>on</w:t>
      </w:r>
      <w:r w:rsidR="003A4357" w:rsidRPr="003A49C8">
        <w:t xml:space="preserve"> the environmental costs and social imbalances </w:t>
      </w:r>
      <w:r w:rsidR="004E59C3" w:rsidRPr="003A49C8">
        <w:t xml:space="preserve">caused </w:t>
      </w:r>
      <w:r w:rsidR="003A4357" w:rsidRPr="003A49C8">
        <w:t xml:space="preserve">by economic activity </w:t>
      </w:r>
      <w:r w:rsidR="004E59C3" w:rsidRPr="003A49C8">
        <w:t xml:space="preserve">as a result of </w:t>
      </w:r>
      <w:r w:rsidR="003A4357" w:rsidRPr="003A49C8">
        <w:t>climate change and growing societal concerns</w:t>
      </w:r>
      <w:r w:rsidR="004E59C3" w:rsidRPr="003A49C8">
        <w:t>.</w:t>
      </w:r>
      <w:r w:rsidR="001B7B5D" w:rsidRPr="003A49C8">
        <w:t xml:space="preserve"> </w:t>
      </w:r>
      <w:bookmarkStart w:id="1" w:name="_Hlk133271373"/>
      <w:r w:rsidR="00EC5FB3" w:rsidRPr="003A49C8">
        <w:t xml:space="preserve">Ecological risks and environmental costs are both relevant factors to consider when </w:t>
      </w:r>
      <w:proofErr w:type="spellStart"/>
      <w:r w:rsidR="00EC5FB3" w:rsidRPr="003A49C8">
        <w:t>analyzing</w:t>
      </w:r>
      <w:proofErr w:type="spellEnd"/>
      <w:r w:rsidR="00EC5FB3" w:rsidRPr="003A49C8">
        <w:t xml:space="preserve"> the </w:t>
      </w:r>
      <w:r w:rsidR="001F76F7" w:rsidRPr="003A49C8">
        <w:t xml:space="preserve">risks </w:t>
      </w:r>
      <w:r w:rsidR="00EC5FB3" w:rsidRPr="003A49C8">
        <w:t>in the ESG, financial, and healthcare sectors (</w:t>
      </w:r>
      <w:proofErr w:type="spellStart"/>
      <w:r w:rsidR="00EC5FB3" w:rsidRPr="003A49C8">
        <w:t>Asefi-Najafabady</w:t>
      </w:r>
      <w:proofErr w:type="spellEnd"/>
      <w:r w:rsidR="00EC5FB3" w:rsidRPr="003A49C8">
        <w:t xml:space="preserve"> et al., 2021; </w:t>
      </w:r>
      <w:proofErr w:type="spellStart"/>
      <w:r w:rsidR="00EC5FB3" w:rsidRPr="003A49C8">
        <w:t>Gholami</w:t>
      </w:r>
      <w:proofErr w:type="spellEnd"/>
      <w:r w:rsidR="00EC5FB3" w:rsidRPr="003A49C8">
        <w:t xml:space="preserve"> et al., 2022</w:t>
      </w:r>
      <w:r w:rsidR="00EC5FB3" w:rsidRPr="003A49C8">
        <w:rPr>
          <w:rFonts w:hint="eastAsia"/>
          <w:lang w:eastAsia="zh-CN"/>
        </w:rPr>
        <w:t>)</w:t>
      </w:r>
      <w:r w:rsidR="00EC5FB3" w:rsidRPr="003A49C8">
        <w:t xml:space="preserve">. Ecological risks refer to the potential harm or damage caused to ecosystems and the environment by human activities, which could ultimately lead to environmental costs, such as the costs of pollution control and remediation </w:t>
      </w:r>
      <w:r w:rsidR="00EC5FB3" w:rsidRPr="003A49C8">
        <w:rPr>
          <w:rFonts w:hint="eastAsia"/>
          <w:lang w:eastAsia="zh-CN"/>
        </w:rPr>
        <w:t>(</w:t>
      </w:r>
      <w:r w:rsidR="00EC5FB3" w:rsidRPr="003A49C8">
        <w:t xml:space="preserve">Donou-Adonsou, 2022). In the context of ETFs, ecological risks and environmental costs can arise from the companies included in the ETFs' portfolios and their business practices. The assessment of these risks and costs can be useful in evaluating the overall sustainability and social responsibility of ETFs. Therefore, incorporating ESG factors into ETF analysis is essential for investors who prioritize sustainability in their investment strategies. </w:t>
      </w:r>
      <w:bookmarkEnd w:id="1"/>
      <w:r w:rsidR="00331470" w:rsidRPr="003A49C8">
        <w:t>More specifically, f</w:t>
      </w:r>
      <w:r w:rsidR="004E59C3" w:rsidRPr="003A49C8">
        <w:t xml:space="preserve">inancial markets have an important role to play in reducing </w:t>
      </w:r>
      <w:r w:rsidR="003A4357" w:rsidRPr="003A49C8">
        <w:t xml:space="preserve">social and environmental injustices </w:t>
      </w:r>
      <w:r w:rsidR="004E59C3" w:rsidRPr="003A49C8">
        <w:t xml:space="preserve">and </w:t>
      </w:r>
      <w:r w:rsidR="003A4357" w:rsidRPr="003A49C8">
        <w:t>environmental externalities</w:t>
      </w:r>
      <w:r w:rsidR="001947EE" w:rsidRPr="003A49C8">
        <w:t xml:space="preserve"> because ecological risks can have different levels of relevance to ETFs depending on the specific investments within each of these categories</w:t>
      </w:r>
      <w:r w:rsidR="004E59C3" w:rsidRPr="003A49C8">
        <w:t xml:space="preserve">. </w:t>
      </w:r>
      <w:r w:rsidR="004E25DD" w:rsidRPr="003A49C8">
        <w:t>Investors interested in managing ecological risks in their investment portfolio may consider examining the underlying holdings of the ETFs they are considering and evaluating the environmental impact of those holdings</w:t>
      </w:r>
      <w:r w:rsidR="00492E5B" w:rsidRPr="003A49C8">
        <w:t xml:space="preserve"> (</w:t>
      </w:r>
      <w:proofErr w:type="spellStart"/>
      <w:r w:rsidR="00492E5B" w:rsidRPr="003A49C8">
        <w:t>Asefi-Najafabady</w:t>
      </w:r>
      <w:proofErr w:type="spellEnd"/>
      <w:r w:rsidR="00492E5B" w:rsidRPr="003A49C8">
        <w:t xml:space="preserve"> et al., 2021)</w:t>
      </w:r>
      <w:r w:rsidR="004E25DD" w:rsidRPr="003A49C8">
        <w:t xml:space="preserve">. Additionally, investors can look for ETFs that prioritize sustainability and environmental responsibility, such as those that track socially responsible or ESG indexes. </w:t>
      </w:r>
      <w:r w:rsidR="001947EE" w:rsidRPr="003A49C8">
        <w:rPr>
          <w:rFonts w:cs="Times New Roman"/>
          <w:szCs w:val="24"/>
        </w:rPr>
        <w:t xml:space="preserve">ESG ETFs, which invest in companies that meet certain environmental, social, and governance criteria, are often designed to minimize ecological risks </w:t>
      </w:r>
      <w:r w:rsidR="004E25DD" w:rsidRPr="003A49C8">
        <w:rPr>
          <w:rFonts w:cs="Times New Roman"/>
          <w:szCs w:val="24"/>
        </w:rPr>
        <w:t>(</w:t>
      </w:r>
      <w:r w:rsidR="00780897" w:rsidRPr="003A49C8">
        <w:rPr>
          <w:rFonts w:cs="Times New Roman"/>
          <w:szCs w:val="24"/>
        </w:rPr>
        <w:t xml:space="preserve">for context see </w:t>
      </w:r>
      <w:r w:rsidR="00F013CF" w:rsidRPr="003A49C8">
        <w:rPr>
          <w:rFonts w:cs="Times New Roman"/>
          <w:szCs w:val="24"/>
        </w:rPr>
        <w:t>Steffen et al., 2018</w:t>
      </w:r>
      <w:r w:rsidR="004E25DD" w:rsidRPr="003A49C8">
        <w:rPr>
          <w:rFonts w:cs="Times New Roman"/>
          <w:szCs w:val="24"/>
        </w:rPr>
        <w:t>)</w:t>
      </w:r>
      <w:r w:rsidR="001947EE" w:rsidRPr="003A49C8">
        <w:rPr>
          <w:rFonts w:cs="Times New Roman"/>
          <w:szCs w:val="24"/>
        </w:rPr>
        <w:t xml:space="preserve">. These ETFs may avoid companies that have a negative impact on the </w:t>
      </w:r>
      <w:r w:rsidR="004E25DD" w:rsidRPr="003A49C8">
        <w:rPr>
          <w:rFonts w:cs="Times New Roman"/>
          <w:szCs w:val="24"/>
        </w:rPr>
        <w:t>environment or</w:t>
      </w:r>
      <w:r w:rsidR="001947EE" w:rsidRPr="003A49C8">
        <w:rPr>
          <w:rFonts w:cs="Times New Roman"/>
          <w:szCs w:val="24"/>
        </w:rPr>
        <w:t xml:space="preserve"> focus on companies that have strong sustainability practices. </w:t>
      </w:r>
      <w:r w:rsidR="002A4D4A" w:rsidRPr="003A49C8">
        <w:rPr>
          <w:rFonts w:cs="Times New Roman"/>
          <w:szCs w:val="24"/>
        </w:rPr>
        <w:t xml:space="preserve">For </w:t>
      </w:r>
      <w:r w:rsidR="002A4D4A" w:rsidRPr="003A49C8">
        <w:rPr>
          <w:rFonts w:cs="Times New Roman"/>
          <w:szCs w:val="24"/>
        </w:rPr>
        <w:lastRenderedPageBreak/>
        <w:t>example, ESG ETFs that invest in companies with environmentally responsible practices and policies may offer opportunities for investors to promote sustainability and benefit from the growing demand for sustainable products and services. These ETFs may also invest in companies that are leaders in areas such as renewable energy, waste reduction, and sustainable agriculture</w:t>
      </w:r>
      <w:r w:rsidR="00F013CF" w:rsidRPr="003A49C8">
        <w:rPr>
          <w:rFonts w:cs="Times New Roman"/>
          <w:szCs w:val="24"/>
        </w:rPr>
        <w:t xml:space="preserve"> (</w:t>
      </w:r>
      <w:r w:rsidR="00780897" w:rsidRPr="003A49C8">
        <w:rPr>
          <w:rFonts w:cs="Times New Roman"/>
          <w:szCs w:val="24"/>
        </w:rPr>
        <w:t xml:space="preserve">for context see </w:t>
      </w:r>
      <w:proofErr w:type="spellStart"/>
      <w:r w:rsidR="00492E5B" w:rsidRPr="003A49C8">
        <w:rPr>
          <w:rFonts w:cs="Times New Roman"/>
          <w:szCs w:val="24"/>
        </w:rPr>
        <w:t>Asefi-Najafabady</w:t>
      </w:r>
      <w:proofErr w:type="spellEnd"/>
      <w:r w:rsidR="00492E5B" w:rsidRPr="003A49C8">
        <w:rPr>
          <w:rFonts w:cs="Times New Roman"/>
          <w:szCs w:val="24"/>
        </w:rPr>
        <w:t xml:space="preserve"> et al., 2021; </w:t>
      </w:r>
      <w:r w:rsidR="00F013CF" w:rsidRPr="003A49C8">
        <w:rPr>
          <w:rFonts w:cs="Times New Roman"/>
          <w:szCs w:val="24"/>
        </w:rPr>
        <w:t>Hansen et al., 2017)</w:t>
      </w:r>
      <w:r w:rsidR="002A4D4A" w:rsidRPr="003A49C8">
        <w:rPr>
          <w:rFonts w:cs="Times New Roman"/>
          <w:szCs w:val="24"/>
        </w:rPr>
        <w:t xml:space="preserve">. </w:t>
      </w:r>
      <w:r w:rsidR="001947EE" w:rsidRPr="003A49C8">
        <w:rPr>
          <w:rFonts w:cs="Times New Roman"/>
          <w:szCs w:val="24"/>
        </w:rPr>
        <w:t>Therefore, ecological risks are typically taken into account in the investment selection process of ESG ETFs.</w:t>
      </w:r>
    </w:p>
    <w:p w14:paraId="034AA81D" w14:textId="39998917" w:rsidR="003A4357" w:rsidRPr="003A49C8" w:rsidRDefault="00C65512" w:rsidP="005B2D6F">
      <w:pPr>
        <w:rPr>
          <w:rFonts w:cs="Times New Roman"/>
          <w:szCs w:val="24"/>
        </w:rPr>
      </w:pPr>
      <w:r w:rsidRPr="003A49C8">
        <w:rPr>
          <w:rFonts w:cs="Times New Roman"/>
          <w:szCs w:val="24"/>
        </w:rPr>
        <w:t xml:space="preserve">According to some </w:t>
      </w:r>
      <w:r w:rsidR="00C1689E" w:rsidRPr="003A49C8">
        <w:rPr>
          <w:rFonts w:cs="Times New Roman"/>
          <w:szCs w:val="24"/>
        </w:rPr>
        <w:t>estimates</w:t>
      </w:r>
      <w:r w:rsidR="00C74298" w:rsidRPr="003A49C8">
        <w:rPr>
          <w:rFonts w:cs="Times New Roman"/>
          <w:szCs w:val="24"/>
        </w:rPr>
        <w:t>,</w:t>
      </w:r>
      <w:r w:rsidR="00C1689E" w:rsidRPr="003A49C8">
        <w:rPr>
          <w:rFonts w:cs="Times New Roman"/>
          <w:szCs w:val="24"/>
        </w:rPr>
        <w:t xml:space="preserve"> the</w:t>
      </w:r>
      <w:r w:rsidR="00332200" w:rsidRPr="003A49C8">
        <w:rPr>
          <w:rFonts w:cs="Times New Roman"/>
          <w:szCs w:val="24"/>
        </w:rPr>
        <w:t xml:space="preserve"> effects of climate change put US$693 billion at risk, and the majority of those risks are expected to materialise </w:t>
      </w:r>
      <w:r w:rsidR="002A4D4A" w:rsidRPr="003A49C8">
        <w:rPr>
          <w:rFonts w:cs="Times New Roman"/>
          <w:szCs w:val="24"/>
        </w:rPr>
        <w:t>by 2024</w:t>
      </w:r>
      <w:r w:rsidR="00F76868" w:rsidRPr="003A49C8">
        <w:rPr>
          <w:rFonts w:cs="Times New Roman"/>
          <w:szCs w:val="24"/>
        </w:rPr>
        <w:t xml:space="preserve"> (Carbon Disclosure Project, </w:t>
      </w:r>
      <w:r w:rsidR="00332200" w:rsidRPr="003A49C8">
        <w:rPr>
          <w:rFonts w:cs="Times New Roman"/>
          <w:szCs w:val="24"/>
        </w:rPr>
        <w:t xml:space="preserve">2019). According to </w:t>
      </w:r>
      <w:bookmarkStart w:id="2" w:name="_Hlk138193094"/>
      <w:r w:rsidR="00332200" w:rsidRPr="003A49C8">
        <w:rPr>
          <w:rFonts w:cs="Times New Roman"/>
          <w:szCs w:val="24"/>
        </w:rPr>
        <w:t>Dietz</w:t>
      </w:r>
      <w:bookmarkEnd w:id="2"/>
      <w:r w:rsidR="00332200" w:rsidRPr="003A49C8">
        <w:rPr>
          <w:rFonts w:cs="Times New Roman"/>
          <w:szCs w:val="24"/>
        </w:rPr>
        <w:t xml:space="preserve"> et al. (2016), the projected "climate Value-at-Risk" under the </w:t>
      </w:r>
      <w:r w:rsidR="00FC1B8E" w:rsidRPr="003A49C8">
        <w:rPr>
          <w:rFonts w:cs="Times New Roman"/>
          <w:szCs w:val="24"/>
        </w:rPr>
        <w:t>business-as-usual</w:t>
      </w:r>
      <w:r w:rsidR="00332200" w:rsidRPr="003A49C8">
        <w:rPr>
          <w:rFonts w:cs="Times New Roman"/>
          <w:szCs w:val="24"/>
        </w:rPr>
        <w:t xml:space="preserve"> scenario is US$2.5 trillion. </w:t>
      </w:r>
      <w:r w:rsidR="00C1689E" w:rsidRPr="003A49C8">
        <w:rPr>
          <w:rFonts w:cs="Times New Roman"/>
          <w:szCs w:val="24"/>
        </w:rPr>
        <w:t>E</w:t>
      </w:r>
      <w:r w:rsidR="002A4D4A" w:rsidRPr="003A49C8">
        <w:rPr>
          <w:rFonts w:cs="Times New Roman"/>
          <w:szCs w:val="24"/>
        </w:rPr>
        <w:t xml:space="preserve">cological risks </w:t>
      </w:r>
      <w:r w:rsidR="00C74298" w:rsidRPr="003A49C8">
        <w:rPr>
          <w:rFonts w:cs="Times New Roman"/>
          <w:szCs w:val="24"/>
        </w:rPr>
        <w:t>are</w:t>
      </w:r>
      <w:r w:rsidR="00E6006C" w:rsidRPr="003A49C8">
        <w:rPr>
          <w:rFonts w:cs="Times New Roman"/>
          <w:szCs w:val="24"/>
        </w:rPr>
        <w:t xml:space="preserve"> relevant</w:t>
      </w:r>
      <w:r w:rsidR="002A4D4A" w:rsidRPr="003A49C8">
        <w:rPr>
          <w:rFonts w:cs="Times New Roman"/>
          <w:szCs w:val="24"/>
        </w:rPr>
        <w:t xml:space="preserve"> in cases where </w:t>
      </w:r>
      <w:r w:rsidR="00C1689E" w:rsidRPr="003A49C8">
        <w:rPr>
          <w:rFonts w:cs="Times New Roman"/>
          <w:szCs w:val="24"/>
        </w:rPr>
        <w:t xml:space="preserve">businesses </w:t>
      </w:r>
      <w:r w:rsidR="002A4D4A" w:rsidRPr="003A49C8">
        <w:rPr>
          <w:rFonts w:cs="Times New Roman"/>
          <w:szCs w:val="24"/>
        </w:rPr>
        <w:t xml:space="preserve">are exposed to environmental risks or invest in companies that are involved in environmentally harmful activities </w:t>
      </w:r>
      <w:r w:rsidR="00332200" w:rsidRPr="003A49C8">
        <w:rPr>
          <w:rFonts w:cs="Times New Roman"/>
          <w:szCs w:val="24"/>
        </w:rPr>
        <w:t>(Ilhan et al., 202</w:t>
      </w:r>
      <w:r w:rsidR="009D068D">
        <w:rPr>
          <w:rFonts w:cs="Times New Roman"/>
          <w:szCs w:val="24"/>
        </w:rPr>
        <w:t>2</w:t>
      </w:r>
      <w:r w:rsidR="00492E5B" w:rsidRPr="003A49C8">
        <w:rPr>
          <w:rFonts w:cs="Times New Roman"/>
          <w:szCs w:val="24"/>
        </w:rPr>
        <w:t>, Moore, 2015</w:t>
      </w:r>
      <w:r w:rsidR="00332200" w:rsidRPr="003A49C8">
        <w:rPr>
          <w:rFonts w:cs="Times New Roman"/>
          <w:szCs w:val="24"/>
        </w:rPr>
        <w:t>).</w:t>
      </w:r>
      <w:r w:rsidR="00F76868" w:rsidRPr="003A49C8">
        <w:rPr>
          <w:rFonts w:cs="Times New Roman"/>
          <w:szCs w:val="24"/>
        </w:rPr>
        <w:t xml:space="preserve"> </w:t>
      </w:r>
      <w:proofErr w:type="spellStart"/>
      <w:r w:rsidR="00744A33" w:rsidRPr="003A49C8">
        <w:rPr>
          <w:rFonts w:cs="Times New Roman"/>
          <w:szCs w:val="24"/>
        </w:rPr>
        <w:t>Battiston</w:t>
      </w:r>
      <w:proofErr w:type="spellEnd"/>
      <w:r w:rsidR="00744A33" w:rsidRPr="003A49C8">
        <w:rPr>
          <w:rFonts w:cs="Times New Roman"/>
          <w:szCs w:val="24"/>
        </w:rPr>
        <w:t xml:space="preserve"> et al. (2017) also </w:t>
      </w:r>
      <w:r w:rsidR="005B2D6F" w:rsidRPr="003A49C8">
        <w:rPr>
          <w:rFonts w:cs="Times New Roman"/>
          <w:szCs w:val="24"/>
        </w:rPr>
        <w:t>stress</w:t>
      </w:r>
      <w:r w:rsidR="00744A33" w:rsidRPr="003A49C8">
        <w:rPr>
          <w:rFonts w:cs="Times New Roman"/>
          <w:szCs w:val="24"/>
        </w:rPr>
        <w:t xml:space="preserve"> the link between </w:t>
      </w:r>
      <w:r w:rsidR="005B2D6F" w:rsidRPr="003A49C8">
        <w:rPr>
          <w:rFonts w:cs="Times New Roman"/>
          <w:szCs w:val="24"/>
        </w:rPr>
        <w:t>investment</w:t>
      </w:r>
      <w:r w:rsidR="00744A33" w:rsidRPr="003A49C8">
        <w:rPr>
          <w:rFonts w:cs="Times New Roman"/>
          <w:szCs w:val="24"/>
        </w:rPr>
        <w:t xml:space="preserve"> exposure and climate policy. </w:t>
      </w:r>
      <w:r w:rsidR="002A4D4A" w:rsidRPr="003A49C8">
        <w:rPr>
          <w:rFonts w:cs="Times New Roman"/>
          <w:szCs w:val="24"/>
        </w:rPr>
        <w:t>For example, a financial ETF that invests in the oil and gas industry may be exposed to ecological risks associated with the exploration, production, and transportation of fossil fuels, such as oil spills, air pollution, and greenhouse gas emissions</w:t>
      </w:r>
      <w:r w:rsidR="00492E5B" w:rsidRPr="003A49C8">
        <w:rPr>
          <w:rFonts w:cs="Times New Roman"/>
          <w:szCs w:val="24"/>
        </w:rPr>
        <w:t xml:space="preserve"> (Hansen et al., 2017; Ripple et al., 2020)</w:t>
      </w:r>
      <w:r w:rsidR="002A4D4A" w:rsidRPr="003A49C8">
        <w:rPr>
          <w:rFonts w:cs="Times New Roman"/>
          <w:szCs w:val="24"/>
        </w:rPr>
        <w:t xml:space="preserve">. Similarly, an ETF that invests in mining companies may be exposed to risks associated with the extraction of minerals, including water pollution and habitat </w:t>
      </w:r>
      <w:r w:rsidR="00E6006C" w:rsidRPr="003A49C8">
        <w:rPr>
          <w:rFonts w:cs="Times New Roman"/>
          <w:szCs w:val="24"/>
        </w:rPr>
        <w:t>destruction. Healthcare</w:t>
      </w:r>
      <w:r w:rsidR="00744A33" w:rsidRPr="003A49C8">
        <w:rPr>
          <w:rFonts w:cs="Times New Roman"/>
          <w:szCs w:val="24"/>
        </w:rPr>
        <w:t xml:space="preserve"> ETFs, on the other hand, may indirectly involve </w:t>
      </w:r>
      <w:r w:rsidR="004E161C" w:rsidRPr="003A49C8">
        <w:rPr>
          <w:rFonts w:cs="Times New Roman"/>
          <w:szCs w:val="24"/>
        </w:rPr>
        <w:t xml:space="preserve">themselves </w:t>
      </w:r>
      <w:r w:rsidR="00744A33" w:rsidRPr="003A49C8">
        <w:rPr>
          <w:rFonts w:cs="Times New Roman"/>
          <w:szCs w:val="24"/>
        </w:rPr>
        <w:t>in environmentally damaging activities, such as in cases where healthcare companies use hazardous chemicals in their manufacturing processes or contribute to pollution through their operations</w:t>
      </w:r>
      <w:r w:rsidR="002E1E31" w:rsidRPr="003A49C8">
        <w:rPr>
          <w:rFonts w:cs="Times New Roman"/>
          <w:szCs w:val="24"/>
        </w:rPr>
        <w:t xml:space="preserve"> (Ripple et al., 2020)</w:t>
      </w:r>
      <w:r w:rsidR="00744A33" w:rsidRPr="003A49C8">
        <w:rPr>
          <w:rFonts w:cs="Times New Roman"/>
          <w:szCs w:val="24"/>
        </w:rPr>
        <w:t>. Thus,</w:t>
      </w:r>
      <w:r w:rsidR="00F76868" w:rsidRPr="003A49C8">
        <w:rPr>
          <w:rFonts w:cs="Times New Roman"/>
          <w:szCs w:val="24"/>
        </w:rPr>
        <w:t xml:space="preserve"> </w:t>
      </w:r>
      <w:r w:rsidR="00E61930" w:rsidRPr="003A49C8">
        <w:rPr>
          <w:rFonts w:cs="Times New Roman"/>
          <w:szCs w:val="24"/>
        </w:rPr>
        <w:t xml:space="preserve">healthcare </w:t>
      </w:r>
      <w:r w:rsidR="00744A33" w:rsidRPr="003A49C8">
        <w:rPr>
          <w:rFonts w:cs="Times New Roman"/>
          <w:szCs w:val="24"/>
        </w:rPr>
        <w:t xml:space="preserve">companies are </w:t>
      </w:r>
      <w:r w:rsidR="00E61930" w:rsidRPr="003A49C8">
        <w:rPr>
          <w:rFonts w:cs="Times New Roman"/>
          <w:szCs w:val="24"/>
        </w:rPr>
        <w:t xml:space="preserve">subject to several </w:t>
      </w:r>
      <w:r w:rsidR="00F76868" w:rsidRPr="003A49C8">
        <w:rPr>
          <w:rFonts w:cs="Times New Roman"/>
          <w:szCs w:val="24"/>
        </w:rPr>
        <w:t>constraints</w:t>
      </w:r>
      <w:r w:rsidR="00744A33" w:rsidRPr="003A49C8">
        <w:rPr>
          <w:rFonts w:cs="Times New Roman"/>
          <w:szCs w:val="24"/>
        </w:rPr>
        <w:t xml:space="preserve"> and</w:t>
      </w:r>
      <w:r w:rsidR="00E61930" w:rsidRPr="003A49C8">
        <w:rPr>
          <w:rFonts w:cs="Times New Roman"/>
          <w:szCs w:val="24"/>
        </w:rPr>
        <w:t xml:space="preserve"> shifting regulations which </w:t>
      </w:r>
      <w:r w:rsidR="00F76868" w:rsidRPr="003A49C8">
        <w:rPr>
          <w:rFonts w:cs="Times New Roman"/>
          <w:szCs w:val="24"/>
        </w:rPr>
        <w:t xml:space="preserve">pose </w:t>
      </w:r>
      <w:r w:rsidR="00E61930" w:rsidRPr="003A49C8">
        <w:rPr>
          <w:rFonts w:cs="Times New Roman"/>
          <w:szCs w:val="24"/>
        </w:rPr>
        <w:t xml:space="preserve">significant </w:t>
      </w:r>
      <w:r w:rsidR="00F76868" w:rsidRPr="003A49C8">
        <w:rPr>
          <w:rFonts w:cs="Times New Roman"/>
          <w:szCs w:val="24"/>
        </w:rPr>
        <w:t>risks to their performance</w:t>
      </w:r>
      <w:r w:rsidR="00E61930" w:rsidRPr="003A49C8">
        <w:rPr>
          <w:rFonts w:cs="Times New Roman"/>
          <w:szCs w:val="24"/>
        </w:rPr>
        <w:t>. Healthcare funds are actively managed mutual funds that make equity investments in companies engaged in the production of medical equipment, pharmaceuticals, hospital management, and biotech research</w:t>
      </w:r>
      <w:r w:rsidR="009678F9" w:rsidRPr="003A49C8">
        <w:rPr>
          <w:rFonts w:cs="Times New Roman"/>
          <w:szCs w:val="24"/>
        </w:rPr>
        <w:t xml:space="preserve"> (Chen et al., 2018)</w:t>
      </w:r>
      <w:r w:rsidR="00E61930" w:rsidRPr="003A49C8">
        <w:rPr>
          <w:rFonts w:cs="Times New Roman"/>
          <w:szCs w:val="24"/>
        </w:rPr>
        <w:t xml:space="preserve">. </w:t>
      </w:r>
      <w:r w:rsidR="002C2D41" w:rsidRPr="003A49C8">
        <w:rPr>
          <w:rFonts w:cs="Times New Roman"/>
          <w:szCs w:val="24"/>
        </w:rPr>
        <w:t xml:space="preserve">Investing in </w:t>
      </w:r>
      <w:r w:rsidR="00C74298" w:rsidRPr="003A49C8">
        <w:rPr>
          <w:rFonts w:cs="Times New Roman"/>
          <w:szCs w:val="24"/>
        </w:rPr>
        <w:t xml:space="preserve">the </w:t>
      </w:r>
      <w:r w:rsidR="002C2D41" w:rsidRPr="003A49C8">
        <w:rPr>
          <w:rFonts w:cs="Times New Roman"/>
          <w:szCs w:val="24"/>
        </w:rPr>
        <w:t>effective treatment of diseases is crucial to minimize the impact on the population within the network (Huang et al., 2022). Healthcare ETFs, which exhibit a greater degree of specialization in their investment strategies compared to their mutual fund counterparts, often track an index comprising the healthcare sector that encompasses various healthcare risks.</w:t>
      </w:r>
    </w:p>
    <w:p w14:paraId="769988EA" w14:textId="4648B6E5" w:rsidR="00C95667" w:rsidRPr="003A49C8" w:rsidRDefault="00417950" w:rsidP="00253AE4">
      <w:pPr>
        <w:ind w:firstLine="397"/>
        <w:rPr>
          <w:rFonts w:cs="Times New Roman"/>
          <w:szCs w:val="24"/>
        </w:rPr>
      </w:pPr>
      <w:bookmarkStart w:id="3" w:name="_Hlk123846314"/>
      <w:r w:rsidRPr="003A49C8">
        <w:rPr>
          <w:rFonts w:cs="Times New Roman"/>
          <w:szCs w:val="24"/>
        </w:rPr>
        <w:t>In terms of contribution</w:t>
      </w:r>
      <w:r w:rsidR="000A766E" w:rsidRPr="003A49C8">
        <w:rPr>
          <w:rFonts w:cs="Times New Roman"/>
          <w:szCs w:val="24"/>
        </w:rPr>
        <w:t xml:space="preserve"> to the risk analysis literature</w:t>
      </w:r>
      <w:r w:rsidRPr="003A49C8">
        <w:rPr>
          <w:rFonts w:cs="Times New Roman"/>
          <w:szCs w:val="24"/>
        </w:rPr>
        <w:t>, t</w:t>
      </w:r>
      <w:r w:rsidR="009526C1" w:rsidRPr="003A49C8">
        <w:rPr>
          <w:rFonts w:cs="Times New Roman"/>
          <w:szCs w:val="24"/>
        </w:rPr>
        <w:t>his is the first study to provide comprehensive risk analysis</w:t>
      </w:r>
      <w:r w:rsidR="000A766E" w:rsidRPr="003A49C8">
        <w:rPr>
          <w:rFonts w:cs="Times New Roman"/>
          <w:szCs w:val="24"/>
        </w:rPr>
        <w:t xml:space="preserve"> and risk assessment of </w:t>
      </w:r>
      <w:r w:rsidR="009526C1" w:rsidRPr="003A49C8">
        <w:rPr>
          <w:rFonts w:cs="Times New Roman"/>
          <w:szCs w:val="24"/>
        </w:rPr>
        <w:t xml:space="preserve">ESG, healthcare and financial </w:t>
      </w:r>
      <w:r w:rsidR="004376C1" w:rsidRPr="003A49C8">
        <w:rPr>
          <w:rFonts w:cs="Times New Roman"/>
          <w:szCs w:val="24"/>
        </w:rPr>
        <w:t>sectors</w:t>
      </w:r>
      <w:r w:rsidR="00C75C47" w:rsidRPr="003A49C8">
        <w:rPr>
          <w:rFonts w:cs="Times New Roman"/>
          <w:szCs w:val="24"/>
        </w:rPr>
        <w:t xml:space="preserve">. </w:t>
      </w:r>
      <w:r w:rsidR="009D651C" w:rsidRPr="003A49C8">
        <w:rPr>
          <w:rFonts w:cs="Times New Roman"/>
          <w:szCs w:val="24"/>
        </w:rPr>
        <w:t xml:space="preserve">Our approach to modelling risks is based on a novel </w:t>
      </w:r>
      <w:r w:rsidR="00FE18A1" w:rsidRPr="003A49C8">
        <w:rPr>
          <w:rFonts w:cs="Times New Roman"/>
          <w:szCs w:val="24"/>
        </w:rPr>
        <w:t xml:space="preserve">extreme </w:t>
      </w:r>
      <w:r w:rsidR="009526C1" w:rsidRPr="003A49C8">
        <w:rPr>
          <w:rFonts w:cs="Times New Roman"/>
          <w:szCs w:val="24"/>
        </w:rPr>
        <w:t xml:space="preserve">value theory (EVT). </w:t>
      </w:r>
      <w:r w:rsidR="006B163F" w:rsidRPr="003A49C8">
        <w:rPr>
          <w:rFonts w:cs="Times New Roman"/>
          <w:szCs w:val="24"/>
        </w:rPr>
        <w:t xml:space="preserve">More specifically, </w:t>
      </w:r>
      <w:r w:rsidR="006B163F" w:rsidRPr="003A49C8">
        <w:rPr>
          <w:rFonts w:cs="Times New Roman"/>
          <w:szCs w:val="24"/>
        </w:rPr>
        <w:lastRenderedPageBreak/>
        <w:t xml:space="preserve">our study contributes to the literature in </w:t>
      </w:r>
      <w:r w:rsidR="008D7ABE" w:rsidRPr="003A49C8">
        <w:rPr>
          <w:rFonts w:cs="Times New Roman"/>
          <w:szCs w:val="24"/>
        </w:rPr>
        <w:t xml:space="preserve">the following </w:t>
      </w:r>
      <w:r w:rsidR="006B163F" w:rsidRPr="003A49C8">
        <w:rPr>
          <w:rFonts w:cs="Times New Roman"/>
          <w:szCs w:val="24"/>
        </w:rPr>
        <w:t>several ways: First, we</w:t>
      </w:r>
      <w:r w:rsidR="009526C1" w:rsidRPr="003A49C8">
        <w:rPr>
          <w:rFonts w:cs="Times New Roman"/>
          <w:szCs w:val="24"/>
        </w:rPr>
        <w:t xml:space="preserve"> </w:t>
      </w:r>
      <w:r w:rsidR="004130C4" w:rsidRPr="003A49C8">
        <w:rPr>
          <w:rFonts w:cs="Times New Roman"/>
          <w:szCs w:val="24"/>
        </w:rPr>
        <w:t xml:space="preserve">determine the tail risk of extreme incidents (e.g., the financial crisis and the COVID-19 pandemic crisis) </w:t>
      </w:r>
      <w:r w:rsidR="009526C1" w:rsidRPr="003A49C8">
        <w:rPr>
          <w:rFonts w:cs="Times New Roman"/>
          <w:szCs w:val="24"/>
        </w:rPr>
        <w:t xml:space="preserve">as they </w:t>
      </w:r>
      <w:r w:rsidR="004130C4" w:rsidRPr="003A49C8">
        <w:rPr>
          <w:rFonts w:cs="Times New Roman"/>
          <w:szCs w:val="24"/>
        </w:rPr>
        <w:t>can cause high volatility in ESG, healthcare, and financial</w:t>
      </w:r>
      <w:r w:rsidR="00FE18A1" w:rsidRPr="003A49C8">
        <w:rPr>
          <w:rFonts w:cs="Times New Roman"/>
          <w:szCs w:val="24"/>
        </w:rPr>
        <w:t xml:space="preserve"> ETFs</w:t>
      </w:r>
      <w:r w:rsidR="00B75B6E" w:rsidRPr="003A49C8">
        <w:rPr>
          <w:rFonts w:cs="Times New Roman"/>
          <w:szCs w:val="24"/>
        </w:rPr>
        <w:t>.</w:t>
      </w:r>
      <w:r w:rsidR="004130C4" w:rsidRPr="003A49C8">
        <w:rPr>
          <w:rFonts w:cs="Times New Roman"/>
          <w:szCs w:val="24"/>
        </w:rPr>
        <w:t xml:space="preserve"> </w:t>
      </w:r>
      <w:r w:rsidR="009526C1" w:rsidRPr="003A49C8">
        <w:rPr>
          <w:rFonts w:cs="Times New Roman"/>
          <w:szCs w:val="24"/>
        </w:rPr>
        <w:t xml:space="preserve">We select </w:t>
      </w:r>
      <w:r w:rsidR="0027141B" w:rsidRPr="003A49C8">
        <w:rPr>
          <w:rFonts w:cs="Times New Roman"/>
          <w:szCs w:val="24"/>
        </w:rPr>
        <w:t xml:space="preserve">the </w:t>
      </w:r>
      <w:r w:rsidR="009526C1" w:rsidRPr="003A49C8">
        <w:rPr>
          <w:rFonts w:cs="Times New Roman"/>
          <w:szCs w:val="24"/>
        </w:rPr>
        <w:t xml:space="preserve">top 10 </w:t>
      </w:r>
      <w:r w:rsidR="009A3487" w:rsidRPr="003A49C8">
        <w:rPr>
          <w:rFonts w:cs="Times New Roman"/>
          <w:szCs w:val="24"/>
        </w:rPr>
        <w:t xml:space="preserve">ESG, healthcare and financial </w:t>
      </w:r>
      <w:r w:rsidR="009526C1" w:rsidRPr="003A49C8">
        <w:rPr>
          <w:rFonts w:cs="Times New Roman"/>
          <w:szCs w:val="24"/>
        </w:rPr>
        <w:t xml:space="preserve">ETFs with the highest net asset value (NAV) and are the most liquid. </w:t>
      </w:r>
      <w:r w:rsidR="00015C8B" w:rsidRPr="003A49C8">
        <w:rPr>
          <w:rFonts w:cs="Times New Roman"/>
          <w:szCs w:val="24"/>
        </w:rPr>
        <w:t xml:space="preserve">These </w:t>
      </w:r>
      <w:r w:rsidR="009A3487" w:rsidRPr="003A49C8">
        <w:rPr>
          <w:rFonts w:cs="Times New Roman"/>
          <w:szCs w:val="24"/>
        </w:rPr>
        <w:t>ETFs</w:t>
      </w:r>
      <w:r w:rsidR="004130C4" w:rsidRPr="003A49C8">
        <w:rPr>
          <w:rFonts w:cs="Times New Roman"/>
          <w:szCs w:val="24"/>
        </w:rPr>
        <w:t xml:space="preserve"> are widely used </w:t>
      </w:r>
      <w:r w:rsidR="00015C8B" w:rsidRPr="003A49C8">
        <w:rPr>
          <w:rFonts w:cs="Times New Roman"/>
          <w:szCs w:val="24"/>
        </w:rPr>
        <w:t xml:space="preserve">as risk </w:t>
      </w:r>
      <w:r w:rsidR="00096E91" w:rsidRPr="003A49C8">
        <w:rPr>
          <w:rFonts w:cs="Times New Roman"/>
          <w:szCs w:val="24"/>
        </w:rPr>
        <w:t>hedges</w:t>
      </w:r>
      <w:r w:rsidR="00015C8B" w:rsidRPr="003A49C8">
        <w:rPr>
          <w:rFonts w:cs="Times New Roman"/>
          <w:szCs w:val="24"/>
        </w:rPr>
        <w:t xml:space="preserve"> in portfolios, as demonstrated in our study</w:t>
      </w:r>
      <w:r w:rsidR="004130C4" w:rsidRPr="003A49C8">
        <w:rPr>
          <w:rFonts w:cs="Times New Roman"/>
          <w:szCs w:val="24"/>
        </w:rPr>
        <w:t xml:space="preserve">. </w:t>
      </w:r>
      <w:r w:rsidR="00C95667" w:rsidRPr="003A49C8">
        <w:rPr>
          <w:rFonts w:cs="Times New Roman"/>
          <w:szCs w:val="24"/>
        </w:rPr>
        <w:t xml:space="preserve">Earlier </w:t>
      </w:r>
      <w:r w:rsidR="00A3567E" w:rsidRPr="003A49C8">
        <w:rPr>
          <w:rFonts w:cs="Times New Roman"/>
          <w:szCs w:val="24"/>
        </w:rPr>
        <w:t>EVT</w:t>
      </w:r>
      <w:r w:rsidR="00841BD7" w:rsidRPr="003A49C8">
        <w:rPr>
          <w:rFonts w:cs="Times New Roman"/>
          <w:szCs w:val="24"/>
        </w:rPr>
        <w:t>-</w:t>
      </w:r>
      <w:r w:rsidR="00A3567E" w:rsidRPr="003A49C8">
        <w:rPr>
          <w:rFonts w:cs="Times New Roman"/>
          <w:szCs w:val="24"/>
        </w:rPr>
        <w:t xml:space="preserve">based </w:t>
      </w:r>
      <w:r w:rsidR="00C95667" w:rsidRPr="003A49C8">
        <w:rPr>
          <w:rFonts w:cs="Times New Roman"/>
          <w:szCs w:val="24"/>
        </w:rPr>
        <w:t xml:space="preserve">studies only focus on stock, bond or foreign exchange markets (Hartmann et al., 2004; Straetmans </w:t>
      </w:r>
      <w:r w:rsidR="008C0623">
        <w:rPr>
          <w:rFonts w:cs="Times New Roman"/>
          <w:szCs w:val="24"/>
        </w:rPr>
        <w:t>&amp;</w:t>
      </w:r>
      <w:r w:rsidR="00C95667" w:rsidRPr="003A49C8">
        <w:rPr>
          <w:rFonts w:cs="Times New Roman"/>
          <w:szCs w:val="24"/>
        </w:rPr>
        <w:t xml:space="preserve"> Chaudhry, 2015).</w:t>
      </w:r>
      <w:r w:rsidR="004376C1" w:rsidRPr="003A49C8">
        <w:rPr>
          <w:rFonts w:cs="Times New Roman"/>
          <w:szCs w:val="24"/>
        </w:rPr>
        <w:t xml:space="preserve"> </w:t>
      </w:r>
      <w:bookmarkStart w:id="4" w:name="_Hlk131423928"/>
      <w:r w:rsidR="003909CC" w:rsidRPr="003A49C8">
        <w:rPr>
          <w:rFonts w:cs="Times New Roman"/>
          <w:szCs w:val="24"/>
        </w:rPr>
        <w:t xml:space="preserve">Second, </w:t>
      </w:r>
      <w:bookmarkStart w:id="5" w:name="_Hlk131416162"/>
      <w:r w:rsidR="00EB71A3" w:rsidRPr="003A49C8">
        <w:rPr>
          <w:rFonts w:cs="Times New Roman"/>
          <w:shd w:val="clear" w:color="auto" w:fill="FFFFFF"/>
        </w:rPr>
        <w:t xml:space="preserve">we estimate the extreme quantiles for p-values of 0.2% or 0.1%. </w:t>
      </w:r>
      <w:bookmarkStart w:id="6" w:name="_Hlk131416122"/>
      <w:r w:rsidR="00EB71A3" w:rsidRPr="003A49C8">
        <w:rPr>
          <w:rFonts w:cs="Times New Roman"/>
        </w:rPr>
        <w:t>This means that the tail-</w:t>
      </w:r>
      <w:proofErr w:type="spellStart"/>
      <w:r w:rsidR="00EB71A3" w:rsidRPr="003A49C8">
        <w:rPr>
          <w:rFonts w:cs="Times New Roman"/>
        </w:rPr>
        <w:t>VaRs</w:t>
      </w:r>
      <w:proofErr w:type="spellEnd"/>
      <w:r w:rsidR="00EB71A3" w:rsidRPr="003A49C8">
        <w:rPr>
          <w:rFonts w:cs="Times New Roman"/>
        </w:rPr>
        <w:t xml:space="preserve"> are estimated to be triggered every 500 days or 1000 days, respectively. This is the hallmark of EVT and has never been applied to the evaluation of the risk associated with ESG and healthcare sectors. Most of the literature on systemic risk measurement do</w:t>
      </w:r>
      <w:r w:rsidR="00841BD7" w:rsidRPr="003A49C8">
        <w:rPr>
          <w:rFonts w:cs="Times New Roman"/>
        </w:rPr>
        <w:t>es</w:t>
      </w:r>
      <w:r w:rsidR="00EB71A3" w:rsidRPr="003A49C8">
        <w:rPr>
          <w:rFonts w:cs="Times New Roman"/>
        </w:rPr>
        <w:t xml:space="preserve"> not go beyond p-values of 1% as they draw upon quantile regression (Adrian </w:t>
      </w:r>
      <w:r w:rsidR="008C0623">
        <w:rPr>
          <w:rFonts w:cs="Times New Roman"/>
        </w:rPr>
        <w:t>&amp;</w:t>
      </w:r>
      <w:r w:rsidR="00EB71A3" w:rsidRPr="003A49C8">
        <w:rPr>
          <w:rFonts w:cs="Times New Roman"/>
        </w:rPr>
        <w:t xml:space="preserve"> </w:t>
      </w:r>
      <w:proofErr w:type="spellStart"/>
      <w:r w:rsidR="00EB71A3" w:rsidRPr="003A49C8">
        <w:rPr>
          <w:rFonts w:cs="Times New Roman"/>
        </w:rPr>
        <w:t>Brunnermeier</w:t>
      </w:r>
      <w:proofErr w:type="spellEnd"/>
      <w:r w:rsidR="00EB71A3" w:rsidRPr="003A49C8">
        <w:rPr>
          <w:rFonts w:cs="Times New Roman"/>
        </w:rPr>
        <w:t xml:space="preserve">, 2016), dynamic conditional correlation (Brownlees </w:t>
      </w:r>
      <w:r w:rsidR="008C0623">
        <w:rPr>
          <w:rFonts w:cs="Times New Roman"/>
        </w:rPr>
        <w:t>&amp;</w:t>
      </w:r>
      <w:r w:rsidR="00EB71A3" w:rsidRPr="003A49C8">
        <w:rPr>
          <w:rFonts w:cs="Times New Roman"/>
        </w:rPr>
        <w:t xml:space="preserve"> Engle, 2015) and </w:t>
      </w:r>
      <w:proofErr w:type="spellStart"/>
      <w:r w:rsidR="00EB71A3" w:rsidRPr="003A49C8">
        <w:rPr>
          <w:rFonts w:cs="Times New Roman"/>
        </w:rPr>
        <w:t>CoRisk</w:t>
      </w:r>
      <w:proofErr w:type="spellEnd"/>
      <w:r w:rsidR="00EB71A3" w:rsidRPr="003A49C8">
        <w:rPr>
          <w:rFonts w:cs="Times New Roman"/>
        </w:rPr>
        <w:t xml:space="preserve"> (Chan-Lau, 2010). The EVT methodology allows us to go further into the tail of the distribution. </w:t>
      </w:r>
      <w:bookmarkEnd w:id="6"/>
      <w:r w:rsidR="00EB71A3" w:rsidRPr="003A49C8">
        <w:rPr>
          <w:rFonts w:cs="Times New Roman"/>
        </w:rPr>
        <w:t xml:space="preserve">Third, the tail risk and systemic risk measurements are estimated using semi-parametric estimation procedures to avoid misspecification of parametric probability distributions. It is because tail risk and systemic risk estimates are likely to be heavily distorted by incorrect distribution assumptions. Fourth, we use multivariate EVT to calculate the extreme systemic risk (tail-β) by considering 10 different ETF investment markets as conditioning factors. These 10 conditioning factors are the whole world, Europe, Eurozone, China, S&amp;P 500, US total market, US tech, traditional energy, green energy and even bond factor. There is no other paper that has used these comprehensive conditional factors in calculating extreme systemic risk except one study by Straetmans and Chaudhry (2015), which uses only </w:t>
      </w:r>
      <w:r w:rsidR="00841BD7" w:rsidRPr="003A49C8">
        <w:rPr>
          <w:rFonts w:cs="Times New Roman"/>
        </w:rPr>
        <w:t xml:space="preserve">the </w:t>
      </w:r>
      <w:r w:rsidR="00EB71A3" w:rsidRPr="003A49C8">
        <w:rPr>
          <w:rFonts w:cs="Times New Roman"/>
        </w:rPr>
        <w:t>bank index, stock market index, bond and real estate market index for the US and Europe. We use green energy, traditional energy, high-tech, and bond ETFs as conditioning factors as their impact on ESG, healthcare and financial sectors could potentially be different.</w:t>
      </w:r>
      <w:r w:rsidR="003909CC" w:rsidRPr="003A49C8">
        <w:rPr>
          <w:rFonts w:cs="Times New Roman"/>
          <w:szCs w:val="24"/>
        </w:rPr>
        <w:t xml:space="preserve"> </w:t>
      </w:r>
      <w:bookmarkEnd w:id="4"/>
      <w:bookmarkEnd w:id="5"/>
      <w:r w:rsidR="004130C4" w:rsidRPr="003A49C8">
        <w:rPr>
          <w:rFonts w:cs="Times New Roman"/>
          <w:szCs w:val="24"/>
        </w:rPr>
        <w:t xml:space="preserve">Finally, we measure </w:t>
      </w:r>
      <w:r w:rsidR="00DA06A6" w:rsidRPr="003A49C8">
        <w:rPr>
          <w:rFonts w:cs="Times New Roman"/>
          <w:szCs w:val="24"/>
        </w:rPr>
        <w:t xml:space="preserve">the </w:t>
      </w:r>
      <w:r w:rsidR="004130C4" w:rsidRPr="003A49C8">
        <w:rPr>
          <w:rFonts w:cs="Times New Roman"/>
          <w:szCs w:val="24"/>
        </w:rPr>
        <w:t xml:space="preserve">extent to which a shock in </w:t>
      </w:r>
      <w:r w:rsidR="00395175" w:rsidRPr="003A49C8">
        <w:rPr>
          <w:rFonts w:cs="Times New Roman"/>
          <w:szCs w:val="24"/>
        </w:rPr>
        <w:t>expected joint crashes and multi</w:t>
      </w:r>
      <w:r w:rsidR="00FC2851" w:rsidRPr="003A49C8">
        <w:rPr>
          <w:rFonts w:cs="Times New Roman"/>
          <w:szCs w:val="24"/>
        </w:rPr>
        <w:t>-</w:t>
      </w:r>
      <w:r w:rsidR="00395175" w:rsidRPr="003A49C8">
        <w:rPr>
          <w:rFonts w:cs="Times New Roman"/>
          <w:szCs w:val="24"/>
        </w:rPr>
        <w:t>variant</w:t>
      </w:r>
      <w:r w:rsidR="004130C4" w:rsidRPr="003A49C8">
        <w:rPr>
          <w:rFonts w:cs="Times New Roman"/>
          <w:szCs w:val="24"/>
        </w:rPr>
        <w:t xml:space="preserve"> spills over</w:t>
      </w:r>
      <w:r w:rsidR="00395175" w:rsidRPr="003A49C8">
        <w:rPr>
          <w:rFonts w:cs="Times New Roman"/>
          <w:szCs w:val="24"/>
        </w:rPr>
        <w:t xml:space="preserve"> risk</w:t>
      </w:r>
      <w:r w:rsidR="00DA06A6" w:rsidRPr="003A49C8">
        <w:rPr>
          <w:rFonts w:cs="Times New Roman"/>
          <w:szCs w:val="24"/>
        </w:rPr>
        <w:t xml:space="preserve"> within the ESG, healthcare and financial ETFs</w:t>
      </w:r>
      <w:r w:rsidR="004130C4" w:rsidRPr="003A49C8">
        <w:rPr>
          <w:rFonts w:cs="Times New Roman"/>
          <w:szCs w:val="24"/>
        </w:rPr>
        <w:t xml:space="preserve">. </w:t>
      </w:r>
    </w:p>
    <w:p w14:paraId="1F8B01F2" w14:textId="69916B77" w:rsidR="00677B38" w:rsidRPr="003A49C8" w:rsidRDefault="00677B38" w:rsidP="00E33705">
      <w:pPr>
        <w:ind w:firstLine="397"/>
        <w:rPr>
          <w:rFonts w:cs="Times New Roman"/>
          <w:szCs w:val="24"/>
        </w:rPr>
      </w:pPr>
      <w:r w:rsidRPr="003A49C8">
        <w:rPr>
          <w:rFonts w:cs="Times New Roman"/>
          <w:szCs w:val="24"/>
        </w:rPr>
        <w:t xml:space="preserve">Our risk modelling </w:t>
      </w:r>
      <w:r w:rsidR="00FC2851" w:rsidRPr="003A49C8">
        <w:rPr>
          <w:rFonts w:cs="Times New Roman"/>
          <w:szCs w:val="24"/>
        </w:rPr>
        <w:t xml:space="preserve">and analysis </w:t>
      </w:r>
      <w:r w:rsidRPr="003A49C8">
        <w:rPr>
          <w:rFonts w:cs="Times New Roman"/>
          <w:szCs w:val="24"/>
        </w:rPr>
        <w:t>reveal</w:t>
      </w:r>
      <w:r w:rsidR="00C95667" w:rsidRPr="003A49C8">
        <w:rPr>
          <w:rFonts w:cs="Times New Roman"/>
          <w:szCs w:val="24"/>
        </w:rPr>
        <w:t xml:space="preserve"> the following </w:t>
      </w:r>
      <w:r w:rsidR="00841BD7" w:rsidRPr="003A49C8">
        <w:rPr>
          <w:rFonts w:cs="Times New Roman"/>
          <w:szCs w:val="24"/>
        </w:rPr>
        <w:t xml:space="preserve">key </w:t>
      </w:r>
      <w:r w:rsidR="00C95667" w:rsidRPr="003A49C8">
        <w:rPr>
          <w:rFonts w:cs="Times New Roman"/>
          <w:szCs w:val="24"/>
        </w:rPr>
        <w:t xml:space="preserve">findings: </w:t>
      </w:r>
      <w:r w:rsidR="00A3567E" w:rsidRPr="003A49C8">
        <w:rPr>
          <w:rFonts w:cs="Times New Roman"/>
          <w:szCs w:val="24"/>
        </w:rPr>
        <w:t>F</w:t>
      </w:r>
      <w:r w:rsidR="00C95667" w:rsidRPr="003A49C8">
        <w:rPr>
          <w:rFonts w:cs="Times New Roman"/>
          <w:szCs w:val="24"/>
        </w:rPr>
        <w:t xml:space="preserve">irst, </w:t>
      </w:r>
      <w:r w:rsidR="0027141B" w:rsidRPr="003A49C8">
        <w:rPr>
          <w:rFonts w:cs="Times New Roman"/>
          <w:szCs w:val="24"/>
        </w:rPr>
        <w:t xml:space="preserve">the </w:t>
      </w:r>
      <w:r w:rsidR="006B163F" w:rsidRPr="003A49C8">
        <w:rPr>
          <w:rFonts w:cs="Times New Roman"/>
          <w:szCs w:val="24"/>
        </w:rPr>
        <w:t xml:space="preserve">financial sector is the riskiest when we consider </w:t>
      </w:r>
      <w:r w:rsidR="0027141B" w:rsidRPr="003A49C8">
        <w:rPr>
          <w:rFonts w:cs="Times New Roman"/>
          <w:szCs w:val="24"/>
        </w:rPr>
        <w:t xml:space="preserve">the </w:t>
      </w:r>
      <w:r w:rsidR="006B163F" w:rsidRPr="003A49C8">
        <w:rPr>
          <w:rFonts w:cs="Times New Roman"/>
          <w:szCs w:val="24"/>
        </w:rPr>
        <w:t>tail index, tail quantile</w:t>
      </w:r>
      <w:r w:rsidR="007C450F" w:rsidRPr="003A49C8">
        <w:rPr>
          <w:rFonts w:cs="Times New Roman"/>
          <w:szCs w:val="24"/>
        </w:rPr>
        <w:t>,</w:t>
      </w:r>
      <w:r w:rsidR="006B163F" w:rsidRPr="003A49C8">
        <w:rPr>
          <w:rFonts w:cs="Times New Roman"/>
          <w:szCs w:val="24"/>
        </w:rPr>
        <w:t xml:space="preserve"> and tail expected shortfall. However, </w:t>
      </w:r>
      <w:r w:rsidR="0027141B" w:rsidRPr="003A49C8">
        <w:rPr>
          <w:rFonts w:cs="Times New Roman"/>
          <w:szCs w:val="24"/>
        </w:rPr>
        <w:t xml:space="preserve">the </w:t>
      </w:r>
      <w:r w:rsidRPr="003A49C8">
        <w:rPr>
          <w:rFonts w:cs="Times New Roman"/>
          <w:szCs w:val="24"/>
        </w:rPr>
        <w:t>ESG sector exhibit</w:t>
      </w:r>
      <w:r w:rsidR="0027141B" w:rsidRPr="003A49C8">
        <w:rPr>
          <w:rFonts w:cs="Times New Roman"/>
          <w:szCs w:val="24"/>
        </w:rPr>
        <w:t>s</w:t>
      </w:r>
      <w:r w:rsidRPr="003A49C8">
        <w:rPr>
          <w:rFonts w:cs="Times New Roman"/>
          <w:szCs w:val="24"/>
        </w:rPr>
        <w:t xml:space="preserve"> the highest tail risk in </w:t>
      </w:r>
      <w:r w:rsidR="0027141B" w:rsidRPr="003A49C8">
        <w:rPr>
          <w:rFonts w:cs="Times New Roman"/>
          <w:szCs w:val="24"/>
        </w:rPr>
        <w:t xml:space="preserve">the </w:t>
      </w:r>
      <w:r w:rsidRPr="003A49C8">
        <w:rPr>
          <w:rFonts w:cs="Times New Roman"/>
          <w:szCs w:val="24"/>
        </w:rPr>
        <w:t xml:space="preserve">extreme environment when we consider a shock </w:t>
      </w:r>
      <w:r w:rsidR="00D5322C" w:rsidRPr="003A49C8">
        <w:rPr>
          <w:rFonts w:cs="Times New Roman"/>
          <w:szCs w:val="24"/>
        </w:rPr>
        <w:t xml:space="preserve">in the form of </w:t>
      </w:r>
      <w:r w:rsidR="0027141B" w:rsidRPr="003A49C8">
        <w:rPr>
          <w:rFonts w:cs="Times New Roman"/>
          <w:szCs w:val="24"/>
        </w:rPr>
        <w:t xml:space="preserve">an </w:t>
      </w:r>
      <w:r w:rsidR="00D5322C" w:rsidRPr="003A49C8">
        <w:rPr>
          <w:rFonts w:cs="Times New Roman"/>
          <w:szCs w:val="24"/>
        </w:rPr>
        <w:t xml:space="preserve">ETF drop of </w:t>
      </w:r>
      <w:r w:rsidRPr="003A49C8">
        <w:rPr>
          <w:rFonts w:cs="Times New Roman"/>
          <w:szCs w:val="24"/>
        </w:rPr>
        <w:t xml:space="preserve">25% or 50%. </w:t>
      </w:r>
      <w:r w:rsidR="007C450F" w:rsidRPr="003A49C8">
        <w:rPr>
          <w:rFonts w:cs="Times New Roman"/>
          <w:szCs w:val="24"/>
        </w:rPr>
        <w:t xml:space="preserve">The </w:t>
      </w:r>
      <w:r w:rsidRPr="003A49C8">
        <w:rPr>
          <w:rFonts w:cs="Times New Roman"/>
          <w:szCs w:val="24"/>
        </w:rPr>
        <w:t xml:space="preserve">global financial crisis and </w:t>
      </w:r>
      <w:r w:rsidR="0027141B" w:rsidRPr="003A49C8">
        <w:rPr>
          <w:rFonts w:cs="Times New Roman"/>
          <w:szCs w:val="24"/>
        </w:rPr>
        <w:t xml:space="preserve">the </w:t>
      </w:r>
      <w:r w:rsidRPr="003A49C8">
        <w:rPr>
          <w:rFonts w:cs="Times New Roman"/>
          <w:szCs w:val="24"/>
        </w:rPr>
        <w:t>COVID-19 crisis</w:t>
      </w:r>
      <w:r w:rsidR="007C450F" w:rsidRPr="003A49C8">
        <w:rPr>
          <w:rFonts w:cs="Times New Roman"/>
          <w:szCs w:val="24"/>
        </w:rPr>
        <w:t xml:space="preserve"> are examples of such shocks</w:t>
      </w:r>
      <w:r w:rsidRPr="003A49C8">
        <w:rPr>
          <w:rFonts w:cs="Times New Roman"/>
          <w:szCs w:val="24"/>
        </w:rPr>
        <w:t xml:space="preserve">. </w:t>
      </w:r>
      <w:r w:rsidR="00C95667" w:rsidRPr="003A49C8">
        <w:rPr>
          <w:rFonts w:cs="Times New Roman"/>
          <w:szCs w:val="24"/>
        </w:rPr>
        <w:t>Second, f</w:t>
      </w:r>
      <w:r w:rsidRPr="003A49C8">
        <w:rPr>
          <w:rFonts w:cs="Times New Roman"/>
          <w:szCs w:val="24"/>
        </w:rPr>
        <w:t>or extreme systemic risk</w:t>
      </w:r>
      <w:r w:rsidR="006B163F" w:rsidRPr="003A49C8">
        <w:rPr>
          <w:rFonts w:cs="Times New Roman"/>
          <w:szCs w:val="24"/>
        </w:rPr>
        <w:t xml:space="preserve"> (tail-β)</w:t>
      </w:r>
      <w:r w:rsidRPr="003A49C8">
        <w:rPr>
          <w:rFonts w:cs="Times New Roman"/>
          <w:szCs w:val="24"/>
        </w:rPr>
        <w:t xml:space="preserve">, we find that </w:t>
      </w:r>
      <w:r w:rsidR="00762391" w:rsidRPr="003A49C8">
        <w:rPr>
          <w:rFonts w:cs="Times New Roman"/>
          <w:szCs w:val="24"/>
        </w:rPr>
        <w:t>the ESG</w:t>
      </w:r>
      <w:r w:rsidR="00A3567E" w:rsidRPr="003A49C8">
        <w:rPr>
          <w:rFonts w:cs="Times New Roman"/>
          <w:szCs w:val="24"/>
        </w:rPr>
        <w:t xml:space="preserve"> sector</w:t>
      </w:r>
      <w:r w:rsidR="00762391" w:rsidRPr="003A49C8">
        <w:rPr>
          <w:rFonts w:cs="Times New Roman"/>
          <w:szCs w:val="24"/>
        </w:rPr>
        <w:t xml:space="preserve"> </w:t>
      </w:r>
      <w:r w:rsidR="00A3567E" w:rsidRPr="003A49C8">
        <w:rPr>
          <w:rFonts w:cs="Times New Roman"/>
          <w:szCs w:val="24"/>
        </w:rPr>
        <w:t xml:space="preserve">is </w:t>
      </w:r>
      <w:r w:rsidR="00762391" w:rsidRPr="003A49C8">
        <w:rPr>
          <w:rFonts w:cs="Times New Roman"/>
          <w:szCs w:val="24"/>
        </w:rPr>
        <w:t xml:space="preserve">most exposed to all 10 shocks while the shock that originates </w:t>
      </w:r>
      <w:r w:rsidR="00762391" w:rsidRPr="003A49C8">
        <w:rPr>
          <w:rFonts w:cs="Times New Roman"/>
          <w:szCs w:val="24"/>
        </w:rPr>
        <w:lastRenderedPageBreak/>
        <w:t>from Chin</w:t>
      </w:r>
      <w:r w:rsidR="00C74298" w:rsidRPr="003A49C8">
        <w:rPr>
          <w:rFonts w:cs="Times New Roman"/>
          <w:szCs w:val="24"/>
        </w:rPr>
        <w:t>a</w:t>
      </w:r>
      <w:r w:rsidR="00A3567E" w:rsidRPr="003A49C8">
        <w:rPr>
          <w:rFonts w:cs="Times New Roman"/>
          <w:szCs w:val="24"/>
        </w:rPr>
        <w:t xml:space="preserve"> </w:t>
      </w:r>
      <w:r w:rsidR="00762391" w:rsidRPr="003A49C8">
        <w:rPr>
          <w:rFonts w:cs="Times New Roman"/>
          <w:szCs w:val="24"/>
        </w:rPr>
        <w:t>presents the highest risk.</w:t>
      </w:r>
      <w:r w:rsidRPr="003A49C8">
        <w:rPr>
          <w:rFonts w:cs="Times New Roman"/>
          <w:szCs w:val="24"/>
        </w:rPr>
        <w:t xml:space="preserve"> The healthcare and financial </w:t>
      </w:r>
      <w:r w:rsidR="00A3567E" w:rsidRPr="003A49C8">
        <w:rPr>
          <w:rFonts w:cs="Times New Roman"/>
          <w:szCs w:val="24"/>
        </w:rPr>
        <w:t>sectors</w:t>
      </w:r>
      <w:r w:rsidR="007C450F" w:rsidRPr="003A49C8">
        <w:rPr>
          <w:rFonts w:cs="Times New Roman"/>
          <w:szCs w:val="24"/>
        </w:rPr>
        <w:t xml:space="preserve"> </w:t>
      </w:r>
      <w:r w:rsidRPr="003A49C8">
        <w:rPr>
          <w:rFonts w:cs="Times New Roman"/>
          <w:szCs w:val="24"/>
        </w:rPr>
        <w:t>exhibit similar risk</w:t>
      </w:r>
      <w:r w:rsidR="0027141B" w:rsidRPr="003A49C8">
        <w:rPr>
          <w:rFonts w:cs="Times New Roman"/>
          <w:szCs w:val="24"/>
        </w:rPr>
        <w:t>s</w:t>
      </w:r>
      <w:r w:rsidRPr="003A49C8">
        <w:rPr>
          <w:rFonts w:cs="Times New Roman"/>
          <w:szCs w:val="24"/>
        </w:rPr>
        <w:t xml:space="preserve"> for all </w:t>
      </w:r>
      <w:r w:rsidR="00D269A3" w:rsidRPr="003A49C8">
        <w:rPr>
          <w:rFonts w:cs="Times New Roman"/>
          <w:szCs w:val="24"/>
        </w:rPr>
        <w:t>s</w:t>
      </w:r>
      <w:r w:rsidR="006B163F" w:rsidRPr="003A49C8">
        <w:rPr>
          <w:rFonts w:cs="Times New Roman"/>
          <w:szCs w:val="24"/>
        </w:rPr>
        <w:t xml:space="preserve">hocks </w:t>
      </w:r>
      <w:r w:rsidRPr="003A49C8">
        <w:rPr>
          <w:rFonts w:cs="Times New Roman"/>
          <w:szCs w:val="24"/>
        </w:rPr>
        <w:t>for traditional energy and green energy</w:t>
      </w:r>
      <w:r w:rsidR="00E33D45" w:rsidRPr="003A49C8">
        <w:rPr>
          <w:rFonts w:cs="Times New Roman"/>
          <w:szCs w:val="24"/>
        </w:rPr>
        <w:t xml:space="preserve">. This shows that both </w:t>
      </w:r>
      <w:r w:rsidR="0027141B" w:rsidRPr="003A49C8">
        <w:rPr>
          <w:rFonts w:cs="Times New Roman"/>
          <w:szCs w:val="24"/>
        </w:rPr>
        <w:t xml:space="preserve">the </w:t>
      </w:r>
      <w:r w:rsidR="00E33D45" w:rsidRPr="003A49C8">
        <w:rPr>
          <w:rFonts w:cs="Times New Roman"/>
          <w:szCs w:val="24"/>
        </w:rPr>
        <w:t>healthcare and financial</w:t>
      </w:r>
      <w:r w:rsidR="00A3567E" w:rsidRPr="003A49C8">
        <w:rPr>
          <w:rFonts w:cs="Times New Roman"/>
          <w:szCs w:val="24"/>
        </w:rPr>
        <w:t xml:space="preserve"> sectors</w:t>
      </w:r>
      <w:r w:rsidR="00E33D45" w:rsidRPr="003A49C8">
        <w:rPr>
          <w:rFonts w:cs="Times New Roman"/>
          <w:szCs w:val="24"/>
        </w:rPr>
        <w:t xml:space="preserve"> are sensitive to a shock from </w:t>
      </w:r>
      <w:r w:rsidR="0027141B" w:rsidRPr="003A49C8">
        <w:rPr>
          <w:rFonts w:cs="Times New Roman"/>
          <w:szCs w:val="24"/>
        </w:rPr>
        <w:t xml:space="preserve">the </w:t>
      </w:r>
      <w:r w:rsidR="00E33D45" w:rsidRPr="003A49C8">
        <w:rPr>
          <w:rFonts w:cs="Times New Roman"/>
          <w:szCs w:val="24"/>
        </w:rPr>
        <w:t xml:space="preserve">energy sectors and particularly from </w:t>
      </w:r>
      <w:r w:rsidR="0027141B" w:rsidRPr="003A49C8">
        <w:rPr>
          <w:rFonts w:cs="Times New Roman"/>
          <w:szCs w:val="24"/>
        </w:rPr>
        <w:t>the</w:t>
      </w:r>
      <w:r w:rsidR="00E33D45" w:rsidRPr="003A49C8">
        <w:rPr>
          <w:rFonts w:cs="Times New Roman"/>
          <w:szCs w:val="24"/>
        </w:rPr>
        <w:t xml:space="preserve"> green energy sector</w:t>
      </w:r>
      <w:r w:rsidR="00762391" w:rsidRPr="003A49C8">
        <w:rPr>
          <w:rFonts w:cs="Times New Roman"/>
          <w:szCs w:val="24"/>
        </w:rPr>
        <w:t>s</w:t>
      </w:r>
      <w:r w:rsidR="00E33D45" w:rsidRPr="003A49C8">
        <w:rPr>
          <w:rFonts w:cs="Times New Roman"/>
          <w:szCs w:val="24"/>
        </w:rPr>
        <w:t xml:space="preserve">. </w:t>
      </w:r>
      <w:r w:rsidR="00163DA9" w:rsidRPr="003A49C8">
        <w:rPr>
          <w:rFonts w:cs="Times New Roman"/>
          <w:szCs w:val="24"/>
        </w:rPr>
        <w:t xml:space="preserve">Finally, we find that ESG and healthcare </w:t>
      </w:r>
      <w:r w:rsidR="00A3567E" w:rsidRPr="003A49C8">
        <w:rPr>
          <w:rFonts w:cs="Times New Roman"/>
          <w:szCs w:val="24"/>
        </w:rPr>
        <w:t>sectors</w:t>
      </w:r>
      <w:r w:rsidR="00163DA9" w:rsidRPr="003A49C8">
        <w:rPr>
          <w:rFonts w:cs="Times New Roman"/>
          <w:szCs w:val="24"/>
        </w:rPr>
        <w:t xml:space="preserve"> have lower extreme spillover risk (contagion risk) compared to </w:t>
      </w:r>
      <w:r w:rsidR="00841BD7" w:rsidRPr="003A49C8">
        <w:rPr>
          <w:rFonts w:cs="Times New Roman"/>
          <w:szCs w:val="24"/>
        </w:rPr>
        <w:t xml:space="preserve">the </w:t>
      </w:r>
      <w:r w:rsidR="00163DA9" w:rsidRPr="003A49C8">
        <w:rPr>
          <w:rFonts w:cs="Times New Roman"/>
          <w:szCs w:val="24"/>
        </w:rPr>
        <w:t xml:space="preserve">financial </w:t>
      </w:r>
      <w:r w:rsidR="00A3567E" w:rsidRPr="003A49C8">
        <w:rPr>
          <w:rFonts w:cs="Times New Roman"/>
          <w:szCs w:val="24"/>
        </w:rPr>
        <w:t>sectors</w:t>
      </w:r>
      <w:r w:rsidR="00163DA9" w:rsidRPr="003A49C8">
        <w:rPr>
          <w:rFonts w:cs="Times New Roman"/>
          <w:szCs w:val="24"/>
        </w:rPr>
        <w:t xml:space="preserve">. We use the </w:t>
      </w:r>
      <w:r w:rsidR="00AF7D9F" w:rsidRPr="003A49C8">
        <w:rPr>
          <w:rFonts w:cs="Times New Roman"/>
          <w:szCs w:val="24"/>
        </w:rPr>
        <w:t xml:space="preserve">number of expected joint crashes and </w:t>
      </w:r>
      <w:r w:rsidR="00163DA9" w:rsidRPr="003A49C8">
        <w:rPr>
          <w:rFonts w:cs="Times New Roman"/>
          <w:szCs w:val="24"/>
        </w:rPr>
        <w:t xml:space="preserve">the </w:t>
      </w:r>
      <w:r w:rsidR="00AF7D9F" w:rsidRPr="003A49C8">
        <w:rPr>
          <w:rFonts w:cs="Times New Roman"/>
          <w:szCs w:val="24"/>
        </w:rPr>
        <w:t xml:space="preserve">probability of </w:t>
      </w:r>
      <w:r w:rsidR="0027141B" w:rsidRPr="003A49C8">
        <w:rPr>
          <w:rFonts w:cs="Times New Roman"/>
          <w:szCs w:val="24"/>
        </w:rPr>
        <w:t xml:space="preserve">a </w:t>
      </w:r>
      <w:r w:rsidR="00AF7D9F" w:rsidRPr="003A49C8">
        <w:rPr>
          <w:rFonts w:cs="Times New Roman"/>
          <w:szCs w:val="24"/>
        </w:rPr>
        <w:t xml:space="preserve">crash in the ETFs given there is a crash in </w:t>
      </w:r>
      <w:r w:rsidR="00163DA9" w:rsidRPr="003A49C8">
        <w:rPr>
          <w:rFonts w:cs="Times New Roman"/>
          <w:szCs w:val="24"/>
        </w:rPr>
        <w:t xml:space="preserve">one of the </w:t>
      </w:r>
      <w:r w:rsidR="00C95667" w:rsidRPr="003A49C8">
        <w:rPr>
          <w:rFonts w:cs="Times New Roman"/>
          <w:szCs w:val="24"/>
        </w:rPr>
        <w:t xml:space="preserve">other </w:t>
      </w:r>
      <w:r w:rsidR="00AF7D9F" w:rsidRPr="003A49C8">
        <w:rPr>
          <w:rFonts w:cs="Times New Roman"/>
          <w:szCs w:val="24"/>
        </w:rPr>
        <w:t>ETF</w:t>
      </w:r>
      <w:r w:rsidR="00163DA9" w:rsidRPr="003A49C8">
        <w:rPr>
          <w:rFonts w:cs="Times New Roman"/>
          <w:szCs w:val="24"/>
        </w:rPr>
        <w:t xml:space="preserve">s for extreme spillover risk. </w:t>
      </w:r>
      <w:r w:rsidR="00A407AA" w:rsidRPr="003A49C8">
        <w:rPr>
          <w:rFonts w:cs="Times New Roman"/>
          <w:szCs w:val="24"/>
        </w:rPr>
        <w:t xml:space="preserve">Our risk analyses provide </w:t>
      </w:r>
      <w:r w:rsidR="005928EF" w:rsidRPr="003A49C8">
        <w:rPr>
          <w:rFonts w:cs="Times New Roman"/>
          <w:szCs w:val="24"/>
        </w:rPr>
        <w:t xml:space="preserve">valuable </w:t>
      </w:r>
      <w:r w:rsidR="00A407AA" w:rsidRPr="003A49C8">
        <w:rPr>
          <w:rFonts w:cs="Times New Roman"/>
          <w:szCs w:val="24"/>
        </w:rPr>
        <w:t>insights for making sustainable economic,</w:t>
      </w:r>
      <w:r w:rsidR="00D269A3" w:rsidRPr="003A49C8">
        <w:rPr>
          <w:rFonts w:cs="Times New Roman"/>
          <w:szCs w:val="24"/>
        </w:rPr>
        <w:t xml:space="preserve"> health,</w:t>
      </w:r>
      <w:r w:rsidR="00A407AA" w:rsidRPr="003A49C8">
        <w:rPr>
          <w:rFonts w:cs="Times New Roman"/>
          <w:szCs w:val="24"/>
        </w:rPr>
        <w:t xml:space="preserve"> business</w:t>
      </w:r>
      <w:r w:rsidR="00762391" w:rsidRPr="003A49C8">
        <w:rPr>
          <w:rFonts w:cs="Times New Roman"/>
          <w:szCs w:val="24"/>
        </w:rPr>
        <w:t>,</w:t>
      </w:r>
      <w:r w:rsidR="00A407AA" w:rsidRPr="003A49C8">
        <w:rPr>
          <w:rFonts w:cs="Times New Roman"/>
          <w:szCs w:val="24"/>
        </w:rPr>
        <w:t xml:space="preserve"> and financial strategies as they </w:t>
      </w:r>
      <w:r w:rsidR="005928EF" w:rsidRPr="003A49C8">
        <w:rPr>
          <w:rFonts w:cs="Times New Roman"/>
          <w:szCs w:val="24"/>
        </w:rPr>
        <w:t xml:space="preserve">offer </w:t>
      </w:r>
      <w:r w:rsidR="00A407AA" w:rsidRPr="003A49C8">
        <w:rPr>
          <w:rFonts w:cs="Times New Roman"/>
          <w:szCs w:val="24"/>
        </w:rPr>
        <w:t xml:space="preserve">detailed </w:t>
      </w:r>
      <w:r w:rsidR="00D269A3" w:rsidRPr="003A49C8">
        <w:rPr>
          <w:rFonts w:cs="Times New Roman"/>
          <w:szCs w:val="24"/>
        </w:rPr>
        <w:t xml:space="preserve">risk </w:t>
      </w:r>
      <w:r w:rsidR="0099555D" w:rsidRPr="003A49C8">
        <w:rPr>
          <w:rFonts w:cs="Times New Roman"/>
          <w:szCs w:val="24"/>
        </w:rPr>
        <w:t xml:space="preserve">modelling and </w:t>
      </w:r>
      <w:r w:rsidR="00A407AA" w:rsidRPr="003A49C8">
        <w:rPr>
          <w:rFonts w:cs="Times New Roman"/>
          <w:szCs w:val="24"/>
        </w:rPr>
        <w:t>assessment o</w:t>
      </w:r>
      <w:r w:rsidR="0027141B" w:rsidRPr="003A49C8">
        <w:rPr>
          <w:rFonts w:cs="Times New Roman"/>
          <w:szCs w:val="24"/>
        </w:rPr>
        <w:t>f</w:t>
      </w:r>
      <w:r w:rsidR="00A407AA" w:rsidRPr="003A49C8">
        <w:rPr>
          <w:rFonts w:cs="Times New Roman"/>
          <w:szCs w:val="24"/>
        </w:rPr>
        <w:t xml:space="preserve"> </w:t>
      </w:r>
      <w:r w:rsidR="005928EF" w:rsidRPr="003A49C8">
        <w:rPr>
          <w:rFonts w:cs="Times New Roman"/>
          <w:szCs w:val="24"/>
        </w:rPr>
        <w:t xml:space="preserve">the risks associated with </w:t>
      </w:r>
      <w:r w:rsidR="00A407AA" w:rsidRPr="003A49C8">
        <w:rPr>
          <w:rFonts w:cs="Times New Roman"/>
          <w:szCs w:val="24"/>
        </w:rPr>
        <w:t xml:space="preserve">where ESG, healthcare and financial </w:t>
      </w:r>
      <w:r w:rsidR="00C95667" w:rsidRPr="003A49C8">
        <w:rPr>
          <w:rFonts w:cs="Times New Roman"/>
          <w:szCs w:val="24"/>
        </w:rPr>
        <w:t>sectors</w:t>
      </w:r>
      <w:r w:rsidR="00163DA9" w:rsidRPr="003A49C8">
        <w:rPr>
          <w:rFonts w:cs="Times New Roman"/>
          <w:szCs w:val="24"/>
        </w:rPr>
        <w:t xml:space="preserve">. </w:t>
      </w:r>
    </w:p>
    <w:bookmarkEnd w:id="3"/>
    <w:p w14:paraId="3E6EFC9A" w14:textId="47A401DB" w:rsidR="00F937EC" w:rsidRPr="003A49C8" w:rsidRDefault="00F937EC" w:rsidP="00E33705">
      <w:pPr>
        <w:ind w:firstLine="397"/>
        <w:rPr>
          <w:rFonts w:eastAsia="Times New Roman" w:cs="Times New Roman"/>
          <w:szCs w:val="24"/>
          <w:lang w:eastAsia="en-GB"/>
        </w:rPr>
      </w:pPr>
      <w:r w:rsidRPr="003A49C8">
        <w:rPr>
          <w:rFonts w:eastAsia="Times New Roman" w:cs="Times New Roman"/>
          <w:szCs w:val="24"/>
          <w:lang w:eastAsia="en-GB"/>
        </w:rPr>
        <w:t xml:space="preserve">The remainder of the paper is organized as follows. Section 2 </w:t>
      </w:r>
      <w:r w:rsidR="005928EF" w:rsidRPr="003A49C8">
        <w:rPr>
          <w:rFonts w:eastAsia="Times New Roman" w:cs="Times New Roman"/>
          <w:szCs w:val="24"/>
          <w:lang w:eastAsia="en-GB"/>
        </w:rPr>
        <w:t xml:space="preserve">provides </w:t>
      </w:r>
      <w:r w:rsidR="00795954" w:rsidRPr="003A49C8">
        <w:rPr>
          <w:rFonts w:eastAsia="Times New Roman" w:cs="Times New Roman"/>
          <w:szCs w:val="24"/>
          <w:lang w:eastAsia="en-GB"/>
        </w:rPr>
        <w:t xml:space="preserve">relevant </w:t>
      </w:r>
      <w:r w:rsidRPr="003A49C8">
        <w:rPr>
          <w:rFonts w:eastAsia="Times New Roman" w:cs="Times New Roman"/>
          <w:szCs w:val="24"/>
          <w:lang w:eastAsia="en-GB"/>
        </w:rPr>
        <w:t xml:space="preserve">literature </w:t>
      </w:r>
      <w:r w:rsidR="005928EF" w:rsidRPr="003A49C8">
        <w:rPr>
          <w:rFonts w:eastAsia="Times New Roman" w:cs="Times New Roman"/>
          <w:szCs w:val="24"/>
          <w:lang w:eastAsia="en-GB"/>
        </w:rPr>
        <w:t>reviews o</w:t>
      </w:r>
      <w:r w:rsidR="00795954" w:rsidRPr="003A49C8">
        <w:rPr>
          <w:rFonts w:eastAsia="Times New Roman" w:cs="Times New Roman"/>
          <w:szCs w:val="24"/>
          <w:lang w:eastAsia="en-GB"/>
        </w:rPr>
        <w:t>n</w:t>
      </w:r>
      <w:r w:rsidR="005928EF" w:rsidRPr="003A49C8">
        <w:rPr>
          <w:rFonts w:eastAsia="Times New Roman" w:cs="Times New Roman"/>
          <w:szCs w:val="24"/>
          <w:lang w:eastAsia="en-GB"/>
        </w:rPr>
        <w:t xml:space="preserve"> ESG, financial</w:t>
      </w:r>
      <w:r w:rsidR="00795954" w:rsidRPr="003A49C8">
        <w:rPr>
          <w:rFonts w:eastAsia="Times New Roman" w:cs="Times New Roman"/>
          <w:szCs w:val="24"/>
          <w:lang w:eastAsia="en-GB"/>
        </w:rPr>
        <w:t>,</w:t>
      </w:r>
      <w:r w:rsidR="005928EF" w:rsidRPr="003A49C8">
        <w:rPr>
          <w:rFonts w:eastAsia="Times New Roman" w:cs="Times New Roman"/>
          <w:szCs w:val="24"/>
          <w:lang w:eastAsia="en-GB"/>
        </w:rPr>
        <w:t xml:space="preserve"> and healthcare risk management</w:t>
      </w:r>
      <w:r w:rsidR="00795954" w:rsidRPr="003A49C8">
        <w:rPr>
          <w:rFonts w:eastAsia="Times New Roman" w:cs="Times New Roman"/>
          <w:szCs w:val="24"/>
          <w:lang w:eastAsia="en-GB"/>
        </w:rPr>
        <w:t>, as well as extreme value theory</w:t>
      </w:r>
      <w:r w:rsidRPr="003A49C8">
        <w:rPr>
          <w:rFonts w:eastAsia="Times New Roman" w:cs="Times New Roman"/>
          <w:szCs w:val="24"/>
          <w:lang w:eastAsia="en-GB"/>
        </w:rPr>
        <w:t>. Section 3</w:t>
      </w:r>
      <w:r w:rsidR="00D761AE" w:rsidRPr="003A49C8">
        <w:rPr>
          <w:rFonts w:eastAsia="Times New Roman" w:cs="Times New Roman"/>
          <w:szCs w:val="24"/>
          <w:lang w:eastAsia="en-GB"/>
        </w:rPr>
        <w:t xml:space="preserve"> presents</w:t>
      </w:r>
      <w:r w:rsidR="00E94D5D" w:rsidRPr="003A49C8">
        <w:rPr>
          <w:rFonts w:eastAsia="Times New Roman" w:cs="Times New Roman"/>
          <w:szCs w:val="24"/>
          <w:lang w:eastAsia="en-GB"/>
        </w:rPr>
        <w:t xml:space="preserve"> </w:t>
      </w:r>
      <w:r w:rsidR="0084390B" w:rsidRPr="003A49C8">
        <w:rPr>
          <w:rFonts w:eastAsia="Times New Roman" w:cs="Times New Roman"/>
          <w:szCs w:val="24"/>
          <w:lang w:eastAsia="en-GB"/>
        </w:rPr>
        <w:t>data and methodology.</w:t>
      </w:r>
      <w:r w:rsidRPr="003A49C8">
        <w:rPr>
          <w:rFonts w:eastAsia="Times New Roman" w:cs="Times New Roman"/>
          <w:szCs w:val="24"/>
          <w:lang w:eastAsia="en-GB"/>
        </w:rPr>
        <w:t xml:space="preserve"> Section 4 </w:t>
      </w:r>
      <w:r w:rsidR="00D761AE" w:rsidRPr="003A49C8">
        <w:rPr>
          <w:rFonts w:eastAsia="Times New Roman" w:cs="Times New Roman"/>
          <w:szCs w:val="24"/>
          <w:lang w:eastAsia="en-GB"/>
        </w:rPr>
        <w:t xml:space="preserve">reports </w:t>
      </w:r>
      <w:r w:rsidR="0084390B" w:rsidRPr="003A49C8">
        <w:rPr>
          <w:rFonts w:eastAsia="Times New Roman" w:cs="Times New Roman"/>
          <w:szCs w:val="24"/>
          <w:lang w:eastAsia="en-GB"/>
        </w:rPr>
        <w:t>empirical findings and discussions</w:t>
      </w:r>
      <w:r w:rsidRPr="003A49C8">
        <w:rPr>
          <w:rFonts w:eastAsia="Times New Roman" w:cs="Times New Roman"/>
          <w:szCs w:val="24"/>
          <w:lang w:eastAsia="en-GB"/>
        </w:rPr>
        <w:t>. Section</w:t>
      </w:r>
      <w:r w:rsidR="00795954" w:rsidRPr="003A49C8">
        <w:rPr>
          <w:rFonts w:eastAsia="Times New Roman" w:cs="Times New Roman"/>
          <w:szCs w:val="24"/>
          <w:lang w:eastAsia="en-GB"/>
        </w:rPr>
        <w:t xml:space="preserve"> 5</w:t>
      </w:r>
      <w:r w:rsidRPr="003A49C8">
        <w:rPr>
          <w:rFonts w:eastAsia="Times New Roman" w:cs="Times New Roman"/>
          <w:szCs w:val="24"/>
          <w:lang w:eastAsia="en-GB"/>
        </w:rPr>
        <w:t xml:space="preserve"> provides the main conclusion and policy implications. </w:t>
      </w:r>
    </w:p>
    <w:p w14:paraId="0CA98E64" w14:textId="38690088" w:rsidR="00666ED2" w:rsidRPr="003A49C8" w:rsidRDefault="00E33705" w:rsidP="00E33705">
      <w:pPr>
        <w:pStyle w:val="Heading1"/>
      </w:pPr>
      <w:r w:rsidRPr="003A49C8">
        <w:t xml:space="preserve">2. </w:t>
      </w:r>
      <w:r w:rsidR="006263B4" w:rsidRPr="003A49C8">
        <w:t>Literature Review</w:t>
      </w:r>
    </w:p>
    <w:p w14:paraId="6F489408" w14:textId="35796A7E" w:rsidR="009C5B12" w:rsidRPr="003A49C8" w:rsidRDefault="00320DC8" w:rsidP="00E33705">
      <w:pPr>
        <w:pStyle w:val="Heading2"/>
        <w:rPr>
          <w:i w:val="0"/>
        </w:rPr>
      </w:pPr>
      <w:r w:rsidRPr="003A49C8">
        <w:t xml:space="preserve">2.1 </w:t>
      </w:r>
      <w:r w:rsidR="00BC0309" w:rsidRPr="003A49C8">
        <w:t>Risk</w:t>
      </w:r>
      <w:r w:rsidR="009C5B12" w:rsidRPr="003A49C8">
        <w:t xml:space="preserve"> to Environmental Activities</w:t>
      </w:r>
    </w:p>
    <w:p w14:paraId="0D33844F" w14:textId="2B2ACC7C" w:rsidR="009C5B12" w:rsidRPr="003A49C8" w:rsidRDefault="009C5B12" w:rsidP="005D161F">
      <w:pPr>
        <w:rPr>
          <w:rFonts w:cs="Times New Roman"/>
          <w:szCs w:val="24"/>
        </w:rPr>
      </w:pPr>
      <w:r w:rsidRPr="003A49C8">
        <w:rPr>
          <w:rFonts w:cs="Times New Roman"/>
          <w:szCs w:val="24"/>
        </w:rPr>
        <w:t xml:space="preserve">Recognizing the dynamics of environmental activities as they are perceived by businesses is crucial because it enables management to better construct the company's environmental </w:t>
      </w:r>
      <w:r w:rsidR="00443077" w:rsidRPr="003A49C8">
        <w:rPr>
          <w:rFonts w:cs="Times New Roman"/>
          <w:szCs w:val="24"/>
        </w:rPr>
        <w:t xml:space="preserve">risk </w:t>
      </w:r>
      <w:r w:rsidRPr="003A49C8">
        <w:rPr>
          <w:rFonts w:cs="Times New Roman"/>
          <w:szCs w:val="24"/>
        </w:rPr>
        <w:t xml:space="preserve">management strategy (Kirkland </w:t>
      </w:r>
      <w:r w:rsidR="008C0623">
        <w:rPr>
          <w:rFonts w:cs="Times New Roman"/>
          <w:szCs w:val="24"/>
        </w:rPr>
        <w:t>&amp;</w:t>
      </w:r>
      <w:r w:rsidRPr="003A49C8">
        <w:rPr>
          <w:rFonts w:cs="Times New Roman"/>
          <w:szCs w:val="24"/>
        </w:rPr>
        <w:t xml:space="preserve"> Thompson 1999). Numerous environmental activities are </w:t>
      </w:r>
      <w:r w:rsidR="00291F18" w:rsidRPr="003A49C8">
        <w:rPr>
          <w:rFonts w:cs="Times New Roman"/>
          <w:szCs w:val="24"/>
        </w:rPr>
        <w:t>documented</w:t>
      </w:r>
      <w:r w:rsidRPr="003A49C8">
        <w:rPr>
          <w:rFonts w:cs="Times New Roman"/>
          <w:szCs w:val="24"/>
        </w:rPr>
        <w:t xml:space="preserve"> in existing studies</w:t>
      </w:r>
      <w:r w:rsidR="00443077" w:rsidRPr="003A49C8">
        <w:rPr>
          <w:rFonts w:cs="Times New Roman"/>
          <w:szCs w:val="24"/>
        </w:rPr>
        <w:t>, though the risks to them are rarely analysed</w:t>
      </w:r>
      <w:r w:rsidRPr="003A49C8">
        <w:rPr>
          <w:rFonts w:cs="Times New Roman"/>
          <w:szCs w:val="24"/>
        </w:rPr>
        <w:t>. For instance, few studies demonstrate the integration of corporate social responsibility into environmental activities</w:t>
      </w:r>
      <w:r w:rsidR="008F01CF" w:rsidRPr="003A49C8">
        <w:rPr>
          <w:rFonts w:cs="Times New Roman"/>
          <w:szCs w:val="24"/>
        </w:rPr>
        <w:t xml:space="preserve"> (</w:t>
      </w:r>
      <w:proofErr w:type="spellStart"/>
      <w:r w:rsidR="008F01CF" w:rsidRPr="003A49C8">
        <w:rPr>
          <w:rFonts w:cs="Times New Roman"/>
          <w:szCs w:val="24"/>
        </w:rPr>
        <w:t>Hainmueller</w:t>
      </w:r>
      <w:proofErr w:type="spellEnd"/>
      <w:r w:rsidR="008F01CF" w:rsidRPr="003A49C8">
        <w:rPr>
          <w:rFonts w:cs="Times New Roman"/>
          <w:szCs w:val="24"/>
        </w:rPr>
        <w:t xml:space="preserve"> </w:t>
      </w:r>
      <w:r w:rsidR="008C0623">
        <w:rPr>
          <w:rFonts w:cs="Times New Roman"/>
          <w:szCs w:val="24"/>
        </w:rPr>
        <w:t>&amp;</w:t>
      </w:r>
      <w:r w:rsidR="008F01CF" w:rsidRPr="003A49C8">
        <w:rPr>
          <w:rFonts w:cs="Times New Roman"/>
          <w:szCs w:val="24"/>
        </w:rPr>
        <w:t xml:space="preserve"> </w:t>
      </w:r>
      <w:proofErr w:type="spellStart"/>
      <w:r w:rsidR="008F01CF" w:rsidRPr="003A49C8">
        <w:rPr>
          <w:rFonts w:cs="Times New Roman"/>
          <w:szCs w:val="24"/>
        </w:rPr>
        <w:t>Hiscox</w:t>
      </w:r>
      <w:proofErr w:type="spellEnd"/>
      <w:r w:rsidR="008F01CF" w:rsidRPr="003A49C8">
        <w:rPr>
          <w:rFonts w:cs="Times New Roman"/>
          <w:szCs w:val="24"/>
        </w:rPr>
        <w:t>, 2015)</w:t>
      </w:r>
      <w:r w:rsidRPr="003A49C8">
        <w:rPr>
          <w:rFonts w:cs="Times New Roman"/>
          <w:szCs w:val="24"/>
        </w:rPr>
        <w:t>, compliance with environmental regulations</w:t>
      </w:r>
      <w:r w:rsidR="008F01CF" w:rsidRPr="003A49C8">
        <w:rPr>
          <w:rFonts w:cs="Times New Roman"/>
          <w:szCs w:val="24"/>
        </w:rPr>
        <w:t xml:space="preserve"> (Barber et al., 2019; </w:t>
      </w:r>
      <w:proofErr w:type="spellStart"/>
      <w:r w:rsidR="008F01CF" w:rsidRPr="003A49C8">
        <w:rPr>
          <w:rFonts w:cs="Times New Roman"/>
          <w:szCs w:val="24"/>
        </w:rPr>
        <w:t>Cumperayot</w:t>
      </w:r>
      <w:proofErr w:type="spellEnd"/>
      <w:r w:rsidR="008F01CF" w:rsidRPr="003A49C8">
        <w:rPr>
          <w:rFonts w:cs="Times New Roman"/>
          <w:szCs w:val="24"/>
        </w:rPr>
        <w:t xml:space="preserve"> et al., 2000)</w:t>
      </w:r>
      <w:r w:rsidRPr="003A49C8">
        <w:rPr>
          <w:rFonts w:cs="Times New Roman"/>
          <w:szCs w:val="24"/>
        </w:rPr>
        <w:t>, effective cost-cutting measures</w:t>
      </w:r>
      <w:r w:rsidR="008F01CF" w:rsidRPr="003A49C8">
        <w:rPr>
          <w:rFonts w:cs="Times New Roman"/>
          <w:szCs w:val="24"/>
        </w:rPr>
        <w:t xml:space="preserve"> (Albarrak et al., 2019)</w:t>
      </w:r>
      <w:r w:rsidRPr="003A49C8">
        <w:rPr>
          <w:rFonts w:cs="Times New Roman"/>
          <w:szCs w:val="24"/>
        </w:rPr>
        <w:t>, gaining a distinct competitive advantage over rivals</w:t>
      </w:r>
      <w:r w:rsidR="008F01CF" w:rsidRPr="003A49C8">
        <w:rPr>
          <w:rFonts w:cs="Times New Roman"/>
          <w:szCs w:val="24"/>
        </w:rPr>
        <w:t xml:space="preserve"> (</w:t>
      </w:r>
      <w:bookmarkStart w:id="7" w:name="_Hlk139359260"/>
      <w:proofErr w:type="spellStart"/>
      <w:r w:rsidR="008F01CF" w:rsidRPr="003A49C8">
        <w:rPr>
          <w:rFonts w:cs="Times New Roman"/>
          <w:szCs w:val="24"/>
        </w:rPr>
        <w:t>Lábaj</w:t>
      </w:r>
      <w:bookmarkEnd w:id="7"/>
      <w:proofErr w:type="spellEnd"/>
      <w:r w:rsidR="008F01CF" w:rsidRPr="003A49C8">
        <w:rPr>
          <w:rFonts w:cs="Times New Roman"/>
          <w:szCs w:val="24"/>
        </w:rPr>
        <w:t xml:space="preserve"> et al., 2018)</w:t>
      </w:r>
      <w:r w:rsidRPr="003A49C8">
        <w:rPr>
          <w:rFonts w:cs="Times New Roman"/>
          <w:szCs w:val="24"/>
        </w:rPr>
        <w:t xml:space="preserve">, improving brand image, forming connections with indigenous groups, </w:t>
      </w:r>
      <w:r w:rsidR="003E20BE" w:rsidRPr="003A49C8">
        <w:rPr>
          <w:rFonts w:cs="Times New Roman"/>
          <w:szCs w:val="24"/>
        </w:rPr>
        <w:t xml:space="preserve">increasing the effectiveness of </w:t>
      </w:r>
      <w:r w:rsidRPr="003A49C8">
        <w:rPr>
          <w:rFonts w:cs="Times New Roman"/>
          <w:szCs w:val="24"/>
        </w:rPr>
        <w:t xml:space="preserve">insurance </w:t>
      </w:r>
      <w:r w:rsidR="003E20BE" w:rsidRPr="003A49C8">
        <w:rPr>
          <w:rFonts w:cs="Times New Roman"/>
          <w:szCs w:val="24"/>
        </w:rPr>
        <w:t>policies</w:t>
      </w:r>
      <w:r w:rsidR="008F01CF" w:rsidRPr="003A49C8">
        <w:rPr>
          <w:rFonts w:cs="Times New Roman"/>
          <w:szCs w:val="24"/>
        </w:rPr>
        <w:t xml:space="preserve"> (Liu, 2013)</w:t>
      </w:r>
      <w:r w:rsidRPr="003A49C8">
        <w:rPr>
          <w:rFonts w:cs="Times New Roman"/>
          <w:szCs w:val="24"/>
        </w:rPr>
        <w:t>, providing access to loans, and ethical motivations</w:t>
      </w:r>
      <w:r w:rsidR="008F01CF" w:rsidRPr="003A49C8">
        <w:rPr>
          <w:rFonts w:cs="Times New Roman"/>
          <w:szCs w:val="24"/>
        </w:rPr>
        <w:t xml:space="preserve"> (</w:t>
      </w:r>
      <w:proofErr w:type="spellStart"/>
      <w:r w:rsidR="008F01CF" w:rsidRPr="003A49C8">
        <w:rPr>
          <w:rFonts w:cs="Times New Roman"/>
          <w:szCs w:val="24"/>
        </w:rPr>
        <w:t>Popesko</w:t>
      </w:r>
      <w:proofErr w:type="spellEnd"/>
      <w:r w:rsidR="008F01CF" w:rsidRPr="003A49C8">
        <w:rPr>
          <w:rFonts w:cs="Times New Roman"/>
          <w:szCs w:val="24"/>
        </w:rPr>
        <w:t xml:space="preserve"> et al., 2015)</w:t>
      </w:r>
      <w:r w:rsidRPr="003A49C8">
        <w:rPr>
          <w:rFonts w:cs="Times New Roman"/>
          <w:szCs w:val="24"/>
        </w:rPr>
        <w:t>. However, some of these environmental activities are more influenced by corporate enterprises than others, and it is feasible tha</w:t>
      </w:r>
      <w:r w:rsidR="00291F18" w:rsidRPr="003A49C8">
        <w:rPr>
          <w:rFonts w:cs="Times New Roman"/>
          <w:szCs w:val="24"/>
        </w:rPr>
        <w:t xml:space="preserve">t the same environmental actions and associated risks </w:t>
      </w:r>
      <w:r w:rsidRPr="003A49C8">
        <w:rPr>
          <w:rFonts w:cs="Times New Roman"/>
          <w:szCs w:val="24"/>
        </w:rPr>
        <w:t>will have s</w:t>
      </w:r>
      <w:r w:rsidR="00B75B6E" w:rsidRPr="003A49C8">
        <w:rPr>
          <w:rFonts w:cs="Times New Roman"/>
          <w:szCs w:val="24"/>
        </w:rPr>
        <w:t>imilar</w:t>
      </w:r>
      <w:r w:rsidRPr="003A49C8">
        <w:rPr>
          <w:rFonts w:cs="Times New Roman"/>
          <w:szCs w:val="24"/>
        </w:rPr>
        <w:t xml:space="preserve"> relevance in various circumstances. </w:t>
      </w:r>
      <w:r w:rsidR="00291F18" w:rsidRPr="003A49C8">
        <w:rPr>
          <w:rFonts w:cs="Times New Roman"/>
          <w:szCs w:val="24"/>
        </w:rPr>
        <w:t>Furthermore</w:t>
      </w:r>
      <w:r w:rsidRPr="003A49C8">
        <w:rPr>
          <w:rFonts w:cs="Times New Roman"/>
          <w:szCs w:val="24"/>
        </w:rPr>
        <w:t>, there are numerous studies</w:t>
      </w:r>
      <w:r w:rsidR="008F01CF" w:rsidRPr="003A49C8">
        <w:rPr>
          <w:rFonts w:cs="Times New Roman"/>
          <w:szCs w:val="24"/>
        </w:rPr>
        <w:t xml:space="preserve"> (e.g., Bui et al., 2019;</w:t>
      </w:r>
      <w:r w:rsidR="006E0D88" w:rsidRPr="003A49C8">
        <w:t xml:space="preserve"> </w:t>
      </w:r>
      <w:proofErr w:type="spellStart"/>
      <w:r w:rsidR="006E0D88" w:rsidRPr="003A49C8">
        <w:rPr>
          <w:rFonts w:cs="Times New Roman"/>
          <w:szCs w:val="24"/>
        </w:rPr>
        <w:t>Czerwińska</w:t>
      </w:r>
      <w:proofErr w:type="spellEnd"/>
      <w:r w:rsidR="006E0D88" w:rsidRPr="003A49C8">
        <w:rPr>
          <w:rFonts w:cs="Times New Roman"/>
          <w:szCs w:val="24"/>
        </w:rPr>
        <w:t xml:space="preserve"> </w:t>
      </w:r>
      <w:r w:rsidR="008C0623">
        <w:rPr>
          <w:rFonts w:cs="Times New Roman"/>
          <w:szCs w:val="24"/>
        </w:rPr>
        <w:t>&amp;</w:t>
      </w:r>
      <w:r w:rsidR="006E0D88" w:rsidRPr="003A49C8">
        <w:rPr>
          <w:rFonts w:cs="Times New Roman"/>
          <w:szCs w:val="24"/>
        </w:rPr>
        <w:t xml:space="preserve"> </w:t>
      </w:r>
      <w:proofErr w:type="spellStart"/>
      <w:r w:rsidR="006E0D88" w:rsidRPr="003A49C8">
        <w:rPr>
          <w:rFonts w:cs="Times New Roman"/>
          <w:szCs w:val="24"/>
        </w:rPr>
        <w:t>Kaźmierkiewicz</w:t>
      </w:r>
      <w:proofErr w:type="spellEnd"/>
      <w:r w:rsidR="006E0D88" w:rsidRPr="003A49C8">
        <w:rPr>
          <w:rFonts w:cs="Times New Roman"/>
          <w:szCs w:val="24"/>
        </w:rPr>
        <w:t>, 2015;</w:t>
      </w:r>
      <w:r w:rsidR="008F01CF" w:rsidRPr="003A49C8">
        <w:rPr>
          <w:rFonts w:cs="Times New Roman"/>
          <w:szCs w:val="24"/>
        </w:rPr>
        <w:t xml:space="preserve"> Gil </w:t>
      </w:r>
      <w:r w:rsidR="008C0623">
        <w:rPr>
          <w:rFonts w:cs="Times New Roman"/>
          <w:szCs w:val="24"/>
        </w:rPr>
        <w:t>&amp;</w:t>
      </w:r>
      <w:r w:rsidR="008F01CF" w:rsidRPr="003A49C8">
        <w:rPr>
          <w:rFonts w:cs="Times New Roman"/>
          <w:szCs w:val="24"/>
        </w:rPr>
        <w:t xml:space="preserve"> Bernardo, 2020</w:t>
      </w:r>
      <w:r w:rsidR="006E0D88" w:rsidRPr="003A49C8">
        <w:rPr>
          <w:rFonts w:cs="Times New Roman"/>
          <w:szCs w:val="24"/>
        </w:rPr>
        <w:t xml:space="preserve">; </w:t>
      </w:r>
      <w:proofErr w:type="spellStart"/>
      <w:r w:rsidR="006E0D88" w:rsidRPr="003A49C8">
        <w:rPr>
          <w:rFonts w:cs="Times New Roman"/>
          <w:szCs w:val="24"/>
        </w:rPr>
        <w:t>Renn</w:t>
      </w:r>
      <w:proofErr w:type="spellEnd"/>
      <w:r w:rsidR="006E0D88" w:rsidRPr="003A49C8">
        <w:rPr>
          <w:rFonts w:cs="Times New Roman"/>
          <w:szCs w:val="24"/>
        </w:rPr>
        <w:t xml:space="preserve"> et al., 2022</w:t>
      </w:r>
      <w:r w:rsidR="008F01CF" w:rsidRPr="003A49C8">
        <w:rPr>
          <w:rFonts w:cs="Times New Roman"/>
          <w:szCs w:val="24"/>
        </w:rPr>
        <w:t>)</w:t>
      </w:r>
      <w:r w:rsidRPr="003A49C8">
        <w:rPr>
          <w:rFonts w:cs="Times New Roman"/>
          <w:szCs w:val="24"/>
        </w:rPr>
        <w:t xml:space="preserve"> in the literature </w:t>
      </w:r>
      <w:r w:rsidR="00EB5C1D" w:rsidRPr="003A49C8">
        <w:rPr>
          <w:rFonts w:cs="Times New Roman"/>
          <w:szCs w:val="24"/>
        </w:rPr>
        <w:t xml:space="preserve">that </w:t>
      </w:r>
      <w:r w:rsidRPr="003A49C8">
        <w:rPr>
          <w:rFonts w:cs="Times New Roman"/>
          <w:szCs w:val="24"/>
        </w:rPr>
        <w:t>focu</w:t>
      </w:r>
      <w:r w:rsidR="00841BD7" w:rsidRPr="003A49C8">
        <w:rPr>
          <w:rFonts w:cs="Times New Roman"/>
          <w:szCs w:val="24"/>
        </w:rPr>
        <w:t>se</w:t>
      </w:r>
      <w:r w:rsidRPr="003A49C8">
        <w:rPr>
          <w:rFonts w:cs="Times New Roman"/>
          <w:szCs w:val="24"/>
        </w:rPr>
        <w:t>s on environmental activities</w:t>
      </w:r>
      <w:r w:rsidR="00291F18" w:rsidRPr="003A49C8">
        <w:rPr>
          <w:rFonts w:cs="Times New Roman"/>
          <w:szCs w:val="24"/>
        </w:rPr>
        <w:t xml:space="preserve"> and risks</w:t>
      </w:r>
      <w:r w:rsidRPr="003A49C8">
        <w:rPr>
          <w:rFonts w:cs="Times New Roman"/>
          <w:szCs w:val="24"/>
        </w:rPr>
        <w:t xml:space="preserve"> corporate firms </w:t>
      </w:r>
      <w:r w:rsidR="00291F18" w:rsidRPr="003A49C8">
        <w:rPr>
          <w:rFonts w:cs="Times New Roman"/>
          <w:szCs w:val="24"/>
        </w:rPr>
        <w:t xml:space="preserve">face </w:t>
      </w:r>
      <w:r w:rsidRPr="003A49C8">
        <w:rPr>
          <w:rFonts w:cs="Times New Roman"/>
          <w:szCs w:val="24"/>
        </w:rPr>
        <w:t>that are based on environmental regulation</w:t>
      </w:r>
      <w:r w:rsidR="003E20BE" w:rsidRPr="003A49C8">
        <w:rPr>
          <w:rFonts w:cs="Times New Roman"/>
          <w:szCs w:val="24"/>
        </w:rPr>
        <w:t>. On</w:t>
      </w:r>
      <w:r w:rsidRPr="003A49C8">
        <w:rPr>
          <w:rFonts w:cs="Times New Roman"/>
          <w:szCs w:val="24"/>
        </w:rPr>
        <w:t xml:space="preserve"> the other hand, corporate firms hardly ever mention </w:t>
      </w:r>
      <w:r w:rsidRPr="003A49C8">
        <w:rPr>
          <w:rFonts w:cs="Times New Roman"/>
          <w:szCs w:val="24"/>
        </w:rPr>
        <w:lastRenderedPageBreak/>
        <w:t>ethical considerations and upholding international agreements</w:t>
      </w:r>
      <w:r w:rsidR="00291F18" w:rsidRPr="003A49C8">
        <w:rPr>
          <w:rFonts w:cs="Times New Roman"/>
          <w:szCs w:val="24"/>
        </w:rPr>
        <w:t xml:space="preserve"> when it comes to environmental risks</w:t>
      </w:r>
      <w:r w:rsidRPr="003A49C8">
        <w:rPr>
          <w:rFonts w:cs="Times New Roman"/>
          <w:szCs w:val="24"/>
        </w:rPr>
        <w:t>.</w:t>
      </w:r>
    </w:p>
    <w:p w14:paraId="204DE81C" w14:textId="5184A5CA" w:rsidR="001606C0" w:rsidRPr="003A49C8" w:rsidRDefault="001606C0" w:rsidP="001606C0">
      <w:pPr>
        <w:ind w:firstLine="720"/>
        <w:rPr>
          <w:rFonts w:cs="Times New Roman"/>
          <w:shd w:val="clear" w:color="auto" w:fill="FFFFFF"/>
        </w:rPr>
      </w:pPr>
      <w:r w:rsidRPr="003A49C8">
        <w:rPr>
          <w:rFonts w:cs="Times New Roman"/>
          <w:shd w:val="clear" w:color="auto" w:fill="FFFFFF"/>
        </w:rPr>
        <w:t>Moreover, two major issues the world is currently confronting are climate change and ecological degradation. The average surface temperature of the planet could increase by more than 1.5°C above pre-industrial levels in the coming decades, the Intergovernmental Panel on Climate Change (IPCC) has warned, having an irreversible effect on ecosystems, societies, and economies.</w:t>
      </w:r>
      <w:r w:rsidR="00F91CD2" w:rsidRPr="003A49C8">
        <w:rPr>
          <w:rFonts w:cs="Times New Roman"/>
          <w:shd w:val="clear" w:color="auto" w:fill="FFFFFF"/>
        </w:rPr>
        <w:t xml:space="preserve"> </w:t>
      </w:r>
      <w:r w:rsidRPr="003A49C8">
        <w:rPr>
          <w:rFonts w:cs="Times New Roman"/>
          <w:shd w:val="clear" w:color="auto" w:fill="FFFFFF"/>
        </w:rPr>
        <w:t xml:space="preserve">Many governments, businesses, and organisations have </w:t>
      </w:r>
      <w:r w:rsidR="00841BD7" w:rsidRPr="003A49C8">
        <w:rPr>
          <w:rFonts w:cs="Times New Roman"/>
          <w:shd w:val="clear" w:color="auto" w:fill="FFFFFF"/>
        </w:rPr>
        <w:t>committed</w:t>
      </w:r>
      <w:r w:rsidRPr="003A49C8">
        <w:rPr>
          <w:rFonts w:cs="Times New Roman"/>
          <w:shd w:val="clear" w:color="auto" w:fill="FFFFFF"/>
        </w:rPr>
        <w:t xml:space="preserve"> to achiev</w:t>
      </w:r>
      <w:r w:rsidR="00C74298" w:rsidRPr="003A49C8">
        <w:rPr>
          <w:rFonts w:cs="Times New Roman"/>
          <w:shd w:val="clear" w:color="auto" w:fill="FFFFFF"/>
        </w:rPr>
        <w:t>ing</w:t>
      </w:r>
      <w:r w:rsidRPr="003A49C8">
        <w:rPr>
          <w:rFonts w:cs="Times New Roman"/>
          <w:shd w:val="clear" w:color="auto" w:fill="FFFFFF"/>
        </w:rPr>
        <w:t xml:space="preserve"> net-zero emissions of greenhouse gases by 2050 or sooner to address this issue. </w:t>
      </w:r>
      <w:r w:rsidR="00C74298" w:rsidRPr="003A49C8">
        <w:rPr>
          <w:rFonts w:cs="Times New Roman"/>
          <w:shd w:val="clear" w:color="auto" w:fill="FFFFFF"/>
        </w:rPr>
        <w:t>T</w:t>
      </w:r>
      <w:r w:rsidRPr="003A49C8">
        <w:rPr>
          <w:rFonts w:cs="Times New Roman"/>
          <w:shd w:val="clear" w:color="auto" w:fill="FFFFFF"/>
        </w:rPr>
        <w:t>o achieve net zero, greenhouse gas emissions and removals from the environment must be equal. This calls for drastic cuts in emissions, especially those resulting from the burning of fossil fuels, as well as the use of technologies to collect and store carbon dioxide from the atmosphere.</w:t>
      </w:r>
    </w:p>
    <w:p w14:paraId="25A03BA9" w14:textId="3C79980D" w:rsidR="001606C0" w:rsidRPr="003A49C8" w:rsidRDefault="001606C0" w:rsidP="001606C0">
      <w:pPr>
        <w:ind w:firstLine="720"/>
        <w:rPr>
          <w:rFonts w:cs="Times New Roman"/>
          <w:shd w:val="clear" w:color="auto" w:fill="FFFFFF"/>
        </w:rPr>
      </w:pPr>
      <w:r w:rsidRPr="003A49C8">
        <w:rPr>
          <w:rFonts w:cs="Times New Roman"/>
          <w:shd w:val="clear" w:color="auto" w:fill="FFFFFF"/>
        </w:rPr>
        <w:t>In order to mitigate the effects of climate change and safeguard ecosystems and species, net-zero emissions must be achieved. However, on its own, it is insufficient. To treat the underlying causes of the issue, additional steps are required. These include safeguarding and restoring ecosystems, lowering consumption and waste, and switching to more sustainable food and energy systems. Overall, urgent action is needed at all levels, from people to governments and international organizations, to address the problems caused by ecological degradation and climate change. A key component of this action is achieving net-zero emissions, but it must be accompanied by wider initiatives to advance sustainability and resilience.</w:t>
      </w:r>
    </w:p>
    <w:p w14:paraId="79EE9076" w14:textId="21D72B43" w:rsidR="009C5B12" w:rsidRPr="003A49C8" w:rsidRDefault="00320DC8" w:rsidP="00E33705">
      <w:pPr>
        <w:pStyle w:val="Heading2"/>
        <w:rPr>
          <w:i w:val="0"/>
        </w:rPr>
      </w:pPr>
      <w:r w:rsidRPr="003A49C8">
        <w:t xml:space="preserve">2.2 </w:t>
      </w:r>
      <w:r w:rsidR="00BC0309" w:rsidRPr="003A49C8">
        <w:t xml:space="preserve">Debate on </w:t>
      </w:r>
      <w:r w:rsidR="009C5B12" w:rsidRPr="003A49C8">
        <w:t>ESG Benefits</w:t>
      </w:r>
      <w:r w:rsidR="00BC0309" w:rsidRPr="003A49C8">
        <w:t xml:space="preserve"> and Risks</w:t>
      </w:r>
    </w:p>
    <w:p w14:paraId="27654692" w14:textId="4EF3715B" w:rsidR="00023B2E" w:rsidRPr="003A49C8" w:rsidRDefault="00023B2E" w:rsidP="00023B2E">
      <w:pPr>
        <w:rPr>
          <w:rFonts w:cs="Times New Roman"/>
          <w:szCs w:val="24"/>
        </w:rPr>
      </w:pPr>
      <w:r w:rsidRPr="003A49C8">
        <w:rPr>
          <w:rFonts w:cs="Times New Roman"/>
          <w:szCs w:val="24"/>
        </w:rPr>
        <w:t>Recent literature (</w:t>
      </w:r>
      <w:proofErr w:type="spellStart"/>
      <w:r w:rsidR="00A13871" w:rsidRPr="003A49C8">
        <w:rPr>
          <w:rFonts w:cs="Times New Roman"/>
          <w:szCs w:val="24"/>
        </w:rPr>
        <w:t>Asefi-Najafabady</w:t>
      </w:r>
      <w:proofErr w:type="spellEnd"/>
      <w:r w:rsidR="00A13871" w:rsidRPr="003A49C8">
        <w:rPr>
          <w:rFonts w:cs="Times New Roman"/>
          <w:szCs w:val="24"/>
        </w:rPr>
        <w:t xml:space="preserve"> et al., 2021; </w:t>
      </w:r>
      <w:r w:rsidRPr="003A49C8">
        <w:rPr>
          <w:rFonts w:cs="Times New Roman"/>
          <w:szCs w:val="24"/>
        </w:rPr>
        <w:t xml:space="preserve">Chen et al., 2022; </w:t>
      </w:r>
      <w:proofErr w:type="spellStart"/>
      <w:r w:rsidRPr="003A49C8">
        <w:rPr>
          <w:rFonts w:cs="Times New Roman"/>
          <w:szCs w:val="24"/>
        </w:rPr>
        <w:t>Galletta</w:t>
      </w:r>
      <w:proofErr w:type="spellEnd"/>
      <w:r w:rsidRPr="003A49C8">
        <w:rPr>
          <w:rFonts w:cs="Times New Roman"/>
          <w:szCs w:val="24"/>
        </w:rPr>
        <w:t xml:space="preserve"> </w:t>
      </w:r>
      <w:r w:rsidR="008C0623">
        <w:rPr>
          <w:rFonts w:cs="Times New Roman"/>
          <w:szCs w:val="24"/>
        </w:rPr>
        <w:t>&amp;</w:t>
      </w:r>
      <w:r w:rsidRPr="003A49C8">
        <w:rPr>
          <w:rFonts w:cs="Times New Roman"/>
          <w:szCs w:val="24"/>
        </w:rPr>
        <w:t xml:space="preserve"> </w:t>
      </w:r>
      <w:proofErr w:type="spellStart"/>
      <w:r w:rsidRPr="003A49C8">
        <w:rPr>
          <w:rFonts w:cs="Times New Roman"/>
          <w:szCs w:val="24"/>
        </w:rPr>
        <w:t>Mazzù</w:t>
      </w:r>
      <w:proofErr w:type="spellEnd"/>
      <w:r w:rsidRPr="003A49C8">
        <w:rPr>
          <w:rFonts w:cs="Times New Roman"/>
          <w:szCs w:val="24"/>
        </w:rPr>
        <w:t>, 2023</w:t>
      </w:r>
      <w:r w:rsidR="00A13871" w:rsidRPr="003A49C8">
        <w:rPr>
          <w:rFonts w:cs="Times New Roman"/>
          <w:szCs w:val="24"/>
        </w:rPr>
        <w:t>; Steffen et al., 2018</w:t>
      </w:r>
      <w:r w:rsidRPr="003A49C8">
        <w:rPr>
          <w:rFonts w:cs="Times New Roman"/>
          <w:szCs w:val="24"/>
        </w:rPr>
        <w:t xml:space="preserve">) on ecological risks has highlighted the significance of the ongoing ESG debate, which has gained considerable attention from researchers and is having a significant impact on businesses and investors. Investors are increasingly interested in firm-level ESG disclosures and their quality to make informed investment decisions regarding environmental risks (e.g., </w:t>
      </w:r>
      <w:bookmarkStart w:id="8" w:name="_Hlk123674162"/>
      <w:r w:rsidRPr="003A49C8">
        <w:rPr>
          <w:rFonts w:cs="Times New Roman"/>
          <w:szCs w:val="24"/>
        </w:rPr>
        <w:t>Ilhan</w:t>
      </w:r>
      <w:bookmarkEnd w:id="8"/>
      <w:r w:rsidRPr="003A49C8">
        <w:rPr>
          <w:rFonts w:cs="Times New Roman"/>
          <w:szCs w:val="24"/>
        </w:rPr>
        <w:t xml:space="preserve"> et al. 2021). To address the gap between supply and demand for ESG information, many countries have proposed mandatory ESG disclosure legislation to govern corporations in an effort to provide adequate information on ESG concerns alongside conventional financial disclosures or in separate focused reports (such as sustainability reports or environmental impact reports). The goal of such legislation is to improve the source of ESG information and reduce environmental risks. For example, large publicly listed firms in the UK, EU, and New Zealand are mandated to report on their ESG performance, which is a significant </w:t>
      </w:r>
      <w:r w:rsidRPr="003A49C8">
        <w:rPr>
          <w:rFonts w:cs="Times New Roman"/>
          <w:szCs w:val="24"/>
        </w:rPr>
        <w:lastRenderedPageBreak/>
        <w:t xml:space="preserve">development in the field of ecological risk management. However, assessing the effectiveness of these policies in improving the environment and reducing ecological risks is challenging. For example, several countries (e.g., China) issued legislation with lenient standards and principles, allowing businesses to comply with straightforward disclosure obligations (Chen et al., 2022; </w:t>
      </w:r>
      <w:proofErr w:type="spellStart"/>
      <w:r w:rsidRPr="003A49C8">
        <w:rPr>
          <w:rFonts w:cs="Times New Roman"/>
          <w:szCs w:val="24"/>
        </w:rPr>
        <w:t>Leuz</w:t>
      </w:r>
      <w:proofErr w:type="spellEnd"/>
      <w:r w:rsidRPr="003A49C8">
        <w:rPr>
          <w:rFonts w:cs="Times New Roman"/>
          <w:szCs w:val="24"/>
        </w:rPr>
        <w:t xml:space="preserve"> et al., </w:t>
      </w:r>
      <w:r w:rsidR="0057048E" w:rsidRPr="003A49C8">
        <w:rPr>
          <w:rFonts w:cs="Times New Roman"/>
          <w:szCs w:val="24"/>
        </w:rPr>
        <w:t>2003; Christensen</w:t>
      </w:r>
      <w:r w:rsidRPr="003A49C8">
        <w:rPr>
          <w:rFonts w:cs="Times New Roman"/>
          <w:szCs w:val="24"/>
        </w:rPr>
        <w:t xml:space="preserve">, et al., 2019). This raises questions about the potential risks associated with mandatory ESG disclosure, which is a critical issue in the ecological risk literature. Additionally, some businesses voluntarily share ESG data even before the implementation of rules, suggesting that further disclosure obligations may not significantly impact their business operations. Hence, it is essential to strike </w:t>
      </w:r>
      <w:r w:rsidR="00841BD7" w:rsidRPr="003A49C8">
        <w:rPr>
          <w:rFonts w:cs="Times New Roman"/>
          <w:szCs w:val="24"/>
        </w:rPr>
        <w:t>a</w:t>
      </w:r>
      <w:r w:rsidRPr="003A49C8">
        <w:rPr>
          <w:rFonts w:cs="Times New Roman"/>
          <w:szCs w:val="24"/>
        </w:rPr>
        <w:t xml:space="preserve"> balance between the benefits and risks associated with ESG disclosure to make informed decisions regarding ecological risk management.</w:t>
      </w:r>
    </w:p>
    <w:p w14:paraId="7E7E6A1F" w14:textId="182029CE" w:rsidR="00C44044" w:rsidRPr="003A49C8" w:rsidRDefault="00023B2E" w:rsidP="00023B2E">
      <w:pPr>
        <w:ind w:firstLine="397"/>
      </w:pPr>
      <w:r w:rsidRPr="003A49C8">
        <w:rPr>
          <w:rFonts w:cs="Times New Roman"/>
          <w:szCs w:val="24"/>
        </w:rPr>
        <w:t xml:space="preserve">The existing literature on ecological risks has demonstrated that major carbon disclosures could reduce the cost of equity by holding firms accountable for their poor carbon performance. Many researchers (e.g., Albarrak et al., 2019; Bui et al., 2019) have documented the impacts of carbon disclosure on risk management. </w:t>
      </w:r>
      <w:r w:rsidR="005F72D9" w:rsidRPr="003A49C8">
        <w:rPr>
          <w:rFonts w:cs="Times New Roman"/>
          <w:szCs w:val="24"/>
        </w:rPr>
        <w:t xml:space="preserve"> </w:t>
      </w:r>
      <w:proofErr w:type="spellStart"/>
      <w:r w:rsidRPr="003A49C8">
        <w:rPr>
          <w:rFonts w:cs="Times New Roman"/>
          <w:szCs w:val="24"/>
        </w:rPr>
        <w:t>Leuz</w:t>
      </w:r>
      <w:proofErr w:type="spellEnd"/>
      <w:r w:rsidRPr="003A49C8">
        <w:rPr>
          <w:rFonts w:cs="Times New Roman"/>
          <w:szCs w:val="24"/>
        </w:rPr>
        <w:t xml:space="preserve"> et al., (2009) find that corporations with lax governance norms and inadequate disclosure of non-financial (ESG) information may face the risks of attracting fewer investments from overseas owners.  Furthermore, </w:t>
      </w:r>
      <w:proofErr w:type="spellStart"/>
      <w:r w:rsidRPr="003A49C8">
        <w:rPr>
          <w:rFonts w:cs="Times New Roman"/>
          <w:szCs w:val="24"/>
        </w:rPr>
        <w:t>Serafeim</w:t>
      </w:r>
      <w:proofErr w:type="spellEnd"/>
      <w:r w:rsidRPr="003A49C8">
        <w:rPr>
          <w:rFonts w:cs="Times New Roman"/>
          <w:szCs w:val="24"/>
        </w:rPr>
        <w:t xml:space="preserve"> and Grewal (2017) suggest using ESG data to predict a company's financial performance. On the other hand, some evidence suggests that increased ESG disclosure by businesses may risk large disclosure costs, as highlighted by Mattoo et al. (2009</w:t>
      </w:r>
      <w:r w:rsidR="005C73CB" w:rsidRPr="003A49C8">
        <w:rPr>
          <w:rFonts w:cs="Times New Roman"/>
          <w:szCs w:val="24"/>
        </w:rPr>
        <w:t>)</w:t>
      </w:r>
      <w:r w:rsidR="005F72D9" w:rsidRPr="003A49C8">
        <w:rPr>
          <w:rFonts w:cs="Times New Roman"/>
          <w:szCs w:val="24"/>
        </w:rPr>
        <w:t xml:space="preserve"> and</w:t>
      </w:r>
      <w:r w:rsidRPr="003A49C8">
        <w:rPr>
          <w:rFonts w:cs="Times New Roman"/>
          <w:szCs w:val="24"/>
        </w:rPr>
        <w:t xml:space="preserve"> </w:t>
      </w:r>
      <w:proofErr w:type="spellStart"/>
      <w:r w:rsidRPr="003A49C8">
        <w:rPr>
          <w:rFonts w:cs="Times New Roman"/>
          <w:szCs w:val="24"/>
        </w:rPr>
        <w:t>Hainmueller</w:t>
      </w:r>
      <w:proofErr w:type="spellEnd"/>
      <w:r w:rsidRPr="003A49C8">
        <w:rPr>
          <w:rFonts w:cs="Times New Roman"/>
          <w:szCs w:val="24"/>
        </w:rPr>
        <w:t xml:space="preserve"> and </w:t>
      </w:r>
      <w:proofErr w:type="spellStart"/>
      <w:r w:rsidRPr="003A49C8">
        <w:rPr>
          <w:rFonts w:cs="Times New Roman"/>
          <w:szCs w:val="24"/>
        </w:rPr>
        <w:t>Hiscox</w:t>
      </w:r>
      <w:proofErr w:type="spellEnd"/>
      <w:r w:rsidRPr="003A49C8">
        <w:rPr>
          <w:rFonts w:cs="Times New Roman"/>
          <w:szCs w:val="24"/>
        </w:rPr>
        <w:t xml:space="preserve"> (2015). These studies find that some companies attempt to embrace less onerous climate change laws standards to lower the risks associated with ESG disclosure.</w:t>
      </w:r>
      <w:r w:rsidRPr="003A49C8">
        <w:t xml:space="preserve"> </w:t>
      </w:r>
    </w:p>
    <w:p w14:paraId="0A9507E1" w14:textId="2DC1D89F" w:rsidR="000F03E8" w:rsidRPr="003A49C8" w:rsidRDefault="000F03E8" w:rsidP="000F03E8">
      <w:pPr>
        <w:ind w:firstLine="397"/>
        <w:rPr>
          <w:rFonts w:cs="Times New Roman"/>
          <w:shd w:val="clear" w:color="auto" w:fill="FFFFFF"/>
        </w:rPr>
      </w:pPr>
      <w:bookmarkStart w:id="9" w:name="_Hlk130835993"/>
      <w:r w:rsidRPr="003A49C8">
        <w:rPr>
          <w:rFonts w:cs="Times New Roman"/>
          <w:shd w:val="clear" w:color="auto" w:fill="FFFFFF"/>
        </w:rPr>
        <w:t xml:space="preserve">The increasing degradation of the climate on </w:t>
      </w:r>
      <w:r w:rsidR="001B15B4" w:rsidRPr="003A49C8">
        <w:rPr>
          <w:rFonts w:cs="Times New Roman"/>
          <w:shd w:val="clear" w:color="auto" w:fill="FFFFFF"/>
        </w:rPr>
        <w:t>e</w:t>
      </w:r>
      <w:r w:rsidRPr="003A49C8">
        <w:rPr>
          <w:rFonts w:cs="Times New Roman"/>
          <w:shd w:val="clear" w:color="auto" w:fill="FFFFFF"/>
        </w:rPr>
        <w:t>arth brought on by human actions like the combustion of fossil fuels and deforestation puts the globe in the midst of a climate emergency. Among the terrible consequences of this are increasing temperatures, sea level rise, more frequent and severe natural catastrophes, a loss of biodiversity, and risks to human health and wellbeing.</w:t>
      </w:r>
    </w:p>
    <w:p w14:paraId="6AC56763" w14:textId="77777777" w:rsidR="000F03E8" w:rsidRPr="003A49C8" w:rsidRDefault="000F03E8" w:rsidP="000F03E8">
      <w:pPr>
        <w:ind w:firstLine="397"/>
        <w:rPr>
          <w:rFonts w:cs="Times New Roman"/>
          <w:shd w:val="clear" w:color="auto" w:fill="FFFFFF"/>
        </w:rPr>
      </w:pPr>
      <w:r w:rsidRPr="003A49C8">
        <w:rPr>
          <w:rFonts w:cs="Times New Roman"/>
          <w:shd w:val="clear" w:color="auto" w:fill="FFFFFF"/>
        </w:rPr>
        <w:t>Environmental problems, such as the continual extinction of species and the destruction of ecosystems due to human activities, are also well known. This encompasses, among other things, deforestation, pollution, habitat damage, and overfishing. The decline of ecosystems and biodiversity has negative implications on human society, including those on food security, access to water, and cultural legacies.</w:t>
      </w:r>
    </w:p>
    <w:bookmarkEnd w:id="9"/>
    <w:p w14:paraId="476C95E0" w14:textId="37E01DBD" w:rsidR="00C44044" w:rsidRPr="003A49C8" w:rsidRDefault="000F03E8" w:rsidP="00773F70">
      <w:pPr>
        <w:ind w:firstLine="397"/>
        <w:rPr>
          <w:rFonts w:cs="Times New Roman"/>
        </w:rPr>
      </w:pPr>
      <w:r w:rsidRPr="003A49C8">
        <w:rPr>
          <w:rFonts w:cs="Times New Roman"/>
          <w:shd w:val="clear" w:color="auto" w:fill="FFFFFF"/>
        </w:rPr>
        <w:lastRenderedPageBreak/>
        <w:t>In order to solve these concerns, governments, businesses, and individuals throughout the globe will need to act right away to cut greenhouse gas emissions, convert to renewable energy sources, protect and restore ecosystems, and move towards more sustainable and fair economic systems.</w:t>
      </w:r>
    </w:p>
    <w:p w14:paraId="2D7A29A2" w14:textId="4E7D2D0E" w:rsidR="005A32E1" w:rsidRPr="003A49C8" w:rsidRDefault="00320DC8" w:rsidP="00E33705">
      <w:pPr>
        <w:pStyle w:val="Heading2"/>
      </w:pPr>
      <w:r w:rsidRPr="003A49C8">
        <w:t xml:space="preserve">2.3 </w:t>
      </w:r>
      <w:r w:rsidR="009C3191" w:rsidRPr="003A49C8">
        <w:t>Health</w:t>
      </w:r>
      <w:r w:rsidR="00C67CAC" w:rsidRPr="003A49C8">
        <w:t xml:space="preserve">care and </w:t>
      </w:r>
      <w:r w:rsidR="009C3191" w:rsidRPr="003A49C8">
        <w:t>Risk</w:t>
      </w:r>
      <w:r w:rsidR="00C67CAC" w:rsidRPr="003A49C8">
        <w:t xml:space="preserve"> Management</w:t>
      </w:r>
      <w:r w:rsidR="009C3191" w:rsidRPr="003A49C8">
        <w:t xml:space="preserve"> </w:t>
      </w:r>
    </w:p>
    <w:p w14:paraId="4A2F8571" w14:textId="6868327E" w:rsidR="00971AD5" w:rsidRPr="003A49C8" w:rsidRDefault="009C3191" w:rsidP="005D161F">
      <w:pPr>
        <w:rPr>
          <w:rFonts w:cs="Times New Roman"/>
          <w:szCs w:val="24"/>
        </w:rPr>
      </w:pPr>
      <w:r w:rsidRPr="003A49C8">
        <w:rPr>
          <w:rFonts w:cs="Times New Roman"/>
          <w:szCs w:val="24"/>
        </w:rPr>
        <w:t>Investments in health</w:t>
      </w:r>
      <w:r w:rsidR="00C67CAC" w:rsidRPr="003A49C8">
        <w:rPr>
          <w:rFonts w:cs="Times New Roman"/>
          <w:szCs w:val="24"/>
        </w:rPr>
        <w:t>care ha</w:t>
      </w:r>
      <w:r w:rsidR="0027141B" w:rsidRPr="003A49C8">
        <w:rPr>
          <w:rFonts w:cs="Times New Roman"/>
          <w:szCs w:val="24"/>
        </w:rPr>
        <w:t>ve</w:t>
      </w:r>
      <w:r w:rsidR="00C67CAC" w:rsidRPr="003A49C8">
        <w:rPr>
          <w:rFonts w:cs="Times New Roman"/>
          <w:szCs w:val="24"/>
        </w:rPr>
        <w:t xml:space="preserve"> </w:t>
      </w:r>
      <w:r w:rsidRPr="003A49C8">
        <w:rPr>
          <w:rFonts w:cs="Times New Roman"/>
          <w:szCs w:val="24"/>
        </w:rPr>
        <w:t xml:space="preserve">historically been seen as costly but </w:t>
      </w:r>
      <w:r w:rsidR="00C320D3" w:rsidRPr="003A49C8">
        <w:rPr>
          <w:rFonts w:cs="Times New Roman"/>
          <w:szCs w:val="24"/>
        </w:rPr>
        <w:t>necessary</w:t>
      </w:r>
      <w:r w:rsidRPr="003A49C8">
        <w:rPr>
          <w:rFonts w:cs="Times New Roman"/>
          <w:szCs w:val="24"/>
        </w:rPr>
        <w:t xml:space="preserve"> to prevent significant</w:t>
      </w:r>
      <w:r w:rsidR="00813F4D" w:rsidRPr="003A49C8">
        <w:rPr>
          <w:rFonts w:cs="Times New Roman"/>
          <w:szCs w:val="24"/>
        </w:rPr>
        <w:t xml:space="preserve"> social losses and risks to public health</w:t>
      </w:r>
      <w:r w:rsidRPr="003A49C8">
        <w:rPr>
          <w:rFonts w:cs="Times New Roman"/>
          <w:szCs w:val="24"/>
        </w:rPr>
        <w:t xml:space="preserve">. </w:t>
      </w:r>
      <w:r w:rsidR="00971AD5" w:rsidRPr="003A49C8">
        <w:rPr>
          <w:rFonts w:cs="Times New Roman"/>
          <w:szCs w:val="24"/>
        </w:rPr>
        <w:t xml:space="preserve">Over the past 40 years, </w:t>
      </w:r>
      <w:r w:rsidR="00813F4D" w:rsidRPr="003A49C8">
        <w:rPr>
          <w:rFonts w:cs="Times New Roman"/>
          <w:szCs w:val="24"/>
        </w:rPr>
        <w:t xml:space="preserve">all stakeholders </w:t>
      </w:r>
      <w:r w:rsidR="00971AD5" w:rsidRPr="003A49C8">
        <w:rPr>
          <w:rFonts w:cs="Times New Roman"/>
          <w:szCs w:val="24"/>
        </w:rPr>
        <w:t xml:space="preserve">and the general public have </w:t>
      </w:r>
      <w:r w:rsidR="00C320D3" w:rsidRPr="003A49C8">
        <w:rPr>
          <w:rFonts w:cs="Times New Roman"/>
          <w:szCs w:val="24"/>
        </w:rPr>
        <w:t>bee</w:t>
      </w:r>
      <w:r w:rsidR="00971AD5" w:rsidRPr="003A49C8">
        <w:rPr>
          <w:rFonts w:cs="Times New Roman"/>
          <w:szCs w:val="24"/>
        </w:rPr>
        <w:t xml:space="preserve">n </w:t>
      </w:r>
      <w:r w:rsidR="00813F4D" w:rsidRPr="003A49C8">
        <w:rPr>
          <w:rFonts w:cs="Times New Roman"/>
          <w:szCs w:val="24"/>
        </w:rPr>
        <w:t>increasing</w:t>
      </w:r>
      <w:r w:rsidR="00C320D3" w:rsidRPr="003A49C8">
        <w:rPr>
          <w:rFonts w:cs="Times New Roman"/>
          <w:szCs w:val="24"/>
        </w:rPr>
        <w:t>ly</w:t>
      </w:r>
      <w:r w:rsidR="00813F4D" w:rsidRPr="003A49C8">
        <w:rPr>
          <w:rFonts w:cs="Times New Roman"/>
          <w:szCs w:val="24"/>
        </w:rPr>
        <w:t xml:space="preserve"> interest</w:t>
      </w:r>
      <w:r w:rsidR="00C320D3" w:rsidRPr="003A49C8">
        <w:rPr>
          <w:rFonts w:cs="Times New Roman"/>
          <w:szCs w:val="24"/>
        </w:rPr>
        <w:t>ed</w:t>
      </w:r>
      <w:r w:rsidR="00813F4D" w:rsidRPr="003A49C8">
        <w:rPr>
          <w:rFonts w:cs="Times New Roman"/>
          <w:szCs w:val="24"/>
        </w:rPr>
        <w:t xml:space="preserve"> in the financial </w:t>
      </w:r>
      <w:r w:rsidR="00971AD5" w:rsidRPr="003A49C8">
        <w:rPr>
          <w:rFonts w:cs="Times New Roman"/>
          <w:szCs w:val="24"/>
        </w:rPr>
        <w:t xml:space="preserve">performance of the healthcare sector </w:t>
      </w:r>
      <w:r w:rsidR="0005692B" w:rsidRPr="003A49C8">
        <w:rPr>
          <w:rFonts w:cs="Times New Roman"/>
          <w:szCs w:val="24"/>
        </w:rPr>
        <w:t xml:space="preserve">(Cleverly, 1978; </w:t>
      </w:r>
      <w:proofErr w:type="spellStart"/>
      <w:r w:rsidR="0005692B" w:rsidRPr="003A49C8">
        <w:rPr>
          <w:rFonts w:cs="Times New Roman"/>
          <w:szCs w:val="24"/>
        </w:rPr>
        <w:t>Popesko</w:t>
      </w:r>
      <w:proofErr w:type="spellEnd"/>
      <w:r w:rsidR="0005692B" w:rsidRPr="003A49C8">
        <w:rPr>
          <w:rFonts w:cs="Times New Roman"/>
          <w:szCs w:val="24"/>
        </w:rPr>
        <w:t xml:space="preserve"> et al., 2015; IBM, 2022; Barber, 2019; </w:t>
      </w:r>
      <w:proofErr w:type="spellStart"/>
      <w:r w:rsidR="0005692B" w:rsidRPr="003A49C8">
        <w:rPr>
          <w:rFonts w:cs="Times New Roman"/>
          <w:szCs w:val="24"/>
        </w:rPr>
        <w:t>Jeurissen</w:t>
      </w:r>
      <w:proofErr w:type="spellEnd"/>
      <w:r w:rsidR="0005692B" w:rsidRPr="003A49C8">
        <w:rPr>
          <w:rFonts w:cs="Times New Roman"/>
          <w:szCs w:val="24"/>
        </w:rPr>
        <w:t xml:space="preserve">, 2010; </w:t>
      </w:r>
      <w:proofErr w:type="spellStart"/>
      <w:r w:rsidR="0005692B" w:rsidRPr="003A49C8">
        <w:rPr>
          <w:rFonts w:cs="Times New Roman"/>
          <w:szCs w:val="24"/>
        </w:rPr>
        <w:t>Batrancea</w:t>
      </w:r>
      <w:proofErr w:type="spellEnd"/>
      <w:r w:rsidR="0005692B" w:rsidRPr="003A49C8">
        <w:rPr>
          <w:rFonts w:cs="Times New Roman"/>
          <w:szCs w:val="24"/>
        </w:rPr>
        <w:t xml:space="preserve"> </w:t>
      </w:r>
      <w:r w:rsidR="008C0623">
        <w:rPr>
          <w:rFonts w:cs="Times New Roman"/>
          <w:szCs w:val="24"/>
        </w:rPr>
        <w:t>&amp;</w:t>
      </w:r>
      <w:r w:rsidR="0005692B" w:rsidRPr="003A49C8">
        <w:rPr>
          <w:rFonts w:cs="Times New Roman"/>
          <w:szCs w:val="24"/>
        </w:rPr>
        <w:t xml:space="preserve"> </w:t>
      </w:r>
      <w:proofErr w:type="spellStart"/>
      <w:r w:rsidR="0005692B" w:rsidRPr="003A49C8">
        <w:rPr>
          <w:rFonts w:cs="Times New Roman"/>
          <w:szCs w:val="24"/>
        </w:rPr>
        <w:t>Nichita</w:t>
      </w:r>
      <w:proofErr w:type="spellEnd"/>
      <w:r w:rsidR="0005692B" w:rsidRPr="003A49C8">
        <w:rPr>
          <w:rFonts w:cs="Times New Roman"/>
          <w:szCs w:val="24"/>
        </w:rPr>
        <w:t xml:space="preserve"> 2015; Romaniuk et al., 2020)</w:t>
      </w:r>
      <w:r w:rsidR="00971AD5" w:rsidRPr="003A49C8">
        <w:rPr>
          <w:rFonts w:cs="Times New Roman"/>
          <w:szCs w:val="24"/>
        </w:rPr>
        <w:t xml:space="preserve">. Regardless of the company's size or the area in which it operates, a healthcare company's </w:t>
      </w:r>
      <w:r w:rsidR="00813F4D" w:rsidRPr="003A49C8">
        <w:rPr>
          <w:rFonts w:cs="Times New Roman"/>
          <w:szCs w:val="24"/>
        </w:rPr>
        <w:t xml:space="preserve">economic viability and risks associated </w:t>
      </w:r>
      <w:r w:rsidR="0027141B" w:rsidRPr="003A49C8">
        <w:rPr>
          <w:rFonts w:cs="Times New Roman"/>
          <w:szCs w:val="24"/>
        </w:rPr>
        <w:t>with</w:t>
      </w:r>
      <w:r w:rsidR="00813F4D" w:rsidRPr="003A49C8">
        <w:rPr>
          <w:rFonts w:cs="Times New Roman"/>
          <w:szCs w:val="24"/>
        </w:rPr>
        <w:t xml:space="preserve"> it are vital </w:t>
      </w:r>
      <w:r w:rsidR="00971AD5" w:rsidRPr="003A49C8">
        <w:rPr>
          <w:rFonts w:cs="Times New Roman"/>
          <w:szCs w:val="24"/>
        </w:rPr>
        <w:t xml:space="preserve">in this context. However, factors such as the ageing population, the </w:t>
      </w:r>
      <w:r w:rsidR="00C320D3" w:rsidRPr="003A49C8">
        <w:rPr>
          <w:rFonts w:cs="Times New Roman"/>
          <w:szCs w:val="24"/>
        </w:rPr>
        <w:t>rapid advancement in</w:t>
      </w:r>
      <w:r w:rsidR="00971AD5" w:rsidRPr="003A49C8">
        <w:rPr>
          <w:rFonts w:cs="Times New Roman"/>
          <w:szCs w:val="24"/>
        </w:rPr>
        <w:t xml:space="preserve"> new diagnosis and treatment technologies, and the rising number of </w:t>
      </w:r>
      <w:r w:rsidR="00C320D3" w:rsidRPr="003A49C8">
        <w:rPr>
          <w:rFonts w:cs="Times New Roman"/>
          <w:szCs w:val="24"/>
        </w:rPr>
        <w:t xml:space="preserve">chronically ill </w:t>
      </w:r>
      <w:r w:rsidR="00971AD5" w:rsidRPr="003A49C8">
        <w:rPr>
          <w:rFonts w:cs="Times New Roman"/>
          <w:szCs w:val="24"/>
        </w:rPr>
        <w:t xml:space="preserve">patients have significantly increased costs and </w:t>
      </w:r>
      <w:r w:rsidR="00813F4D" w:rsidRPr="003A49C8">
        <w:rPr>
          <w:rFonts w:cs="Times New Roman"/>
          <w:szCs w:val="24"/>
        </w:rPr>
        <w:t>pose risks to the healthcare sector</w:t>
      </w:r>
      <w:r w:rsidR="00971AD5" w:rsidRPr="003A49C8">
        <w:rPr>
          <w:rFonts w:cs="Times New Roman"/>
          <w:szCs w:val="24"/>
        </w:rPr>
        <w:t>, particularly in the United States of America and many European nations</w:t>
      </w:r>
      <w:r w:rsidR="00102292" w:rsidRPr="003A49C8">
        <w:rPr>
          <w:rFonts w:cs="Times New Roman"/>
          <w:szCs w:val="24"/>
        </w:rPr>
        <w:t>.</w:t>
      </w:r>
      <w:r w:rsidR="00971AD5" w:rsidRPr="003A49C8">
        <w:rPr>
          <w:rFonts w:cs="Times New Roman"/>
          <w:szCs w:val="24"/>
        </w:rPr>
        <w:t xml:space="preserve"> These factors </w:t>
      </w:r>
      <w:r w:rsidR="00813F4D" w:rsidRPr="003A49C8">
        <w:rPr>
          <w:rFonts w:cs="Times New Roman"/>
          <w:szCs w:val="24"/>
        </w:rPr>
        <w:t xml:space="preserve">and risks have </w:t>
      </w:r>
      <w:r w:rsidR="00971AD5" w:rsidRPr="003A49C8">
        <w:rPr>
          <w:rFonts w:cs="Times New Roman"/>
          <w:szCs w:val="24"/>
        </w:rPr>
        <w:t>also contributed to the development of medical tourism</w:t>
      </w:r>
      <w:r w:rsidR="00102292" w:rsidRPr="003A49C8">
        <w:rPr>
          <w:rFonts w:cs="Times New Roman"/>
          <w:szCs w:val="24"/>
        </w:rPr>
        <w:t>.</w:t>
      </w:r>
      <w:r w:rsidR="00971AD5" w:rsidRPr="003A49C8">
        <w:rPr>
          <w:rFonts w:cs="Times New Roman"/>
          <w:szCs w:val="24"/>
        </w:rPr>
        <w:t xml:space="preserve"> On the opposite end of the scale, Asian healthcare institutions have adopted low-cost tactics that have enabled them to </w:t>
      </w:r>
      <w:r w:rsidR="00092528" w:rsidRPr="003A49C8">
        <w:rPr>
          <w:rFonts w:cs="Times New Roman"/>
          <w:szCs w:val="24"/>
        </w:rPr>
        <w:t>improve their</w:t>
      </w:r>
      <w:r w:rsidR="00971AD5" w:rsidRPr="003A49C8">
        <w:rPr>
          <w:rFonts w:cs="Times New Roman"/>
          <w:szCs w:val="24"/>
        </w:rPr>
        <w:t xml:space="preserve"> performance levels </w:t>
      </w:r>
      <w:r w:rsidR="00092528" w:rsidRPr="003A49C8">
        <w:rPr>
          <w:rFonts w:cs="Times New Roman"/>
          <w:szCs w:val="24"/>
        </w:rPr>
        <w:t xml:space="preserve">over </w:t>
      </w:r>
      <w:r w:rsidR="0027141B" w:rsidRPr="003A49C8">
        <w:rPr>
          <w:rFonts w:cs="Times New Roman"/>
          <w:szCs w:val="24"/>
        </w:rPr>
        <w:t xml:space="preserve">their </w:t>
      </w:r>
      <w:r w:rsidR="00971AD5" w:rsidRPr="003A49C8">
        <w:rPr>
          <w:rFonts w:cs="Times New Roman"/>
          <w:szCs w:val="24"/>
        </w:rPr>
        <w:t>Europe</w:t>
      </w:r>
      <w:r w:rsidR="00092528" w:rsidRPr="003A49C8">
        <w:rPr>
          <w:rFonts w:cs="Times New Roman"/>
          <w:szCs w:val="24"/>
        </w:rPr>
        <w:t>an</w:t>
      </w:r>
      <w:r w:rsidR="00971AD5" w:rsidRPr="003A49C8">
        <w:rPr>
          <w:rFonts w:cs="Times New Roman"/>
          <w:szCs w:val="24"/>
        </w:rPr>
        <w:t xml:space="preserve"> and North America</w:t>
      </w:r>
      <w:r w:rsidR="00092528" w:rsidRPr="003A49C8">
        <w:rPr>
          <w:rFonts w:cs="Times New Roman"/>
          <w:szCs w:val="24"/>
        </w:rPr>
        <w:t>n</w:t>
      </w:r>
      <w:r w:rsidR="00971AD5" w:rsidRPr="003A49C8">
        <w:rPr>
          <w:rFonts w:cs="Times New Roman"/>
          <w:szCs w:val="24"/>
        </w:rPr>
        <w:t xml:space="preserve"> </w:t>
      </w:r>
      <w:r w:rsidR="00092528" w:rsidRPr="003A49C8">
        <w:rPr>
          <w:rFonts w:cs="Times New Roman"/>
          <w:szCs w:val="24"/>
        </w:rPr>
        <w:t xml:space="preserve">counterparts </w:t>
      </w:r>
      <w:r w:rsidR="0005692B" w:rsidRPr="003A49C8">
        <w:rPr>
          <w:rFonts w:cs="Times New Roman"/>
          <w:szCs w:val="24"/>
        </w:rPr>
        <w:t>(Health Management, 2022)</w:t>
      </w:r>
      <w:r w:rsidR="00971AD5" w:rsidRPr="003A49C8">
        <w:rPr>
          <w:rFonts w:cs="Times New Roman"/>
          <w:szCs w:val="24"/>
        </w:rPr>
        <w:t>.</w:t>
      </w:r>
    </w:p>
    <w:p w14:paraId="5AD1DBE2" w14:textId="44D0F0B8" w:rsidR="00971AD5" w:rsidRPr="003A49C8" w:rsidRDefault="003B43FC" w:rsidP="00E33705">
      <w:pPr>
        <w:ind w:firstLine="397"/>
        <w:rPr>
          <w:rFonts w:cs="Times New Roman"/>
          <w:szCs w:val="24"/>
        </w:rPr>
      </w:pPr>
      <w:r w:rsidRPr="003A49C8">
        <w:rPr>
          <w:rFonts w:cs="Times New Roman"/>
          <w:szCs w:val="24"/>
        </w:rPr>
        <w:t xml:space="preserve">Assuming </w:t>
      </w:r>
      <w:r w:rsidR="00795B2D" w:rsidRPr="003A49C8">
        <w:rPr>
          <w:rFonts w:cs="Times New Roman"/>
          <w:szCs w:val="24"/>
        </w:rPr>
        <w:t>that</w:t>
      </w:r>
      <w:r w:rsidRPr="003A49C8">
        <w:rPr>
          <w:rFonts w:cs="Times New Roman"/>
          <w:szCs w:val="24"/>
        </w:rPr>
        <w:t xml:space="preserve"> rural</w:t>
      </w:r>
      <w:r w:rsidR="00971AD5" w:rsidRPr="003A49C8">
        <w:rPr>
          <w:rFonts w:cs="Times New Roman"/>
          <w:szCs w:val="24"/>
        </w:rPr>
        <w:t xml:space="preserve"> healthcare providers </w:t>
      </w:r>
      <w:r w:rsidR="005A6BC6" w:rsidRPr="003A49C8">
        <w:rPr>
          <w:rFonts w:cs="Times New Roman"/>
          <w:szCs w:val="24"/>
        </w:rPr>
        <w:t>face greater risks and lower return</w:t>
      </w:r>
      <w:r w:rsidR="0027141B" w:rsidRPr="003A49C8">
        <w:rPr>
          <w:rFonts w:cs="Times New Roman"/>
          <w:szCs w:val="24"/>
        </w:rPr>
        <w:t>s</w:t>
      </w:r>
      <w:r w:rsidR="005A6BC6" w:rsidRPr="003A49C8">
        <w:rPr>
          <w:rFonts w:cs="Times New Roman"/>
          <w:szCs w:val="24"/>
        </w:rPr>
        <w:t>,</w:t>
      </w:r>
      <w:r w:rsidR="00971AD5" w:rsidRPr="003A49C8">
        <w:rPr>
          <w:rFonts w:cs="Times New Roman"/>
          <w:szCs w:val="24"/>
        </w:rPr>
        <w:t xml:space="preserve"> </w:t>
      </w:r>
      <w:proofErr w:type="spellStart"/>
      <w:r w:rsidR="00971AD5" w:rsidRPr="003A49C8">
        <w:rPr>
          <w:rFonts w:cs="Times New Roman"/>
          <w:szCs w:val="24"/>
        </w:rPr>
        <w:t>Siedlecki</w:t>
      </w:r>
      <w:proofErr w:type="spellEnd"/>
      <w:r w:rsidR="00971AD5" w:rsidRPr="003A49C8">
        <w:rPr>
          <w:rFonts w:cs="Times New Roman"/>
          <w:szCs w:val="24"/>
        </w:rPr>
        <w:t xml:space="preserve"> et al.</w:t>
      </w:r>
      <w:r w:rsidR="0005692B" w:rsidRPr="003A49C8">
        <w:rPr>
          <w:rFonts w:cs="Times New Roman"/>
          <w:szCs w:val="24"/>
        </w:rPr>
        <w:t xml:space="preserve"> </w:t>
      </w:r>
      <w:r w:rsidR="00FF56A3" w:rsidRPr="003A49C8">
        <w:rPr>
          <w:rFonts w:cs="Times New Roman"/>
          <w:szCs w:val="24"/>
        </w:rPr>
        <w:t>(</w:t>
      </w:r>
      <w:r w:rsidR="0005692B" w:rsidRPr="003A49C8">
        <w:rPr>
          <w:rFonts w:cs="Times New Roman"/>
          <w:szCs w:val="24"/>
        </w:rPr>
        <w:t>2016)</w:t>
      </w:r>
      <w:r w:rsidR="00971AD5" w:rsidRPr="003A49C8">
        <w:rPr>
          <w:rFonts w:cs="Times New Roman"/>
          <w:szCs w:val="24"/>
        </w:rPr>
        <w:t xml:space="preserve"> </w:t>
      </w:r>
      <w:r w:rsidR="00795B2D" w:rsidRPr="003A49C8">
        <w:rPr>
          <w:rFonts w:cs="Times New Roman"/>
          <w:szCs w:val="24"/>
        </w:rPr>
        <w:t xml:space="preserve">conduct an </w:t>
      </w:r>
      <w:r w:rsidR="00971AD5" w:rsidRPr="003A49C8">
        <w:rPr>
          <w:rFonts w:cs="Times New Roman"/>
          <w:szCs w:val="24"/>
        </w:rPr>
        <w:t>evaluat</w:t>
      </w:r>
      <w:r w:rsidR="00795B2D" w:rsidRPr="003A49C8">
        <w:rPr>
          <w:rFonts w:cs="Times New Roman"/>
          <w:szCs w:val="24"/>
        </w:rPr>
        <w:t>ion</w:t>
      </w:r>
      <w:r w:rsidR="00971AD5" w:rsidRPr="003A49C8">
        <w:rPr>
          <w:rFonts w:cs="Times New Roman"/>
          <w:szCs w:val="24"/>
        </w:rPr>
        <w:t xml:space="preserve"> and </w:t>
      </w:r>
      <w:r w:rsidR="00795B2D" w:rsidRPr="003A49C8">
        <w:rPr>
          <w:rFonts w:cs="Times New Roman"/>
          <w:szCs w:val="24"/>
        </w:rPr>
        <w:t>comparison of</w:t>
      </w:r>
      <w:r w:rsidR="00971AD5" w:rsidRPr="003A49C8">
        <w:rPr>
          <w:rFonts w:cs="Times New Roman"/>
          <w:szCs w:val="24"/>
        </w:rPr>
        <w:t xml:space="preserve"> rural and urban hospitals in Poland. </w:t>
      </w:r>
      <w:r w:rsidR="005A6BC6" w:rsidRPr="003A49C8">
        <w:rPr>
          <w:rFonts w:cs="Times New Roman"/>
          <w:szCs w:val="24"/>
        </w:rPr>
        <w:t xml:space="preserve">They use various </w:t>
      </w:r>
      <w:r w:rsidR="00971AD5" w:rsidRPr="003A49C8">
        <w:rPr>
          <w:rFonts w:cs="Times New Roman"/>
          <w:szCs w:val="24"/>
        </w:rPr>
        <w:t xml:space="preserve">metrics including </w:t>
      </w:r>
      <w:r w:rsidR="00092528" w:rsidRPr="003A49C8">
        <w:rPr>
          <w:rFonts w:cs="Times New Roman"/>
          <w:szCs w:val="24"/>
        </w:rPr>
        <w:t xml:space="preserve">hospital indebtedness rate, labour costs, net income margin, </w:t>
      </w:r>
      <w:r w:rsidR="00971AD5" w:rsidRPr="003A49C8">
        <w:rPr>
          <w:rFonts w:cs="Times New Roman"/>
          <w:szCs w:val="24"/>
        </w:rPr>
        <w:t>operational margin ratio,</w:t>
      </w:r>
      <w:r w:rsidR="00092528" w:rsidRPr="003A49C8">
        <w:rPr>
          <w:rFonts w:cs="Times New Roman"/>
          <w:szCs w:val="24"/>
        </w:rPr>
        <w:t xml:space="preserve"> and return on assets </w:t>
      </w:r>
      <w:r w:rsidR="005A6BC6" w:rsidRPr="003A49C8">
        <w:rPr>
          <w:rFonts w:cs="Times New Roman"/>
          <w:szCs w:val="24"/>
        </w:rPr>
        <w:t>to analyse the risks to healthcare</w:t>
      </w:r>
      <w:r w:rsidR="00971AD5" w:rsidRPr="003A49C8">
        <w:rPr>
          <w:rFonts w:cs="Times New Roman"/>
          <w:szCs w:val="24"/>
        </w:rPr>
        <w:t xml:space="preserve">. Their </w:t>
      </w:r>
      <w:r w:rsidR="005A6BC6" w:rsidRPr="003A49C8">
        <w:rPr>
          <w:rFonts w:cs="Times New Roman"/>
          <w:szCs w:val="24"/>
        </w:rPr>
        <w:t xml:space="preserve">empirical findings show that </w:t>
      </w:r>
      <w:r w:rsidR="00971AD5" w:rsidRPr="003A49C8">
        <w:rPr>
          <w:rFonts w:cs="Times New Roman"/>
          <w:szCs w:val="24"/>
        </w:rPr>
        <w:t>despite being smaller, rural hospitals ha</w:t>
      </w:r>
      <w:r w:rsidR="00DC6566" w:rsidRPr="003A49C8">
        <w:rPr>
          <w:rFonts w:cs="Times New Roman"/>
          <w:szCs w:val="24"/>
        </w:rPr>
        <w:t>ve</w:t>
      </w:r>
      <w:r w:rsidR="00971AD5" w:rsidRPr="003A49C8">
        <w:rPr>
          <w:rFonts w:cs="Times New Roman"/>
          <w:szCs w:val="24"/>
        </w:rPr>
        <w:t xml:space="preserve"> significantly lower </w:t>
      </w:r>
      <w:r w:rsidR="005A6BC6" w:rsidRPr="003A49C8">
        <w:rPr>
          <w:rFonts w:cs="Times New Roman"/>
          <w:szCs w:val="24"/>
        </w:rPr>
        <w:t xml:space="preserve">financial risks and are </w:t>
      </w:r>
      <w:r w:rsidR="00DC6566" w:rsidRPr="003A49C8">
        <w:rPr>
          <w:rFonts w:cs="Times New Roman"/>
          <w:szCs w:val="24"/>
        </w:rPr>
        <w:t xml:space="preserve">financially </w:t>
      </w:r>
      <w:r w:rsidR="00833EC5" w:rsidRPr="003A49C8">
        <w:rPr>
          <w:rFonts w:cs="Times New Roman"/>
          <w:szCs w:val="24"/>
        </w:rPr>
        <w:t>healthier</w:t>
      </w:r>
      <w:r w:rsidR="00971AD5" w:rsidRPr="003A49C8">
        <w:rPr>
          <w:rFonts w:cs="Times New Roman"/>
          <w:szCs w:val="24"/>
        </w:rPr>
        <w:t xml:space="preserve"> in terms of liquidity and performance.</w:t>
      </w:r>
      <w:r w:rsidR="005A6BC6" w:rsidRPr="003A49C8">
        <w:rPr>
          <w:rFonts w:cs="Times New Roman"/>
          <w:szCs w:val="24"/>
        </w:rPr>
        <w:t xml:space="preserve"> </w:t>
      </w:r>
      <w:r w:rsidR="0027141B" w:rsidRPr="003A49C8">
        <w:rPr>
          <w:rFonts w:cs="Times New Roman"/>
          <w:szCs w:val="24"/>
        </w:rPr>
        <w:t>A s</w:t>
      </w:r>
      <w:r w:rsidR="005A6BC6" w:rsidRPr="003A49C8">
        <w:rPr>
          <w:rFonts w:cs="Times New Roman"/>
          <w:szCs w:val="24"/>
        </w:rPr>
        <w:t>imi</w:t>
      </w:r>
      <w:r w:rsidR="0027141B" w:rsidRPr="003A49C8">
        <w:rPr>
          <w:rFonts w:cs="Times New Roman"/>
          <w:szCs w:val="24"/>
        </w:rPr>
        <w:t>lar</w:t>
      </w:r>
      <w:r w:rsidR="005A6BC6" w:rsidRPr="003A49C8">
        <w:rPr>
          <w:rFonts w:cs="Times New Roman"/>
          <w:szCs w:val="24"/>
        </w:rPr>
        <w:t xml:space="preserve"> study by </w:t>
      </w:r>
      <w:r w:rsidR="000F7921" w:rsidRPr="003A49C8">
        <w:rPr>
          <w:rFonts w:cs="Times New Roman"/>
          <w:szCs w:val="24"/>
        </w:rPr>
        <w:t>Guimar</w:t>
      </w:r>
      <w:r w:rsidR="002F789D">
        <w:rPr>
          <w:rFonts w:cs="Times New Roman"/>
          <w:szCs w:val="24"/>
        </w:rPr>
        <w:t>a</w:t>
      </w:r>
      <w:r w:rsidR="000F7921" w:rsidRPr="003A49C8">
        <w:rPr>
          <w:rFonts w:cs="Times New Roman"/>
          <w:szCs w:val="24"/>
        </w:rPr>
        <w:t xml:space="preserve">es and </w:t>
      </w:r>
      <w:proofErr w:type="spellStart"/>
      <w:r w:rsidR="000F7921" w:rsidRPr="003A49C8">
        <w:rPr>
          <w:rFonts w:cs="Times New Roman"/>
          <w:szCs w:val="24"/>
        </w:rPr>
        <w:t>Nossa</w:t>
      </w:r>
      <w:proofErr w:type="spellEnd"/>
      <w:r w:rsidR="000F7921" w:rsidRPr="003A49C8">
        <w:rPr>
          <w:rFonts w:cs="Times New Roman"/>
          <w:szCs w:val="24"/>
        </w:rPr>
        <w:t xml:space="preserve"> </w:t>
      </w:r>
      <w:r w:rsidR="0005692B" w:rsidRPr="003A49C8">
        <w:rPr>
          <w:rFonts w:cs="Times New Roman"/>
          <w:szCs w:val="24"/>
        </w:rPr>
        <w:t>(2010)</w:t>
      </w:r>
      <w:r w:rsidR="000F7921" w:rsidRPr="003A49C8">
        <w:rPr>
          <w:rFonts w:cs="Times New Roman"/>
          <w:szCs w:val="24"/>
        </w:rPr>
        <w:t xml:space="preserve"> focus</w:t>
      </w:r>
      <w:r w:rsidR="00DC6566" w:rsidRPr="003A49C8">
        <w:rPr>
          <w:rFonts w:cs="Times New Roman"/>
          <w:szCs w:val="24"/>
        </w:rPr>
        <w:t>es</w:t>
      </w:r>
      <w:r w:rsidR="000F7921" w:rsidRPr="003A49C8">
        <w:rPr>
          <w:rFonts w:cs="Times New Roman"/>
          <w:szCs w:val="24"/>
        </w:rPr>
        <w:t xml:space="preserve"> </w:t>
      </w:r>
      <w:r w:rsidR="0027141B" w:rsidRPr="003A49C8">
        <w:rPr>
          <w:rFonts w:cs="Times New Roman"/>
          <w:szCs w:val="24"/>
        </w:rPr>
        <w:t>on</w:t>
      </w:r>
      <w:r w:rsidR="000F7921" w:rsidRPr="003A49C8">
        <w:rPr>
          <w:rFonts w:cs="Times New Roman"/>
          <w:szCs w:val="24"/>
        </w:rPr>
        <w:t xml:space="preserve"> how much the capital structure influence</w:t>
      </w:r>
      <w:r w:rsidR="0027141B" w:rsidRPr="003A49C8">
        <w:rPr>
          <w:rFonts w:cs="Times New Roman"/>
          <w:szCs w:val="24"/>
        </w:rPr>
        <w:t>s</w:t>
      </w:r>
      <w:r w:rsidR="000F7921" w:rsidRPr="003A49C8">
        <w:rPr>
          <w:rFonts w:cs="Times New Roman"/>
          <w:szCs w:val="24"/>
        </w:rPr>
        <w:t xml:space="preserve"> </w:t>
      </w:r>
      <w:r w:rsidR="00DC6566" w:rsidRPr="003A49C8">
        <w:rPr>
          <w:rFonts w:cs="Times New Roman"/>
          <w:szCs w:val="24"/>
        </w:rPr>
        <w:t>healthcare</w:t>
      </w:r>
      <w:r w:rsidR="000F7921" w:rsidRPr="003A49C8">
        <w:rPr>
          <w:rFonts w:cs="Times New Roman"/>
          <w:szCs w:val="24"/>
        </w:rPr>
        <w:t xml:space="preserve"> profitability</w:t>
      </w:r>
      <w:r w:rsidR="005A6BC6" w:rsidRPr="003A49C8">
        <w:rPr>
          <w:rFonts w:cs="Times New Roman"/>
          <w:szCs w:val="24"/>
        </w:rPr>
        <w:t xml:space="preserve"> and financial risks</w:t>
      </w:r>
      <w:r w:rsidR="00DC6566" w:rsidRPr="003A49C8">
        <w:rPr>
          <w:rFonts w:cs="Times New Roman"/>
          <w:szCs w:val="24"/>
        </w:rPr>
        <w:t xml:space="preserve"> and finds </w:t>
      </w:r>
      <w:r w:rsidR="000F7921" w:rsidRPr="003A49C8">
        <w:rPr>
          <w:rFonts w:cs="Times New Roman"/>
          <w:szCs w:val="24"/>
        </w:rPr>
        <w:t>that businesses with the following working capital structures achieved greater levels of performance</w:t>
      </w:r>
      <w:r w:rsidR="00833EC5" w:rsidRPr="003A49C8">
        <w:rPr>
          <w:rFonts w:cs="Times New Roman"/>
          <w:szCs w:val="24"/>
        </w:rPr>
        <w:t xml:space="preserve"> and lower risks</w:t>
      </w:r>
      <w:r w:rsidR="00FF56A3" w:rsidRPr="003A49C8">
        <w:rPr>
          <w:rFonts w:cs="Times New Roman"/>
          <w:szCs w:val="24"/>
        </w:rPr>
        <w:t xml:space="preserve">. </w:t>
      </w:r>
      <w:proofErr w:type="spellStart"/>
      <w:r w:rsidR="000F7921" w:rsidRPr="003A49C8">
        <w:rPr>
          <w:rFonts w:cs="Times New Roman"/>
          <w:szCs w:val="24"/>
        </w:rPr>
        <w:t>Creixans-Tenas</w:t>
      </w:r>
      <w:proofErr w:type="spellEnd"/>
      <w:r w:rsidR="000F7921" w:rsidRPr="003A49C8">
        <w:rPr>
          <w:rFonts w:cs="Times New Roman"/>
          <w:szCs w:val="24"/>
        </w:rPr>
        <w:t xml:space="preserve"> and </w:t>
      </w:r>
      <w:proofErr w:type="spellStart"/>
      <w:r w:rsidR="000F7921" w:rsidRPr="003A49C8">
        <w:rPr>
          <w:rFonts w:cs="Times New Roman"/>
          <w:szCs w:val="24"/>
        </w:rPr>
        <w:t>Arimany-Serrat</w:t>
      </w:r>
      <w:proofErr w:type="spellEnd"/>
      <w:r w:rsidR="0005692B" w:rsidRPr="003A49C8">
        <w:rPr>
          <w:rFonts w:cs="Times New Roman"/>
          <w:szCs w:val="24"/>
        </w:rPr>
        <w:t xml:space="preserve"> (2018)</w:t>
      </w:r>
      <w:r w:rsidR="000F7921" w:rsidRPr="003A49C8">
        <w:rPr>
          <w:rFonts w:cs="Times New Roman"/>
          <w:szCs w:val="24"/>
        </w:rPr>
        <w:t xml:space="preserve"> examine the </w:t>
      </w:r>
      <w:r w:rsidR="00DC6566" w:rsidRPr="003A49C8">
        <w:rPr>
          <w:rFonts w:cs="Times New Roman"/>
          <w:szCs w:val="24"/>
        </w:rPr>
        <w:t xml:space="preserve">financial and non-financial </w:t>
      </w:r>
      <w:r w:rsidR="000F7921" w:rsidRPr="003A49C8">
        <w:rPr>
          <w:rFonts w:cs="Times New Roman"/>
          <w:szCs w:val="24"/>
        </w:rPr>
        <w:t>performance levels of</w:t>
      </w:r>
      <w:r w:rsidR="0091626F" w:rsidRPr="003A49C8">
        <w:rPr>
          <w:rFonts w:cs="Times New Roman"/>
          <w:szCs w:val="24"/>
        </w:rPr>
        <w:t xml:space="preserve"> </w:t>
      </w:r>
      <w:r w:rsidR="000F7921" w:rsidRPr="003A49C8">
        <w:rPr>
          <w:rFonts w:cs="Times New Roman"/>
          <w:szCs w:val="24"/>
        </w:rPr>
        <w:t xml:space="preserve">Spanish healthcare </w:t>
      </w:r>
      <w:r w:rsidR="00FF56A3" w:rsidRPr="003A49C8">
        <w:rPr>
          <w:rFonts w:cs="Times New Roman"/>
          <w:szCs w:val="24"/>
        </w:rPr>
        <w:t>firms</w:t>
      </w:r>
      <w:r w:rsidR="0091626F" w:rsidRPr="003A49C8">
        <w:rPr>
          <w:rFonts w:cs="Times New Roman"/>
          <w:szCs w:val="24"/>
        </w:rPr>
        <w:t xml:space="preserve"> </w:t>
      </w:r>
      <w:r w:rsidR="00DC6566" w:rsidRPr="003A49C8">
        <w:rPr>
          <w:rFonts w:cs="Times New Roman"/>
          <w:szCs w:val="24"/>
        </w:rPr>
        <w:t>based</w:t>
      </w:r>
      <w:r w:rsidR="0091626F" w:rsidRPr="003A49C8">
        <w:rPr>
          <w:rFonts w:cs="Times New Roman"/>
          <w:szCs w:val="24"/>
        </w:rPr>
        <w:t xml:space="preserve"> on liquidity, indebtedness</w:t>
      </w:r>
      <w:r w:rsidR="000F7921" w:rsidRPr="003A49C8">
        <w:rPr>
          <w:rFonts w:cs="Times New Roman"/>
          <w:szCs w:val="24"/>
        </w:rPr>
        <w:t xml:space="preserve">, firm size, legal structure, </w:t>
      </w:r>
      <w:r w:rsidR="0091626F" w:rsidRPr="003A49C8">
        <w:rPr>
          <w:rFonts w:cs="Times New Roman"/>
          <w:szCs w:val="24"/>
        </w:rPr>
        <w:t>national income level</w:t>
      </w:r>
      <w:r w:rsidR="000F7921" w:rsidRPr="003A49C8">
        <w:rPr>
          <w:rFonts w:cs="Times New Roman"/>
          <w:szCs w:val="24"/>
        </w:rPr>
        <w:t>, population density, and measures of corporate social responsibility.</w:t>
      </w:r>
      <w:r w:rsidR="0091626F" w:rsidRPr="003A49C8">
        <w:rPr>
          <w:rFonts w:cs="Times New Roman"/>
          <w:szCs w:val="24"/>
        </w:rPr>
        <w:t xml:space="preserve"> Their results show that </w:t>
      </w:r>
      <w:r w:rsidR="00C74298" w:rsidRPr="003A49C8">
        <w:rPr>
          <w:rFonts w:cs="Times New Roman"/>
          <w:szCs w:val="24"/>
        </w:rPr>
        <w:t>except for</w:t>
      </w:r>
      <w:r w:rsidR="000F7921" w:rsidRPr="003A49C8">
        <w:rPr>
          <w:rFonts w:cs="Times New Roman"/>
          <w:szCs w:val="24"/>
        </w:rPr>
        <w:t xml:space="preserve"> firm</w:t>
      </w:r>
      <w:r w:rsidR="0027141B" w:rsidRPr="003A49C8">
        <w:rPr>
          <w:rFonts w:cs="Times New Roman"/>
          <w:szCs w:val="24"/>
        </w:rPr>
        <w:t>s’</w:t>
      </w:r>
      <w:r w:rsidR="000F7921" w:rsidRPr="003A49C8">
        <w:rPr>
          <w:rFonts w:cs="Times New Roman"/>
          <w:szCs w:val="24"/>
        </w:rPr>
        <w:t xml:space="preserve"> size and legal structure, all factors significantly affect healthcare</w:t>
      </w:r>
      <w:r w:rsidR="0091626F" w:rsidRPr="003A49C8">
        <w:rPr>
          <w:rFonts w:cs="Times New Roman"/>
          <w:szCs w:val="24"/>
        </w:rPr>
        <w:t xml:space="preserve"> sector</w:t>
      </w:r>
      <w:r w:rsidR="00DC6566" w:rsidRPr="003A49C8">
        <w:rPr>
          <w:rFonts w:cs="Times New Roman"/>
          <w:szCs w:val="24"/>
        </w:rPr>
        <w:t xml:space="preserve"> </w:t>
      </w:r>
      <w:r w:rsidR="00DC6566" w:rsidRPr="003A49C8">
        <w:rPr>
          <w:rFonts w:cs="Times New Roman"/>
          <w:szCs w:val="24"/>
        </w:rPr>
        <w:lastRenderedPageBreak/>
        <w:t>performance</w:t>
      </w:r>
      <w:r w:rsidR="0091626F" w:rsidRPr="003A49C8">
        <w:rPr>
          <w:rFonts w:cs="Times New Roman"/>
          <w:szCs w:val="24"/>
        </w:rPr>
        <w:t xml:space="preserve">. </w:t>
      </w:r>
      <w:r w:rsidR="00DC6566" w:rsidRPr="003A49C8">
        <w:rPr>
          <w:rFonts w:cs="Times New Roman"/>
          <w:szCs w:val="24"/>
        </w:rPr>
        <w:t xml:space="preserve">Their results </w:t>
      </w:r>
      <w:r w:rsidR="0091626F" w:rsidRPr="003A49C8">
        <w:rPr>
          <w:rFonts w:cs="Times New Roman"/>
          <w:szCs w:val="24"/>
        </w:rPr>
        <w:t>impl</w:t>
      </w:r>
      <w:r w:rsidR="00DC6566" w:rsidRPr="003A49C8">
        <w:rPr>
          <w:rFonts w:cs="Times New Roman"/>
          <w:szCs w:val="24"/>
        </w:rPr>
        <w:t>y</w:t>
      </w:r>
      <w:r w:rsidR="0091626F" w:rsidRPr="003A49C8">
        <w:rPr>
          <w:rFonts w:cs="Times New Roman"/>
          <w:szCs w:val="24"/>
        </w:rPr>
        <w:t xml:space="preserve"> that these factors could have implications for the risks faced by healthcare. In a later study, </w:t>
      </w:r>
      <w:r w:rsidR="000F7921" w:rsidRPr="003A49C8">
        <w:rPr>
          <w:rFonts w:cs="Times New Roman"/>
          <w:szCs w:val="24"/>
        </w:rPr>
        <w:t xml:space="preserve">Lim and </w:t>
      </w:r>
      <w:proofErr w:type="spellStart"/>
      <w:r w:rsidR="000F7921" w:rsidRPr="003A49C8">
        <w:rPr>
          <w:rFonts w:cs="Times New Roman"/>
          <w:szCs w:val="24"/>
        </w:rPr>
        <w:t>Rokhim</w:t>
      </w:r>
      <w:r w:rsidR="0027141B" w:rsidRPr="003A49C8">
        <w:rPr>
          <w:rFonts w:cs="Times New Roman"/>
          <w:szCs w:val="24"/>
        </w:rPr>
        <w:t>'s</w:t>
      </w:r>
      <w:proofErr w:type="spellEnd"/>
      <w:r w:rsidR="000F7921" w:rsidRPr="003A49C8">
        <w:rPr>
          <w:rFonts w:cs="Times New Roman"/>
          <w:szCs w:val="24"/>
        </w:rPr>
        <w:t xml:space="preserve"> </w:t>
      </w:r>
      <w:r w:rsidR="0005692B" w:rsidRPr="003A49C8">
        <w:rPr>
          <w:rFonts w:cs="Times New Roman"/>
          <w:szCs w:val="24"/>
        </w:rPr>
        <w:t>(2021</w:t>
      </w:r>
      <w:r w:rsidR="0091626F" w:rsidRPr="003A49C8">
        <w:rPr>
          <w:rFonts w:cs="Times New Roman"/>
          <w:szCs w:val="24"/>
        </w:rPr>
        <w:t>) analysis o</w:t>
      </w:r>
      <w:r w:rsidR="0027141B" w:rsidRPr="003A49C8">
        <w:rPr>
          <w:rFonts w:cs="Times New Roman"/>
          <w:szCs w:val="24"/>
        </w:rPr>
        <w:t>f</w:t>
      </w:r>
      <w:r w:rsidR="0091626F" w:rsidRPr="003A49C8">
        <w:rPr>
          <w:rFonts w:cs="Times New Roman"/>
          <w:szCs w:val="24"/>
        </w:rPr>
        <w:t xml:space="preserve"> </w:t>
      </w:r>
      <w:r w:rsidR="000F7921" w:rsidRPr="003A49C8">
        <w:rPr>
          <w:rFonts w:cs="Times New Roman"/>
          <w:szCs w:val="24"/>
        </w:rPr>
        <w:t>Indonesia</w:t>
      </w:r>
      <w:r w:rsidR="0091626F" w:rsidRPr="003A49C8">
        <w:rPr>
          <w:rFonts w:cs="Times New Roman"/>
          <w:szCs w:val="24"/>
        </w:rPr>
        <w:t xml:space="preserve"> show</w:t>
      </w:r>
      <w:r w:rsidR="00EB5C1D" w:rsidRPr="003A49C8">
        <w:rPr>
          <w:rFonts w:cs="Times New Roman"/>
          <w:szCs w:val="24"/>
        </w:rPr>
        <w:t>s</w:t>
      </w:r>
      <w:r w:rsidR="0091626F" w:rsidRPr="003A49C8">
        <w:rPr>
          <w:rFonts w:cs="Times New Roman"/>
          <w:szCs w:val="24"/>
        </w:rPr>
        <w:t xml:space="preserve"> that </w:t>
      </w:r>
      <w:r w:rsidR="00EB5C1D" w:rsidRPr="003A49C8">
        <w:rPr>
          <w:rFonts w:cs="Times New Roman"/>
          <w:szCs w:val="24"/>
        </w:rPr>
        <w:t xml:space="preserve">the </w:t>
      </w:r>
      <w:r w:rsidR="0040248B" w:rsidRPr="003A49C8">
        <w:rPr>
          <w:rFonts w:cs="Times New Roman"/>
          <w:szCs w:val="24"/>
        </w:rPr>
        <w:t xml:space="preserve">Lerner index, </w:t>
      </w:r>
      <w:r w:rsidR="0091626F" w:rsidRPr="003A49C8">
        <w:rPr>
          <w:rFonts w:cs="Times New Roman"/>
          <w:szCs w:val="24"/>
        </w:rPr>
        <w:t>liquidity,</w:t>
      </w:r>
      <w:r w:rsidR="000F7921" w:rsidRPr="003A49C8">
        <w:rPr>
          <w:rFonts w:cs="Times New Roman"/>
          <w:szCs w:val="24"/>
        </w:rPr>
        <w:t xml:space="preserve"> sustainable growth ratio, </w:t>
      </w:r>
      <w:r w:rsidR="0040248B" w:rsidRPr="003A49C8">
        <w:rPr>
          <w:rFonts w:cs="Times New Roman"/>
          <w:szCs w:val="24"/>
        </w:rPr>
        <w:t xml:space="preserve">and </w:t>
      </w:r>
      <w:r w:rsidR="000F7921" w:rsidRPr="003A49C8">
        <w:rPr>
          <w:rFonts w:cs="Times New Roman"/>
          <w:szCs w:val="24"/>
        </w:rPr>
        <w:t>total sales</w:t>
      </w:r>
      <w:r w:rsidR="0040248B" w:rsidRPr="003A49C8">
        <w:rPr>
          <w:rFonts w:cs="Times New Roman"/>
          <w:szCs w:val="24"/>
        </w:rPr>
        <w:t xml:space="preserve"> have</w:t>
      </w:r>
      <w:r w:rsidR="000F7921" w:rsidRPr="003A49C8">
        <w:rPr>
          <w:rFonts w:cs="Times New Roman"/>
          <w:szCs w:val="24"/>
        </w:rPr>
        <w:t xml:space="preserve"> a substantial impact on the</w:t>
      </w:r>
      <w:r w:rsidR="0091626F" w:rsidRPr="003A49C8">
        <w:rPr>
          <w:rFonts w:cs="Times New Roman"/>
          <w:szCs w:val="24"/>
        </w:rPr>
        <w:t xml:space="preserve"> health sector</w:t>
      </w:r>
      <w:r w:rsidR="000F7921" w:rsidRPr="003A49C8">
        <w:rPr>
          <w:rFonts w:cs="Times New Roman"/>
          <w:szCs w:val="24"/>
        </w:rPr>
        <w:t xml:space="preserve"> company's performance.</w:t>
      </w:r>
      <w:r w:rsidR="0091626F" w:rsidRPr="003A49C8">
        <w:rPr>
          <w:rFonts w:cs="Times New Roman"/>
          <w:szCs w:val="24"/>
        </w:rPr>
        <w:t xml:space="preserve"> Most recently, </w:t>
      </w:r>
      <w:r w:rsidR="000F7921" w:rsidRPr="003A49C8">
        <w:rPr>
          <w:rFonts w:cs="Times New Roman"/>
          <w:szCs w:val="24"/>
        </w:rPr>
        <w:t xml:space="preserve">King </w:t>
      </w:r>
      <w:r w:rsidR="0005692B" w:rsidRPr="003A49C8">
        <w:rPr>
          <w:rFonts w:cs="Times New Roman"/>
          <w:szCs w:val="24"/>
        </w:rPr>
        <w:t>(2022)</w:t>
      </w:r>
      <w:r w:rsidR="000F7921" w:rsidRPr="003A49C8">
        <w:rPr>
          <w:rFonts w:cs="Times New Roman"/>
          <w:szCs w:val="24"/>
        </w:rPr>
        <w:t xml:space="preserve"> </w:t>
      </w:r>
      <w:r w:rsidR="00092528" w:rsidRPr="003A49C8">
        <w:rPr>
          <w:rFonts w:cs="Times New Roman"/>
          <w:szCs w:val="24"/>
        </w:rPr>
        <w:t>concludes</w:t>
      </w:r>
      <w:r w:rsidR="000F7921" w:rsidRPr="003A49C8">
        <w:rPr>
          <w:rFonts w:cs="Times New Roman"/>
          <w:szCs w:val="24"/>
        </w:rPr>
        <w:t xml:space="preserve"> that performance levels </w:t>
      </w:r>
      <w:r w:rsidR="0091626F" w:rsidRPr="003A49C8">
        <w:rPr>
          <w:rFonts w:cs="Times New Roman"/>
          <w:szCs w:val="24"/>
        </w:rPr>
        <w:t xml:space="preserve">during COVID-19 </w:t>
      </w:r>
      <w:r w:rsidR="0040248B" w:rsidRPr="003A49C8">
        <w:rPr>
          <w:rFonts w:cs="Times New Roman"/>
          <w:szCs w:val="24"/>
        </w:rPr>
        <w:t>were</w:t>
      </w:r>
      <w:r w:rsidR="000F7921" w:rsidRPr="003A49C8">
        <w:rPr>
          <w:rFonts w:cs="Times New Roman"/>
          <w:szCs w:val="24"/>
        </w:rPr>
        <w:t xml:space="preserve"> mostly impacted by the global health crisis after taking into </w:t>
      </w:r>
      <w:r w:rsidR="0040248B" w:rsidRPr="003A49C8">
        <w:rPr>
          <w:rFonts w:cs="Times New Roman"/>
          <w:szCs w:val="24"/>
        </w:rPr>
        <w:t xml:space="preserve">account </w:t>
      </w:r>
      <w:r w:rsidR="000F7921" w:rsidRPr="003A49C8">
        <w:rPr>
          <w:rFonts w:cs="Times New Roman"/>
          <w:szCs w:val="24"/>
        </w:rPr>
        <w:t>data from prominent hospital chains in the USA. On the other hand, due to narrower profit margins, smaller healthcare faciliti</w:t>
      </w:r>
      <w:r w:rsidR="0091626F" w:rsidRPr="003A49C8">
        <w:rPr>
          <w:rFonts w:cs="Times New Roman"/>
          <w:szCs w:val="24"/>
        </w:rPr>
        <w:t xml:space="preserve">es experience severe risks </w:t>
      </w:r>
      <w:r w:rsidR="000F7921" w:rsidRPr="003A49C8">
        <w:rPr>
          <w:rFonts w:cs="Times New Roman"/>
          <w:szCs w:val="24"/>
        </w:rPr>
        <w:t>during the health crisis.</w:t>
      </w:r>
    </w:p>
    <w:p w14:paraId="72844B0B" w14:textId="7D7E216A" w:rsidR="00256337" w:rsidRPr="003A49C8" w:rsidRDefault="00320DC8" w:rsidP="00E33705">
      <w:pPr>
        <w:pStyle w:val="Heading2"/>
      </w:pPr>
      <w:r w:rsidRPr="003A49C8">
        <w:t xml:space="preserve">2.4 </w:t>
      </w:r>
      <w:r w:rsidR="000908DB" w:rsidRPr="003A49C8">
        <w:t xml:space="preserve">Related </w:t>
      </w:r>
      <w:r w:rsidR="00841BD7" w:rsidRPr="003A49C8">
        <w:t>L</w:t>
      </w:r>
      <w:r w:rsidR="000908DB" w:rsidRPr="003A49C8">
        <w:t>iterature on Extreme Value Theory</w:t>
      </w:r>
      <w:r w:rsidR="00B25F71" w:rsidRPr="003A49C8">
        <w:t xml:space="preserve"> and Risk Analysis </w:t>
      </w:r>
    </w:p>
    <w:p w14:paraId="5058F08F" w14:textId="633A2645" w:rsidR="000908DB" w:rsidRPr="003A49C8" w:rsidRDefault="000908DB" w:rsidP="005D161F">
      <w:pPr>
        <w:rPr>
          <w:rFonts w:cs="Times New Roman"/>
          <w:szCs w:val="24"/>
        </w:rPr>
      </w:pPr>
      <w:r w:rsidRPr="003A49C8">
        <w:rPr>
          <w:rFonts w:cs="Times New Roman"/>
          <w:szCs w:val="24"/>
        </w:rPr>
        <w:t xml:space="preserve">Several </w:t>
      </w:r>
      <w:r w:rsidR="00562E0A" w:rsidRPr="003A49C8">
        <w:rPr>
          <w:rFonts w:cs="Times New Roman"/>
          <w:szCs w:val="24"/>
        </w:rPr>
        <w:t>studies</w:t>
      </w:r>
      <w:r w:rsidR="000313A6" w:rsidRPr="003A49C8">
        <w:rPr>
          <w:rFonts w:cs="Times New Roman"/>
          <w:szCs w:val="24"/>
        </w:rPr>
        <w:t xml:space="preserve"> ranging from social science to engineering</w:t>
      </w:r>
      <w:r w:rsidRPr="003A49C8">
        <w:rPr>
          <w:rFonts w:cs="Times New Roman"/>
          <w:szCs w:val="24"/>
        </w:rPr>
        <w:t xml:space="preserve"> have made extensive use of extreme value theory (EVT) (</w:t>
      </w:r>
      <w:r w:rsidR="009417CA" w:rsidRPr="003A49C8">
        <w:rPr>
          <w:rFonts w:cs="Times New Roman"/>
          <w:szCs w:val="24"/>
        </w:rPr>
        <w:t xml:space="preserve">e.g., </w:t>
      </w:r>
      <w:r w:rsidR="00FF56A3" w:rsidRPr="003A49C8">
        <w:rPr>
          <w:rFonts w:cs="Times New Roman"/>
          <w:szCs w:val="24"/>
        </w:rPr>
        <w:t xml:space="preserve">see </w:t>
      </w:r>
      <w:proofErr w:type="spellStart"/>
      <w:r w:rsidRPr="003A49C8">
        <w:rPr>
          <w:rFonts w:cs="Times New Roman"/>
          <w:szCs w:val="24"/>
        </w:rPr>
        <w:t>Giesecke</w:t>
      </w:r>
      <w:proofErr w:type="spellEnd"/>
      <w:r w:rsidRPr="003A49C8">
        <w:rPr>
          <w:rFonts w:cs="Times New Roman"/>
          <w:szCs w:val="24"/>
        </w:rPr>
        <w:t xml:space="preserve"> </w:t>
      </w:r>
      <w:r w:rsidR="008C0623">
        <w:rPr>
          <w:rFonts w:cs="Times New Roman"/>
          <w:szCs w:val="24"/>
        </w:rPr>
        <w:t>&amp;</w:t>
      </w:r>
      <w:r w:rsidRPr="003A49C8">
        <w:rPr>
          <w:rFonts w:cs="Times New Roman"/>
          <w:szCs w:val="24"/>
        </w:rPr>
        <w:t xml:space="preserve"> Goldberg, 2005; Liu, 2013). It has also been used to analyse financial market </w:t>
      </w:r>
      <w:r w:rsidR="00ED2C87" w:rsidRPr="003A49C8">
        <w:rPr>
          <w:rFonts w:cs="Times New Roman"/>
          <w:szCs w:val="24"/>
        </w:rPr>
        <w:t xml:space="preserve">risks </w:t>
      </w:r>
      <w:r w:rsidRPr="003A49C8">
        <w:rPr>
          <w:rFonts w:cs="Times New Roman"/>
          <w:szCs w:val="24"/>
        </w:rPr>
        <w:t xml:space="preserve">in relation to the global financial </w:t>
      </w:r>
      <w:r w:rsidR="00562E0A" w:rsidRPr="003A49C8">
        <w:rPr>
          <w:rFonts w:cs="Times New Roman"/>
          <w:szCs w:val="24"/>
        </w:rPr>
        <w:t>crisis</w:t>
      </w:r>
      <w:r w:rsidRPr="003A49C8">
        <w:rPr>
          <w:rFonts w:cs="Times New Roman"/>
          <w:szCs w:val="24"/>
        </w:rPr>
        <w:t xml:space="preserve">. The tails of financial data series have been studied by McNeil and Frey (2000), Danielsson and De Vries (2000), </w:t>
      </w:r>
      <w:proofErr w:type="spellStart"/>
      <w:r w:rsidRPr="003A49C8">
        <w:rPr>
          <w:rFonts w:cs="Times New Roman"/>
          <w:szCs w:val="24"/>
        </w:rPr>
        <w:t>Neftci</w:t>
      </w:r>
      <w:proofErr w:type="spellEnd"/>
      <w:r w:rsidRPr="003A49C8">
        <w:rPr>
          <w:rFonts w:cs="Times New Roman"/>
          <w:szCs w:val="24"/>
        </w:rPr>
        <w:t xml:space="preserve"> (2000), Hartmann et al. </w:t>
      </w:r>
      <w:r w:rsidR="00184E65" w:rsidRPr="003A49C8">
        <w:rPr>
          <w:rFonts w:cs="Times New Roman"/>
          <w:szCs w:val="24"/>
        </w:rPr>
        <w:t>(2004)</w:t>
      </w:r>
      <w:r w:rsidRPr="003A49C8">
        <w:rPr>
          <w:rFonts w:cs="Times New Roman"/>
          <w:szCs w:val="24"/>
        </w:rPr>
        <w:t>, Straetmans et al. (2008) and Onour (2010). Extreme value theory is one of the best methods, according to Zhao (2020), for analysing the financial markets</w:t>
      </w:r>
      <w:r w:rsidR="009417CA" w:rsidRPr="003A49C8">
        <w:rPr>
          <w:rFonts w:cs="Times New Roman"/>
          <w:szCs w:val="24"/>
        </w:rPr>
        <w:t>’</w:t>
      </w:r>
      <w:r w:rsidRPr="003A49C8">
        <w:rPr>
          <w:rFonts w:cs="Times New Roman"/>
          <w:szCs w:val="24"/>
        </w:rPr>
        <w:t xml:space="preserve"> tail </w:t>
      </w:r>
      <w:r w:rsidR="00ED2C87" w:rsidRPr="003A49C8">
        <w:rPr>
          <w:rFonts w:cs="Times New Roman"/>
          <w:szCs w:val="24"/>
        </w:rPr>
        <w:t>risks</w:t>
      </w:r>
      <w:r w:rsidRPr="003A49C8">
        <w:rPr>
          <w:rFonts w:cs="Times New Roman"/>
          <w:szCs w:val="24"/>
        </w:rPr>
        <w:t>.</w:t>
      </w:r>
      <w:r w:rsidR="00ED2C87" w:rsidRPr="003A49C8">
        <w:rPr>
          <w:rFonts w:cs="Times New Roman"/>
          <w:szCs w:val="24"/>
        </w:rPr>
        <w:t xml:space="preserve"> For </w:t>
      </w:r>
      <w:r w:rsidR="0040248B" w:rsidRPr="003A49C8">
        <w:rPr>
          <w:rFonts w:cs="Times New Roman"/>
          <w:szCs w:val="24"/>
        </w:rPr>
        <w:t>example</w:t>
      </w:r>
      <w:r w:rsidR="00ED2C87" w:rsidRPr="003A49C8">
        <w:rPr>
          <w:rFonts w:cs="Times New Roman"/>
          <w:szCs w:val="24"/>
        </w:rPr>
        <w:t xml:space="preserve">, employing </w:t>
      </w:r>
      <w:r w:rsidRPr="003A49C8">
        <w:rPr>
          <w:rFonts w:cs="Times New Roman"/>
          <w:szCs w:val="24"/>
        </w:rPr>
        <w:t xml:space="preserve">stock and government bond </w:t>
      </w:r>
      <w:r w:rsidR="00ED2C87" w:rsidRPr="003A49C8">
        <w:rPr>
          <w:rFonts w:cs="Times New Roman"/>
          <w:szCs w:val="24"/>
        </w:rPr>
        <w:t>data from G-5 industrial nations</w:t>
      </w:r>
      <w:r w:rsidRPr="003A49C8">
        <w:rPr>
          <w:rFonts w:cs="Times New Roman"/>
          <w:szCs w:val="24"/>
        </w:rPr>
        <w:t xml:space="preserve">, Hartmann et al. (2004) extreme-value analysis suggests that during market turbulence, there are modest but not insignificant cross-asset market </w:t>
      </w:r>
      <w:r w:rsidR="00176D86" w:rsidRPr="003A49C8">
        <w:rPr>
          <w:rFonts w:cs="Times New Roman"/>
          <w:szCs w:val="24"/>
        </w:rPr>
        <w:t>links</w:t>
      </w:r>
      <w:r w:rsidRPr="003A49C8">
        <w:rPr>
          <w:rFonts w:cs="Times New Roman"/>
          <w:szCs w:val="24"/>
        </w:rPr>
        <w:t xml:space="preserve">. Extreme losses often occur far less frequently in government bond indices than in stock indices. </w:t>
      </w:r>
    </w:p>
    <w:p w14:paraId="7F1177EF" w14:textId="0A251848" w:rsidR="000908DB" w:rsidRPr="003A49C8" w:rsidRDefault="00B81AC6" w:rsidP="00E33705">
      <w:pPr>
        <w:ind w:firstLine="397"/>
        <w:rPr>
          <w:rFonts w:cs="Times New Roman"/>
          <w:szCs w:val="24"/>
        </w:rPr>
      </w:pPr>
      <w:r w:rsidRPr="003A49C8">
        <w:rPr>
          <w:rFonts w:cs="Times New Roman"/>
          <w:szCs w:val="24"/>
        </w:rPr>
        <w:t>Straetmans et al. (2008) use m</w:t>
      </w:r>
      <w:r w:rsidR="000908DB" w:rsidRPr="003A49C8">
        <w:rPr>
          <w:rFonts w:cs="Times New Roman"/>
          <w:szCs w:val="24"/>
        </w:rPr>
        <w:t xml:space="preserve">ultivariate extreme value estimators to evaluate sectoral returns and sectoral system risk in the US </w:t>
      </w:r>
      <w:r w:rsidR="002D73CB" w:rsidRPr="003A49C8">
        <w:rPr>
          <w:rFonts w:cs="Times New Roman"/>
          <w:szCs w:val="24"/>
        </w:rPr>
        <w:t xml:space="preserve">financial </w:t>
      </w:r>
      <w:r w:rsidR="000908DB" w:rsidRPr="003A49C8">
        <w:rPr>
          <w:rFonts w:cs="Times New Roman"/>
          <w:szCs w:val="24"/>
        </w:rPr>
        <w:t xml:space="preserve">market. </w:t>
      </w:r>
      <w:r w:rsidRPr="003A49C8">
        <w:rPr>
          <w:rFonts w:cs="Times New Roman"/>
          <w:szCs w:val="24"/>
        </w:rPr>
        <w:t>M</w:t>
      </w:r>
      <w:r w:rsidR="000908DB" w:rsidRPr="003A49C8">
        <w:rPr>
          <w:rFonts w:cs="Times New Roman"/>
          <w:szCs w:val="24"/>
        </w:rPr>
        <w:t xml:space="preserve">easurements </w:t>
      </w:r>
      <w:r w:rsidRPr="003A49C8">
        <w:rPr>
          <w:rFonts w:cs="Times New Roman"/>
          <w:szCs w:val="24"/>
        </w:rPr>
        <w:t xml:space="preserve">fall </w:t>
      </w:r>
      <w:r w:rsidR="000908DB" w:rsidRPr="003A49C8">
        <w:rPr>
          <w:rFonts w:cs="Times New Roman"/>
          <w:szCs w:val="24"/>
        </w:rPr>
        <w:t xml:space="preserve">into two categories: those that quantify </w:t>
      </w:r>
      <w:r w:rsidRPr="003A49C8">
        <w:rPr>
          <w:rFonts w:cs="Times New Roman"/>
          <w:szCs w:val="24"/>
        </w:rPr>
        <w:t xml:space="preserve">sectoral vulnerability </w:t>
      </w:r>
      <w:r w:rsidR="000908DB" w:rsidRPr="003A49C8">
        <w:rPr>
          <w:rFonts w:cs="Times New Roman"/>
          <w:szCs w:val="24"/>
        </w:rPr>
        <w:t xml:space="preserve">to extreme systematic </w:t>
      </w:r>
      <w:r w:rsidR="002D73CB" w:rsidRPr="003A49C8">
        <w:rPr>
          <w:rFonts w:cs="Times New Roman"/>
          <w:szCs w:val="24"/>
        </w:rPr>
        <w:t xml:space="preserve">risk or </w:t>
      </w:r>
      <w:r w:rsidR="000908DB" w:rsidRPr="003A49C8">
        <w:rPr>
          <w:rFonts w:cs="Times New Roman"/>
          <w:szCs w:val="24"/>
        </w:rPr>
        <w:t>shocks (known as tail-s) and those that measur</w:t>
      </w:r>
      <w:r w:rsidR="00EB5C1D" w:rsidRPr="003A49C8">
        <w:rPr>
          <w:rFonts w:cs="Times New Roman"/>
          <w:szCs w:val="24"/>
        </w:rPr>
        <w:t>e</w:t>
      </w:r>
      <w:r w:rsidR="000908DB" w:rsidRPr="003A49C8">
        <w:rPr>
          <w:rFonts w:cs="Times New Roman"/>
          <w:szCs w:val="24"/>
        </w:rPr>
        <w:t xml:space="preserve"> the extreme </w:t>
      </w:r>
      <w:proofErr w:type="spellStart"/>
      <w:r w:rsidR="000908DB" w:rsidRPr="003A49C8">
        <w:rPr>
          <w:rFonts w:cs="Times New Roman"/>
          <w:szCs w:val="24"/>
        </w:rPr>
        <w:t>spillovers</w:t>
      </w:r>
      <w:proofErr w:type="spellEnd"/>
      <w:r w:rsidR="000908DB" w:rsidRPr="003A49C8">
        <w:rPr>
          <w:rFonts w:cs="Times New Roman"/>
          <w:szCs w:val="24"/>
        </w:rPr>
        <w:t xml:space="preserve"> </w:t>
      </w:r>
      <w:r w:rsidRPr="003A49C8">
        <w:rPr>
          <w:rFonts w:cs="Times New Roman"/>
          <w:szCs w:val="24"/>
        </w:rPr>
        <w:t xml:space="preserve">among </w:t>
      </w:r>
      <w:r w:rsidR="000908DB" w:rsidRPr="003A49C8">
        <w:rPr>
          <w:rFonts w:cs="Times New Roman"/>
          <w:szCs w:val="24"/>
        </w:rPr>
        <w:t xml:space="preserve">economic sectors (sectoral co-exceedance probabilities). The tail index alone cannot </w:t>
      </w:r>
      <w:r w:rsidRPr="003A49C8">
        <w:rPr>
          <w:rFonts w:cs="Times New Roman"/>
          <w:szCs w:val="24"/>
        </w:rPr>
        <w:t xml:space="preserve">provide </w:t>
      </w:r>
      <w:r w:rsidR="000908DB" w:rsidRPr="003A49C8">
        <w:rPr>
          <w:rFonts w:cs="Times New Roman"/>
          <w:szCs w:val="24"/>
        </w:rPr>
        <w:t>a reliable indicat</w:t>
      </w:r>
      <w:r w:rsidRPr="003A49C8">
        <w:rPr>
          <w:rFonts w:cs="Times New Roman"/>
          <w:szCs w:val="24"/>
        </w:rPr>
        <w:t>ion</w:t>
      </w:r>
      <w:r w:rsidR="000908DB" w:rsidRPr="003A49C8">
        <w:rPr>
          <w:rFonts w:cs="Times New Roman"/>
          <w:szCs w:val="24"/>
        </w:rPr>
        <w:t xml:space="preserve"> of sectoral tail risk due to </w:t>
      </w:r>
      <w:r w:rsidRPr="003A49C8">
        <w:rPr>
          <w:rFonts w:cs="Times New Roman"/>
          <w:szCs w:val="24"/>
        </w:rPr>
        <w:t xml:space="preserve">its </w:t>
      </w:r>
      <w:r w:rsidR="000908DB" w:rsidRPr="003A49C8">
        <w:rPr>
          <w:rFonts w:cs="Times New Roman"/>
          <w:szCs w:val="24"/>
        </w:rPr>
        <w:t xml:space="preserve">cross-sectional uniformity. </w:t>
      </w:r>
      <w:r w:rsidRPr="003A49C8">
        <w:rPr>
          <w:rFonts w:cs="Times New Roman"/>
          <w:szCs w:val="24"/>
        </w:rPr>
        <w:t xml:space="preserve">Also, </w:t>
      </w:r>
      <w:r w:rsidR="000908DB" w:rsidRPr="003A49C8">
        <w:rPr>
          <w:rFonts w:cs="Times New Roman"/>
          <w:szCs w:val="24"/>
        </w:rPr>
        <w:t xml:space="preserve">tail behaviour </w:t>
      </w:r>
      <w:r w:rsidRPr="003A49C8">
        <w:rPr>
          <w:rFonts w:cs="Times New Roman"/>
          <w:szCs w:val="24"/>
        </w:rPr>
        <w:t>is affected by</w:t>
      </w:r>
      <w:r w:rsidR="000908DB" w:rsidRPr="003A49C8">
        <w:rPr>
          <w:rFonts w:cs="Times New Roman"/>
          <w:szCs w:val="24"/>
        </w:rPr>
        <w:t xml:space="preserve"> structural modification</w:t>
      </w:r>
      <w:r w:rsidRPr="003A49C8">
        <w:rPr>
          <w:rFonts w:cs="Times New Roman"/>
          <w:szCs w:val="24"/>
        </w:rPr>
        <w:t>s</w:t>
      </w:r>
      <w:r w:rsidR="000908DB" w:rsidRPr="003A49C8">
        <w:rPr>
          <w:rFonts w:cs="Times New Roman"/>
          <w:szCs w:val="24"/>
        </w:rPr>
        <w:t xml:space="preserve">. </w:t>
      </w:r>
      <w:r w:rsidRPr="003A49C8">
        <w:rPr>
          <w:rFonts w:cs="Times New Roman"/>
          <w:szCs w:val="24"/>
        </w:rPr>
        <w:t>Furthermore</w:t>
      </w:r>
      <w:r w:rsidR="000908DB" w:rsidRPr="003A49C8">
        <w:rPr>
          <w:rFonts w:cs="Times New Roman"/>
          <w:szCs w:val="24"/>
        </w:rPr>
        <w:t xml:space="preserve">, </w:t>
      </w:r>
      <w:r w:rsidR="005A1A15" w:rsidRPr="003A49C8">
        <w:rPr>
          <w:rFonts w:cs="Times New Roman"/>
          <w:szCs w:val="24"/>
        </w:rPr>
        <w:t xml:space="preserve">for </w:t>
      </w:r>
      <w:r w:rsidR="000908DB" w:rsidRPr="003A49C8">
        <w:rPr>
          <w:rFonts w:cs="Times New Roman"/>
          <w:szCs w:val="24"/>
        </w:rPr>
        <w:t xml:space="preserve">both the pre-9/11 and post-9/11 periods, the right tail indicates </w:t>
      </w:r>
      <w:r w:rsidR="005A1A15" w:rsidRPr="003A49C8">
        <w:rPr>
          <w:rFonts w:cs="Times New Roman"/>
          <w:szCs w:val="24"/>
        </w:rPr>
        <w:t xml:space="preserve">a </w:t>
      </w:r>
      <w:r w:rsidR="000908DB" w:rsidRPr="003A49C8">
        <w:rPr>
          <w:rFonts w:cs="Times New Roman"/>
          <w:szCs w:val="24"/>
        </w:rPr>
        <w:t xml:space="preserve">greater upward potential than </w:t>
      </w:r>
      <w:r w:rsidR="005A1A15" w:rsidRPr="003A49C8">
        <w:rPr>
          <w:rFonts w:cs="Times New Roman"/>
          <w:szCs w:val="24"/>
        </w:rPr>
        <w:t xml:space="preserve">a </w:t>
      </w:r>
      <w:r w:rsidR="000908DB" w:rsidRPr="003A49C8">
        <w:rPr>
          <w:rFonts w:cs="Times New Roman"/>
          <w:szCs w:val="24"/>
        </w:rPr>
        <w:t xml:space="preserve">negative </w:t>
      </w:r>
      <w:r w:rsidR="00176D86" w:rsidRPr="003A49C8">
        <w:rPr>
          <w:rFonts w:cs="Times New Roman"/>
          <w:szCs w:val="24"/>
        </w:rPr>
        <w:t>risk</w:t>
      </w:r>
      <w:r w:rsidR="000908DB" w:rsidRPr="003A49C8">
        <w:rPr>
          <w:rFonts w:cs="Times New Roman"/>
          <w:szCs w:val="24"/>
        </w:rPr>
        <w:t xml:space="preserve">. </w:t>
      </w:r>
      <w:r w:rsidR="005A1A15" w:rsidRPr="003A49C8">
        <w:rPr>
          <w:rFonts w:cs="Times New Roman"/>
          <w:szCs w:val="24"/>
        </w:rPr>
        <w:t xml:space="preserve">When </w:t>
      </w:r>
      <w:r w:rsidR="000908DB" w:rsidRPr="003A49C8">
        <w:rPr>
          <w:rFonts w:cs="Times New Roman"/>
          <w:szCs w:val="24"/>
        </w:rPr>
        <w:t xml:space="preserve">9/11 </w:t>
      </w:r>
      <w:r w:rsidR="005A1A15" w:rsidRPr="003A49C8">
        <w:rPr>
          <w:rFonts w:cs="Times New Roman"/>
          <w:szCs w:val="24"/>
        </w:rPr>
        <w:t xml:space="preserve">is used </w:t>
      </w:r>
      <w:r w:rsidR="000908DB" w:rsidRPr="003A49C8">
        <w:rPr>
          <w:rFonts w:cs="Times New Roman"/>
          <w:szCs w:val="24"/>
        </w:rPr>
        <w:t xml:space="preserve">as the sample midpoint, </w:t>
      </w:r>
      <w:r w:rsidR="005A1A15" w:rsidRPr="003A49C8">
        <w:rPr>
          <w:rFonts w:cs="Times New Roman"/>
          <w:szCs w:val="24"/>
        </w:rPr>
        <w:t xml:space="preserve">the bivariate results </w:t>
      </w:r>
      <w:r w:rsidR="000908DB" w:rsidRPr="003A49C8">
        <w:rPr>
          <w:rFonts w:cs="Times New Roman"/>
          <w:szCs w:val="24"/>
        </w:rPr>
        <w:t xml:space="preserve">imply that tail-s frequently rise statistically and economically. </w:t>
      </w:r>
      <w:r w:rsidR="002D73CB" w:rsidRPr="003A49C8">
        <w:rPr>
          <w:rFonts w:cs="Times New Roman"/>
          <w:szCs w:val="24"/>
        </w:rPr>
        <w:t>In another remarkable study</w:t>
      </w:r>
      <w:r w:rsidR="000908DB" w:rsidRPr="003A49C8">
        <w:rPr>
          <w:rFonts w:cs="Times New Roman"/>
          <w:szCs w:val="24"/>
        </w:rPr>
        <w:t xml:space="preserve">, Allen et al. (2013) examine extreme market risk for </w:t>
      </w:r>
      <w:r w:rsidR="002D73CB" w:rsidRPr="003A49C8">
        <w:rPr>
          <w:rFonts w:cs="Times New Roman"/>
          <w:szCs w:val="24"/>
        </w:rPr>
        <w:t xml:space="preserve">various stock and volatility </w:t>
      </w:r>
      <w:r w:rsidR="0028451D" w:rsidRPr="003A49C8">
        <w:rPr>
          <w:rFonts w:cs="Times New Roman"/>
          <w:szCs w:val="24"/>
        </w:rPr>
        <w:t>indices by applying univariate extreme value theory</w:t>
      </w:r>
      <w:r w:rsidR="000908DB" w:rsidRPr="003A49C8">
        <w:rPr>
          <w:rFonts w:cs="Times New Roman"/>
          <w:szCs w:val="24"/>
        </w:rPr>
        <w:t>. The</w:t>
      </w:r>
      <w:r w:rsidR="002D73CB" w:rsidRPr="003A49C8">
        <w:rPr>
          <w:rFonts w:cs="Times New Roman"/>
          <w:szCs w:val="24"/>
        </w:rPr>
        <w:t xml:space="preserve"> results </w:t>
      </w:r>
      <w:r w:rsidR="0028451D" w:rsidRPr="003A49C8">
        <w:rPr>
          <w:rFonts w:cs="Times New Roman"/>
          <w:szCs w:val="24"/>
        </w:rPr>
        <w:t>show</w:t>
      </w:r>
      <w:r w:rsidR="000908DB" w:rsidRPr="003A49C8">
        <w:rPr>
          <w:rFonts w:cs="Times New Roman"/>
          <w:szCs w:val="24"/>
        </w:rPr>
        <w:t xml:space="preserve"> that</w:t>
      </w:r>
      <w:r w:rsidR="002D73CB" w:rsidRPr="003A49C8">
        <w:rPr>
          <w:rFonts w:cs="Times New Roman"/>
          <w:szCs w:val="24"/>
        </w:rPr>
        <w:t xml:space="preserve"> the</w:t>
      </w:r>
      <w:r w:rsidR="000908DB" w:rsidRPr="003A49C8">
        <w:rPr>
          <w:rFonts w:cs="Times New Roman"/>
          <w:szCs w:val="24"/>
        </w:rPr>
        <w:t xml:space="preserve"> </w:t>
      </w:r>
      <w:r w:rsidR="002D73CB" w:rsidRPr="003A49C8">
        <w:rPr>
          <w:rFonts w:cs="Times New Roman"/>
          <w:szCs w:val="24"/>
        </w:rPr>
        <w:t xml:space="preserve">univariate </w:t>
      </w:r>
      <w:r w:rsidR="000908DB" w:rsidRPr="003A49C8">
        <w:rPr>
          <w:rFonts w:cs="Times New Roman"/>
          <w:szCs w:val="24"/>
        </w:rPr>
        <w:t xml:space="preserve">EVT can be used to model extreme market </w:t>
      </w:r>
      <w:r w:rsidR="0028451D" w:rsidRPr="003A49C8">
        <w:rPr>
          <w:rFonts w:cs="Times New Roman"/>
          <w:szCs w:val="24"/>
        </w:rPr>
        <w:t>conditions</w:t>
      </w:r>
      <w:r w:rsidR="000908DB" w:rsidRPr="003A49C8">
        <w:rPr>
          <w:rFonts w:cs="Times New Roman"/>
          <w:szCs w:val="24"/>
        </w:rPr>
        <w:t>, but that</w:t>
      </w:r>
      <w:r w:rsidR="0028451D" w:rsidRPr="003A49C8">
        <w:rPr>
          <w:rFonts w:cs="Times New Roman"/>
          <w:szCs w:val="24"/>
        </w:rPr>
        <w:t xml:space="preserve"> impl</w:t>
      </w:r>
      <w:r w:rsidR="00EB5C1D" w:rsidRPr="003A49C8">
        <w:rPr>
          <w:rFonts w:cs="Times New Roman"/>
          <w:szCs w:val="24"/>
        </w:rPr>
        <w:t>ies</w:t>
      </w:r>
      <w:r w:rsidR="0028451D" w:rsidRPr="003A49C8">
        <w:rPr>
          <w:rFonts w:cs="Times New Roman"/>
          <w:szCs w:val="24"/>
        </w:rPr>
        <w:t xml:space="preserve"> volatility indices are not fully incorporated into the model</w:t>
      </w:r>
      <w:r w:rsidR="000908DB" w:rsidRPr="003A49C8">
        <w:rPr>
          <w:rFonts w:cs="Times New Roman"/>
          <w:szCs w:val="24"/>
        </w:rPr>
        <w:t>.</w:t>
      </w:r>
    </w:p>
    <w:p w14:paraId="2E3E9042" w14:textId="28F18619" w:rsidR="000908DB" w:rsidRPr="003A49C8" w:rsidRDefault="00A5753C" w:rsidP="00E33705">
      <w:pPr>
        <w:ind w:firstLine="397"/>
        <w:rPr>
          <w:rFonts w:cs="Times New Roman"/>
          <w:szCs w:val="24"/>
        </w:rPr>
      </w:pPr>
      <w:r w:rsidRPr="003A49C8">
        <w:rPr>
          <w:rFonts w:cs="Times New Roman"/>
          <w:szCs w:val="24"/>
        </w:rPr>
        <w:lastRenderedPageBreak/>
        <w:t xml:space="preserve">Among the other noteworthy example of using EVT in risk modelling, </w:t>
      </w:r>
      <w:r w:rsidR="000908DB" w:rsidRPr="003A49C8">
        <w:rPr>
          <w:rFonts w:cs="Times New Roman"/>
          <w:szCs w:val="24"/>
        </w:rPr>
        <w:t>Straetmans and Chaudhry (2015) use</w:t>
      </w:r>
      <w:r w:rsidR="00841BD7" w:rsidRPr="003A49C8">
        <w:rPr>
          <w:rFonts w:cs="Times New Roman"/>
          <w:szCs w:val="24"/>
        </w:rPr>
        <w:t>d</w:t>
      </w:r>
      <w:r w:rsidR="000908DB" w:rsidRPr="003A49C8">
        <w:rPr>
          <w:rFonts w:cs="Times New Roman"/>
          <w:szCs w:val="24"/>
        </w:rPr>
        <w:t xml:space="preserve"> </w:t>
      </w:r>
      <w:r w:rsidR="009417CA" w:rsidRPr="003A49C8">
        <w:rPr>
          <w:rFonts w:cs="Times New Roman"/>
          <w:szCs w:val="24"/>
        </w:rPr>
        <w:t xml:space="preserve">this methodology </w:t>
      </w:r>
      <w:r w:rsidR="000908DB" w:rsidRPr="003A49C8">
        <w:rPr>
          <w:rFonts w:cs="Times New Roman"/>
          <w:szCs w:val="24"/>
        </w:rPr>
        <w:t>to evaluate the possibility of financial distress for certain institutions as well as exposure for specific banks. They discover that systemic risk and tail risk are both lower in the Eurozone than in the US. Th</w:t>
      </w:r>
      <w:r w:rsidRPr="003A49C8">
        <w:rPr>
          <w:rFonts w:cs="Times New Roman"/>
          <w:szCs w:val="24"/>
        </w:rPr>
        <w:t>eir</w:t>
      </w:r>
      <w:r w:rsidR="000908DB" w:rsidRPr="003A49C8">
        <w:rPr>
          <w:rFonts w:cs="Times New Roman"/>
          <w:szCs w:val="24"/>
        </w:rPr>
        <w:t xml:space="preserve"> finding is consistent with </w:t>
      </w:r>
      <w:r w:rsidR="0027141B" w:rsidRPr="003A49C8">
        <w:rPr>
          <w:rFonts w:cs="Times New Roman"/>
          <w:szCs w:val="24"/>
        </w:rPr>
        <w:t xml:space="preserve">an </w:t>
      </w:r>
      <w:r w:rsidRPr="003A49C8">
        <w:rPr>
          <w:rFonts w:cs="Times New Roman"/>
          <w:szCs w:val="24"/>
        </w:rPr>
        <w:t xml:space="preserve">earlier study </w:t>
      </w:r>
      <w:r w:rsidR="000908DB" w:rsidRPr="003A49C8">
        <w:rPr>
          <w:rFonts w:cs="Times New Roman"/>
          <w:szCs w:val="24"/>
        </w:rPr>
        <w:t>by Hartmann et al. (200</w:t>
      </w:r>
      <w:r w:rsidR="006776E3">
        <w:rPr>
          <w:rFonts w:cs="Times New Roman"/>
          <w:szCs w:val="24"/>
        </w:rPr>
        <w:t>4</w:t>
      </w:r>
      <w:r w:rsidR="000908DB" w:rsidRPr="003A49C8">
        <w:rPr>
          <w:rFonts w:cs="Times New Roman"/>
          <w:szCs w:val="24"/>
        </w:rPr>
        <w:t xml:space="preserve">) using multivariate extreme value theory to analyse the systemic and contagion risks </w:t>
      </w:r>
      <w:r w:rsidR="00C84CE8" w:rsidRPr="003A49C8">
        <w:rPr>
          <w:rFonts w:cs="Times New Roman"/>
          <w:szCs w:val="24"/>
        </w:rPr>
        <w:t>for US and European banks</w:t>
      </w:r>
      <w:r w:rsidR="000908DB" w:rsidRPr="003A49C8">
        <w:rPr>
          <w:rFonts w:cs="Times New Roman"/>
          <w:szCs w:val="24"/>
        </w:rPr>
        <w:t xml:space="preserve">. </w:t>
      </w:r>
      <w:r w:rsidR="0028451D" w:rsidRPr="003A49C8">
        <w:rPr>
          <w:rFonts w:cs="Times New Roman"/>
          <w:szCs w:val="24"/>
        </w:rPr>
        <w:t>It is argued</w:t>
      </w:r>
      <w:r w:rsidR="000777D4" w:rsidRPr="003A49C8">
        <w:rPr>
          <w:rFonts w:cs="Times New Roman"/>
          <w:szCs w:val="24"/>
        </w:rPr>
        <w:t xml:space="preserve"> that </w:t>
      </w:r>
      <w:r w:rsidR="000908DB" w:rsidRPr="003A49C8">
        <w:rPr>
          <w:rFonts w:cs="Times New Roman"/>
          <w:szCs w:val="24"/>
        </w:rPr>
        <w:t xml:space="preserve">the risk in the </w:t>
      </w:r>
      <w:r w:rsidR="000777D4" w:rsidRPr="003A49C8">
        <w:rPr>
          <w:rFonts w:cs="Times New Roman"/>
          <w:szCs w:val="24"/>
        </w:rPr>
        <w:t>E</w:t>
      </w:r>
      <w:r w:rsidR="000908DB" w:rsidRPr="003A49C8">
        <w:rPr>
          <w:rFonts w:cs="Times New Roman"/>
          <w:szCs w:val="24"/>
        </w:rPr>
        <w:t>uro</w:t>
      </w:r>
      <w:r w:rsidR="000777D4" w:rsidRPr="003A49C8">
        <w:rPr>
          <w:rFonts w:cs="Times New Roman"/>
          <w:szCs w:val="24"/>
        </w:rPr>
        <w:t>zone</w:t>
      </w:r>
      <w:r w:rsidR="000908DB" w:rsidRPr="003A49C8">
        <w:rPr>
          <w:rFonts w:cs="Times New Roman"/>
          <w:szCs w:val="24"/>
        </w:rPr>
        <w:t xml:space="preserve"> </w:t>
      </w:r>
      <w:r w:rsidR="0028451D" w:rsidRPr="003A49C8">
        <w:rPr>
          <w:rFonts w:cs="Times New Roman"/>
          <w:szCs w:val="24"/>
        </w:rPr>
        <w:t xml:space="preserve">is slowly </w:t>
      </w:r>
      <w:r w:rsidR="000908DB" w:rsidRPr="003A49C8">
        <w:rPr>
          <w:rFonts w:cs="Times New Roman"/>
          <w:szCs w:val="24"/>
        </w:rPr>
        <w:t>rising</w:t>
      </w:r>
      <w:r w:rsidR="0028451D" w:rsidRPr="003A49C8">
        <w:rPr>
          <w:rFonts w:cs="Times New Roman"/>
          <w:szCs w:val="24"/>
        </w:rPr>
        <w:t xml:space="preserve"> </w:t>
      </w:r>
      <w:r w:rsidR="00C84CE8" w:rsidRPr="003A49C8">
        <w:rPr>
          <w:rFonts w:cs="Times New Roman"/>
          <w:szCs w:val="24"/>
        </w:rPr>
        <w:t>because of</w:t>
      </w:r>
      <w:r w:rsidR="0028451D" w:rsidRPr="003A49C8">
        <w:rPr>
          <w:rFonts w:cs="Times New Roman"/>
          <w:szCs w:val="24"/>
        </w:rPr>
        <w:t xml:space="preserve"> European integration</w:t>
      </w:r>
      <w:r w:rsidR="000908DB" w:rsidRPr="003A49C8">
        <w:rPr>
          <w:rFonts w:cs="Times New Roman"/>
          <w:szCs w:val="24"/>
        </w:rPr>
        <w:t xml:space="preserve">. </w:t>
      </w:r>
      <w:r w:rsidR="000777D4" w:rsidRPr="003A49C8">
        <w:rPr>
          <w:rFonts w:cs="Times New Roman"/>
          <w:szCs w:val="24"/>
        </w:rPr>
        <w:t>Furthermore, th</w:t>
      </w:r>
      <w:r w:rsidR="000908DB" w:rsidRPr="003A49C8">
        <w:rPr>
          <w:rFonts w:cs="Times New Roman"/>
          <w:szCs w:val="24"/>
        </w:rPr>
        <w:t xml:space="preserve">e biggest financial </w:t>
      </w:r>
      <w:r w:rsidR="000777D4" w:rsidRPr="003A49C8">
        <w:rPr>
          <w:rFonts w:cs="Times New Roman"/>
          <w:szCs w:val="24"/>
        </w:rPr>
        <w:t xml:space="preserve">institutions </w:t>
      </w:r>
      <w:r w:rsidR="000908DB" w:rsidRPr="003A49C8">
        <w:rPr>
          <w:rFonts w:cs="Times New Roman"/>
          <w:szCs w:val="24"/>
        </w:rPr>
        <w:t xml:space="preserve">in the US appear to have the sharpest rises in excessive systemic risk. </w:t>
      </w:r>
      <w:proofErr w:type="spellStart"/>
      <w:r w:rsidR="000908DB" w:rsidRPr="003A49C8">
        <w:rPr>
          <w:rFonts w:cs="Times New Roman"/>
          <w:szCs w:val="24"/>
        </w:rPr>
        <w:t>Gkillas</w:t>
      </w:r>
      <w:proofErr w:type="spellEnd"/>
      <w:r w:rsidR="000908DB" w:rsidRPr="003A49C8">
        <w:rPr>
          <w:rFonts w:cs="Times New Roman"/>
          <w:szCs w:val="24"/>
        </w:rPr>
        <w:t xml:space="preserve"> and </w:t>
      </w:r>
      <w:proofErr w:type="spellStart"/>
      <w:r w:rsidR="000908DB" w:rsidRPr="003A49C8">
        <w:rPr>
          <w:rFonts w:cs="Times New Roman"/>
          <w:szCs w:val="24"/>
        </w:rPr>
        <w:t>Katsiampa</w:t>
      </w:r>
      <w:proofErr w:type="spellEnd"/>
      <w:r w:rsidR="000908DB" w:rsidRPr="003A49C8">
        <w:rPr>
          <w:rFonts w:cs="Times New Roman"/>
          <w:szCs w:val="24"/>
        </w:rPr>
        <w:t xml:space="preserve"> (2018) </w:t>
      </w:r>
      <w:r w:rsidR="000777D4" w:rsidRPr="003A49C8">
        <w:rPr>
          <w:rFonts w:cs="Times New Roman"/>
          <w:szCs w:val="24"/>
        </w:rPr>
        <w:t>also use</w:t>
      </w:r>
      <w:r w:rsidR="000908DB" w:rsidRPr="003A49C8">
        <w:rPr>
          <w:rFonts w:cs="Times New Roman"/>
          <w:szCs w:val="24"/>
        </w:rPr>
        <w:t xml:space="preserve"> </w:t>
      </w:r>
      <w:r w:rsidR="000777D4" w:rsidRPr="003A49C8">
        <w:rPr>
          <w:rFonts w:cs="Times New Roman"/>
          <w:szCs w:val="24"/>
        </w:rPr>
        <w:t>EVT</w:t>
      </w:r>
      <w:r w:rsidR="000908DB" w:rsidRPr="003A49C8">
        <w:rPr>
          <w:rFonts w:cs="Times New Roman"/>
          <w:szCs w:val="24"/>
        </w:rPr>
        <w:t xml:space="preserve"> to </w:t>
      </w:r>
      <w:r w:rsidR="000777D4" w:rsidRPr="003A49C8">
        <w:rPr>
          <w:rFonts w:cs="Times New Roman"/>
          <w:szCs w:val="24"/>
        </w:rPr>
        <w:t xml:space="preserve">analyse risk in </w:t>
      </w:r>
      <w:r w:rsidR="0027141B" w:rsidRPr="003A49C8">
        <w:rPr>
          <w:rFonts w:cs="Times New Roman"/>
          <w:szCs w:val="24"/>
        </w:rPr>
        <w:t xml:space="preserve">the </w:t>
      </w:r>
      <w:r w:rsidR="000908DB" w:rsidRPr="003A49C8">
        <w:rPr>
          <w:rFonts w:cs="Times New Roman"/>
          <w:szCs w:val="24"/>
        </w:rPr>
        <w:t>crypto</w:t>
      </w:r>
      <w:r w:rsidR="000777D4" w:rsidRPr="003A49C8">
        <w:rPr>
          <w:rFonts w:cs="Times New Roman"/>
          <w:szCs w:val="24"/>
        </w:rPr>
        <w:t xml:space="preserve"> market and</w:t>
      </w:r>
      <w:r w:rsidR="000908DB" w:rsidRPr="003A49C8">
        <w:rPr>
          <w:rFonts w:cs="Times New Roman"/>
          <w:szCs w:val="24"/>
        </w:rPr>
        <w:t xml:space="preserve"> to study the tail </w:t>
      </w:r>
      <w:r w:rsidR="000777D4" w:rsidRPr="003A49C8">
        <w:rPr>
          <w:rFonts w:cs="Times New Roman"/>
          <w:szCs w:val="24"/>
        </w:rPr>
        <w:t xml:space="preserve">risk </w:t>
      </w:r>
      <w:r w:rsidR="000908DB" w:rsidRPr="003A49C8">
        <w:rPr>
          <w:rFonts w:cs="Times New Roman"/>
          <w:szCs w:val="24"/>
        </w:rPr>
        <w:t>behaviour. The results show that Bitcoin Cash</w:t>
      </w:r>
      <w:r w:rsidR="000777D4" w:rsidRPr="003A49C8">
        <w:rPr>
          <w:rFonts w:cs="Times New Roman"/>
          <w:szCs w:val="24"/>
        </w:rPr>
        <w:t xml:space="preserve"> </w:t>
      </w:r>
      <w:r w:rsidR="000908DB" w:rsidRPr="003A49C8">
        <w:rPr>
          <w:rFonts w:cs="Times New Roman"/>
          <w:szCs w:val="24"/>
        </w:rPr>
        <w:t xml:space="preserve">is the </w:t>
      </w:r>
      <w:r w:rsidR="006512E3" w:rsidRPr="003A49C8">
        <w:rPr>
          <w:rFonts w:cs="Times New Roman"/>
          <w:szCs w:val="24"/>
        </w:rPr>
        <w:t>most volatile asset due to</w:t>
      </w:r>
      <w:r w:rsidR="00EB5C1D" w:rsidRPr="003A49C8">
        <w:rPr>
          <w:rFonts w:cs="Times New Roman"/>
          <w:szCs w:val="24"/>
        </w:rPr>
        <w:t xml:space="preserve"> </w:t>
      </w:r>
      <w:r w:rsidR="006512E3" w:rsidRPr="003A49C8">
        <w:rPr>
          <w:rFonts w:cs="Times New Roman"/>
          <w:szCs w:val="24"/>
        </w:rPr>
        <w:t xml:space="preserve">its </w:t>
      </w:r>
      <w:r w:rsidR="000908DB" w:rsidRPr="003A49C8">
        <w:rPr>
          <w:rFonts w:cs="Times New Roman"/>
          <w:szCs w:val="24"/>
        </w:rPr>
        <w:t xml:space="preserve">potential for </w:t>
      </w:r>
      <w:r w:rsidR="006512E3" w:rsidRPr="003A49C8">
        <w:rPr>
          <w:rFonts w:cs="Times New Roman"/>
          <w:szCs w:val="24"/>
        </w:rPr>
        <w:t>both positive and negative returns,</w:t>
      </w:r>
      <w:r w:rsidR="000908DB" w:rsidRPr="003A49C8">
        <w:rPr>
          <w:rFonts w:cs="Times New Roman"/>
          <w:szCs w:val="24"/>
        </w:rPr>
        <w:t xml:space="preserve"> as well as </w:t>
      </w:r>
      <w:r w:rsidR="006512E3" w:rsidRPr="003A49C8">
        <w:rPr>
          <w:rFonts w:cs="Times New Roman"/>
          <w:szCs w:val="24"/>
        </w:rPr>
        <w:t xml:space="preserve">its </w:t>
      </w:r>
      <w:r w:rsidR="000908DB" w:rsidRPr="003A49C8">
        <w:rPr>
          <w:rFonts w:cs="Times New Roman"/>
          <w:szCs w:val="24"/>
        </w:rPr>
        <w:t xml:space="preserve">high Expected Shortfall (ES). On the other hand, the Value-at-Risk (VaR) and Expected Shock (ES) outcomes of the extreme returns of Litecoin in the left tail and Bitcoin in the right tail are the lowest </w:t>
      </w:r>
      <w:r w:rsidR="00946D2A" w:rsidRPr="003A49C8">
        <w:rPr>
          <w:rFonts w:cs="Times New Roman"/>
          <w:szCs w:val="24"/>
        </w:rPr>
        <w:t xml:space="preserve">among the </w:t>
      </w:r>
      <w:r w:rsidR="000908DB" w:rsidRPr="003A49C8">
        <w:rPr>
          <w:rFonts w:cs="Times New Roman"/>
          <w:szCs w:val="24"/>
        </w:rPr>
        <w:t>cryptocurrencies</w:t>
      </w:r>
      <w:r w:rsidR="00946D2A" w:rsidRPr="003A49C8">
        <w:rPr>
          <w:rFonts w:cs="Times New Roman"/>
          <w:szCs w:val="24"/>
        </w:rPr>
        <w:t xml:space="preserve"> considered, indicating that they are the least risky cryptocurrencies</w:t>
      </w:r>
      <w:r w:rsidR="000908DB" w:rsidRPr="003A49C8">
        <w:rPr>
          <w:rFonts w:cs="Times New Roman"/>
          <w:szCs w:val="24"/>
        </w:rPr>
        <w:t>.</w:t>
      </w:r>
      <w:r w:rsidR="000777D4" w:rsidRPr="003A49C8">
        <w:rPr>
          <w:rFonts w:cs="Times New Roman"/>
          <w:szCs w:val="24"/>
        </w:rPr>
        <w:t xml:space="preserve"> In further examples</w:t>
      </w:r>
      <w:r w:rsidR="00946D2A" w:rsidRPr="003A49C8">
        <w:rPr>
          <w:rFonts w:cs="Times New Roman"/>
          <w:szCs w:val="24"/>
        </w:rPr>
        <w:t xml:space="preserve">, the extreme value theory is also used </w:t>
      </w:r>
      <w:r w:rsidR="00EB5C1D" w:rsidRPr="003A49C8">
        <w:rPr>
          <w:rFonts w:cs="Times New Roman"/>
          <w:szCs w:val="24"/>
        </w:rPr>
        <w:t>by</w:t>
      </w:r>
      <w:r w:rsidR="00946D2A" w:rsidRPr="003A49C8">
        <w:rPr>
          <w:rFonts w:cs="Times New Roman"/>
          <w:szCs w:val="24"/>
        </w:rPr>
        <w:t xml:space="preserve"> </w:t>
      </w:r>
      <w:proofErr w:type="spellStart"/>
      <w:r w:rsidR="00946D2A" w:rsidRPr="003A49C8">
        <w:rPr>
          <w:rFonts w:cs="Times New Roman"/>
          <w:szCs w:val="24"/>
        </w:rPr>
        <w:t>Osterrieder</w:t>
      </w:r>
      <w:proofErr w:type="spellEnd"/>
      <w:r w:rsidR="00946D2A" w:rsidRPr="003A49C8">
        <w:rPr>
          <w:rFonts w:cs="Times New Roman"/>
          <w:szCs w:val="24"/>
        </w:rPr>
        <w:t xml:space="preserve"> and Lorenz (2017) to analyse risk in the crypto markets.</w:t>
      </w:r>
    </w:p>
    <w:p w14:paraId="36A5051B" w14:textId="6F54311D" w:rsidR="00A85C39" w:rsidRPr="003A49C8" w:rsidRDefault="000777D4" w:rsidP="00E33705">
      <w:pPr>
        <w:ind w:firstLine="397"/>
        <w:rPr>
          <w:rFonts w:cs="Times New Roman"/>
          <w:szCs w:val="24"/>
        </w:rPr>
      </w:pPr>
      <w:r w:rsidRPr="003A49C8">
        <w:rPr>
          <w:rFonts w:cs="Times New Roman"/>
          <w:szCs w:val="24"/>
        </w:rPr>
        <w:t xml:space="preserve">In light of </w:t>
      </w:r>
      <w:r w:rsidR="00FD42C3" w:rsidRPr="003A49C8">
        <w:rPr>
          <w:rFonts w:cs="Times New Roman"/>
          <w:szCs w:val="24"/>
        </w:rPr>
        <w:t>the studies that</w:t>
      </w:r>
      <w:r w:rsidRPr="003A49C8">
        <w:rPr>
          <w:rFonts w:cs="Times New Roman"/>
          <w:szCs w:val="24"/>
        </w:rPr>
        <w:t xml:space="preserve"> we </w:t>
      </w:r>
      <w:r w:rsidR="00FD42C3" w:rsidRPr="003A49C8">
        <w:rPr>
          <w:rFonts w:cs="Times New Roman"/>
          <w:szCs w:val="24"/>
        </w:rPr>
        <w:t xml:space="preserve">discussed in </w:t>
      </w:r>
      <w:r w:rsidRPr="003A49C8">
        <w:rPr>
          <w:rFonts w:cs="Times New Roman"/>
          <w:szCs w:val="24"/>
        </w:rPr>
        <w:t xml:space="preserve">this section, it is prima facie evident that </w:t>
      </w:r>
      <w:r w:rsidR="000908DB" w:rsidRPr="003A49C8">
        <w:rPr>
          <w:rFonts w:cs="Times New Roman"/>
          <w:szCs w:val="24"/>
        </w:rPr>
        <w:t xml:space="preserve">extreme value theory (EVT) has been widely </w:t>
      </w:r>
      <w:r w:rsidR="00946D2A" w:rsidRPr="003A49C8">
        <w:rPr>
          <w:rFonts w:cs="Times New Roman"/>
          <w:szCs w:val="24"/>
        </w:rPr>
        <w:t>applied</w:t>
      </w:r>
      <w:r w:rsidR="000908DB" w:rsidRPr="003A49C8">
        <w:rPr>
          <w:rFonts w:cs="Times New Roman"/>
          <w:szCs w:val="24"/>
        </w:rPr>
        <w:t xml:space="preserve"> </w:t>
      </w:r>
      <w:r w:rsidR="00946D2A" w:rsidRPr="003A49C8">
        <w:rPr>
          <w:rFonts w:cs="Times New Roman"/>
          <w:szCs w:val="24"/>
        </w:rPr>
        <w:t xml:space="preserve">in financial markets </w:t>
      </w:r>
      <w:r w:rsidR="000908DB" w:rsidRPr="003A49C8">
        <w:rPr>
          <w:rFonts w:cs="Times New Roman"/>
          <w:szCs w:val="24"/>
        </w:rPr>
        <w:t xml:space="preserve">to </w:t>
      </w:r>
      <w:r w:rsidRPr="003A49C8">
        <w:rPr>
          <w:rFonts w:cs="Times New Roman"/>
          <w:szCs w:val="24"/>
        </w:rPr>
        <w:t xml:space="preserve">model and </w:t>
      </w:r>
      <w:r w:rsidR="000908DB" w:rsidRPr="003A49C8">
        <w:rPr>
          <w:rFonts w:cs="Times New Roman"/>
          <w:szCs w:val="24"/>
        </w:rPr>
        <w:t>evaluate spillover risk</w:t>
      </w:r>
      <w:r w:rsidR="00946D2A" w:rsidRPr="003A49C8">
        <w:rPr>
          <w:rFonts w:cs="Times New Roman"/>
          <w:szCs w:val="24"/>
        </w:rPr>
        <w:t>, systemic risk, and tail risk</w:t>
      </w:r>
      <w:r w:rsidR="000908DB" w:rsidRPr="003A49C8">
        <w:rPr>
          <w:rFonts w:cs="Times New Roman"/>
          <w:szCs w:val="24"/>
        </w:rPr>
        <w:t xml:space="preserve">. </w:t>
      </w:r>
      <w:r w:rsidR="00D805A1" w:rsidRPr="003A49C8">
        <w:rPr>
          <w:rFonts w:cs="Times New Roman"/>
          <w:szCs w:val="24"/>
        </w:rPr>
        <w:t>D</w:t>
      </w:r>
      <w:r w:rsidRPr="003A49C8">
        <w:rPr>
          <w:rFonts w:cs="Times New Roman"/>
          <w:szCs w:val="24"/>
        </w:rPr>
        <w:t xml:space="preserve">espite its advantages, </w:t>
      </w:r>
      <w:r w:rsidR="000908DB" w:rsidRPr="003A49C8">
        <w:rPr>
          <w:rFonts w:cs="Times New Roman"/>
          <w:szCs w:val="24"/>
        </w:rPr>
        <w:t xml:space="preserve">extreme value theory </w:t>
      </w:r>
      <w:r w:rsidR="00D805A1" w:rsidRPr="003A49C8">
        <w:rPr>
          <w:rFonts w:cs="Times New Roman"/>
          <w:szCs w:val="24"/>
        </w:rPr>
        <w:t xml:space="preserve">has not been applied </w:t>
      </w:r>
      <w:r w:rsidR="000908DB" w:rsidRPr="003A49C8">
        <w:rPr>
          <w:rFonts w:cs="Times New Roman"/>
          <w:szCs w:val="24"/>
        </w:rPr>
        <w:t>to the</w:t>
      </w:r>
      <w:r w:rsidRPr="003A49C8">
        <w:rPr>
          <w:rFonts w:cs="Times New Roman"/>
          <w:szCs w:val="24"/>
        </w:rPr>
        <w:t xml:space="preserve"> analys</w:t>
      </w:r>
      <w:r w:rsidR="0027141B" w:rsidRPr="003A49C8">
        <w:rPr>
          <w:rFonts w:cs="Times New Roman"/>
          <w:szCs w:val="24"/>
        </w:rPr>
        <w:t>is</w:t>
      </w:r>
      <w:r w:rsidRPr="003A49C8">
        <w:rPr>
          <w:rFonts w:cs="Times New Roman"/>
          <w:szCs w:val="24"/>
        </w:rPr>
        <w:t xml:space="preserve"> </w:t>
      </w:r>
      <w:r w:rsidR="00D805A1" w:rsidRPr="003A49C8">
        <w:rPr>
          <w:rFonts w:cs="Times New Roman"/>
          <w:szCs w:val="24"/>
        </w:rPr>
        <w:t xml:space="preserve">of </w:t>
      </w:r>
      <w:r w:rsidR="009417CA" w:rsidRPr="003A49C8">
        <w:rPr>
          <w:rFonts w:cs="Times New Roman"/>
          <w:szCs w:val="24"/>
        </w:rPr>
        <w:t xml:space="preserve">tail </w:t>
      </w:r>
      <w:r w:rsidR="00946D2A" w:rsidRPr="003A49C8">
        <w:rPr>
          <w:rFonts w:cs="Times New Roman"/>
          <w:szCs w:val="24"/>
        </w:rPr>
        <w:t xml:space="preserve">risk, systemic risk, and </w:t>
      </w:r>
      <w:r w:rsidR="009417CA" w:rsidRPr="003A49C8">
        <w:rPr>
          <w:rFonts w:cs="Times New Roman"/>
          <w:szCs w:val="24"/>
        </w:rPr>
        <w:t xml:space="preserve">spillover </w:t>
      </w:r>
      <w:r w:rsidR="00946D2A" w:rsidRPr="003A49C8">
        <w:rPr>
          <w:rFonts w:cs="Times New Roman"/>
          <w:szCs w:val="24"/>
        </w:rPr>
        <w:t xml:space="preserve">risk </w:t>
      </w:r>
      <w:r w:rsidRPr="003A49C8">
        <w:rPr>
          <w:rFonts w:cs="Times New Roman"/>
          <w:szCs w:val="24"/>
        </w:rPr>
        <w:t xml:space="preserve">in </w:t>
      </w:r>
      <w:r w:rsidR="00E10A7E" w:rsidRPr="003A49C8">
        <w:rPr>
          <w:rFonts w:cs="Times New Roman"/>
          <w:szCs w:val="24"/>
        </w:rPr>
        <w:t>ESG, healthcare</w:t>
      </w:r>
      <w:r w:rsidRPr="003A49C8">
        <w:rPr>
          <w:rFonts w:cs="Times New Roman"/>
          <w:szCs w:val="24"/>
        </w:rPr>
        <w:t xml:space="preserve"> </w:t>
      </w:r>
      <w:r w:rsidR="00E10A7E" w:rsidRPr="003A49C8">
        <w:rPr>
          <w:rFonts w:cs="Times New Roman"/>
          <w:szCs w:val="24"/>
        </w:rPr>
        <w:t>and financial</w:t>
      </w:r>
      <w:r w:rsidR="009417CA" w:rsidRPr="003A49C8">
        <w:rPr>
          <w:rFonts w:cs="Times New Roman"/>
          <w:szCs w:val="24"/>
        </w:rPr>
        <w:t xml:space="preserve"> sectors as these sectors pos</w:t>
      </w:r>
      <w:r w:rsidR="00841BD7" w:rsidRPr="003A49C8">
        <w:rPr>
          <w:rFonts w:cs="Times New Roman"/>
          <w:szCs w:val="24"/>
        </w:rPr>
        <w:t>e</w:t>
      </w:r>
      <w:r w:rsidR="009417CA" w:rsidRPr="003A49C8">
        <w:rPr>
          <w:rFonts w:cs="Times New Roman"/>
          <w:szCs w:val="24"/>
        </w:rPr>
        <w:t xml:space="preserve"> extreme challenge</w:t>
      </w:r>
      <w:r w:rsidR="00841BD7" w:rsidRPr="003A49C8">
        <w:rPr>
          <w:rFonts w:cs="Times New Roman"/>
          <w:szCs w:val="24"/>
        </w:rPr>
        <w:t>s</w:t>
      </w:r>
      <w:r w:rsidR="009417CA" w:rsidRPr="003A49C8">
        <w:rPr>
          <w:rFonts w:cs="Times New Roman"/>
          <w:szCs w:val="24"/>
        </w:rPr>
        <w:t xml:space="preserve"> to the global economic and financial system as we have seen in the form of </w:t>
      </w:r>
      <w:r w:rsidR="00841BD7" w:rsidRPr="003A49C8">
        <w:rPr>
          <w:rFonts w:cs="Times New Roman"/>
          <w:szCs w:val="24"/>
        </w:rPr>
        <w:t xml:space="preserve">the </w:t>
      </w:r>
      <w:r w:rsidR="009417CA" w:rsidRPr="003A49C8">
        <w:rPr>
          <w:rFonts w:cs="Times New Roman"/>
          <w:szCs w:val="24"/>
        </w:rPr>
        <w:t>global financial crisis of 2007-08 and COVID-19 crisis</w:t>
      </w:r>
      <w:r w:rsidRPr="003A49C8">
        <w:rPr>
          <w:rFonts w:cs="Times New Roman"/>
          <w:szCs w:val="24"/>
        </w:rPr>
        <w:t>.</w:t>
      </w:r>
      <w:r w:rsidR="000908DB" w:rsidRPr="003A49C8">
        <w:rPr>
          <w:rFonts w:cs="Times New Roman"/>
          <w:szCs w:val="24"/>
        </w:rPr>
        <w:t xml:space="preserve"> </w:t>
      </w:r>
      <w:r w:rsidRPr="003A49C8">
        <w:rPr>
          <w:rFonts w:cs="Times New Roman"/>
          <w:szCs w:val="24"/>
        </w:rPr>
        <w:t>Concomitantly, in this study</w:t>
      </w:r>
      <w:r w:rsidR="0027141B" w:rsidRPr="003A49C8">
        <w:rPr>
          <w:rFonts w:cs="Times New Roman"/>
          <w:szCs w:val="24"/>
        </w:rPr>
        <w:t>,</w:t>
      </w:r>
      <w:r w:rsidRPr="003A49C8">
        <w:rPr>
          <w:rFonts w:cs="Times New Roman"/>
          <w:szCs w:val="24"/>
        </w:rPr>
        <w:t xml:space="preserve"> we </w:t>
      </w:r>
      <w:r w:rsidR="00D805A1" w:rsidRPr="003A49C8">
        <w:rPr>
          <w:rFonts w:cs="Times New Roman"/>
          <w:szCs w:val="24"/>
        </w:rPr>
        <w:t>draw</w:t>
      </w:r>
      <w:r w:rsidRPr="003A49C8">
        <w:rPr>
          <w:rFonts w:cs="Times New Roman"/>
          <w:szCs w:val="24"/>
        </w:rPr>
        <w:t xml:space="preserve"> on the EVT to model and analyse the risk</w:t>
      </w:r>
      <w:r w:rsidR="0027141B" w:rsidRPr="003A49C8">
        <w:rPr>
          <w:rFonts w:cs="Times New Roman"/>
          <w:szCs w:val="24"/>
        </w:rPr>
        <w:t>s</w:t>
      </w:r>
      <w:r w:rsidRPr="003A49C8">
        <w:rPr>
          <w:rFonts w:cs="Times New Roman"/>
          <w:szCs w:val="24"/>
        </w:rPr>
        <w:t xml:space="preserve"> in these sectors. </w:t>
      </w:r>
    </w:p>
    <w:p w14:paraId="0885E63C" w14:textId="38026FEE" w:rsidR="00613783" w:rsidRPr="003A49C8" w:rsidRDefault="00613783" w:rsidP="005D161F">
      <w:pPr>
        <w:pStyle w:val="Heading1"/>
        <w:rPr>
          <w:rFonts w:cs="Times New Roman"/>
          <w:szCs w:val="24"/>
        </w:rPr>
      </w:pPr>
      <w:r w:rsidRPr="003A49C8">
        <w:rPr>
          <w:rFonts w:cs="Times New Roman"/>
          <w:szCs w:val="24"/>
        </w:rPr>
        <w:t>3. Data and Methodology</w:t>
      </w:r>
    </w:p>
    <w:p w14:paraId="13DE456B" w14:textId="56F23B8A" w:rsidR="00613783" w:rsidRPr="003A49C8" w:rsidRDefault="00613783" w:rsidP="00B942AD">
      <w:pPr>
        <w:rPr>
          <w:rFonts w:cs="Times New Roman"/>
          <w:szCs w:val="24"/>
        </w:rPr>
      </w:pPr>
      <w:r w:rsidRPr="003A49C8">
        <w:rPr>
          <w:rFonts w:cs="Times New Roman"/>
          <w:szCs w:val="24"/>
        </w:rPr>
        <w:t xml:space="preserve">Data from our sample includes ETFs investing in ESG, healthcare, and financial stocks. We compare all three groups of ETFs using </w:t>
      </w:r>
      <w:r w:rsidR="0064697A" w:rsidRPr="003A49C8">
        <w:rPr>
          <w:rFonts w:cs="Times New Roman"/>
          <w:szCs w:val="24"/>
        </w:rPr>
        <w:t xml:space="preserve">tail </w:t>
      </w:r>
      <w:r w:rsidRPr="003A49C8">
        <w:rPr>
          <w:rFonts w:cs="Times New Roman"/>
          <w:szCs w:val="24"/>
        </w:rPr>
        <w:t>risk</w:t>
      </w:r>
      <w:r w:rsidR="0064697A" w:rsidRPr="003A49C8">
        <w:rPr>
          <w:rFonts w:cs="Times New Roman"/>
          <w:szCs w:val="24"/>
        </w:rPr>
        <w:t>, systemic risk</w:t>
      </w:r>
      <w:r w:rsidRPr="003A49C8">
        <w:rPr>
          <w:rFonts w:cs="Times New Roman"/>
          <w:szCs w:val="24"/>
        </w:rPr>
        <w:t xml:space="preserve"> and </w:t>
      </w:r>
      <w:r w:rsidR="0064697A" w:rsidRPr="003A49C8">
        <w:rPr>
          <w:rFonts w:cs="Times New Roman"/>
          <w:szCs w:val="24"/>
        </w:rPr>
        <w:t>spillover</w:t>
      </w:r>
      <w:r w:rsidR="00841BD7" w:rsidRPr="003A49C8">
        <w:rPr>
          <w:rFonts w:cs="Times New Roman"/>
          <w:szCs w:val="24"/>
        </w:rPr>
        <w:t xml:space="preserve"> </w:t>
      </w:r>
      <w:r w:rsidRPr="003A49C8">
        <w:rPr>
          <w:rFonts w:cs="Times New Roman"/>
          <w:szCs w:val="24"/>
        </w:rPr>
        <w:t>risk evaluations. Based on the data available on the Bloomberg database, we obtain healthcare and financial ETFs</w:t>
      </w:r>
      <w:r w:rsidR="008F59DE" w:rsidRPr="003A49C8">
        <w:rPr>
          <w:rFonts w:cs="Times New Roman"/>
          <w:szCs w:val="24"/>
        </w:rPr>
        <w:t>'</w:t>
      </w:r>
      <w:r w:rsidRPr="003A49C8">
        <w:rPr>
          <w:rFonts w:cs="Times New Roman"/>
          <w:szCs w:val="24"/>
        </w:rPr>
        <w:t xml:space="preserve"> </w:t>
      </w:r>
      <w:r w:rsidR="005D421D" w:rsidRPr="003A49C8">
        <w:rPr>
          <w:rFonts w:cs="Times New Roman"/>
          <w:szCs w:val="24"/>
        </w:rPr>
        <w:t xml:space="preserve">daily equity returns </w:t>
      </w:r>
      <w:r w:rsidR="00164638" w:rsidRPr="003A49C8">
        <w:rPr>
          <w:rFonts w:cs="Times New Roman"/>
          <w:szCs w:val="24"/>
        </w:rPr>
        <w:t>from 1</w:t>
      </w:r>
      <w:r w:rsidR="00164638" w:rsidRPr="003A49C8">
        <w:rPr>
          <w:rFonts w:cs="Times New Roman"/>
          <w:szCs w:val="24"/>
          <w:vertAlign w:val="superscript"/>
        </w:rPr>
        <w:t>st</w:t>
      </w:r>
      <w:r w:rsidR="00164638" w:rsidRPr="003A49C8">
        <w:rPr>
          <w:rFonts w:cs="Times New Roman"/>
          <w:szCs w:val="24"/>
        </w:rPr>
        <w:t xml:space="preserve"> July 1999 to 30</w:t>
      </w:r>
      <w:r w:rsidR="00164638" w:rsidRPr="003A49C8">
        <w:rPr>
          <w:rFonts w:cs="Times New Roman"/>
          <w:szCs w:val="24"/>
          <w:vertAlign w:val="superscript"/>
        </w:rPr>
        <w:t>th</w:t>
      </w:r>
      <w:r w:rsidR="00164638" w:rsidRPr="003A49C8">
        <w:rPr>
          <w:rFonts w:cs="Times New Roman"/>
          <w:szCs w:val="24"/>
        </w:rPr>
        <w:t xml:space="preserve"> June 2022. </w:t>
      </w:r>
      <w:r w:rsidRPr="003A49C8">
        <w:rPr>
          <w:rFonts w:cs="Times New Roman"/>
          <w:szCs w:val="24"/>
        </w:rPr>
        <w:t>Additionally, we obtain ESG ETF</w:t>
      </w:r>
      <w:r w:rsidR="008F59DE" w:rsidRPr="003A49C8">
        <w:rPr>
          <w:rFonts w:cs="Times New Roman"/>
          <w:szCs w:val="24"/>
        </w:rPr>
        <w:t>'</w:t>
      </w:r>
      <w:r w:rsidRPr="003A49C8">
        <w:rPr>
          <w:rFonts w:cs="Times New Roman"/>
          <w:szCs w:val="24"/>
        </w:rPr>
        <w:t xml:space="preserve">s </w:t>
      </w:r>
      <w:r w:rsidR="005D421D" w:rsidRPr="003A49C8">
        <w:rPr>
          <w:rFonts w:cs="Times New Roman"/>
          <w:szCs w:val="24"/>
        </w:rPr>
        <w:t xml:space="preserve">daily returns </w:t>
      </w:r>
      <w:r w:rsidRPr="003A49C8">
        <w:rPr>
          <w:rFonts w:cs="Times New Roman"/>
          <w:szCs w:val="24"/>
        </w:rPr>
        <w:t xml:space="preserve">from </w:t>
      </w:r>
      <w:r w:rsidR="00164638" w:rsidRPr="003A49C8">
        <w:rPr>
          <w:rFonts w:cs="Times New Roman"/>
          <w:szCs w:val="24"/>
        </w:rPr>
        <w:t>1</w:t>
      </w:r>
      <w:r w:rsidR="00164638" w:rsidRPr="003A49C8">
        <w:rPr>
          <w:rFonts w:cs="Times New Roman"/>
          <w:szCs w:val="24"/>
          <w:vertAlign w:val="superscript"/>
        </w:rPr>
        <w:t>st</w:t>
      </w:r>
      <w:r w:rsidR="00164638" w:rsidRPr="003A49C8">
        <w:rPr>
          <w:rFonts w:cs="Times New Roman"/>
          <w:szCs w:val="24"/>
        </w:rPr>
        <w:t xml:space="preserve"> July 2007 to 30</w:t>
      </w:r>
      <w:r w:rsidR="00164638" w:rsidRPr="003A49C8">
        <w:rPr>
          <w:rFonts w:cs="Times New Roman"/>
          <w:szCs w:val="24"/>
          <w:vertAlign w:val="superscript"/>
        </w:rPr>
        <w:t>th</w:t>
      </w:r>
      <w:r w:rsidR="00164638" w:rsidRPr="003A49C8">
        <w:rPr>
          <w:rFonts w:cs="Times New Roman"/>
          <w:szCs w:val="24"/>
        </w:rPr>
        <w:t xml:space="preserve"> June 2022.</w:t>
      </w:r>
      <w:r w:rsidRPr="003A49C8">
        <w:rPr>
          <w:rFonts w:cs="Times New Roman"/>
          <w:szCs w:val="24"/>
        </w:rPr>
        <w:t xml:space="preserve"> Our selection criteria are the top ten ESG, healthcare, and financial ETFs by </w:t>
      </w:r>
      <w:r w:rsidR="00DA06A6" w:rsidRPr="003A49C8">
        <w:rPr>
          <w:rFonts w:cs="Times New Roman"/>
          <w:szCs w:val="24"/>
        </w:rPr>
        <w:t xml:space="preserve">net asset value (NAV) </w:t>
      </w:r>
      <w:r w:rsidRPr="003A49C8">
        <w:rPr>
          <w:rFonts w:cs="Times New Roman"/>
          <w:szCs w:val="24"/>
        </w:rPr>
        <w:t xml:space="preserve">and we use all the data that are available. These three groups are limited to the top ten ETFs because their sizes diminish after </w:t>
      </w:r>
      <w:r w:rsidRPr="003A49C8">
        <w:rPr>
          <w:rFonts w:cs="Times New Roman"/>
          <w:szCs w:val="24"/>
        </w:rPr>
        <w:lastRenderedPageBreak/>
        <w:t xml:space="preserve">the top ten. Among our selected ETFs, some focus on global markets, but most are based in the US. For tail-β </w:t>
      </w:r>
      <w:r w:rsidR="00DA06A6" w:rsidRPr="003A49C8">
        <w:rPr>
          <w:rFonts w:cs="Times New Roman"/>
          <w:szCs w:val="24"/>
        </w:rPr>
        <w:t xml:space="preserve">or extreme systemic risk </w:t>
      </w:r>
      <w:r w:rsidRPr="003A49C8">
        <w:rPr>
          <w:rFonts w:cs="Times New Roman"/>
          <w:szCs w:val="24"/>
        </w:rPr>
        <w:t xml:space="preserve">estimation, we also use </w:t>
      </w:r>
      <w:r w:rsidR="008F59DE" w:rsidRPr="003A49C8">
        <w:rPr>
          <w:rFonts w:cs="Times New Roman"/>
          <w:szCs w:val="24"/>
        </w:rPr>
        <w:t xml:space="preserve">the </w:t>
      </w:r>
      <w:r w:rsidR="0064697A" w:rsidRPr="003A49C8">
        <w:rPr>
          <w:rFonts w:cs="Times New Roman"/>
          <w:szCs w:val="24"/>
        </w:rPr>
        <w:t xml:space="preserve">ETF data from </w:t>
      </w:r>
      <w:r w:rsidR="00841BD7" w:rsidRPr="003A49C8">
        <w:rPr>
          <w:rFonts w:cs="Times New Roman"/>
          <w:szCs w:val="24"/>
        </w:rPr>
        <w:t xml:space="preserve">the </w:t>
      </w:r>
      <w:r w:rsidRPr="003A49C8">
        <w:rPr>
          <w:rFonts w:cs="Times New Roman"/>
          <w:szCs w:val="24"/>
        </w:rPr>
        <w:t xml:space="preserve">Bloomberg database to calculate </w:t>
      </w:r>
      <w:r w:rsidR="00841BD7" w:rsidRPr="003A49C8">
        <w:rPr>
          <w:rFonts w:cs="Times New Roman"/>
          <w:szCs w:val="24"/>
        </w:rPr>
        <w:t xml:space="preserve">the </w:t>
      </w:r>
      <w:r w:rsidR="0064697A" w:rsidRPr="003A49C8">
        <w:rPr>
          <w:rFonts w:cs="Times New Roman"/>
          <w:szCs w:val="24"/>
        </w:rPr>
        <w:t xml:space="preserve">extreme systemic risk of </w:t>
      </w:r>
      <w:r w:rsidRPr="003A49C8">
        <w:rPr>
          <w:rFonts w:cs="Times New Roman"/>
          <w:szCs w:val="24"/>
        </w:rPr>
        <w:t xml:space="preserve">ESG, healthcare, and financial </w:t>
      </w:r>
      <w:r w:rsidR="0064697A" w:rsidRPr="003A49C8">
        <w:rPr>
          <w:rFonts w:cs="Times New Roman"/>
          <w:szCs w:val="24"/>
        </w:rPr>
        <w:t>sectors</w:t>
      </w:r>
      <w:r w:rsidRPr="003A49C8">
        <w:rPr>
          <w:rFonts w:cs="Times New Roman"/>
          <w:szCs w:val="24"/>
        </w:rPr>
        <w:t xml:space="preserve"> across certain worldwide markets (e.g., China, E</w:t>
      </w:r>
      <w:r w:rsidR="0064697A" w:rsidRPr="003A49C8">
        <w:rPr>
          <w:rFonts w:cs="Times New Roman"/>
          <w:szCs w:val="24"/>
        </w:rPr>
        <w:t>urope, Euro</w:t>
      </w:r>
      <w:r w:rsidRPr="003A49C8">
        <w:rPr>
          <w:rFonts w:cs="Times New Roman"/>
          <w:szCs w:val="24"/>
        </w:rPr>
        <w:t xml:space="preserve">zone, UK, and US), and certain ETF categories (e.g., green energy, traditional energy, high-tech, and bonds). </w:t>
      </w:r>
      <w:r w:rsidR="0064697A" w:rsidRPr="003A49C8">
        <w:rPr>
          <w:rFonts w:cs="Times New Roman"/>
          <w:szCs w:val="24"/>
        </w:rPr>
        <w:t xml:space="preserve">We also perform tail risk, extreme systemic risk and extreme spillover temporal analyses using </w:t>
      </w:r>
      <w:r w:rsidR="00841BD7" w:rsidRPr="003A49C8">
        <w:rPr>
          <w:rFonts w:cs="Times New Roman"/>
          <w:szCs w:val="24"/>
        </w:rPr>
        <w:t xml:space="preserve">the </w:t>
      </w:r>
      <w:r w:rsidR="00EE0BF1" w:rsidRPr="003A49C8">
        <w:rPr>
          <w:rFonts w:cs="Times New Roman"/>
          <w:szCs w:val="24"/>
        </w:rPr>
        <w:t>seven</w:t>
      </w:r>
      <w:r w:rsidRPr="003A49C8">
        <w:rPr>
          <w:rFonts w:cs="Times New Roman"/>
          <w:szCs w:val="24"/>
        </w:rPr>
        <w:t xml:space="preserve">-year rolling </w:t>
      </w:r>
      <w:r w:rsidR="00075F28" w:rsidRPr="003A49C8">
        <w:rPr>
          <w:rFonts w:cs="Times New Roman"/>
          <w:szCs w:val="24"/>
        </w:rPr>
        <w:t>windows</w:t>
      </w:r>
      <w:r w:rsidR="0064697A" w:rsidRPr="003A49C8">
        <w:rPr>
          <w:rFonts w:cs="Times New Roman"/>
          <w:szCs w:val="24"/>
        </w:rPr>
        <w:t xml:space="preserve"> for all the ESG, healthcare and financial sectors to identify the time series risk exposure of these sectors. </w:t>
      </w:r>
    </w:p>
    <w:p w14:paraId="69D2D3DE" w14:textId="77777777" w:rsidR="00613783" w:rsidRPr="003A49C8" w:rsidRDefault="00613783" w:rsidP="00B942AD">
      <w:pPr>
        <w:pStyle w:val="Heading2"/>
        <w:rPr>
          <w:rFonts w:cs="Times New Roman"/>
          <w:szCs w:val="24"/>
        </w:rPr>
      </w:pPr>
      <w:r w:rsidRPr="003A49C8">
        <w:rPr>
          <w:rFonts w:cs="Times New Roman"/>
          <w:szCs w:val="24"/>
        </w:rPr>
        <w:t>3.1 Measurement of tail risk</w:t>
      </w:r>
    </w:p>
    <w:p w14:paraId="5816D898" w14:textId="77777777" w:rsidR="00613783" w:rsidRPr="003A49C8" w:rsidRDefault="00613783" w:rsidP="00E33705">
      <w:pPr>
        <w:ind w:firstLine="397"/>
        <w:rPr>
          <w:rFonts w:cs="Times New Roman"/>
          <w:szCs w:val="24"/>
        </w:rPr>
      </w:pPr>
      <w:r w:rsidRPr="003A49C8">
        <w:rPr>
          <w:rFonts w:cs="Times New Roman"/>
          <w:szCs w:val="24"/>
        </w:rPr>
        <w:t>Because extreme incidents (e.g., the financial crisis and the COVID-19 pandemic crisis) can cause high volatility in ESG, healthcare, and financial ETFs, the univariate extreme value theory (EVT) is used to assess equity tail risk. A univariate EVT is derived from Generalized Extreme Value (GEV) distributions and consideration of limit laws for maxima of stationary methods. Peaks-Over-Threshold (POT) is used to measure GEV distribution parameters. Using Chaudhry et al. (2022) as a guide, we matched the distribution of excess losses over a high threshold using the semi-parametric method to achieve the Generalised Pareto Distribution (GPD).</w:t>
      </w:r>
    </w:p>
    <w:p w14:paraId="70E95F23" w14:textId="6C0D7FE0" w:rsidR="00613783" w:rsidRPr="003A49C8" w:rsidRDefault="00BC2DE1" w:rsidP="00E33705">
      <w:pPr>
        <w:ind w:firstLine="397"/>
        <w:rPr>
          <w:rFonts w:cs="Times New Roman"/>
          <w:szCs w:val="24"/>
        </w:rPr>
      </w:pPr>
      <w:r w:rsidRPr="003A49C8">
        <w:rPr>
          <w:rFonts w:cs="Times New Roman"/>
          <w:szCs w:val="24"/>
        </w:rPr>
        <w:t>W</w:t>
      </w:r>
      <w:r w:rsidR="00613783" w:rsidRPr="003A49C8">
        <w:rPr>
          <w:rFonts w:cs="Times New Roman"/>
          <w:szCs w:val="24"/>
        </w:rPr>
        <w:t xml:space="preserve">e examine the quantile </w:t>
      </w:r>
      <m:oMath>
        <m:r>
          <w:rPr>
            <w:rFonts w:ascii="Cambria Math" w:hAnsi="Cambria Math" w:cs="Times New Roman"/>
            <w:szCs w:val="24"/>
          </w:rPr>
          <m:t>χ</m:t>
        </m:r>
      </m:oMath>
      <w:r w:rsidR="00613783" w:rsidRPr="003A49C8">
        <w:rPr>
          <w:rFonts w:cs="Times New Roman"/>
          <w:szCs w:val="24"/>
        </w:rPr>
        <w:t xml:space="preserve"> for extremely low values of </w:t>
      </w:r>
      <m:oMath>
        <m:r>
          <w:rPr>
            <w:rFonts w:ascii="Cambria Math" w:hAnsi="Cambria Math" w:cs="Times New Roman"/>
            <w:szCs w:val="24"/>
          </w:rPr>
          <m:t>P=p{X&gt;χ}</m:t>
        </m:r>
      </m:oMath>
      <w:r w:rsidR="00613783" w:rsidRPr="003A49C8">
        <w:rPr>
          <w:rFonts w:cs="Times New Roman"/>
          <w:szCs w:val="24"/>
        </w:rPr>
        <w:t xml:space="preserve"> using the semi-parametric estimator developed by De Hanan et al. (1994):</w:t>
      </w:r>
    </w:p>
    <w:p w14:paraId="43F3A2BF" w14:textId="77777777" w:rsidR="00613783" w:rsidRPr="003A49C8" w:rsidRDefault="00000000" w:rsidP="00B942AD">
      <w:pPr>
        <w:rPr>
          <w:rFonts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x</m:t>
                </m:r>
              </m:e>
            </m:acc>
          </m:e>
          <m:sub>
            <m:r>
              <w:rPr>
                <w:rFonts w:ascii="Cambria Math" w:hAnsi="Cambria Math" w:cs="Times New Roman"/>
                <w:szCs w:val="24"/>
              </w:rPr>
              <m:t>p</m:t>
            </m:r>
          </m:sub>
        </m:sSub>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n-m,n</m:t>
            </m:r>
          </m:sub>
        </m:sSub>
        <m:sSup>
          <m:sSupPr>
            <m:ctrlPr>
              <w:rPr>
                <w:rFonts w:ascii="Cambria Math" w:hAnsi="Cambria Math" w:cs="Times New Roman"/>
                <w:i/>
                <w:szCs w:val="24"/>
              </w:rPr>
            </m:ctrlPr>
          </m:sSupPr>
          <m:e>
            <m:d>
              <m:dPr>
                <m:begChr m:val=""/>
                <m:ctrlPr>
                  <w:rPr>
                    <w:rFonts w:ascii="Cambria Math" w:hAnsi="Cambria Math" w:cs="Times New Roman"/>
                    <w:i/>
                    <w:szCs w:val="24"/>
                  </w:rPr>
                </m:ctrlPr>
              </m:dPr>
              <m:e>
                <m:d>
                  <m:dPr>
                    <m:endChr m:val=""/>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m</m:t>
                        </m:r>
                      </m:num>
                      <m:den>
                        <m:r>
                          <w:rPr>
                            <w:rFonts w:ascii="Cambria Math" w:hAnsi="Cambria Math" w:cs="Times New Roman"/>
                            <w:szCs w:val="24"/>
                          </w:rPr>
                          <m:t>np</m:t>
                        </m:r>
                      </m:den>
                    </m:f>
                  </m:e>
                </m:d>
              </m:e>
            </m:d>
          </m:e>
          <m:sup>
            <m:r>
              <w:rPr>
                <w:rFonts w:ascii="Cambria Math" w:hAnsi="Cambria Math" w:cs="Times New Roman"/>
                <w:szCs w:val="24"/>
              </w:rPr>
              <m:t>1/a</m:t>
            </m:r>
          </m:sup>
        </m:sSup>
      </m:oMath>
      <w:r w:rsidR="00613783" w:rsidRPr="003A49C8">
        <w:rPr>
          <w:rFonts w:cs="Times New Roman"/>
          <w:szCs w:val="24"/>
        </w:rPr>
        <w:tab/>
      </w:r>
      <w:r w:rsidR="00613783" w:rsidRPr="003A49C8">
        <w:rPr>
          <w:rFonts w:cs="Times New Roman"/>
          <w:szCs w:val="24"/>
        </w:rPr>
        <w:tab/>
      </w:r>
      <w:r w:rsidR="00613783" w:rsidRPr="003A49C8">
        <w:rPr>
          <w:rFonts w:cs="Times New Roman"/>
          <w:szCs w:val="24"/>
        </w:rPr>
        <w:tab/>
      </w:r>
      <w:r w:rsidR="00613783" w:rsidRPr="003A49C8">
        <w:rPr>
          <w:rFonts w:cs="Times New Roman"/>
          <w:szCs w:val="24"/>
        </w:rPr>
        <w:tab/>
      </w:r>
      <w:r w:rsidR="00613783" w:rsidRPr="003A49C8">
        <w:rPr>
          <w:rFonts w:cs="Times New Roman"/>
          <w:szCs w:val="24"/>
        </w:rPr>
        <w:tab/>
      </w:r>
      <w:r w:rsidR="00613783" w:rsidRPr="003A49C8">
        <w:rPr>
          <w:rFonts w:cs="Times New Roman"/>
          <w:szCs w:val="24"/>
        </w:rPr>
        <w:tab/>
      </w:r>
      <w:r w:rsidR="00613783" w:rsidRPr="003A49C8">
        <w:rPr>
          <w:rFonts w:cs="Times New Roman"/>
          <w:szCs w:val="24"/>
        </w:rPr>
        <w:tab/>
      </w:r>
      <w:r w:rsidR="00613783" w:rsidRPr="003A49C8">
        <w:rPr>
          <w:rFonts w:cs="Times New Roman"/>
          <w:szCs w:val="24"/>
        </w:rPr>
        <w:tab/>
      </w:r>
      <w:r w:rsidR="00613783" w:rsidRPr="003A49C8">
        <w:rPr>
          <w:rFonts w:cs="Times New Roman"/>
          <w:szCs w:val="24"/>
        </w:rPr>
        <w:tab/>
      </w:r>
      <w:r w:rsidR="00613783" w:rsidRPr="003A49C8">
        <w:rPr>
          <w:rFonts w:cs="Times New Roman"/>
          <w:szCs w:val="24"/>
        </w:rPr>
        <w:tab/>
        <w:t>(1)</w:t>
      </w:r>
    </w:p>
    <w:p w14:paraId="394E1ABE" w14:textId="6A9A5FAC" w:rsidR="00613783" w:rsidRPr="003A49C8" w:rsidRDefault="00613783" w:rsidP="00E33705">
      <w:pPr>
        <w:ind w:firstLine="397"/>
        <w:rPr>
          <w:rFonts w:cs="Times New Roman"/>
          <w:szCs w:val="24"/>
        </w:rPr>
      </w:pPr>
      <w:r w:rsidRPr="003A49C8">
        <w:rPr>
          <w:rFonts w:cs="Times New Roman"/>
          <w:szCs w:val="24"/>
        </w:rPr>
        <w:t xml:space="preserve">where </w:t>
      </w:r>
      <w:r w:rsidR="00841BD7" w:rsidRPr="003A49C8">
        <w:rPr>
          <w:rFonts w:cs="Times New Roman"/>
          <w:szCs w:val="24"/>
        </w:rPr>
        <w:t xml:space="preserve">the </w:t>
      </w:r>
      <w:r w:rsidRPr="003A49C8">
        <w:rPr>
          <w:rFonts w:cs="Times New Roman"/>
          <w:szCs w:val="24"/>
        </w:rPr>
        <w:t xml:space="preserve">sample size is </w:t>
      </w:r>
      <m:oMath>
        <m:r>
          <w:rPr>
            <w:rFonts w:ascii="Cambria Math" w:hAnsi="Cambria Math" w:cs="Times New Roman"/>
            <w:szCs w:val="24"/>
          </w:rPr>
          <m:t>n</m:t>
        </m:r>
      </m:oMath>
      <w:r w:rsidRPr="003A49C8">
        <w:rPr>
          <w:rFonts w:cs="Times New Roman"/>
          <w:i/>
          <w:szCs w:val="24"/>
        </w:rPr>
        <w:t xml:space="preserve">, </w:t>
      </w:r>
      <m:oMath>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n-m,n</m:t>
            </m:r>
          </m:sub>
        </m:sSub>
      </m:oMath>
      <w:r w:rsidRPr="003A49C8">
        <w:rPr>
          <w:rFonts w:cs="Times New Roman"/>
          <w:i/>
          <w:szCs w:val="24"/>
          <w:vertAlign w:val="subscript"/>
        </w:rPr>
        <w:t xml:space="preserve"> </w:t>
      </w:r>
      <w:r w:rsidRPr="003A49C8">
        <w:rPr>
          <w:rFonts w:cs="Times New Roman"/>
          <w:szCs w:val="24"/>
        </w:rPr>
        <w:t xml:space="preserve">is the tail cut-off point for </w:t>
      </w:r>
      <m:oMath>
        <m:sSup>
          <m:sSupPr>
            <m:ctrlPr>
              <w:rPr>
                <w:rFonts w:ascii="Cambria Math" w:hAnsi="Cambria Math" w:cs="Times New Roman"/>
                <w:i/>
                <w:szCs w:val="24"/>
              </w:rPr>
            </m:ctrlPr>
          </m:sSupPr>
          <m:e>
            <m:r>
              <w:rPr>
                <w:rFonts w:ascii="Cambria Math" w:hAnsi="Cambria Math" w:cs="Times New Roman"/>
                <w:szCs w:val="24"/>
              </w:rPr>
              <m:t>(n-m)</m:t>
            </m:r>
          </m:e>
          <m:sup>
            <m:r>
              <w:rPr>
                <w:rFonts w:ascii="Cambria Math" w:hAnsi="Cambria Math" w:cs="Times New Roman"/>
                <w:szCs w:val="24"/>
              </w:rPr>
              <m:t>th</m:t>
            </m:r>
          </m:sup>
        </m:sSup>
      </m:oMath>
      <w:r w:rsidRPr="003A49C8">
        <w:rPr>
          <w:rFonts w:cs="Times New Roman"/>
          <w:szCs w:val="24"/>
          <w:vertAlign w:val="superscript"/>
        </w:rPr>
        <w:t xml:space="preserve"> </w:t>
      </w:r>
      <w:r w:rsidRPr="003A49C8">
        <w:rPr>
          <w:rFonts w:cs="Times New Roman"/>
          <w:szCs w:val="24"/>
        </w:rPr>
        <w:t xml:space="preserve">ascending order statistics. </w:t>
      </w:r>
    </w:p>
    <w:p w14:paraId="262F42FF" w14:textId="5CEFABCF" w:rsidR="00613783" w:rsidRPr="003A49C8" w:rsidRDefault="00613783" w:rsidP="00E33705">
      <w:pPr>
        <w:ind w:firstLine="397"/>
        <w:rPr>
          <w:rFonts w:cs="Times New Roman"/>
          <w:szCs w:val="24"/>
        </w:rPr>
      </w:pPr>
      <w:r w:rsidRPr="003A49C8">
        <w:rPr>
          <w:rFonts w:cs="Times New Roman"/>
          <w:szCs w:val="24"/>
        </w:rPr>
        <w:t>We use the Hill (1975) estimator to derive α in equation (1), which becomes Equation (2)</w:t>
      </w:r>
      <w:r w:rsidR="00BC2DE1" w:rsidRPr="003A49C8">
        <w:rPr>
          <w:rFonts w:cs="Times New Roman"/>
          <w:szCs w:val="24"/>
        </w:rPr>
        <w:t xml:space="preserve"> as follows</w:t>
      </w:r>
      <w:r w:rsidRPr="003A49C8">
        <w:rPr>
          <w:rFonts w:cs="Times New Roman"/>
          <w:szCs w:val="24"/>
        </w:rPr>
        <w:t>:</w:t>
      </w:r>
    </w:p>
    <w:p w14:paraId="2C8D8B41" w14:textId="77777777" w:rsidR="00613783" w:rsidRPr="003A49C8" w:rsidRDefault="00000000" w:rsidP="00B942AD">
      <w:pPr>
        <w:rPr>
          <w:rFonts w:cs="Times New Roman"/>
          <w:szCs w:val="24"/>
        </w:rPr>
      </w:pPr>
      <m:oMath>
        <m:acc>
          <m:accPr>
            <m:ctrlPr>
              <w:rPr>
                <w:rFonts w:ascii="Cambria Math" w:hAnsi="Cambria Math" w:cs="Times New Roman"/>
                <w:i/>
                <w:szCs w:val="24"/>
              </w:rPr>
            </m:ctrlPr>
          </m:accPr>
          <m:e>
            <m:r>
              <w:rPr>
                <w:rFonts w:ascii="Cambria Math" w:hAnsi="Cambria Math" w:cs="Times New Roman"/>
                <w:szCs w:val="24"/>
              </w:rPr>
              <m:t>a</m:t>
            </m:r>
          </m:e>
        </m:acc>
        <m:r>
          <w:rPr>
            <w:rFonts w:ascii="Cambria Math" w:hAnsi="Cambria Math" w:cs="Times New Roman"/>
            <w:szCs w:val="24"/>
          </w:rPr>
          <m:t>=</m:t>
        </m:r>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m</m:t>
                    </m:r>
                  </m:den>
                </m:f>
                <m:nary>
                  <m:naryPr>
                    <m:chr m:val="∑"/>
                    <m:ctrlPr>
                      <w:rPr>
                        <w:rFonts w:ascii="Cambria Math" w:hAnsi="Cambria Math" w:cs="Times New Roman"/>
                        <w:i/>
                        <w:szCs w:val="24"/>
                      </w:rPr>
                    </m:ctrlPr>
                  </m:naryPr>
                  <m:sub>
                    <m:r>
                      <w:rPr>
                        <w:rFonts w:ascii="Cambria Math" w:hAnsi="Cambria Math" w:cs="Times New Roman"/>
                        <w:szCs w:val="24"/>
                      </w:rPr>
                      <m:t>j=0</m:t>
                    </m:r>
                  </m:sub>
                  <m:sup>
                    <m:r>
                      <w:rPr>
                        <w:rFonts w:ascii="Cambria Math" w:hAnsi="Cambria Math" w:cs="Times New Roman"/>
                        <w:szCs w:val="24"/>
                      </w:rPr>
                      <m:t>m-1</m:t>
                    </m:r>
                  </m:sup>
                  <m:e>
                    <m:r>
                      <w:rPr>
                        <w:rFonts w:ascii="Cambria Math" w:hAnsi="Cambria Math" w:cs="Times New Roman"/>
                        <w:szCs w:val="24"/>
                      </w:rPr>
                      <m:t>ln</m:t>
                    </m:r>
                  </m:e>
                </m:nary>
                <m:d>
                  <m:dPr>
                    <m:ctrlPr>
                      <w:rPr>
                        <w:rFonts w:ascii="Cambria Math" w:hAnsi="Cambria Math" w:cs="Times New Roman"/>
                        <w:i/>
                        <w:szCs w:val="24"/>
                      </w:rPr>
                    </m:ctrlPr>
                  </m:dPr>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n-j,n</m:t>
                            </m:r>
                          </m:sub>
                        </m:sSub>
                      </m:num>
                      <m:den>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n-m,n</m:t>
                            </m:r>
                          </m:sub>
                        </m:sSub>
                      </m:den>
                    </m:f>
                  </m:e>
                </m:d>
              </m:e>
            </m:d>
          </m:e>
          <m:sup>
            <m:r>
              <w:rPr>
                <w:rFonts w:ascii="Cambria Math" w:hAnsi="Cambria Math" w:cs="Times New Roman"/>
                <w:szCs w:val="24"/>
              </w:rPr>
              <m:t>-1</m:t>
            </m:r>
          </m:sup>
        </m:sSup>
      </m:oMath>
      <w:r w:rsidR="00613783" w:rsidRPr="003A49C8">
        <w:rPr>
          <w:rFonts w:cs="Times New Roman"/>
          <w:szCs w:val="24"/>
        </w:rPr>
        <w:tab/>
      </w:r>
      <w:r w:rsidR="00613783" w:rsidRPr="003A49C8">
        <w:rPr>
          <w:rFonts w:cs="Times New Roman"/>
          <w:szCs w:val="24"/>
        </w:rPr>
        <w:tab/>
      </w:r>
      <w:r w:rsidR="00613783" w:rsidRPr="003A49C8">
        <w:rPr>
          <w:rFonts w:cs="Times New Roman"/>
          <w:szCs w:val="24"/>
        </w:rPr>
        <w:tab/>
      </w:r>
      <w:r w:rsidR="00613783" w:rsidRPr="003A49C8">
        <w:rPr>
          <w:rFonts w:cs="Times New Roman"/>
          <w:szCs w:val="24"/>
        </w:rPr>
        <w:tab/>
      </w:r>
      <w:r w:rsidR="00613783" w:rsidRPr="003A49C8">
        <w:rPr>
          <w:rFonts w:cs="Times New Roman"/>
          <w:szCs w:val="24"/>
        </w:rPr>
        <w:tab/>
      </w:r>
      <w:r w:rsidR="00613783" w:rsidRPr="003A49C8">
        <w:rPr>
          <w:rFonts w:cs="Times New Roman"/>
          <w:szCs w:val="24"/>
        </w:rPr>
        <w:tab/>
      </w:r>
      <w:r w:rsidR="00613783" w:rsidRPr="003A49C8">
        <w:rPr>
          <w:rFonts w:cs="Times New Roman"/>
          <w:szCs w:val="24"/>
        </w:rPr>
        <w:tab/>
      </w:r>
      <w:r w:rsidR="00613783" w:rsidRPr="003A49C8">
        <w:rPr>
          <w:rFonts w:cs="Times New Roman"/>
          <w:szCs w:val="24"/>
        </w:rPr>
        <w:tab/>
      </w:r>
      <w:r w:rsidR="00613783" w:rsidRPr="003A49C8">
        <w:rPr>
          <w:rFonts w:cs="Times New Roman"/>
          <w:szCs w:val="24"/>
        </w:rPr>
        <w:tab/>
        <w:t>(2)</w:t>
      </w:r>
    </w:p>
    <w:p w14:paraId="7A8FC80E" w14:textId="41EDC35B" w:rsidR="00613783" w:rsidRPr="003A49C8" w:rsidRDefault="00613783" w:rsidP="00E33705">
      <w:pPr>
        <w:ind w:firstLine="397"/>
        <w:rPr>
          <w:rFonts w:cs="Times New Roman"/>
          <w:szCs w:val="24"/>
        </w:rPr>
      </w:pPr>
      <w:r w:rsidRPr="003A49C8">
        <w:rPr>
          <w:rFonts w:cs="Times New Roman"/>
          <w:szCs w:val="24"/>
        </w:rPr>
        <w:lastRenderedPageBreak/>
        <w:t xml:space="preserve">where </w:t>
      </w:r>
      <m:oMath>
        <m:r>
          <w:rPr>
            <w:rFonts w:ascii="Cambria Math" w:hAnsi="Cambria Math" w:cs="Times New Roman"/>
            <w:szCs w:val="24"/>
          </w:rPr>
          <m:t>m</m:t>
        </m:r>
      </m:oMath>
      <w:r w:rsidRPr="003A49C8">
        <w:rPr>
          <w:rFonts w:cs="Times New Roman"/>
          <w:szCs w:val="24"/>
        </w:rPr>
        <w:t xml:space="preserve"> represent</w:t>
      </w:r>
      <w:proofErr w:type="spellStart"/>
      <w:r w:rsidR="00841BD7" w:rsidRPr="003A49C8">
        <w:rPr>
          <w:rFonts w:cs="Times New Roman"/>
          <w:szCs w:val="24"/>
        </w:rPr>
        <w:t>s</w:t>
      </w:r>
      <w:proofErr w:type="spellEnd"/>
      <w:r w:rsidRPr="003A49C8">
        <w:rPr>
          <w:rFonts w:cs="Times New Roman"/>
          <w:szCs w:val="24"/>
        </w:rPr>
        <w:t xml:space="preserve"> the number of extreme returns evaluated in the estimation. In our study, we adopt </w:t>
      </w:r>
      <m:oMath>
        <m:r>
          <w:rPr>
            <w:rFonts w:ascii="Cambria Math" w:hAnsi="Cambria Math" w:cs="Times New Roman"/>
            <w:szCs w:val="24"/>
          </w:rPr>
          <m:t>m = 300</m:t>
        </m:r>
      </m:oMath>
      <w:r w:rsidRPr="003A49C8">
        <w:rPr>
          <w:rFonts w:cs="Times New Roman"/>
          <w:szCs w:val="24"/>
        </w:rPr>
        <w:t xml:space="preserve"> as our main investigation for ESG, healthcare and financial ETFs (see Table </w:t>
      </w:r>
      <w:r w:rsidR="00107485">
        <w:rPr>
          <w:rFonts w:cs="Times New Roman"/>
          <w:szCs w:val="24"/>
        </w:rPr>
        <w:t>I</w:t>
      </w:r>
      <w:r w:rsidRPr="003A49C8">
        <w:rPr>
          <w:rFonts w:cs="Times New Roman"/>
          <w:szCs w:val="24"/>
        </w:rPr>
        <w:t>).</w:t>
      </w:r>
      <w:r w:rsidR="00BC2DE1" w:rsidRPr="003A49C8">
        <w:rPr>
          <w:rStyle w:val="FootnoteReference"/>
          <w:rFonts w:cs="Times New Roman"/>
          <w:szCs w:val="24"/>
        </w:rPr>
        <w:footnoteReference w:id="4"/>
      </w:r>
      <w:r w:rsidRPr="003A49C8">
        <w:rPr>
          <w:rFonts w:cs="Times New Roman"/>
          <w:szCs w:val="24"/>
        </w:rPr>
        <w:t xml:space="preserve"> As a measure of </w:t>
      </w:r>
      <m:oMath>
        <m:r>
          <w:rPr>
            <w:rFonts w:ascii="Cambria Math" w:hAnsi="Cambria Math" w:cs="Times New Roman"/>
            <w:szCs w:val="24"/>
          </w:rPr>
          <m:t>m</m:t>
        </m:r>
      </m:oMath>
      <w:r w:rsidRPr="003A49C8">
        <w:rPr>
          <w:rFonts w:cs="Times New Roman"/>
          <w:szCs w:val="24"/>
        </w:rPr>
        <w:t xml:space="preserve"> values, we adopt Hill’s (1975) estimator. </w:t>
      </w:r>
    </w:p>
    <w:p w14:paraId="43C26911" w14:textId="440EF9DC" w:rsidR="00613783" w:rsidRPr="003A49C8" w:rsidRDefault="00613783" w:rsidP="00E33705">
      <w:pPr>
        <w:ind w:firstLine="397"/>
        <w:rPr>
          <w:rFonts w:cs="Times New Roman"/>
          <w:szCs w:val="24"/>
        </w:rPr>
      </w:pPr>
      <w:r w:rsidRPr="003A49C8">
        <w:rPr>
          <w:rFonts w:cs="Times New Roman"/>
          <w:szCs w:val="24"/>
        </w:rPr>
        <w:t>By substituting Hill's (1975) estimator in Equation (2) and the tail quantile estimator in Equation (1), the expected shortfall estimator is obtained in Equation (3)</w:t>
      </w:r>
      <w:r w:rsidR="000F6744" w:rsidRPr="003A49C8">
        <w:rPr>
          <w:rFonts w:cs="Times New Roman"/>
          <w:szCs w:val="24"/>
        </w:rPr>
        <w:t xml:space="preserve"> as follows</w:t>
      </w:r>
      <w:r w:rsidRPr="003A49C8">
        <w:rPr>
          <w:rFonts w:cs="Times New Roman"/>
          <w:szCs w:val="24"/>
        </w:rPr>
        <w:t>:</w:t>
      </w:r>
    </w:p>
    <w:p w14:paraId="48AE4440" w14:textId="77777777" w:rsidR="00613783" w:rsidRPr="003A49C8" w:rsidRDefault="00000000" w:rsidP="00B942AD">
      <w:pPr>
        <w:rPr>
          <w:rFonts w:cs="Times New Roman"/>
          <w:szCs w:val="24"/>
        </w:rPr>
      </w:pPr>
      <m:oMath>
        <m:acc>
          <m:accPr>
            <m:ctrlPr>
              <w:rPr>
                <w:rFonts w:ascii="Cambria Math" w:hAnsi="Cambria Math" w:cs="Times New Roman"/>
                <w:i/>
                <w:szCs w:val="24"/>
              </w:rPr>
            </m:ctrlPr>
          </m:accPr>
          <m:e>
            <m:r>
              <w:rPr>
                <w:rFonts w:ascii="Cambria Math" w:hAnsi="Cambria Math" w:cs="Times New Roman"/>
                <w:szCs w:val="24"/>
              </w:rPr>
              <m:t>E</m:t>
            </m:r>
          </m:e>
        </m:acc>
        <m:d>
          <m:dPr>
            <m:ctrlPr>
              <w:rPr>
                <w:rFonts w:ascii="Cambria Math" w:hAnsi="Cambria Math" w:cs="Times New Roman"/>
                <w:i/>
                <w:szCs w:val="24"/>
              </w:rPr>
            </m:ctrlPr>
          </m:dPr>
          <m:e>
            <m:r>
              <w:rPr>
                <w:rFonts w:ascii="Cambria Math" w:hAnsi="Cambria Math" w:cs="Times New Roman"/>
                <w:szCs w:val="24"/>
              </w:rPr>
              <m:t>X-</m:t>
            </m:r>
            <m:acc>
              <m:accPr>
                <m:ctrlPr>
                  <w:rPr>
                    <w:rFonts w:ascii="Cambria Math" w:hAnsi="Cambria Math" w:cs="Times New Roman"/>
                    <w:i/>
                    <w:szCs w:val="24"/>
                  </w:rPr>
                </m:ctrlPr>
              </m:accPr>
              <m:e>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p</m:t>
                    </m:r>
                  </m:sub>
                </m:sSub>
                <m:r>
                  <w:rPr>
                    <w:rFonts w:ascii="Cambria Math" w:hAnsi="Cambria Math" w:cs="Times New Roman"/>
                    <w:szCs w:val="24"/>
                  </w:rPr>
                  <m:t>|</m:t>
                </m:r>
              </m:e>
            </m:acc>
            <m:r>
              <w:rPr>
                <w:rFonts w:ascii="Cambria Math" w:hAnsi="Cambria Math" w:cs="Times New Roman"/>
                <w:szCs w:val="24"/>
              </w:rPr>
              <m:t>X&gt;</m:t>
            </m:r>
            <m:acc>
              <m:accPr>
                <m:ctrlPr>
                  <w:rPr>
                    <w:rFonts w:ascii="Cambria Math" w:hAnsi="Cambria Math" w:cs="Times New Roman"/>
                    <w:i/>
                    <w:szCs w:val="24"/>
                  </w:rPr>
                </m:ctrlPr>
              </m:accPr>
              <m:e>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p</m:t>
                    </m:r>
                  </m:sub>
                </m:sSub>
              </m:e>
            </m:acc>
          </m:e>
        </m:d>
        <m:r>
          <w:rPr>
            <w:rFonts w:ascii="Cambria Math" w:hAnsi="Cambria Math" w:cs="Times New Roman"/>
            <w:szCs w:val="24"/>
          </w:rPr>
          <m:t>=</m:t>
        </m:r>
        <m:f>
          <m:fPr>
            <m:ctrlPr>
              <w:rPr>
                <w:rFonts w:ascii="Cambria Math" w:hAnsi="Cambria Math" w:cs="Times New Roman"/>
                <w:i/>
                <w:szCs w:val="24"/>
              </w:rPr>
            </m:ctrlPr>
          </m:fPr>
          <m:num>
            <m:acc>
              <m:accPr>
                <m:ctrlPr>
                  <w:rPr>
                    <w:rFonts w:ascii="Cambria Math" w:hAnsi="Cambria Math" w:cs="Times New Roman"/>
                    <w:i/>
                    <w:szCs w:val="24"/>
                  </w:rPr>
                </m:ctrlPr>
              </m:accPr>
              <m:e>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p</m:t>
                    </m:r>
                  </m:sub>
                </m:sSub>
              </m:e>
            </m:acc>
          </m:num>
          <m:den>
            <m:acc>
              <m:accPr>
                <m:ctrlPr>
                  <w:rPr>
                    <w:rFonts w:ascii="Cambria Math" w:hAnsi="Cambria Math" w:cs="Times New Roman"/>
                    <w:i/>
                    <w:szCs w:val="24"/>
                  </w:rPr>
                </m:ctrlPr>
              </m:accPr>
              <m:e>
                <m:r>
                  <w:rPr>
                    <w:rFonts w:ascii="Cambria Math" w:hAnsi="Cambria Math" w:cs="Times New Roman"/>
                    <w:szCs w:val="24"/>
                  </w:rPr>
                  <m:t>a-1</m:t>
                </m:r>
              </m:e>
            </m:acc>
          </m:den>
        </m:f>
      </m:oMath>
      <w:r w:rsidR="00613783" w:rsidRPr="003A49C8">
        <w:rPr>
          <w:rFonts w:cs="Times New Roman"/>
          <w:szCs w:val="24"/>
        </w:rPr>
        <w:tab/>
      </w:r>
      <w:r w:rsidR="00613783" w:rsidRPr="003A49C8">
        <w:rPr>
          <w:rFonts w:cs="Times New Roman"/>
          <w:szCs w:val="24"/>
        </w:rPr>
        <w:tab/>
      </w:r>
      <w:r w:rsidR="00613783" w:rsidRPr="003A49C8">
        <w:rPr>
          <w:rFonts w:cs="Times New Roman"/>
          <w:szCs w:val="24"/>
        </w:rPr>
        <w:tab/>
      </w:r>
      <w:r w:rsidR="00613783" w:rsidRPr="003A49C8">
        <w:rPr>
          <w:rFonts w:cs="Times New Roman"/>
          <w:szCs w:val="24"/>
        </w:rPr>
        <w:tab/>
      </w:r>
      <w:r w:rsidR="00613783" w:rsidRPr="003A49C8">
        <w:rPr>
          <w:rFonts w:cs="Times New Roman"/>
          <w:szCs w:val="24"/>
        </w:rPr>
        <w:tab/>
      </w:r>
      <w:r w:rsidR="00613783" w:rsidRPr="003A49C8">
        <w:rPr>
          <w:rFonts w:cs="Times New Roman"/>
          <w:szCs w:val="24"/>
        </w:rPr>
        <w:tab/>
      </w:r>
      <w:r w:rsidR="00613783" w:rsidRPr="003A49C8">
        <w:rPr>
          <w:rFonts w:cs="Times New Roman"/>
          <w:szCs w:val="24"/>
        </w:rPr>
        <w:tab/>
      </w:r>
      <w:r w:rsidR="00613783" w:rsidRPr="003A49C8">
        <w:rPr>
          <w:rFonts w:cs="Times New Roman"/>
          <w:szCs w:val="24"/>
        </w:rPr>
        <w:tab/>
      </w:r>
      <w:r w:rsidR="00613783" w:rsidRPr="003A49C8">
        <w:rPr>
          <w:rFonts w:cs="Times New Roman"/>
          <w:szCs w:val="24"/>
        </w:rPr>
        <w:tab/>
        <w:t>(3)</w:t>
      </w:r>
    </w:p>
    <w:p w14:paraId="627672C9" w14:textId="2D53FF49" w:rsidR="000F6744" w:rsidRPr="003A49C8" w:rsidRDefault="00613783" w:rsidP="00E33705">
      <w:pPr>
        <w:ind w:firstLine="397"/>
        <w:rPr>
          <w:rFonts w:cs="Times New Roman"/>
          <w:szCs w:val="24"/>
        </w:rPr>
      </w:pPr>
      <w:r w:rsidRPr="003A49C8">
        <w:rPr>
          <w:rFonts w:cs="Times New Roman"/>
          <w:szCs w:val="24"/>
        </w:rPr>
        <w:t xml:space="preserve">The tail quantiles are calculated for probability values from 0.1% to 0.2% (see Table </w:t>
      </w:r>
      <w:r w:rsidR="00107485">
        <w:rPr>
          <w:rFonts w:cs="Times New Roman"/>
          <w:szCs w:val="24"/>
        </w:rPr>
        <w:t>I</w:t>
      </w:r>
      <w:r w:rsidRPr="003A49C8">
        <w:rPr>
          <w:rFonts w:cs="Times New Roman"/>
          <w:szCs w:val="24"/>
        </w:rPr>
        <w:t xml:space="preserve">), which means that the tail quantiles are expected to be violated every 500 and 1,000 days, respectively. Moreover, we examine the expected shortfall (ES) estimated based on the </w:t>
      </w:r>
      <m:oMath>
        <m:r>
          <w:rPr>
            <w:rFonts w:ascii="Cambria Math" w:hAnsi="Cambria Math" w:cs="Times New Roman"/>
            <w:szCs w:val="24"/>
          </w:rPr>
          <m:t xml:space="preserve">p(%) </m:t>
        </m:r>
      </m:oMath>
      <w:r w:rsidRPr="003A49C8">
        <w:rPr>
          <w:rFonts w:cs="Times New Roman"/>
          <w:szCs w:val="24"/>
        </w:rPr>
        <w:t xml:space="preserve">tail-VaRs and crisis barriers </w:t>
      </w:r>
      <m:oMath>
        <m:r>
          <w:rPr>
            <w:rFonts w:ascii="Cambria Math" w:hAnsi="Cambria Math" w:cs="Times New Roman"/>
            <w:szCs w:val="24"/>
          </w:rPr>
          <m:t>x = 25%</m:t>
        </m:r>
      </m:oMath>
      <w:r w:rsidRPr="003A49C8">
        <w:rPr>
          <w:rFonts w:cs="Times New Roman"/>
          <w:szCs w:val="24"/>
        </w:rPr>
        <w:t xml:space="preserve"> and </w:t>
      </w:r>
      <m:oMath>
        <m:r>
          <w:rPr>
            <w:rFonts w:ascii="Cambria Math" w:hAnsi="Cambria Math" w:cs="Times New Roman"/>
            <w:szCs w:val="24"/>
          </w:rPr>
          <m:t>x = 50%</m:t>
        </m:r>
      </m:oMath>
      <w:r w:rsidRPr="003A49C8">
        <w:rPr>
          <w:rFonts w:cs="Times New Roman"/>
          <w:szCs w:val="24"/>
        </w:rPr>
        <w:t xml:space="preserve"> Lastly, expected shortfall measurements are reported with varying thresholds</w:t>
      </w:r>
      <m:oMath>
        <m:r>
          <w:rPr>
            <w:rFonts w:ascii="Cambria Math" w:hAnsi="Cambria Math" w:cs="Times New Roman"/>
            <w:szCs w:val="24"/>
          </w:rPr>
          <m:t xml:space="preserve"> x</m:t>
        </m:r>
      </m:oMath>
      <w:r w:rsidRPr="003A49C8">
        <w:rPr>
          <w:rFonts w:cs="Times New Roman"/>
          <w:szCs w:val="24"/>
        </w:rPr>
        <w:t xml:space="preserve"> which </w:t>
      </w:r>
      <w:r w:rsidR="00C74298" w:rsidRPr="003A49C8">
        <w:rPr>
          <w:rFonts w:cs="Times New Roman"/>
          <w:szCs w:val="24"/>
        </w:rPr>
        <w:t>are</w:t>
      </w:r>
      <w:r w:rsidRPr="003A49C8">
        <w:rPr>
          <w:rFonts w:cs="Times New Roman"/>
          <w:szCs w:val="24"/>
        </w:rPr>
        <w:t xml:space="preserve"> used to determine the extreme expected shortfall measurements when the extreme quantile estimates </w:t>
      </w:r>
      <m:oMath>
        <m:d>
          <m:dPr>
            <m:ctrlPr>
              <w:rPr>
                <w:rFonts w:ascii="Cambria Math" w:hAnsi="Cambria Math" w:cs="Times New Roman"/>
                <w:i/>
                <w:szCs w:val="24"/>
              </w:rPr>
            </m:ctrlPr>
          </m:dPr>
          <m:e>
            <m:acc>
              <m:accPr>
                <m:ctrlPr>
                  <w:rPr>
                    <w:rFonts w:ascii="Cambria Math" w:hAnsi="Cambria Math" w:cs="Times New Roman"/>
                    <w:i/>
                    <w:szCs w:val="24"/>
                  </w:rPr>
                </m:ctrlPr>
              </m:accPr>
              <m:e>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p</m:t>
                    </m:r>
                  </m:sub>
                </m:sSub>
              </m:e>
            </m:acc>
          </m:e>
        </m:d>
        <m:r>
          <w:rPr>
            <w:rFonts w:ascii="Cambria Math" w:hAnsi="Cambria Math" w:cs="Times New Roman"/>
            <w:szCs w:val="24"/>
          </w:rPr>
          <m:t xml:space="preserve"> </m:t>
        </m:r>
      </m:oMath>
      <w:r w:rsidRPr="003A49C8">
        <w:rPr>
          <w:rFonts w:cs="Times New Roman"/>
          <w:szCs w:val="24"/>
        </w:rPr>
        <w:t xml:space="preserve">are lower than </w:t>
      </w:r>
      <m:oMath>
        <m:r>
          <w:rPr>
            <w:rFonts w:ascii="Cambria Math" w:hAnsi="Cambria Math" w:cs="Times New Roman"/>
            <w:szCs w:val="24"/>
          </w:rPr>
          <m:t>x</m:t>
        </m:r>
      </m:oMath>
      <w:r w:rsidRPr="003A49C8">
        <w:rPr>
          <w:rFonts w:cs="Times New Roman"/>
          <w:szCs w:val="24"/>
        </w:rPr>
        <w:t>. Statistically, the underlying framework entails calculating extreme values using the median of the probability deviations, which are investigated in a time-dependent sequence.</w:t>
      </w:r>
    </w:p>
    <w:p w14:paraId="13DBCC9C" w14:textId="206EC8AF" w:rsidR="00613783" w:rsidRPr="003A49C8" w:rsidRDefault="00613783" w:rsidP="00B942AD">
      <w:pPr>
        <w:pStyle w:val="Heading2"/>
        <w:rPr>
          <w:rFonts w:cs="Times New Roman"/>
          <w:szCs w:val="24"/>
        </w:rPr>
      </w:pPr>
      <w:r w:rsidRPr="003A49C8">
        <w:rPr>
          <w:rFonts w:cs="Times New Roman"/>
          <w:szCs w:val="24"/>
        </w:rPr>
        <w:t>3.2 Measurement of systemic risk</w:t>
      </w:r>
    </w:p>
    <w:p w14:paraId="72453C6F" w14:textId="77777777" w:rsidR="00613783" w:rsidRPr="003A49C8" w:rsidRDefault="00613783" w:rsidP="00B942AD">
      <w:pPr>
        <w:rPr>
          <w:rFonts w:cs="Times New Roman"/>
          <w:szCs w:val="24"/>
        </w:rPr>
      </w:pPr>
      <w:bookmarkStart w:id="10" w:name="_Hlk131423724"/>
      <w:r w:rsidRPr="003A49C8">
        <w:rPr>
          <w:rFonts w:cs="Times New Roman"/>
          <w:szCs w:val="24"/>
        </w:rPr>
        <w:t xml:space="preserve">The systemic risk measurements are estimated using semi-parametric estimation procedures to avoid misspecification of parametric probability distributions. It is because systemic risk estimates are likely to be heavily distorted by incorrect distribution assumptions. </w:t>
      </w:r>
    </w:p>
    <w:bookmarkEnd w:id="10"/>
    <w:p w14:paraId="72293EED" w14:textId="77777777" w:rsidR="00613783" w:rsidRPr="003A49C8" w:rsidRDefault="00613783" w:rsidP="00E33705">
      <w:pPr>
        <w:ind w:firstLine="397"/>
        <w:rPr>
          <w:rFonts w:cs="Times New Roman"/>
          <w:szCs w:val="24"/>
        </w:rPr>
      </w:pPr>
      <w:r w:rsidRPr="003A49C8">
        <w:rPr>
          <w:rFonts w:cs="Times New Roman"/>
          <w:szCs w:val="24"/>
        </w:rPr>
        <w:t>The following Equation (4) is used to derive multivariate spillover risk:</w:t>
      </w:r>
    </w:p>
    <w:p w14:paraId="0486B42C" w14:textId="77777777" w:rsidR="00613783" w:rsidRPr="003A49C8" w:rsidRDefault="00000000" w:rsidP="00B942AD">
      <w:pPr>
        <w:rPr>
          <w:rFonts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P</m:t>
                </m:r>
              </m:e>
            </m:acc>
          </m:e>
          <m:sub>
            <m:r>
              <w:rPr>
                <w:rFonts w:ascii="Cambria Math" w:hAnsi="Cambria Math" w:cs="Times New Roman"/>
                <w:szCs w:val="24"/>
              </w:rPr>
              <m:t>N|1</m:t>
            </m:r>
          </m:sub>
        </m:sSub>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P</m:t>
                    </m:r>
                  </m:e>
                </m:acc>
              </m:e>
              <m:sub>
                <m:r>
                  <w:rPr>
                    <w:rFonts w:ascii="Cambria Math" w:hAnsi="Cambria Math" w:cs="Times New Roman"/>
                    <w:szCs w:val="24"/>
                  </w:rPr>
                  <m:t>q</m:t>
                </m:r>
              </m:sub>
            </m:sSub>
          </m:num>
          <m:den>
            <m:r>
              <w:rPr>
                <w:rFonts w:ascii="Cambria Math" w:hAnsi="Cambria Math" w:cs="Times New Roman"/>
                <w:szCs w:val="24"/>
              </w:rPr>
              <m:t>p</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m</m:t>
            </m:r>
          </m:num>
          <m:den>
            <m:r>
              <w:rPr>
                <w:rFonts w:ascii="Cambria Math" w:hAnsi="Cambria Math" w:cs="Times New Roman"/>
                <w:szCs w:val="24"/>
              </w:rPr>
              <m:t>n</m:t>
            </m:r>
          </m:den>
        </m:f>
        <m:sSup>
          <m:sSupPr>
            <m:ctrlPr>
              <w:rPr>
                <w:rFonts w:ascii="Cambria Math" w:hAnsi="Cambria Math" w:cs="Times New Roman"/>
                <w:i/>
                <w:szCs w:val="24"/>
              </w:rPr>
            </m:ctrlPr>
          </m:sSupPr>
          <m:e>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n-m,n</m:t>
                    </m:r>
                  </m:sub>
                </m:sSub>
              </m:e>
            </m:d>
          </m:e>
          <m:sup>
            <m:r>
              <w:rPr>
                <w:rFonts w:ascii="Cambria Math" w:hAnsi="Cambria Math" w:cs="Times New Roman"/>
                <w:szCs w:val="24"/>
              </w:rPr>
              <m:t>a</m:t>
            </m:r>
          </m:sup>
        </m:sSup>
        <m:sSup>
          <m:sSupPr>
            <m:ctrlPr>
              <w:rPr>
                <w:rFonts w:ascii="Cambria Math" w:hAnsi="Cambria Math" w:cs="Times New Roman"/>
                <w:i/>
                <w:szCs w:val="24"/>
              </w:rPr>
            </m:ctrlPr>
          </m:sSupPr>
          <m:e>
            <m:r>
              <w:rPr>
                <w:rFonts w:ascii="Cambria Math" w:hAnsi="Cambria Math" w:cs="Times New Roman"/>
                <w:szCs w:val="24"/>
              </w:rPr>
              <m:t>q</m:t>
            </m:r>
          </m:e>
          <m:sup>
            <m:r>
              <w:rPr>
                <w:rFonts w:ascii="Cambria Math" w:hAnsi="Cambria Math" w:cs="Times New Roman"/>
                <w:szCs w:val="24"/>
              </w:rPr>
              <m:t>1-a</m:t>
            </m:r>
          </m:sup>
        </m:sSup>
      </m:oMath>
      <w:r w:rsidR="00613783" w:rsidRPr="003A49C8">
        <w:rPr>
          <w:rFonts w:cs="Times New Roman"/>
          <w:szCs w:val="24"/>
        </w:rPr>
        <w:tab/>
      </w:r>
      <w:r w:rsidR="00613783" w:rsidRPr="003A49C8">
        <w:rPr>
          <w:rFonts w:cs="Times New Roman"/>
          <w:szCs w:val="24"/>
        </w:rPr>
        <w:tab/>
      </w:r>
      <w:r w:rsidR="00613783" w:rsidRPr="003A49C8">
        <w:rPr>
          <w:rFonts w:cs="Times New Roman"/>
          <w:szCs w:val="24"/>
        </w:rPr>
        <w:tab/>
      </w:r>
      <w:r w:rsidR="00613783" w:rsidRPr="003A49C8">
        <w:rPr>
          <w:rFonts w:cs="Times New Roman"/>
          <w:szCs w:val="24"/>
        </w:rPr>
        <w:tab/>
      </w:r>
      <w:r w:rsidR="00613783" w:rsidRPr="003A49C8">
        <w:rPr>
          <w:rFonts w:cs="Times New Roman"/>
          <w:szCs w:val="24"/>
        </w:rPr>
        <w:tab/>
      </w:r>
      <w:r w:rsidR="00613783" w:rsidRPr="003A49C8">
        <w:rPr>
          <w:rFonts w:cs="Times New Roman"/>
          <w:szCs w:val="24"/>
        </w:rPr>
        <w:tab/>
      </w:r>
      <w:r w:rsidR="00613783" w:rsidRPr="003A49C8">
        <w:rPr>
          <w:rFonts w:cs="Times New Roman"/>
          <w:szCs w:val="24"/>
        </w:rPr>
        <w:tab/>
      </w:r>
      <w:r w:rsidR="00613783" w:rsidRPr="003A49C8">
        <w:rPr>
          <w:rFonts w:cs="Times New Roman"/>
          <w:szCs w:val="24"/>
        </w:rPr>
        <w:tab/>
        <w:t>(4)</w:t>
      </w:r>
    </w:p>
    <w:p w14:paraId="1A8B37CF" w14:textId="458E5B65" w:rsidR="00613783" w:rsidRPr="003A49C8" w:rsidRDefault="00613783" w:rsidP="00E33705">
      <w:pPr>
        <w:ind w:firstLine="397"/>
        <w:rPr>
          <w:rFonts w:cs="Times New Roman"/>
          <w:szCs w:val="24"/>
        </w:rPr>
      </w:pPr>
      <w:r w:rsidRPr="003A49C8">
        <w:rPr>
          <w:rFonts w:cs="Times New Roman"/>
          <w:szCs w:val="24"/>
        </w:rPr>
        <w:t xml:space="preserve">From the cross-sectional minimum series, </w:t>
      </w:r>
      <m:oMath>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n-m,n</m:t>
            </m:r>
          </m:sub>
        </m:sSub>
      </m:oMath>
      <w:r w:rsidRPr="003A49C8">
        <w:rPr>
          <w:rFonts w:cs="Times New Roman"/>
          <w:szCs w:val="24"/>
        </w:rPr>
        <w:t xml:space="preserve"> represents the cut-off point for </w:t>
      </w:r>
      <w:r w:rsidR="00841BD7" w:rsidRPr="003A49C8">
        <w:rPr>
          <w:rFonts w:cs="Times New Roman"/>
          <w:szCs w:val="24"/>
        </w:rPr>
        <w:t xml:space="preserve">the </w:t>
      </w:r>
      <w:r w:rsidRPr="003A49C8">
        <w:rPr>
          <w:rFonts w:cs="Times New Roman"/>
          <w:szCs w:val="24"/>
        </w:rPr>
        <w:t xml:space="preserve">tail cut-off ascending order statistic. The nuisance parameter is </w:t>
      </w:r>
      <m:oMath>
        <m:r>
          <w:rPr>
            <w:rFonts w:ascii="Cambria Math" w:hAnsi="Cambria Math" w:cs="Times New Roman"/>
            <w:szCs w:val="24"/>
          </w:rPr>
          <m:t>m</m:t>
        </m:r>
      </m:oMath>
      <w:r w:rsidRPr="003A49C8">
        <w:rPr>
          <w:rFonts w:cs="Times New Roman"/>
          <w:szCs w:val="24"/>
        </w:rPr>
        <w:t xml:space="preserve">. According to Hill (1975), </w:t>
      </w:r>
      <m:oMath>
        <m:r>
          <w:rPr>
            <w:rFonts w:ascii="Cambria Math" w:hAnsi="Cambria Math" w:cs="Times New Roman"/>
            <w:szCs w:val="24"/>
          </w:rPr>
          <m:t>n</m:t>
        </m:r>
      </m:oMath>
      <w:r w:rsidRPr="003A49C8">
        <w:rPr>
          <w:rFonts w:cs="Times New Roman"/>
          <w:szCs w:val="24"/>
        </w:rPr>
        <w:t xml:space="preserve"> represents the total number of observations, and </w:t>
      </w:r>
      <m:oMath>
        <m:r>
          <w:rPr>
            <w:rFonts w:ascii="Cambria Math" w:hAnsi="Cambria Math" w:cs="Times New Roman"/>
            <w:szCs w:val="24"/>
          </w:rPr>
          <m:t>m</m:t>
        </m:r>
      </m:oMath>
      <w:r w:rsidRPr="003A49C8">
        <w:rPr>
          <w:rFonts w:cs="Times New Roman"/>
          <w:szCs w:val="24"/>
        </w:rPr>
        <w:t xml:space="preserve"> represents the number of extreme returns used in estimation. When</w:t>
      </w:r>
      <w:r w:rsidRPr="003A49C8">
        <w:rPr>
          <w:rFonts w:cs="Times New Roman"/>
          <w:i/>
          <w:szCs w:val="24"/>
        </w:rPr>
        <w:t xml:space="preserve"> </w:t>
      </w:r>
      <m:oMath>
        <m:r>
          <w:rPr>
            <w:rFonts w:ascii="Cambria Math" w:hAnsi="Cambria Math" w:cs="Times New Roman"/>
            <w:szCs w:val="24"/>
          </w:rPr>
          <m:t>α &gt; 1,</m:t>
        </m:r>
      </m:oMath>
      <w:r w:rsidRPr="003A49C8">
        <w:rPr>
          <w:rFonts w:cs="Times New Roman"/>
          <w:szCs w:val="24"/>
        </w:rPr>
        <w:t xml:space="preserve"> the original return vector shows tail independence, </w:t>
      </w:r>
      <w:r w:rsidR="00841BD7" w:rsidRPr="003A49C8">
        <w:rPr>
          <w:rFonts w:cs="Times New Roman"/>
          <w:szCs w:val="24"/>
        </w:rPr>
        <w:t xml:space="preserve">and </w:t>
      </w:r>
      <w:r w:rsidRPr="003A49C8">
        <w:rPr>
          <w:rFonts w:cs="Times New Roman"/>
          <w:szCs w:val="24"/>
        </w:rPr>
        <w:t xml:space="preserve">the systemic risk estimator decreases with threshold </w:t>
      </w:r>
      <m:oMath>
        <m:r>
          <w:rPr>
            <w:rFonts w:ascii="Cambria Math" w:hAnsi="Cambria Math" w:cs="Times New Roman"/>
            <w:szCs w:val="24"/>
          </w:rPr>
          <m:t>q</m:t>
        </m:r>
      </m:oMath>
      <w:r w:rsidRPr="003A49C8">
        <w:rPr>
          <w:rFonts w:cs="Times New Roman"/>
          <w:szCs w:val="24"/>
        </w:rPr>
        <w:t xml:space="preserve"> and eventually reaches zero if </w:t>
      </w:r>
      <m:oMath>
        <m:r>
          <w:rPr>
            <w:rFonts w:ascii="Cambria Math" w:hAnsi="Cambria Math" w:cs="Times New Roman"/>
            <w:szCs w:val="24"/>
          </w:rPr>
          <m:t>q→∞</m:t>
        </m:r>
      </m:oMath>
      <w:r w:rsidRPr="003A49C8">
        <w:rPr>
          <w:rFonts w:cs="Times New Roman"/>
          <w:szCs w:val="24"/>
        </w:rPr>
        <w:t xml:space="preserve">. Nevertheless, when </w:t>
      </w:r>
      <m:oMath>
        <m:r>
          <w:rPr>
            <w:rFonts w:ascii="Cambria Math" w:hAnsi="Cambria Math" w:cs="Times New Roman"/>
            <w:szCs w:val="24"/>
          </w:rPr>
          <m:t>α = 1</m:t>
        </m:r>
      </m:oMath>
      <w:r w:rsidRPr="003A49C8">
        <w:rPr>
          <w:rFonts w:cs="Times New Roman"/>
          <w:szCs w:val="24"/>
        </w:rPr>
        <w:t xml:space="preserve"> as we assumed throughout our analyses, changes in </w:t>
      </w:r>
      <m:oMath>
        <m:r>
          <w:rPr>
            <w:rFonts w:ascii="Cambria Math" w:hAnsi="Cambria Math" w:cs="Times New Roman"/>
            <w:szCs w:val="24"/>
          </w:rPr>
          <m:t>q</m:t>
        </m:r>
      </m:oMath>
      <w:r w:rsidRPr="003A49C8">
        <w:rPr>
          <w:rFonts w:cs="Times New Roman"/>
          <w:szCs w:val="24"/>
        </w:rPr>
        <w:t xml:space="preserve"> no longer affect systemic risk. </w:t>
      </w:r>
    </w:p>
    <w:p w14:paraId="22528237" w14:textId="77777777" w:rsidR="00613783" w:rsidRPr="003A49C8" w:rsidRDefault="00613783" w:rsidP="00E33705">
      <w:pPr>
        <w:ind w:firstLine="397"/>
        <w:rPr>
          <w:rFonts w:cs="Times New Roman"/>
          <w:szCs w:val="24"/>
        </w:rPr>
      </w:pPr>
      <w:r w:rsidRPr="003A49C8">
        <w:rPr>
          <w:rFonts w:cs="Times New Roman"/>
          <w:szCs w:val="24"/>
        </w:rPr>
        <w:lastRenderedPageBreak/>
        <w:t>Equation (5) is used as another systemic risk measure.</w:t>
      </w:r>
    </w:p>
    <w:p w14:paraId="6C106D55" w14:textId="77777777" w:rsidR="00613783" w:rsidRPr="003A49C8" w:rsidRDefault="00000000" w:rsidP="00B942AD">
      <w:pPr>
        <w:rPr>
          <w:rFonts w:cs="Times New Roman"/>
          <w:szCs w:val="24"/>
        </w:rPr>
      </w:pPr>
      <m:oMath>
        <m:acc>
          <m:accPr>
            <m:ctrlPr>
              <w:rPr>
                <w:rFonts w:ascii="Cambria Math" w:hAnsi="Cambria Math" w:cs="Times New Roman"/>
                <w:i/>
                <w:szCs w:val="24"/>
              </w:rPr>
            </m:ctrlPr>
          </m:accPr>
          <m:e>
            <m:r>
              <w:rPr>
                <w:rFonts w:ascii="Cambria Math" w:hAnsi="Cambria Math" w:cs="Times New Roman"/>
                <w:szCs w:val="24"/>
              </w:rPr>
              <m:t>E</m:t>
            </m:r>
          </m:e>
        </m:acc>
        <m:d>
          <m:dPr>
            <m:begChr m:val="["/>
            <m:endChr m:val="]"/>
            <m:ctrlPr>
              <w:rPr>
                <w:rFonts w:ascii="Cambria Math" w:hAnsi="Cambria Math" w:cs="Times New Roman"/>
                <w:i/>
                <w:szCs w:val="24"/>
              </w:rPr>
            </m:ctrlPr>
          </m:dPr>
          <m:e>
            <m:r>
              <w:rPr>
                <w:rFonts w:ascii="Cambria Math" w:hAnsi="Cambria Math" w:cs="Times New Roman"/>
                <w:szCs w:val="24"/>
              </w:rPr>
              <m:t>θ|θ≥1</m:t>
            </m:r>
          </m:e>
        </m:d>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N</m:t>
            </m:r>
          </m:num>
          <m:den>
            <m:f>
              <m:fPr>
                <m:ctrlPr>
                  <w:rPr>
                    <w:rFonts w:ascii="Cambria Math" w:hAnsi="Cambria Math" w:cs="Times New Roman"/>
                    <w:i/>
                    <w:szCs w:val="24"/>
                  </w:rPr>
                </m:ctrlPr>
              </m:fPr>
              <m:num>
                <m:r>
                  <w:rPr>
                    <w:rFonts w:ascii="Cambria Math" w:hAnsi="Cambria Math" w:cs="Times New Roman"/>
                    <w:szCs w:val="24"/>
                  </w:rPr>
                  <m:t>n</m:t>
                </m:r>
              </m:num>
              <m:den>
                <m:r>
                  <w:rPr>
                    <w:rFonts w:ascii="Cambria Math" w:hAnsi="Cambria Math" w:cs="Times New Roman"/>
                    <w:szCs w:val="24"/>
                  </w:rPr>
                  <m:t>k</m:t>
                </m:r>
              </m:den>
            </m:f>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n</m:t>
                </m:r>
              </m:den>
            </m:f>
            <m:nary>
              <m:naryPr>
                <m:chr m:val="∑"/>
                <m:limLoc m:val="undOvr"/>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N</m:t>
                </m:r>
              </m:sup>
              <m:e>
                <m:sSubSup>
                  <m:sSubSupPr>
                    <m:ctrlPr>
                      <w:rPr>
                        <w:rFonts w:ascii="Cambria Math" w:hAnsi="Cambria Math" w:cs="Times New Roman"/>
                        <w:i/>
                        <w:szCs w:val="24"/>
                      </w:rPr>
                    </m:ctrlPr>
                  </m:sSubSupPr>
                  <m:e>
                    <m:r>
                      <w:rPr>
                        <w:rFonts w:ascii="Cambria Math" w:hAnsi="Cambria Math" w:cs="Times New Roman"/>
                        <w:szCs w:val="24"/>
                      </w:rPr>
                      <m:t>U</m:t>
                    </m:r>
                  </m:e>
                  <m:sub>
                    <m:r>
                      <w:rPr>
                        <w:rFonts w:ascii="Cambria Math" w:hAnsi="Cambria Math" w:cs="Times New Roman"/>
                        <w:szCs w:val="24"/>
                      </w:rPr>
                      <m:t>i=1</m:t>
                    </m:r>
                  </m:sub>
                  <m:sup>
                    <m:r>
                      <w:rPr>
                        <w:rFonts w:ascii="Cambria Math" w:hAnsi="Cambria Math" w:cs="Times New Roman"/>
                        <w:szCs w:val="24"/>
                      </w:rPr>
                      <m:t>N</m:t>
                    </m:r>
                  </m:sup>
                </m:sSubSup>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m:t>
                    </m:r>
                  </m:sub>
                </m:sSub>
                <m:r>
                  <w:rPr>
                    <w:rFonts w:ascii="Cambria Math" w:hAnsi="Cambria Math" w:cs="Times New Roman"/>
                    <w:szCs w:val="24"/>
                  </w:rPr>
                  <m:t>&gt;</m:t>
                </m:r>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i,n-k</m:t>
                    </m:r>
                  </m:sub>
                </m:sSub>
              </m:e>
            </m:nary>
          </m:den>
        </m:f>
      </m:oMath>
      <w:r w:rsidR="00613783" w:rsidRPr="003A49C8">
        <w:rPr>
          <w:rFonts w:cs="Times New Roman"/>
          <w:szCs w:val="24"/>
        </w:rPr>
        <w:t xml:space="preserve"> </w:t>
      </w:r>
      <w:r w:rsidR="00613783" w:rsidRPr="003A49C8">
        <w:rPr>
          <w:rFonts w:cs="Times New Roman"/>
          <w:szCs w:val="24"/>
        </w:rPr>
        <w:tab/>
      </w:r>
      <w:r w:rsidR="00613783" w:rsidRPr="003A49C8">
        <w:rPr>
          <w:rFonts w:cs="Times New Roman"/>
          <w:szCs w:val="24"/>
        </w:rPr>
        <w:tab/>
      </w:r>
      <w:r w:rsidR="00613783" w:rsidRPr="003A49C8">
        <w:rPr>
          <w:rFonts w:cs="Times New Roman"/>
          <w:szCs w:val="24"/>
        </w:rPr>
        <w:tab/>
      </w:r>
      <w:r w:rsidR="00613783" w:rsidRPr="003A49C8">
        <w:rPr>
          <w:rFonts w:cs="Times New Roman"/>
          <w:szCs w:val="24"/>
        </w:rPr>
        <w:tab/>
      </w:r>
      <w:r w:rsidR="00613783" w:rsidRPr="003A49C8">
        <w:rPr>
          <w:rFonts w:cs="Times New Roman"/>
          <w:szCs w:val="24"/>
        </w:rPr>
        <w:tab/>
      </w:r>
      <w:r w:rsidR="00613783" w:rsidRPr="003A49C8">
        <w:rPr>
          <w:rFonts w:cs="Times New Roman"/>
          <w:szCs w:val="24"/>
        </w:rPr>
        <w:tab/>
      </w:r>
      <w:r w:rsidR="00613783" w:rsidRPr="003A49C8">
        <w:rPr>
          <w:rFonts w:cs="Times New Roman"/>
          <w:szCs w:val="24"/>
        </w:rPr>
        <w:tab/>
      </w:r>
      <w:r w:rsidR="00613783" w:rsidRPr="003A49C8">
        <w:rPr>
          <w:rFonts w:cs="Times New Roman"/>
          <w:szCs w:val="24"/>
        </w:rPr>
        <w:tab/>
        <w:t>(5)</w:t>
      </w:r>
    </w:p>
    <w:p w14:paraId="0F60B1A0" w14:textId="3049DABA" w:rsidR="00613783" w:rsidRPr="003A49C8" w:rsidRDefault="00613783" w:rsidP="00E33705">
      <w:pPr>
        <w:ind w:firstLine="397"/>
        <w:rPr>
          <w:rFonts w:cs="Times New Roman"/>
          <w:szCs w:val="24"/>
        </w:rPr>
      </w:pPr>
      <w:r w:rsidRPr="003A49C8">
        <w:rPr>
          <w:rFonts w:cs="Times New Roman"/>
          <w:szCs w:val="24"/>
        </w:rPr>
        <w:t xml:space="preserve">As shown in Equation (5), an estimator of the stable tail dependence function </w:t>
      </w:r>
      <m:oMath>
        <m:r>
          <w:rPr>
            <w:rFonts w:ascii="Cambria Math" w:hAnsi="Cambria Math" w:cs="Times New Roman"/>
            <w:szCs w:val="24"/>
          </w:rPr>
          <m:t>l</m:t>
        </m:r>
        <m:d>
          <m:dPr>
            <m:ctrlPr>
              <w:rPr>
                <w:rFonts w:ascii="Cambria Math" w:hAnsi="Cambria Math" w:cs="Times New Roman"/>
                <w:i/>
                <w:szCs w:val="24"/>
              </w:rPr>
            </m:ctrlPr>
          </m:dPr>
          <m:e>
            <m:r>
              <w:rPr>
                <w:rFonts w:ascii="Cambria Math" w:hAnsi="Cambria Math" w:cs="Times New Roman"/>
                <w:szCs w:val="24"/>
              </w:rPr>
              <m:t>.</m:t>
            </m:r>
          </m:e>
        </m:d>
      </m:oMath>
      <w:r w:rsidRPr="003A49C8">
        <w:rPr>
          <w:rFonts w:cs="Times New Roman"/>
          <w:szCs w:val="24"/>
        </w:rPr>
        <w:t xml:space="preserve"> is used as the denominator (Straetmans </w:t>
      </w:r>
      <w:r w:rsidR="008C0623">
        <w:rPr>
          <w:rFonts w:cs="Times New Roman"/>
          <w:szCs w:val="24"/>
        </w:rPr>
        <w:t>&amp;</w:t>
      </w:r>
      <w:r w:rsidRPr="003A49C8">
        <w:rPr>
          <w:rFonts w:cs="Times New Roman"/>
          <w:szCs w:val="24"/>
        </w:rPr>
        <w:t xml:space="preserve"> Chaudhry, 2015). Quantile </w:t>
      </w:r>
      <m:oMath>
        <m:sSub>
          <m:sSubPr>
            <m:ctrlPr>
              <w:rPr>
                <w:rFonts w:ascii="Cambria Math" w:hAnsi="Cambria Math" w:cs="Times New Roman"/>
                <w:i/>
                <w:szCs w:val="24"/>
              </w:rPr>
            </m:ctrlPr>
          </m:sSubPr>
          <m:e>
            <m:r>
              <w:rPr>
                <w:rFonts w:ascii="Cambria Math" w:hAnsi="Cambria Math" w:cs="Times New Roman"/>
                <w:szCs w:val="24"/>
              </w:rPr>
              <m:t>Q</m:t>
            </m:r>
          </m:e>
          <m:sub>
            <m:r>
              <w:rPr>
                <w:rFonts w:ascii="Cambria Math" w:hAnsi="Cambria Math" w:cs="Times New Roman"/>
                <w:szCs w:val="24"/>
              </w:rPr>
              <m:t>i</m:t>
            </m:r>
          </m:sub>
        </m:sSub>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k</m:t>
                </m:r>
              </m:num>
              <m:den>
                <m:r>
                  <w:rPr>
                    <w:rFonts w:ascii="Cambria Math" w:hAnsi="Cambria Math" w:cs="Times New Roman"/>
                    <w:szCs w:val="24"/>
                  </w:rPr>
                  <m:t>n</m:t>
                </m:r>
              </m:den>
            </m:f>
          </m:e>
        </m:d>
      </m:oMath>
      <w:r w:rsidRPr="003A49C8">
        <w:rPr>
          <w:rFonts w:cs="Times New Roman"/>
          <w:szCs w:val="24"/>
        </w:rPr>
        <w:t xml:space="preserve"> is estimated by the upper</w:t>
      </w:r>
      <w:r w:rsidR="00E07AE0" w:rsidRPr="003A49C8">
        <w:rPr>
          <w:rFonts w:cs="Times New Roman"/>
          <w:szCs w:val="24"/>
        </w:rPr>
        <w:t>-</w:t>
      </w:r>
      <w:r w:rsidRPr="003A49C8">
        <w:rPr>
          <w:rFonts w:cs="Times New Roman"/>
          <w:szCs w:val="24"/>
        </w:rPr>
        <w:t xml:space="preserve">order statistic </w:t>
      </w:r>
      <m:oMath>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i,n-k</m:t>
            </m:r>
          </m:sub>
        </m:sSub>
      </m:oMath>
      <w:r w:rsidRPr="003A49C8">
        <w:rPr>
          <w:rFonts w:cs="Times New Roman"/>
          <w:szCs w:val="24"/>
        </w:rPr>
        <w:t xml:space="preserve">. The indicator function is </w:t>
      </w:r>
      <m:oMath>
        <m:r>
          <w:rPr>
            <w:rFonts w:ascii="Cambria Math" w:hAnsi="Cambria Math" w:cs="Times New Roman"/>
            <w:szCs w:val="24"/>
          </w:rPr>
          <m:t>l{.}</m:t>
        </m:r>
      </m:oMath>
      <w:r w:rsidRPr="003A49C8">
        <w:rPr>
          <w:rFonts w:cs="Times New Roman"/>
          <w:szCs w:val="24"/>
        </w:rPr>
        <w:t xml:space="preserve"> and the nuisance parameter is </w:t>
      </w:r>
      <m:oMath>
        <m:r>
          <w:rPr>
            <w:rFonts w:ascii="Cambria Math" w:hAnsi="Cambria Math" w:cs="Times New Roman"/>
            <w:szCs w:val="24"/>
          </w:rPr>
          <m:t>k</m:t>
        </m:r>
      </m:oMath>
      <w:r w:rsidRPr="003A49C8">
        <w:rPr>
          <w:rFonts w:cs="Times New Roman"/>
          <w:szCs w:val="24"/>
        </w:rPr>
        <w:t xml:space="preserve">. For the Hill (1975) estimator, </w:t>
      </w:r>
      <m:oMath>
        <m:r>
          <w:rPr>
            <w:rFonts w:ascii="Cambria Math" w:hAnsi="Cambria Math" w:cs="Times New Roman"/>
            <w:szCs w:val="24"/>
          </w:rPr>
          <m:t>k</m:t>
        </m:r>
      </m:oMath>
      <w:r w:rsidRPr="003A49C8">
        <w:rPr>
          <w:rFonts w:cs="Times New Roman"/>
          <w:szCs w:val="24"/>
        </w:rPr>
        <w:t xml:space="preserve"> refers to the number of extremes in the calculation of risk measures.</w:t>
      </w:r>
    </w:p>
    <w:p w14:paraId="70B0B59A" w14:textId="7E9DF39B" w:rsidR="00613783" w:rsidRPr="003A49C8" w:rsidRDefault="00613783" w:rsidP="00E33705">
      <w:pPr>
        <w:ind w:firstLine="397"/>
        <w:rPr>
          <w:rFonts w:cs="Times New Roman"/>
          <w:szCs w:val="24"/>
        </w:rPr>
      </w:pPr>
      <w:r w:rsidRPr="003A49C8">
        <w:rPr>
          <w:rFonts w:cs="Times New Roman"/>
          <w:szCs w:val="24"/>
        </w:rPr>
        <w:t>The theoretical framework of systemic risk given in Equations (4) and (5) is measured by tail-</w:t>
      </w:r>
      <w:r w:rsidRPr="003A49C8">
        <w:rPr>
          <w:rFonts w:cs="Times New Roman"/>
          <w:i/>
          <w:iCs/>
          <w:szCs w:val="24"/>
        </w:rPr>
        <w:t>β</w:t>
      </w:r>
      <w:r w:rsidRPr="003A49C8">
        <w:rPr>
          <w:rFonts w:cs="Times New Roman"/>
          <w:szCs w:val="24"/>
        </w:rPr>
        <w:t xml:space="preserve">. The estimate captures the exposure to large adverse movements in aggregate shocks in ESG, healthcare, and financial </w:t>
      </w:r>
      <w:r w:rsidR="00D27887" w:rsidRPr="003A49C8">
        <w:rPr>
          <w:rFonts w:cs="Times New Roman"/>
          <w:szCs w:val="24"/>
        </w:rPr>
        <w:t>sectors</w:t>
      </w:r>
      <w:r w:rsidRPr="003A49C8">
        <w:rPr>
          <w:rFonts w:cs="Times New Roman"/>
          <w:szCs w:val="24"/>
        </w:rPr>
        <w:t xml:space="preserve">. Generally, aggregate shocks represent a macroeconomic (non-diversifiable) shock and are used to identify extreme systematic risk (or tail-β) associated with different candidate-risk factors. </w:t>
      </w:r>
    </w:p>
    <w:p w14:paraId="4C00D5EF" w14:textId="77777777" w:rsidR="00613783" w:rsidRPr="003A49C8" w:rsidRDefault="00613783" w:rsidP="00B942AD">
      <w:pPr>
        <w:pStyle w:val="Heading1"/>
        <w:rPr>
          <w:rFonts w:cs="Times New Roman"/>
          <w:szCs w:val="24"/>
        </w:rPr>
      </w:pPr>
      <w:r w:rsidRPr="003A49C8">
        <w:rPr>
          <w:rFonts w:cs="Times New Roman"/>
          <w:szCs w:val="24"/>
        </w:rPr>
        <w:t>4. Empirical findings and discussions</w:t>
      </w:r>
    </w:p>
    <w:p w14:paraId="571C1E78" w14:textId="0C978EB4" w:rsidR="00613783" w:rsidRPr="003A49C8" w:rsidRDefault="00613783" w:rsidP="00B942AD">
      <w:pPr>
        <w:pStyle w:val="Heading2"/>
        <w:rPr>
          <w:rFonts w:cs="Times New Roman"/>
          <w:szCs w:val="24"/>
        </w:rPr>
      </w:pPr>
      <w:r w:rsidRPr="003A49C8">
        <w:rPr>
          <w:rFonts w:cs="Times New Roman"/>
          <w:szCs w:val="24"/>
        </w:rPr>
        <w:t xml:space="preserve">4.1 The downside risk estimates of ESG, healthcare, and financial </w:t>
      </w:r>
      <w:r w:rsidR="002B0B36" w:rsidRPr="003A49C8">
        <w:rPr>
          <w:rFonts w:cs="Times New Roman"/>
          <w:szCs w:val="24"/>
        </w:rPr>
        <w:t>sectors</w:t>
      </w:r>
    </w:p>
    <w:p w14:paraId="1E82011A" w14:textId="557599A7" w:rsidR="0045142D" w:rsidRPr="003A49C8" w:rsidRDefault="000E693D" w:rsidP="00B942AD">
      <w:pPr>
        <w:rPr>
          <w:rFonts w:cs="Times New Roman"/>
          <w:szCs w:val="24"/>
        </w:rPr>
      </w:pPr>
      <w:r w:rsidRPr="003A49C8">
        <w:rPr>
          <w:rFonts w:cs="Times New Roman"/>
          <w:szCs w:val="24"/>
        </w:rPr>
        <w:t xml:space="preserve">The results presented in </w:t>
      </w:r>
      <w:r w:rsidR="00613783" w:rsidRPr="003A49C8">
        <w:rPr>
          <w:rFonts w:cs="Times New Roman"/>
          <w:szCs w:val="24"/>
        </w:rPr>
        <w:t xml:space="preserve">Table </w:t>
      </w:r>
      <w:r w:rsidR="00107485">
        <w:rPr>
          <w:rFonts w:cs="Times New Roman"/>
          <w:szCs w:val="24"/>
        </w:rPr>
        <w:t>I</w:t>
      </w:r>
      <w:r w:rsidR="00613783" w:rsidRPr="003A49C8">
        <w:rPr>
          <w:rFonts w:cs="Times New Roman"/>
          <w:szCs w:val="24"/>
        </w:rPr>
        <w:t xml:space="preserve"> show estimates of the tail index </w:t>
      </w:r>
      <m:oMath>
        <m:acc>
          <m:accPr>
            <m:ctrlPr>
              <w:rPr>
                <w:rFonts w:ascii="Cambria Math" w:hAnsi="Cambria Math" w:cs="Times New Roman"/>
                <w:i/>
                <w:szCs w:val="24"/>
              </w:rPr>
            </m:ctrlPr>
          </m:accPr>
          <m:e>
            <m:r>
              <w:rPr>
                <w:rFonts w:ascii="Cambria Math" w:hAnsi="Cambria Math" w:cs="Times New Roman"/>
                <w:szCs w:val="24"/>
              </w:rPr>
              <m:t>α</m:t>
            </m:r>
          </m:e>
        </m:acc>
      </m:oMath>
      <w:r w:rsidR="00613783" w:rsidRPr="003A49C8">
        <w:rPr>
          <w:rFonts w:cs="Times New Roman"/>
          <w:szCs w:val="24"/>
        </w:rPr>
        <w:t xml:space="preserve"> and corresponding values of tail-VaR, tail quantiles, and the </w:t>
      </w:r>
      <w:r w:rsidR="00B3161E" w:rsidRPr="003A49C8">
        <w:rPr>
          <w:rFonts w:cs="Times New Roman"/>
          <w:szCs w:val="24"/>
        </w:rPr>
        <w:t xml:space="preserve">tail </w:t>
      </w:r>
      <w:r w:rsidR="00613783" w:rsidRPr="003A49C8">
        <w:rPr>
          <w:rFonts w:cs="Times New Roman"/>
          <w:szCs w:val="24"/>
        </w:rPr>
        <w:t xml:space="preserve">expected shortfall for the top 10 ESG (Panel I), healthcare (Panel II), and financial </w:t>
      </w:r>
      <w:r w:rsidR="00DE735D" w:rsidRPr="003A49C8">
        <w:rPr>
          <w:rFonts w:cs="Times New Roman"/>
          <w:szCs w:val="24"/>
        </w:rPr>
        <w:t>sectors</w:t>
      </w:r>
      <w:r w:rsidR="002B0B36" w:rsidRPr="003A49C8">
        <w:rPr>
          <w:rFonts w:cs="Times New Roman"/>
          <w:szCs w:val="24"/>
        </w:rPr>
        <w:t xml:space="preserve"> </w:t>
      </w:r>
      <w:r w:rsidR="00613783" w:rsidRPr="003A49C8">
        <w:rPr>
          <w:rFonts w:cs="Times New Roman"/>
          <w:szCs w:val="24"/>
        </w:rPr>
        <w:t xml:space="preserve">(Panel III), respectively. In all three panels, we use the nuisance parameter </w:t>
      </w:r>
      <m:oMath>
        <m:r>
          <w:rPr>
            <w:rFonts w:ascii="Cambria Math" w:hAnsi="Cambria Math" w:cs="Times New Roman"/>
            <w:szCs w:val="24"/>
          </w:rPr>
          <m:t>m = 300</m:t>
        </m:r>
      </m:oMath>
      <w:r w:rsidR="00613783" w:rsidRPr="003A49C8">
        <w:rPr>
          <w:rFonts w:cs="Times New Roman"/>
          <w:szCs w:val="24"/>
        </w:rPr>
        <w:t xml:space="preserve"> as our main investigation.</w:t>
      </w:r>
      <w:r w:rsidR="00B0350A" w:rsidRPr="003A49C8">
        <w:rPr>
          <w:rStyle w:val="FootnoteReference"/>
          <w:rFonts w:cs="Times New Roman"/>
          <w:szCs w:val="24"/>
        </w:rPr>
        <w:footnoteReference w:id="5"/>
      </w:r>
      <w:r w:rsidR="00613783" w:rsidRPr="003A49C8">
        <w:rPr>
          <w:rFonts w:cs="Times New Roman"/>
          <w:szCs w:val="24"/>
        </w:rPr>
        <w:t xml:space="preserve"> </w:t>
      </w:r>
      <w:r w:rsidR="0045142D" w:rsidRPr="003A49C8">
        <w:rPr>
          <w:rFonts w:cs="Times New Roman"/>
          <w:szCs w:val="24"/>
        </w:rPr>
        <w:t xml:space="preserve">We calculate extreme quantiles for p-values of 0.2% </w:t>
      </w:r>
      <w:r w:rsidR="00475747" w:rsidRPr="003A49C8">
        <w:rPr>
          <w:rFonts w:cs="Times New Roman"/>
          <w:szCs w:val="24"/>
        </w:rPr>
        <w:t>or</w:t>
      </w:r>
      <w:r w:rsidR="0045142D" w:rsidRPr="003A49C8">
        <w:rPr>
          <w:rFonts w:cs="Times New Roman"/>
          <w:szCs w:val="24"/>
        </w:rPr>
        <w:t xml:space="preserve"> 0.1%. This means </w:t>
      </w:r>
      <w:r w:rsidR="00475747" w:rsidRPr="003A49C8">
        <w:rPr>
          <w:rFonts w:cs="Times New Roman"/>
          <w:szCs w:val="24"/>
        </w:rPr>
        <w:t xml:space="preserve">that the </w:t>
      </w:r>
      <w:r w:rsidR="0045142D" w:rsidRPr="003A49C8">
        <w:rPr>
          <w:rFonts w:cs="Times New Roman"/>
          <w:szCs w:val="24"/>
        </w:rPr>
        <w:t>tail-</w:t>
      </w:r>
      <w:proofErr w:type="spellStart"/>
      <w:r w:rsidR="0045142D" w:rsidRPr="003A49C8">
        <w:rPr>
          <w:rFonts w:cs="Times New Roman"/>
          <w:szCs w:val="24"/>
        </w:rPr>
        <w:t>VaRs</w:t>
      </w:r>
      <w:proofErr w:type="spellEnd"/>
      <w:r w:rsidR="0045142D" w:rsidRPr="003A49C8">
        <w:rPr>
          <w:rFonts w:cs="Times New Roman"/>
          <w:szCs w:val="24"/>
        </w:rPr>
        <w:t xml:space="preserve"> are </w:t>
      </w:r>
      <w:r w:rsidR="00475747" w:rsidRPr="003A49C8">
        <w:rPr>
          <w:rFonts w:cs="Times New Roman"/>
          <w:szCs w:val="24"/>
        </w:rPr>
        <w:t xml:space="preserve">estimated </w:t>
      </w:r>
      <w:r w:rsidR="0045142D" w:rsidRPr="003A49C8">
        <w:rPr>
          <w:rFonts w:cs="Times New Roman"/>
          <w:szCs w:val="24"/>
        </w:rPr>
        <w:t xml:space="preserve">to be </w:t>
      </w:r>
      <w:r w:rsidR="00475747" w:rsidRPr="003A49C8">
        <w:rPr>
          <w:rFonts w:cs="Times New Roman"/>
          <w:szCs w:val="24"/>
        </w:rPr>
        <w:t xml:space="preserve">triggered every </w:t>
      </w:r>
      <w:r w:rsidR="0045142D" w:rsidRPr="003A49C8">
        <w:rPr>
          <w:rFonts w:cs="Times New Roman"/>
          <w:szCs w:val="24"/>
        </w:rPr>
        <w:t xml:space="preserve">500 days </w:t>
      </w:r>
      <w:r w:rsidR="00475747" w:rsidRPr="003A49C8">
        <w:rPr>
          <w:rFonts w:cs="Times New Roman"/>
          <w:szCs w:val="24"/>
        </w:rPr>
        <w:t xml:space="preserve">or </w:t>
      </w:r>
      <w:r w:rsidR="0045142D" w:rsidRPr="003A49C8">
        <w:rPr>
          <w:rFonts w:cs="Times New Roman"/>
          <w:szCs w:val="24"/>
        </w:rPr>
        <w:t xml:space="preserve">1000 days, respectively. We also </w:t>
      </w:r>
      <w:r w:rsidR="00475747" w:rsidRPr="003A49C8">
        <w:rPr>
          <w:rFonts w:cs="Times New Roman"/>
          <w:szCs w:val="24"/>
        </w:rPr>
        <w:t xml:space="preserve">calculate </w:t>
      </w:r>
      <w:r w:rsidR="00E07AE0" w:rsidRPr="003A49C8">
        <w:rPr>
          <w:rFonts w:cs="Times New Roman"/>
          <w:szCs w:val="24"/>
        </w:rPr>
        <w:t xml:space="preserve">the </w:t>
      </w:r>
      <w:r w:rsidR="0045142D" w:rsidRPr="003A49C8">
        <w:rPr>
          <w:rFonts w:cs="Times New Roman"/>
          <w:szCs w:val="24"/>
        </w:rPr>
        <w:t>expected shortfall condition</w:t>
      </w:r>
      <w:r w:rsidR="00475747" w:rsidRPr="003A49C8">
        <w:rPr>
          <w:rFonts w:cs="Times New Roman"/>
          <w:szCs w:val="24"/>
        </w:rPr>
        <w:t>al upon</w:t>
      </w:r>
      <w:r w:rsidR="0045142D" w:rsidRPr="003A49C8">
        <w:rPr>
          <w:rFonts w:cs="Times New Roman"/>
          <w:szCs w:val="24"/>
        </w:rPr>
        <w:t xml:space="preserve"> crisis barriers </w:t>
      </w:r>
      <w:r w:rsidR="00475747" w:rsidRPr="003A49C8">
        <w:rPr>
          <w:rFonts w:cs="Times New Roman"/>
          <w:szCs w:val="24"/>
        </w:rPr>
        <w:t xml:space="preserve">of </w:t>
      </w:r>
      <w:r w:rsidR="0045142D" w:rsidRPr="003A49C8">
        <w:rPr>
          <w:rFonts w:cs="Times New Roman"/>
          <w:szCs w:val="24"/>
        </w:rPr>
        <w:t>s = 25% or 50%</w:t>
      </w:r>
      <w:r w:rsidR="00475747" w:rsidRPr="003A49C8">
        <w:rPr>
          <w:rFonts w:cs="Times New Roman"/>
          <w:szCs w:val="24"/>
        </w:rPr>
        <w:t xml:space="preserve"> in addition to the p-values of 0.2% or 0.1%.</w:t>
      </w:r>
    </w:p>
    <w:p w14:paraId="145609E9" w14:textId="57F60C6F" w:rsidR="00613783" w:rsidRPr="003A49C8" w:rsidRDefault="00613783" w:rsidP="00E33705">
      <w:pPr>
        <w:ind w:firstLine="397"/>
        <w:rPr>
          <w:rFonts w:cs="Times New Roman"/>
          <w:szCs w:val="24"/>
        </w:rPr>
      </w:pPr>
      <w:r w:rsidRPr="003A49C8">
        <w:rPr>
          <w:rFonts w:cs="Times New Roman"/>
          <w:szCs w:val="24"/>
        </w:rPr>
        <w:t xml:space="preserve">In </w:t>
      </w:r>
      <w:r w:rsidR="00841BD7" w:rsidRPr="003A49C8">
        <w:rPr>
          <w:rFonts w:cs="Times New Roman"/>
          <w:szCs w:val="24"/>
        </w:rPr>
        <w:t xml:space="preserve">the </w:t>
      </w:r>
      <w:r w:rsidRPr="003A49C8">
        <w:rPr>
          <w:rFonts w:cs="Times New Roman"/>
          <w:szCs w:val="24"/>
        </w:rPr>
        <w:t xml:space="preserve">healthcare </w:t>
      </w:r>
      <w:r w:rsidR="00DE735D" w:rsidRPr="003A49C8">
        <w:rPr>
          <w:rFonts w:cs="Times New Roman"/>
          <w:szCs w:val="24"/>
        </w:rPr>
        <w:t>sector</w:t>
      </w:r>
      <w:r w:rsidRPr="003A49C8">
        <w:rPr>
          <w:rFonts w:cs="Times New Roman"/>
          <w:szCs w:val="24"/>
        </w:rPr>
        <w:t>, the tail indices have fluctuated around three standard deviations (</w:t>
      </w:r>
      <m:oMath>
        <m:r>
          <w:rPr>
            <w:rFonts w:ascii="Cambria Math" w:hAnsi="Cambria Math" w:cs="Times New Roman"/>
            <w:szCs w:val="24"/>
          </w:rPr>
          <m:t>α = 2.40</m:t>
        </m:r>
      </m:oMath>
      <w:r w:rsidRPr="003A49C8">
        <w:rPr>
          <w:rFonts w:cs="Times New Roman"/>
          <w:szCs w:val="24"/>
        </w:rPr>
        <w:t>). The average value for financial ETFs is the lowest (</w:t>
      </w:r>
      <m:oMath>
        <m:r>
          <w:rPr>
            <w:rFonts w:ascii="Cambria Math" w:hAnsi="Cambria Math" w:cs="Times New Roman"/>
            <w:szCs w:val="24"/>
          </w:rPr>
          <m:t>α = 2.05</m:t>
        </m:r>
      </m:oMath>
      <w:r w:rsidRPr="003A49C8">
        <w:rPr>
          <w:rFonts w:cs="Times New Roman"/>
          <w:szCs w:val="24"/>
        </w:rPr>
        <w:t>), and ESG ETFs are second (</w:t>
      </w:r>
      <m:oMath>
        <m:r>
          <w:rPr>
            <w:rFonts w:ascii="Cambria Math" w:hAnsi="Cambria Math" w:cs="Times New Roman"/>
            <w:szCs w:val="24"/>
          </w:rPr>
          <m:t>α = 2.14</m:t>
        </m:r>
      </m:oMath>
      <w:r w:rsidRPr="003A49C8">
        <w:rPr>
          <w:rFonts w:cs="Times New Roman"/>
          <w:szCs w:val="24"/>
        </w:rPr>
        <w:t>), indicating fat tails. In contrast, healthcare ETFs (</w:t>
      </w:r>
      <m:oMath>
        <m:r>
          <w:rPr>
            <w:rFonts w:ascii="Cambria Math" w:hAnsi="Cambria Math" w:cs="Times New Roman"/>
            <w:szCs w:val="24"/>
          </w:rPr>
          <m:t>α = 2.40</m:t>
        </m:r>
      </m:oMath>
      <w:r w:rsidRPr="003A49C8">
        <w:rPr>
          <w:rFonts w:cs="Times New Roman"/>
          <w:szCs w:val="24"/>
        </w:rPr>
        <w:t xml:space="preserve">) have thinner tails than the other two ETF categories. This could be due to the exponential growth of demand for ESG and financial ETFs over the past few years. We concur with Papanikolaou and Wolff (2014), who state that market demands, regulatory changes, and technological </w:t>
      </w:r>
      <w:r w:rsidRPr="003A49C8">
        <w:rPr>
          <w:rFonts w:cs="Times New Roman"/>
          <w:szCs w:val="24"/>
        </w:rPr>
        <w:lastRenderedPageBreak/>
        <w:t xml:space="preserve">advancements are potential sources of high risk for healthcare companies. A further possibility is that healthcare ETFs are much more likely to actively manage their risk as a result of stricter regulations and public scrutiny as opposed to ESG and finance ETFs. </w:t>
      </w:r>
      <w:r w:rsidR="00171ED2" w:rsidRPr="003A49C8">
        <w:rPr>
          <w:rFonts w:cs="Times New Roman"/>
          <w:szCs w:val="24"/>
        </w:rPr>
        <w:t xml:space="preserve">Indeed, </w:t>
      </w:r>
      <w:proofErr w:type="spellStart"/>
      <w:r w:rsidR="00171ED2" w:rsidRPr="003A49C8">
        <w:rPr>
          <w:rFonts w:cs="Times New Roman"/>
          <w:szCs w:val="24"/>
        </w:rPr>
        <w:t>Djalante</w:t>
      </w:r>
      <w:proofErr w:type="spellEnd"/>
      <w:r w:rsidR="00171ED2" w:rsidRPr="003A49C8">
        <w:rPr>
          <w:rFonts w:cs="Times New Roman"/>
          <w:szCs w:val="24"/>
        </w:rPr>
        <w:t xml:space="preserve"> et al. (2020) call for </w:t>
      </w:r>
      <w:r w:rsidR="00C877E4" w:rsidRPr="003A49C8">
        <w:rPr>
          <w:rFonts w:cs="Times New Roman"/>
          <w:szCs w:val="24"/>
        </w:rPr>
        <w:t xml:space="preserve">the integration of disaster resilience strategies, and utilisation of the health-emergency disaster risk management framework to complement </w:t>
      </w:r>
      <w:r w:rsidR="00C74298" w:rsidRPr="003A49C8">
        <w:rPr>
          <w:rFonts w:cs="Times New Roman"/>
          <w:szCs w:val="24"/>
        </w:rPr>
        <w:t xml:space="preserve">the </w:t>
      </w:r>
      <w:r w:rsidR="00C877E4" w:rsidRPr="003A49C8">
        <w:rPr>
          <w:rFonts w:cs="Times New Roman"/>
          <w:szCs w:val="24"/>
        </w:rPr>
        <w:t xml:space="preserve">response to COVID-19 and similar phenomena in the future. </w:t>
      </w:r>
      <w:r w:rsidR="00D57F52" w:rsidRPr="003A49C8">
        <w:rPr>
          <w:rFonts w:cs="Times New Roman"/>
          <w:szCs w:val="24"/>
        </w:rPr>
        <w:t xml:space="preserve">Although studies suggest that healthcare companies may not be fully managing </w:t>
      </w:r>
      <w:r w:rsidR="00721582" w:rsidRPr="003A49C8">
        <w:rPr>
          <w:rFonts w:cs="Times New Roman"/>
          <w:szCs w:val="24"/>
        </w:rPr>
        <w:t>all</w:t>
      </w:r>
      <w:r w:rsidR="00D57F52" w:rsidRPr="003A49C8">
        <w:rPr>
          <w:rFonts w:cs="Times New Roman"/>
          <w:szCs w:val="24"/>
        </w:rPr>
        <w:t xml:space="preserve"> their risks (e.g., medical waste) well (</w:t>
      </w:r>
      <w:proofErr w:type="spellStart"/>
      <w:r w:rsidR="00721582" w:rsidRPr="003A49C8">
        <w:rPr>
          <w:rFonts w:cs="Times New Roman"/>
          <w:szCs w:val="24"/>
        </w:rPr>
        <w:t>Manupati</w:t>
      </w:r>
      <w:proofErr w:type="spellEnd"/>
      <w:r w:rsidR="00721582" w:rsidRPr="003A49C8">
        <w:rPr>
          <w:rFonts w:cs="Times New Roman"/>
          <w:szCs w:val="24"/>
        </w:rPr>
        <w:t xml:space="preserve"> et al., 2021)</w:t>
      </w:r>
      <w:r w:rsidR="00D57F52" w:rsidRPr="003A49C8">
        <w:rPr>
          <w:rFonts w:cs="Times New Roman"/>
          <w:szCs w:val="24"/>
        </w:rPr>
        <w:t xml:space="preserve">, </w:t>
      </w:r>
      <w:r w:rsidR="00721582" w:rsidRPr="003A49C8">
        <w:rPr>
          <w:rFonts w:cs="Times New Roman"/>
          <w:szCs w:val="24"/>
        </w:rPr>
        <w:t>they are still</w:t>
      </w:r>
      <w:r w:rsidR="00B3161E" w:rsidRPr="003A49C8">
        <w:rPr>
          <w:rFonts w:cs="Times New Roman"/>
          <w:szCs w:val="24"/>
        </w:rPr>
        <w:t xml:space="preserve"> less prone to extreme shocks compared to other</w:t>
      </w:r>
      <w:r w:rsidR="00D57F52" w:rsidRPr="003A49C8">
        <w:rPr>
          <w:rFonts w:cs="Times New Roman"/>
          <w:szCs w:val="24"/>
        </w:rPr>
        <w:t xml:space="preserve"> ETFs</w:t>
      </w:r>
      <w:r w:rsidR="00721582" w:rsidRPr="003A49C8">
        <w:rPr>
          <w:rFonts w:cs="Times New Roman"/>
          <w:szCs w:val="24"/>
        </w:rPr>
        <w:t xml:space="preserve"> in our sample</w:t>
      </w:r>
      <w:r w:rsidR="00B3161E" w:rsidRPr="003A49C8">
        <w:rPr>
          <w:rFonts w:cs="Times New Roman"/>
          <w:szCs w:val="24"/>
        </w:rPr>
        <w:t xml:space="preserve">. </w:t>
      </w:r>
      <w:r w:rsidRPr="003A49C8">
        <w:rPr>
          <w:rFonts w:cs="Times New Roman"/>
          <w:szCs w:val="24"/>
        </w:rPr>
        <w:t xml:space="preserve">On the other hand, the advancement of financial technologies has significantly increased turnover rates for financial-related products and services to satisfy consumer and societal needs. Similarly, more green or renewable technologies are needed to combat social and environmental issues. Thus, inventing and </w:t>
      </w:r>
      <w:r w:rsidR="00721CB8" w:rsidRPr="003A49C8">
        <w:rPr>
          <w:rFonts w:cs="Times New Roman"/>
          <w:szCs w:val="24"/>
        </w:rPr>
        <w:t xml:space="preserve">conducting risk analyses to </w:t>
      </w:r>
      <w:r w:rsidRPr="003A49C8">
        <w:rPr>
          <w:rFonts w:cs="Times New Roman"/>
          <w:szCs w:val="24"/>
        </w:rPr>
        <w:t>test new products requires substantial investment (Goble and Bier, 2013). Especially during COVID-19, ESG and financial ETFs have grown much faster due to market demand. In turn, they come with higher risk. As a result, ESG and financial ETFs in our sample have a higher tail risk than healthcare ETFs.</w:t>
      </w:r>
    </w:p>
    <w:p w14:paraId="2EB332E8" w14:textId="49772671" w:rsidR="00613783" w:rsidRPr="003A49C8" w:rsidRDefault="00613783" w:rsidP="00E33705">
      <w:pPr>
        <w:ind w:firstLine="397"/>
        <w:rPr>
          <w:rFonts w:cs="Times New Roman"/>
          <w:szCs w:val="24"/>
        </w:rPr>
      </w:pPr>
      <w:r w:rsidRPr="003A49C8">
        <w:rPr>
          <w:rFonts w:cs="Times New Roman"/>
          <w:szCs w:val="24"/>
        </w:rPr>
        <w:t>When looking at specific ETFs in Table 1, such as SPYX SPDR S&amp;P 500 Fossil Fuel Reserves Free ETF (</w:t>
      </w:r>
      <m:oMath>
        <m:r>
          <w:rPr>
            <w:rFonts w:ascii="Cambria Math" w:hAnsi="Cambria Math" w:cs="Times New Roman"/>
            <w:szCs w:val="24"/>
          </w:rPr>
          <m:t>α = 1.5083</m:t>
        </m:r>
      </m:oMath>
      <w:r w:rsidRPr="003A49C8">
        <w:rPr>
          <w:rFonts w:cs="Times New Roman"/>
          <w:szCs w:val="24"/>
        </w:rPr>
        <w:t>) in Panel I, FHLC Fidelity MSCI Health Care (</w:t>
      </w:r>
      <m:oMath>
        <m:r>
          <w:rPr>
            <w:rFonts w:ascii="Cambria Math" w:hAnsi="Cambria Math" w:cs="Times New Roman"/>
            <w:szCs w:val="24"/>
          </w:rPr>
          <m:t>α = 1.832</m:t>
        </m:r>
      </m:oMath>
      <w:r w:rsidRPr="003A49C8">
        <w:rPr>
          <w:rFonts w:cs="Times New Roman"/>
          <w:szCs w:val="24"/>
        </w:rPr>
        <w:t>) in Panel II, and FNCL Fidelity MSCI Financials Index (</w:t>
      </w:r>
      <m:oMath>
        <m:r>
          <w:rPr>
            <w:rFonts w:ascii="Cambria Math" w:hAnsi="Cambria Math" w:cs="Times New Roman"/>
            <w:szCs w:val="24"/>
          </w:rPr>
          <m:t>α = 1.708241</m:t>
        </m:r>
      </m:oMath>
      <w:r w:rsidRPr="003A49C8">
        <w:rPr>
          <w:rFonts w:cs="Times New Roman"/>
          <w:szCs w:val="24"/>
        </w:rPr>
        <w:t xml:space="preserve">) in Panel III are the highest tails exhibited in the three panels. It is important to note that the top holdings of all these three ETFs are primarily invested in information technology, biotech, health care, and financial companies, e.g., the four tech giants, Johnson &amp; Johnson, Pfizer, Berkshire Hathaway, and JP Morgan. As advanced technologies have grown rapidly over the past few decades, an investment portfolio may have an inherent risk that can be captured by tail risk. Furthermore, </w:t>
      </w:r>
      <w:r w:rsidR="00FF7A86" w:rsidRPr="003A49C8">
        <w:rPr>
          <w:rFonts w:cs="Times New Roman"/>
          <w:szCs w:val="24"/>
        </w:rPr>
        <w:t xml:space="preserve">in the context of ecological-related risk analysis, it is important to consider the broader implications of an investment strategy </w:t>
      </w:r>
      <w:r w:rsidR="001532F4" w:rsidRPr="003A49C8">
        <w:rPr>
          <w:rFonts w:cs="Times New Roman"/>
          <w:szCs w:val="24"/>
        </w:rPr>
        <w:t xml:space="preserve">that focuses on building </w:t>
      </w:r>
      <w:r w:rsidR="00FF7A86" w:rsidRPr="003A49C8">
        <w:rPr>
          <w:rFonts w:cs="Times New Roman"/>
          <w:szCs w:val="24"/>
        </w:rPr>
        <w:t xml:space="preserve">resilience </w:t>
      </w:r>
      <w:r w:rsidR="001532F4" w:rsidRPr="003A49C8">
        <w:rPr>
          <w:rFonts w:cs="Times New Roman"/>
          <w:szCs w:val="24"/>
        </w:rPr>
        <w:t>by addressing the underlying</w:t>
      </w:r>
      <w:r w:rsidR="00FF7A86" w:rsidRPr="003A49C8">
        <w:rPr>
          <w:rFonts w:cs="Times New Roman"/>
          <w:szCs w:val="24"/>
        </w:rPr>
        <w:t xml:space="preserve"> causes of negative events (de </w:t>
      </w:r>
      <w:proofErr w:type="spellStart"/>
      <w:r w:rsidR="00FF7A86" w:rsidRPr="003A49C8">
        <w:rPr>
          <w:rFonts w:cs="Times New Roman"/>
          <w:szCs w:val="24"/>
        </w:rPr>
        <w:t>Goër</w:t>
      </w:r>
      <w:proofErr w:type="spellEnd"/>
      <w:r w:rsidR="00FF7A86" w:rsidRPr="003A49C8">
        <w:rPr>
          <w:rFonts w:cs="Times New Roman"/>
          <w:szCs w:val="24"/>
        </w:rPr>
        <w:t xml:space="preserve"> de Herve et al., 2023</w:t>
      </w:r>
      <w:r w:rsidR="001532F4" w:rsidRPr="003A49C8">
        <w:rPr>
          <w:rFonts w:cs="Times New Roman"/>
          <w:szCs w:val="24"/>
        </w:rPr>
        <w:t>; Wu et al., 2022</w:t>
      </w:r>
      <w:r w:rsidR="00FF7A86" w:rsidRPr="003A49C8">
        <w:rPr>
          <w:rFonts w:cs="Times New Roman"/>
          <w:szCs w:val="24"/>
        </w:rPr>
        <w:t xml:space="preserve">). For example, </w:t>
      </w:r>
      <w:r w:rsidRPr="003A49C8">
        <w:rPr>
          <w:rFonts w:cs="Times New Roman"/>
          <w:szCs w:val="24"/>
        </w:rPr>
        <w:t xml:space="preserve">SPYX SPDR S&amp;P 500 Fossil Fuel Reserves Free ETF and FNCL Fidelity MSCI Financials Index have frequently suffered from climate change debates, geopolitical risks, the recent Ukrainian-Russian war, and inflation </w:t>
      </w:r>
      <w:r w:rsidR="00D93566" w:rsidRPr="003A49C8">
        <w:rPr>
          <w:rFonts w:cs="Times New Roman"/>
          <w:szCs w:val="24"/>
        </w:rPr>
        <w:t>debates (</w:t>
      </w:r>
      <w:r w:rsidRPr="003A49C8">
        <w:rPr>
          <w:rFonts w:cs="Times New Roman"/>
          <w:szCs w:val="24"/>
        </w:rPr>
        <w:t xml:space="preserve">Nasir et al., 2020; Wang et al., 2022). </w:t>
      </w:r>
      <w:r w:rsidR="00E061F9" w:rsidRPr="003A49C8">
        <w:rPr>
          <w:rFonts w:cs="Times New Roman"/>
          <w:szCs w:val="24"/>
        </w:rPr>
        <w:t xml:space="preserve">Such </w:t>
      </w:r>
      <w:r w:rsidR="00FF7A86" w:rsidRPr="003A49C8">
        <w:rPr>
          <w:rFonts w:cs="Times New Roman"/>
          <w:szCs w:val="24"/>
        </w:rPr>
        <w:t xml:space="preserve">events </w:t>
      </w:r>
      <w:r w:rsidR="00E061F9" w:rsidRPr="003A49C8">
        <w:rPr>
          <w:rFonts w:cs="Times New Roman"/>
          <w:szCs w:val="24"/>
        </w:rPr>
        <w:t>carry substantial</w:t>
      </w:r>
      <w:r w:rsidR="00FF7A86" w:rsidRPr="003A49C8">
        <w:rPr>
          <w:rFonts w:cs="Times New Roman"/>
          <w:szCs w:val="24"/>
        </w:rPr>
        <w:t xml:space="preserve"> ecological and social ramifications, leading to </w:t>
      </w:r>
      <w:r w:rsidR="00E061F9" w:rsidRPr="003A49C8">
        <w:rPr>
          <w:rFonts w:cs="Times New Roman"/>
          <w:szCs w:val="24"/>
        </w:rPr>
        <w:t>setbacks in prevention and recovery efforts aimed at mitigating these detrimental risks</w:t>
      </w:r>
      <w:r w:rsidR="005B5987" w:rsidRPr="003A49C8">
        <w:rPr>
          <w:rFonts w:cs="Times New Roman"/>
          <w:szCs w:val="24"/>
        </w:rPr>
        <w:t xml:space="preserve"> and causes of climate change</w:t>
      </w:r>
      <w:r w:rsidR="00E061F9" w:rsidRPr="003A49C8">
        <w:rPr>
          <w:rFonts w:cs="Times New Roman"/>
          <w:szCs w:val="24"/>
        </w:rPr>
        <w:t>.</w:t>
      </w:r>
      <w:r w:rsidRPr="003A49C8">
        <w:rPr>
          <w:rFonts w:cs="Times New Roman"/>
          <w:szCs w:val="24"/>
        </w:rPr>
        <w:t xml:space="preserve"> </w:t>
      </w:r>
      <w:r w:rsidR="00E061F9" w:rsidRPr="003A49C8">
        <w:rPr>
          <w:rFonts w:cs="Times New Roman"/>
          <w:szCs w:val="24"/>
        </w:rPr>
        <w:t>I</w:t>
      </w:r>
      <w:r w:rsidRPr="003A49C8">
        <w:rPr>
          <w:rFonts w:cs="Times New Roman"/>
          <w:szCs w:val="24"/>
        </w:rPr>
        <w:t xml:space="preserve">nvestment portfolios </w:t>
      </w:r>
      <w:r w:rsidR="00E061F9" w:rsidRPr="003A49C8">
        <w:rPr>
          <w:rFonts w:cs="Times New Roman"/>
          <w:szCs w:val="24"/>
        </w:rPr>
        <w:t xml:space="preserve">incorporating </w:t>
      </w:r>
      <w:r w:rsidRPr="003A49C8">
        <w:rPr>
          <w:rFonts w:cs="Times New Roman"/>
          <w:szCs w:val="24"/>
        </w:rPr>
        <w:t xml:space="preserve">ESG and financial ETFs are </w:t>
      </w:r>
      <w:r w:rsidR="00E061F9" w:rsidRPr="003A49C8">
        <w:rPr>
          <w:rFonts w:cs="Times New Roman"/>
          <w:szCs w:val="24"/>
        </w:rPr>
        <w:t>thus,</w:t>
      </w:r>
      <w:r w:rsidRPr="003A49C8">
        <w:rPr>
          <w:rFonts w:cs="Times New Roman"/>
          <w:szCs w:val="24"/>
        </w:rPr>
        <w:t xml:space="preserve"> exposed to </w:t>
      </w:r>
      <w:r w:rsidR="00E061F9" w:rsidRPr="003A49C8">
        <w:rPr>
          <w:rFonts w:cs="Times New Roman"/>
          <w:szCs w:val="24"/>
        </w:rPr>
        <w:t>risks beyond purely financial considerations</w:t>
      </w:r>
      <w:r w:rsidRPr="003A49C8">
        <w:rPr>
          <w:rFonts w:cs="Times New Roman"/>
          <w:szCs w:val="24"/>
        </w:rPr>
        <w:t xml:space="preserve">. From another perspective, although the SPYX </w:t>
      </w:r>
      <w:r w:rsidRPr="003A49C8">
        <w:rPr>
          <w:rFonts w:cs="Times New Roman"/>
          <w:szCs w:val="24"/>
        </w:rPr>
        <w:lastRenderedPageBreak/>
        <w:t xml:space="preserve">SPDR S&amp;P 500 Fossil Fuel Reserves Free ETF excludes companies that own fossil fuel reserves from the S&amp;P 500, it is top 10 largest positions are with high-tech companies, e.g., Apple, Microsoft, Amazon, Alphabet, Tesla, and NVIDIA. </w:t>
      </w:r>
      <w:r w:rsidR="002F3435" w:rsidRPr="003A49C8">
        <w:rPr>
          <w:rFonts w:cs="Times New Roman"/>
          <w:szCs w:val="24"/>
        </w:rPr>
        <w:t xml:space="preserve">Investments by companies in innovative technologies aimed at mitigating the risks associated with future epidemics can have significant implications in the realm of social science and ecological risk (Huang et al., 2022). The recalibration of equity markets in response to higher interest rates, as highlighted by </w:t>
      </w:r>
      <w:proofErr w:type="spellStart"/>
      <w:r w:rsidR="002F3435" w:rsidRPr="003A49C8">
        <w:rPr>
          <w:rFonts w:cs="Times New Roman"/>
          <w:szCs w:val="24"/>
        </w:rPr>
        <w:t>Roychowdhury</w:t>
      </w:r>
      <w:proofErr w:type="spellEnd"/>
      <w:r w:rsidR="002F3435" w:rsidRPr="003A49C8">
        <w:rPr>
          <w:rFonts w:cs="Times New Roman"/>
          <w:szCs w:val="24"/>
        </w:rPr>
        <w:t xml:space="preserve"> and Srinivasan (2019), may introduce market instability. However, prioritising responsible corporate behaviour has the potential to reduce volatility and subsequently lower risk, as noted by </w:t>
      </w:r>
      <w:proofErr w:type="spellStart"/>
      <w:r w:rsidR="002F3435" w:rsidRPr="003A49C8">
        <w:rPr>
          <w:rFonts w:cs="Times New Roman"/>
          <w:szCs w:val="24"/>
        </w:rPr>
        <w:t>Renn</w:t>
      </w:r>
      <w:proofErr w:type="spellEnd"/>
      <w:r w:rsidR="002F3435" w:rsidRPr="003A49C8">
        <w:rPr>
          <w:rFonts w:cs="Times New Roman"/>
          <w:szCs w:val="24"/>
        </w:rPr>
        <w:t xml:space="preserve"> et al. (2022). Consequently, ETFs with substantial allocations to technology stocks face heightened exposure to risk in this context. </w:t>
      </w:r>
      <w:r w:rsidR="00D11742" w:rsidRPr="003A49C8">
        <w:rPr>
          <w:rFonts w:cs="Times New Roman"/>
          <w:szCs w:val="24"/>
        </w:rPr>
        <w:t xml:space="preserve">While Iyer et al., (2020) find that specialised education </w:t>
      </w:r>
      <w:r w:rsidR="00841BD7" w:rsidRPr="003A49C8">
        <w:rPr>
          <w:rFonts w:cs="Times New Roman"/>
          <w:szCs w:val="24"/>
        </w:rPr>
        <w:t>of</w:t>
      </w:r>
      <w:r w:rsidR="00D11742" w:rsidRPr="003A49C8">
        <w:rPr>
          <w:rFonts w:cs="Times New Roman"/>
          <w:szCs w:val="24"/>
        </w:rPr>
        <w:t xml:space="preserve"> </w:t>
      </w:r>
      <w:r w:rsidR="00841BD7" w:rsidRPr="003A49C8">
        <w:rPr>
          <w:rFonts w:cs="Times New Roman"/>
          <w:szCs w:val="24"/>
        </w:rPr>
        <w:t xml:space="preserve">the </w:t>
      </w:r>
      <w:r w:rsidR="00D11742" w:rsidRPr="003A49C8">
        <w:rPr>
          <w:rFonts w:cs="Times New Roman"/>
          <w:szCs w:val="24"/>
        </w:rPr>
        <w:t>board of directors can reduce</w:t>
      </w:r>
      <w:r w:rsidR="002F3435" w:rsidRPr="003A49C8">
        <w:rPr>
          <w:rFonts w:cs="Times New Roman"/>
          <w:szCs w:val="24"/>
        </w:rPr>
        <w:t xml:space="preserve"> governance</w:t>
      </w:r>
      <w:r w:rsidR="00D11742" w:rsidRPr="003A49C8">
        <w:rPr>
          <w:rFonts w:cs="Times New Roman"/>
          <w:szCs w:val="24"/>
        </w:rPr>
        <w:t xml:space="preserve"> risks for high-tech companies, o</w:t>
      </w:r>
      <w:r w:rsidRPr="003A49C8">
        <w:rPr>
          <w:rFonts w:cs="Times New Roman"/>
          <w:szCs w:val="24"/>
        </w:rPr>
        <w:t xml:space="preserve">ur </w:t>
      </w:r>
      <w:r w:rsidR="00D11742" w:rsidRPr="003A49C8">
        <w:rPr>
          <w:rFonts w:cs="Times New Roman"/>
          <w:szCs w:val="24"/>
        </w:rPr>
        <w:t>findings</w:t>
      </w:r>
      <w:r w:rsidRPr="003A49C8">
        <w:rPr>
          <w:rFonts w:cs="Times New Roman"/>
          <w:szCs w:val="24"/>
        </w:rPr>
        <w:t xml:space="preserve"> suggest that investors should always check the </w:t>
      </w:r>
      <w:r w:rsidR="002F3435" w:rsidRPr="003A49C8">
        <w:rPr>
          <w:rFonts w:cs="Times New Roman"/>
          <w:szCs w:val="24"/>
        </w:rPr>
        <w:t xml:space="preserve">investment strategies </w:t>
      </w:r>
      <w:r w:rsidRPr="003A49C8">
        <w:rPr>
          <w:rFonts w:cs="Times New Roman"/>
          <w:szCs w:val="24"/>
        </w:rPr>
        <w:t>of ETF</w:t>
      </w:r>
      <w:r w:rsidR="002F3435" w:rsidRPr="003A49C8">
        <w:rPr>
          <w:rFonts w:cs="Times New Roman"/>
          <w:szCs w:val="24"/>
        </w:rPr>
        <w:t>s</w:t>
      </w:r>
      <w:r w:rsidRPr="003A49C8">
        <w:rPr>
          <w:rFonts w:cs="Times New Roman"/>
          <w:szCs w:val="24"/>
        </w:rPr>
        <w:t xml:space="preserve"> before investing</w:t>
      </w:r>
      <w:r w:rsidR="00D11742" w:rsidRPr="003A49C8">
        <w:rPr>
          <w:rFonts w:cs="Times New Roman"/>
          <w:szCs w:val="24"/>
        </w:rPr>
        <w:t>, especially given the potential for tail risk</w:t>
      </w:r>
      <w:r w:rsidRPr="003A49C8">
        <w:rPr>
          <w:rFonts w:cs="Times New Roman"/>
          <w:szCs w:val="24"/>
        </w:rPr>
        <w:t xml:space="preserve">. Regulation is another perspective from which we can observe and understand ETF differences. According to existing studies (e.g., </w:t>
      </w:r>
      <w:proofErr w:type="spellStart"/>
      <w:r w:rsidRPr="003A49C8">
        <w:rPr>
          <w:rFonts w:cs="Times New Roman"/>
          <w:szCs w:val="24"/>
        </w:rPr>
        <w:t>Lábaj</w:t>
      </w:r>
      <w:proofErr w:type="spellEnd"/>
      <w:r w:rsidRPr="003A49C8">
        <w:rPr>
          <w:rFonts w:cs="Times New Roman"/>
          <w:szCs w:val="24"/>
        </w:rPr>
        <w:t xml:space="preserve"> et al., 2018), healthcare ETFs are more strictly regulated than ESG and finance ETFs, and they pose more of a threat to firms that are not regulated.</w:t>
      </w:r>
    </w:p>
    <w:p w14:paraId="187EB61B" w14:textId="2CEAC5AE" w:rsidR="00613783" w:rsidRPr="003A49C8" w:rsidRDefault="00613783" w:rsidP="00FD15E6">
      <w:pPr>
        <w:ind w:firstLine="397"/>
        <w:rPr>
          <w:rFonts w:cs="Times New Roman"/>
          <w:szCs w:val="24"/>
        </w:rPr>
      </w:pPr>
      <w:r w:rsidRPr="003A49C8">
        <w:rPr>
          <w:rFonts w:cs="Times New Roman"/>
          <w:szCs w:val="24"/>
        </w:rPr>
        <w:t xml:space="preserve">As a result of comparing the tail quantiles and expected shortfalls among three panels in </w:t>
      </w:r>
      <w:r w:rsidR="00107485">
        <w:rPr>
          <w:rFonts w:cs="Times New Roman"/>
          <w:szCs w:val="24"/>
        </w:rPr>
        <w:t>Table I</w:t>
      </w:r>
      <w:r w:rsidRPr="003A49C8">
        <w:rPr>
          <w:rFonts w:cs="Times New Roman"/>
          <w:szCs w:val="24"/>
        </w:rPr>
        <w:t xml:space="preserve">, it is worth noting that TAN Invesco Solar ETF (in ESG ETFs, tail-VaR = 21.377%) and KBE SPDR S&amp;P Bank (in financial ETFs, tail-VaR = 19.2717%) have the highest 0.1% tail-VaR among the top-10 ETFs in both panels. TAN Invesco Solar ETF, for example, is expected to experience daily erosion of 21.377% or more in equity capital once every 1,000 days (approximately 3.8 years). Among the full sample of financial ETFs, the FNCL Fidelity MSCI Financials Index represents the highest expected shortfall (ES(x(p)) = 0.1%). The expected shortfall value of 70.5975% of </w:t>
      </w:r>
      <w:r w:rsidR="00841BD7" w:rsidRPr="003A49C8">
        <w:rPr>
          <w:rFonts w:cs="Times New Roman"/>
          <w:szCs w:val="24"/>
        </w:rPr>
        <w:t xml:space="preserve">the </w:t>
      </w:r>
      <w:r w:rsidRPr="003A49C8">
        <w:rPr>
          <w:rFonts w:cs="Times New Roman"/>
          <w:szCs w:val="24"/>
        </w:rPr>
        <w:t xml:space="preserve">FNCL Fidelity MSCI Financials Index represents the additional expected loss when the tail-VaR exceeds 10.6297% (when p = 0.1%). Further, the tail quantile and expected shortfall of financial ETFs have increased significantly during the economic recession, which indicates extreme losses. As we examine the ETFs at the three panels, ESGE iShares ESG Aware MSCI EM (8.2504% among ESG ETFs), XLV Health Care Select Sector (7.3304% among healthcare ETFs), and FNCL Fidelity MSCI Financials Index (10.6297% among finance ETFs) display the lowest tail quantiles. In contrast, XSOE WisdomTree Emerging Markets ex-State-Owned Enterprises Fund (7.4512% among ESG ETFs), IBB iShares Nasdaq Biotechnology (25.0324% among healthcare ETFs), and XLF Financial Select Sector (39.9366% among Financial ETFs) have the lowest expected shortfall </w:t>
      </w:r>
      <w:r w:rsidRPr="003A49C8">
        <w:rPr>
          <w:rFonts w:cs="Times New Roman"/>
          <w:szCs w:val="24"/>
        </w:rPr>
        <w:lastRenderedPageBreak/>
        <w:t>(</w:t>
      </w:r>
      <w:proofErr w:type="spellStart"/>
      <w:r w:rsidRPr="003A49C8">
        <w:rPr>
          <w:rFonts w:cs="Times New Roman"/>
          <w:szCs w:val="24"/>
        </w:rPr>
        <w:t>ESx</w:t>
      </w:r>
      <w:proofErr w:type="spellEnd"/>
      <w:r w:rsidRPr="003A49C8">
        <w:rPr>
          <w:rFonts w:cs="Times New Roman"/>
          <w:szCs w:val="24"/>
        </w:rPr>
        <w:t xml:space="preserve">(p)). </w:t>
      </w:r>
      <w:r w:rsidR="00062DBA" w:rsidRPr="003A49C8">
        <w:rPr>
          <w:rFonts w:cs="Times New Roman"/>
          <w:szCs w:val="24"/>
        </w:rPr>
        <w:t xml:space="preserve">Our findings contradict Cornell’s (2020) findings that highly rated ESG companies have lower risks and lower expected investment returns for investors. </w:t>
      </w:r>
      <w:r w:rsidR="008E2000" w:rsidRPr="003A49C8">
        <w:rPr>
          <w:rFonts w:cs="Times New Roman"/>
          <w:szCs w:val="24"/>
        </w:rPr>
        <w:t xml:space="preserve">However, the higher risk observed in ESG and financial ETFs, especially those with a specific focus on investment in mitigating ecological risks, could be attributed to factors such as under-regulation and competition. </w:t>
      </w:r>
      <w:r w:rsidR="00062DBA" w:rsidRPr="003A49C8">
        <w:rPr>
          <w:rFonts w:cs="Times New Roman"/>
          <w:szCs w:val="24"/>
        </w:rPr>
        <w:t xml:space="preserve">Furthermore, the rapidly growing development of advanced technologies has led to </w:t>
      </w:r>
      <w:r w:rsidRPr="003A49C8">
        <w:rPr>
          <w:rFonts w:cs="Times New Roman"/>
          <w:szCs w:val="24"/>
        </w:rPr>
        <w:t>new synergies between financial and non-financial activities that may cause systemic risks in the market for ESG and financial ETFs.</w:t>
      </w:r>
      <w:r w:rsidR="00062DBA" w:rsidRPr="003A49C8">
        <w:rPr>
          <w:rFonts w:cs="Times New Roman"/>
          <w:szCs w:val="24"/>
        </w:rPr>
        <w:t xml:space="preserve"> Therefore, investors should be cautious and carefully evaluate the composition and potential risks of ETF portfolio</w:t>
      </w:r>
      <w:r w:rsidR="00841BD7" w:rsidRPr="003A49C8">
        <w:rPr>
          <w:rFonts w:cs="Times New Roman"/>
          <w:szCs w:val="24"/>
        </w:rPr>
        <w:t>s</w:t>
      </w:r>
      <w:r w:rsidR="00062DBA" w:rsidRPr="003A49C8">
        <w:rPr>
          <w:rFonts w:cs="Times New Roman"/>
          <w:szCs w:val="24"/>
        </w:rPr>
        <w:t xml:space="preserve"> before investing.</w:t>
      </w:r>
    </w:p>
    <w:p w14:paraId="501CFB8E" w14:textId="77777777" w:rsidR="00613783" w:rsidRPr="003A49C8" w:rsidRDefault="00613783" w:rsidP="00B942AD">
      <w:pPr>
        <w:rPr>
          <w:rFonts w:cs="Times New Roman"/>
          <w:szCs w:val="24"/>
        </w:rPr>
      </w:pPr>
    </w:p>
    <w:p w14:paraId="02EB56F3" w14:textId="77777777" w:rsidR="00613783" w:rsidRPr="003A49C8" w:rsidRDefault="00613783" w:rsidP="00B942AD">
      <w:pPr>
        <w:rPr>
          <w:rFonts w:cs="Times New Roman"/>
          <w:szCs w:val="24"/>
        </w:rPr>
        <w:sectPr w:rsidR="00613783" w:rsidRPr="003A49C8" w:rsidSect="00AA49B7">
          <w:footerReference w:type="default" r:id="rId9"/>
          <w:pgSz w:w="11906" w:h="16838"/>
          <w:pgMar w:top="1440" w:right="1440" w:bottom="1440" w:left="1440" w:header="708" w:footer="708" w:gutter="0"/>
          <w:cols w:space="708"/>
          <w:docGrid w:linePitch="360"/>
        </w:sectPr>
      </w:pPr>
    </w:p>
    <w:p w14:paraId="773827F1" w14:textId="77B837F6" w:rsidR="00613783" w:rsidRPr="003A49C8" w:rsidRDefault="00613783" w:rsidP="00B942AD">
      <w:pPr>
        <w:pStyle w:val="Caption"/>
        <w:rPr>
          <w:rFonts w:ascii="Times New Roman" w:hAnsi="Times New Roman" w:cs="Times New Roman"/>
          <w:i w:val="0"/>
          <w:iCs w:val="0"/>
          <w:color w:val="auto"/>
          <w:sz w:val="24"/>
          <w:szCs w:val="24"/>
        </w:rPr>
      </w:pPr>
      <w:bookmarkStart w:id="11" w:name="_Hlk123793481"/>
      <w:r w:rsidRPr="003A49C8">
        <w:rPr>
          <w:rFonts w:ascii="Times New Roman" w:hAnsi="Times New Roman" w:cs="Times New Roman"/>
          <w:i w:val="0"/>
          <w:iCs w:val="0"/>
          <w:color w:val="auto"/>
          <w:sz w:val="24"/>
          <w:szCs w:val="24"/>
        </w:rPr>
        <w:lastRenderedPageBreak/>
        <w:t xml:space="preserve">Table </w:t>
      </w:r>
      <w:r w:rsidR="009C237B">
        <w:rPr>
          <w:rFonts w:ascii="Times New Roman" w:hAnsi="Times New Roman" w:cs="Times New Roman"/>
          <w:i w:val="0"/>
          <w:iCs w:val="0"/>
          <w:color w:val="auto"/>
          <w:sz w:val="24"/>
          <w:szCs w:val="24"/>
        </w:rPr>
        <w:t>I.</w:t>
      </w:r>
      <w:r w:rsidRPr="003A49C8">
        <w:rPr>
          <w:rFonts w:ascii="Times New Roman" w:hAnsi="Times New Roman" w:cs="Times New Roman"/>
          <w:i w:val="0"/>
          <w:iCs w:val="0"/>
          <w:color w:val="auto"/>
          <w:sz w:val="24"/>
          <w:szCs w:val="24"/>
        </w:rPr>
        <w:t xml:space="preserve"> Full samples </w:t>
      </w:r>
      <w:r w:rsidR="00F3019E" w:rsidRPr="003A49C8">
        <w:rPr>
          <w:rFonts w:ascii="Times New Roman" w:hAnsi="Times New Roman" w:cs="Times New Roman"/>
          <w:i w:val="0"/>
          <w:iCs w:val="0"/>
          <w:color w:val="auto"/>
          <w:sz w:val="24"/>
          <w:szCs w:val="24"/>
        </w:rPr>
        <w:t xml:space="preserve">estimates </w:t>
      </w:r>
      <w:r w:rsidRPr="003A49C8">
        <w:rPr>
          <w:rFonts w:ascii="Times New Roman" w:hAnsi="Times New Roman" w:cs="Times New Roman"/>
          <w:i w:val="0"/>
          <w:iCs w:val="0"/>
          <w:color w:val="auto"/>
          <w:sz w:val="24"/>
          <w:szCs w:val="24"/>
        </w:rPr>
        <w:t>of tail risk indicators for ESG, healthcare, and financial sectors</w:t>
      </w:r>
    </w:p>
    <w:tbl>
      <w:tblPr>
        <w:tblW w:w="5000" w:type="pct"/>
        <w:tblLook w:val="04A0" w:firstRow="1" w:lastRow="0" w:firstColumn="1" w:lastColumn="0" w:noHBand="0" w:noVBand="1"/>
      </w:tblPr>
      <w:tblGrid>
        <w:gridCol w:w="6120"/>
        <w:gridCol w:w="1042"/>
        <w:gridCol w:w="1041"/>
        <w:gridCol w:w="1041"/>
        <w:gridCol w:w="279"/>
        <w:gridCol w:w="1041"/>
        <w:gridCol w:w="1041"/>
        <w:gridCol w:w="279"/>
        <w:gridCol w:w="1041"/>
        <w:gridCol w:w="1033"/>
      </w:tblGrid>
      <w:tr w:rsidR="003A49C8" w:rsidRPr="003A49C8" w14:paraId="4E6E6073" w14:textId="77777777" w:rsidTr="00AA49B7">
        <w:trPr>
          <w:trHeight w:val="33"/>
        </w:trPr>
        <w:tc>
          <w:tcPr>
            <w:tcW w:w="2192" w:type="pct"/>
            <w:tcBorders>
              <w:top w:val="single" w:sz="8" w:space="0" w:color="auto"/>
              <w:left w:val="nil"/>
              <w:bottom w:val="nil"/>
              <w:right w:val="nil"/>
            </w:tcBorders>
            <w:shd w:val="clear" w:color="auto" w:fill="auto"/>
            <w:noWrap/>
            <w:vAlign w:val="center"/>
            <w:hideMark/>
          </w:tcPr>
          <w:p w14:paraId="40614E5F" w14:textId="77777777" w:rsidR="00613783" w:rsidRPr="003A49C8" w:rsidRDefault="00613783" w:rsidP="00E33705">
            <w:pPr>
              <w:spacing w:after="0" w:line="240" w:lineRule="auto"/>
              <w:rPr>
                <w:rFonts w:eastAsia="Times New Roman" w:cs="Times New Roman"/>
              </w:rPr>
            </w:pPr>
            <w:bookmarkStart w:id="12" w:name="_Hlk125312950"/>
            <w:r w:rsidRPr="003A49C8">
              <w:rPr>
                <w:rFonts w:eastAsia="Times New Roman" w:cs="Times New Roman"/>
              </w:rPr>
              <w:t> </w:t>
            </w:r>
          </w:p>
        </w:tc>
        <w:tc>
          <w:tcPr>
            <w:tcW w:w="373" w:type="pct"/>
            <w:vMerge w:val="restart"/>
            <w:tcBorders>
              <w:top w:val="single" w:sz="8" w:space="0" w:color="auto"/>
              <w:left w:val="nil"/>
              <w:right w:val="nil"/>
            </w:tcBorders>
            <w:shd w:val="clear" w:color="auto" w:fill="auto"/>
            <w:noWrap/>
            <w:vAlign w:val="center"/>
            <w:hideMark/>
          </w:tcPr>
          <w:p w14:paraId="70087C3C" w14:textId="77777777" w:rsidR="00613783" w:rsidRPr="003A49C8" w:rsidRDefault="00613783" w:rsidP="00E33705">
            <w:pPr>
              <w:spacing w:after="0" w:line="240" w:lineRule="auto"/>
              <w:jc w:val="center"/>
              <w:rPr>
                <w:rFonts w:eastAsia="Times New Roman" w:cs="Times New Roman"/>
                <w:b/>
                <w:bCs/>
                <w:sz w:val="16"/>
                <w:szCs w:val="16"/>
              </w:rPr>
            </w:pPr>
            <w:r w:rsidRPr="003A49C8">
              <w:rPr>
                <w:rFonts w:eastAsia="Times New Roman" w:cs="Times New Roman"/>
                <w:b/>
                <w:bCs/>
                <w:sz w:val="16"/>
                <w:szCs w:val="16"/>
              </w:rPr>
              <w:t>α</w:t>
            </w:r>
          </w:p>
        </w:tc>
        <w:tc>
          <w:tcPr>
            <w:tcW w:w="745" w:type="pct"/>
            <w:gridSpan w:val="2"/>
            <w:tcBorders>
              <w:top w:val="single" w:sz="8" w:space="0" w:color="auto"/>
              <w:left w:val="nil"/>
              <w:bottom w:val="single" w:sz="8" w:space="0" w:color="auto"/>
              <w:right w:val="nil"/>
            </w:tcBorders>
            <w:shd w:val="clear" w:color="auto" w:fill="auto"/>
            <w:noWrap/>
            <w:vAlign w:val="center"/>
            <w:hideMark/>
          </w:tcPr>
          <w:p w14:paraId="1092EEF4" w14:textId="77777777" w:rsidR="00613783" w:rsidRPr="003A49C8" w:rsidRDefault="00613783" w:rsidP="00E33705">
            <w:pPr>
              <w:spacing w:after="0" w:line="240" w:lineRule="auto"/>
              <w:rPr>
                <w:rFonts w:eastAsia="Times New Roman" w:cs="Times New Roman"/>
                <w:b/>
                <w:bCs/>
                <w:sz w:val="16"/>
                <w:szCs w:val="16"/>
              </w:rPr>
            </w:pPr>
            <w:r w:rsidRPr="003A49C8">
              <w:rPr>
                <w:rFonts w:eastAsia="Times New Roman" w:cs="Times New Roman"/>
                <w:b/>
                <w:bCs/>
                <w:sz w:val="16"/>
                <w:szCs w:val="16"/>
              </w:rPr>
              <w:t>x(p)</w:t>
            </w:r>
          </w:p>
        </w:tc>
        <w:tc>
          <w:tcPr>
            <w:tcW w:w="100" w:type="pct"/>
            <w:tcBorders>
              <w:top w:val="single" w:sz="8" w:space="0" w:color="auto"/>
              <w:left w:val="nil"/>
              <w:bottom w:val="nil"/>
              <w:right w:val="nil"/>
            </w:tcBorders>
            <w:shd w:val="clear" w:color="auto" w:fill="auto"/>
            <w:noWrap/>
            <w:vAlign w:val="center"/>
            <w:hideMark/>
          </w:tcPr>
          <w:p w14:paraId="6FE5C281" w14:textId="77777777" w:rsidR="00613783" w:rsidRPr="003A49C8" w:rsidRDefault="00613783" w:rsidP="00E33705">
            <w:pPr>
              <w:spacing w:after="0" w:line="240" w:lineRule="auto"/>
              <w:rPr>
                <w:rFonts w:eastAsia="Times New Roman" w:cs="Times New Roman"/>
                <w:b/>
                <w:bCs/>
                <w:sz w:val="16"/>
                <w:szCs w:val="16"/>
              </w:rPr>
            </w:pPr>
          </w:p>
        </w:tc>
        <w:tc>
          <w:tcPr>
            <w:tcW w:w="745" w:type="pct"/>
            <w:gridSpan w:val="2"/>
            <w:tcBorders>
              <w:top w:val="single" w:sz="8" w:space="0" w:color="auto"/>
              <w:left w:val="nil"/>
              <w:bottom w:val="single" w:sz="8" w:space="0" w:color="auto"/>
              <w:right w:val="nil"/>
            </w:tcBorders>
            <w:shd w:val="clear" w:color="auto" w:fill="auto"/>
            <w:noWrap/>
            <w:vAlign w:val="center"/>
            <w:hideMark/>
          </w:tcPr>
          <w:p w14:paraId="5C63D416" w14:textId="77777777" w:rsidR="00613783" w:rsidRPr="003A49C8" w:rsidRDefault="00613783" w:rsidP="00E33705">
            <w:pPr>
              <w:spacing w:after="0" w:line="240" w:lineRule="auto"/>
              <w:rPr>
                <w:rFonts w:eastAsia="Times New Roman" w:cs="Times New Roman"/>
                <w:b/>
                <w:bCs/>
                <w:sz w:val="16"/>
                <w:szCs w:val="16"/>
              </w:rPr>
            </w:pPr>
            <w:r w:rsidRPr="003A49C8">
              <w:rPr>
                <w:rFonts w:eastAsia="Times New Roman" w:cs="Times New Roman"/>
                <w:b/>
                <w:bCs/>
                <w:sz w:val="16"/>
                <w:szCs w:val="16"/>
              </w:rPr>
              <w:t>ES(x(p))</w:t>
            </w:r>
          </w:p>
        </w:tc>
        <w:tc>
          <w:tcPr>
            <w:tcW w:w="100" w:type="pct"/>
            <w:tcBorders>
              <w:top w:val="single" w:sz="8" w:space="0" w:color="auto"/>
              <w:left w:val="nil"/>
              <w:bottom w:val="nil"/>
              <w:right w:val="nil"/>
            </w:tcBorders>
            <w:shd w:val="clear" w:color="auto" w:fill="auto"/>
            <w:noWrap/>
            <w:vAlign w:val="center"/>
            <w:hideMark/>
          </w:tcPr>
          <w:p w14:paraId="7CCC2854" w14:textId="77777777" w:rsidR="00613783" w:rsidRPr="003A49C8" w:rsidRDefault="00613783" w:rsidP="00E33705">
            <w:pPr>
              <w:spacing w:after="0" w:line="240" w:lineRule="auto"/>
              <w:rPr>
                <w:rFonts w:eastAsia="Times New Roman" w:cs="Times New Roman"/>
                <w:b/>
                <w:bCs/>
                <w:sz w:val="16"/>
                <w:szCs w:val="16"/>
              </w:rPr>
            </w:pPr>
          </w:p>
        </w:tc>
        <w:tc>
          <w:tcPr>
            <w:tcW w:w="745" w:type="pct"/>
            <w:gridSpan w:val="2"/>
            <w:tcBorders>
              <w:top w:val="single" w:sz="8" w:space="0" w:color="auto"/>
              <w:left w:val="nil"/>
              <w:bottom w:val="single" w:sz="8" w:space="0" w:color="auto"/>
              <w:right w:val="nil"/>
            </w:tcBorders>
            <w:shd w:val="clear" w:color="auto" w:fill="auto"/>
            <w:noWrap/>
            <w:vAlign w:val="center"/>
            <w:hideMark/>
          </w:tcPr>
          <w:p w14:paraId="3F3424A3" w14:textId="77777777" w:rsidR="00613783" w:rsidRPr="003A49C8" w:rsidRDefault="00613783" w:rsidP="00E33705">
            <w:pPr>
              <w:spacing w:after="0" w:line="240" w:lineRule="auto"/>
              <w:rPr>
                <w:rFonts w:eastAsia="Times New Roman" w:cs="Times New Roman"/>
                <w:b/>
                <w:bCs/>
                <w:sz w:val="16"/>
                <w:szCs w:val="16"/>
              </w:rPr>
            </w:pPr>
            <w:r w:rsidRPr="003A49C8">
              <w:rPr>
                <w:rFonts w:eastAsia="Times New Roman" w:cs="Times New Roman"/>
                <w:b/>
                <w:bCs/>
                <w:sz w:val="16"/>
                <w:szCs w:val="16"/>
              </w:rPr>
              <w:t>ES(X&gt;s)</w:t>
            </w:r>
          </w:p>
        </w:tc>
      </w:tr>
      <w:tr w:rsidR="003A49C8" w:rsidRPr="003A49C8" w14:paraId="3AE8EB04" w14:textId="77777777" w:rsidTr="00E33705">
        <w:trPr>
          <w:trHeight w:val="194"/>
        </w:trPr>
        <w:tc>
          <w:tcPr>
            <w:tcW w:w="2192" w:type="pct"/>
            <w:tcBorders>
              <w:top w:val="nil"/>
              <w:left w:val="nil"/>
              <w:bottom w:val="single" w:sz="8" w:space="0" w:color="auto"/>
              <w:right w:val="nil"/>
            </w:tcBorders>
            <w:shd w:val="clear" w:color="auto" w:fill="auto"/>
            <w:noWrap/>
            <w:vAlign w:val="center"/>
            <w:hideMark/>
          </w:tcPr>
          <w:p w14:paraId="7B76F071" w14:textId="77777777" w:rsidR="00613783" w:rsidRPr="003A49C8" w:rsidRDefault="00613783" w:rsidP="00E33705">
            <w:pPr>
              <w:spacing w:after="0" w:line="240" w:lineRule="auto"/>
              <w:rPr>
                <w:rFonts w:eastAsia="Times New Roman" w:cs="Times New Roman"/>
              </w:rPr>
            </w:pPr>
            <w:r w:rsidRPr="003A49C8">
              <w:rPr>
                <w:rFonts w:eastAsia="Times New Roman" w:cs="Times New Roman"/>
              </w:rPr>
              <w:t> </w:t>
            </w:r>
          </w:p>
        </w:tc>
        <w:tc>
          <w:tcPr>
            <w:tcW w:w="373" w:type="pct"/>
            <w:vMerge/>
            <w:tcBorders>
              <w:left w:val="nil"/>
              <w:bottom w:val="single" w:sz="8" w:space="0" w:color="000000"/>
              <w:right w:val="nil"/>
            </w:tcBorders>
            <w:vAlign w:val="center"/>
            <w:hideMark/>
          </w:tcPr>
          <w:p w14:paraId="1CF328FF" w14:textId="77777777" w:rsidR="00613783" w:rsidRPr="003A49C8" w:rsidRDefault="00613783" w:rsidP="00E33705">
            <w:pPr>
              <w:spacing w:after="0" w:line="240" w:lineRule="auto"/>
              <w:rPr>
                <w:rFonts w:eastAsia="Times New Roman" w:cs="Times New Roman"/>
                <w:b/>
                <w:bCs/>
                <w:sz w:val="16"/>
                <w:szCs w:val="16"/>
              </w:rPr>
            </w:pPr>
          </w:p>
        </w:tc>
        <w:tc>
          <w:tcPr>
            <w:tcW w:w="373" w:type="pct"/>
            <w:tcBorders>
              <w:top w:val="single" w:sz="8" w:space="0" w:color="auto"/>
              <w:left w:val="nil"/>
              <w:bottom w:val="single" w:sz="8" w:space="0" w:color="auto"/>
              <w:right w:val="nil"/>
            </w:tcBorders>
            <w:shd w:val="clear" w:color="auto" w:fill="auto"/>
            <w:noWrap/>
            <w:vAlign w:val="center"/>
            <w:hideMark/>
          </w:tcPr>
          <w:p w14:paraId="3778818C" w14:textId="77777777" w:rsidR="00613783" w:rsidRPr="003A49C8" w:rsidRDefault="00613783" w:rsidP="00E33705">
            <w:pPr>
              <w:spacing w:after="0" w:line="240" w:lineRule="auto"/>
              <w:rPr>
                <w:rFonts w:eastAsia="Times New Roman" w:cs="Times New Roman"/>
                <w:b/>
                <w:bCs/>
                <w:sz w:val="16"/>
                <w:szCs w:val="16"/>
              </w:rPr>
            </w:pPr>
            <w:r w:rsidRPr="003A49C8">
              <w:rPr>
                <w:rFonts w:eastAsia="Times New Roman" w:cs="Times New Roman"/>
                <w:b/>
                <w:bCs/>
                <w:sz w:val="16"/>
                <w:szCs w:val="16"/>
              </w:rPr>
              <w:t>p=0.1%</w:t>
            </w:r>
          </w:p>
        </w:tc>
        <w:tc>
          <w:tcPr>
            <w:tcW w:w="373" w:type="pct"/>
            <w:tcBorders>
              <w:top w:val="single" w:sz="8" w:space="0" w:color="auto"/>
              <w:left w:val="nil"/>
              <w:bottom w:val="single" w:sz="8" w:space="0" w:color="auto"/>
              <w:right w:val="nil"/>
            </w:tcBorders>
            <w:shd w:val="clear" w:color="auto" w:fill="auto"/>
            <w:noWrap/>
            <w:vAlign w:val="center"/>
            <w:hideMark/>
          </w:tcPr>
          <w:p w14:paraId="250EB991" w14:textId="77777777" w:rsidR="00613783" w:rsidRPr="003A49C8" w:rsidRDefault="00613783" w:rsidP="00E33705">
            <w:pPr>
              <w:spacing w:after="0" w:line="240" w:lineRule="auto"/>
              <w:rPr>
                <w:rFonts w:eastAsia="Times New Roman" w:cs="Times New Roman"/>
                <w:b/>
                <w:bCs/>
                <w:sz w:val="16"/>
                <w:szCs w:val="16"/>
              </w:rPr>
            </w:pPr>
            <w:r w:rsidRPr="003A49C8">
              <w:rPr>
                <w:rFonts w:eastAsia="Times New Roman" w:cs="Times New Roman"/>
                <w:b/>
                <w:bCs/>
                <w:sz w:val="16"/>
                <w:szCs w:val="16"/>
              </w:rPr>
              <w:t>p=0.2%</w:t>
            </w:r>
          </w:p>
        </w:tc>
        <w:tc>
          <w:tcPr>
            <w:tcW w:w="100" w:type="pct"/>
            <w:tcBorders>
              <w:top w:val="nil"/>
              <w:left w:val="nil"/>
              <w:bottom w:val="nil"/>
              <w:right w:val="nil"/>
            </w:tcBorders>
            <w:shd w:val="clear" w:color="auto" w:fill="auto"/>
            <w:noWrap/>
            <w:vAlign w:val="center"/>
            <w:hideMark/>
          </w:tcPr>
          <w:p w14:paraId="40F1C41F" w14:textId="77777777" w:rsidR="00613783" w:rsidRPr="003A49C8" w:rsidRDefault="00613783" w:rsidP="00E33705">
            <w:pPr>
              <w:spacing w:after="0" w:line="240" w:lineRule="auto"/>
              <w:rPr>
                <w:rFonts w:eastAsia="Times New Roman" w:cs="Times New Roman"/>
                <w:b/>
                <w:bCs/>
                <w:sz w:val="16"/>
                <w:szCs w:val="16"/>
              </w:rPr>
            </w:pPr>
          </w:p>
        </w:tc>
        <w:tc>
          <w:tcPr>
            <w:tcW w:w="373" w:type="pct"/>
            <w:tcBorders>
              <w:top w:val="nil"/>
              <w:left w:val="nil"/>
              <w:bottom w:val="single" w:sz="8" w:space="0" w:color="auto"/>
              <w:right w:val="nil"/>
            </w:tcBorders>
            <w:shd w:val="clear" w:color="auto" w:fill="auto"/>
            <w:noWrap/>
            <w:vAlign w:val="center"/>
            <w:hideMark/>
          </w:tcPr>
          <w:p w14:paraId="15FDA7F0" w14:textId="77777777" w:rsidR="00613783" w:rsidRPr="003A49C8" w:rsidRDefault="00613783" w:rsidP="00E33705">
            <w:pPr>
              <w:spacing w:after="0" w:line="240" w:lineRule="auto"/>
              <w:rPr>
                <w:rFonts w:eastAsia="Times New Roman" w:cs="Times New Roman"/>
                <w:b/>
                <w:bCs/>
                <w:sz w:val="16"/>
                <w:szCs w:val="16"/>
              </w:rPr>
            </w:pPr>
            <w:r w:rsidRPr="003A49C8">
              <w:rPr>
                <w:rFonts w:eastAsia="Times New Roman" w:cs="Times New Roman"/>
                <w:b/>
                <w:bCs/>
                <w:sz w:val="16"/>
                <w:szCs w:val="16"/>
              </w:rPr>
              <w:t>p=0.1%</w:t>
            </w:r>
          </w:p>
        </w:tc>
        <w:tc>
          <w:tcPr>
            <w:tcW w:w="373" w:type="pct"/>
            <w:tcBorders>
              <w:top w:val="nil"/>
              <w:left w:val="nil"/>
              <w:bottom w:val="single" w:sz="8" w:space="0" w:color="auto"/>
              <w:right w:val="nil"/>
            </w:tcBorders>
            <w:shd w:val="clear" w:color="auto" w:fill="auto"/>
            <w:noWrap/>
            <w:vAlign w:val="center"/>
            <w:hideMark/>
          </w:tcPr>
          <w:p w14:paraId="3F207163" w14:textId="77777777" w:rsidR="00613783" w:rsidRPr="003A49C8" w:rsidRDefault="00613783" w:rsidP="00E33705">
            <w:pPr>
              <w:spacing w:after="0" w:line="240" w:lineRule="auto"/>
              <w:rPr>
                <w:rFonts w:eastAsia="Times New Roman" w:cs="Times New Roman"/>
                <w:b/>
                <w:bCs/>
                <w:sz w:val="16"/>
                <w:szCs w:val="16"/>
              </w:rPr>
            </w:pPr>
            <w:r w:rsidRPr="003A49C8">
              <w:rPr>
                <w:rFonts w:eastAsia="Times New Roman" w:cs="Times New Roman"/>
                <w:b/>
                <w:bCs/>
                <w:sz w:val="16"/>
                <w:szCs w:val="16"/>
              </w:rPr>
              <w:t>p=0.2%</w:t>
            </w:r>
          </w:p>
        </w:tc>
        <w:tc>
          <w:tcPr>
            <w:tcW w:w="100" w:type="pct"/>
            <w:tcBorders>
              <w:top w:val="nil"/>
              <w:left w:val="nil"/>
              <w:bottom w:val="nil"/>
              <w:right w:val="nil"/>
            </w:tcBorders>
            <w:shd w:val="clear" w:color="auto" w:fill="auto"/>
            <w:noWrap/>
            <w:vAlign w:val="center"/>
            <w:hideMark/>
          </w:tcPr>
          <w:p w14:paraId="5AAABC94" w14:textId="77777777" w:rsidR="00613783" w:rsidRPr="003A49C8" w:rsidRDefault="00613783" w:rsidP="00E33705">
            <w:pPr>
              <w:spacing w:after="0" w:line="240" w:lineRule="auto"/>
              <w:rPr>
                <w:rFonts w:eastAsia="Times New Roman" w:cs="Times New Roman"/>
                <w:b/>
                <w:bCs/>
                <w:sz w:val="16"/>
                <w:szCs w:val="16"/>
              </w:rPr>
            </w:pPr>
          </w:p>
        </w:tc>
        <w:tc>
          <w:tcPr>
            <w:tcW w:w="373" w:type="pct"/>
            <w:tcBorders>
              <w:top w:val="nil"/>
              <w:left w:val="nil"/>
              <w:bottom w:val="single" w:sz="8" w:space="0" w:color="auto"/>
              <w:right w:val="nil"/>
            </w:tcBorders>
            <w:shd w:val="clear" w:color="auto" w:fill="auto"/>
            <w:noWrap/>
            <w:vAlign w:val="center"/>
            <w:hideMark/>
          </w:tcPr>
          <w:p w14:paraId="63115CE5" w14:textId="77777777" w:rsidR="00613783" w:rsidRPr="003A49C8" w:rsidRDefault="00613783" w:rsidP="00E33705">
            <w:pPr>
              <w:spacing w:after="0" w:line="240" w:lineRule="auto"/>
              <w:rPr>
                <w:rFonts w:eastAsia="Times New Roman" w:cs="Times New Roman"/>
                <w:b/>
                <w:bCs/>
                <w:sz w:val="16"/>
                <w:szCs w:val="16"/>
              </w:rPr>
            </w:pPr>
            <w:r w:rsidRPr="003A49C8">
              <w:rPr>
                <w:rFonts w:eastAsia="Times New Roman" w:cs="Times New Roman"/>
                <w:b/>
                <w:bCs/>
                <w:sz w:val="16"/>
                <w:szCs w:val="16"/>
              </w:rPr>
              <w:t>s=25%</w:t>
            </w:r>
          </w:p>
        </w:tc>
        <w:tc>
          <w:tcPr>
            <w:tcW w:w="373" w:type="pct"/>
            <w:tcBorders>
              <w:top w:val="nil"/>
              <w:left w:val="nil"/>
              <w:bottom w:val="single" w:sz="8" w:space="0" w:color="auto"/>
              <w:right w:val="nil"/>
            </w:tcBorders>
            <w:shd w:val="clear" w:color="auto" w:fill="auto"/>
            <w:noWrap/>
            <w:vAlign w:val="center"/>
            <w:hideMark/>
          </w:tcPr>
          <w:p w14:paraId="2C25A2F2" w14:textId="77777777" w:rsidR="00613783" w:rsidRPr="003A49C8" w:rsidRDefault="00613783" w:rsidP="00E33705">
            <w:pPr>
              <w:spacing w:after="0" w:line="240" w:lineRule="auto"/>
              <w:rPr>
                <w:rFonts w:eastAsia="Times New Roman" w:cs="Times New Roman"/>
                <w:b/>
                <w:bCs/>
                <w:sz w:val="16"/>
                <w:szCs w:val="16"/>
              </w:rPr>
            </w:pPr>
            <w:r w:rsidRPr="003A49C8">
              <w:rPr>
                <w:rFonts w:eastAsia="Times New Roman" w:cs="Times New Roman"/>
                <w:b/>
                <w:bCs/>
                <w:sz w:val="16"/>
                <w:szCs w:val="16"/>
              </w:rPr>
              <w:t>s=50%</w:t>
            </w:r>
          </w:p>
        </w:tc>
      </w:tr>
      <w:tr w:rsidR="003A49C8" w:rsidRPr="003A49C8" w14:paraId="6409450B" w14:textId="77777777" w:rsidTr="00343F9E">
        <w:trPr>
          <w:trHeight w:val="33"/>
        </w:trPr>
        <w:tc>
          <w:tcPr>
            <w:tcW w:w="2192" w:type="pct"/>
            <w:tcBorders>
              <w:top w:val="nil"/>
              <w:left w:val="nil"/>
              <w:bottom w:val="nil"/>
              <w:right w:val="nil"/>
            </w:tcBorders>
            <w:shd w:val="clear" w:color="auto" w:fill="auto"/>
            <w:noWrap/>
            <w:vAlign w:val="center"/>
            <w:hideMark/>
          </w:tcPr>
          <w:p w14:paraId="148CCEC6" w14:textId="77777777" w:rsidR="00613783" w:rsidRPr="003A49C8" w:rsidRDefault="00613783" w:rsidP="00E33705">
            <w:pPr>
              <w:spacing w:after="0" w:line="240" w:lineRule="auto"/>
              <w:rPr>
                <w:rFonts w:eastAsia="Times New Roman" w:cs="Times New Roman"/>
                <w:b/>
                <w:bCs/>
                <w:sz w:val="16"/>
                <w:szCs w:val="16"/>
              </w:rPr>
            </w:pPr>
            <w:r w:rsidRPr="003A49C8">
              <w:rPr>
                <w:rFonts w:eastAsia="Times New Roman" w:cs="Times New Roman"/>
                <w:b/>
                <w:bCs/>
                <w:sz w:val="16"/>
                <w:szCs w:val="16"/>
              </w:rPr>
              <w:t>Panel I: ESG ETFs, m = 300</w:t>
            </w:r>
          </w:p>
        </w:tc>
        <w:tc>
          <w:tcPr>
            <w:tcW w:w="373" w:type="pct"/>
            <w:tcBorders>
              <w:top w:val="nil"/>
              <w:left w:val="nil"/>
              <w:bottom w:val="nil"/>
              <w:right w:val="nil"/>
            </w:tcBorders>
            <w:shd w:val="clear" w:color="auto" w:fill="auto"/>
            <w:noWrap/>
            <w:vAlign w:val="center"/>
            <w:hideMark/>
          </w:tcPr>
          <w:p w14:paraId="78E53EFE" w14:textId="77777777" w:rsidR="00613783" w:rsidRPr="003A49C8" w:rsidRDefault="00613783" w:rsidP="00E33705">
            <w:pPr>
              <w:spacing w:after="0" w:line="240" w:lineRule="auto"/>
              <w:rPr>
                <w:rFonts w:eastAsia="Times New Roman" w:cs="Times New Roman"/>
                <w:b/>
                <w:bCs/>
                <w:sz w:val="16"/>
                <w:szCs w:val="16"/>
              </w:rPr>
            </w:pPr>
          </w:p>
        </w:tc>
        <w:tc>
          <w:tcPr>
            <w:tcW w:w="373" w:type="pct"/>
            <w:tcBorders>
              <w:top w:val="nil"/>
              <w:left w:val="nil"/>
              <w:bottom w:val="nil"/>
              <w:right w:val="nil"/>
            </w:tcBorders>
            <w:shd w:val="clear" w:color="auto" w:fill="auto"/>
            <w:noWrap/>
            <w:vAlign w:val="center"/>
            <w:hideMark/>
          </w:tcPr>
          <w:p w14:paraId="0DAE97E7" w14:textId="77777777" w:rsidR="00613783" w:rsidRPr="003A49C8" w:rsidRDefault="00613783" w:rsidP="00E33705">
            <w:pPr>
              <w:spacing w:after="0" w:line="240" w:lineRule="auto"/>
              <w:rPr>
                <w:rFonts w:eastAsia="Times New Roman" w:cs="Times New Roman"/>
                <w:sz w:val="20"/>
                <w:szCs w:val="20"/>
              </w:rPr>
            </w:pPr>
          </w:p>
        </w:tc>
        <w:tc>
          <w:tcPr>
            <w:tcW w:w="373" w:type="pct"/>
            <w:tcBorders>
              <w:top w:val="nil"/>
              <w:left w:val="nil"/>
              <w:bottom w:val="nil"/>
              <w:right w:val="nil"/>
            </w:tcBorders>
            <w:shd w:val="clear" w:color="auto" w:fill="auto"/>
            <w:noWrap/>
            <w:vAlign w:val="center"/>
            <w:hideMark/>
          </w:tcPr>
          <w:p w14:paraId="7E0635AE" w14:textId="77777777" w:rsidR="00613783" w:rsidRPr="003A49C8" w:rsidRDefault="00613783" w:rsidP="00E33705">
            <w:pPr>
              <w:spacing w:after="0" w:line="240" w:lineRule="auto"/>
              <w:rPr>
                <w:rFonts w:eastAsia="Times New Roman" w:cs="Times New Roman"/>
                <w:sz w:val="20"/>
                <w:szCs w:val="20"/>
              </w:rPr>
            </w:pPr>
          </w:p>
        </w:tc>
        <w:tc>
          <w:tcPr>
            <w:tcW w:w="100" w:type="pct"/>
            <w:tcBorders>
              <w:top w:val="nil"/>
              <w:left w:val="nil"/>
              <w:bottom w:val="nil"/>
              <w:right w:val="nil"/>
            </w:tcBorders>
            <w:shd w:val="clear" w:color="auto" w:fill="auto"/>
            <w:noWrap/>
            <w:vAlign w:val="center"/>
            <w:hideMark/>
          </w:tcPr>
          <w:p w14:paraId="4F466054" w14:textId="77777777" w:rsidR="00613783" w:rsidRPr="003A49C8" w:rsidRDefault="00613783" w:rsidP="00E33705">
            <w:pPr>
              <w:spacing w:after="0" w:line="240" w:lineRule="auto"/>
              <w:rPr>
                <w:rFonts w:eastAsia="Times New Roman" w:cs="Times New Roman"/>
                <w:sz w:val="20"/>
                <w:szCs w:val="20"/>
              </w:rPr>
            </w:pPr>
          </w:p>
        </w:tc>
        <w:tc>
          <w:tcPr>
            <w:tcW w:w="373" w:type="pct"/>
            <w:tcBorders>
              <w:top w:val="nil"/>
              <w:left w:val="nil"/>
              <w:bottom w:val="nil"/>
              <w:right w:val="nil"/>
            </w:tcBorders>
            <w:shd w:val="clear" w:color="auto" w:fill="auto"/>
            <w:noWrap/>
            <w:vAlign w:val="center"/>
            <w:hideMark/>
          </w:tcPr>
          <w:p w14:paraId="59EA43C4" w14:textId="77777777" w:rsidR="00613783" w:rsidRPr="003A49C8" w:rsidRDefault="00613783" w:rsidP="00E33705">
            <w:pPr>
              <w:spacing w:after="0" w:line="240" w:lineRule="auto"/>
              <w:rPr>
                <w:rFonts w:eastAsia="Times New Roman" w:cs="Times New Roman"/>
                <w:sz w:val="20"/>
                <w:szCs w:val="20"/>
              </w:rPr>
            </w:pPr>
          </w:p>
        </w:tc>
        <w:tc>
          <w:tcPr>
            <w:tcW w:w="373" w:type="pct"/>
            <w:tcBorders>
              <w:top w:val="nil"/>
              <w:left w:val="nil"/>
              <w:bottom w:val="nil"/>
              <w:right w:val="nil"/>
            </w:tcBorders>
            <w:shd w:val="clear" w:color="auto" w:fill="auto"/>
            <w:noWrap/>
            <w:vAlign w:val="center"/>
            <w:hideMark/>
          </w:tcPr>
          <w:p w14:paraId="0B369A76" w14:textId="77777777" w:rsidR="00613783" w:rsidRPr="003A49C8" w:rsidRDefault="00613783" w:rsidP="00E33705">
            <w:pPr>
              <w:spacing w:after="0" w:line="240" w:lineRule="auto"/>
              <w:rPr>
                <w:rFonts w:eastAsia="Times New Roman" w:cs="Times New Roman"/>
                <w:sz w:val="20"/>
                <w:szCs w:val="20"/>
              </w:rPr>
            </w:pPr>
          </w:p>
        </w:tc>
        <w:tc>
          <w:tcPr>
            <w:tcW w:w="100" w:type="pct"/>
            <w:tcBorders>
              <w:top w:val="nil"/>
              <w:left w:val="nil"/>
              <w:bottom w:val="nil"/>
              <w:right w:val="nil"/>
            </w:tcBorders>
            <w:shd w:val="clear" w:color="auto" w:fill="auto"/>
            <w:noWrap/>
            <w:vAlign w:val="center"/>
            <w:hideMark/>
          </w:tcPr>
          <w:p w14:paraId="48D055B1" w14:textId="77777777" w:rsidR="00613783" w:rsidRPr="003A49C8" w:rsidRDefault="00613783" w:rsidP="00E33705">
            <w:pPr>
              <w:spacing w:after="0" w:line="240" w:lineRule="auto"/>
              <w:rPr>
                <w:rFonts w:eastAsia="Times New Roman" w:cs="Times New Roman"/>
                <w:sz w:val="20"/>
                <w:szCs w:val="20"/>
              </w:rPr>
            </w:pPr>
          </w:p>
        </w:tc>
        <w:tc>
          <w:tcPr>
            <w:tcW w:w="373" w:type="pct"/>
            <w:tcBorders>
              <w:top w:val="nil"/>
              <w:left w:val="nil"/>
              <w:bottom w:val="nil"/>
              <w:right w:val="nil"/>
            </w:tcBorders>
            <w:shd w:val="clear" w:color="auto" w:fill="auto"/>
            <w:noWrap/>
            <w:vAlign w:val="center"/>
            <w:hideMark/>
          </w:tcPr>
          <w:p w14:paraId="7B74434F" w14:textId="77777777" w:rsidR="00613783" w:rsidRPr="003A49C8" w:rsidRDefault="00613783" w:rsidP="00E33705">
            <w:pPr>
              <w:spacing w:after="0" w:line="240" w:lineRule="auto"/>
              <w:rPr>
                <w:rFonts w:eastAsia="Times New Roman" w:cs="Times New Roman"/>
                <w:sz w:val="20"/>
                <w:szCs w:val="20"/>
              </w:rPr>
            </w:pPr>
          </w:p>
        </w:tc>
        <w:tc>
          <w:tcPr>
            <w:tcW w:w="373" w:type="pct"/>
            <w:tcBorders>
              <w:top w:val="nil"/>
              <w:left w:val="nil"/>
              <w:bottom w:val="nil"/>
              <w:right w:val="nil"/>
            </w:tcBorders>
            <w:shd w:val="clear" w:color="auto" w:fill="auto"/>
            <w:noWrap/>
            <w:vAlign w:val="center"/>
            <w:hideMark/>
          </w:tcPr>
          <w:p w14:paraId="36473000" w14:textId="77777777" w:rsidR="00613783" w:rsidRPr="003A49C8" w:rsidRDefault="00613783" w:rsidP="00E33705">
            <w:pPr>
              <w:spacing w:after="0" w:line="240" w:lineRule="auto"/>
              <w:rPr>
                <w:rFonts w:eastAsia="Times New Roman" w:cs="Times New Roman"/>
                <w:sz w:val="20"/>
                <w:szCs w:val="20"/>
              </w:rPr>
            </w:pPr>
          </w:p>
        </w:tc>
      </w:tr>
      <w:tr w:rsidR="003A49C8" w:rsidRPr="003A49C8" w14:paraId="64DCFFDC" w14:textId="77777777" w:rsidTr="00343F9E">
        <w:trPr>
          <w:trHeight w:val="53"/>
        </w:trPr>
        <w:tc>
          <w:tcPr>
            <w:tcW w:w="2192" w:type="pct"/>
            <w:tcBorders>
              <w:top w:val="nil"/>
              <w:left w:val="nil"/>
              <w:bottom w:val="nil"/>
              <w:right w:val="nil"/>
            </w:tcBorders>
            <w:shd w:val="clear" w:color="auto" w:fill="auto"/>
            <w:noWrap/>
            <w:vAlign w:val="center"/>
            <w:hideMark/>
          </w:tcPr>
          <w:p w14:paraId="52AA970E" w14:textId="62E6F1EC"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DSI iShares MSCI KLD 400 Social</w:t>
            </w:r>
            <w:r w:rsidR="00946D2A" w:rsidRPr="003A49C8">
              <w:rPr>
                <w:rFonts w:eastAsia="Times New Roman" w:cs="Times New Roman"/>
                <w:sz w:val="16"/>
                <w:szCs w:val="16"/>
              </w:rPr>
              <w:t xml:space="preserve"> </w:t>
            </w:r>
            <w:r w:rsidR="00C55389" w:rsidRPr="003A49C8">
              <w:rPr>
                <w:rFonts w:eastAsia="Times New Roman" w:cs="Times New Roman"/>
                <w:sz w:val="16"/>
                <w:szCs w:val="16"/>
              </w:rPr>
              <w:t>ETF</w:t>
            </w:r>
          </w:p>
        </w:tc>
        <w:tc>
          <w:tcPr>
            <w:tcW w:w="373" w:type="pct"/>
            <w:tcBorders>
              <w:top w:val="nil"/>
              <w:left w:val="nil"/>
              <w:bottom w:val="nil"/>
              <w:right w:val="nil"/>
            </w:tcBorders>
            <w:shd w:val="clear" w:color="auto" w:fill="auto"/>
            <w:noWrap/>
            <w:vAlign w:val="center"/>
            <w:hideMark/>
          </w:tcPr>
          <w:p w14:paraId="7571C8AD"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2.186282</w:t>
            </w:r>
          </w:p>
        </w:tc>
        <w:tc>
          <w:tcPr>
            <w:tcW w:w="373" w:type="pct"/>
            <w:tcBorders>
              <w:top w:val="nil"/>
              <w:left w:val="nil"/>
              <w:bottom w:val="nil"/>
              <w:right w:val="nil"/>
            </w:tcBorders>
            <w:shd w:val="clear" w:color="auto" w:fill="auto"/>
            <w:noWrap/>
            <w:vAlign w:val="center"/>
            <w:hideMark/>
          </w:tcPr>
          <w:p w14:paraId="292C97D3"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0.11353</w:t>
            </w:r>
          </w:p>
        </w:tc>
        <w:tc>
          <w:tcPr>
            <w:tcW w:w="373" w:type="pct"/>
            <w:tcBorders>
              <w:top w:val="nil"/>
              <w:left w:val="nil"/>
              <w:bottom w:val="nil"/>
              <w:right w:val="nil"/>
            </w:tcBorders>
            <w:shd w:val="clear" w:color="auto" w:fill="auto"/>
            <w:noWrap/>
            <w:vAlign w:val="center"/>
            <w:hideMark/>
          </w:tcPr>
          <w:p w14:paraId="2EC9409C"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0.082684</w:t>
            </w:r>
          </w:p>
        </w:tc>
        <w:tc>
          <w:tcPr>
            <w:tcW w:w="100" w:type="pct"/>
            <w:tcBorders>
              <w:top w:val="nil"/>
              <w:left w:val="nil"/>
              <w:bottom w:val="nil"/>
              <w:right w:val="nil"/>
            </w:tcBorders>
            <w:shd w:val="clear" w:color="auto" w:fill="auto"/>
            <w:noWrap/>
            <w:vAlign w:val="center"/>
            <w:hideMark/>
          </w:tcPr>
          <w:p w14:paraId="79C07B08"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683CE45B"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0.095702</w:t>
            </w:r>
          </w:p>
        </w:tc>
        <w:tc>
          <w:tcPr>
            <w:tcW w:w="373" w:type="pct"/>
            <w:tcBorders>
              <w:top w:val="nil"/>
              <w:left w:val="nil"/>
              <w:bottom w:val="nil"/>
              <w:right w:val="nil"/>
            </w:tcBorders>
            <w:shd w:val="clear" w:color="auto" w:fill="auto"/>
            <w:noWrap/>
            <w:vAlign w:val="center"/>
            <w:hideMark/>
          </w:tcPr>
          <w:p w14:paraId="03115A0B"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0.0697</w:t>
            </w:r>
          </w:p>
        </w:tc>
        <w:tc>
          <w:tcPr>
            <w:tcW w:w="100" w:type="pct"/>
            <w:tcBorders>
              <w:top w:val="nil"/>
              <w:left w:val="nil"/>
              <w:bottom w:val="nil"/>
              <w:right w:val="nil"/>
            </w:tcBorders>
            <w:shd w:val="clear" w:color="auto" w:fill="auto"/>
            <w:noWrap/>
            <w:vAlign w:val="center"/>
            <w:hideMark/>
          </w:tcPr>
          <w:p w14:paraId="4BB80973"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6E4F561F"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0.210742</w:t>
            </w:r>
          </w:p>
        </w:tc>
        <w:tc>
          <w:tcPr>
            <w:tcW w:w="373" w:type="pct"/>
            <w:tcBorders>
              <w:top w:val="nil"/>
              <w:left w:val="nil"/>
              <w:bottom w:val="nil"/>
              <w:right w:val="nil"/>
            </w:tcBorders>
            <w:shd w:val="clear" w:color="auto" w:fill="auto"/>
            <w:noWrap/>
            <w:vAlign w:val="center"/>
            <w:hideMark/>
          </w:tcPr>
          <w:p w14:paraId="74A7CFD4"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0.421485</w:t>
            </w:r>
          </w:p>
        </w:tc>
      </w:tr>
      <w:tr w:rsidR="003A49C8" w:rsidRPr="003A49C8" w14:paraId="0124DDB9" w14:textId="77777777" w:rsidTr="00343F9E">
        <w:trPr>
          <w:trHeight w:val="53"/>
        </w:trPr>
        <w:tc>
          <w:tcPr>
            <w:tcW w:w="2192" w:type="pct"/>
            <w:tcBorders>
              <w:top w:val="nil"/>
              <w:left w:val="nil"/>
              <w:bottom w:val="nil"/>
              <w:right w:val="nil"/>
            </w:tcBorders>
            <w:shd w:val="clear" w:color="auto" w:fill="auto"/>
            <w:noWrap/>
            <w:vAlign w:val="center"/>
            <w:hideMark/>
          </w:tcPr>
          <w:p w14:paraId="0D5080E7" w14:textId="1E247E22"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ESGD iShares ESG Aware MSCI EAF</w:t>
            </w:r>
            <w:r w:rsidR="00946D2A" w:rsidRPr="003A49C8">
              <w:rPr>
                <w:rFonts w:eastAsia="Times New Roman" w:cs="Times New Roman"/>
                <w:sz w:val="16"/>
                <w:szCs w:val="16"/>
              </w:rPr>
              <w:t xml:space="preserve">E </w:t>
            </w:r>
            <w:r w:rsidR="00C55389" w:rsidRPr="003A49C8">
              <w:rPr>
                <w:rFonts w:eastAsia="Times New Roman" w:cs="Times New Roman"/>
                <w:sz w:val="16"/>
                <w:szCs w:val="16"/>
              </w:rPr>
              <w:t>ETF</w:t>
            </w:r>
          </w:p>
        </w:tc>
        <w:tc>
          <w:tcPr>
            <w:tcW w:w="373" w:type="pct"/>
            <w:tcBorders>
              <w:top w:val="nil"/>
              <w:left w:val="nil"/>
              <w:bottom w:val="nil"/>
              <w:right w:val="nil"/>
            </w:tcBorders>
            <w:shd w:val="clear" w:color="auto" w:fill="auto"/>
            <w:noWrap/>
            <w:vAlign w:val="center"/>
            <w:hideMark/>
          </w:tcPr>
          <w:p w14:paraId="646DD98F"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1.700649</w:t>
            </w:r>
          </w:p>
        </w:tc>
        <w:tc>
          <w:tcPr>
            <w:tcW w:w="373" w:type="pct"/>
            <w:tcBorders>
              <w:top w:val="nil"/>
              <w:left w:val="nil"/>
              <w:bottom w:val="nil"/>
              <w:right w:val="nil"/>
            </w:tcBorders>
            <w:shd w:val="clear" w:color="auto" w:fill="auto"/>
            <w:noWrap/>
            <w:vAlign w:val="center"/>
            <w:hideMark/>
          </w:tcPr>
          <w:p w14:paraId="65403344"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0.088202</w:t>
            </w:r>
          </w:p>
        </w:tc>
        <w:tc>
          <w:tcPr>
            <w:tcW w:w="373" w:type="pct"/>
            <w:tcBorders>
              <w:top w:val="nil"/>
              <w:left w:val="nil"/>
              <w:bottom w:val="nil"/>
              <w:right w:val="nil"/>
            </w:tcBorders>
            <w:shd w:val="clear" w:color="auto" w:fill="auto"/>
            <w:noWrap/>
            <w:vAlign w:val="center"/>
            <w:hideMark/>
          </w:tcPr>
          <w:p w14:paraId="6AFB9C41"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0.058678</w:t>
            </w:r>
          </w:p>
        </w:tc>
        <w:tc>
          <w:tcPr>
            <w:tcW w:w="100" w:type="pct"/>
            <w:tcBorders>
              <w:top w:val="nil"/>
              <w:left w:val="nil"/>
              <w:bottom w:val="nil"/>
              <w:right w:val="nil"/>
            </w:tcBorders>
            <w:shd w:val="clear" w:color="auto" w:fill="auto"/>
            <w:noWrap/>
            <w:vAlign w:val="center"/>
            <w:hideMark/>
          </w:tcPr>
          <w:p w14:paraId="51A660AC"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76D79873"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0.125887</w:t>
            </w:r>
          </w:p>
        </w:tc>
        <w:tc>
          <w:tcPr>
            <w:tcW w:w="373" w:type="pct"/>
            <w:tcBorders>
              <w:top w:val="nil"/>
              <w:left w:val="nil"/>
              <w:bottom w:val="nil"/>
              <w:right w:val="nil"/>
            </w:tcBorders>
            <w:shd w:val="clear" w:color="auto" w:fill="auto"/>
            <w:noWrap/>
            <w:vAlign w:val="center"/>
            <w:hideMark/>
          </w:tcPr>
          <w:p w14:paraId="4800582E"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0.083747</w:t>
            </w:r>
          </w:p>
        </w:tc>
        <w:tc>
          <w:tcPr>
            <w:tcW w:w="100" w:type="pct"/>
            <w:tcBorders>
              <w:top w:val="nil"/>
              <w:left w:val="nil"/>
              <w:bottom w:val="nil"/>
              <w:right w:val="nil"/>
            </w:tcBorders>
            <w:shd w:val="clear" w:color="auto" w:fill="auto"/>
            <w:noWrap/>
            <w:vAlign w:val="center"/>
            <w:hideMark/>
          </w:tcPr>
          <w:p w14:paraId="5043C5D6"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53097683"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0.356812</w:t>
            </w:r>
          </w:p>
        </w:tc>
        <w:tc>
          <w:tcPr>
            <w:tcW w:w="373" w:type="pct"/>
            <w:tcBorders>
              <w:top w:val="nil"/>
              <w:left w:val="nil"/>
              <w:bottom w:val="nil"/>
              <w:right w:val="nil"/>
            </w:tcBorders>
            <w:shd w:val="clear" w:color="auto" w:fill="auto"/>
            <w:noWrap/>
            <w:vAlign w:val="center"/>
            <w:hideMark/>
          </w:tcPr>
          <w:p w14:paraId="2D145C47"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0.713624</w:t>
            </w:r>
          </w:p>
        </w:tc>
      </w:tr>
      <w:tr w:rsidR="003A49C8" w:rsidRPr="003A49C8" w14:paraId="2BF5402C" w14:textId="77777777" w:rsidTr="00343F9E">
        <w:trPr>
          <w:trHeight w:val="53"/>
        </w:trPr>
        <w:tc>
          <w:tcPr>
            <w:tcW w:w="2192" w:type="pct"/>
            <w:tcBorders>
              <w:top w:val="nil"/>
              <w:left w:val="nil"/>
              <w:bottom w:val="nil"/>
              <w:right w:val="nil"/>
            </w:tcBorders>
            <w:shd w:val="clear" w:color="auto" w:fill="auto"/>
            <w:noWrap/>
            <w:vAlign w:val="center"/>
            <w:hideMark/>
          </w:tcPr>
          <w:p w14:paraId="7E5AB215" w14:textId="3269A414"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ESGE iShares ESG Aware MSCI EM</w:t>
            </w:r>
            <w:r w:rsidR="00C55389" w:rsidRPr="003A49C8">
              <w:rPr>
                <w:rFonts w:eastAsia="Times New Roman" w:cs="Times New Roman"/>
                <w:sz w:val="16"/>
                <w:szCs w:val="16"/>
              </w:rPr>
              <w:t xml:space="preserve"> ETF</w:t>
            </w:r>
          </w:p>
        </w:tc>
        <w:tc>
          <w:tcPr>
            <w:tcW w:w="373" w:type="pct"/>
            <w:tcBorders>
              <w:top w:val="nil"/>
              <w:left w:val="nil"/>
              <w:bottom w:val="nil"/>
              <w:right w:val="nil"/>
            </w:tcBorders>
            <w:shd w:val="clear" w:color="auto" w:fill="auto"/>
            <w:noWrap/>
            <w:vAlign w:val="center"/>
            <w:hideMark/>
          </w:tcPr>
          <w:p w14:paraId="786ED274"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2.068559</w:t>
            </w:r>
          </w:p>
        </w:tc>
        <w:tc>
          <w:tcPr>
            <w:tcW w:w="373" w:type="pct"/>
            <w:tcBorders>
              <w:top w:val="nil"/>
              <w:left w:val="nil"/>
              <w:bottom w:val="nil"/>
              <w:right w:val="nil"/>
            </w:tcBorders>
            <w:shd w:val="clear" w:color="auto" w:fill="auto"/>
            <w:noWrap/>
            <w:vAlign w:val="center"/>
            <w:hideMark/>
          </w:tcPr>
          <w:p w14:paraId="4E8C9710"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0.082504</w:t>
            </w:r>
          </w:p>
        </w:tc>
        <w:tc>
          <w:tcPr>
            <w:tcW w:w="373" w:type="pct"/>
            <w:tcBorders>
              <w:top w:val="nil"/>
              <w:left w:val="nil"/>
              <w:bottom w:val="nil"/>
              <w:right w:val="nil"/>
            </w:tcBorders>
            <w:shd w:val="clear" w:color="auto" w:fill="auto"/>
            <w:noWrap/>
            <w:vAlign w:val="center"/>
            <w:hideMark/>
          </w:tcPr>
          <w:p w14:paraId="028C2273"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0.059013</w:t>
            </w:r>
          </w:p>
        </w:tc>
        <w:tc>
          <w:tcPr>
            <w:tcW w:w="100" w:type="pct"/>
            <w:tcBorders>
              <w:top w:val="nil"/>
              <w:left w:val="nil"/>
              <w:bottom w:val="nil"/>
              <w:right w:val="nil"/>
            </w:tcBorders>
            <w:shd w:val="clear" w:color="auto" w:fill="auto"/>
            <w:noWrap/>
            <w:vAlign w:val="center"/>
            <w:hideMark/>
          </w:tcPr>
          <w:p w14:paraId="55123CE4"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37B6C9A1"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0.07721</w:t>
            </w:r>
          </w:p>
        </w:tc>
        <w:tc>
          <w:tcPr>
            <w:tcW w:w="373" w:type="pct"/>
            <w:tcBorders>
              <w:top w:val="nil"/>
              <w:left w:val="nil"/>
              <w:bottom w:val="nil"/>
              <w:right w:val="nil"/>
            </w:tcBorders>
            <w:shd w:val="clear" w:color="auto" w:fill="auto"/>
            <w:noWrap/>
            <w:vAlign w:val="center"/>
            <w:hideMark/>
          </w:tcPr>
          <w:p w14:paraId="7A61E4F3"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0.055227</w:t>
            </w:r>
          </w:p>
        </w:tc>
        <w:tc>
          <w:tcPr>
            <w:tcW w:w="100" w:type="pct"/>
            <w:tcBorders>
              <w:top w:val="nil"/>
              <w:left w:val="nil"/>
              <w:bottom w:val="nil"/>
              <w:right w:val="nil"/>
            </w:tcBorders>
            <w:shd w:val="clear" w:color="auto" w:fill="auto"/>
            <w:noWrap/>
            <w:vAlign w:val="center"/>
            <w:hideMark/>
          </w:tcPr>
          <w:p w14:paraId="189938B7"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49217077"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0.23396</w:t>
            </w:r>
          </w:p>
        </w:tc>
        <w:tc>
          <w:tcPr>
            <w:tcW w:w="373" w:type="pct"/>
            <w:tcBorders>
              <w:top w:val="nil"/>
              <w:left w:val="nil"/>
              <w:bottom w:val="nil"/>
              <w:right w:val="nil"/>
            </w:tcBorders>
            <w:shd w:val="clear" w:color="auto" w:fill="auto"/>
            <w:noWrap/>
            <w:vAlign w:val="center"/>
            <w:hideMark/>
          </w:tcPr>
          <w:p w14:paraId="22E4509C"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0.46792</w:t>
            </w:r>
          </w:p>
        </w:tc>
      </w:tr>
      <w:tr w:rsidR="003A49C8" w:rsidRPr="003A49C8" w14:paraId="6BE2AA2A" w14:textId="77777777" w:rsidTr="00343F9E">
        <w:trPr>
          <w:trHeight w:val="53"/>
        </w:trPr>
        <w:tc>
          <w:tcPr>
            <w:tcW w:w="2192" w:type="pct"/>
            <w:tcBorders>
              <w:top w:val="nil"/>
              <w:left w:val="nil"/>
              <w:bottom w:val="nil"/>
              <w:right w:val="nil"/>
            </w:tcBorders>
            <w:shd w:val="clear" w:color="auto" w:fill="auto"/>
            <w:noWrap/>
            <w:vAlign w:val="center"/>
            <w:hideMark/>
          </w:tcPr>
          <w:p w14:paraId="7AABA71B" w14:textId="77777777" w:rsidR="00613783" w:rsidRPr="003A49C8" w:rsidRDefault="00613783" w:rsidP="00E33705">
            <w:pPr>
              <w:spacing w:after="0" w:line="240" w:lineRule="auto"/>
              <w:rPr>
                <w:rFonts w:eastAsia="Times New Roman" w:cs="Times New Roman"/>
                <w:sz w:val="16"/>
                <w:szCs w:val="16"/>
                <w:lang w:val="it-IT"/>
              </w:rPr>
            </w:pPr>
            <w:r w:rsidRPr="003A49C8">
              <w:rPr>
                <w:rFonts w:eastAsia="Times New Roman" w:cs="Times New Roman"/>
                <w:sz w:val="16"/>
                <w:szCs w:val="16"/>
                <w:lang w:val="it-IT"/>
              </w:rPr>
              <w:t>SUSA iShares MSCI USA ESG Select ETF</w:t>
            </w:r>
          </w:p>
        </w:tc>
        <w:tc>
          <w:tcPr>
            <w:tcW w:w="373" w:type="pct"/>
            <w:tcBorders>
              <w:top w:val="nil"/>
              <w:left w:val="nil"/>
              <w:bottom w:val="nil"/>
              <w:right w:val="nil"/>
            </w:tcBorders>
            <w:shd w:val="clear" w:color="auto" w:fill="auto"/>
            <w:noWrap/>
            <w:vAlign w:val="center"/>
            <w:hideMark/>
          </w:tcPr>
          <w:p w14:paraId="2636AFD2"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2.297722</w:t>
            </w:r>
          </w:p>
        </w:tc>
        <w:tc>
          <w:tcPr>
            <w:tcW w:w="373" w:type="pct"/>
            <w:tcBorders>
              <w:top w:val="nil"/>
              <w:left w:val="nil"/>
              <w:bottom w:val="nil"/>
              <w:right w:val="nil"/>
            </w:tcBorders>
            <w:shd w:val="clear" w:color="auto" w:fill="auto"/>
            <w:noWrap/>
            <w:vAlign w:val="center"/>
            <w:hideMark/>
          </w:tcPr>
          <w:p w14:paraId="1B03CC41"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0.103797</w:t>
            </w:r>
          </w:p>
        </w:tc>
        <w:tc>
          <w:tcPr>
            <w:tcW w:w="373" w:type="pct"/>
            <w:tcBorders>
              <w:top w:val="nil"/>
              <w:left w:val="nil"/>
              <w:bottom w:val="nil"/>
              <w:right w:val="nil"/>
            </w:tcBorders>
            <w:shd w:val="clear" w:color="auto" w:fill="auto"/>
            <w:noWrap/>
            <w:vAlign w:val="center"/>
            <w:hideMark/>
          </w:tcPr>
          <w:p w14:paraId="7BBF9F98"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0.076767</w:t>
            </w:r>
          </w:p>
        </w:tc>
        <w:tc>
          <w:tcPr>
            <w:tcW w:w="100" w:type="pct"/>
            <w:tcBorders>
              <w:top w:val="nil"/>
              <w:left w:val="nil"/>
              <w:bottom w:val="nil"/>
              <w:right w:val="nil"/>
            </w:tcBorders>
            <w:shd w:val="clear" w:color="auto" w:fill="auto"/>
            <w:noWrap/>
            <w:vAlign w:val="center"/>
            <w:hideMark/>
          </w:tcPr>
          <w:p w14:paraId="015A7D17"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077D7A01"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0.079984</w:t>
            </w:r>
          </w:p>
        </w:tc>
        <w:tc>
          <w:tcPr>
            <w:tcW w:w="373" w:type="pct"/>
            <w:tcBorders>
              <w:top w:val="nil"/>
              <w:left w:val="nil"/>
              <w:bottom w:val="nil"/>
              <w:right w:val="nil"/>
            </w:tcBorders>
            <w:shd w:val="clear" w:color="auto" w:fill="auto"/>
            <w:noWrap/>
            <w:vAlign w:val="center"/>
            <w:hideMark/>
          </w:tcPr>
          <w:p w14:paraId="73BE3700"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0.059155</w:t>
            </w:r>
          </w:p>
        </w:tc>
        <w:tc>
          <w:tcPr>
            <w:tcW w:w="100" w:type="pct"/>
            <w:tcBorders>
              <w:top w:val="nil"/>
              <w:left w:val="nil"/>
              <w:bottom w:val="nil"/>
              <w:right w:val="nil"/>
            </w:tcBorders>
            <w:shd w:val="clear" w:color="auto" w:fill="auto"/>
            <w:noWrap/>
            <w:vAlign w:val="center"/>
            <w:hideMark/>
          </w:tcPr>
          <w:p w14:paraId="63510102"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35A091A7"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0.192645</w:t>
            </w:r>
          </w:p>
        </w:tc>
        <w:tc>
          <w:tcPr>
            <w:tcW w:w="373" w:type="pct"/>
            <w:tcBorders>
              <w:top w:val="nil"/>
              <w:left w:val="nil"/>
              <w:bottom w:val="nil"/>
              <w:right w:val="nil"/>
            </w:tcBorders>
            <w:shd w:val="clear" w:color="auto" w:fill="auto"/>
            <w:noWrap/>
            <w:vAlign w:val="center"/>
            <w:hideMark/>
          </w:tcPr>
          <w:p w14:paraId="6C008B08"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0.38529</w:t>
            </w:r>
          </w:p>
        </w:tc>
      </w:tr>
      <w:tr w:rsidR="003A49C8" w:rsidRPr="003A49C8" w14:paraId="2E7AC533" w14:textId="77777777" w:rsidTr="00343F9E">
        <w:trPr>
          <w:trHeight w:val="53"/>
        </w:trPr>
        <w:tc>
          <w:tcPr>
            <w:tcW w:w="2192" w:type="pct"/>
            <w:tcBorders>
              <w:top w:val="nil"/>
              <w:left w:val="nil"/>
              <w:bottom w:val="nil"/>
              <w:right w:val="nil"/>
            </w:tcBorders>
            <w:shd w:val="clear" w:color="auto" w:fill="auto"/>
            <w:noWrap/>
            <w:vAlign w:val="center"/>
            <w:hideMark/>
          </w:tcPr>
          <w:p w14:paraId="71A6FBA0" w14:textId="351AA401"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ICLN iShares Global Clean Energy</w:t>
            </w:r>
            <w:r w:rsidR="00C55389" w:rsidRPr="003A49C8">
              <w:rPr>
                <w:rFonts w:eastAsia="Times New Roman" w:cs="Times New Roman"/>
                <w:sz w:val="16"/>
                <w:szCs w:val="16"/>
              </w:rPr>
              <w:t xml:space="preserve"> ETF</w:t>
            </w:r>
          </w:p>
        </w:tc>
        <w:tc>
          <w:tcPr>
            <w:tcW w:w="373" w:type="pct"/>
            <w:tcBorders>
              <w:top w:val="nil"/>
              <w:left w:val="nil"/>
              <w:bottom w:val="nil"/>
              <w:right w:val="nil"/>
            </w:tcBorders>
            <w:shd w:val="clear" w:color="auto" w:fill="auto"/>
            <w:noWrap/>
            <w:vAlign w:val="center"/>
            <w:hideMark/>
          </w:tcPr>
          <w:p w14:paraId="2E101865"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2.348718</w:t>
            </w:r>
          </w:p>
        </w:tc>
        <w:tc>
          <w:tcPr>
            <w:tcW w:w="373" w:type="pct"/>
            <w:tcBorders>
              <w:top w:val="nil"/>
              <w:left w:val="nil"/>
              <w:bottom w:val="nil"/>
              <w:right w:val="nil"/>
            </w:tcBorders>
            <w:shd w:val="clear" w:color="auto" w:fill="auto"/>
            <w:noWrap/>
            <w:vAlign w:val="center"/>
            <w:hideMark/>
          </w:tcPr>
          <w:p w14:paraId="3A84AA7E"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0.165078</w:t>
            </w:r>
          </w:p>
        </w:tc>
        <w:tc>
          <w:tcPr>
            <w:tcW w:w="373" w:type="pct"/>
            <w:tcBorders>
              <w:top w:val="nil"/>
              <w:left w:val="nil"/>
              <w:bottom w:val="nil"/>
              <w:right w:val="nil"/>
            </w:tcBorders>
            <w:shd w:val="clear" w:color="auto" w:fill="auto"/>
            <w:noWrap/>
            <w:vAlign w:val="center"/>
            <w:hideMark/>
          </w:tcPr>
          <w:p w14:paraId="0E8D6869"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0.122891</w:t>
            </w:r>
          </w:p>
        </w:tc>
        <w:tc>
          <w:tcPr>
            <w:tcW w:w="100" w:type="pct"/>
            <w:tcBorders>
              <w:top w:val="nil"/>
              <w:left w:val="nil"/>
              <w:bottom w:val="nil"/>
              <w:right w:val="nil"/>
            </w:tcBorders>
            <w:shd w:val="clear" w:color="auto" w:fill="auto"/>
            <w:noWrap/>
            <w:vAlign w:val="center"/>
            <w:hideMark/>
          </w:tcPr>
          <w:p w14:paraId="61EB464E"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19F50717"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0.122396</w:t>
            </w:r>
          </w:p>
        </w:tc>
        <w:tc>
          <w:tcPr>
            <w:tcW w:w="373" w:type="pct"/>
            <w:tcBorders>
              <w:top w:val="nil"/>
              <w:left w:val="nil"/>
              <w:bottom w:val="nil"/>
              <w:right w:val="nil"/>
            </w:tcBorders>
            <w:shd w:val="clear" w:color="auto" w:fill="auto"/>
            <w:noWrap/>
            <w:vAlign w:val="center"/>
            <w:hideMark/>
          </w:tcPr>
          <w:p w14:paraId="681DAE48"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0.091117</w:t>
            </w:r>
          </w:p>
        </w:tc>
        <w:tc>
          <w:tcPr>
            <w:tcW w:w="100" w:type="pct"/>
            <w:tcBorders>
              <w:top w:val="nil"/>
              <w:left w:val="nil"/>
              <w:bottom w:val="nil"/>
              <w:right w:val="nil"/>
            </w:tcBorders>
            <w:shd w:val="clear" w:color="auto" w:fill="auto"/>
            <w:noWrap/>
            <w:vAlign w:val="center"/>
            <w:hideMark/>
          </w:tcPr>
          <w:p w14:paraId="55B3F172"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734294D4"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0.185361</w:t>
            </w:r>
          </w:p>
        </w:tc>
        <w:tc>
          <w:tcPr>
            <w:tcW w:w="373" w:type="pct"/>
            <w:tcBorders>
              <w:top w:val="nil"/>
              <w:left w:val="nil"/>
              <w:bottom w:val="nil"/>
              <w:right w:val="nil"/>
            </w:tcBorders>
            <w:shd w:val="clear" w:color="auto" w:fill="auto"/>
            <w:noWrap/>
            <w:vAlign w:val="center"/>
            <w:hideMark/>
          </w:tcPr>
          <w:p w14:paraId="5C5470DD"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0.370722</w:t>
            </w:r>
          </w:p>
        </w:tc>
      </w:tr>
      <w:tr w:rsidR="003A49C8" w:rsidRPr="003A49C8" w14:paraId="7B84291D" w14:textId="77777777" w:rsidTr="00343F9E">
        <w:trPr>
          <w:trHeight w:val="53"/>
        </w:trPr>
        <w:tc>
          <w:tcPr>
            <w:tcW w:w="2192" w:type="pct"/>
            <w:tcBorders>
              <w:top w:val="nil"/>
              <w:left w:val="nil"/>
              <w:bottom w:val="nil"/>
              <w:right w:val="nil"/>
            </w:tcBorders>
            <w:shd w:val="clear" w:color="auto" w:fill="auto"/>
            <w:noWrap/>
            <w:vAlign w:val="center"/>
            <w:hideMark/>
          </w:tcPr>
          <w:p w14:paraId="36EBF31F"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TAN Invesco Solar ETF</w:t>
            </w:r>
          </w:p>
        </w:tc>
        <w:tc>
          <w:tcPr>
            <w:tcW w:w="373" w:type="pct"/>
            <w:tcBorders>
              <w:top w:val="nil"/>
              <w:left w:val="nil"/>
              <w:bottom w:val="nil"/>
              <w:right w:val="nil"/>
            </w:tcBorders>
            <w:shd w:val="clear" w:color="auto" w:fill="auto"/>
            <w:noWrap/>
            <w:vAlign w:val="center"/>
            <w:hideMark/>
          </w:tcPr>
          <w:p w14:paraId="14DAAB94"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2.465353</w:t>
            </w:r>
          </w:p>
        </w:tc>
        <w:tc>
          <w:tcPr>
            <w:tcW w:w="373" w:type="pct"/>
            <w:tcBorders>
              <w:top w:val="nil"/>
              <w:left w:val="nil"/>
              <w:bottom w:val="nil"/>
              <w:right w:val="nil"/>
            </w:tcBorders>
            <w:shd w:val="clear" w:color="auto" w:fill="auto"/>
            <w:noWrap/>
            <w:vAlign w:val="center"/>
            <w:hideMark/>
          </w:tcPr>
          <w:p w14:paraId="23F512E7"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0.21377</w:t>
            </w:r>
          </w:p>
        </w:tc>
        <w:tc>
          <w:tcPr>
            <w:tcW w:w="373" w:type="pct"/>
            <w:tcBorders>
              <w:top w:val="nil"/>
              <w:left w:val="nil"/>
              <w:bottom w:val="nil"/>
              <w:right w:val="nil"/>
            </w:tcBorders>
            <w:shd w:val="clear" w:color="auto" w:fill="auto"/>
            <w:noWrap/>
            <w:vAlign w:val="center"/>
            <w:hideMark/>
          </w:tcPr>
          <w:p w14:paraId="0BE2DBFF"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0.161377</w:t>
            </w:r>
          </w:p>
        </w:tc>
        <w:tc>
          <w:tcPr>
            <w:tcW w:w="100" w:type="pct"/>
            <w:tcBorders>
              <w:top w:val="nil"/>
              <w:left w:val="nil"/>
              <w:bottom w:val="nil"/>
              <w:right w:val="nil"/>
            </w:tcBorders>
            <w:shd w:val="clear" w:color="auto" w:fill="auto"/>
            <w:noWrap/>
            <w:vAlign w:val="center"/>
            <w:hideMark/>
          </w:tcPr>
          <w:p w14:paraId="191E8255"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427AAF4D"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0.145883</w:t>
            </w:r>
          </w:p>
        </w:tc>
        <w:tc>
          <w:tcPr>
            <w:tcW w:w="373" w:type="pct"/>
            <w:tcBorders>
              <w:top w:val="nil"/>
              <w:left w:val="nil"/>
              <w:bottom w:val="nil"/>
              <w:right w:val="nil"/>
            </w:tcBorders>
            <w:shd w:val="clear" w:color="auto" w:fill="auto"/>
            <w:noWrap/>
            <w:vAlign w:val="center"/>
            <w:hideMark/>
          </w:tcPr>
          <w:p w14:paraId="77A3EE31"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0.110129</w:t>
            </w:r>
          </w:p>
        </w:tc>
        <w:tc>
          <w:tcPr>
            <w:tcW w:w="100" w:type="pct"/>
            <w:tcBorders>
              <w:top w:val="nil"/>
              <w:left w:val="nil"/>
              <w:bottom w:val="nil"/>
              <w:right w:val="nil"/>
            </w:tcBorders>
            <w:shd w:val="clear" w:color="auto" w:fill="auto"/>
            <w:noWrap/>
            <w:vAlign w:val="center"/>
            <w:hideMark/>
          </w:tcPr>
          <w:p w14:paraId="66F5CA1B"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7E5754D5"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0.170607</w:t>
            </w:r>
          </w:p>
        </w:tc>
        <w:tc>
          <w:tcPr>
            <w:tcW w:w="373" w:type="pct"/>
            <w:tcBorders>
              <w:top w:val="nil"/>
              <w:left w:val="nil"/>
              <w:bottom w:val="nil"/>
              <w:right w:val="nil"/>
            </w:tcBorders>
            <w:shd w:val="clear" w:color="auto" w:fill="auto"/>
            <w:noWrap/>
            <w:vAlign w:val="center"/>
            <w:hideMark/>
          </w:tcPr>
          <w:p w14:paraId="775E6636"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0.341215</w:t>
            </w:r>
          </w:p>
        </w:tc>
      </w:tr>
      <w:tr w:rsidR="003A49C8" w:rsidRPr="003A49C8" w14:paraId="7A15D3DB" w14:textId="77777777" w:rsidTr="00343F9E">
        <w:trPr>
          <w:trHeight w:val="53"/>
        </w:trPr>
        <w:tc>
          <w:tcPr>
            <w:tcW w:w="2192" w:type="pct"/>
            <w:tcBorders>
              <w:top w:val="nil"/>
              <w:left w:val="nil"/>
              <w:bottom w:val="nil"/>
              <w:right w:val="nil"/>
            </w:tcBorders>
            <w:shd w:val="clear" w:color="auto" w:fill="auto"/>
            <w:noWrap/>
            <w:vAlign w:val="center"/>
            <w:hideMark/>
          </w:tcPr>
          <w:p w14:paraId="182A3559"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XSOE WisdomTree Emerging Markets ex-State-Owned Enterprises Fund</w:t>
            </w:r>
          </w:p>
        </w:tc>
        <w:tc>
          <w:tcPr>
            <w:tcW w:w="373" w:type="pct"/>
            <w:tcBorders>
              <w:top w:val="nil"/>
              <w:left w:val="nil"/>
              <w:bottom w:val="nil"/>
              <w:right w:val="nil"/>
            </w:tcBorders>
            <w:shd w:val="clear" w:color="auto" w:fill="auto"/>
            <w:noWrap/>
            <w:vAlign w:val="center"/>
            <w:hideMark/>
          </w:tcPr>
          <w:p w14:paraId="264D5BE5"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2.156921</w:t>
            </w:r>
          </w:p>
        </w:tc>
        <w:tc>
          <w:tcPr>
            <w:tcW w:w="373" w:type="pct"/>
            <w:tcBorders>
              <w:top w:val="nil"/>
              <w:left w:val="nil"/>
              <w:bottom w:val="nil"/>
              <w:right w:val="nil"/>
            </w:tcBorders>
            <w:shd w:val="clear" w:color="auto" w:fill="auto"/>
            <w:noWrap/>
            <w:vAlign w:val="center"/>
            <w:hideMark/>
          </w:tcPr>
          <w:p w14:paraId="00CB1B64"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0.086204</w:t>
            </w:r>
          </w:p>
        </w:tc>
        <w:tc>
          <w:tcPr>
            <w:tcW w:w="373" w:type="pct"/>
            <w:tcBorders>
              <w:top w:val="nil"/>
              <w:left w:val="nil"/>
              <w:bottom w:val="nil"/>
              <w:right w:val="nil"/>
            </w:tcBorders>
            <w:shd w:val="clear" w:color="auto" w:fill="auto"/>
            <w:noWrap/>
            <w:vAlign w:val="center"/>
            <w:hideMark/>
          </w:tcPr>
          <w:p w14:paraId="0AE66B7A"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0.062512</w:t>
            </w:r>
          </w:p>
        </w:tc>
        <w:tc>
          <w:tcPr>
            <w:tcW w:w="100" w:type="pct"/>
            <w:tcBorders>
              <w:top w:val="nil"/>
              <w:left w:val="nil"/>
              <w:bottom w:val="nil"/>
              <w:right w:val="nil"/>
            </w:tcBorders>
            <w:shd w:val="clear" w:color="auto" w:fill="auto"/>
            <w:noWrap/>
            <w:vAlign w:val="center"/>
            <w:hideMark/>
          </w:tcPr>
          <w:p w14:paraId="44B5D7E0"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0F278654"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0.074512</w:t>
            </w:r>
          </w:p>
        </w:tc>
        <w:tc>
          <w:tcPr>
            <w:tcW w:w="373" w:type="pct"/>
            <w:tcBorders>
              <w:top w:val="nil"/>
              <w:left w:val="nil"/>
              <w:bottom w:val="nil"/>
              <w:right w:val="nil"/>
            </w:tcBorders>
            <w:shd w:val="clear" w:color="auto" w:fill="auto"/>
            <w:noWrap/>
            <w:vAlign w:val="center"/>
            <w:hideMark/>
          </w:tcPr>
          <w:p w14:paraId="7A590D7E"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0.054033</w:t>
            </w:r>
          </w:p>
        </w:tc>
        <w:tc>
          <w:tcPr>
            <w:tcW w:w="100" w:type="pct"/>
            <w:tcBorders>
              <w:top w:val="nil"/>
              <w:left w:val="nil"/>
              <w:bottom w:val="nil"/>
              <w:right w:val="nil"/>
            </w:tcBorders>
            <w:shd w:val="clear" w:color="auto" w:fill="auto"/>
            <w:noWrap/>
            <w:vAlign w:val="center"/>
            <w:hideMark/>
          </w:tcPr>
          <w:p w14:paraId="456797D4"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32388000"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0.216091</w:t>
            </w:r>
          </w:p>
        </w:tc>
        <w:tc>
          <w:tcPr>
            <w:tcW w:w="373" w:type="pct"/>
            <w:tcBorders>
              <w:top w:val="nil"/>
              <w:left w:val="nil"/>
              <w:bottom w:val="nil"/>
              <w:right w:val="nil"/>
            </w:tcBorders>
            <w:shd w:val="clear" w:color="auto" w:fill="auto"/>
            <w:noWrap/>
            <w:vAlign w:val="center"/>
            <w:hideMark/>
          </w:tcPr>
          <w:p w14:paraId="3C934DA0"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0.432182</w:t>
            </w:r>
          </w:p>
        </w:tc>
      </w:tr>
      <w:tr w:rsidR="003A49C8" w:rsidRPr="003A49C8" w14:paraId="7632F8BA" w14:textId="77777777" w:rsidTr="00343F9E">
        <w:trPr>
          <w:trHeight w:val="53"/>
        </w:trPr>
        <w:tc>
          <w:tcPr>
            <w:tcW w:w="2192" w:type="pct"/>
            <w:tcBorders>
              <w:top w:val="nil"/>
              <w:left w:val="nil"/>
              <w:bottom w:val="nil"/>
              <w:right w:val="nil"/>
            </w:tcBorders>
            <w:shd w:val="clear" w:color="auto" w:fill="auto"/>
            <w:noWrap/>
            <w:vAlign w:val="center"/>
            <w:hideMark/>
          </w:tcPr>
          <w:p w14:paraId="326D6581"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SPYX SPDR S&amp;P 500 Fossil Fuel Reserves Free ETF</w:t>
            </w:r>
          </w:p>
        </w:tc>
        <w:tc>
          <w:tcPr>
            <w:tcW w:w="373" w:type="pct"/>
            <w:tcBorders>
              <w:top w:val="nil"/>
              <w:left w:val="nil"/>
              <w:bottom w:val="nil"/>
              <w:right w:val="nil"/>
            </w:tcBorders>
            <w:shd w:val="clear" w:color="auto" w:fill="auto"/>
            <w:noWrap/>
            <w:vAlign w:val="center"/>
            <w:hideMark/>
          </w:tcPr>
          <w:p w14:paraId="29DBE3E6"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1.508298</w:t>
            </w:r>
          </w:p>
        </w:tc>
        <w:tc>
          <w:tcPr>
            <w:tcW w:w="373" w:type="pct"/>
            <w:tcBorders>
              <w:top w:val="nil"/>
              <w:left w:val="nil"/>
              <w:bottom w:val="nil"/>
              <w:right w:val="nil"/>
            </w:tcBorders>
            <w:shd w:val="clear" w:color="auto" w:fill="auto"/>
            <w:noWrap/>
            <w:vAlign w:val="center"/>
            <w:hideMark/>
          </w:tcPr>
          <w:p w14:paraId="73C2C6D1"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0.123293</w:t>
            </w:r>
          </w:p>
        </w:tc>
        <w:tc>
          <w:tcPr>
            <w:tcW w:w="373" w:type="pct"/>
            <w:tcBorders>
              <w:top w:val="nil"/>
              <w:left w:val="nil"/>
              <w:bottom w:val="nil"/>
              <w:right w:val="nil"/>
            </w:tcBorders>
            <w:shd w:val="clear" w:color="auto" w:fill="auto"/>
            <w:noWrap/>
            <w:vAlign w:val="center"/>
            <w:hideMark/>
          </w:tcPr>
          <w:p w14:paraId="12523F15"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0.077867</w:t>
            </w:r>
          </w:p>
        </w:tc>
        <w:tc>
          <w:tcPr>
            <w:tcW w:w="100" w:type="pct"/>
            <w:tcBorders>
              <w:top w:val="nil"/>
              <w:left w:val="nil"/>
              <w:bottom w:val="nil"/>
              <w:right w:val="nil"/>
            </w:tcBorders>
            <w:shd w:val="clear" w:color="auto" w:fill="auto"/>
            <w:noWrap/>
            <w:vAlign w:val="center"/>
            <w:hideMark/>
          </w:tcPr>
          <w:p w14:paraId="784AC58B"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6789592F"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0.24256</w:t>
            </w:r>
          </w:p>
        </w:tc>
        <w:tc>
          <w:tcPr>
            <w:tcW w:w="373" w:type="pct"/>
            <w:tcBorders>
              <w:top w:val="nil"/>
              <w:left w:val="nil"/>
              <w:bottom w:val="nil"/>
              <w:right w:val="nil"/>
            </w:tcBorders>
            <w:shd w:val="clear" w:color="auto" w:fill="auto"/>
            <w:noWrap/>
            <w:vAlign w:val="center"/>
            <w:hideMark/>
          </w:tcPr>
          <w:p w14:paraId="1B2F4B4D"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0.153192</w:t>
            </w:r>
          </w:p>
        </w:tc>
        <w:tc>
          <w:tcPr>
            <w:tcW w:w="100" w:type="pct"/>
            <w:tcBorders>
              <w:top w:val="nil"/>
              <w:left w:val="nil"/>
              <w:bottom w:val="nil"/>
              <w:right w:val="nil"/>
            </w:tcBorders>
            <w:shd w:val="clear" w:color="auto" w:fill="auto"/>
            <w:noWrap/>
            <w:vAlign w:val="center"/>
            <w:hideMark/>
          </w:tcPr>
          <w:p w14:paraId="006879AE"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4310BE3C"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0.491838</w:t>
            </w:r>
          </w:p>
        </w:tc>
        <w:tc>
          <w:tcPr>
            <w:tcW w:w="373" w:type="pct"/>
            <w:tcBorders>
              <w:top w:val="nil"/>
              <w:left w:val="nil"/>
              <w:bottom w:val="nil"/>
              <w:right w:val="nil"/>
            </w:tcBorders>
            <w:shd w:val="clear" w:color="auto" w:fill="auto"/>
            <w:noWrap/>
            <w:vAlign w:val="center"/>
            <w:hideMark/>
          </w:tcPr>
          <w:p w14:paraId="745EDC36"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0.983676</w:t>
            </w:r>
          </w:p>
        </w:tc>
      </w:tr>
      <w:tr w:rsidR="003A49C8" w:rsidRPr="003A49C8" w14:paraId="68C0D9E9" w14:textId="77777777" w:rsidTr="00343F9E">
        <w:trPr>
          <w:trHeight w:val="53"/>
        </w:trPr>
        <w:tc>
          <w:tcPr>
            <w:tcW w:w="2192" w:type="pct"/>
            <w:tcBorders>
              <w:top w:val="nil"/>
              <w:left w:val="nil"/>
              <w:bottom w:val="nil"/>
              <w:right w:val="nil"/>
            </w:tcBorders>
            <w:shd w:val="clear" w:color="auto" w:fill="auto"/>
            <w:noWrap/>
            <w:vAlign w:val="center"/>
            <w:hideMark/>
          </w:tcPr>
          <w:p w14:paraId="1C7CF42E" w14:textId="271A8A91"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 xml:space="preserve">iShares ESG MSCI </w:t>
            </w:r>
            <w:r w:rsidR="000A1C89" w:rsidRPr="003A49C8">
              <w:rPr>
                <w:rFonts w:eastAsia="Times New Roman" w:cs="Times New Roman"/>
                <w:sz w:val="16"/>
                <w:szCs w:val="16"/>
              </w:rPr>
              <w:t>USA Leaders ETF</w:t>
            </w:r>
          </w:p>
        </w:tc>
        <w:tc>
          <w:tcPr>
            <w:tcW w:w="373" w:type="pct"/>
            <w:tcBorders>
              <w:top w:val="nil"/>
              <w:left w:val="nil"/>
              <w:bottom w:val="nil"/>
              <w:right w:val="nil"/>
            </w:tcBorders>
            <w:shd w:val="clear" w:color="auto" w:fill="auto"/>
            <w:noWrap/>
            <w:vAlign w:val="center"/>
            <w:hideMark/>
          </w:tcPr>
          <w:p w14:paraId="00B03EE3" w14:textId="5DD286D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2.06</w:t>
            </w:r>
            <w:r w:rsidR="002206CB" w:rsidRPr="003A49C8">
              <w:rPr>
                <w:rFonts w:eastAsia="Times New Roman" w:cs="Times New Roman"/>
                <w:sz w:val="16"/>
                <w:szCs w:val="16"/>
              </w:rPr>
              <w:t>7329</w:t>
            </w:r>
          </w:p>
        </w:tc>
        <w:tc>
          <w:tcPr>
            <w:tcW w:w="373" w:type="pct"/>
            <w:tcBorders>
              <w:top w:val="nil"/>
              <w:left w:val="nil"/>
              <w:bottom w:val="nil"/>
              <w:right w:val="nil"/>
            </w:tcBorders>
            <w:shd w:val="clear" w:color="auto" w:fill="auto"/>
            <w:noWrap/>
            <w:vAlign w:val="center"/>
            <w:hideMark/>
          </w:tcPr>
          <w:p w14:paraId="04694A75" w14:textId="2EA8255B"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0.08</w:t>
            </w:r>
            <w:r w:rsidR="002206CB" w:rsidRPr="003A49C8">
              <w:rPr>
                <w:rFonts w:eastAsia="Times New Roman" w:cs="Times New Roman"/>
                <w:sz w:val="16"/>
                <w:szCs w:val="16"/>
              </w:rPr>
              <w:t>3734</w:t>
            </w:r>
          </w:p>
        </w:tc>
        <w:tc>
          <w:tcPr>
            <w:tcW w:w="373" w:type="pct"/>
            <w:tcBorders>
              <w:top w:val="nil"/>
              <w:left w:val="nil"/>
              <w:bottom w:val="nil"/>
              <w:right w:val="nil"/>
            </w:tcBorders>
            <w:shd w:val="clear" w:color="auto" w:fill="auto"/>
            <w:noWrap/>
            <w:vAlign w:val="center"/>
            <w:hideMark/>
          </w:tcPr>
          <w:p w14:paraId="565A22A0" w14:textId="6C29DCDD"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w:t>
            </w:r>
            <w:r w:rsidR="002206CB" w:rsidRPr="003A49C8">
              <w:rPr>
                <w:rFonts w:eastAsia="Times New Roman" w:cs="Times New Roman"/>
                <w:sz w:val="16"/>
                <w:szCs w:val="16"/>
              </w:rPr>
              <w:t>60243</w:t>
            </w:r>
          </w:p>
        </w:tc>
        <w:tc>
          <w:tcPr>
            <w:tcW w:w="100" w:type="pct"/>
            <w:tcBorders>
              <w:top w:val="nil"/>
              <w:left w:val="nil"/>
              <w:bottom w:val="nil"/>
              <w:right w:val="nil"/>
            </w:tcBorders>
            <w:shd w:val="clear" w:color="auto" w:fill="auto"/>
            <w:noWrap/>
            <w:vAlign w:val="center"/>
            <w:hideMark/>
          </w:tcPr>
          <w:p w14:paraId="5AEF3B55"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26C4195A" w14:textId="10D9C25B"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0.07</w:t>
            </w:r>
            <w:r w:rsidR="002206CB" w:rsidRPr="003A49C8">
              <w:rPr>
                <w:rFonts w:eastAsia="Times New Roman" w:cs="Times New Roman"/>
                <w:sz w:val="16"/>
                <w:szCs w:val="16"/>
              </w:rPr>
              <w:t>844</w:t>
            </w:r>
          </w:p>
        </w:tc>
        <w:tc>
          <w:tcPr>
            <w:tcW w:w="373" w:type="pct"/>
            <w:tcBorders>
              <w:top w:val="nil"/>
              <w:left w:val="nil"/>
              <w:bottom w:val="nil"/>
              <w:right w:val="nil"/>
            </w:tcBorders>
            <w:shd w:val="clear" w:color="auto" w:fill="auto"/>
            <w:noWrap/>
            <w:vAlign w:val="center"/>
            <w:hideMark/>
          </w:tcPr>
          <w:p w14:paraId="4C0D53A2" w14:textId="1836EA61"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0.05</w:t>
            </w:r>
            <w:r w:rsidR="002206CB" w:rsidRPr="003A49C8">
              <w:rPr>
                <w:rFonts w:eastAsia="Times New Roman" w:cs="Times New Roman"/>
                <w:sz w:val="16"/>
                <w:szCs w:val="16"/>
              </w:rPr>
              <w:t>6457</w:t>
            </w:r>
          </w:p>
        </w:tc>
        <w:tc>
          <w:tcPr>
            <w:tcW w:w="100" w:type="pct"/>
            <w:tcBorders>
              <w:top w:val="nil"/>
              <w:left w:val="nil"/>
              <w:bottom w:val="nil"/>
              <w:right w:val="nil"/>
            </w:tcBorders>
            <w:shd w:val="clear" w:color="auto" w:fill="auto"/>
            <w:noWrap/>
            <w:vAlign w:val="center"/>
            <w:hideMark/>
          </w:tcPr>
          <w:p w14:paraId="364E41B2"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733B2D51" w14:textId="413C1E8C"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0.23</w:t>
            </w:r>
            <w:r w:rsidR="002206CB" w:rsidRPr="003A49C8">
              <w:rPr>
                <w:rFonts w:eastAsia="Times New Roman" w:cs="Times New Roman"/>
                <w:sz w:val="16"/>
                <w:szCs w:val="16"/>
              </w:rPr>
              <w:t>519</w:t>
            </w:r>
          </w:p>
        </w:tc>
        <w:tc>
          <w:tcPr>
            <w:tcW w:w="373" w:type="pct"/>
            <w:tcBorders>
              <w:top w:val="nil"/>
              <w:left w:val="nil"/>
              <w:bottom w:val="nil"/>
              <w:right w:val="nil"/>
            </w:tcBorders>
            <w:shd w:val="clear" w:color="auto" w:fill="auto"/>
            <w:noWrap/>
            <w:vAlign w:val="center"/>
            <w:hideMark/>
          </w:tcPr>
          <w:p w14:paraId="40466C98" w14:textId="072F5846"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0.46</w:t>
            </w:r>
            <w:r w:rsidR="002206CB" w:rsidRPr="003A49C8">
              <w:rPr>
                <w:rFonts w:eastAsia="Times New Roman" w:cs="Times New Roman"/>
                <w:sz w:val="16"/>
                <w:szCs w:val="16"/>
              </w:rPr>
              <w:t>915</w:t>
            </w:r>
          </w:p>
        </w:tc>
      </w:tr>
      <w:tr w:rsidR="003A49C8" w:rsidRPr="003A49C8" w14:paraId="568D54A5" w14:textId="77777777" w:rsidTr="00343F9E">
        <w:trPr>
          <w:trHeight w:val="53"/>
        </w:trPr>
        <w:tc>
          <w:tcPr>
            <w:tcW w:w="2192" w:type="pct"/>
            <w:tcBorders>
              <w:top w:val="nil"/>
              <w:left w:val="nil"/>
              <w:bottom w:val="nil"/>
              <w:right w:val="nil"/>
            </w:tcBorders>
            <w:shd w:val="clear" w:color="auto" w:fill="auto"/>
            <w:noWrap/>
            <w:vAlign w:val="center"/>
            <w:hideMark/>
          </w:tcPr>
          <w:p w14:paraId="49749F8D"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 xml:space="preserve">PBW Invesco </w:t>
            </w:r>
            <w:proofErr w:type="spellStart"/>
            <w:r w:rsidRPr="003A49C8">
              <w:rPr>
                <w:rFonts w:eastAsia="Times New Roman" w:cs="Times New Roman"/>
                <w:sz w:val="16"/>
                <w:szCs w:val="16"/>
              </w:rPr>
              <w:t>WilderHill</w:t>
            </w:r>
            <w:proofErr w:type="spellEnd"/>
            <w:r w:rsidRPr="003A49C8">
              <w:rPr>
                <w:rFonts w:eastAsia="Times New Roman" w:cs="Times New Roman"/>
                <w:sz w:val="16"/>
                <w:szCs w:val="16"/>
              </w:rPr>
              <w:t xml:space="preserve"> Clean Energy ETF</w:t>
            </w:r>
          </w:p>
        </w:tc>
        <w:tc>
          <w:tcPr>
            <w:tcW w:w="373" w:type="pct"/>
            <w:tcBorders>
              <w:top w:val="nil"/>
              <w:left w:val="nil"/>
              <w:bottom w:val="nil"/>
              <w:right w:val="nil"/>
            </w:tcBorders>
            <w:shd w:val="clear" w:color="auto" w:fill="auto"/>
            <w:noWrap/>
            <w:vAlign w:val="center"/>
            <w:hideMark/>
          </w:tcPr>
          <w:p w14:paraId="1A19D13F"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2.60434</w:t>
            </w:r>
          </w:p>
        </w:tc>
        <w:tc>
          <w:tcPr>
            <w:tcW w:w="373" w:type="pct"/>
            <w:tcBorders>
              <w:top w:val="nil"/>
              <w:left w:val="nil"/>
              <w:bottom w:val="nil"/>
              <w:right w:val="nil"/>
            </w:tcBorders>
            <w:shd w:val="clear" w:color="auto" w:fill="auto"/>
            <w:noWrap/>
            <w:vAlign w:val="center"/>
            <w:hideMark/>
          </w:tcPr>
          <w:p w14:paraId="6B7D1C60"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0.165849</w:t>
            </w:r>
          </w:p>
        </w:tc>
        <w:tc>
          <w:tcPr>
            <w:tcW w:w="373" w:type="pct"/>
            <w:tcBorders>
              <w:top w:val="nil"/>
              <w:left w:val="nil"/>
              <w:right w:val="nil"/>
            </w:tcBorders>
            <w:shd w:val="clear" w:color="auto" w:fill="auto"/>
            <w:noWrap/>
            <w:vAlign w:val="center"/>
            <w:hideMark/>
          </w:tcPr>
          <w:p w14:paraId="39B67B72"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0.127094</w:t>
            </w:r>
          </w:p>
        </w:tc>
        <w:tc>
          <w:tcPr>
            <w:tcW w:w="100" w:type="pct"/>
            <w:tcBorders>
              <w:top w:val="nil"/>
              <w:left w:val="nil"/>
              <w:right w:val="nil"/>
            </w:tcBorders>
            <w:shd w:val="clear" w:color="auto" w:fill="auto"/>
            <w:noWrap/>
            <w:vAlign w:val="center"/>
            <w:hideMark/>
          </w:tcPr>
          <w:p w14:paraId="28AAA5E6"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right w:val="nil"/>
            </w:tcBorders>
            <w:shd w:val="clear" w:color="auto" w:fill="auto"/>
            <w:noWrap/>
            <w:vAlign w:val="center"/>
            <w:hideMark/>
          </w:tcPr>
          <w:p w14:paraId="35AB2818"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0.103375</w:t>
            </w:r>
          </w:p>
        </w:tc>
        <w:tc>
          <w:tcPr>
            <w:tcW w:w="373" w:type="pct"/>
            <w:tcBorders>
              <w:top w:val="nil"/>
              <w:left w:val="nil"/>
              <w:right w:val="nil"/>
            </w:tcBorders>
            <w:shd w:val="clear" w:color="auto" w:fill="auto"/>
            <w:noWrap/>
            <w:vAlign w:val="center"/>
            <w:hideMark/>
          </w:tcPr>
          <w:p w14:paraId="022DFBC3"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0.079219</w:t>
            </w:r>
          </w:p>
        </w:tc>
        <w:tc>
          <w:tcPr>
            <w:tcW w:w="100" w:type="pct"/>
            <w:tcBorders>
              <w:top w:val="nil"/>
              <w:left w:val="nil"/>
              <w:right w:val="nil"/>
            </w:tcBorders>
            <w:shd w:val="clear" w:color="auto" w:fill="auto"/>
            <w:noWrap/>
            <w:vAlign w:val="center"/>
            <w:hideMark/>
          </w:tcPr>
          <w:p w14:paraId="39200F8D"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right w:val="nil"/>
            </w:tcBorders>
            <w:shd w:val="clear" w:color="auto" w:fill="auto"/>
            <w:noWrap/>
            <w:vAlign w:val="center"/>
            <w:hideMark/>
          </w:tcPr>
          <w:p w14:paraId="1E017868"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0.155827</w:t>
            </w:r>
          </w:p>
        </w:tc>
        <w:tc>
          <w:tcPr>
            <w:tcW w:w="373" w:type="pct"/>
            <w:tcBorders>
              <w:top w:val="nil"/>
              <w:left w:val="nil"/>
              <w:bottom w:val="nil"/>
              <w:right w:val="nil"/>
            </w:tcBorders>
            <w:shd w:val="clear" w:color="auto" w:fill="auto"/>
            <w:noWrap/>
            <w:vAlign w:val="center"/>
            <w:hideMark/>
          </w:tcPr>
          <w:p w14:paraId="3974F2A4"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0.311655</w:t>
            </w:r>
          </w:p>
        </w:tc>
      </w:tr>
      <w:tr w:rsidR="003A49C8" w:rsidRPr="003A49C8" w14:paraId="285195F3" w14:textId="77777777" w:rsidTr="00343F9E">
        <w:trPr>
          <w:trHeight w:val="53"/>
        </w:trPr>
        <w:tc>
          <w:tcPr>
            <w:tcW w:w="2192" w:type="pct"/>
            <w:tcBorders>
              <w:top w:val="nil"/>
              <w:left w:val="nil"/>
              <w:bottom w:val="single" w:sz="8" w:space="0" w:color="auto"/>
              <w:right w:val="nil"/>
            </w:tcBorders>
            <w:shd w:val="clear" w:color="auto" w:fill="auto"/>
            <w:noWrap/>
            <w:vAlign w:val="center"/>
            <w:hideMark/>
          </w:tcPr>
          <w:p w14:paraId="06F51A55" w14:textId="77777777" w:rsidR="00613783" w:rsidRPr="003A49C8" w:rsidRDefault="00613783" w:rsidP="00E33705">
            <w:pPr>
              <w:spacing w:after="0" w:line="240" w:lineRule="auto"/>
              <w:rPr>
                <w:rFonts w:eastAsia="Times New Roman" w:cs="Times New Roman"/>
                <w:b/>
                <w:bCs/>
                <w:sz w:val="16"/>
                <w:szCs w:val="16"/>
              </w:rPr>
            </w:pPr>
            <w:r w:rsidRPr="003A49C8">
              <w:rPr>
                <w:rFonts w:eastAsia="Times New Roman" w:cs="Times New Roman"/>
                <w:b/>
                <w:bCs/>
                <w:sz w:val="16"/>
                <w:szCs w:val="16"/>
              </w:rPr>
              <w:t>Average</w:t>
            </w:r>
          </w:p>
        </w:tc>
        <w:tc>
          <w:tcPr>
            <w:tcW w:w="373" w:type="pct"/>
            <w:tcBorders>
              <w:top w:val="nil"/>
              <w:left w:val="nil"/>
              <w:bottom w:val="single" w:sz="8" w:space="0" w:color="auto"/>
              <w:right w:val="nil"/>
            </w:tcBorders>
            <w:shd w:val="clear" w:color="auto" w:fill="auto"/>
            <w:noWrap/>
            <w:vAlign w:val="center"/>
            <w:hideMark/>
          </w:tcPr>
          <w:p w14:paraId="03FFE0EF" w14:textId="2D73E95E" w:rsidR="00613783" w:rsidRPr="003A49C8" w:rsidRDefault="00613783" w:rsidP="00E33705">
            <w:pPr>
              <w:spacing w:after="0" w:line="240" w:lineRule="auto"/>
              <w:rPr>
                <w:rFonts w:eastAsia="Times New Roman" w:cs="Times New Roman"/>
                <w:b/>
                <w:bCs/>
                <w:sz w:val="16"/>
                <w:szCs w:val="16"/>
              </w:rPr>
            </w:pPr>
            <w:r w:rsidRPr="003A49C8">
              <w:rPr>
                <w:rFonts w:eastAsia="Times New Roman" w:cs="Times New Roman"/>
                <w:b/>
                <w:bCs/>
                <w:sz w:val="16"/>
                <w:szCs w:val="16"/>
              </w:rPr>
              <w:t>2.140</w:t>
            </w:r>
            <w:r w:rsidR="002206CB" w:rsidRPr="003A49C8">
              <w:rPr>
                <w:rFonts w:eastAsia="Times New Roman" w:cs="Times New Roman"/>
                <w:b/>
                <w:bCs/>
                <w:sz w:val="16"/>
                <w:szCs w:val="16"/>
              </w:rPr>
              <w:t>42</w:t>
            </w:r>
          </w:p>
        </w:tc>
        <w:tc>
          <w:tcPr>
            <w:tcW w:w="373" w:type="pct"/>
            <w:tcBorders>
              <w:top w:val="nil"/>
              <w:left w:val="nil"/>
              <w:bottom w:val="single" w:sz="8" w:space="0" w:color="auto"/>
              <w:right w:val="nil"/>
            </w:tcBorders>
            <w:shd w:val="clear" w:color="auto" w:fill="auto"/>
            <w:noWrap/>
            <w:vAlign w:val="center"/>
            <w:hideMark/>
          </w:tcPr>
          <w:p w14:paraId="0A64F131" w14:textId="3A510560" w:rsidR="00613783" w:rsidRPr="003A49C8" w:rsidRDefault="00613783" w:rsidP="00E33705">
            <w:pPr>
              <w:spacing w:after="0" w:line="240" w:lineRule="auto"/>
              <w:rPr>
                <w:rFonts w:eastAsia="Times New Roman" w:cs="Times New Roman"/>
                <w:b/>
                <w:bCs/>
                <w:sz w:val="16"/>
                <w:szCs w:val="16"/>
              </w:rPr>
            </w:pPr>
            <w:r w:rsidRPr="003A49C8">
              <w:rPr>
                <w:rFonts w:eastAsia="Times New Roman" w:cs="Times New Roman"/>
                <w:b/>
                <w:bCs/>
                <w:sz w:val="16"/>
                <w:szCs w:val="16"/>
              </w:rPr>
              <w:t>0.122</w:t>
            </w:r>
            <w:r w:rsidR="002206CB" w:rsidRPr="003A49C8">
              <w:rPr>
                <w:rFonts w:eastAsia="Times New Roman" w:cs="Times New Roman"/>
                <w:b/>
                <w:bCs/>
                <w:sz w:val="16"/>
                <w:szCs w:val="16"/>
              </w:rPr>
              <w:t>596</w:t>
            </w:r>
          </w:p>
        </w:tc>
        <w:tc>
          <w:tcPr>
            <w:tcW w:w="373" w:type="pct"/>
            <w:tcBorders>
              <w:top w:val="nil"/>
              <w:left w:val="nil"/>
              <w:bottom w:val="single" w:sz="8" w:space="0" w:color="auto"/>
              <w:right w:val="nil"/>
            </w:tcBorders>
            <w:shd w:val="clear" w:color="auto" w:fill="auto"/>
            <w:noWrap/>
            <w:vAlign w:val="center"/>
            <w:hideMark/>
          </w:tcPr>
          <w:p w14:paraId="5D859966" w14:textId="443F6BA1" w:rsidR="00613783" w:rsidRPr="003A49C8" w:rsidRDefault="00613783" w:rsidP="00E33705">
            <w:pPr>
              <w:spacing w:after="0" w:line="240" w:lineRule="auto"/>
              <w:rPr>
                <w:rFonts w:eastAsia="Times New Roman" w:cs="Times New Roman"/>
                <w:b/>
                <w:bCs/>
                <w:sz w:val="16"/>
                <w:szCs w:val="16"/>
              </w:rPr>
            </w:pPr>
            <w:r w:rsidRPr="003A49C8">
              <w:rPr>
                <w:rFonts w:eastAsia="Times New Roman" w:cs="Times New Roman"/>
                <w:b/>
                <w:bCs/>
                <w:sz w:val="16"/>
                <w:szCs w:val="16"/>
              </w:rPr>
              <w:t>0.088</w:t>
            </w:r>
            <w:r w:rsidR="002206CB" w:rsidRPr="003A49C8">
              <w:rPr>
                <w:rFonts w:eastAsia="Times New Roman" w:cs="Times New Roman"/>
                <w:b/>
                <w:bCs/>
                <w:sz w:val="16"/>
                <w:szCs w:val="16"/>
              </w:rPr>
              <w:t>913</w:t>
            </w:r>
          </w:p>
        </w:tc>
        <w:tc>
          <w:tcPr>
            <w:tcW w:w="100" w:type="pct"/>
            <w:tcBorders>
              <w:top w:val="nil"/>
              <w:left w:val="nil"/>
              <w:bottom w:val="single" w:sz="8" w:space="0" w:color="auto"/>
              <w:right w:val="nil"/>
            </w:tcBorders>
            <w:shd w:val="clear" w:color="auto" w:fill="auto"/>
            <w:noWrap/>
            <w:vAlign w:val="center"/>
            <w:hideMark/>
          </w:tcPr>
          <w:p w14:paraId="695ACB86" w14:textId="77777777" w:rsidR="00613783" w:rsidRPr="003A49C8" w:rsidRDefault="00613783" w:rsidP="00E33705">
            <w:pPr>
              <w:spacing w:after="0" w:line="240" w:lineRule="auto"/>
              <w:rPr>
                <w:rFonts w:eastAsia="Times New Roman" w:cs="Times New Roman"/>
                <w:b/>
                <w:bCs/>
                <w:sz w:val="16"/>
                <w:szCs w:val="16"/>
              </w:rPr>
            </w:pPr>
          </w:p>
        </w:tc>
        <w:tc>
          <w:tcPr>
            <w:tcW w:w="373" w:type="pct"/>
            <w:tcBorders>
              <w:top w:val="nil"/>
              <w:left w:val="nil"/>
              <w:bottom w:val="single" w:sz="8" w:space="0" w:color="auto"/>
              <w:right w:val="nil"/>
            </w:tcBorders>
            <w:shd w:val="clear" w:color="auto" w:fill="auto"/>
            <w:noWrap/>
            <w:vAlign w:val="center"/>
            <w:hideMark/>
          </w:tcPr>
          <w:p w14:paraId="5B3EBBFB" w14:textId="36BECB3F" w:rsidR="00613783" w:rsidRPr="003A49C8" w:rsidRDefault="00613783" w:rsidP="00E33705">
            <w:pPr>
              <w:spacing w:after="0" w:line="240" w:lineRule="auto"/>
              <w:rPr>
                <w:rFonts w:eastAsia="Times New Roman" w:cs="Times New Roman"/>
                <w:b/>
                <w:bCs/>
                <w:sz w:val="16"/>
                <w:szCs w:val="16"/>
              </w:rPr>
            </w:pPr>
            <w:r w:rsidRPr="003A49C8">
              <w:rPr>
                <w:rFonts w:eastAsia="Times New Roman" w:cs="Times New Roman"/>
                <w:b/>
                <w:bCs/>
                <w:sz w:val="16"/>
                <w:szCs w:val="16"/>
              </w:rPr>
              <w:t>0.114</w:t>
            </w:r>
            <w:r w:rsidR="002206CB" w:rsidRPr="003A49C8">
              <w:rPr>
                <w:rFonts w:eastAsia="Times New Roman" w:cs="Times New Roman"/>
                <w:b/>
                <w:bCs/>
                <w:sz w:val="16"/>
                <w:szCs w:val="16"/>
              </w:rPr>
              <w:t>595</w:t>
            </w:r>
          </w:p>
        </w:tc>
        <w:tc>
          <w:tcPr>
            <w:tcW w:w="373" w:type="pct"/>
            <w:tcBorders>
              <w:top w:val="nil"/>
              <w:left w:val="nil"/>
              <w:bottom w:val="single" w:sz="8" w:space="0" w:color="auto"/>
              <w:right w:val="nil"/>
            </w:tcBorders>
            <w:shd w:val="clear" w:color="auto" w:fill="auto"/>
            <w:noWrap/>
            <w:vAlign w:val="center"/>
            <w:hideMark/>
          </w:tcPr>
          <w:p w14:paraId="10BE6008" w14:textId="5484FF98" w:rsidR="00613783" w:rsidRPr="003A49C8" w:rsidRDefault="00613783" w:rsidP="00E33705">
            <w:pPr>
              <w:spacing w:after="0" w:line="240" w:lineRule="auto"/>
              <w:rPr>
                <w:rFonts w:eastAsia="Times New Roman" w:cs="Times New Roman"/>
                <w:b/>
                <w:bCs/>
                <w:sz w:val="16"/>
                <w:szCs w:val="16"/>
              </w:rPr>
            </w:pPr>
            <w:r w:rsidRPr="003A49C8">
              <w:rPr>
                <w:rFonts w:eastAsia="Times New Roman" w:cs="Times New Roman"/>
                <w:b/>
                <w:bCs/>
                <w:sz w:val="16"/>
                <w:szCs w:val="16"/>
              </w:rPr>
              <w:t>0.081</w:t>
            </w:r>
            <w:r w:rsidR="002206CB" w:rsidRPr="003A49C8">
              <w:rPr>
                <w:rFonts w:eastAsia="Times New Roman" w:cs="Times New Roman"/>
                <w:b/>
                <w:bCs/>
                <w:sz w:val="16"/>
                <w:szCs w:val="16"/>
              </w:rPr>
              <w:t>198</w:t>
            </w:r>
          </w:p>
        </w:tc>
        <w:tc>
          <w:tcPr>
            <w:tcW w:w="100" w:type="pct"/>
            <w:tcBorders>
              <w:top w:val="nil"/>
              <w:left w:val="nil"/>
              <w:bottom w:val="single" w:sz="8" w:space="0" w:color="auto"/>
              <w:right w:val="nil"/>
            </w:tcBorders>
            <w:shd w:val="clear" w:color="auto" w:fill="auto"/>
            <w:noWrap/>
            <w:vAlign w:val="center"/>
            <w:hideMark/>
          </w:tcPr>
          <w:p w14:paraId="7276D032" w14:textId="77777777" w:rsidR="00613783" w:rsidRPr="003A49C8" w:rsidRDefault="00613783" w:rsidP="00E33705">
            <w:pPr>
              <w:spacing w:after="0" w:line="240" w:lineRule="auto"/>
              <w:rPr>
                <w:rFonts w:eastAsia="Times New Roman" w:cs="Times New Roman"/>
                <w:b/>
                <w:bCs/>
                <w:sz w:val="16"/>
                <w:szCs w:val="16"/>
              </w:rPr>
            </w:pPr>
          </w:p>
        </w:tc>
        <w:tc>
          <w:tcPr>
            <w:tcW w:w="373" w:type="pct"/>
            <w:tcBorders>
              <w:top w:val="nil"/>
              <w:left w:val="nil"/>
              <w:bottom w:val="single" w:sz="8" w:space="0" w:color="auto"/>
              <w:right w:val="nil"/>
            </w:tcBorders>
            <w:shd w:val="clear" w:color="auto" w:fill="auto"/>
            <w:noWrap/>
            <w:vAlign w:val="center"/>
            <w:hideMark/>
          </w:tcPr>
          <w:p w14:paraId="531DFE55" w14:textId="06D04463" w:rsidR="00613783" w:rsidRPr="003A49C8" w:rsidRDefault="00613783" w:rsidP="00E33705">
            <w:pPr>
              <w:spacing w:after="0" w:line="240" w:lineRule="auto"/>
              <w:rPr>
                <w:rFonts w:eastAsia="Times New Roman" w:cs="Times New Roman"/>
                <w:b/>
                <w:bCs/>
                <w:sz w:val="16"/>
                <w:szCs w:val="16"/>
              </w:rPr>
            </w:pPr>
            <w:r w:rsidRPr="003A49C8">
              <w:rPr>
                <w:rFonts w:eastAsia="Times New Roman" w:cs="Times New Roman"/>
                <w:b/>
                <w:bCs/>
                <w:sz w:val="16"/>
                <w:szCs w:val="16"/>
              </w:rPr>
              <w:t>0.244</w:t>
            </w:r>
            <w:r w:rsidR="002206CB" w:rsidRPr="003A49C8">
              <w:rPr>
                <w:rFonts w:eastAsia="Times New Roman" w:cs="Times New Roman"/>
                <w:b/>
                <w:bCs/>
                <w:sz w:val="16"/>
                <w:szCs w:val="16"/>
              </w:rPr>
              <w:t>907</w:t>
            </w:r>
          </w:p>
        </w:tc>
        <w:tc>
          <w:tcPr>
            <w:tcW w:w="373" w:type="pct"/>
            <w:tcBorders>
              <w:top w:val="nil"/>
              <w:left w:val="nil"/>
              <w:bottom w:val="single" w:sz="8" w:space="0" w:color="auto"/>
              <w:right w:val="nil"/>
            </w:tcBorders>
            <w:shd w:val="clear" w:color="auto" w:fill="auto"/>
            <w:noWrap/>
            <w:vAlign w:val="center"/>
            <w:hideMark/>
          </w:tcPr>
          <w:p w14:paraId="40B2D992" w14:textId="7AECD649" w:rsidR="00613783" w:rsidRPr="003A49C8" w:rsidRDefault="00613783" w:rsidP="00E33705">
            <w:pPr>
              <w:spacing w:after="0" w:line="240" w:lineRule="auto"/>
              <w:rPr>
                <w:rFonts w:eastAsia="Times New Roman" w:cs="Times New Roman"/>
                <w:b/>
                <w:bCs/>
                <w:sz w:val="16"/>
                <w:szCs w:val="16"/>
              </w:rPr>
            </w:pPr>
            <w:r w:rsidRPr="003A49C8">
              <w:rPr>
                <w:rFonts w:eastAsia="Times New Roman" w:cs="Times New Roman"/>
                <w:b/>
                <w:bCs/>
                <w:sz w:val="16"/>
                <w:szCs w:val="16"/>
              </w:rPr>
              <w:t>0.489</w:t>
            </w:r>
            <w:r w:rsidR="002206CB" w:rsidRPr="003A49C8">
              <w:rPr>
                <w:rFonts w:eastAsia="Times New Roman" w:cs="Times New Roman"/>
                <w:b/>
                <w:bCs/>
                <w:sz w:val="16"/>
                <w:szCs w:val="16"/>
              </w:rPr>
              <w:t>692</w:t>
            </w:r>
          </w:p>
        </w:tc>
      </w:tr>
      <w:tr w:rsidR="003A49C8" w:rsidRPr="003A49C8" w14:paraId="29886DD9" w14:textId="77777777" w:rsidTr="00343F9E">
        <w:trPr>
          <w:trHeight w:val="33"/>
        </w:trPr>
        <w:tc>
          <w:tcPr>
            <w:tcW w:w="2192" w:type="pct"/>
            <w:tcBorders>
              <w:top w:val="nil"/>
              <w:left w:val="nil"/>
              <w:bottom w:val="nil"/>
              <w:right w:val="nil"/>
            </w:tcBorders>
            <w:shd w:val="clear" w:color="auto" w:fill="auto"/>
            <w:noWrap/>
            <w:vAlign w:val="center"/>
            <w:hideMark/>
          </w:tcPr>
          <w:p w14:paraId="5CF251EF" w14:textId="77777777" w:rsidR="00613783" w:rsidRPr="003A49C8" w:rsidRDefault="00613783" w:rsidP="00E33705">
            <w:pPr>
              <w:spacing w:after="0" w:line="240" w:lineRule="auto"/>
              <w:rPr>
                <w:rFonts w:eastAsia="Times New Roman" w:cs="Times New Roman"/>
                <w:b/>
                <w:bCs/>
                <w:sz w:val="16"/>
                <w:szCs w:val="16"/>
              </w:rPr>
            </w:pPr>
          </w:p>
        </w:tc>
        <w:tc>
          <w:tcPr>
            <w:tcW w:w="373" w:type="pct"/>
            <w:tcBorders>
              <w:top w:val="nil"/>
              <w:left w:val="nil"/>
              <w:bottom w:val="nil"/>
              <w:right w:val="nil"/>
            </w:tcBorders>
            <w:shd w:val="clear" w:color="auto" w:fill="auto"/>
            <w:noWrap/>
            <w:vAlign w:val="center"/>
            <w:hideMark/>
          </w:tcPr>
          <w:p w14:paraId="573E22AD" w14:textId="77777777" w:rsidR="00613783" w:rsidRPr="003A49C8" w:rsidRDefault="00613783" w:rsidP="00E33705">
            <w:pPr>
              <w:spacing w:after="0" w:line="240" w:lineRule="auto"/>
              <w:rPr>
                <w:rFonts w:eastAsia="Times New Roman" w:cs="Times New Roman"/>
                <w:sz w:val="20"/>
                <w:szCs w:val="20"/>
              </w:rPr>
            </w:pPr>
          </w:p>
        </w:tc>
        <w:tc>
          <w:tcPr>
            <w:tcW w:w="373" w:type="pct"/>
            <w:tcBorders>
              <w:top w:val="nil"/>
              <w:left w:val="nil"/>
              <w:bottom w:val="nil"/>
              <w:right w:val="nil"/>
            </w:tcBorders>
            <w:shd w:val="clear" w:color="auto" w:fill="auto"/>
            <w:noWrap/>
            <w:vAlign w:val="center"/>
            <w:hideMark/>
          </w:tcPr>
          <w:p w14:paraId="05C5336C" w14:textId="77777777" w:rsidR="00613783" w:rsidRPr="003A49C8" w:rsidRDefault="00613783" w:rsidP="00E33705">
            <w:pPr>
              <w:spacing w:after="0" w:line="240" w:lineRule="auto"/>
              <w:rPr>
                <w:rFonts w:eastAsia="Times New Roman" w:cs="Times New Roman"/>
                <w:sz w:val="20"/>
                <w:szCs w:val="20"/>
              </w:rPr>
            </w:pPr>
          </w:p>
        </w:tc>
        <w:tc>
          <w:tcPr>
            <w:tcW w:w="373" w:type="pct"/>
            <w:tcBorders>
              <w:top w:val="single" w:sz="8" w:space="0" w:color="auto"/>
              <w:left w:val="nil"/>
              <w:bottom w:val="nil"/>
              <w:right w:val="nil"/>
            </w:tcBorders>
            <w:shd w:val="clear" w:color="auto" w:fill="auto"/>
            <w:noWrap/>
            <w:vAlign w:val="center"/>
            <w:hideMark/>
          </w:tcPr>
          <w:p w14:paraId="79527146" w14:textId="77777777" w:rsidR="00613783" w:rsidRPr="003A49C8" w:rsidRDefault="00613783" w:rsidP="00E33705">
            <w:pPr>
              <w:spacing w:after="0" w:line="240" w:lineRule="auto"/>
              <w:rPr>
                <w:rFonts w:eastAsia="Times New Roman" w:cs="Times New Roman"/>
                <w:sz w:val="20"/>
                <w:szCs w:val="20"/>
              </w:rPr>
            </w:pPr>
          </w:p>
        </w:tc>
        <w:tc>
          <w:tcPr>
            <w:tcW w:w="100" w:type="pct"/>
            <w:tcBorders>
              <w:top w:val="single" w:sz="8" w:space="0" w:color="auto"/>
              <w:left w:val="nil"/>
              <w:bottom w:val="nil"/>
              <w:right w:val="nil"/>
            </w:tcBorders>
            <w:shd w:val="clear" w:color="auto" w:fill="auto"/>
            <w:noWrap/>
            <w:vAlign w:val="center"/>
            <w:hideMark/>
          </w:tcPr>
          <w:p w14:paraId="6AD08FBA" w14:textId="77777777" w:rsidR="00613783" w:rsidRPr="003A49C8" w:rsidRDefault="00613783" w:rsidP="00E33705">
            <w:pPr>
              <w:spacing w:after="0" w:line="240" w:lineRule="auto"/>
              <w:rPr>
                <w:rFonts w:eastAsia="Times New Roman" w:cs="Times New Roman"/>
                <w:sz w:val="20"/>
                <w:szCs w:val="20"/>
              </w:rPr>
            </w:pPr>
          </w:p>
        </w:tc>
        <w:tc>
          <w:tcPr>
            <w:tcW w:w="373" w:type="pct"/>
            <w:tcBorders>
              <w:top w:val="single" w:sz="8" w:space="0" w:color="auto"/>
              <w:left w:val="nil"/>
              <w:bottom w:val="nil"/>
              <w:right w:val="nil"/>
            </w:tcBorders>
            <w:shd w:val="clear" w:color="auto" w:fill="auto"/>
            <w:noWrap/>
            <w:vAlign w:val="center"/>
            <w:hideMark/>
          </w:tcPr>
          <w:p w14:paraId="5E26B1CD" w14:textId="77777777" w:rsidR="00613783" w:rsidRPr="003A49C8" w:rsidRDefault="00613783" w:rsidP="00E33705">
            <w:pPr>
              <w:spacing w:after="0" w:line="240" w:lineRule="auto"/>
              <w:rPr>
                <w:rFonts w:eastAsia="Times New Roman" w:cs="Times New Roman"/>
                <w:sz w:val="20"/>
                <w:szCs w:val="20"/>
              </w:rPr>
            </w:pPr>
          </w:p>
        </w:tc>
        <w:tc>
          <w:tcPr>
            <w:tcW w:w="373" w:type="pct"/>
            <w:tcBorders>
              <w:top w:val="single" w:sz="8" w:space="0" w:color="auto"/>
              <w:left w:val="nil"/>
              <w:bottom w:val="nil"/>
              <w:right w:val="nil"/>
            </w:tcBorders>
            <w:shd w:val="clear" w:color="auto" w:fill="auto"/>
            <w:noWrap/>
            <w:vAlign w:val="center"/>
            <w:hideMark/>
          </w:tcPr>
          <w:p w14:paraId="0D800095" w14:textId="77777777" w:rsidR="00613783" w:rsidRPr="003A49C8" w:rsidRDefault="00613783" w:rsidP="00E33705">
            <w:pPr>
              <w:spacing w:after="0" w:line="240" w:lineRule="auto"/>
              <w:rPr>
                <w:rFonts w:eastAsia="Times New Roman" w:cs="Times New Roman"/>
                <w:sz w:val="20"/>
                <w:szCs w:val="20"/>
              </w:rPr>
            </w:pPr>
          </w:p>
        </w:tc>
        <w:tc>
          <w:tcPr>
            <w:tcW w:w="100" w:type="pct"/>
            <w:tcBorders>
              <w:top w:val="single" w:sz="8" w:space="0" w:color="auto"/>
              <w:left w:val="nil"/>
              <w:bottom w:val="nil"/>
              <w:right w:val="nil"/>
            </w:tcBorders>
            <w:shd w:val="clear" w:color="auto" w:fill="auto"/>
            <w:noWrap/>
            <w:vAlign w:val="center"/>
            <w:hideMark/>
          </w:tcPr>
          <w:p w14:paraId="02A31851" w14:textId="77777777" w:rsidR="00613783" w:rsidRPr="003A49C8" w:rsidRDefault="00613783" w:rsidP="00E33705">
            <w:pPr>
              <w:spacing w:after="0" w:line="240" w:lineRule="auto"/>
              <w:rPr>
                <w:rFonts w:eastAsia="Times New Roman" w:cs="Times New Roman"/>
                <w:sz w:val="20"/>
                <w:szCs w:val="20"/>
              </w:rPr>
            </w:pPr>
          </w:p>
        </w:tc>
        <w:tc>
          <w:tcPr>
            <w:tcW w:w="373" w:type="pct"/>
            <w:tcBorders>
              <w:top w:val="single" w:sz="8" w:space="0" w:color="auto"/>
              <w:left w:val="nil"/>
              <w:bottom w:val="nil"/>
              <w:right w:val="nil"/>
            </w:tcBorders>
            <w:shd w:val="clear" w:color="auto" w:fill="auto"/>
            <w:noWrap/>
            <w:vAlign w:val="center"/>
            <w:hideMark/>
          </w:tcPr>
          <w:p w14:paraId="45E89A24" w14:textId="77777777" w:rsidR="00613783" w:rsidRPr="003A49C8" w:rsidRDefault="00613783" w:rsidP="00E33705">
            <w:pPr>
              <w:spacing w:after="0" w:line="240" w:lineRule="auto"/>
              <w:rPr>
                <w:rFonts w:eastAsia="Times New Roman" w:cs="Times New Roman"/>
                <w:sz w:val="20"/>
                <w:szCs w:val="20"/>
              </w:rPr>
            </w:pPr>
          </w:p>
        </w:tc>
        <w:tc>
          <w:tcPr>
            <w:tcW w:w="373" w:type="pct"/>
            <w:tcBorders>
              <w:top w:val="nil"/>
              <w:left w:val="nil"/>
              <w:bottom w:val="nil"/>
              <w:right w:val="nil"/>
            </w:tcBorders>
            <w:shd w:val="clear" w:color="auto" w:fill="auto"/>
            <w:noWrap/>
            <w:vAlign w:val="center"/>
            <w:hideMark/>
          </w:tcPr>
          <w:p w14:paraId="076E3232" w14:textId="77777777" w:rsidR="00613783" w:rsidRPr="003A49C8" w:rsidRDefault="00613783" w:rsidP="00E33705">
            <w:pPr>
              <w:spacing w:after="0" w:line="240" w:lineRule="auto"/>
              <w:rPr>
                <w:rFonts w:eastAsia="Times New Roman" w:cs="Times New Roman"/>
                <w:sz w:val="20"/>
                <w:szCs w:val="20"/>
              </w:rPr>
            </w:pPr>
          </w:p>
        </w:tc>
      </w:tr>
      <w:tr w:rsidR="003A49C8" w:rsidRPr="003A49C8" w14:paraId="4F9ECE05" w14:textId="77777777" w:rsidTr="00343F9E">
        <w:trPr>
          <w:trHeight w:val="53"/>
        </w:trPr>
        <w:tc>
          <w:tcPr>
            <w:tcW w:w="2192" w:type="pct"/>
            <w:tcBorders>
              <w:top w:val="nil"/>
              <w:left w:val="nil"/>
              <w:bottom w:val="nil"/>
              <w:right w:val="nil"/>
            </w:tcBorders>
            <w:shd w:val="clear" w:color="auto" w:fill="auto"/>
            <w:noWrap/>
            <w:vAlign w:val="center"/>
            <w:hideMark/>
          </w:tcPr>
          <w:p w14:paraId="71EAF4D2" w14:textId="77777777" w:rsidR="00613783" w:rsidRPr="003A49C8" w:rsidRDefault="00613783" w:rsidP="00E33705">
            <w:pPr>
              <w:spacing w:after="0" w:line="240" w:lineRule="auto"/>
              <w:rPr>
                <w:rFonts w:eastAsia="Times New Roman" w:cs="Times New Roman"/>
                <w:b/>
                <w:bCs/>
                <w:sz w:val="16"/>
                <w:szCs w:val="16"/>
              </w:rPr>
            </w:pPr>
            <w:r w:rsidRPr="003A49C8">
              <w:rPr>
                <w:rFonts w:eastAsia="Times New Roman" w:cs="Times New Roman"/>
                <w:b/>
                <w:bCs/>
                <w:sz w:val="16"/>
                <w:szCs w:val="16"/>
              </w:rPr>
              <w:t>Panel II: Healthcare ETFs, m = 300</w:t>
            </w:r>
          </w:p>
        </w:tc>
        <w:tc>
          <w:tcPr>
            <w:tcW w:w="373" w:type="pct"/>
            <w:tcBorders>
              <w:top w:val="nil"/>
              <w:left w:val="nil"/>
              <w:bottom w:val="nil"/>
              <w:right w:val="nil"/>
            </w:tcBorders>
            <w:shd w:val="clear" w:color="auto" w:fill="auto"/>
            <w:noWrap/>
            <w:vAlign w:val="center"/>
            <w:hideMark/>
          </w:tcPr>
          <w:p w14:paraId="5DBF1812" w14:textId="77777777" w:rsidR="00613783" w:rsidRPr="003A49C8" w:rsidRDefault="00613783" w:rsidP="00E33705">
            <w:pPr>
              <w:spacing w:after="0" w:line="240" w:lineRule="auto"/>
              <w:rPr>
                <w:rFonts w:eastAsia="Times New Roman" w:cs="Times New Roman"/>
                <w:b/>
                <w:bCs/>
                <w:sz w:val="16"/>
                <w:szCs w:val="16"/>
              </w:rPr>
            </w:pPr>
          </w:p>
        </w:tc>
        <w:tc>
          <w:tcPr>
            <w:tcW w:w="373" w:type="pct"/>
            <w:tcBorders>
              <w:top w:val="nil"/>
              <w:left w:val="nil"/>
              <w:bottom w:val="nil"/>
              <w:right w:val="nil"/>
            </w:tcBorders>
            <w:shd w:val="clear" w:color="auto" w:fill="auto"/>
            <w:noWrap/>
            <w:vAlign w:val="center"/>
            <w:hideMark/>
          </w:tcPr>
          <w:p w14:paraId="070B4714" w14:textId="77777777" w:rsidR="00613783" w:rsidRPr="003A49C8" w:rsidRDefault="00613783" w:rsidP="00E33705">
            <w:pPr>
              <w:spacing w:after="0" w:line="240" w:lineRule="auto"/>
              <w:rPr>
                <w:rFonts w:eastAsia="Times New Roman" w:cs="Times New Roman"/>
                <w:sz w:val="20"/>
                <w:szCs w:val="20"/>
              </w:rPr>
            </w:pPr>
          </w:p>
        </w:tc>
        <w:tc>
          <w:tcPr>
            <w:tcW w:w="373" w:type="pct"/>
            <w:tcBorders>
              <w:top w:val="nil"/>
              <w:left w:val="nil"/>
              <w:bottom w:val="nil"/>
              <w:right w:val="nil"/>
            </w:tcBorders>
            <w:shd w:val="clear" w:color="auto" w:fill="auto"/>
            <w:noWrap/>
            <w:vAlign w:val="center"/>
            <w:hideMark/>
          </w:tcPr>
          <w:p w14:paraId="56B28A41" w14:textId="77777777" w:rsidR="00613783" w:rsidRPr="003A49C8" w:rsidRDefault="00613783" w:rsidP="00E33705">
            <w:pPr>
              <w:spacing w:after="0" w:line="240" w:lineRule="auto"/>
              <w:rPr>
                <w:rFonts w:eastAsia="Times New Roman" w:cs="Times New Roman"/>
                <w:sz w:val="20"/>
                <w:szCs w:val="20"/>
              </w:rPr>
            </w:pPr>
          </w:p>
        </w:tc>
        <w:tc>
          <w:tcPr>
            <w:tcW w:w="100" w:type="pct"/>
            <w:tcBorders>
              <w:top w:val="nil"/>
              <w:left w:val="nil"/>
              <w:bottom w:val="nil"/>
              <w:right w:val="nil"/>
            </w:tcBorders>
            <w:shd w:val="clear" w:color="auto" w:fill="auto"/>
            <w:noWrap/>
            <w:vAlign w:val="center"/>
            <w:hideMark/>
          </w:tcPr>
          <w:p w14:paraId="1A6EBE1A" w14:textId="77777777" w:rsidR="00613783" w:rsidRPr="003A49C8" w:rsidRDefault="00613783" w:rsidP="00E33705">
            <w:pPr>
              <w:spacing w:after="0" w:line="240" w:lineRule="auto"/>
              <w:rPr>
                <w:rFonts w:eastAsia="Times New Roman" w:cs="Times New Roman"/>
                <w:sz w:val="20"/>
                <w:szCs w:val="20"/>
              </w:rPr>
            </w:pPr>
          </w:p>
        </w:tc>
        <w:tc>
          <w:tcPr>
            <w:tcW w:w="373" w:type="pct"/>
            <w:tcBorders>
              <w:top w:val="nil"/>
              <w:left w:val="nil"/>
              <w:bottom w:val="nil"/>
              <w:right w:val="nil"/>
            </w:tcBorders>
            <w:shd w:val="clear" w:color="auto" w:fill="auto"/>
            <w:noWrap/>
            <w:vAlign w:val="center"/>
            <w:hideMark/>
          </w:tcPr>
          <w:p w14:paraId="257FA0CC" w14:textId="77777777" w:rsidR="00613783" w:rsidRPr="003A49C8" w:rsidRDefault="00613783" w:rsidP="00E33705">
            <w:pPr>
              <w:spacing w:after="0" w:line="240" w:lineRule="auto"/>
              <w:rPr>
                <w:rFonts w:eastAsia="Times New Roman" w:cs="Times New Roman"/>
                <w:sz w:val="20"/>
                <w:szCs w:val="20"/>
              </w:rPr>
            </w:pPr>
          </w:p>
        </w:tc>
        <w:tc>
          <w:tcPr>
            <w:tcW w:w="373" w:type="pct"/>
            <w:tcBorders>
              <w:top w:val="nil"/>
              <w:left w:val="nil"/>
              <w:bottom w:val="nil"/>
              <w:right w:val="nil"/>
            </w:tcBorders>
            <w:shd w:val="clear" w:color="auto" w:fill="auto"/>
            <w:noWrap/>
            <w:vAlign w:val="center"/>
            <w:hideMark/>
          </w:tcPr>
          <w:p w14:paraId="2C48722D" w14:textId="77777777" w:rsidR="00613783" w:rsidRPr="003A49C8" w:rsidRDefault="00613783" w:rsidP="00E33705">
            <w:pPr>
              <w:spacing w:after="0" w:line="240" w:lineRule="auto"/>
              <w:rPr>
                <w:rFonts w:eastAsia="Times New Roman" w:cs="Times New Roman"/>
                <w:sz w:val="20"/>
                <w:szCs w:val="20"/>
              </w:rPr>
            </w:pPr>
          </w:p>
        </w:tc>
        <w:tc>
          <w:tcPr>
            <w:tcW w:w="100" w:type="pct"/>
            <w:tcBorders>
              <w:top w:val="nil"/>
              <w:left w:val="nil"/>
              <w:bottom w:val="nil"/>
              <w:right w:val="nil"/>
            </w:tcBorders>
            <w:shd w:val="clear" w:color="auto" w:fill="auto"/>
            <w:noWrap/>
            <w:vAlign w:val="center"/>
            <w:hideMark/>
          </w:tcPr>
          <w:p w14:paraId="7250E76F" w14:textId="77777777" w:rsidR="00613783" w:rsidRPr="003A49C8" w:rsidRDefault="00613783" w:rsidP="00E33705">
            <w:pPr>
              <w:spacing w:after="0" w:line="240" w:lineRule="auto"/>
              <w:rPr>
                <w:rFonts w:eastAsia="Times New Roman" w:cs="Times New Roman"/>
                <w:sz w:val="20"/>
                <w:szCs w:val="20"/>
              </w:rPr>
            </w:pPr>
          </w:p>
        </w:tc>
        <w:tc>
          <w:tcPr>
            <w:tcW w:w="373" w:type="pct"/>
            <w:tcBorders>
              <w:top w:val="nil"/>
              <w:left w:val="nil"/>
              <w:bottom w:val="nil"/>
              <w:right w:val="nil"/>
            </w:tcBorders>
            <w:shd w:val="clear" w:color="auto" w:fill="auto"/>
            <w:noWrap/>
            <w:vAlign w:val="center"/>
            <w:hideMark/>
          </w:tcPr>
          <w:p w14:paraId="24CB8B48" w14:textId="77777777" w:rsidR="00613783" w:rsidRPr="003A49C8" w:rsidRDefault="00613783" w:rsidP="00E33705">
            <w:pPr>
              <w:spacing w:after="0" w:line="240" w:lineRule="auto"/>
              <w:rPr>
                <w:rFonts w:eastAsia="Times New Roman" w:cs="Times New Roman"/>
                <w:sz w:val="20"/>
                <w:szCs w:val="20"/>
              </w:rPr>
            </w:pPr>
          </w:p>
        </w:tc>
        <w:tc>
          <w:tcPr>
            <w:tcW w:w="373" w:type="pct"/>
            <w:tcBorders>
              <w:top w:val="nil"/>
              <w:left w:val="nil"/>
              <w:bottom w:val="nil"/>
              <w:right w:val="nil"/>
            </w:tcBorders>
            <w:shd w:val="clear" w:color="auto" w:fill="auto"/>
            <w:noWrap/>
            <w:vAlign w:val="center"/>
            <w:hideMark/>
          </w:tcPr>
          <w:p w14:paraId="2FAB09AC" w14:textId="77777777" w:rsidR="00613783" w:rsidRPr="003A49C8" w:rsidRDefault="00613783" w:rsidP="00E33705">
            <w:pPr>
              <w:spacing w:after="0" w:line="240" w:lineRule="auto"/>
              <w:rPr>
                <w:rFonts w:eastAsia="Times New Roman" w:cs="Times New Roman"/>
                <w:sz w:val="20"/>
                <w:szCs w:val="20"/>
              </w:rPr>
            </w:pPr>
          </w:p>
        </w:tc>
      </w:tr>
      <w:tr w:rsidR="003A49C8" w:rsidRPr="003A49C8" w14:paraId="12AC67AE" w14:textId="77777777" w:rsidTr="00343F9E">
        <w:trPr>
          <w:trHeight w:val="53"/>
        </w:trPr>
        <w:tc>
          <w:tcPr>
            <w:tcW w:w="2192" w:type="pct"/>
            <w:tcBorders>
              <w:top w:val="nil"/>
              <w:left w:val="nil"/>
              <w:bottom w:val="nil"/>
              <w:right w:val="nil"/>
            </w:tcBorders>
            <w:shd w:val="clear" w:color="auto" w:fill="auto"/>
            <w:noWrap/>
            <w:vAlign w:val="center"/>
            <w:hideMark/>
          </w:tcPr>
          <w:p w14:paraId="1A527B0C" w14:textId="6CCADC33"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XLV Health Care Select Sector</w:t>
            </w:r>
            <w:r w:rsidR="00EE038A" w:rsidRPr="003A49C8">
              <w:rPr>
                <w:rFonts w:eastAsia="Times New Roman" w:cs="Times New Roman"/>
                <w:sz w:val="16"/>
                <w:szCs w:val="16"/>
              </w:rPr>
              <w:t xml:space="preserve"> SPDR Fund</w:t>
            </w:r>
          </w:p>
        </w:tc>
        <w:tc>
          <w:tcPr>
            <w:tcW w:w="373" w:type="pct"/>
            <w:tcBorders>
              <w:top w:val="nil"/>
              <w:left w:val="nil"/>
              <w:bottom w:val="nil"/>
              <w:right w:val="nil"/>
            </w:tcBorders>
            <w:shd w:val="clear" w:color="auto" w:fill="auto"/>
            <w:noWrap/>
            <w:vAlign w:val="center"/>
            <w:hideMark/>
          </w:tcPr>
          <w:p w14:paraId="69473E0B"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2.775961</w:t>
            </w:r>
          </w:p>
        </w:tc>
        <w:tc>
          <w:tcPr>
            <w:tcW w:w="373" w:type="pct"/>
            <w:tcBorders>
              <w:top w:val="nil"/>
              <w:left w:val="nil"/>
              <w:bottom w:val="nil"/>
              <w:right w:val="nil"/>
            </w:tcBorders>
            <w:shd w:val="clear" w:color="auto" w:fill="auto"/>
            <w:noWrap/>
            <w:vAlign w:val="center"/>
            <w:hideMark/>
          </w:tcPr>
          <w:p w14:paraId="6D241F29"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0.073304</w:t>
            </w:r>
          </w:p>
        </w:tc>
        <w:tc>
          <w:tcPr>
            <w:tcW w:w="373" w:type="pct"/>
            <w:tcBorders>
              <w:top w:val="nil"/>
              <w:left w:val="nil"/>
              <w:bottom w:val="nil"/>
              <w:right w:val="nil"/>
            </w:tcBorders>
            <w:shd w:val="clear" w:color="auto" w:fill="auto"/>
            <w:noWrap/>
            <w:vAlign w:val="center"/>
            <w:hideMark/>
          </w:tcPr>
          <w:p w14:paraId="1DCC48B4"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0.057106</w:t>
            </w:r>
          </w:p>
        </w:tc>
        <w:tc>
          <w:tcPr>
            <w:tcW w:w="100" w:type="pct"/>
            <w:tcBorders>
              <w:top w:val="nil"/>
              <w:left w:val="nil"/>
              <w:bottom w:val="nil"/>
              <w:right w:val="nil"/>
            </w:tcBorders>
            <w:shd w:val="clear" w:color="auto" w:fill="auto"/>
            <w:noWrap/>
            <w:vAlign w:val="center"/>
            <w:hideMark/>
          </w:tcPr>
          <w:p w14:paraId="410DEEF1"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4E946D50"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0.281538</w:t>
            </w:r>
          </w:p>
        </w:tc>
        <w:tc>
          <w:tcPr>
            <w:tcW w:w="373" w:type="pct"/>
            <w:tcBorders>
              <w:top w:val="nil"/>
              <w:left w:val="nil"/>
              <w:bottom w:val="nil"/>
              <w:right w:val="nil"/>
            </w:tcBorders>
            <w:shd w:val="clear" w:color="auto" w:fill="auto"/>
            <w:noWrap/>
            <w:vAlign w:val="center"/>
            <w:hideMark/>
          </w:tcPr>
          <w:p w14:paraId="2F328721"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0.281538</w:t>
            </w:r>
          </w:p>
        </w:tc>
        <w:tc>
          <w:tcPr>
            <w:tcW w:w="100" w:type="pct"/>
            <w:tcBorders>
              <w:top w:val="nil"/>
              <w:left w:val="nil"/>
              <w:bottom w:val="nil"/>
              <w:right w:val="nil"/>
            </w:tcBorders>
            <w:shd w:val="clear" w:color="auto" w:fill="auto"/>
            <w:noWrap/>
            <w:vAlign w:val="center"/>
            <w:hideMark/>
          </w:tcPr>
          <w:p w14:paraId="4076DA80"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2AA92E5A"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0.032155</w:t>
            </w:r>
          </w:p>
        </w:tc>
        <w:tc>
          <w:tcPr>
            <w:tcW w:w="373" w:type="pct"/>
            <w:tcBorders>
              <w:top w:val="nil"/>
              <w:left w:val="nil"/>
              <w:bottom w:val="nil"/>
              <w:right w:val="nil"/>
            </w:tcBorders>
            <w:shd w:val="clear" w:color="auto" w:fill="auto"/>
            <w:noWrap/>
            <w:vAlign w:val="center"/>
            <w:hideMark/>
          </w:tcPr>
          <w:p w14:paraId="376401F8"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0.140769</w:t>
            </w:r>
          </w:p>
        </w:tc>
      </w:tr>
      <w:tr w:rsidR="003A49C8" w:rsidRPr="003A49C8" w14:paraId="15F79F40" w14:textId="77777777" w:rsidTr="00343F9E">
        <w:trPr>
          <w:trHeight w:val="53"/>
        </w:trPr>
        <w:tc>
          <w:tcPr>
            <w:tcW w:w="2192" w:type="pct"/>
            <w:tcBorders>
              <w:top w:val="nil"/>
              <w:left w:val="nil"/>
              <w:bottom w:val="nil"/>
              <w:right w:val="nil"/>
            </w:tcBorders>
            <w:shd w:val="clear" w:color="auto" w:fill="auto"/>
            <w:noWrap/>
            <w:vAlign w:val="center"/>
            <w:hideMark/>
          </w:tcPr>
          <w:p w14:paraId="7B1236DA"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ARKG ARK Genomic Revolution ETF</w:t>
            </w:r>
          </w:p>
        </w:tc>
        <w:tc>
          <w:tcPr>
            <w:tcW w:w="373" w:type="pct"/>
            <w:tcBorders>
              <w:top w:val="nil"/>
              <w:left w:val="nil"/>
              <w:bottom w:val="nil"/>
              <w:right w:val="nil"/>
            </w:tcBorders>
            <w:shd w:val="clear" w:color="auto" w:fill="auto"/>
            <w:noWrap/>
            <w:vAlign w:val="center"/>
            <w:hideMark/>
          </w:tcPr>
          <w:p w14:paraId="04CF55B1"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1.936917</w:t>
            </w:r>
          </w:p>
        </w:tc>
        <w:tc>
          <w:tcPr>
            <w:tcW w:w="373" w:type="pct"/>
            <w:tcBorders>
              <w:top w:val="nil"/>
              <w:left w:val="nil"/>
              <w:bottom w:val="nil"/>
              <w:right w:val="nil"/>
            </w:tcBorders>
            <w:shd w:val="clear" w:color="auto" w:fill="auto"/>
            <w:noWrap/>
            <w:vAlign w:val="center"/>
            <w:hideMark/>
          </w:tcPr>
          <w:p w14:paraId="21170A98"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0.153389</w:t>
            </w:r>
          </w:p>
        </w:tc>
        <w:tc>
          <w:tcPr>
            <w:tcW w:w="373" w:type="pct"/>
            <w:tcBorders>
              <w:top w:val="nil"/>
              <w:left w:val="nil"/>
              <w:bottom w:val="nil"/>
              <w:right w:val="nil"/>
            </w:tcBorders>
            <w:shd w:val="clear" w:color="auto" w:fill="auto"/>
            <w:noWrap/>
            <w:vAlign w:val="center"/>
            <w:hideMark/>
          </w:tcPr>
          <w:p w14:paraId="0BFE31E7"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0.107245</w:t>
            </w:r>
          </w:p>
        </w:tc>
        <w:tc>
          <w:tcPr>
            <w:tcW w:w="100" w:type="pct"/>
            <w:tcBorders>
              <w:top w:val="nil"/>
              <w:left w:val="nil"/>
              <w:bottom w:val="nil"/>
              <w:right w:val="nil"/>
            </w:tcBorders>
            <w:shd w:val="clear" w:color="auto" w:fill="auto"/>
            <w:noWrap/>
            <w:vAlign w:val="center"/>
            <w:hideMark/>
          </w:tcPr>
          <w:p w14:paraId="31CD25BD"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262D8DB1"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0.533665</w:t>
            </w:r>
          </w:p>
        </w:tc>
        <w:tc>
          <w:tcPr>
            <w:tcW w:w="373" w:type="pct"/>
            <w:tcBorders>
              <w:top w:val="nil"/>
              <w:left w:val="nil"/>
              <w:bottom w:val="nil"/>
              <w:right w:val="nil"/>
            </w:tcBorders>
            <w:shd w:val="clear" w:color="auto" w:fill="auto"/>
            <w:noWrap/>
            <w:vAlign w:val="center"/>
            <w:hideMark/>
          </w:tcPr>
          <w:p w14:paraId="3CA18476"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0.533665</w:t>
            </w:r>
          </w:p>
        </w:tc>
        <w:tc>
          <w:tcPr>
            <w:tcW w:w="100" w:type="pct"/>
            <w:tcBorders>
              <w:top w:val="nil"/>
              <w:left w:val="nil"/>
              <w:bottom w:val="nil"/>
              <w:right w:val="nil"/>
            </w:tcBorders>
            <w:shd w:val="clear" w:color="auto" w:fill="auto"/>
            <w:noWrap/>
            <w:vAlign w:val="center"/>
            <w:hideMark/>
          </w:tcPr>
          <w:p w14:paraId="1B636F72"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50B73451"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0.114466</w:t>
            </w:r>
          </w:p>
        </w:tc>
        <w:tc>
          <w:tcPr>
            <w:tcW w:w="373" w:type="pct"/>
            <w:tcBorders>
              <w:top w:val="nil"/>
              <w:left w:val="nil"/>
              <w:bottom w:val="nil"/>
              <w:right w:val="nil"/>
            </w:tcBorders>
            <w:shd w:val="clear" w:color="auto" w:fill="auto"/>
            <w:noWrap/>
            <w:vAlign w:val="center"/>
            <w:hideMark/>
          </w:tcPr>
          <w:p w14:paraId="1F5EE158"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0.266833</w:t>
            </w:r>
          </w:p>
        </w:tc>
      </w:tr>
      <w:tr w:rsidR="003A49C8" w:rsidRPr="003A49C8" w14:paraId="409144C0" w14:textId="77777777" w:rsidTr="00343F9E">
        <w:trPr>
          <w:trHeight w:val="53"/>
        </w:trPr>
        <w:tc>
          <w:tcPr>
            <w:tcW w:w="2192" w:type="pct"/>
            <w:tcBorders>
              <w:top w:val="nil"/>
              <w:left w:val="nil"/>
              <w:bottom w:val="nil"/>
              <w:right w:val="nil"/>
            </w:tcBorders>
            <w:shd w:val="clear" w:color="auto" w:fill="auto"/>
            <w:noWrap/>
            <w:vAlign w:val="center"/>
            <w:hideMark/>
          </w:tcPr>
          <w:p w14:paraId="57A50927" w14:textId="73336F26"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FHLC Fidelity MSCI Health Care</w:t>
            </w:r>
            <w:r w:rsidR="00C55389" w:rsidRPr="003A49C8">
              <w:rPr>
                <w:rFonts w:eastAsia="Times New Roman" w:cs="Times New Roman"/>
                <w:sz w:val="16"/>
                <w:szCs w:val="16"/>
              </w:rPr>
              <w:t xml:space="preserve"> Index ETF</w:t>
            </w:r>
          </w:p>
        </w:tc>
        <w:tc>
          <w:tcPr>
            <w:tcW w:w="373" w:type="pct"/>
            <w:tcBorders>
              <w:top w:val="nil"/>
              <w:left w:val="nil"/>
              <w:bottom w:val="nil"/>
              <w:right w:val="nil"/>
            </w:tcBorders>
            <w:shd w:val="clear" w:color="auto" w:fill="auto"/>
            <w:noWrap/>
            <w:vAlign w:val="center"/>
            <w:hideMark/>
          </w:tcPr>
          <w:p w14:paraId="715D1221"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1.832797</w:t>
            </w:r>
          </w:p>
        </w:tc>
        <w:tc>
          <w:tcPr>
            <w:tcW w:w="373" w:type="pct"/>
            <w:tcBorders>
              <w:top w:val="nil"/>
              <w:left w:val="nil"/>
              <w:bottom w:val="nil"/>
              <w:right w:val="nil"/>
            </w:tcBorders>
            <w:shd w:val="clear" w:color="auto" w:fill="auto"/>
            <w:noWrap/>
            <w:vAlign w:val="center"/>
            <w:hideMark/>
          </w:tcPr>
          <w:p w14:paraId="1A8D6A96"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0.080156</w:t>
            </w:r>
          </w:p>
        </w:tc>
        <w:tc>
          <w:tcPr>
            <w:tcW w:w="373" w:type="pct"/>
            <w:tcBorders>
              <w:top w:val="nil"/>
              <w:left w:val="nil"/>
              <w:bottom w:val="nil"/>
              <w:right w:val="nil"/>
            </w:tcBorders>
            <w:shd w:val="clear" w:color="auto" w:fill="auto"/>
            <w:noWrap/>
            <w:vAlign w:val="center"/>
            <w:hideMark/>
          </w:tcPr>
          <w:p w14:paraId="3E3EB3DD"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0.054915</w:t>
            </w:r>
          </w:p>
        </w:tc>
        <w:tc>
          <w:tcPr>
            <w:tcW w:w="100" w:type="pct"/>
            <w:tcBorders>
              <w:top w:val="nil"/>
              <w:left w:val="nil"/>
              <w:bottom w:val="nil"/>
              <w:right w:val="nil"/>
            </w:tcBorders>
            <w:shd w:val="clear" w:color="auto" w:fill="auto"/>
            <w:noWrap/>
            <w:vAlign w:val="center"/>
            <w:hideMark/>
          </w:tcPr>
          <w:p w14:paraId="0687080B"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054C50E9"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0.600386</w:t>
            </w:r>
          </w:p>
        </w:tc>
        <w:tc>
          <w:tcPr>
            <w:tcW w:w="373" w:type="pct"/>
            <w:tcBorders>
              <w:top w:val="nil"/>
              <w:left w:val="nil"/>
              <w:bottom w:val="nil"/>
              <w:right w:val="nil"/>
            </w:tcBorders>
            <w:shd w:val="clear" w:color="auto" w:fill="auto"/>
            <w:noWrap/>
            <w:vAlign w:val="center"/>
            <w:hideMark/>
          </w:tcPr>
          <w:p w14:paraId="5BC8B5FD"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0.600386</w:t>
            </w:r>
          </w:p>
        </w:tc>
        <w:tc>
          <w:tcPr>
            <w:tcW w:w="100" w:type="pct"/>
            <w:tcBorders>
              <w:top w:val="nil"/>
              <w:left w:val="nil"/>
              <w:bottom w:val="nil"/>
              <w:right w:val="nil"/>
            </w:tcBorders>
            <w:shd w:val="clear" w:color="auto" w:fill="auto"/>
            <w:noWrap/>
            <w:vAlign w:val="center"/>
            <w:hideMark/>
          </w:tcPr>
          <w:p w14:paraId="3DFA7F5B"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4DF494BC"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0.065941</w:t>
            </w:r>
          </w:p>
        </w:tc>
        <w:tc>
          <w:tcPr>
            <w:tcW w:w="373" w:type="pct"/>
            <w:tcBorders>
              <w:top w:val="nil"/>
              <w:left w:val="nil"/>
              <w:bottom w:val="nil"/>
              <w:right w:val="nil"/>
            </w:tcBorders>
            <w:shd w:val="clear" w:color="auto" w:fill="auto"/>
            <w:noWrap/>
            <w:vAlign w:val="center"/>
            <w:hideMark/>
          </w:tcPr>
          <w:p w14:paraId="3AFABF7F"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0.300193</w:t>
            </w:r>
          </w:p>
        </w:tc>
      </w:tr>
      <w:tr w:rsidR="003A49C8" w:rsidRPr="003A49C8" w14:paraId="03840589" w14:textId="77777777" w:rsidTr="00343F9E">
        <w:trPr>
          <w:trHeight w:val="53"/>
        </w:trPr>
        <w:tc>
          <w:tcPr>
            <w:tcW w:w="2192" w:type="pct"/>
            <w:tcBorders>
              <w:top w:val="nil"/>
              <w:left w:val="nil"/>
              <w:bottom w:val="nil"/>
              <w:right w:val="nil"/>
            </w:tcBorders>
            <w:shd w:val="clear" w:color="auto" w:fill="auto"/>
            <w:noWrap/>
            <w:vAlign w:val="center"/>
            <w:hideMark/>
          </w:tcPr>
          <w:p w14:paraId="20075CE2" w14:textId="482C0C9F"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IBB iShares Nasdaq Biotechnology</w:t>
            </w:r>
            <w:r w:rsidR="00C55389" w:rsidRPr="003A49C8">
              <w:rPr>
                <w:rFonts w:eastAsia="Times New Roman" w:cs="Times New Roman"/>
                <w:sz w:val="16"/>
                <w:szCs w:val="16"/>
              </w:rPr>
              <w:t xml:space="preserve"> ETF</w:t>
            </w:r>
          </w:p>
        </w:tc>
        <w:tc>
          <w:tcPr>
            <w:tcW w:w="373" w:type="pct"/>
            <w:tcBorders>
              <w:top w:val="nil"/>
              <w:left w:val="nil"/>
              <w:bottom w:val="nil"/>
              <w:right w:val="nil"/>
            </w:tcBorders>
            <w:shd w:val="clear" w:color="auto" w:fill="auto"/>
            <w:noWrap/>
            <w:vAlign w:val="center"/>
            <w:hideMark/>
          </w:tcPr>
          <w:p w14:paraId="5583097D"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2.997413</w:t>
            </w:r>
          </w:p>
        </w:tc>
        <w:tc>
          <w:tcPr>
            <w:tcW w:w="373" w:type="pct"/>
            <w:tcBorders>
              <w:top w:val="nil"/>
              <w:left w:val="nil"/>
              <w:bottom w:val="nil"/>
              <w:right w:val="nil"/>
            </w:tcBorders>
            <w:shd w:val="clear" w:color="auto" w:fill="auto"/>
            <w:noWrap/>
            <w:vAlign w:val="center"/>
            <w:hideMark/>
          </w:tcPr>
          <w:p w14:paraId="1F0FF3E1"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0.099007</w:t>
            </w:r>
          </w:p>
        </w:tc>
        <w:tc>
          <w:tcPr>
            <w:tcW w:w="373" w:type="pct"/>
            <w:tcBorders>
              <w:top w:val="nil"/>
              <w:left w:val="nil"/>
              <w:bottom w:val="nil"/>
              <w:right w:val="nil"/>
            </w:tcBorders>
            <w:shd w:val="clear" w:color="auto" w:fill="auto"/>
            <w:noWrap/>
            <w:vAlign w:val="center"/>
            <w:hideMark/>
          </w:tcPr>
          <w:p w14:paraId="420BAEB1"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0.078566</w:t>
            </w:r>
          </w:p>
        </w:tc>
        <w:tc>
          <w:tcPr>
            <w:tcW w:w="100" w:type="pct"/>
            <w:tcBorders>
              <w:top w:val="nil"/>
              <w:left w:val="nil"/>
              <w:bottom w:val="nil"/>
              <w:right w:val="nil"/>
            </w:tcBorders>
            <w:shd w:val="clear" w:color="auto" w:fill="auto"/>
            <w:noWrap/>
            <w:vAlign w:val="center"/>
            <w:hideMark/>
          </w:tcPr>
          <w:p w14:paraId="55399FBB"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1EB1A433"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0.250324</w:t>
            </w:r>
          </w:p>
        </w:tc>
        <w:tc>
          <w:tcPr>
            <w:tcW w:w="373" w:type="pct"/>
            <w:tcBorders>
              <w:top w:val="nil"/>
              <w:left w:val="nil"/>
              <w:bottom w:val="nil"/>
              <w:right w:val="nil"/>
            </w:tcBorders>
            <w:shd w:val="clear" w:color="auto" w:fill="auto"/>
            <w:noWrap/>
            <w:vAlign w:val="center"/>
            <w:hideMark/>
          </w:tcPr>
          <w:p w14:paraId="1FF4F526"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0.250324</w:t>
            </w:r>
          </w:p>
        </w:tc>
        <w:tc>
          <w:tcPr>
            <w:tcW w:w="100" w:type="pct"/>
            <w:tcBorders>
              <w:top w:val="nil"/>
              <w:left w:val="nil"/>
              <w:bottom w:val="nil"/>
              <w:right w:val="nil"/>
            </w:tcBorders>
            <w:shd w:val="clear" w:color="auto" w:fill="auto"/>
            <w:noWrap/>
            <w:vAlign w:val="center"/>
            <w:hideMark/>
          </w:tcPr>
          <w:p w14:paraId="136D6443"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66AC0D51"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0.039334</w:t>
            </w:r>
          </w:p>
        </w:tc>
        <w:tc>
          <w:tcPr>
            <w:tcW w:w="373" w:type="pct"/>
            <w:tcBorders>
              <w:top w:val="nil"/>
              <w:left w:val="nil"/>
              <w:bottom w:val="nil"/>
              <w:right w:val="nil"/>
            </w:tcBorders>
            <w:shd w:val="clear" w:color="auto" w:fill="auto"/>
            <w:noWrap/>
            <w:vAlign w:val="center"/>
            <w:hideMark/>
          </w:tcPr>
          <w:p w14:paraId="7187D85B"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0.125162</w:t>
            </w:r>
          </w:p>
        </w:tc>
      </w:tr>
      <w:tr w:rsidR="003A49C8" w:rsidRPr="003A49C8" w14:paraId="673F0B3F" w14:textId="77777777" w:rsidTr="00343F9E">
        <w:trPr>
          <w:trHeight w:val="53"/>
        </w:trPr>
        <w:tc>
          <w:tcPr>
            <w:tcW w:w="2192" w:type="pct"/>
            <w:tcBorders>
              <w:top w:val="nil"/>
              <w:left w:val="nil"/>
              <w:bottom w:val="nil"/>
              <w:right w:val="nil"/>
            </w:tcBorders>
            <w:shd w:val="clear" w:color="auto" w:fill="auto"/>
            <w:noWrap/>
            <w:vAlign w:val="center"/>
            <w:hideMark/>
          </w:tcPr>
          <w:p w14:paraId="7AD51096" w14:textId="6A99A834"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IHF iShares US Healthcare Providers</w:t>
            </w:r>
            <w:r w:rsidR="00C55389" w:rsidRPr="003A49C8">
              <w:rPr>
                <w:rFonts w:eastAsia="Times New Roman" w:cs="Times New Roman"/>
                <w:sz w:val="16"/>
                <w:szCs w:val="16"/>
              </w:rPr>
              <w:t xml:space="preserve"> ETF </w:t>
            </w:r>
          </w:p>
        </w:tc>
        <w:tc>
          <w:tcPr>
            <w:tcW w:w="373" w:type="pct"/>
            <w:tcBorders>
              <w:top w:val="nil"/>
              <w:left w:val="nil"/>
              <w:bottom w:val="nil"/>
              <w:right w:val="nil"/>
            </w:tcBorders>
            <w:shd w:val="clear" w:color="auto" w:fill="auto"/>
            <w:noWrap/>
            <w:vAlign w:val="center"/>
            <w:hideMark/>
          </w:tcPr>
          <w:p w14:paraId="5AEA570E"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2.335671</w:t>
            </w:r>
          </w:p>
        </w:tc>
        <w:tc>
          <w:tcPr>
            <w:tcW w:w="373" w:type="pct"/>
            <w:tcBorders>
              <w:top w:val="nil"/>
              <w:left w:val="nil"/>
              <w:bottom w:val="nil"/>
              <w:right w:val="nil"/>
            </w:tcBorders>
            <w:shd w:val="clear" w:color="auto" w:fill="auto"/>
            <w:noWrap/>
            <w:vAlign w:val="center"/>
            <w:hideMark/>
          </w:tcPr>
          <w:p w14:paraId="6B1AAAFF"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0.094083</w:t>
            </w:r>
          </w:p>
        </w:tc>
        <w:tc>
          <w:tcPr>
            <w:tcW w:w="373" w:type="pct"/>
            <w:tcBorders>
              <w:top w:val="nil"/>
              <w:left w:val="nil"/>
              <w:bottom w:val="nil"/>
              <w:right w:val="nil"/>
            </w:tcBorders>
            <w:shd w:val="clear" w:color="auto" w:fill="auto"/>
            <w:noWrap/>
            <w:vAlign w:val="center"/>
            <w:hideMark/>
          </w:tcPr>
          <w:p w14:paraId="791EDC97"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0.069924</w:t>
            </w:r>
          </w:p>
        </w:tc>
        <w:tc>
          <w:tcPr>
            <w:tcW w:w="100" w:type="pct"/>
            <w:tcBorders>
              <w:top w:val="nil"/>
              <w:left w:val="nil"/>
              <w:bottom w:val="nil"/>
              <w:right w:val="nil"/>
            </w:tcBorders>
            <w:shd w:val="clear" w:color="auto" w:fill="auto"/>
            <w:noWrap/>
            <w:vAlign w:val="center"/>
            <w:hideMark/>
          </w:tcPr>
          <w:p w14:paraId="300172AF"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429977B8"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0.374344</w:t>
            </w:r>
          </w:p>
        </w:tc>
        <w:tc>
          <w:tcPr>
            <w:tcW w:w="373" w:type="pct"/>
            <w:tcBorders>
              <w:top w:val="nil"/>
              <w:left w:val="nil"/>
              <w:bottom w:val="nil"/>
              <w:right w:val="nil"/>
            </w:tcBorders>
            <w:shd w:val="clear" w:color="auto" w:fill="auto"/>
            <w:noWrap/>
            <w:vAlign w:val="center"/>
            <w:hideMark/>
          </w:tcPr>
          <w:p w14:paraId="1492A703"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0.374344</w:t>
            </w:r>
          </w:p>
        </w:tc>
        <w:tc>
          <w:tcPr>
            <w:tcW w:w="100" w:type="pct"/>
            <w:tcBorders>
              <w:top w:val="nil"/>
              <w:left w:val="nil"/>
              <w:bottom w:val="nil"/>
              <w:right w:val="nil"/>
            </w:tcBorders>
            <w:shd w:val="clear" w:color="auto" w:fill="auto"/>
            <w:noWrap/>
            <w:vAlign w:val="center"/>
            <w:hideMark/>
          </w:tcPr>
          <w:p w14:paraId="591DD769"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68DDAF42"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0.052351</w:t>
            </w:r>
          </w:p>
        </w:tc>
        <w:tc>
          <w:tcPr>
            <w:tcW w:w="373" w:type="pct"/>
            <w:tcBorders>
              <w:top w:val="nil"/>
              <w:left w:val="nil"/>
              <w:bottom w:val="nil"/>
              <w:right w:val="nil"/>
            </w:tcBorders>
            <w:shd w:val="clear" w:color="auto" w:fill="auto"/>
            <w:noWrap/>
            <w:vAlign w:val="center"/>
            <w:hideMark/>
          </w:tcPr>
          <w:p w14:paraId="1B996832"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0.187172</w:t>
            </w:r>
          </w:p>
        </w:tc>
      </w:tr>
      <w:tr w:rsidR="003A49C8" w:rsidRPr="003A49C8" w14:paraId="53EE509D" w14:textId="77777777" w:rsidTr="00343F9E">
        <w:trPr>
          <w:trHeight w:val="53"/>
        </w:trPr>
        <w:tc>
          <w:tcPr>
            <w:tcW w:w="2192" w:type="pct"/>
            <w:tcBorders>
              <w:top w:val="nil"/>
              <w:left w:val="nil"/>
              <w:bottom w:val="nil"/>
              <w:right w:val="nil"/>
            </w:tcBorders>
            <w:shd w:val="clear" w:color="auto" w:fill="auto"/>
            <w:noWrap/>
            <w:vAlign w:val="center"/>
            <w:hideMark/>
          </w:tcPr>
          <w:p w14:paraId="789F5BDB" w14:textId="175584AC"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IHI iShares US Medical Device</w:t>
            </w:r>
            <w:r w:rsidR="00C55389" w:rsidRPr="003A49C8">
              <w:rPr>
                <w:rFonts w:eastAsia="Times New Roman" w:cs="Times New Roman"/>
                <w:sz w:val="16"/>
                <w:szCs w:val="16"/>
              </w:rPr>
              <w:t xml:space="preserve"> ETF</w:t>
            </w:r>
          </w:p>
        </w:tc>
        <w:tc>
          <w:tcPr>
            <w:tcW w:w="373" w:type="pct"/>
            <w:tcBorders>
              <w:top w:val="nil"/>
              <w:left w:val="nil"/>
              <w:bottom w:val="nil"/>
              <w:right w:val="nil"/>
            </w:tcBorders>
            <w:shd w:val="clear" w:color="auto" w:fill="auto"/>
            <w:noWrap/>
            <w:vAlign w:val="center"/>
            <w:hideMark/>
          </w:tcPr>
          <w:p w14:paraId="1493D6F3"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2.118144</w:t>
            </w:r>
          </w:p>
        </w:tc>
        <w:tc>
          <w:tcPr>
            <w:tcW w:w="373" w:type="pct"/>
            <w:tcBorders>
              <w:top w:val="nil"/>
              <w:left w:val="nil"/>
              <w:bottom w:val="nil"/>
              <w:right w:val="nil"/>
            </w:tcBorders>
            <w:shd w:val="clear" w:color="auto" w:fill="auto"/>
            <w:noWrap/>
            <w:vAlign w:val="center"/>
            <w:hideMark/>
          </w:tcPr>
          <w:p w14:paraId="06A9DB75"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0.102672</w:t>
            </w:r>
          </w:p>
        </w:tc>
        <w:tc>
          <w:tcPr>
            <w:tcW w:w="373" w:type="pct"/>
            <w:tcBorders>
              <w:top w:val="nil"/>
              <w:left w:val="nil"/>
              <w:bottom w:val="nil"/>
              <w:right w:val="nil"/>
            </w:tcBorders>
            <w:shd w:val="clear" w:color="auto" w:fill="auto"/>
            <w:noWrap/>
            <w:vAlign w:val="center"/>
            <w:hideMark/>
          </w:tcPr>
          <w:p w14:paraId="3D54CD4E"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0.074017</w:t>
            </w:r>
          </w:p>
        </w:tc>
        <w:tc>
          <w:tcPr>
            <w:tcW w:w="100" w:type="pct"/>
            <w:tcBorders>
              <w:top w:val="nil"/>
              <w:left w:val="nil"/>
              <w:bottom w:val="nil"/>
              <w:right w:val="nil"/>
            </w:tcBorders>
            <w:shd w:val="clear" w:color="auto" w:fill="auto"/>
            <w:noWrap/>
            <w:vAlign w:val="center"/>
            <w:hideMark/>
          </w:tcPr>
          <w:p w14:paraId="7954ECD8"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4A0F0D8F"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0.447169</w:t>
            </w:r>
          </w:p>
        </w:tc>
        <w:tc>
          <w:tcPr>
            <w:tcW w:w="373" w:type="pct"/>
            <w:tcBorders>
              <w:top w:val="nil"/>
              <w:left w:val="nil"/>
              <w:bottom w:val="nil"/>
              <w:right w:val="nil"/>
            </w:tcBorders>
            <w:shd w:val="clear" w:color="auto" w:fill="auto"/>
            <w:noWrap/>
            <w:vAlign w:val="center"/>
            <w:hideMark/>
          </w:tcPr>
          <w:p w14:paraId="3E8800CA"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0.447169</w:t>
            </w:r>
          </w:p>
        </w:tc>
        <w:tc>
          <w:tcPr>
            <w:tcW w:w="100" w:type="pct"/>
            <w:tcBorders>
              <w:top w:val="nil"/>
              <w:left w:val="nil"/>
              <w:bottom w:val="nil"/>
              <w:right w:val="nil"/>
            </w:tcBorders>
            <w:shd w:val="clear" w:color="auto" w:fill="auto"/>
            <w:noWrap/>
            <w:vAlign w:val="center"/>
            <w:hideMark/>
          </w:tcPr>
          <w:p w14:paraId="0293170F"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5FE84D79"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0.066196</w:t>
            </w:r>
          </w:p>
        </w:tc>
        <w:tc>
          <w:tcPr>
            <w:tcW w:w="373" w:type="pct"/>
            <w:tcBorders>
              <w:top w:val="nil"/>
              <w:left w:val="nil"/>
              <w:bottom w:val="nil"/>
              <w:right w:val="nil"/>
            </w:tcBorders>
            <w:shd w:val="clear" w:color="auto" w:fill="auto"/>
            <w:noWrap/>
            <w:vAlign w:val="center"/>
            <w:hideMark/>
          </w:tcPr>
          <w:p w14:paraId="6DF10F8C"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0.223585</w:t>
            </w:r>
          </w:p>
        </w:tc>
      </w:tr>
      <w:tr w:rsidR="003A49C8" w:rsidRPr="003A49C8" w14:paraId="42575396" w14:textId="77777777" w:rsidTr="00343F9E">
        <w:trPr>
          <w:trHeight w:val="53"/>
        </w:trPr>
        <w:tc>
          <w:tcPr>
            <w:tcW w:w="2192" w:type="pct"/>
            <w:tcBorders>
              <w:top w:val="nil"/>
              <w:left w:val="nil"/>
              <w:bottom w:val="nil"/>
              <w:right w:val="nil"/>
            </w:tcBorders>
            <w:shd w:val="clear" w:color="auto" w:fill="auto"/>
            <w:noWrap/>
            <w:vAlign w:val="center"/>
            <w:hideMark/>
          </w:tcPr>
          <w:p w14:paraId="78978075"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IXJ iShares Global Healthcare ETF</w:t>
            </w:r>
          </w:p>
        </w:tc>
        <w:tc>
          <w:tcPr>
            <w:tcW w:w="373" w:type="pct"/>
            <w:tcBorders>
              <w:top w:val="nil"/>
              <w:left w:val="nil"/>
              <w:bottom w:val="nil"/>
              <w:right w:val="nil"/>
            </w:tcBorders>
            <w:shd w:val="clear" w:color="auto" w:fill="auto"/>
            <w:noWrap/>
            <w:vAlign w:val="center"/>
            <w:hideMark/>
          </w:tcPr>
          <w:p w14:paraId="6727F825"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2.412976</w:t>
            </w:r>
          </w:p>
        </w:tc>
        <w:tc>
          <w:tcPr>
            <w:tcW w:w="373" w:type="pct"/>
            <w:tcBorders>
              <w:top w:val="nil"/>
              <w:left w:val="nil"/>
              <w:bottom w:val="nil"/>
              <w:right w:val="nil"/>
            </w:tcBorders>
            <w:shd w:val="clear" w:color="auto" w:fill="auto"/>
            <w:noWrap/>
            <w:vAlign w:val="center"/>
            <w:hideMark/>
          </w:tcPr>
          <w:p w14:paraId="03679629"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0.07869</w:t>
            </w:r>
          </w:p>
        </w:tc>
        <w:tc>
          <w:tcPr>
            <w:tcW w:w="373" w:type="pct"/>
            <w:tcBorders>
              <w:top w:val="nil"/>
              <w:left w:val="nil"/>
              <w:bottom w:val="nil"/>
              <w:right w:val="nil"/>
            </w:tcBorders>
            <w:shd w:val="clear" w:color="auto" w:fill="auto"/>
            <w:noWrap/>
            <w:vAlign w:val="center"/>
            <w:hideMark/>
          </w:tcPr>
          <w:p w14:paraId="37F859E5"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0.059042</w:t>
            </w:r>
          </w:p>
        </w:tc>
        <w:tc>
          <w:tcPr>
            <w:tcW w:w="100" w:type="pct"/>
            <w:tcBorders>
              <w:top w:val="nil"/>
              <w:left w:val="nil"/>
              <w:bottom w:val="nil"/>
              <w:right w:val="nil"/>
            </w:tcBorders>
            <w:shd w:val="clear" w:color="auto" w:fill="auto"/>
            <w:noWrap/>
            <w:vAlign w:val="center"/>
            <w:hideMark/>
          </w:tcPr>
          <w:p w14:paraId="4D9D661B"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2A62F154"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0.353863</w:t>
            </w:r>
          </w:p>
        </w:tc>
        <w:tc>
          <w:tcPr>
            <w:tcW w:w="373" w:type="pct"/>
            <w:tcBorders>
              <w:top w:val="nil"/>
              <w:left w:val="nil"/>
              <w:bottom w:val="nil"/>
              <w:right w:val="nil"/>
            </w:tcBorders>
            <w:shd w:val="clear" w:color="auto" w:fill="auto"/>
            <w:noWrap/>
            <w:vAlign w:val="center"/>
            <w:hideMark/>
          </w:tcPr>
          <w:p w14:paraId="30D0DCFD"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0.353863</w:t>
            </w:r>
          </w:p>
        </w:tc>
        <w:tc>
          <w:tcPr>
            <w:tcW w:w="100" w:type="pct"/>
            <w:tcBorders>
              <w:top w:val="nil"/>
              <w:left w:val="nil"/>
              <w:bottom w:val="nil"/>
              <w:right w:val="nil"/>
            </w:tcBorders>
            <w:shd w:val="clear" w:color="auto" w:fill="auto"/>
            <w:noWrap/>
            <w:vAlign w:val="center"/>
            <w:hideMark/>
          </w:tcPr>
          <w:p w14:paraId="57BA9599"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2C09F78F"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0.041786</w:t>
            </w:r>
          </w:p>
        </w:tc>
        <w:tc>
          <w:tcPr>
            <w:tcW w:w="373" w:type="pct"/>
            <w:tcBorders>
              <w:top w:val="nil"/>
              <w:left w:val="nil"/>
              <w:bottom w:val="nil"/>
              <w:right w:val="nil"/>
            </w:tcBorders>
            <w:shd w:val="clear" w:color="auto" w:fill="auto"/>
            <w:noWrap/>
            <w:vAlign w:val="center"/>
            <w:hideMark/>
          </w:tcPr>
          <w:p w14:paraId="156AEEC9"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0.176931</w:t>
            </w:r>
          </w:p>
        </w:tc>
      </w:tr>
      <w:tr w:rsidR="003A49C8" w:rsidRPr="003A49C8" w14:paraId="11D2D0CD" w14:textId="77777777" w:rsidTr="00343F9E">
        <w:trPr>
          <w:trHeight w:val="53"/>
        </w:trPr>
        <w:tc>
          <w:tcPr>
            <w:tcW w:w="2192" w:type="pct"/>
            <w:tcBorders>
              <w:top w:val="nil"/>
              <w:left w:val="nil"/>
              <w:bottom w:val="nil"/>
              <w:right w:val="nil"/>
            </w:tcBorders>
            <w:shd w:val="clear" w:color="auto" w:fill="auto"/>
            <w:noWrap/>
            <w:vAlign w:val="center"/>
            <w:hideMark/>
          </w:tcPr>
          <w:p w14:paraId="2B2E6EAC"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IYH iShares US Healthcare ETF</w:t>
            </w:r>
          </w:p>
        </w:tc>
        <w:tc>
          <w:tcPr>
            <w:tcW w:w="373" w:type="pct"/>
            <w:tcBorders>
              <w:top w:val="nil"/>
              <w:left w:val="nil"/>
              <w:bottom w:val="nil"/>
              <w:right w:val="nil"/>
            </w:tcBorders>
            <w:shd w:val="clear" w:color="auto" w:fill="auto"/>
            <w:noWrap/>
            <w:vAlign w:val="center"/>
            <w:hideMark/>
          </w:tcPr>
          <w:p w14:paraId="2F587368"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2.425083</w:t>
            </w:r>
          </w:p>
        </w:tc>
        <w:tc>
          <w:tcPr>
            <w:tcW w:w="373" w:type="pct"/>
            <w:tcBorders>
              <w:top w:val="nil"/>
              <w:left w:val="nil"/>
              <w:bottom w:val="nil"/>
              <w:right w:val="nil"/>
            </w:tcBorders>
            <w:shd w:val="clear" w:color="auto" w:fill="auto"/>
            <w:noWrap/>
            <w:vAlign w:val="center"/>
            <w:hideMark/>
          </w:tcPr>
          <w:p w14:paraId="6F503C16"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0.084923</w:t>
            </w:r>
          </w:p>
        </w:tc>
        <w:tc>
          <w:tcPr>
            <w:tcW w:w="373" w:type="pct"/>
            <w:tcBorders>
              <w:top w:val="nil"/>
              <w:left w:val="nil"/>
              <w:bottom w:val="nil"/>
              <w:right w:val="nil"/>
            </w:tcBorders>
            <w:shd w:val="clear" w:color="auto" w:fill="auto"/>
            <w:noWrap/>
            <w:vAlign w:val="center"/>
            <w:hideMark/>
          </w:tcPr>
          <w:p w14:paraId="741E19FD"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0.063811</w:t>
            </w:r>
          </w:p>
        </w:tc>
        <w:tc>
          <w:tcPr>
            <w:tcW w:w="100" w:type="pct"/>
            <w:tcBorders>
              <w:top w:val="nil"/>
              <w:left w:val="nil"/>
              <w:bottom w:val="nil"/>
              <w:right w:val="nil"/>
            </w:tcBorders>
            <w:shd w:val="clear" w:color="auto" w:fill="auto"/>
            <w:noWrap/>
            <w:vAlign w:val="center"/>
            <w:hideMark/>
          </w:tcPr>
          <w:p w14:paraId="41D804CF"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173D4375"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0.350857</w:t>
            </w:r>
          </w:p>
        </w:tc>
        <w:tc>
          <w:tcPr>
            <w:tcW w:w="373" w:type="pct"/>
            <w:tcBorders>
              <w:top w:val="nil"/>
              <w:left w:val="nil"/>
              <w:bottom w:val="nil"/>
              <w:right w:val="nil"/>
            </w:tcBorders>
            <w:shd w:val="clear" w:color="auto" w:fill="auto"/>
            <w:noWrap/>
            <w:vAlign w:val="center"/>
            <w:hideMark/>
          </w:tcPr>
          <w:p w14:paraId="24519335"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0.350857</w:t>
            </w:r>
          </w:p>
        </w:tc>
        <w:tc>
          <w:tcPr>
            <w:tcW w:w="100" w:type="pct"/>
            <w:tcBorders>
              <w:top w:val="nil"/>
              <w:left w:val="nil"/>
              <w:bottom w:val="nil"/>
              <w:right w:val="nil"/>
            </w:tcBorders>
            <w:shd w:val="clear" w:color="auto" w:fill="auto"/>
            <w:noWrap/>
            <w:vAlign w:val="center"/>
            <w:hideMark/>
          </w:tcPr>
          <w:p w14:paraId="68891877"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6E7C809E"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0.044777</w:t>
            </w:r>
          </w:p>
        </w:tc>
        <w:tc>
          <w:tcPr>
            <w:tcW w:w="373" w:type="pct"/>
            <w:tcBorders>
              <w:top w:val="nil"/>
              <w:left w:val="nil"/>
              <w:bottom w:val="nil"/>
              <w:right w:val="nil"/>
            </w:tcBorders>
            <w:shd w:val="clear" w:color="auto" w:fill="auto"/>
            <w:noWrap/>
            <w:vAlign w:val="center"/>
            <w:hideMark/>
          </w:tcPr>
          <w:p w14:paraId="395F231D"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0.175428</w:t>
            </w:r>
          </w:p>
        </w:tc>
      </w:tr>
      <w:tr w:rsidR="003A49C8" w:rsidRPr="003A49C8" w14:paraId="1B315589" w14:textId="77777777" w:rsidTr="00343F9E">
        <w:trPr>
          <w:trHeight w:val="53"/>
        </w:trPr>
        <w:tc>
          <w:tcPr>
            <w:tcW w:w="2192" w:type="pct"/>
            <w:tcBorders>
              <w:top w:val="nil"/>
              <w:left w:val="nil"/>
              <w:bottom w:val="nil"/>
              <w:right w:val="nil"/>
            </w:tcBorders>
            <w:shd w:val="clear" w:color="auto" w:fill="auto"/>
            <w:noWrap/>
            <w:vAlign w:val="center"/>
            <w:hideMark/>
          </w:tcPr>
          <w:p w14:paraId="5FA103F7" w14:textId="10C1482E"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VHT Vanguard Health Care</w:t>
            </w:r>
            <w:r w:rsidR="00C55389" w:rsidRPr="003A49C8">
              <w:rPr>
                <w:rFonts w:eastAsia="Times New Roman" w:cs="Times New Roman"/>
                <w:sz w:val="16"/>
                <w:szCs w:val="16"/>
              </w:rPr>
              <w:t xml:space="preserve"> Index Fund ETF</w:t>
            </w:r>
          </w:p>
        </w:tc>
        <w:tc>
          <w:tcPr>
            <w:tcW w:w="373" w:type="pct"/>
            <w:tcBorders>
              <w:top w:val="nil"/>
              <w:left w:val="nil"/>
              <w:bottom w:val="nil"/>
              <w:right w:val="nil"/>
            </w:tcBorders>
            <w:shd w:val="clear" w:color="auto" w:fill="auto"/>
            <w:noWrap/>
            <w:vAlign w:val="center"/>
            <w:hideMark/>
          </w:tcPr>
          <w:p w14:paraId="3F21FD1D"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2.379642</w:t>
            </w:r>
          </w:p>
        </w:tc>
        <w:tc>
          <w:tcPr>
            <w:tcW w:w="373" w:type="pct"/>
            <w:tcBorders>
              <w:top w:val="nil"/>
              <w:left w:val="nil"/>
              <w:bottom w:val="nil"/>
              <w:right w:val="nil"/>
            </w:tcBorders>
            <w:shd w:val="clear" w:color="auto" w:fill="auto"/>
            <w:noWrap/>
            <w:vAlign w:val="center"/>
            <w:hideMark/>
          </w:tcPr>
          <w:p w14:paraId="15F807F8"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0.076875</w:t>
            </w:r>
          </w:p>
        </w:tc>
        <w:tc>
          <w:tcPr>
            <w:tcW w:w="373" w:type="pct"/>
            <w:tcBorders>
              <w:top w:val="nil"/>
              <w:left w:val="nil"/>
              <w:bottom w:val="nil"/>
              <w:right w:val="nil"/>
            </w:tcBorders>
            <w:shd w:val="clear" w:color="auto" w:fill="auto"/>
            <w:noWrap/>
            <w:vAlign w:val="center"/>
            <w:hideMark/>
          </w:tcPr>
          <w:p w14:paraId="6756850A"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0.057449</w:t>
            </w:r>
          </w:p>
        </w:tc>
        <w:tc>
          <w:tcPr>
            <w:tcW w:w="100" w:type="pct"/>
            <w:tcBorders>
              <w:top w:val="nil"/>
              <w:left w:val="nil"/>
              <w:bottom w:val="nil"/>
              <w:right w:val="nil"/>
            </w:tcBorders>
            <w:shd w:val="clear" w:color="auto" w:fill="auto"/>
            <w:noWrap/>
            <w:vAlign w:val="center"/>
            <w:hideMark/>
          </w:tcPr>
          <w:p w14:paraId="7D3AC990"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53539FF5"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0.362413</w:t>
            </w:r>
          </w:p>
        </w:tc>
        <w:tc>
          <w:tcPr>
            <w:tcW w:w="373" w:type="pct"/>
            <w:tcBorders>
              <w:top w:val="nil"/>
              <w:left w:val="nil"/>
              <w:bottom w:val="nil"/>
              <w:right w:val="nil"/>
            </w:tcBorders>
            <w:shd w:val="clear" w:color="auto" w:fill="auto"/>
            <w:noWrap/>
            <w:vAlign w:val="center"/>
            <w:hideMark/>
          </w:tcPr>
          <w:p w14:paraId="4A2C6394"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0.362413</w:t>
            </w:r>
          </w:p>
        </w:tc>
        <w:tc>
          <w:tcPr>
            <w:tcW w:w="100" w:type="pct"/>
            <w:tcBorders>
              <w:top w:val="nil"/>
              <w:left w:val="nil"/>
              <w:bottom w:val="nil"/>
              <w:right w:val="nil"/>
            </w:tcBorders>
            <w:shd w:val="clear" w:color="auto" w:fill="auto"/>
            <w:noWrap/>
            <w:vAlign w:val="center"/>
            <w:hideMark/>
          </w:tcPr>
          <w:p w14:paraId="23F4FBFC"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0873B683"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0.04164</w:t>
            </w:r>
          </w:p>
        </w:tc>
        <w:tc>
          <w:tcPr>
            <w:tcW w:w="373" w:type="pct"/>
            <w:tcBorders>
              <w:top w:val="nil"/>
              <w:left w:val="nil"/>
              <w:bottom w:val="nil"/>
              <w:right w:val="nil"/>
            </w:tcBorders>
            <w:shd w:val="clear" w:color="auto" w:fill="auto"/>
            <w:noWrap/>
            <w:vAlign w:val="center"/>
            <w:hideMark/>
          </w:tcPr>
          <w:p w14:paraId="5A2D6966"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0.181206</w:t>
            </w:r>
          </w:p>
        </w:tc>
      </w:tr>
      <w:tr w:rsidR="003A49C8" w:rsidRPr="003A49C8" w14:paraId="42313631" w14:textId="77777777" w:rsidTr="00343F9E">
        <w:trPr>
          <w:trHeight w:val="53"/>
        </w:trPr>
        <w:tc>
          <w:tcPr>
            <w:tcW w:w="2192" w:type="pct"/>
            <w:tcBorders>
              <w:top w:val="nil"/>
              <w:left w:val="nil"/>
              <w:bottom w:val="nil"/>
              <w:right w:val="nil"/>
            </w:tcBorders>
            <w:shd w:val="clear" w:color="auto" w:fill="auto"/>
            <w:noWrap/>
            <w:vAlign w:val="center"/>
            <w:hideMark/>
          </w:tcPr>
          <w:p w14:paraId="4EAB1653" w14:textId="18B9AE92" w:rsidR="00613783" w:rsidRPr="003A49C8" w:rsidRDefault="00613783" w:rsidP="00E33705">
            <w:pPr>
              <w:spacing w:after="0" w:line="240" w:lineRule="auto"/>
              <w:rPr>
                <w:rFonts w:eastAsia="Times New Roman" w:cs="Times New Roman"/>
                <w:sz w:val="16"/>
                <w:szCs w:val="16"/>
                <w:lang w:val="nl-NL"/>
              </w:rPr>
            </w:pPr>
            <w:r w:rsidRPr="003A49C8">
              <w:rPr>
                <w:rFonts w:eastAsia="Times New Roman" w:cs="Times New Roman"/>
                <w:sz w:val="16"/>
                <w:szCs w:val="16"/>
                <w:lang w:val="nl-NL"/>
              </w:rPr>
              <w:t xml:space="preserve">XBI SPDR S&amp;P Biotech </w:t>
            </w:r>
            <w:r w:rsidR="00C55389" w:rsidRPr="003A49C8">
              <w:rPr>
                <w:rFonts w:eastAsia="Times New Roman" w:cs="Times New Roman"/>
                <w:sz w:val="16"/>
                <w:szCs w:val="16"/>
                <w:lang w:val="nl-NL"/>
              </w:rPr>
              <w:t>ETF</w:t>
            </w:r>
          </w:p>
        </w:tc>
        <w:tc>
          <w:tcPr>
            <w:tcW w:w="373" w:type="pct"/>
            <w:tcBorders>
              <w:top w:val="nil"/>
              <w:left w:val="nil"/>
              <w:bottom w:val="nil"/>
              <w:right w:val="nil"/>
            </w:tcBorders>
            <w:shd w:val="clear" w:color="auto" w:fill="auto"/>
            <w:noWrap/>
            <w:vAlign w:val="center"/>
            <w:hideMark/>
          </w:tcPr>
          <w:p w14:paraId="148458C7"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2.806671</w:t>
            </w:r>
          </w:p>
        </w:tc>
        <w:tc>
          <w:tcPr>
            <w:tcW w:w="373" w:type="pct"/>
            <w:tcBorders>
              <w:top w:val="nil"/>
              <w:left w:val="nil"/>
              <w:bottom w:val="nil"/>
              <w:right w:val="nil"/>
            </w:tcBorders>
            <w:shd w:val="clear" w:color="auto" w:fill="auto"/>
            <w:noWrap/>
            <w:vAlign w:val="center"/>
            <w:hideMark/>
          </w:tcPr>
          <w:p w14:paraId="344E8FFA"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0.110082</w:t>
            </w:r>
          </w:p>
        </w:tc>
        <w:tc>
          <w:tcPr>
            <w:tcW w:w="373" w:type="pct"/>
            <w:tcBorders>
              <w:top w:val="nil"/>
              <w:left w:val="nil"/>
              <w:right w:val="nil"/>
            </w:tcBorders>
            <w:shd w:val="clear" w:color="auto" w:fill="auto"/>
            <w:noWrap/>
            <w:vAlign w:val="center"/>
            <w:hideMark/>
          </w:tcPr>
          <w:p w14:paraId="44F640D0"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0.085993</w:t>
            </w:r>
          </w:p>
        </w:tc>
        <w:tc>
          <w:tcPr>
            <w:tcW w:w="100" w:type="pct"/>
            <w:tcBorders>
              <w:top w:val="nil"/>
              <w:left w:val="nil"/>
              <w:right w:val="nil"/>
            </w:tcBorders>
            <w:shd w:val="clear" w:color="auto" w:fill="auto"/>
            <w:noWrap/>
            <w:vAlign w:val="center"/>
            <w:hideMark/>
          </w:tcPr>
          <w:p w14:paraId="362140FB"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right w:val="nil"/>
            </w:tcBorders>
            <w:shd w:val="clear" w:color="auto" w:fill="auto"/>
            <w:noWrap/>
            <w:vAlign w:val="center"/>
            <w:hideMark/>
          </w:tcPr>
          <w:p w14:paraId="34C6B9B9"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0.276752</w:t>
            </w:r>
          </w:p>
        </w:tc>
        <w:tc>
          <w:tcPr>
            <w:tcW w:w="373" w:type="pct"/>
            <w:tcBorders>
              <w:top w:val="nil"/>
              <w:left w:val="nil"/>
              <w:right w:val="nil"/>
            </w:tcBorders>
            <w:shd w:val="clear" w:color="auto" w:fill="auto"/>
            <w:noWrap/>
            <w:vAlign w:val="center"/>
            <w:hideMark/>
          </w:tcPr>
          <w:p w14:paraId="46CFAE32"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0.276752</w:t>
            </w:r>
          </w:p>
        </w:tc>
        <w:tc>
          <w:tcPr>
            <w:tcW w:w="100" w:type="pct"/>
            <w:tcBorders>
              <w:top w:val="nil"/>
              <w:left w:val="nil"/>
              <w:right w:val="nil"/>
            </w:tcBorders>
            <w:shd w:val="clear" w:color="auto" w:fill="auto"/>
            <w:noWrap/>
            <w:vAlign w:val="center"/>
            <w:hideMark/>
          </w:tcPr>
          <w:p w14:paraId="285A92A7"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right w:val="nil"/>
            </w:tcBorders>
            <w:shd w:val="clear" w:color="auto" w:fill="auto"/>
            <w:noWrap/>
            <w:vAlign w:val="center"/>
            <w:hideMark/>
          </w:tcPr>
          <w:p w14:paraId="35B8C605"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0.047597</w:t>
            </w:r>
          </w:p>
        </w:tc>
        <w:tc>
          <w:tcPr>
            <w:tcW w:w="373" w:type="pct"/>
            <w:tcBorders>
              <w:top w:val="nil"/>
              <w:left w:val="nil"/>
              <w:bottom w:val="nil"/>
              <w:right w:val="nil"/>
            </w:tcBorders>
            <w:shd w:val="clear" w:color="auto" w:fill="auto"/>
            <w:noWrap/>
            <w:vAlign w:val="center"/>
            <w:hideMark/>
          </w:tcPr>
          <w:p w14:paraId="0C916DE2"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0.138376</w:t>
            </w:r>
          </w:p>
        </w:tc>
      </w:tr>
      <w:tr w:rsidR="003A49C8" w:rsidRPr="003A49C8" w14:paraId="3990B591" w14:textId="77777777" w:rsidTr="00343F9E">
        <w:trPr>
          <w:trHeight w:val="53"/>
        </w:trPr>
        <w:tc>
          <w:tcPr>
            <w:tcW w:w="2192" w:type="pct"/>
            <w:tcBorders>
              <w:top w:val="nil"/>
              <w:left w:val="nil"/>
              <w:bottom w:val="single" w:sz="8" w:space="0" w:color="auto"/>
              <w:right w:val="nil"/>
            </w:tcBorders>
            <w:shd w:val="clear" w:color="auto" w:fill="auto"/>
            <w:noWrap/>
            <w:vAlign w:val="center"/>
            <w:hideMark/>
          </w:tcPr>
          <w:p w14:paraId="74F8CD64" w14:textId="77777777" w:rsidR="00613783" w:rsidRPr="003A49C8" w:rsidRDefault="00613783" w:rsidP="00E33705">
            <w:pPr>
              <w:spacing w:after="0" w:line="240" w:lineRule="auto"/>
              <w:rPr>
                <w:rFonts w:eastAsia="Times New Roman" w:cs="Times New Roman"/>
                <w:b/>
                <w:bCs/>
                <w:sz w:val="16"/>
                <w:szCs w:val="16"/>
              </w:rPr>
            </w:pPr>
            <w:r w:rsidRPr="003A49C8">
              <w:rPr>
                <w:rFonts w:eastAsia="Times New Roman" w:cs="Times New Roman"/>
                <w:b/>
                <w:bCs/>
                <w:sz w:val="16"/>
                <w:szCs w:val="16"/>
              </w:rPr>
              <w:t>Average</w:t>
            </w:r>
          </w:p>
        </w:tc>
        <w:tc>
          <w:tcPr>
            <w:tcW w:w="373" w:type="pct"/>
            <w:tcBorders>
              <w:top w:val="nil"/>
              <w:left w:val="nil"/>
              <w:bottom w:val="single" w:sz="8" w:space="0" w:color="auto"/>
              <w:right w:val="nil"/>
            </w:tcBorders>
            <w:shd w:val="clear" w:color="auto" w:fill="auto"/>
            <w:noWrap/>
            <w:vAlign w:val="center"/>
            <w:hideMark/>
          </w:tcPr>
          <w:p w14:paraId="07EC5C22" w14:textId="77777777" w:rsidR="00613783" w:rsidRPr="003A49C8" w:rsidRDefault="00613783" w:rsidP="00E33705">
            <w:pPr>
              <w:spacing w:after="0" w:line="240" w:lineRule="auto"/>
              <w:rPr>
                <w:rFonts w:eastAsia="Times New Roman" w:cs="Times New Roman"/>
                <w:b/>
                <w:bCs/>
                <w:sz w:val="16"/>
                <w:szCs w:val="16"/>
              </w:rPr>
            </w:pPr>
            <w:r w:rsidRPr="003A49C8">
              <w:rPr>
                <w:rFonts w:eastAsia="Times New Roman" w:cs="Times New Roman"/>
                <w:b/>
                <w:bCs/>
                <w:sz w:val="16"/>
                <w:szCs w:val="16"/>
              </w:rPr>
              <w:t>2.402128</w:t>
            </w:r>
          </w:p>
        </w:tc>
        <w:tc>
          <w:tcPr>
            <w:tcW w:w="373" w:type="pct"/>
            <w:tcBorders>
              <w:top w:val="nil"/>
              <w:left w:val="nil"/>
              <w:bottom w:val="single" w:sz="8" w:space="0" w:color="auto"/>
              <w:right w:val="nil"/>
            </w:tcBorders>
            <w:shd w:val="clear" w:color="auto" w:fill="auto"/>
            <w:noWrap/>
            <w:vAlign w:val="center"/>
            <w:hideMark/>
          </w:tcPr>
          <w:p w14:paraId="11973FEC" w14:textId="77777777" w:rsidR="00613783" w:rsidRPr="003A49C8" w:rsidRDefault="00613783" w:rsidP="00E33705">
            <w:pPr>
              <w:spacing w:after="0" w:line="240" w:lineRule="auto"/>
              <w:rPr>
                <w:rFonts w:eastAsia="Times New Roman" w:cs="Times New Roman"/>
                <w:b/>
                <w:bCs/>
                <w:sz w:val="16"/>
                <w:szCs w:val="16"/>
              </w:rPr>
            </w:pPr>
            <w:r w:rsidRPr="003A49C8">
              <w:rPr>
                <w:rFonts w:eastAsia="Times New Roman" w:cs="Times New Roman"/>
                <w:b/>
                <w:bCs/>
                <w:sz w:val="16"/>
                <w:szCs w:val="16"/>
              </w:rPr>
              <w:t>0.095318</w:t>
            </w:r>
          </w:p>
        </w:tc>
        <w:tc>
          <w:tcPr>
            <w:tcW w:w="373" w:type="pct"/>
            <w:tcBorders>
              <w:top w:val="nil"/>
              <w:left w:val="nil"/>
              <w:bottom w:val="single" w:sz="8" w:space="0" w:color="auto"/>
              <w:right w:val="nil"/>
            </w:tcBorders>
            <w:shd w:val="clear" w:color="auto" w:fill="auto"/>
            <w:noWrap/>
            <w:vAlign w:val="center"/>
            <w:hideMark/>
          </w:tcPr>
          <w:p w14:paraId="727C03B8" w14:textId="77777777" w:rsidR="00613783" w:rsidRPr="003A49C8" w:rsidRDefault="00613783" w:rsidP="00E33705">
            <w:pPr>
              <w:spacing w:after="0" w:line="240" w:lineRule="auto"/>
              <w:rPr>
                <w:rFonts w:eastAsia="Times New Roman" w:cs="Times New Roman"/>
                <w:b/>
                <w:bCs/>
                <w:sz w:val="16"/>
                <w:szCs w:val="16"/>
              </w:rPr>
            </w:pPr>
            <w:r w:rsidRPr="003A49C8">
              <w:rPr>
                <w:rFonts w:eastAsia="Times New Roman" w:cs="Times New Roman"/>
                <w:b/>
                <w:bCs/>
                <w:sz w:val="16"/>
                <w:szCs w:val="16"/>
              </w:rPr>
              <w:t>0.070807</w:t>
            </w:r>
          </w:p>
        </w:tc>
        <w:tc>
          <w:tcPr>
            <w:tcW w:w="100" w:type="pct"/>
            <w:tcBorders>
              <w:top w:val="nil"/>
              <w:left w:val="nil"/>
              <w:bottom w:val="single" w:sz="8" w:space="0" w:color="auto"/>
              <w:right w:val="nil"/>
            </w:tcBorders>
            <w:shd w:val="clear" w:color="auto" w:fill="auto"/>
            <w:noWrap/>
            <w:vAlign w:val="center"/>
            <w:hideMark/>
          </w:tcPr>
          <w:p w14:paraId="1AA79285" w14:textId="77777777" w:rsidR="00613783" w:rsidRPr="003A49C8" w:rsidRDefault="00613783" w:rsidP="00E33705">
            <w:pPr>
              <w:spacing w:after="0" w:line="240" w:lineRule="auto"/>
              <w:rPr>
                <w:rFonts w:eastAsia="Times New Roman" w:cs="Times New Roman"/>
                <w:b/>
                <w:bCs/>
                <w:sz w:val="16"/>
                <w:szCs w:val="16"/>
              </w:rPr>
            </w:pPr>
          </w:p>
        </w:tc>
        <w:tc>
          <w:tcPr>
            <w:tcW w:w="373" w:type="pct"/>
            <w:tcBorders>
              <w:top w:val="nil"/>
              <w:left w:val="nil"/>
              <w:bottom w:val="single" w:sz="8" w:space="0" w:color="auto"/>
              <w:right w:val="nil"/>
            </w:tcBorders>
            <w:shd w:val="clear" w:color="auto" w:fill="auto"/>
            <w:noWrap/>
            <w:vAlign w:val="center"/>
            <w:hideMark/>
          </w:tcPr>
          <w:p w14:paraId="29ACC8B7" w14:textId="77777777" w:rsidR="00613783" w:rsidRPr="003A49C8" w:rsidRDefault="00613783" w:rsidP="00E33705">
            <w:pPr>
              <w:spacing w:after="0" w:line="240" w:lineRule="auto"/>
              <w:rPr>
                <w:rFonts w:eastAsia="Times New Roman" w:cs="Times New Roman"/>
                <w:b/>
                <w:bCs/>
                <w:sz w:val="16"/>
                <w:szCs w:val="16"/>
              </w:rPr>
            </w:pPr>
            <w:r w:rsidRPr="003A49C8">
              <w:rPr>
                <w:rFonts w:eastAsia="Times New Roman" w:cs="Times New Roman"/>
                <w:b/>
                <w:bCs/>
                <w:sz w:val="16"/>
                <w:szCs w:val="16"/>
              </w:rPr>
              <w:t>0.383131</w:t>
            </w:r>
          </w:p>
        </w:tc>
        <w:tc>
          <w:tcPr>
            <w:tcW w:w="373" w:type="pct"/>
            <w:tcBorders>
              <w:top w:val="nil"/>
              <w:left w:val="nil"/>
              <w:bottom w:val="single" w:sz="8" w:space="0" w:color="auto"/>
              <w:right w:val="nil"/>
            </w:tcBorders>
            <w:shd w:val="clear" w:color="auto" w:fill="auto"/>
            <w:noWrap/>
            <w:vAlign w:val="center"/>
            <w:hideMark/>
          </w:tcPr>
          <w:p w14:paraId="649CEA7F" w14:textId="77777777" w:rsidR="00613783" w:rsidRPr="003A49C8" w:rsidRDefault="00613783" w:rsidP="00E33705">
            <w:pPr>
              <w:spacing w:after="0" w:line="240" w:lineRule="auto"/>
              <w:rPr>
                <w:rFonts w:eastAsia="Times New Roman" w:cs="Times New Roman"/>
                <w:b/>
                <w:bCs/>
                <w:sz w:val="16"/>
                <w:szCs w:val="16"/>
              </w:rPr>
            </w:pPr>
            <w:r w:rsidRPr="003A49C8">
              <w:rPr>
                <w:rFonts w:eastAsia="Times New Roman" w:cs="Times New Roman"/>
                <w:b/>
                <w:bCs/>
                <w:sz w:val="16"/>
                <w:szCs w:val="16"/>
              </w:rPr>
              <w:t>0.383131</w:t>
            </w:r>
          </w:p>
        </w:tc>
        <w:tc>
          <w:tcPr>
            <w:tcW w:w="100" w:type="pct"/>
            <w:tcBorders>
              <w:top w:val="nil"/>
              <w:left w:val="nil"/>
              <w:bottom w:val="single" w:sz="8" w:space="0" w:color="auto"/>
              <w:right w:val="nil"/>
            </w:tcBorders>
            <w:shd w:val="clear" w:color="auto" w:fill="auto"/>
            <w:noWrap/>
            <w:vAlign w:val="center"/>
            <w:hideMark/>
          </w:tcPr>
          <w:p w14:paraId="72DCF80E" w14:textId="77777777" w:rsidR="00613783" w:rsidRPr="003A49C8" w:rsidRDefault="00613783" w:rsidP="00E33705">
            <w:pPr>
              <w:spacing w:after="0" w:line="240" w:lineRule="auto"/>
              <w:rPr>
                <w:rFonts w:eastAsia="Times New Roman" w:cs="Times New Roman"/>
                <w:b/>
                <w:bCs/>
                <w:sz w:val="16"/>
                <w:szCs w:val="16"/>
              </w:rPr>
            </w:pPr>
          </w:p>
        </w:tc>
        <w:tc>
          <w:tcPr>
            <w:tcW w:w="373" w:type="pct"/>
            <w:tcBorders>
              <w:top w:val="nil"/>
              <w:left w:val="nil"/>
              <w:bottom w:val="single" w:sz="8" w:space="0" w:color="auto"/>
              <w:right w:val="nil"/>
            </w:tcBorders>
            <w:shd w:val="clear" w:color="auto" w:fill="auto"/>
            <w:noWrap/>
            <w:vAlign w:val="center"/>
            <w:hideMark/>
          </w:tcPr>
          <w:p w14:paraId="22251CD6" w14:textId="77777777" w:rsidR="00613783" w:rsidRPr="003A49C8" w:rsidRDefault="00613783" w:rsidP="00E33705">
            <w:pPr>
              <w:spacing w:after="0" w:line="240" w:lineRule="auto"/>
              <w:rPr>
                <w:rFonts w:eastAsia="Times New Roman" w:cs="Times New Roman"/>
                <w:b/>
                <w:bCs/>
                <w:sz w:val="16"/>
                <w:szCs w:val="16"/>
              </w:rPr>
            </w:pPr>
            <w:r w:rsidRPr="003A49C8">
              <w:rPr>
                <w:rFonts w:eastAsia="Times New Roman" w:cs="Times New Roman"/>
                <w:b/>
                <w:bCs/>
                <w:sz w:val="16"/>
                <w:szCs w:val="16"/>
              </w:rPr>
              <w:t>0.054624</w:t>
            </w:r>
          </w:p>
        </w:tc>
        <w:tc>
          <w:tcPr>
            <w:tcW w:w="373" w:type="pct"/>
            <w:tcBorders>
              <w:top w:val="nil"/>
              <w:left w:val="nil"/>
              <w:bottom w:val="single" w:sz="8" w:space="0" w:color="auto"/>
              <w:right w:val="nil"/>
            </w:tcBorders>
            <w:shd w:val="clear" w:color="auto" w:fill="auto"/>
            <w:noWrap/>
            <w:vAlign w:val="center"/>
            <w:hideMark/>
          </w:tcPr>
          <w:p w14:paraId="04CFF904" w14:textId="77777777" w:rsidR="00613783" w:rsidRPr="003A49C8" w:rsidRDefault="00613783" w:rsidP="00E33705">
            <w:pPr>
              <w:spacing w:after="0" w:line="240" w:lineRule="auto"/>
              <w:rPr>
                <w:rFonts w:eastAsia="Times New Roman" w:cs="Times New Roman"/>
                <w:b/>
                <w:bCs/>
                <w:sz w:val="16"/>
                <w:szCs w:val="16"/>
              </w:rPr>
            </w:pPr>
            <w:r w:rsidRPr="003A49C8">
              <w:rPr>
                <w:rFonts w:eastAsia="Times New Roman" w:cs="Times New Roman"/>
                <w:b/>
                <w:bCs/>
                <w:sz w:val="16"/>
                <w:szCs w:val="16"/>
              </w:rPr>
              <w:t>0.191566</w:t>
            </w:r>
          </w:p>
        </w:tc>
      </w:tr>
      <w:tr w:rsidR="003A49C8" w:rsidRPr="003A49C8" w14:paraId="4DCFCBFC" w14:textId="77777777" w:rsidTr="00343F9E">
        <w:trPr>
          <w:trHeight w:val="33"/>
        </w:trPr>
        <w:tc>
          <w:tcPr>
            <w:tcW w:w="2192" w:type="pct"/>
            <w:tcBorders>
              <w:top w:val="nil"/>
              <w:left w:val="nil"/>
              <w:bottom w:val="nil"/>
              <w:right w:val="nil"/>
            </w:tcBorders>
            <w:shd w:val="clear" w:color="auto" w:fill="auto"/>
            <w:noWrap/>
            <w:vAlign w:val="center"/>
            <w:hideMark/>
          </w:tcPr>
          <w:p w14:paraId="7F924E78" w14:textId="77777777" w:rsidR="00613783" w:rsidRPr="003A49C8" w:rsidRDefault="00613783" w:rsidP="00E33705">
            <w:pPr>
              <w:spacing w:after="0" w:line="240" w:lineRule="auto"/>
              <w:rPr>
                <w:rFonts w:eastAsia="Times New Roman" w:cs="Times New Roman"/>
                <w:b/>
                <w:bCs/>
                <w:sz w:val="16"/>
                <w:szCs w:val="16"/>
              </w:rPr>
            </w:pPr>
          </w:p>
        </w:tc>
        <w:tc>
          <w:tcPr>
            <w:tcW w:w="373" w:type="pct"/>
            <w:tcBorders>
              <w:top w:val="nil"/>
              <w:left w:val="nil"/>
              <w:bottom w:val="nil"/>
              <w:right w:val="nil"/>
            </w:tcBorders>
            <w:shd w:val="clear" w:color="auto" w:fill="auto"/>
            <w:noWrap/>
            <w:vAlign w:val="center"/>
            <w:hideMark/>
          </w:tcPr>
          <w:p w14:paraId="2AD946C9" w14:textId="77777777" w:rsidR="00613783" w:rsidRPr="003A49C8" w:rsidRDefault="00613783" w:rsidP="00E33705">
            <w:pPr>
              <w:spacing w:after="0" w:line="240" w:lineRule="auto"/>
              <w:rPr>
                <w:rFonts w:eastAsia="Times New Roman" w:cs="Times New Roman"/>
                <w:sz w:val="20"/>
                <w:szCs w:val="20"/>
              </w:rPr>
            </w:pPr>
          </w:p>
        </w:tc>
        <w:tc>
          <w:tcPr>
            <w:tcW w:w="373" w:type="pct"/>
            <w:tcBorders>
              <w:top w:val="nil"/>
              <w:left w:val="nil"/>
              <w:bottom w:val="nil"/>
              <w:right w:val="nil"/>
            </w:tcBorders>
            <w:shd w:val="clear" w:color="auto" w:fill="auto"/>
            <w:noWrap/>
            <w:vAlign w:val="center"/>
            <w:hideMark/>
          </w:tcPr>
          <w:p w14:paraId="6C7D43CA" w14:textId="77777777" w:rsidR="00613783" w:rsidRPr="003A49C8" w:rsidRDefault="00613783" w:rsidP="00E33705">
            <w:pPr>
              <w:spacing w:after="0" w:line="240" w:lineRule="auto"/>
              <w:rPr>
                <w:rFonts w:eastAsia="Times New Roman" w:cs="Times New Roman"/>
                <w:sz w:val="20"/>
                <w:szCs w:val="20"/>
              </w:rPr>
            </w:pPr>
          </w:p>
        </w:tc>
        <w:tc>
          <w:tcPr>
            <w:tcW w:w="373" w:type="pct"/>
            <w:tcBorders>
              <w:top w:val="single" w:sz="8" w:space="0" w:color="auto"/>
              <w:left w:val="nil"/>
              <w:bottom w:val="nil"/>
              <w:right w:val="nil"/>
            </w:tcBorders>
            <w:shd w:val="clear" w:color="auto" w:fill="auto"/>
            <w:noWrap/>
            <w:vAlign w:val="center"/>
            <w:hideMark/>
          </w:tcPr>
          <w:p w14:paraId="1C9E941F" w14:textId="77777777" w:rsidR="00613783" w:rsidRPr="003A49C8" w:rsidRDefault="00613783" w:rsidP="00E33705">
            <w:pPr>
              <w:spacing w:after="0" w:line="240" w:lineRule="auto"/>
              <w:rPr>
                <w:rFonts w:eastAsia="Times New Roman" w:cs="Times New Roman"/>
                <w:sz w:val="20"/>
                <w:szCs w:val="20"/>
              </w:rPr>
            </w:pPr>
          </w:p>
        </w:tc>
        <w:tc>
          <w:tcPr>
            <w:tcW w:w="100" w:type="pct"/>
            <w:tcBorders>
              <w:top w:val="single" w:sz="8" w:space="0" w:color="auto"/>
              <w:left w:val="nil"/>
              <w:bottom w:val="nil"/>
              <w:right w:val="nil"/>
            </w:tcBorders>
            <w:shd w:val="clear" w:color="auto" w:fill="auto"/>
            <w:noWrap/>
            <w:vAlign w:val="center"/>
            <w:hideMark/>
          </w:tcPr>
          <w:p w14:paraId="0AA526EE" w14:textId="77777777" w:rsidR="00613783" w:rsidRPr="003A49C8" w:rsidRDefault="00613783" w:rsidP="00E33705">
            <w:pPr>
              <w:spacing w:after="0" w:line="240" w:lineRule="auto"/>
              <w:rPr>
                <w:rFonts w:eastAsia="Times New Roman" w:cs="Times New Roman"/>
                <w:sz w:val="20"/>
                <w:szCs w:val="20"/>
              </w:rPr>
            </w:pPr>
          </w:p>
        </w:tc>
        <w:tc>
          <w:tcPr>
            <w:tcW w:w="373" w:type="pct"/>
            <w:tcBorders>
              <w:top w:val="single" w:sz="8" w:space="0" w:color="auto"/>
              <w:left w:val="nil"/>
              <w:bottom w:val="nil"/>
              <w:right w:val="nil"/>
            </w:tcBorders>
            <w:shd w:val="clear" w:color="auto" w:fill="auto"/>
            <w:noWrap/>
            <w:vAlign w:val="center"/>
            <w:hideMark/>
          </w:tcPr>
          <w:p w14:paraId="7CD33EBE" w14:textId="77777777" w:rsidR="00613783" w:rsidRPr="003A49C8" w:rsidRDefault="00613783" w:rsidP="00E33705">
            <w:pPr>
              <w:spacing w:after="0" w:line="240" w:lineRule="auto"/>
              <w:rPr>
                <w:rFonts w:eastAsia="Times New Roman" w:cs="Times New Roman"/>
                <w:sz w:val="20"/>
                <w:szCs w:val="20"/>
              </w:rPr>
            </w:pPr>
          </w:p>
        </w:tc>
        <w:tc>
          <w:tcPr>
            <w:tcW w:w="373" w:type="pct"/>
            <w:tcBorders>
              <w:top w:val="single" w:sz="8" w:space="0" w:color="auto"/>
              <w:left w:val="nil"/>
              <w:bottom w:val="nil"/>
              <w:right w:val="nil"/>
            </w:tcBorders>
            <w:shd w:val="clear" w:color="auto" w:fill="auto"/>
            <w:noWrap/>
            <w:vAlign w:val="center"/>
            <w:hideMark/>
          </w:tcPr>
          <w:p w14:paraId="4F1AE766" w14:textId="77777777" w:rsidR="00613783" w:rsidRPr="003A49C8" w:rsidRDefault="00613783" w:rsidP="00E33705">
            <w:pPr>
              <w:spacing w:after="0" w:line="240" w:lineRule="auto"/>
              <w:rPr>
                <w:rFonts w:eastAsia="Times New Roman" w:cs="Times New Roman"/>
                <w:sz w:val="20"/>
                <w:szCs w:val="20"/>
              </w:rPr>
            </w:pPr>
          </w:p>
        </w:tc>
        <w:tc>
          <w:tcPr>
            <w:tcW w:w="100" w:type="pct"/>
            <w:tcBorders>
              <w:top w:val="single" w:sz="8" w:space="0" w:color="auto"/>
              <w:left w:val="nil"/>
              <w:bottom w:val="nil"/>
              <w:right w:val="nil"/>
            </w:tcBorders>
            <w:shd w:val="clear" w:color="auto" w:fill="auto"/>
            <w:noWrap/>
            <w:vAlign w:val="center"/>
            <w:hideMark/>
          </w:tcPr>
          <w:p w14:paraId="562C0EF1" w14:textId="77777777" w:rsidR="00613783" w:rsidRPr="003A49C8" w:rsidRDefault="00613783" w:rsidP="00E33705">
            <w:pPr>
              <w:spacing w:after="0" w:line="240" w:lineRule="auto"/>
              <w:rPr>
                <w:rFonts w:eastAsia="Times New Roman" w:cs="Times New Roman"/>
                <w:sz w:val="20"/>
                <w:szCs w:val="20"/>
              </w:rPr>
            </w:pPr>
          </w:p>
        </w:tc>
        <w:tc>
          <w:tcPr>
            <w:tcW w:w="373" w:type="pct"/>
            <w:tcBorders>
              <w:top w:val="single" w:sz="8" w:space="0" w:color="auto"/>
              <w:left w:val="nil"/>
              <w:bottom w:val="nil"/>
              <w:right w:val="nil"/>
            </w:tcBorders>
            <w:shd w:val="clear" w:color="auto" w:fill="auto"/>
            <w:noWrap/>
            <w:vAlign w:val="center"/>
            <w:hideMark/>
          </w:tcPr>
          <w:p w14:paraId="73461A0D" w14:textId="77777777" w:rsidR="00613783" w:rsidRPr="003A49C8" w:rsidRDefault="00613783" w:rsidP="00E33705">
            <w:pPr>
              <w:spacing w:after="0" w:line="240" w:lineRule="auto"/>
              <w:rPr>
                <w:rFonts w:eastAsia="Times New Roman" w:cs="Times New Roman"/>
                <w:sz w:val="20"/>
                <w:szCs w:val="20"/>
              </w:rPr>
            </w:pPr>
          </w:p>
        </w:tc>
        <w:tc>
          <w:tcPr>
            <w:tcW w:w="373" w:type="pct"/>
            <w:tcBorders>
              <w:top w:val="nil"/>
              <w:left w:val="nil"/>
              <w:bottom w:val="nil"/>
              <w:right w:val="nil"/>
            </w:tcBorders>
            <w:shd w:val="clear" w:color="auto" w:fill="auto"/>
            <w:noWrap/>
            <w:vAlign w:val="center"/>
            <w:hideMark/>
          </w:tcPr>
          <w:p w14:paraId="63625124" w14:textId="77777777" w:rsidR="00613783" w:rsidRPr="003A49C8" w:rsidRDefault="00613783" w:rsidP="00E33705">
            <w:pPr>
              <w:spacing w:after="0" w:line="240" w:lineRule="auto"/>
              <w:rPr>
                <w:rFonts w:eastAsia="Times New Roman" w:cs="Times New Roman"/>
                <w:sz w:val="20"/>
                <w:szCs w:val="20"/>
              </w:rPr>
            </w:pPr>
          </w:p>
        </w:tc>
      </w:tr>
      <w:tr w:rsidR="003A49C8" w:rsidRPr="003A49C8" w14:paraId="21F8387B" w14:textId="77777777" w:rsidTr="00343F9E">
        <w:trPr>
          <w:trHeight w:val="53"/>
        </w:trPr>
        <w:tc>
          <w:tcPr>
            <w:tcW w:w="2192" w:type="pct"/>
            <w:tcBorders>
              <w:top w:val="nil"/>
              <w:left w:val="nil"/>
              <w:bottom w:val="nil"/>
              <w:right w:val="nil"/>
            </w:tcBorders>
            <w:shd w:val="clear" w:color="auto" w:fill="auto"/>
            <w:noWrap/>
            <w:vAlign w:val="center"/>
            <w:hideMark/>
          </w:tcPr>
          <w:p w14:paraId="37D170B1" w14:textId="77777777" w:rsidR="00613783" w:rsidRPr="003A49C8" w:rsidRDefault="00613783" w:rsidP="00E33705">
            <w:pPr>
              <w:spacing w:after="0" w:line="240" w:lineRule="auto"/>
              <w:rPr>
                <w:rFonts w:eastAsia="Times New Roman" w:cs="Times New Roman"/>
                <w:b/>
                <w:bCs/>
                <w:sz w:val="16"/>
                <w:szCs w:val="16"/>
              </w:rPr>
            </w:pPr>
            <w:r w:rsidRPr="003A49C8">
              <w:rPr>
                <w:rFonts w:eastAsia="Times New Roman" w:cs="Times New Roman"/>
                <w:b/>
                <w:bCs/>
                <w:sz w:val="16"/>
                <w:szCs w:val="16"/>
              </w:rPr>
              <w:t>Panel III: Financial ETFs, m = 300</w:t>
            </w:r>
          </w:p>
        </w:tc>
        <w:tc>
          <w:tcPr>
            <w:tcW w:w="373" w:type="pct"/>
            <w:tcBorders>
              <w:top w:val="nil"/>
              <w:left w:val="nil"/>
              <w:bottom w:val="nil"/>
              <w:right w:val="nil"/>
            </w:tcBorders>
            <w:shd w:val="clear" w:color="auto" w:fill="auto"/>
            <w:noWrap/>
            <w:vAlign w:val="center"/>
            <w:hideMark/>
          </w:tcPr>
          <w:p w14:paraId="78DD1096" w14:textId="77777777" w:rsidR="00613783" w:rsidRPr="003A49C8" w:rsidRDefault="00613783" w:rsidP="00E33705">
            <w:pPr>
              <w:spacing w:after="0" w:line="240" w:lineRule="auto"/>
              <w:rPr>
                <w:rFonts w:eastAsia="Times New Roman" w:cs="Times New Roman"/>
                <w:b/>
                <w:bCs/>
                <w:sz w:val="16"/>
                <w:szCs w:val="16"/>
              </w:rPr>
            </w:pPr>
          </w:p>
        </w:tc>
        <w:tc>
          <w:tcPr>
            <w:tcW w:w="373" w:type="pct"/>
            <w:tcBorders>
              <w:top w:val="nil"/>
              <w:left w:val="nil"/>
              <w:bottom w:val="nil"/>
              <w:right w:val="nil"/>
            </w:tcBorders>
            <w:shd w:val="clear" w:color="auto" w:fill="auto"/>
            <w:noWrap/>
            <w:vAlign w:val="center"/>
            <w:hideMark/>
          </w:tcPr>
          <w:p w14:paraId="53D245F9" w14:textId="77777777" w:rsidR="00613783" w:rsidRPr="003A49C8" w:rsidRDefault="00613783" w:rsidP="00E33705">
            <w:pPr>
              <w:spacing w:after="0" w:line="240" w:lineRule="auto"/>
              <w:rPr>
                <w:rFonts w:eastAsia="Times New Roman" w:cs="Times New Roman"/>
                <w:sz w:val="20"/>
                <w:szCs w:val="20"/>
              </w:rPr>
            </w:pPr>
          </w:p>
        </w:tc>
        <w:tc>
          <w:tcPr>
            <w:tcW w:w="373" w:type="pct"/>
            <w:tcBorders>
              <w:top w:val="nil"/>
              <w:left w:val="nil"/>
              <w:bottom w:val="nil"/>
              <w:right w:val="nil"/>
            </w:tcBorders>
            <w:shd w:val="clear" w:color="auto" w:fill="auto"/>
            <w:noWrap/>
            <w:vAlign w:val="center"/>
            <w:hideMark/>
          </w:tcPr>
          <w:p w14:paraId="44D3487C" w14:textId="77777777" w:rsidR="00613783" w:rsidRPr="003A49C8" w:rsidRDefault="00613783" w:rsidP="00E33705">
            <w:pPr>
              <w:spacing w:after="0" w:line="240" w:lineRule="auto"/>
              <w:rPr>
                <w:rFonts w:eastAsia="Times New Roman" w:cs="Times New Roman"/>
                <w:sz w:val="20"/>
                <w:szCs w:val="20"/>
              </w:rPr>
            </w:pPr>
          </w:p>
        </w:tc>
        <w:tc>
          <w:tcPr>
            <w:tcW w:w="100" w:type="pct"/>
            <w:tcBorders>
              <w:top w:val="nil"/>
              <w:left w:val="nil"/>
              <w:bottom w:val="nil"/>
              <w:right w:val="nil"/>
            </w:tcBorders>
            <w:shd w:val="clear" w:color="auto" w:fill="auto"/>
            <w:noWrap/>
            <w:vAlign w:val="center"/>
            <w:hideMark/>
          </w:tcPr>
          <w:p w14:paraId="78908D84" w14:textId="77777777" w:rsidR="00613783" w:rsidRPr="003A49C8" w:rsidRDefault="00613783" w:rsidP="00E33705">
            <w:pPr>
              <w:spacing w:after="0" w:line="240" w:lineRule="auto"/>
              <w:rPr>
                <w:rFonts w:eastAsia="Times New Roman" w:cs="Times New Roman"/>
                <w:sz w:val="20"/>
                <w:szCs w:val="20"/>
              </w:rPr>
            </w:pPr>
          </w:p>
        </w:tc>
        <w:tc>
          <w:tcPr>
            <w:tcW w:w="373" w:type="pct"/>
            <w:tcBorders>
              <w:top w:val="nil"/>
              <w:left w:val="nil"/>
              <w:bottom w:val="nil"/>
              <w:right w:val="nil"/>
            </w:tcBorders>
            <w:shd w:val="clear" w:color="auto" w:fill="auto"/>
            <w:noWrap/>
            <w:vAlign w:val="center"/>
            <w:hideMark/>
          </w:tcPr>
          <w:p w14:paraId="5C92044D" w14:textId="77777777" w:rsidR="00613783" w:rsidRPr="003A49C8" w:rsidRDefault="00613783" w:rsidP="00E33705">
            <w:pPr>
              <w:spacing w:after="0" w:line="240" w:lineRule="auto"/>
              <w:rPr>
                <w:rFonts w:eastAsia="Times New Roman" w:cs="Times New Roman"/>
                <w:sz w:val="20"/>
                <w:szCs w:val="20"/>
              </w:rPr>
            </w:pPr>
          </w:p>
        </w:tc>
        <w:tc>
          <w:tcPr>
            <w:tcW w:w="373" w:type="pct"/>
            <w:tcBorders>
              <w:top w:val="nil"/>
              <w:left w:val="nil"/>
              <w:bottom w:val="nil"/>
              <w:right w:val="nil"/>
            </w:tcBorders>
            <w:shd w:val="clear" w:color="auto" w:fill="auto"/>
            <w:noWrap/>
            <w:vAlign w:val="center"/>
            <w:hideMark/>
          </w:tcPr>
          <w:p w14:paraId="68BBE7D8" w14:textId="77777777" w:rsidR="00613783" w:rsidRPr="003A49C8" w:rsidRDefault="00613783" w:rsidP="00E33705">
            <w:pPr>
              <w:spacing w:after="0" w:line="240" w:lineRule="auto"/>
              <w:rPr>
                <w:rFonts w:eastAsia="Times New Roman" w:cs="Times New Roman"/>
                <w:sz w:val="20"/>
                <w:szCs w:val="20"/>
              </w:rPr>
            </w:pPr>
          </w:p>
        </w:tc>
        <w:tc>
          <w:tcPr>
            <w:tcW w:w="100" w:type="pct"/>
            <w:tcBorders>
              <w:top w:val="nil"/>
              <w:left w:val="nil"/>
              <w:bottom w:val="nil"/>
              <w:right w:val="nil"/>
            </w:tcBorders>
            <w:shd w:val="clear" w:color="auto" w:fill="auto"/>
            <w:noWrap/>
            <w:vAlign w:val="center"/>
            <w:hideMark/>
          </w:tcPr>
          <w:p w14:paraId="0BBA3C90" w14:textId="77777777" w:rsidR="00613783" w:rsidRPr="003A49C8" w:rsidRDefault="00613783" w:rsidP="00E33705">
            <w:pPr>
              <w:spacing w:after="0" w:line="240" w:lineRule="auto"/>
              <w:rPr>
                <w:rFonts w:eastAsia="Times New Roman" w:cs="Times New Roman"/>
                <w:sz w:val="20"/>
                <w:szCs w:val="20"/>
              </w:rPr>
            </w:pPr>
          </w:p>
        </w:tc>
        <w:tc>
          <w:tcPr>
            <w:tcW w:w="373" w:type="pct"/>
            <w:tcBorders>
              <w:top w:val="nil"/>
              <w:left w:val="nil"/>
              <w:bottom w:val="nil"/>
              <w:right w:val="nil"/>
            </w:tcBorders>
            <w:shd w:val="clear" w:color="auto" w:fill="auto"/>
            <w:noWrap/>
            <w:vAlign w:val="center"/>
            <w:hideMark/>
          </w:tcPr>
          <w:p w14:paraId="02B213CB" w14:textId="77777777" w:rsidR="00613783" w:rsidRPr="003A49C8" w:rsidRDefault="00613783" w:rsidP="00E33705">
            <w:pPr>
              <w:spacing w:after="0" w:line="240" w:lineRule="auto"/>
              <w:rPr>
                <w:rFonts w:eastAsia="Times New Roman" w:cs="Times New Roman"/>
                <w:sz w:val="20"/>
                <w:szCs w:val="20"/>
              </w:rPr>
            </w:pPr>
          </w:p>
        </w:tc>
        <w:tc>
          <w:tcPr>
            <w:tcW w:w="373" w:type="pct"/>
            <w:tcBorders>
              <w:top w:val="nil"/>
              <w:left w:val="nil"/>
              <w:bottom w:val="nil"/>
              <w:right w:val="nil"/>
            </w:tcBorders>
            <w:shd w:val="clear" w:color="auto" w:fill="auto"/>
            <w:noWrap/>
            <w:vAlign w:val="center"/>
            <w:hideMark/>
          </w:tcPr>
          <w:p w14:paraId="04ADFE0F" w14:textId="77777777" w:rsidR="00613783" w:rsidRPr="003A49C8" w:rsidRDefault="00613783" w:rsidP="00E33705">
            <w:pPr>
              <w:spacing w:after="0" w:line="240" w:lineRule="auto"/>
              <w:rPr>
                <w:rFonts w:eastAsia="Times New Roman" w:cs="Times New Roman"/>
                <w:sz w:val="20"/>
                <w:szCs w:val="20"/>
              </w:rPr>
            </w:pPr>
          </w:p>
        </w:tc>
      </w:tr>
      <w:tr w:rsidR="003A49C8" w:rsidRPr="003A49C8" w14:paraId="04F5AAED" w14:textId="77777777" w:rsidTr="00343F9E">
        <w:trPr>
          <w:trHeight w:val="53"/>
        </w:trPr>
        <w:tc>
          <w:tcPr>
            <w:tcW w:w="2192" w:type="pct"/>
            <w:tcBorders>
              <w:top w:val="nil"/>
              <w:left w:val="nil"/>
              <w:bottom w:val="nil"/>
              <w:right w:val="nil"/>
            </w:tcBorders>
            <w:shd w:val="clear" w:color="auto" w:fill="auto"/>
            <w:noWrap/>
            <w:vAlign w:val="center"/>
            <w:hideMark/>
          </w:tcPr>
          <w:p w14:paraId="4A9B858A" w14:textId="1840FFD9"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XLF Financial Select Sector</w:t>
            </w:r>
            <w:r w:rsidR="00C55389" w:rsidRPr="003A49C8">
              <w:rPr>
                <w:rFonts w:eastAsia="Times New Roman" w:cs="Times New Roman"/>
                <w:sz w:val="16"/>
                <w:szCs w:val="16"/>
              </w:rPr>
              <w:t xml:space="preserve"> SPDR Fund</w:t>
            </w:r>
          </w:p>
        </w:tc>
        <w:tc>
          <w:tcPr>
            <w:tcW w:w="373" w:type="pct"/>
            <w:tcBorders>
              <w:top w:val="nil"/>
              <w:left w:val="nil"/>
              <w:bottom w:val="nil"/>
              <w:right w:val="nil"/>
            </w:tcBorders>
            <w:shd w:val="clear" w:color="auto" w:fill="auto"/>
            <w:noWrap/>
            <w:vAlign w:val="center"/>
            <w:hideMark/>
          </w:tcPr>
          <w:p w14:paraId="4B5ED8EF"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2.251983</w:t>
            </w:r>
          </w:p>
        </w:tc>
        <w:tc>
          <w:tcPr>
            <w:tcW w:w="373" w:type="pct"/>
            <w:tcBorders>
              <w:top w:val="nil"/>
              <w:left w:val="nil"/>
              <w:bottom w:val="nil"/>
              <w:right w:val="nil"/>
            </w:tcBorders>
            <w:shd w:val="clear" w:color="auto" w:fill="auto"/>
            <w:noWrap/>
            <w:vAlign w:val="center"/>
            <w:hideMark/>
          </w:tcPr>
          <w:p w14:paraId="10B52A3C"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0.150329</w:t>
            </w:r>
          </w:p>
        </w:tc>
        <w:tc>
          <w:tcPr>
            <w:tcW w:w="373" w:type="pct"/>
            <w:tcBorders>
              <w:top w:val="nil"/>
              <w:left w:val="nil"/>
              <w:bottom w:val="nil"/>
              <w:right w:val="nil"/>
            </w:tcBorders>
            <w:shd w:val="clear" w:color="auto" w:fill="auto"/>
            <w:noWrap/>
            <w:vAlign w:val="center"/>
            <w:hideMark/>
          </w:tcPr>
          <w:p w14:paraId="1121F85F"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0.110502</w:t>
            </w:r>
          </w:p>
        </w:tc>
        <w:tc>
          <w:tcPr>
            <w:tcW w:w="100" w:type="pct"/>
            <w:tcBorders>
              <w:top w:val="nil"/>
              <w:left w:val="nil"/>
              <w:bottom w:val="nil"/>
              <w:right w:val="nil"/>
            </w:tcBorders>
            <w:shd w:val="clear" w:color="auto" w:fill="auto"/>
            <w:noWrap/>
            <w:vAlign w:val="center"/>
            <w:hideMark/>
          </w:tcPr>
          <w:p w14:paraId="5F420D4E"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04055D67"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0.399366</w:t>
            </w:r>
          </w:p>
        </w:tc>
        <w:tc>
          <w:tcPr>
            <w:tcW w:w="373" w:type="pct"/>
            <w:tcBorders>
              <w:top w:val="nil"/>
              <w:left w:val="nil"/>
              <w:bottom w:val="nil"/>
              <w:right w:val="nil"/>
            </w:tcBorders>
            <w:shd w:val="clear" w:color="auto" w:fill="auto"/>
            <w:noWrap/>
            <w:vAlign w:val="center"/>
            <w:hideMark/>
          </w:tcPr>
          <w:p w14:paraId="5CDCF9C1"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0.399366</w:t>
            </w:r>
          </w:p>
        </w:tc>
        <w:tc>
          <w:tcPr>
            <w:tcW w:w="100" w:type="pct"/>
            <w:tcBorders>
              <w:top w:val="nil"/>
              <w:left w:val="nil"/>
              <w:bottom w:val="nil"/>
              <w:right w:val="nil"/>
            </w:tcBorders>
            <w:shd w:val="clear" w:color="auto" w:fill="auto"/>
            <w:noWrap/>
            <w:vAlign w:val="center"/>
            <w:hideMark/>
          </w:tcPr>
          <w:p w14:paraId="246649F1"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032F5A74"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0.088262</w:t>
            </w:r>
          </w:p>
        </w:tc>
        <w:tc>
          <w:tcPr>
            <w:tcW w:w="373" w:type="pct"/>
            <w:tcBorders>
              <w:top w:val="nil"/>
              <w:left w:val="nil"/>
              <w:bottom w:val="nil"/>
              <w:right w:val="nil"/>
            </w:tcBorders>
            <w:shd w:val="clear" w:color="auto" w:fill="auto"/>
            <w:noWrap/>
            <w:vAlign w:val="center"/>
            <w:hideMark/>
          </w:tcPr>
          <w:p w14:paraId="4AADB496"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0.199683</w:t>
            </w:r>
          </w:p>
        </w:tc>
      </w:tr>
      <w:tr w:rsidR="003A49C8" w:rsidRPr="003A49C8" w14:paraId="232F01A0" w14:textId="77777777" w:rsidTr="00343F9E">
        <w:trPr>
          <w:trHeight w:val="53"/>
        </w:trPr>
        <w:tc>
          <w:tcPr>
            <w:tcW w:w="2192" w:type="pct"/>
            <w:tcBorders>
              <w:top w:val="nil"/>
              <w:left w:val="nil"/>
              <w:bottom w:val="nil"/>
              <w:right w:val="nil"/>
            </w:tcBorders>
            <w:shd w:val="clear" w:color="auto" w:fill="auto"/>
            <w:noWrap/>
            <w:vAlign w:val="center"/>
            <w:hideMark/>
          </w:tcPr>
          <w:p w14:paraId="5FAAF4B4" w14:textId="36B89DA4" w:rsidR="00613783" w:rsidRPr="003A49C8" w:rsidRDefault="00613783" w:rsidP="00E33705">
            <w:pPr>
              <w:spacing w:after="0" w:line="240" w:lineRule="auto"/>
              <w:rPr>
                <w:rFonts w:eastAsia="Times New Roman" w:cs="Times New Roman"/>
                <w:sz w:val="16"/>
                <w:szCs w:val="16"/>
                <w:lang w:val="fr-FR"/>
              </w:rPr>
            </w:pPr>
            <w:r w:rsidRPr="003A49C8">
              <w:rPr>
                <w:rFonts w:eastAsia="Times New Roman" w:cs="Times New Roman"/>
                <w:sz w:val="16"/>
                <w:szCs w:val="16"/>
                <w:lang w:val="fr-FR"/>
              </w:rPr>
              <w:t xml:space="preserve">EUFN </w:t>
            </w:r>
            <w:proofErr w:type="spellStart"/>
            <w:r w:rsidRPr="003A49C8">
              <w:rPr>
                <w:rFonts w:eastAsia="Times New Roman" w:cs="Times New Roman"/>
                <w:sz w:val="16"/>
                <w:szCs w:val="16"/>
                <w:lang w:val="fr-FR"/>
              </w:rPr>
              <w:t>iShares</w:t>
            </w:r>
            <w:proofErr w:type="spellEnd"/>
            <w:r w:rsidRPr="003A49C8">
              <w:rPr>
                <w:rFonts w:eastAsia="Times New Roman" w:cs="Times New Roman"/>
                <w:sz w:val="16"/>
                <w:szCs w:val="16"/>
                <w:lang w:val="fr-FR"/>
              </w:rPr>
              <w:t xml:space="preserve"> MSCI Europe </w:t>
            </w:r>
            <w:proofErr w:type="spellStart"/>
            <w:r w:rsidRPr="003A49C8">
              <w:rPr>
                <w:rFonts w:eastAsia="Times New Roman" w:cs="Times New Roman"/>
                <w:sz w:val="16"/>
                <w:szCs w:val="16"/>
                <w:lang w:val="fr-FR"/>
              </w:rPr>
              <w:t>Financial</w:t>
            </w:r>
            <w:r w:rsidR="00C55389" w:rsidRPr="003A49C8">
              <w:rPr>
                <w:rFonts w:eastAsia="Times New Roman" w:cs="Times New Roman"/>
                <w:sz w:val="16"/>
                <w:szCs w:val="16"/>
                <w:lang w:val="fr-FR"/>
              </w:rPr>
              <w:t>s</w:t>
            </w:r>
            <w:proofErr w:type="spellEnd"/>
            <w:r w:rsidR="00C55389" w:rsidRPr="003A49C8">
              <w:rPr>
                <w:rFonts w:eastAsia="Times New Roman" w:cs="Times New Roman"/>
                <w:sz w:val="16"/>
                <w:szCs w:val="16"/>
                <w:lang w:val="fr-FR"/>
              </w:rPr>
              <w:t xml:space="preserve"> ETF</w:t>
            </w:r>
          </w:p>
        </w:tc>
        <w:tc>
          <w:tcPr>
            <w:tcW w:w="373" w:type="pct"/>
            <w:tcBorders>
              <w:top w:val="nil"/>
              <w:left w:val="nil"/>
              <w:bottom w:val="nil"/>
              <w:right w:val="nil"/>
            </w:tcBorders>
            <w:shd w:val="clear" w:color="auto" w:fill="auto"/>
            <w:noWrap/>
            <w:vAlign w:val="center"/>
            <w:hideMark/>
          </w:tcPr>
          <w:p w14:paraId="3C7A767B"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2.089593</w:t>
            </w:r>
          </w:p>
        </w:tc>
        <w:tc>
          <w:tcPr>
            <w:tcW w:w="373" w:type="pct"/>
            <w:tcBorders>
              <w:top w:val="nil"/>
              <w:left w:val="nil"/>
              <w:bottom w:val="nil"/>
              <w:right w:val="nil"/>
            </w:tcBorders>
            <w:shd w:val="clear" w:color="auto" w:fill="auto"/>
            <w:noWrap/>
            <w:vAlign w:val="center"/>
            <w:hideMark/>
          </w:tcPr>
          <w:p w14:paraId="41202566"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0.122443</w:t>
            </w:r>
          </w:p>
        </w:tc>
        <w:tc>
          <w:tcPr>
            <w:tcW w:w="373" w:type="pct"/>
            <w:tcBorders>
              <w:top w:val="nil"/>
              <w:left w:val="nil"/>
              <w:bottom w:val="nil"/>
              <w:right w:val="nil"/>
            </w:tcBorders>
            <w:shd w:val="clear" w:color="auto" w:fill="auto"/>
            <w:noWrap/>
            <w:vAlign w:val="center"/>
            <w:hideMark/>
          </w:tcPr>
          <w:p w14:paraId="0947964C"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0.087877</w:t>
            </w:r>
          </w:p>
        </w:tc>
        <w:tc>
          <w:tcPr>
            <w:tcW w:w="100" w:type="pct"/>
            <w:tcBorders>
              <w:top w:val="nil"/>
              <w:left w:val="nil"/>
              <w:bottom w:val="nil"/>
              <w:right w:val="nil"/>
            </w:tcBorders>
            <w:shd w:val="clear" w:color="auto" w:fill="auto"/>
            <w:noWrap/>
            <w:vAlign w:val="center"/>
            <w:hideMark/>
          </w:tcPr>
          <w:p w14:paraId="1A5D85BA"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10DFF92E"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0.458887</w:t>
            </w:r>
          </w:p>
        </w:tc>
        <w:tc>
          <w:tcPr>
            <w:tcW w:w="373" w:type="pct"/>
            <w:tcBorders>
              <w:top w:val="nil"/>
              <w:left w:val="nil"/>
              <w:bottom w:val="nil"/>
              <w:right w:val="nil"/>
            </w:tcBorders>
            <w:shd w:val="clear" w:color="auto" w:fill="auto"/>
            <w:noWrap/>
            <w:vAlign w:val="center"/>
            <w:hideMark/>
          </w:tcPr>
          <w:p w14:paraId="7B670D8F"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0.458887</w:t>
            </w:r>
          </w:p>
        </w:tc>
        <w:tc>
          <w:tcPr>
            <w:tcW w:w="100" w:type="pct"/>
            <w:tcBorders>
              <w:top w:val="nil"/>
              <w:left w:val="nil"/>
              <w:bottom w:val="nil"/>
              <w:right w:val="nil"/>
            </w:tcBorders>
            <w:shd w:val="clear" w:color="auto" w:fill="auto"/>
            <w:noWrap/>
            <w:vAlign w:val="center"/>
            <w:hideMark/>
          </w:tcPr>
          <w:p w14:paraId="3B801B77"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3CAA6917"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0.080651</w:t>
            </w:r>
          </w:p>
        </w:tc>
        <w:tc>
          <w:tcPr>
            <w:tcW w:w="373" w:type="pct"/>
            <w:tcBorders>
              <w:top w:val="nil"/>
              <w:left w:val="nil"/>
              <w:bottom w:val="nil"/>
              <w:right w:val="nil"/>
            </w:tcBorders>
            <w:shd w:val="clear" w:color="auto" w:fill="auto"/>
            <w:noWrap/>
            <w:vAlign w:val="center"/>
            <w:hideMark/>
          </w:tcPr>
          <w:p w14:paraId="708E6E6B"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0.229444</w:t>
            </w:r>
          </w:p>
        </w:tc>
      </w:tr>
      <w:tr w:rsidR="003A49C8" w:rsidRPr="003A49C8" w14:paraId="159A3940" w14:textId="77777777" w:rsidTr="00343F9E">
        <w:trPr>
          <w:trHeight w:val="53"/>
        </w:trPr>
        <w:tc>
          <w:tcPr>
            <w:tcW w:w="2192" w:type="pct"/>
            <w:tcBorders>
              <w:top w:val="nil"/>
              <w:left w:val="nil"/>
              <w:bottom w:val="nil"/>
              <w:right w:val="nil"/>
            </w:tcBorders>
            <w:shd w:val="clear" w:color="auto" w:fill="auto"/>
            <w:noWrap/>
            <w:vAlign w:val="center"/>
            <w:hideMark/>
          </w:tcPr>
          <w:p w14:paraId="5D5E0940" w14:textId="733F7E68"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FNCL Fidelity MSCI Financials Index</w:t>
            </w:r>
            <w:r w:rsidR="00D805A1" w:rsidRPr="003A49C8">
              <w:rPr>
                <w:rFonts w:eastAsia="Times New Roman" w:cs="Times New Roman"/>
                <w:sz w:val="16"/>
                <w:szCs w:val="16"/>
              </w:rPr>
              <w:t xml:space="preserve"> ETF</w:t>
            </w:r>
          </w:p>
        </w:tc>
        <w:tc>
          <w:tcPr>
            <w:tcW w:w="373" w:type="pct"/>
            <w:tcBorders>
              <w:top w:val="nil"/>
              <w:left w:val="nil"/>
              <w:bottom w:val="nil"/>
              <w:right w:val="nil"/>
            </w:tcBorders>
            <w:shd w:val="clear" w:color="auto" w:fill="auto"/>
            <w:noWrap/>
            <w:vAlign w:val="center"/>
            <w:hideMark/>
          </w:tcPr>
          <w:p w14:paraId="7B95C9F1"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1.708241</w:t>
            </w:r>
          </w:p>
        </w:tc>
        <w:tc>
          <w:tcPr>
            <w:tcW w:w="373" w:type="pct"/>
            <w:tcBorders>
              <w:top w:val="nil"/>
              <w:left w:val="nil"/>
              <w:bottom w:val="nil"/>
              <w:right w:val="nil"/>
            </w:tcBorders>
            <w:shd w:val="clear" w:color="auto" w:fill="auto"/>
            <w:noWrap/>
            <w:vAlign w:val="center"/>
            <w:hideMark/>
          </w:tcPr>
          <w:p w14:paraId="3C711FC2"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0.106297</w:t>
            </w:r>
          </w:p>
        </w:tc>
        <w:tc>
          <w:tcPr>
            <w:tcW w:w="373" w:type="pct"/>
            <w:tcBorders>
              <w:top w:val="nil"/>
              <w:left w:val="nil"/>
              <w:bottom w:val="nil"/>
              <w:right w:val="nil"/>
            </w:tcBorders>
            <w:shd w:val="clear" w:color="auto" w:fill="auto"/>
            <w:noWrap/>
            <w:vAlign w:val="center"/>
            <w:hideMark/>
          </w:tcPr>
          <w:p w14:paraId="5ADC1D08"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0.070843</w:t>
            </w:r>
          </w:p>
        </w:tc>
        <w:tc>
          <w:tcPr>
            <w:tcW w:w="100" w:type="pct"/>
            <w:tcBorders>
              <w:top w:val="nil"/>
              <w:left w:val="nil"/>
              <w:bottom w:val="nil"/>
              <w:right w:val="nil"/>
            </w:tcBorders>
            <w:shd w:val="clear" w:color="auto" w:fill="auto"/>
            <w:noWrap/>
            <w:vAlign w:val="center"/>
            <w:hideMark/>
          </w:tcPr>
          <w:p w14:paraId="4952A7A7"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02F69327"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0.705975</w:t>
            </w:r>
          </w:p>
        </w:tc>
        <w:tc>
          <w:tcPr>
            <w:tcW w:w="373" w:type="pct"/>
            <w:tcBorders>
              <w:top w:val="nil"/>
              <w:left w:val="nil"/>
              <w:bottom w:val="nil"/>
              <w:right w:val="nil"/>
            </w:tcBorders>
            <w:shd w:val="clear" w:color="auto" w:fill="auto"/>
            <w:noWrap/>
            <w:vAlign w:val="center"/>
            <w:hideMark/>
          </w:tcPr>
          <w:p w14:paraId="4877FEB5"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0.705975</w:t>
            </w:r>
          </w:p>
        </w:tc>
        <w:tc>
          <w:tcPr>
            <w:tcW w:w="100" w:type="pct"/>
            <w:tcBorders>
              <w:top w:val="nil"/>
              <w:left w:val="nil"/>
              <w:bottom w:val="nil"/>
              <w:right w:val="nil"/>
            </w:tcBorders>
            <w:shd w:val="clear" w:color="auto" w:fill="auto"/>
            <w:noWrap/>
            <w:vAlign w:val="center"/>
            <w:hideMark/>
          </w:tcPr>
          <w:p w14:paraId="3E7340CB"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668990D3"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0.100027</w:t>
            </w:r>
          </w:p>
        </w:tc>
        <w:tc>
          <w:tcPr>
            <w:tcW w:w="373" w:type="pct"/>
            <w:tcBorders>
              <w:top w:val="nil"/>
              <w:left w:val="nil"/>
              <w:bottom w:val="nil"/>
              <w:right w:val="nil"/>
            </w:tcBorders>
            <w:shd w:val="clear" w:color="auto" w:fill="auto"/>
            <w:noWrap/>
            <w:vAlign w:val="center"/>
            <w:hideMark/>
          </w:tcPr>
          <w:p w14:paraId="4685C9C4"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0.352987</w:t>
            </w:r>
          </w:p>
        </w:tc>
      </w:tr>
      <w:tr w:rsidR="003A49C8" w:rsidRPr="003A49C8" w14:paraId="532EF4D1" w14:textId="77777777" w:rsidTr="00343F9E">
        <w:trPr>
          <w:trHeight w:val="53"/>
        </w:trPr>
        <w:tc>
          <w:tcPr>
            <w:tcW w:w="2192" w:type="pct"/>
            <w:tcBorders>
              <w:top w:val="nil"/>
              <w:left w:val="nil"/>
              <w:bottom w:val="nil"/>
              <w:right w:val="nil"/>
            </w:tcBorders>
            <w:shd w:val="clear" w:color="auto" w:fill="auto"/>
            <w:noWrap/>
            <w:vAlign w:val="center"/>
            <w:hideMark/>
          </w:tcPr>
          <w:p w14:paraId="589305F2" w14:textId="66C2EF49"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 xml:space="preserve">FXO First Trust Financials </w:t>
            </w:r>
            <w:proofErr w:type="spellStart"/>
            <w:r w:rsidRPr="003A49C8">
              <w:rPr>
                <w:rFonts w:eastAsia="Times New Roman" w:cs="Times New Roman"/>
                <w:sz w:val="16"/>
                <w:szCs w:val="16"/>
              </w:rPr>
              <w:t>Alpha</w:t>
            </w:r>
            <w:r w:rsidR="00D805A1" w:rsidRPr="003A49C8">
              <w:rPr>
                <w:rFonts w:eastAsia="Times New Roman" w:cs="Times New Roman"/>
                <w:sz w:val="16"/>
                <w:szCs w:val="16"/>
              </w:rPr>
              <w:t>DEX</w:t>
            </w:r>
            <w:proofErr w:type="spellEnd"/>
            <w:r w:rsidR="00D805A1" w:rsidRPr="003A49C8">
              <w:rPr>
                <w:rFonts w:eastAsia="Times New Roman" w:cs="Times New Roman"/>
                <w:sz w:val="16"/>
                <w:szCs w:val="16"/>
              </w:rPr>
              <w:t xml:space="preserve"> Fund</w:t>
            </w:r>
          </w:p>
        </w:tc>
        <w:tc>
          <w:tcPr>
            <w:tcW w:w="373" w:type="pct"/>
            <w:tcBorders>
              <w:top w:val="nil"/>
              <w:left w:val="nil"/>
              <w:bottom w:val="nil"/>
              <w:right w:val="nil"/>
            </w:tcBorders>
            <w:shd w:val="clear" w:color="auto" w:fill="auto"/>
            <w:noWrap/>
            <w:vAlign w:val="center"/>
            <w:hideMark/>
          </w:tcPr>
          <w:p w14:paraId="1B57E983"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1.907707</w:t>
            </w:r>
          </w:p>
        </w:tc>
        <w:tc>
          <w:tcPr>
            <w:tcW w:w="373" w:type="pct"/>
            <w:tcBorders>
              <w:top w:val="nil"/>
              <w:left w:val="nil"/>
              <w:bottom w:val="nil"/>
              <w:right w:val="nil"/>
            </w:tcBorders>
            <w:shd w:val="clear" w:color="auto" w:fill="auto"/>
            <w:noWrap/>
            <w:vAlign w:val="center"/>
            <w:hideMark/>
          </w:tcPr>
          <w:p w14:paraId="16A5FCD7"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0.1479</w:t>
            </w:r>
          </w:p>
        </w:tc>
        <w:tc>
          <w:tcPr>
            <w:tcW w:w="373" w:type="pct"/>
            <w:tcBorders>
              <w:top w:val="nil"/>
              <w:left w:val="nil"/>
              <w:bottom w:val="nil"/>
              <w:right w:val="nil"/>
            </w:tcBorders>
            <w:shd w:val="clear" w:color="auto" w:fill="auto"/>
            <w:noWrap/>
            <w:vAlign w:val="center"/>
            <w:hideMark/>
          </w:tcPr>
          <w:p w14:paraId="78E18B0F"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0.102842</w:t>
            </w:r>
          </w:p>
        </w:tc>
        <w:tc>
          <w:tcPr>
            <w:tcW w:w="100" w:type="pct"/>
            <w:tcBorders>
              <w:top w:val="nil"/>
              <w:left w:val="nil"/>
              <w:bottom w:val="nil"/>
              <w:right w:val="nil"/>
            </w:tcBorders>
            <w:shd w:val="clear" w:color="auto" w:fill="auto"/>
            <w:noWrap/>
            <w:vAlign w:val="center"/>
            <w:hideMark/>
          </w:tcPr>
          <w:p w14:paraId="7FA0BF2C"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54D2FD95"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0.550839</w:t>
            </w:r>
          </w:p>
        </w:tc>
        <w:tc>
          <w:tcPr>
            <w:tcW w:w="373" w:type="pct"/>
            <w:tcBorders>
              <w:top w:val="nil"/>
              <w:left w:val="nil"/>
              <w:bottom w:val="nil"/>
              <w:right w:val="nil"/>
            </w:tcBorders>
            <w:shd w:val="clear" w:color="auto" w:fill="auto"/>
            <w:noWrap/>
            <w:vAlign w:val="center"/>
            <w:hideMark/>
          </w:tcPr>
          <w:p w14:paraId="3D572E0C"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0.550839</w:t>
            </w:r>
          </w:p>
        </w:tc>
        <w:tc>
          <w:tcPr>
            <w:tcW w:w="100" w:type="pct"/>
            <w:tcBorders>
              <w:top w:val="nil"/>
              <w:left w:val="nil"/>
              <w:bottom w:val="nil"/>
              <w:right w:val="nil"/>
            </w:tcBorders>
            <w:shd w:val="clear" w:color="auto" w:fill="auto"/>
            <w:noWrap/>
            <w:vAlign w:val="center"/>
            <w:hideMark/>
          </w:tcPr>
          <w:p w14:paraId="548E51EF"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72EA13EA"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0.113299</w:t>
            </w:r>
          </w:p>
        </w:tc>
        <w:tc>
          <w:tcPr>
            <w:tcW w:w="373" w:type="pct"/>
            <w:tcBorders>
              <w:top w:val="nil"/>
              <w:left w:val="nil"/>
              <w:bottom w:val="nil"/>
              <w:right w:val="nil"/>
            </w:tcBorders>
            <w:shd w:val="clear" w:color="auto" w:fill="auto"/>
            <w:noWrap/>
            <w:vAlign w:val="center"/>
            <w:hideMark/>
          </w:tcPr>
          <w:p w14:paraId="190AECE6"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0.275419</w:t>
            </w:r>
          </w:p>
        </w:tc>
      </w:tr>
      <w:tr w:rsidR="003A49C8" w:rsidRPr="003A49C8" w14:paraId="24C7C1E3" w14:textId="77777777" w:rsidTr="00343F9E">
        <w:trPr>
          <w:trHeight w:val="53"/>
        </w:trPr>
        <w:tc>
          <w:tcPr>
            <w:tcW w:w="2192" w:type="pct"/>
            <w:tcBorders>
              <w:top w:val="nil"/>
              <w:left w:val="nil"/>
              <w:bottom w:val="nil"/>
              <w:right w:val="nil"/>
            </w:tcBorders>
            <w:shd w:val="clear" w:color="auto" w:fill="auto"/>
            <w:noWrap/>
            <w:vAlign w:val="center"/>
            <w:hideMark/>
          </w:tcPr>
          <w:p w14:paraId="4B72D7C8"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IYF iShares US Financials ETF</w:t>
            </w:r>
          </w:p>
        </w:tc>
        <w:tc>
          <w:tcPr>
            <w:tcW w:w="373" w:type="pct"/>
            <w:tcBorders>
              <w:top w:val="nil"/>
              <w:left w:val="nil"/>
              <w:bottom w:val="nil"/>
              <w:right w:val="nil"/>
            </w:tcBorders>
            <w:shd w:val="clear" w:color="auto" w:fill="auto"/>
            <w:noWrap/>
            <w:vAlign w:val="center"/>
            <w:hideMark/>
          </w:tcPr>
          <w:p w14:paraId="0FCCF60A"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2.185142</w:t>
            </w:r>
          </w:p>
        </w:tc>
        <w:tc>
          <w:tcPr>
            <w:tcW w:w="373" w:type="pct"/>
            <w:tcBorders>
              <w:top w:val="nil"/>
              <w:left w:val="nil"/>
              <w:bottom w:val="nil"/>
              <w:right w:val="nil"/>
            </w:tcBorders>
            <w:shd w:val="clear" w:color="auto" w:fill="auto"/>
            <w:noWrap/>
            <w:vAlign w:val="center"/>
            <w:hideMark/>
          </w:tcPr>
          <w:p w14:paraId="4507A411"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0.141963</w:t>
            </w:r>
          </w:p>
        </w:tc>
        <w:tc>
          <w:tcPr>
            <w:tcW w:w="373" w:type="pct"/>
            <w:tcBorders>
              <w:top w:val="nil"/>
              <w:left w:val="nil"/>
              <w:bottom w:val="nil"/>
              <w:right w:val="nil"/>
            </w:tcBorders>
            <w:shd w:val="clear" w:color="auto" w:fill="auto"/>
            <w:noWrap/>
            <w:vAlign w:val="center"/>
            <w:hideMark/>
          </w:tcPr>
          <w:p w14:paraId="512DF020"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0.103374</w:t>
            </w:r>
          </w:p>
        </w:tc>
        <w:tc>
          <w:tcPr>
            <w:tcW w:w="100" w:type="pct"/>
            <w:tcBorders>
              <w:top w:val="nil"/>
              <w:left w:val="nil"/>
              <w:bottom w:val="nil"/>
              <w:right w:val="nil"/>
            </w:tcBorders>
            <w:shd w:val="clear" w:color="auto" w:fill="auto"/>
            <w:noWrap/>
            <w:vAlign w:val="center"/>
            <w:hideMark/>
          </w:tcPr>
          <w:p w14:paraId="6A61CE32"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45303472"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0.42189</w:t>
            </w:r>
          </w:p>
        </w:tc>
        <w:tc>
          <w:tcPr>
            <w:tcW w:w="373" w:type="pct"/>
            <w:tcBorders>
              <w:top w:val="nil"/>
              <w:left w:val="nil"/>
              <w:bottom w:val="nil"/>
              <w:right w:val="nil"/>
            </w:tcBorders>
            <w:shd w:val="clear" w:color="auto" w:fill="auto"/>
            <w:noWrap/>
            <w:vAlign w:val="center"/>
            <w:hideMark/>
          </w:tcPr>
          <w:p w14:paraId="6558E2E9"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0.42189</w:t>
            </w:r>
          </w:p>
        </w:tc>
        <w:tc>
          <w:tcPr>
            <w:tcW w:w="100" w:type="pct"/>
            <w:tcBorders>
              <w:top w:val="nil"/>
              <w:left w:val="nil"/>
              <w:bottom w:val="nil"/>
              <w:right w:val="nil"/>
            </w:tcBorders>
            <w:shd w:val="clear" w:color="auto" w:fill="auto"/>
            <w:noWrap/>
            <w:vAlign w:val="center"/>
            <w:hideMark/>
          </w:tcPr>
          <w:p w14:paraId="1E05FB42"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6684DB0E"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0.087225</w:t>
            </w:r>
          </w:p>
        </w:tc>
        <w:tc>
          <w:tcPr>
            <w:tcW w:w="373" w:type="pct"/>
            <w:tcBorders>
              <w:top w:val="nil"/>
              <w:left w:val="nil"/>
              <w:bottom w:val="nil"/>
              <w:right w:val="nil"/>
            </w:tcBorders>
            <w:shd w:val="clear" w:color="auto" w:fill="auto"/>
            <w:noWrap/>
            <w:vAlign w:val="center"/>
            <w:hideMark/>
          </w:tcPr>
          <w:p w14:paraId="11D49E40"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0.210945</w:t>
            </w:r>
          </w:p>
        </w:tc>
      </w:tr>
      <w:tr w:rsidR="003A49C8" w:rsidRPr="003A49C8" w14:paraId="36F089E4" w14:textId="77777777" w:rsidTr="00343F9E">
        <w:trPr>
          <w:trHeight w:val="53"/>
        </w:trPr>
        <w:tc>
          <w:tcPr>
            <w:tcW w:w="2192" w:type="pct"/>
            <w:tcBorders>
              <w:top w:val="nil"/>
              <w:left w:val="nil"/>
              <w:bottom w:val="nil"/>
              <w:right w:val="nil"/>
            </w:tcBorders>
            <w:shd w:val="clear" w:color="auto" w:fill="auto"/>
            <w:noWrap/>
            <w:vAlign w:val="center"/>
            <w:hideMark/>
          </w:tcPr>
          <w:p w14:paraId="1E65E3A1" w14:textId="22F94141"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IYG iShares US Financial Services</w:t>
            </w:r>
            <w:r w:rsidR="00D805A1" w:rsidRPr="003A49C8">
              <w:rPr>
                <w:rFonts w:eastAsia="Times New Roman" w:cs="Times New Roman"/>
                <w:sz w:val="16"/>
                <w:szCs w:val="16"/>
              </w:rPr>
              <w:t xml:space="preserve"> ETF</w:t>
            </w:r>
          </w:p>
        </w:tc>
        <w:tc>
          <w:tcPr>
            <w:tcW w:w="373" w:type="pct"/>
            <w:tcBorders>
              <w:top w:val="nil"/>
              <w:left w:val="nil"/>
              <w:bottom w:val="nil"/>
              <w:right w:val="nil"/>
            </w:tcBorders>
            <w:shd w:val="clear" w:color="auto" w:fill="auto"/>
            <w:noWrap/>
            <w:vAlign w:val="center"/>
            <w:hideMark/>
          </w:tcPr>
          <w:p w14:paraId="45DA59E0"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2.238574</w:t>
            </w:r>
          </w:p>
        </w:tc>
        <w:tc>
          <w:tcPr>
            <w:tcW w:w="373" w:type="pct"/>
            <w:tcBorders>
              <w:top w:val="nil"/>
              <w:left w:val="nil"/>
              <w:bottom w:val="nil"/>
              <w:right w:val="nil"/>
            </w:tcBorders>
            <w:shd w:val="clear" w:color="auto" w:fill="auto"/>
            <w:noWrap/>
            <w:vAlign w:val="center"/>
            <w:hideMark/>
          </w:tcPr>
          <w:p w14:paraId="64B6BDAA"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0.151452</w:t>
            </w:r>
          </w:p>
        </w:tc>
        <w:tc>
          <w:tcPr>
            <w:tcW w:w="373" w:type="pct"/>
            <w:tcBorders>
              <w:top w:val="nil"/>
              <w:left w:val="nil"/>
              <w:bottom w:val="nil"/>
              <w:right w:val="nil"/>
            </w:tcBorders>
            <w:shd w:val="clear" w:color="auto" w:fill="auto"/>
            <w:noWrap/>
            <w:vAlign w:val="center"/>
            <w:hideMark/>
          </w:tcPr>
          <w:p w14:paraId="5197140C"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0.111122</w:t>
            </w:r>
          </w:p>
        </w:tc>
        <w:tc>
          <w:tcPr>
            <w:tcW w:w="100" w:type="pct"/>
            <w:tcBorders>
              <w:top w:val="nil"/>
              <w:left w:val="nil"/>
              <w:bottom w:val="nil"/>
              <w:right w:val="nil"/>
            </w:tcBorders>
            <w:shd w:val="clear" w:color="auto" w:fill="auto"/>
            <w:noWrap/>
            <w:vAlign w:val="center"/>
            <w:hideMark/>
          </w:tcPr>
          <w:p w14:paraId="2BE902C7"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251C4DC8"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0.40369</w:t>
            </w:r>
          </w:p>
        </w:tc>
        <w:tc>
          <w:tcPr>
            <w:tcW w:w="373" w:type="pct"/>
            <w:tcBorders>
              <w:top w:val="nil"/>
              <w:left w:val="nil"/>
              <w:bottom w:val="nil"/>
              <w:right w:val="nil"/>
            </w:tcBorders>
            <w:shd w:val="clear" w:color="auto" w:fill="auto"/>
            <w:noWrap/>
            <w:vAlign w:val="center"/>
            <w:hideMark/>
          </w:tcPr>
          <w:p w14:paraId="49E0C20E"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0.40369</w:t>
            </w:r>
          </w:p>
        </w:tc>
        <w:tc>
          <w:tcPr>
            <w:tcW w:w="100" w:type="pct"/>
            <w:tcBorders>
              <w:top w:val="nil"/>
              <w:left w:val="nil"/>
              <w:bottom w:val="nil"/>
              <w:right w:val="nil"/>
            </w:tcBorders>
            <w:shd w:val="clear" w:color="auto" w:fill="auto"/>
            <w:noWrap/>
            <w:vAlign w:val="center"/>
            <w:hideMark/>
          </w:tcPr>
          <w:p w14:paraId="4E81691A"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55A9F85D"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0.089718</w:t>
            </w:r>
          </w:p>
        </w:tc>
        <w:tc>
          <w:tcPr>
            <w:tcW w:w="373" w:type="pct"/>
            <w:tcBorders>
              <w:top w:val="nil"/>
              <w:left w:val="nil"/>
              <w:bottom w:val="nil"/>
              <w:right w:val="nil"/>
            </w:tcBorders>
            <w:shd w:val="clear" w:color="auto" w:fill="auto"/>
            <w:noWrap/>
            <w:vAlign w:val="center"/>
            <w:hideMark/>
          </w:tcPr>
          <w:p w14:paraId="74A9F387"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0.201845</w:t>
            </w:r>
          </w:p>
        </w:tc>
      </w:tr>
      <w:tr w:rsidR="003A49C8" w:rsidRPr="003A49C8" w14:paraId="130DA2D4" w14:textId="77777777" w:rsidTr="00343F9E">
        <w:trPr>
          <w:trHeight w:val="53"/>
        </w:trPr>
        <w:tc>
          <w:tcPr>
            <w:tcW w:w="2192" w:type="pct"/>
            <w:tcBorders>
              <w:top w:val="nil"/>
              <w:left w:val="nil"/>
              <w:bottom w:val="nil"/>
              <w:right w:val="nil"/>
            </w:tcBorders>
            <w:shd w:val="clear" w:color="auto" w:fill="auto"/>
            <w:noWrap/>
            <w:vAlign w:val="center"/>
            <w:hideMark/>
          </w:tcPr>
          <w:p w14:paraId="44E6AF71" w14:textId="0AFCD8ED"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KBE SPDR S&amp;P Bank</w:t>
            </w:r>
            <w:r w:rsidR="00D805A1" w:rsidRPr="003A49C8">
              <w:rPr>
                <w:rFonts w:eastAsia="Times New Roman" w:cs="Times New Roman"/>
                <w:sz w:val="16"/>
                <w:szCs w:val="16"/>
              </w:rPr>
              <w:t xml:space="preserve"> ETF</w:t>
            </w:r>
          </w:p>
        </w:tc>
        <w:tc>
          <w:tcPr>
            <w:tcW w:w="373" w:type="pct"/>
            <w:tcBorders>
              <w:top w:val="nil"/>
              <w:left w:val="nil"/>
              <w:bottom w:val="nil"/>
              <w:right w:val="nil"/>
            </w:tcBorders>
            <w:shd w:val="clear" w:color="auto" w:fill="auto"/>
            <w:noWrap/>
            <w:vAlign w:val="center"/>
            <w:hideMark/>
          </w:tcPr>
          <w:p w14:paraId="60E5640E"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1.959207</w:t>
            </w:r>
          </w:p>
        </w:tc>
        <w:tc>
          <w:tcPr>
            <w:tcW w:w="373" w:type="pct"/>
            <w:tcBorders>
              <w:top w:val="nil"/>
              <w:left w:val="nil"/>
              <w:bottom w:val="nil"/>
              <w:right w:val="nil"/>
            </w:tcBorders>
            <w:shd w:val="clear" w:color="auto" w:fill="auto"/>
            <w:noWrap/>
            <w:vAlign w:val="center"/>
            <w:hideMark/>
          </w:tcPr>
          <w:p w14:paraId="5B3C5D67"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0.192717</w:t>
            </w:r>
          </w:p>
        </w:tc>
        <w:tc>
          <w:tcPr>
            <w:tcW w:w="373" w:type="pct"/>
            <w:tcBorders>
              <w:top w:val="nil"/>
              <w:left w:val="nil"/>
              <w:bottom w:val="nil"/>
              <w:right w:val="nil"/>
            </w:tcBorders>
            <w:shd w:val="clear" w:color="auto" w:fill="auto"/>
            <w:noWrap/>
            <w:vAlign w:val="center"/>
            <w:hideMark/>
          </w:tcPr>
          <w:p w14:paraId="35D81CF9"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0.135292</w:t>
            </w:r>
          </w:p>
        </w:tc>
        <w:tc>
          <w:tcPr>
            <w:tcW w:w="100" w:type="pct"/>
            <w:tcBorders>
              <w:top w:val="nil"/>
              <w:left w:val="nil"/>
              <w:bottom w:val="nil"/>
              <w:right w:val="nil"/>
            </w:tcBorders>
            <w:shd w:val="clear" w:color="auto" w:fill="auto"/>
            <w:noWrap/>
            <w:vAlign w:val="center"/>
            <w:hideMark/>
          </w:tcPr>
          <w:p w14:paraId="3EDC4D28"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2488C310"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0.521264</w:t>
            </w:r>
          </w:p>
        </w:tc>
        <w:tc>
          <w:tcPr>
            <w:tcW w:w="373" w:type="pct"/>
            <w:tcBorders>
              <w:top w:val="nil"/>
              <w:left w:val="nil"/>
              <w:bottom w:val="nil"/>
              <w:right w:val="nil"/>
            </w:tcBorders>
            <w:shd w:val="clear" w:color="auto" w:fill="auto"/>
            <w:noWrap/>
            <w:vAlign w:val="center"/>
            <w:hideMark/>
          </w:tcPr>
          <w:p w14:paraId="2DAFF3E3"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0.521264</w:t>
            </w:r>
          </w:p>
        </w:tc>
        <w:tc>
          <w:tcPr>
            <w:tcW w:w="100" w:type="pct"/>
            <w:tcBorders>
              <w:top w:val="nil"/>
              <w:left w:val="nil"/>
              <w:bottom w:val="nil"/>
              <w:right w:val="nil"/>
            </w:tcBorders>
            <w:shd w:val="clear" w:color="auto" w:fill="auto"/>
            <w:noWrap/>
            <w:vAlign w:val="center"/>
            <w:hideMark/>
          </w:tcPr>
          <w:p w14:paraId="522C1259"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7FC8B3B9"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0.141046</w:t>
            </w:r>
          </w:p>
        </w:tc>
        <w:tc>
          <w:tcPr>
            <w:tcW w:w="373" w:type="pct"/>
            <w:tcBorders>
              <w:top w:val="nil"/>
              <w:left w:val="nil"/>
              <w:bottom w:val="nil"/>
              <w:right w:val="nil"/>
            </w:tcBorders>
            <w:shd w:val="clear" w:color="auto" w:fill="auto"/>
            <w:noWrap/>
            <w:vAlign w:val="center"/>
            <w:hideMark/>
          </w:tcPr>
          <w:p w14:paraId="51A3C6C7"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0.260632</w:t>
            </w:r>
          </w:p>
        </w:tc>
      </w:tr>
      <w:tr w:rsidR="003A49C8" w:rsidRPr="003A49C8" w14:paraId="305F1939" w14:textId="77777777" w:rsidTr="00343F9E">
        <w:trPr>
          <w:trHeight w:val="53"/>
        </w:trPr>
        <w:tc>
          <w:tcPr>
            <w:tcW w:w="2192" w:type="pct"/>
            <w:tcBorders>
              <w:top w:val="nil"/>
              <w:left w:val="nil"/>
              <w:bottom w:val="nil"/>
              <w:right w:val="nil"/>
            </w:tcBorders>
            <w:shd w:val="clear" w:color="auto" w:fill="auto"/>
            <w:noWrap/>
            <w:vAlign w:val="center"/>
            <w:hideMark/>
          </w:tcPr>
          <w:p w14:paraId="0D2C4D06" w14:textId="6D90A2B3"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KBWB Invesco KBW Bank</w:t>
            </w:r>
            <w:r w:rsidR="00D805A1" w:rsidRPr="003A49C8">
              <w:rPr>
                <w:rFonts w:eastAsia="Times New Roman" w:cs="Times New Roman"/>
                <w:sz w:val="16"/>
                <w:szCs w:val="16"/>
              </w:rPr>
              <w:t xml:space="preserve"> ETF</w:t>
            </w:r>
          </w:p>
        </w:tc>
        <w:tc>
          <w:tcPr>
            <w:tcW w:w="373" w:type="pct"/>
            <w:tcBorders>
              <w:top w:val="nil"/>
              <w:left w:val="nil"/>
              <w:bottom w:val="nil"/>
              <w:right w:val="nil"/>
            </w:tcBorders>
            <w:shd w:val="clear" w:color="auto" w:fill="auto"/>
            <w:noWrap/>
            <w:vAlign w:val="center"/>
            <w:hideMark/>
          </w:tcPr>
          <w:p w14:paraId="7793A6E2"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1.962541</w:t>
            </w:r>
          </w:p>
        </w:tc>
        <w:tc>
          <w:tcPr>
            <w:tcW w:w="373" w:type="pct"/>
            <w:tcBorders>
              <w:top w:val="nil"/>
              <w:left w:val="nil"/>
              <w:bottom w:val="nil"/>
              <w:right w:val="nil"/>
            </w:tcBorders>
            <w:shd w:val="clear" w:color="auto" w:fill="auto"/>
            <w:noWrap/>
            <w:vAlign w:val="center"/>
            <w:hideMark/>
          </w:tcPr>
          <w:p w14:paraId="767625C8"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0.118598</w:t>
            </w:r>
          </w:p>
        </w:tc>
        <w:tc>
          <w:tcPr>
            <w:tcW w:w="373" w:type="pct"/>
            <w:tcBorders>
              <w:top w:val="nil"/>
              <w:left w:val="nil"/>
              <w:bottom w:val="nil"/>
              <w:right w:val="nil"/>
            </w:tcBorders>
            <w:shd w:val="clear" w:color="auto" w:fill="auto"/>
            <w:noWrap/>
            <w:vAlign w:val="center"/>
            <w:hideMark/>
          </w:tcPr>
          <w:p w14:paraId="2D946943"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0.083308</w:t>
            </w:r>
          </w:p>
        </w:tc>
        <w:tc>
          <w:tcPr>
            <w:tcW w:w="100" w:type="pct"/>
            <w:tcBorders>
              <w:top w:val="nil"/>
              <w:left w:val="nil"/>
              <w:bottom w:val="nil"/>
              <w:right w:val="nil"/>
            </w:tcBorders>
            <w:shd w:val="clear" w:color="auto" w:fill="auto"/>
            <w:noWrap/>
            <w:vAlign w:val="center"/>
            <w:hideMark/>
          </w:tcPr>
          <w:p w14:paraId="3196EFB4"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0676A75B"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0.519458</w:t>
            </w:r>
          </w:p>
        </w:tc>
        <w:tc>
          <w:tcPr>
            <w:tcW w:w="373" w:type="pct"/>
            <w:tcBorders>
              <w:top w:val="nil"/>
              <w:left w:val="nil"/>
              <w:bottom w:val="nil"/>
              <w:right w:val="nil"/>
            </w:tcBorders>
            <w:shd w:val="clear" w:color="auto" w:fill="auto"/>
            <w:noWrap/>
            <w:vAlign w:val="center"/>
            <w:hideMark/>
          </w:tcPr>
          <w:p w14:paraId="10FF152B"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0.519458</w:t>
            </w:r>
          </w:p>
        </w:tc>
        <w:tc>
          <w:tcPr>
            <w:tcW w:w="100" w:type="pct"/>
            <w:tcBorders>
              <w:top w:val="nil"/>
              <w:left w:val="nil"/>
              <w:bottom w:val="nil"/>
              <w:right w:val="nil"/>
            </w:tcBorders>
            <w:shd w:val="clear" w:color="auto" w:fill="auto"/>
            <w:noWrap/>
            <w:vAlign w:val="center"/>
            <w:hideMark/>
          </w:tcPr>
          <w:p w14:paraId="24DBD48F"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207645CC"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0.08655</w:t>
            </w:r>
          </w:p>
        </w:tc>
        <w:tc>
          <w:tcPr>
            <w:tcW w:w="373" w:type="pct"/>
            <w:tcBorders>
              <w:top w:val="nil"/>
              <w:left w:val="nil"/>
              <w:bottom w:val="nil"/>
              <w:right w:val="nil"/>
            </w:tcBorders>
            <w:shd w:val="clear" w:color="auto" w:fill="auto"/>
            <w:noWrap/>
            <w:vAlign w:val="center"/>
            <w:hideMark/>
          </w:tcPr>
          <w:p w14:paraId="74606066"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0.259729</w:t>
            </w:r>
          </w:p>
        </w:tc>
      </w:tr>
      <w:tr w:rsidR="003A49C8" w:rsidRPr="003A49C8" w14:paraId="67ACDBAA" w14:textId="77777777" w:rsidTr="00343F9E">
        <w:trPr>
          <w:trHeight w:val="53"/>
        </w:trPr>
        <w:tc>
          <w:tcPr>
            <w:tcW w:w="2192" w:type="pct"/>
            <w:tcBorders>
              <w:top w:val="nil"/>
              <w:left w:val="nil"/>
              <w:bottom w:val="nil"/>
              <w:right w:val="nil"/>
            </w:tcBorders>
            <w:shd w:val="clear" w:color="auto" w:fill="auto"/>
            <w:noWrap/>
            <w:vAlign w:val="center"/>
            <w:hideMark/>
          </w:tcPr>
          <w:p w14:paraId="4B577666" w14:textId="46BEA2AF"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KRE SPDR S&amp;P Regional Banking</w:t>
            </w:r>
            <w:r w:rsidR="00D805A1" w:rsidRPr="003A49C8">
              <w:rPr>
                <w:rFonts w:eastAsia="Times New Roman" w:cs="Times New Roman"/>
                <w:sz w:val="16"/>
                <w:szCs w:val="16"/>
              </w:rPr>
              <w:t xml:space="preserve"> ETF</w:t>
            </w:r>
          </w:p>
        </w:tc>
        <w:tc>
          <w:tcPr>
            <w:tcW w:w="373" w:type="pct"/>
            <w:tcBorders>
              <w:top w:val="nil"/>
              <w:left w:val="nil"/>
              <w:bottom w:val="nil"/>
              <w:right w:val="nil"/>
            </w:tcBorders>
            <w:shd w:val="clear" w:color="auto" w:fill="auto"/>
            <w:noWrap/>
            <w:vAlign w:val="center"/>
            <w:hideMark/>
          </w:tcPr>
          <w:p w14:paraId="756606F6"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2.200882</w:t>
            </w:r>
          </w:p>
        </w:tc>
        <w:tc>
          <w:tcPr>
            <w:tcW w:w="373" w:type="pct"/>
            <w:tcBorders>
              <w:top w:val="nil"/>
              <w:left w:val="nil"/>
              <w:bottom w:val="nil"/>
              <w:right w:val="nil"/>
            </w:tcBorders>
            <w:shd w:val="clear" w:color="auto" w:fill="auto"/>
            <w:noWrap/>
            <w:vAlign w:val="center"/>
            <w:hideMark/>
          </w:tcPr>
          <w:p w14:paraId="6625F863"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0.157065</w:t>
            </w:r>
          </w:p>
        </w:tc>
        <w:tc>
          <w:tcPr>
            <w:tcW w:w="373" w:type="pct"/>
            <w:tcBorders>
              <w:top w:val="nil"/>
              <w:left w:val="nil"/>
              <w:bottom w:val="nil"/>
              <w:right w:val="nil"/>
            </w:tcBorders>
            <w:shd w:val="clear" w:color="auto" w:fill="auto"/>
            <w:noWrap/>
            <w:vAlign w:val="center"/>
            <w:hideMark/>
          </w:tcPr>
          <w:p w14:paraId="59B6D2E4"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0.114631</w:t>
            </w:r>
          </w:p>
        </w:tc>
        <w:tc>
          <w:tcPr>
            <w:tcW w:w="100" w:type="pct"/>
            <w:tcBorders>
              <w:top w:val="nil"/>
              <w:left w:val="nil"/>
              <w:bottom w:val="nil"/>
              <w:right w:val="nil"/>
            </w:tcBorders>
            <w:shd w:val="clear" w:color="auto" w:fill="auto"/>
            <w:noWrap/>
            <w:vAlign w:val="center"/>
            <w:hideMark/>
          </w:tcPr>
          <w:p w14:paraId="55C5685E"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1141BB70"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0.416361</w:t>
            </w:r>
          </w:p>
        </w:tc>
        <w:tc>
          <w:tcPr>
            <w:tcW w:w="373" w:type="pct"/>
            <w:tcBorders>
              <w:top w:val="nil"/>
              <w:left w:val="nil"/>
              <w:bottom w:val="nil"/>
              <w:right w:val="nil"/>
            </w:tcBorders>
            <w:shd w:val="clear" w:color="auto" w:fill="auto"/>
            <w:noWrap/>
            <w:vAlign w:val="center"/>
            <w:hideMark/>
          </w:tcPr>
          <w:p w14:paraId="21C070A3"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0.416361</w:t>
            </w:r>
          </w:p>
        </w:tc>
        <w:tc>
          <w:tcPr>
            <w:tcW w:w="100" w:type="pct"/>
            <w:tcBorders>
              <w:top w:val="nil"/>
              <w:left w:val="nil"/>
              <w:bottom w:val="nil"/>
              <w:right w:val="nil"/>
            </w:tcBorders>
            <w:shd w:val="clear" w:color="auto" w:fill="auto"/>
            <w:noWrap/>
            <w:vAlign w:val="center"/>
            <w:hideMark/>
          </w:tcPr>
          <w:p w14:paraId="6EADD27D"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bottom w:val="nil"/>
              <w:right w:val="nil"/>
            </w:tcBorders>
            <w:shd w:val="clear" w:color="auto" w:fill="auto"/>
            <w:noWrap/>
            <w:vAlign w:val="center"/>
            <w:hideMark/>
          </w:tcPr>
          <w:p w14:paraId="1D70E4DF"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0.095456</w:t>
            </w:r>
          </w:p>
        </w:tc>
        <w:tc>
          <w:tcPr>
            <w:tcW w:w="373" w:type="pct"/>
            <w:tcBorders>
              <w:top w:val="nil"/>
              <w:left w:val="nil"/>
              <w:bottom w:val="nil"/>
              <w:right w:val="nil"/>
            </w:tcBorders>
            <w:shd w:val="clear" w:color="auto" w:fill="auto"/>
            <w:noWrap/>
            <w:vAlign w:val="center"/>
            <w:hideMark/>
          </w:tcPr>
          <w:p w14:paraId="0F090260"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0.20818</w:t>
            </w:r>
          </w:p>
        </w:tc>
      </w:tr>
      <w:tr w:rsidR="003A49C8" w:rsidRPr="003A49C8" w14:paraId="032AB545" w14:textId="77777777" w:rsidTr="00343F9E">
        <w:trPr>
          <w:trHeight w:val="53"/>
        </w:trPr>
        <w:tc>
          <w:tcPr>
            <w:tcW w:w="2192" w:type="pct"/>
            <w:tcBorders>
              <w:top w:val="nil"/>
              <w:left w:val="nil"/>
              <w:right w:val="nil"/>
            </w:tcBorders>
            <w:shd w:val="clear" w:color="auto" w:fill="auto"/>
            <w:noWrap/>
            <w:vAlign w:val="center"/>
            <w:hideMark/>
          </w:tcPr>
          <w:p w14:paraId="6D73EAD6" w14:textId="6E9E13B3"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VFH</w:t>
            </w:r>
            <w:r w:rsidR="00D805A1" w:rsidRPr="003A49C8">
              <w:rPr>
                <w:rFonts w:eastAsia="Times New Roman" w:cs="Times New Roman"/>
                <w:sz w:val="16"/>
                <w:szCs w:val="16"/>
              </w:rPr>
              <w:t>-</w:t>
            </w:r>
            <w:r w:rsidRPr="003A49C8">
              <w:rPr>
                <w:rFonts w:eastAsia="Times New Roman" w:cs="Times New Roman"/>
                <w:sz w:val="16"/>
                <w:szCs w:val="16"/>
              </w:rPr>
              <w:t>Vanguard Financials</w:t>
            </w:r>
            <w:r w:rsidR="00D805A1" w:rsidRPr="003A49C8">
              <w:rPr>
                <w:rFonts w:eastAsia="Times New Roman" w:cs="Times New Roman"/>
                <w:sz w:val="16"/>
                <w:szCs w:val="16"/>
              </w:rPr>
              <w:t xml:space="preserve"> ETF</w:t>
            </w:r>
          </w:p>
        </w:tc>
        <w:tc>
          <w:tcPr>
            <w:tcW w:w="373" w:type="pct"/>
            <w:tcBorders>
              <w:top w:val="nil"/>
              <w:left w:val="nil"/>
              <w:right w:val="nil"/>
            </w:tcBorders>
            <w:shd w:val="clear" w:color="auto" w:fill="auto"/>
            <w:noWrap/>
            <w:vAlign w:val="center"/>
            <w:hideMark/>
          </w:tcPr>
          <w:p w14:paraId="13050B08"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2.034429</w:t>
            </w:r>
          </w:p>
        </w:tc>
        <w:tc>
          <w:tcPr>
            <w:tcW w:w="373" w:type="pct"/>
            <w:tcBorders>
              <w:top w:val="nil"/>
              <w:left w:val="nil"/>
              <w:right w:val="nil"/>
            </w:tcBorders>
            <w:shd w:val="clear" w:color="auto" w:fill="auto"/>
            <w:noWrap/>
            <w:vAlign w:val="center"/>
            <w:hideMark/>
          </w:tcPr>
          <w:p w14:paraId="4384EBFA"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0.149069</w:t>
            </w:r>
          </w:p>
        </w:tc>
        <w:tc>
          <w:tcPr>
            <w:tcW w:w="373" w:type="pct"/>
            <w:tcBorders>
              <w:top w:val="nil"/>
              <w:left w:val="nil"/>
              <w:right w:val="nil"/>
            </w:tcBorders>
            <w:shd w:val="clear" w:color="auto" w:fill="auto"/>
            <w:noWrap/>
            <w:vAlign w:val="center"/>
            <w:hideMark/>
          </w:tcPr>
          <w:p w14:paraId="5D5DA6E4"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0.106028</w:t>
            </w:r>
          </w:p>
        </w:tc>
        <w:tc>
          <w:tcPr>
            <w:tcW w:w="100" w:type="pct"/>
            <w:tcBorders>
              <w:top w:val="nil"/>
              <w:left w:val="nil"/>
              <w:right w:val="nil"/>
            </w:tcBorders>
            <w:shd w:val="clear" w:color="auto" w:fill="auto"/>
            <w:noWrap/>
            <w:vAlign w:val="center"/>
            <w:hideMark/>
          </w:tcPr>
          <w:p w14:paraId="6CD86732"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right w:val="nil"/>
            </w:tcBorders>
            <w:shd w:val="clear" w:color="auto" w:fill="auto"/>
            <w:noWrap/>
            <w:vAlign w:val="center"/>
            <w:hideMark/>
          </w:tcPr>
          <w:p w14:paraId="44FBD85C"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0.483358</w:t>
            </w:r>
          </w:p>
        </w:tc>
        <w:tc>
          <w:tcPr>
            <w:tcW w:w="373" w:type="pct"/>
            <w:tcBorders>
              <w:top w:val="nil"/>
              <w:left w:val="nil"/>
              <w:right w:val="nil"/>
            </w:tcBorders>
            <w:shd w:val="clear" w:color="auto" w:fill="auto"/>
            <w:noWrap/>
            <w:vAlign w:val="center"/>
            <w:hideMark/>
          </w:tcPr>
          <w:p w14:paraId="0CA80A2E"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0.483358</w:t>
            </w:r>
          </w:p>
        </w:tc>
        <w:tc>
          <w:tcPr>
            <w:tcW w:w="100" w:type="pct"/>
            <w:tcBorders>
              <w:top w:val="nil"/>
              <w:left w:val="nil"/>
              <w:right w:val="nil"/>
            </w:tcBorders>
            <w:shd w:val="clear" w:color="auto" w:fill="auto"/>
            <w:noWrap/>
            <w:vAlign w:val="center"/>
            <w:hideMark/>
          </w:tcPr>
          <w:p w14:paraId="259B4880" w14:textId="77777777" w:rsidR="00613783" w:rsidRPr="003A49C8" w:rsidRDefault="00613783" w:rsidP="00E33705">
            <w:pPr>
              <w:spacing w:after="0" w:line="240" w:lineRule="auto"/>
              <w:rPr>
                <w:rFonts w:eastAsia="Times New Roman" w:cs="Times New Roman"/>
                <w:sz w:val="16"/>
                <w:szCs w:val="16"/>
              </w:rPr>
            </w:pPr>
          </w:p>
        </w:tc>
        <w:tc>
          <w:tcPr>
            <w:tcW w:w="373" w:type="pct"/>
            <w:tcBorders>
              <w:top w:val="nil"/>
              <w:left w:val="nil"/>
              <w:right w:val="nil"/>
            </w:tcBorders>
            <w:shd w:val="clear" w:color="auto" w:fill="auto"/>
            <w:noWrap/>
            <w:vAlign w:val="center"/>
            <w:hideMark/>
          </w:tcPr>
          <w:p w14:paraId="51391C68"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0.102499</w:t>
            </w:r>
          </w:p>
        </w:tc>
        <w:tc>
          <w:tcPr>
            <w:tcW w:w="373" w:type="pct"/>
            <w:tcBorders>
              <w:top w:val="nil"/>
              <w:left w:val="nil"/>
              <w:right w:val="nil"/>
            </w:tcBorders>
            <w:shd w:val="clear" w:color="auto" w:fill="auto"/>
            <w:noWrap/>
            <w:vAlign w:val="center"/>
            <w:hideMark/>
          </w:tcPr>
          <w:p w14:paraId="1703ADAE" w14:textId="77777777" w:rsidR="00613783" w:rsidRPr="003A49C8" w:rsidRDefault="00613783" w:rsidP="00E33705">
            <w:pPr>
              <w:spacing w:after="0" w:line="240" w:lineRule="auto"/>
              <w:rPr>
                <w:rFonts w:eastAsia="Times New Roman" w:cs="Times New Roman"/>
                <w:sz w:val="16"/>
                <w:szCs w:val="16"/>
              </w:rPr>
            </w:pPr>
            <w:r w:rsidRPr="003A49C8">
              <w:rPr>
                <w:rFonts w:eastAsia="Times New Roman" w:cs="Times New Roman"/>
                <w:sz w:val="16"/>
                <w:szCs w:val="16"/>
              </w:rPr>
              <w:t>0.241679</w:t>
            </w:r>
          </w:p>
        </w:tc>
      </w:tr>
      <w:tr w:rsidR="00B27683" w:rsidRPr="003A49C8" w14:paraId="18A373C3" w14:textId="77777777" w:rsidTr="00343F9E">
        <w:trPr>
          <w:trHeight w:val="53"/>
        </w:trPr>
        <w:tc>
          <w:tcPr>
            <w:tcW w:w="2192" w:type="pct"/>
            <w:tcBorders>
              <w:top w:val="nil"/>
              <w:left w:val="nil"/>
              <w:bottom w:val="single" w:sz="8" w:space="0" w:color="auto"/>
              <w:right w:val="nil"/>
            </w:tcBorders>
            <w:shd w:val="clear" w:color="auto" w:fill="auto"/>
            <w:noWrap/>
            <w:vAlign w:val="center"/>
            <w:hideMark/>
          </w:tcPr>
          <w:p w14:paraId="1878CF5E" w14:textId="77777777" w:rsidR="00613783" w:rsidRPr="003A49C8" w:rsidRDefault="00613783" w:rsidP="00E33705">
            <w:pPr>
              <w:spacing w:after="0" w:line="240" w:lineRule="auto"/>
              <w:rPr>
                <w:rFonts w:eastAsia="Times New Roman" w:cs="Times New Roman"/>
                <w:b/>
                <w:bCs/>
                <w:sz w:val="16"/>
                <w:szCs w:val="16"/>
              </w:rPr>
            </w:pPr>
            <w:r w:rsidRPr="003A49C8">
              <w:rPr>
                <w:rFonts w:eastAsia="Times New Roman" w:cs="Times New Roman"/>
                <w:b/>
                <w:bCs/>
                <w:sz w:val="16"/>
                <w:szCs w:val="16"/>
              </w:rPr>
              <w:t>Average</w:t>
            </w:r>
          </w:p>
        </w:tc>
        <w:tc>
          <w:tcPr>
            <w:tcW w:w="373" w:type="pct"/>
            <w:tcBorders>
              <w:top w:val="nil"/>
              <w:left w:val="nil"/>
              <w:bottom w:val="single" w:sz="8" w:space="0" w:color="auto"/>
              <w:right w:val="nil"/>
            </w:tcBorders>
            <w:shd w:val="clear" w:color="auto" w:fill="auto"/>
            <w:noWrap/>
            <w:vAlign w:val="center"/>
            <w:hideMark/>
          </w:tcPr>
          <w:p w14:paraId="6DB7FE92" w14:textId="77777777" w:rsidR="00613783" w:rsidRPr="003A49C8" w:rsidRDefault="00613783" w:rsidP="00E33705">
            <w:pPr>
              <w:spacing w:after="0" w:line="240" w:lineRule="auto"/>
              <w:rPr>
                <w:rFonts w:eastAsia="Times New Roman" w:cs="Times New Roman"/>
                <w:b/>
                <w:bCs/>
                <w:sz w:val="16"/>
                <w:szCs w:val="16"/>
              </w:rPr>
            </w:pPr>
            <w:r w:rsidRPr="003A49C8">
              <w:rPr>
                <w:rFonts w:eastAsia="Times New Roman" w:cs="Times New Roman"/>
                <w:b/>
                <w:bCs/>
                <w:sz w:val="16"/>
                <w:szCs w:val="16"/>
              </w:rPr>
              <w:t>2.05383</w:t>
            </w:r>
          </w:p>
        </w:tc>
        <w:tc>
          <w:tcPr>
            <w:tcW w:w="373" w:type="pct"/>
            <w:tcBorders>
              <w:top w:val="nil"/>
              <w:left w:val="nil"/>
              <w:bottom w:val="single" w:sz="8" w:space="0" w:color="auto"/>
              <w:right w:val="nil"/>
            </w:tcBorders>
            <w:shd w:val="clear" w:color="auto" w:fill="auto"/>
            <w:noWrap/>
            <w:vAlign w:val="center"/>
            <w:hideMark/>
          </w:tcPr>
          <w:p w14:paraId="46AE2B70" w14:textId="77777777" w:rsidR="00613783" w:rsidRPr="003A49C8" w:rsidRDefault="00613783" w:rsidP="00E33705">
            <w:pPr>
              <w:spacing w:after="0" w:line="240" w:lineRule="auto"/>
              <w:rPr>
                <w:rFonts w:eastAsia="Times New Roman" w:cs="Times New Roman"/>
                <w:b/>
                <w:bCs/>
                <w:sz w:val="16"/>
                <w:szCs w:val="16"/>
              </w:rPr>
            </w:pPr>
            <w:r w:rsidRPr="003A49C8">
              <w:rPr>
                <w:rFonts w:eastAsia="Times New Roman" w:cs="Times New Roman"/>
                <w:b/>
                <w:bCs/>
                <w:sz w:val="16"/>
                <w:szCs w:val="16"/>
              </w:rPr>
              <w:t>0.143783</w:t>
            </w:r>
          </w:p>
        </w:tc>
        <w:tc>
          <w:tcPr>
            <w:tcW w:w="373" w:type="pct"/>
            <w:tcBorders>
              <w:top w:val="nil"/>
              <w:left w:val="nil"/>
              <w:bottom w:val="single" w:sz="8" w:space="0" w:color="auto"/>
              <w:right w:val="nil"/>
            </w:tcBorders>
            <w:shd w:val="clear" w:color="auto" w:fill="auto"/>
            <w:noWrap/>
            <w:vAlign w:val="center"/>
            <w:hideMark/>
          </w:tcPr>
          <w:p w14:paraId="22C54008" w14:textId="77777777" w:rsidR="00613783" w:rsidRPr="003A49C8" w:rsidRDefault="00613783" w:rsidP="00E33705">
            <w:pPr>
              <w:spacing w:after="0" w:line="240" w:lineRule="auto"/>
              <w:rPr>
                <w:rFonts w:eastAsia="Times New Roman" w:cs="Times New Roman"/>
                <w:b/>
                <w:bCs/>
                <w:sz w:val="16"/>
                <w:szCs w:val="16"/>
              </w:rPr>
            </w:pPr>
            <w:r w:rsidRPr="003A49C8">
              <w:rPr>
                <w:rFonts w:eastAsia="Times New Roman" w:cs="Times New Roman"/>
                <w:b/>
                <w:bCs/>
                <w:sz w:val="16"/>
                <w:szCs w:val="16"/>
              </w:rPr>
              <w:t>0.102582</w:t>
            </w:r>
          </w:p>
        </w:tc>
        <w:tc>
          <w:tcPr>
            <w:tcW w:w="100" w:type="pct"/>
            <w:tcBorders>
              <w:top w:val="nil"/>
              <w:left w:val="nil"/>
              <w:bottom w:val="single" w:sz="8" w:space="0" w:color="auto"/>
              <w:right w:val="nil"/>
            </w:tcBorders>
            <w:shd w:val="clear" w:color="auto" w:fill="auto"/>
            <w:noWrap/>
            <w:vAlign w:val="center"/>
            <w:hideMark/>
          </w:tcPr>
          <w:p w14:paraId="04362C4E" w14:textId="77777777" w:rsidR="00613783" w:rsidRPr="003A49C8" w:rsidRDefault="00613783" w:rsidP="00E33705">
            <w:pPr>
              <w:spacing w:after="0" w:line="240" w:lineRule="auto"/>
              <w:rPr>
                <w:rFonts w:eastAsia="Times New Roman" w:cs="Times New Roman"/>
                <w:b/>
                <w:bCs/>
                <w:sz w:val="16"/>
                <w:szCs w:val="16"/>
              </w:rPr>
            </w:pPr>
          </w:p>
        </w:tc>
        <w:tc>
          <w:tcPr>
            <w:tcW w:w="373" w:type="pct"/>
            <w:tcBorders>
              <w:top w:val="nil"/>
              <w:left w:val="nil"/>
              <w:bottom w:val="single" w:sz="8" w:space="0" w:color="auto"/>
              <w:right w:val="nil"/>
            </w:tcBorders>
            <w:shd w:val="clear" w:color="auto" w:fill="auto"/>
            <w:noWrap/>
            <w:vAlign w:val="center"/>
            <w:hideMark/>
          </w:tcPr>
          <w:p w14:paraId="2D4E650F" w14:textId="77777777" w:rsidR="00613783" w:rsidRPr="003A49C8" w:rsidRDefault="00613783" w:rsidP="00E33705">
            <w:pPr>
              <w:spacing w:after="0" w:line="240" w:lineRule="auto"/>
              <w:rPr>
                <w:rFonts w:eastAsia="Times New Roman" w:cs="Times New Roman"/>
                <w:b/>
                <w:bCs/>
                <w:sz w:val="16"/>
                <w:szCs w:val="16"/>
              </w:rPr>
            </w:pPr>
            <w:r w:rsidRPr="003A49C8">
              <w:rPr>
                <w:rFonts w:eastAsia="Times New Roman" w:cs="Times New Roman"/>
                <w:b/>
                <w:bCs/>
                <w:sz w:val="16"/>
                <w:szCs w:val="16"/>
              </w:rPr>
              <w:t>0.488109</w:t>
            </w:r>
          </w:p>
        </w:tc>
        <w:tc>
          <w:tcPr>
            <w:tcW w:w="373" w:type="pct"/>
            <w:tcBorders>
              <w:top w:val="nil"/>
              <w:left w:val="nil"/>
              <w:bottom w:val="single" w:sz="8" w:space="0" w:color="auto"/>
              <w:right w:val="nil"/>
            </w:tcBorders>
            <w:shd w:val="clear" w:color="auto" w:fill="auto"/>
            <w:noWrap/>
            <w:vAlign w:val="center"/>
            <w:hideMark/>
          </w:tcPr>
          <w:p w14:paraId="3387B72F" w14:textId="77777777" w:rsidR="00613783" w:rsidRPr="003A49C8" w:rsidRDefault="00613783" w:rsidP="00E33705">
            <w:pPr>
              <w:spacing w:after="0" w:line="240" w:lineRule="auto"/>
              <w:rPr>
                <w:rFonts w:eastAsia="Times New Roman" w:cs="Times New Roman"/>
                <w:b/>
                <w:bCs/>
                <w:sz w:val="16"/>
                <w:szCs w:val="16"/>
              </w:rPr>
            </w:pPr>
            <w:r w:rsidRPr="003A49C8">
              <w:rPr>
                <w:rFonts w:eastAsia="Times New Roman" w:cs="Times New Roman"/>
                <w:b/>
                <w:bCs/>
                <w:sz w:val="16"/>
                <w:szCs w:val="16"/>
              </w:rPr>
              <w:t>0.488109</w:t>
            </w:r>
          </w:p>
        </w:tc>
        <w:tc>
          <w:tcPr>
            <w:tcW w:w="100" w:type="pct"/>
            <w:tcBorders>
              <w:top w:val="nil"/>
              <w:left w:val="nil"/>
              <w:bottom w:val="single" w:sz="8" w:space="0" w:color="auto"/>
              <w:right w:val="nil"/>
            </w:tcBorders>
            <w:shd w:val="clear" w:color="auto" w:fill="auto"/>
            <w:noWrap/>
            <w:vAlign w:val="center"/>
            <w:hideMark/>
          </w:tcPr>
          <w:p w14:paraId="788B4B88" w14:textId="77777777" w:rsidR="00613783" w:rsidRPr="003A49C8" w:rsidRDefault="00613783" w:rsidP="00E33705">
            <w:pPr>
              <w:spacing w:after="0" w:line="240" w:lineRule="auto"/>
              <w:rPr>
                <w:rFonts w:eastAsia="Times New Roman" w:cs="Times New Roman"/>
                <w:b/>
                <w:bCs/>
                <w:sz w:val="16"/>
                <w:szCs w:val="16"/>
              </w:rPr>
            </w:pPr>
          </w:p>
        </w:tc>
        <w:tc>
          <w:tcPr>
            <w:tcW w:w="373" w:type="pct"/>
            <w:tcBorders>
              <w:top w:val="nil"/>
              <w:left w:val="nil"/>
              <w:bottom w:val="single" w:sz="8" w:space="0" w:color="auto"/>
              <w:right w:val="nil"/>
            </w:tcBorders>
            <w:shd w:val="clear" w:color="auto" w:fill="auto"/>
            <w:noWrap/>
            <w:vAlign w:val="center"/>
            <w:hideMark/>
          </w:tcPr>
          <w:p w14:paraId="12DD88DC" w14:textId="77777777" w:rsidR="00613783" w:rsidRPr="003A49C8" w:rsidRDefault="00613783" w:rsidP="00E33705">
            <w:pPr>
              <w:spacing w:after="0" w:line="240" w:lineRule="auto"/>
              <w:rPr>
                <w:rFonts w:eastAsia="Times New Roman" w:cs="Times New Roman"/>
                <w:b/>
                <w:bCs/>
                <w:sz w:val="16"/>
                <w:szCs w:val="16"/>
              </w:rPr>
            </w:pPr>
            <w:r w:rsidRPr="003A49C8">
              <w:rPr>
                <w:rFonts w:eastAsia="Times New Roman" w:cs="Times New Roman"/>
                <w:b/>
                <w:bCs/>
                <w:sz w:val="16"/>
                <w:szCs w:val="16"/>
              </w:rPr>
              <w:t>0.098473</w:t>
            </w:r>
          </w:p>
        </w:tc>
        <w:tc>
          <w:tcPr>
            <w:tcW w:w="373" w:type="pct"/>
            <w:tcBorders>
              <w:top w:val="nil"/>
              <w:left w:val="nil"/>
              <w:bottom w:val="single" w:sz="8" w:space="0" w:color="auto"/>
              <w:right w:val="nil"/>
            </w:tcBorders>
            <w:shd w:val="clear" w:color="auto" w:fill="auto"/>
            <w:noWrap/>
            <w:vAlign w:val="center"/>
            <w:hideMark/>
          </w:tcPr>
          <w:p w14:paraId="57D81B7D" w14:textId="77777777" w:rsidR="00613783" w:rsidRPr="003A49C8" w:rsidRDefault="00613783" w:rsidP="00E33705">
            <w:pPr>
              <w:spacing w:after="0" w:line="240" w:lineRule="auto"/>
              <w:rPr>
                <w:rFonts w:eastAsia="Times New Roman" w:cs="Times New Roman"/>
                <w:b/>
                <w:bCs/>
                <w:sz w:val="16"/>
                <w:szCs w:val="16"/>
              </w:rPr>
            </w:pPr>
            <w:r w:rsidRPr="003A49C8">
              <w:rPr>
                <w:rFonts w:eastAsia="Times New Roman" w:cs="Times New Roman"/>
                <w:b/>
                <w:bCs/>
                <w:sz w:val="16"/>
                <w:szCs w:val="16"/>
              </w:rPr>
              <w:t>0.244054</w:t>
            </w:r>
          </w:p>
        </w:tc>
      </w:tr>
      <w:bookmarkEnd w:id="12"/>
    </w:tbl>
    <w:p w14:paraId="519CC227" w14:textId="77777777" w:rsidR="00613783" w:rsidRPr="003A49C8" w:rsidRDefault="00613783" w:rsidP="00B942AD">
      <w:pPr>
        <w:rPr>
          <w:rFonts w:cs="Times New Roman"/>
        </w:rPr>
      </w:pPr>
    </w:p>
    <w:p w14:paraId="05D1227F" w14:textId="77777777" w:rsidR="00613783" w:rsidRPr="003A49C8" w:rsidRDefault="00613783" w:rsidP="00B942AD">
      <w:pPr>
        <w:rPr>
          <w:rFonts w:cs="Times New Roman"/>
        </w:rPr>
        <w:sectPr w:rsidR="00613783" w:rsidRPr="003A49C8" w:rsidSect="00AA49B7">
          <w:pgSz w:w="16838" w:h="11906" w:orient="landscape"/>
          <w:pgMar w:top="1440" w:right="1440" w:bottom="1440" w:left="1440" w:header="708" w:footer="708" w:gutter="0"/>
          <w:cols w:space="708"/>
          <w:docGrid w:linePitch="360"/>
        </w:sectPr>
      </w:pPr>
    </w:p>
    <w:p w14:paraId="7F1D0C54" w14:textId="2660825E" w:rsidR="00613783" w:rsidRPr="003A49C8" w:rsidRDefault="00164638" w:rsidP="00E33705">
      <w:pPr>
        <w:ind w:firstLine="397"/>
        <w:rPr>
          <w:rFonts w:cs="Times New Roman"/>
          <w:szCs w:val="24"/>
        </w:rPr>
      </w:pPr>
      <w:r w:rsidRPr="003A49C8">
        <w:rPr>
          <w:rFonts w:cs="Times New Roman"/>
          <w:szCs w:val="24"/>
        </w:rPr>
        <w:lastRenderedPageBreak/>
        <w:t>In order to look at the temporal changes in the tail risk of ESG, healthcare and financial</w:t>
      </w:r>
      <w:r w:rsidR="00F87A1B" w:rsidRPr="003A49C8">
        <w:rPr>
          <w:rFonts w:cs="Times New Roman"/>
          <w:szCs w:val="24"/>
        </w:rPr>
        <w:t xml:space="preserve"> sectors</w:t>
      </w:r>
      <w:r w:rsidRPr="003A49C8">
        <w:rPr>
          <w:rFonts w:cs="Times New Roman"/>
          <w:szCs w:val="24"/>
        </w:rPr>
        <w:t xml:space="preserve">, </w:t>
      </w:r>
      <w:r w:rsidR="00613783" w:rsidRPr="003A49C8">
        <w:rPr>
          <w:rFonts w:cs="Times New Roman"/>
          <w:szCs w:val="24"/>
        </w:rPr>
        <w:t xml:space="preserve">we demonstrate the </w:t>
      </w:r>
      <w:r w:rsidR="00EE0BF1" w:rsidRPr="003A49C8">
        <w:rPr>
          <w:rFonts w:cs="Times New Roman"/>
          <w:szCs w:val="24"/>
        </w:rPr>
        <w:t>seven</w:t>
      </w:r>
      <w:r w:rsidRPr="003A49C8">
        <w:rPr>
          <w:rFonts w:cs="Times New Roman"/>
          <w:szCs w:val="24"/>
        </w:rPr>
        <w:t xml:space="preserve">-year </w:t>
      </w:r>
      <w:r w:rsidR="00613783" w:rsidRPr="003A49C8">
        <w:rPr>
          <w:rFonts w:cs="Times New Roman"/>
          <w:szCs w:val="24"/>
        </w:rPr>
        <w:t xml:space="preserve">average rolling tail risk for ESG, healthcare, and financial ETFs. </w:t>
      </w:r>
      <w:r w:rsidRPr="003A49C8">
        <w:rPr>
          <w:rFonts w:cs="Times New Roman"/>
          <w:szCs w:val="24"/>
        </w:rPr>
        <w:t xml:space="preserve">The results are provided in </w:t>
      </w:r>
      <w:r w:rsidR="00107485">
        <w:rPr>
          <w:rFonts w:cs="Times New Roman"/>
          <w:szCs w:val="24"/>
        </w:rPr>
        <w:t>Fig. 1</w:t>
      </w:r>
      <w:r w:rsidRPr="003A49C8">
        <w:rPr>
          <w:rFonts w:cs="Times New Roman"/>
          <w:szCs w:val="24"/>
        </w:rPr>
        <w:t xml:space="preserve">. </w:t>
      </w:r>
      <w:r w:rsidR="00107485">
        <w:rPr>
          <w:rFonts w:cs="Times New Roman"/>
          <w:szCs w:val="24"/>
        </w:rPr>
        <w:t>Fig. 1</w:t>
      </w:r>
      <w:r w:rsidRPr="003A49C8">
        <w:rPr>
          <w:rFonts w:cs="Times New Roman"/>
          <w:szCs w:val="24"/>
        </w:rPr>
        <w:t xml:space="preserve">.1 provides </w:t>
      </w:r>
      <w:r w:rsidR="00E07AE0" w:rsidRPr="003A49C8">
        <w:rPr>
          <w:rFonts w:cs="Times New Roman"/>
          <w:szCs w:val="24"/>
        </w:rPr>
        <w:t xml:space="preserve">a </w:t>
      </w:r>
      <w:r w:rsidRPr="003A49C8">
        <w:rPr>
          <w:rFonts w:cs="Times New Roman"/>
          <w:szCs w:val="24"/>
        </w:rPr>
        <w:t xml:space="preserve">rolling tail index of ESG, </w:t>
      </w:r>
      <w:r w:rsidR="00841BD7" w:rsidRPr="003A49C8">
        <w:rPr>
          <w:rFonts w:cs="Times New Roman"/>
          <w:szCs w:val="24"/>
        </w:rPr>
        <w:t>H</w:t>
      </w:r>
      <w:r w:rsidRPr="003A49C8">
        <w:rPr>
          <w:rFonts w:cs="Times New Roman"/>
          <w:szCs w:val="24"/>
        </w:rPr>
        <w:t xml:space="preserve">ealthcare and Financial </w:t>
      </w:r>
      <w:r w:rsidR="0076292D" w:rsidRPr="003A49C8">
        <w:rPr>
          <w:rFonts w:cs="Times New Roman"/>
          <w:szCs w:val="24"/>
        </w:rPr>
        <w:t>sectors</w:t>
      </w:r>
      <w:r w:rsidRPr="003A49C8">
        <w:rPr>
          <w:rFonts w:cs="Times New Roman"/>
          <w:szCs w:val="24"/>
        </w:rPr>
        <w:t xml:space="preserve">. Because the data for the ESG ETFs goes back only until July 2007, the start date of </w:t>
      </w:r>
      <w:r w:rsidR="00E07AE0" w:rsidRPr="003A49C8">
        <w:rPr>
          <w:rFonts w:cs="Times New Roman"/>
          <w:szCs w:val="24"/>
        </w:rPr>
        <w:t xml:space="preserve">the </w:t>
      </w:r>
      <w:r w:rsidRPr="003A49C8">
        <w:rPr>
          <w:rFonts w:cs="Times New Roman"/>
          <w:szCs w:val="24"/>
        </w:rPr>
        <w:t xml:space="preserve">ESG ETF </w:t>
      </w:r>
      <w:r w:rsidR="00DE62E0" w:rsidRPr="003A49C8">
        <w:rPr>
          <w:rFonts w:cs="Times New Roman"/>
          <w:szCs w:val="24"/>
        </w:rPr>
        <w:t xml:space="preserve">in </w:t>
      </w:r>
      <w:r w:rsidR="00107485">
        <w:rPr>
          <w:rFonts w:cs="Times New Roman"/>
          <w:szCs w:val="24"/>
        </w:rPr>
        <w:t>Fig. 1</w:t>
      </w:r>
      <w:r w:rsidR="00DE62E0" w:rsidRPr="003A49C8">
        <w:rPr>
          <w:rFonts w:cs="Times New Roman"/>
          <w:szCs w:val="24"/>
        </w:rPr>
        <w:t xml:space="preserve">.1 </w:t>
      </w:r>
      <w:r w:rsidRPr="003A49C8">
        <w:rPr>
          <w:rFonts w:cs="Times New Roman"/>
          <w:szCs w:val="24"/>
        </w:rPr>
        <w:t>is from 2014</w:t>
      </w:r>
      <w:r w:rsidR="00DE62E0" w:rsidRPr="003A49C8">
        <w:rPr>
          <w:rFonts w:cs="Times New Roman"/>
          <w:szCs w:val="24"/>
        </w:rPr>
        <w:t xml:space="preserve"> due to the seven</w:t>
      </w:r>
      <w:r w:rsidR="00201E47" w:rsidRPr="003A49C8">
        <w:rPr>
          <w:rFonts w:cs="Times New Roman"/>
          <w:szCs w:val="24"/>
        </w:rPr>
        <w:t>-</w:t>
      </w:r>
      <w:r w:rsidR="00DE62E0" w:rsidRPr="003A49C8">
        <w:rPr>
          <w:rFonts w:cs="Times New Roman"/>
          <w:szCs w:val="24"/>
        </w:rPr>
        <w:t>year rolling window</w:t>
      </w:r>
      <w:r w:rsidRPr="003A49C8">
        <w:rPr>
          <w:rFonts w:cs="Times New Roman"/>
          <w:szCs w:val="24"/>
        </w:rPr>
        <w:t xml:space="preserve">. </w:t>
      </w:r>
      <w:r w:rsidR="00613783" w:rsidRPr="003A49C8">
        <w:rPr>
          <w:rFonts w:cs="Times New Roman"/>
          <w:szCs w:val="24"/>
        </w:rPr>
        <w:t xml:space="preserve">We also </w:t>
      </w:r>
      <w:r w:rsidR="00DE62E0" w:rsidRPr="003A49C8">
        <w:rPr>
          <w:rFonts w:cs="Times New Roman"/>
          <w:szCs w:val="24"/>
        </w:rPr>
        <w:t>p</w:t>
      </w:r>
      <w:r w:rsidR="00613783" w:rsidRPr="003A49C8">
        <w:rPr>
          <w:rFonts w:cs="Times New Roman"/>
          <w:szCs w:val="24"/>
        </w:rPr>
        <w:t>resent the rolling tail quantile (</w:t>
      </w:r>
      <w:r w:rsidR="00107485">
        <w:rPr>
          <w:rFonts w:cs="Times New Roman"/>
          <w:szCs w:val="24"/>
        </w:rPr>
        <w:t>Fig. 1</w:t>
      </w:r>
      <w:r w:rsidR="00613783" w:rsidRPr="003A49C8">
        <w:rPr>
          <w:rFonts w:cs="Times New Roman"/>
          <w:szCs w:val="24"/>
        </w:rPr>
        <w:t>.2), rolling expected shortfall (</w:t>
      </w:r>
      <w:r w:rsidR="00107485">
        <w:rPr>
          <w:rFonts w:cs="Times New Roman"/>
          <w:szCs w:val="24"/>
        </w:rPr>
        <w:t>Fig. 1</w:t>
      </w:r>
      <w:r w:rsidR="00613783" w:rsidRPr="003A49C8">
        <w:rPr>
          <w:rFonts w:cs="Times New Roman"/>
          <w:szCs w:val="24"/>
        </w:rPr>
        <w:t>.3), and rolling expected shortfall conditional upon 25% (</w:t>
      </w:r>
      <w:r w:rsidR="00107485">
        <w:rPr>
          <w:rFonts w:cs="Times New Roman"/>
          <w:szCs w:val="24"/>
        </w:rPr>
        <w:t>Fig. 1</w:t>
      </w:r>
      <w:r w:rsidR="00613783" w:rsidRPr="003A49C8">
        <w:rPr>
          <w:rFonts w:cs="Times New Roman"/>
          <w:szCs w:val="24"/>
        </w:rPr>
        <w:t xml:space="preserve">.4). In </w:t>
      </w:r>
      <w:r w:rsidR="009C237B">
        <w:rPr>
          <w:rFonts w:cs="Times New Roman"/>
          <w:szCs w:val="24"/>
        </w:rPr>
        <w:t>Fig. 1</w:t>
      </w:r>
      <w:r w:rsidR="00613783" w:rsidRPr="003A49C8">
        <w:rPr>
          <w:rFonts w:cs="Times New Roman"/>
          <w:szCs w:val="24"/>
        </w:rPr>
        <w:t>.1, the time-varying effect indicates a sudden drop in the tail index (increased tail risk) for financial ETFs after the financial crisis between 2007 and 2011, followed by a gradual economic recovery (decreased tail risk). Among the time-varying tail indexes of financial ETFs, 2011 (1.1987) has the lowest value. The tail-risk of healthcare ETFs is similar to that of financial ETFs, but the level of increased tail-risk is lower. Comparatively, healthcare ETFs steadily rise and fall while financial ETFs fall quickly. After a sharp decline in 2009, the tail index of financial ETFs quickly rebounded in 2011 and 2012. These ETFs have a fat tail in their return distribution based on their lower tail index values. In terms of ESG ETFs, there was an increase between 2016 and 2017, followed by a rapid decline. ESG ETFs have a sudden downward trend in 2020, similar to Financial ETFs. Overall, the rolling tail risk for healthcare ETFs seems to have remained stable and consistent throughout the COVID-19 crisis. It is possible that investors avoid risky assets when times are turbulent</w:t>
      </w:r>
      <w:r w:rsidR="00FD15E6" w:rsidRPr="003A49C8">
        <w:rPr>
          <w:rFonts w:cs="Times New Roman"/>
          <w:szCs w:val="24"/>
        </w:rPr>
        <w:t xml:space="preserve"> (Cornell, 2021)</w:t>
      </w:r>
      <w:r w:rsidR="00613783" w:rsidRPr="003A49C8">
        <w:rPr>
          <w:rFonts w:cs="Times New Roman"/>
          <w:szCs w:val="24"/>
        </w:rPr>
        <w:t xml:space="preserve">. </w:t>
      </w:r>
      <w:r w:rsidR="00F11C13" w:rsidRPr="003A49C8">
        <w:rPr>
          <w:rFonts w:cs="Times New Roman"/>
          <w:szCs w:val="24"/>
        </w:rPr>
        <w:t xml:space="preserve">Healthcare ETFs are regarded by investors as a means to mitigate the potential loss of returns and diversify portfolio risks in response to climate change risks and their associated adverse effects. </w:t>
      </w:r>
      <w:r w:rsidR="00613783" w:rsidRPr="003A49C8">
        <w:rPr>
          <w:rFonts w:cs="Times New Roman"/>
          <w:szCs w:val="24"/>
        </w:rPr>
        <w:t>Understandably, investors use healthcare ETFs to hedge the downward risk over the course of the COVID-19 pandemic, given its infectious nature that requires high</w:t>
      </w:r>
      <w:r w:rsidR="00E47355" w:rsidRPr="003A49C8">
        <w:rPr>
          <w:rFonts w:cs="Times New Roman"/>
          <w:szCs w:val="24"/>
        </w:rPr>
        <w:t xml:space="preserve">-quality </w:t>
      </w:r>
      <w:r w:rsidR="00804CEB" w:rsidRPr="003A49C8">
        <w:rPr>
          <w:rFonts w:cs="Times New Roman"/>
          <w:szCs w:val="24"/>
        </w:rPr>
        <w:t xml:space="preserve">healthcare </w:t>
      </w:r>
      <w:r w:rsidR="00E47355" w:rsidRPr="003A49C8">
        <w:rPr>
          <w:rFonts w:cs="Times New Roman"/>
          <w:szCs w:val="24"/>
        </w:rPr>
        <w:t xml:space="preserve">services </w:t>
      </w:r>
      <w:r w:rsidR="00804CEB" w:rsidRPr="003A49C8">
        <w:rPr>
          <w:rFonts w:cs="Times New Roman"/>
          <w:szCs w:val="24"/>
        </w:rPr>
        <w:t xml:space="preserve">and </w:t>
      </w:r>
      <w:r w:rsidR="00E47355" w:rsidRPr="003A49C8">
        <w:rPr>
          <w:rFonts w:cs="Times New Roman"/>
          <w:szCs w:val="24"/>
        </w:rPr>
        <w:t>a significant demand</w:t>
      </w:r>
      <w:r w:rsidR="00613783" w:rsidRPr="003A49C8">
        <w:rPr>
          <w:rFonts w:cs="Times New Roman"/>
          <w:szCs w:val="24"/>
        </w:rPr>
        <w:t xml:space="preserve"> </w:t>
      </w:r>
      <w:r w:rsidR="00E47355" w:rsidRPr="003A49C8">
        <w:rPr>
          <w:rFonts w:cs="Times New Roman"/>
          <w:szCs w:val="24"/>
        </w:rPr>
        <w:t xml:space="preserve">for </w:t>
      </w:r>
      <w:r w:rsidR="00613783" w:rsidRPr="003A49C8">
        <w:rPr>
          <w:rFonts w:cs="Times New Roman"/>
          <w:szCs w:val="24"/>
        </w:rPr>
        <w:t xml:space="preserve">healthcare-related products </w:t>
      </w:r>
      <w:r w:rsidR="00FD15E6" w:rsidRPr="003A49C8">
        <w:rPr>
          <w:rFonts w:cs="Times New Roman"/>
          <w:szCs w:val="24"/>
        </w:rPr>
        <w:t>(</w:t>
      </w:r>
      <w:r w:rsidR="00804CEB" w:rsidRPr="003A49C8">
        <w:rPr>
          <w:rFonts w:cs="Times New Roman"/>
          <w:szCs w:val="24"/>
        </w:rPr>
        <w:t>Deng et al., 2023</w:t>
      </w:r>
      <w:r w:rsidR="00FD15E6" w:rsidRPr="003A49C8">
        <w:rPr>
          <w:rFonts w:cs="Times New Roman"/>
          <w:szCs w:val="24"/>
        </w:rPr>
        <w:t>)</w:t>
      </w:r>
      <w:r w:rsidR="00613783" w:rsidRPr="003A49C8">
        <w:rPr>
          <w:rFonts w:cs="Times New Roman"/>
          <w:szCs w:val="24"/>
        </w:rPr>
        <w:t>.</w:t>
      </w:r>
    </w:p>
    <w:p w14:paraId="7043328A" w14:textId="3C5376F3" w:rsidR="00613783" w:rsidRPr="003A49C8" w:rsidRDefault="00613783" w:rsidP="00E33705">
      <w:pPr>
        <w:ind w:firstLine="397"/>
        <w:rPr>
          <w:rFonts w:cs="Times New Roman"/>
          <w:szCs w:val="24"/>
        </w:rPr>
      </w:pPr>
      <w:r w:rsidRPr="003A49C8">
        <w:rPr>
          <w:rFonts w:cs="Times New Roman"/>
          <w:szCs w:val="24"/>
        </w:rPr>
        <w:t>The rolling tail quantile and expected shortfall metrics (</w:t>
      </w:r>
      <w:r w:rsidR="009C237B">
        <w:rPr>
          <w:rFonts w:cs="Times New Roman"/>
          <w:szCs w:val="24"/>
        </w:rPr>
        <w:t>Figs.</w:t>
      </w:r>
      <w:r w:rsidRPr="003A49C8">
        <w:rPr>
          <w:rFonts w:cs="Times New Roman"/>
          <w:szCs w:val="24"/>
        </w:rPr>
        <w:t xml:space="preserve"> 1.2 to 1.4) also demonstrate similar results. The healthcare ETFs in these three </w:t>
      </w:r>
      <w:r w:rsidR="009C237B">
        <w:rPr>
          <w:rFonts w:cs="Times New Roman"/>
          <w:szCs w:val="24"/>
        </w:rPr>
        <w:t>Figs.</w:t>
      </w:r>
      <w:r w:rsidRPr="003A49C8">
        <w:rPr>
          <w:rFonts w:cs="Times New Roman"/>
          <w:szCs w:val="24"/>
        </w:rPr>
        <w:t xml:space="preserve"> show a stable trend throughout our sample period, indicating moderate tail risk. On the other hand, during the global financial crisis since 2009, the average rolling tail quantile of finance ETFs (see </w:t>
      </w:r>
      <w:r w:rsidR="009C237B">
        <w:rPr>
          <w:rFonts w:cs="Times New Roman"/>
          <w:szCs w:val="24"/>
        </w:rPr>
        <w:t>Fig. 1</w:t>
      </w:r>
      <w:r w:rsidRPr="003A49C8">
        <w:rPr>
          <w:rFonts w:cs="Times New Roman"/>
          <w:szCs w:val="24"/>
        </w:rPr>
        <w:t xml:space="preserve">.2) shows more variation over time. After 2011, the average tail quantile decreased gradually until it reached its pre-crisis level in 2017. A possible reason could be that in the post-crisis period, financial firms have been subjected to stricter regulations. COVID-19 has caused an upward trend in 2020. Moreover, once we introduce the ESG data since 2015, we observe a similar trend for ESG ETFs compared to Financial ETFs. Our result shows that in comparison to healthcare </w:t>
      </w:r>
      <w:r w:rsidRPr="003A49C8">
        <w:rPr>
          <w:rFonts w:cs="Times New Roman"/>
          <w:szCs w:val="24"/>
        </w:rPr>
        <w:lastRenderedPageBreak/>
        <w:t>ETFs, both financ</w:t>
      </w:r>
      <w:r w:rsidR="00787883" w:rsidRPr="003A49C8">
        <w:rPr>
          <w:rFonts w:cs="Times New Roman"/>
          <w:szCs w:val="24"/>
        </w:rPr>
        <w:t>ial</w:t>
      </w:r>
      <w:r w:rsidRPr="003A49C8">
        <w:rPr>
          <w:rFonts w:cs="Times New Roman"/>
          <w:szCs w:val="24"/>
        </w:rPr>
        <w:t xml:space="preserve"> and ESG ETFs carry a high level of risk. </w:t>
      </w:r>
      <w:r w:rsidR="008E310E" w:rsidRPr="003A49C8">
        <w:rPr>
          <w:rFonts w:cs="Times New Roman"/>
          <w:szCs w:val="24"/>
        </w:rPr>
        <w:t>While studies (</w:t>
      </w:r>
      <w:proofErr w:type="spellStart"/>
      <w:r w:rsidR="008E310E" w:rsidRPr="003A49C8">
        <w:rPr>
          <w:rFonts w:cs="Times New Roman"/>
          <w:szCs w:val="24"/>
        </w:rPr>
        <w:t>Lábaj</w:t>
      </w:r>
      <w:proofErr w:type="spellEnd"/>
      <w:r w:rsidR="008E310E" w:rsidRPr="003A49C8">
        <w:rPr>
          <w:rFonts w:cs="Times New Roman"/>
          <w:szCs w:val="24"/>
        </w:rPr>
        <w:t xml:space="preserve"> et al., 2018; </w:t>
      </w:r>
      <w:proofErr w:type="spellStart"/>
      <w:r w:rsidR="008E310E" w:rsidRPr="003A49C8">
        <w:rPr>
          <w:rFonts w:cs="Times New Roman"/>
          <w:szCs w:val="24"/>
        </w:rPr>
        <w:t>Popesko</w:t>
      </w:r>
      <w:proofErr w:type="spellEnd"/>
      <w:r w:rsidR="008E310E" w:rsidRPr="003A49C8">
        <w:rPr>
          <w:rFonts w:cs="Times New Roman"/>
          <w:szCs w:val="24"/>
        </w:rPr>
        <w:t xml:space="preserve"> et al., 2015) find that healthcare companies may face reputation risks when involved in controversies (e.g., drug recalls, patient safety issues and unethical practices), ESG and financial ETFs may be riskier due to their exposure to a wider range of industries. Companies in industries such as oil and gas or mining are particularly susceptible to regulatory changes or reputational risks (</w:t>
      </w:r>
      <w:proofErr w:type="spellStart"/>
      <w:r w:rsidRPr="003A49C8">
        <w:rPr>
          <w:rFonts w:cs="Times New Roman"/>
          <w:szCs w:val="24"/>
        </w:rPr>
        <w:t>Klinke</w:t>
      </w:r>
      <w:proofErr w:type="spellEnd"/>
      <w:r w:rsidRPr="003A49C8">
        <w:rPr>
          <w:rFonts w:cs="Times New Roman"/>
          <w:szCs w:val="24"/>
        </w:rPr>
        <w:t xml:space="preserve"> </w:t>
      </w:r>
      <w:r w:rsidR="008C0623">
        <w:rPr>
          <w:rFonts w:cs="Times New Roman"/>
          <w:szCs w:val="24"/>
        </w:rPr>
        <w:t>&amp;</w:t>
      </w:r>
      <w:r w:rsidRPr="003A49C8">
        <w:rPr>
          <w:rFonts w:cs="Times New Roman"/>
          <w:szCs w:val="24"/>
        </w:rPr>
        <w:t xml:space="preserve"> </w:t>
      </w:r>
      <w:proofErr w:type="spellStart"/>
      <w:r w:rsidRPr="003A49C8">
        <w:rPr>
          <w:rFonts w:cs="Times New Roman"/>
          <w:szCs w:val="24"/>
        </w:rPr>
        <w:t>Renn</w:t>
      </w:r>
      <w:proofErr w:type="spellEnd"/>
      <w:r w:rsidRPr="003A49C8">
        <w:rPr>
          <w:rFonts w:cs="Times New Roman"/>
          <w:szCs w:val="24"/>
        </w:rPr>
        <w:t xml:space="preserve">, 2021; </w:t>
      </w:r>
      <w:proofErr w:type="spellStart"/>
      <w:r w:rsidRPr="003A49C8">
        <w:rPr>
          <w:rFonts w:cs="Times New Roman"/>
          <w:szCs w:val="24"/>
        </w:rPr>
        <w:t>Renn</w:t>
      </w:r>
      <w:proofErr w:type="spellEnd"/>
      <w:r w:rsidRPr="003A49C8">
        <w:rPr>
          <w:rFonts w:cs="Times New Roman"/>
          <w:szCs w:val="24"/>
        </w:rPr>
        <w:t xml:space="preserve"> et al., 2022).</w:t>
      </w:r>
    </w:p>
    <w:p w14:paraId="05070AB8" w14:textId="163AD850" w:rsidR="00613783" w:rsidRPr="003A49C8" w:rsidRDefault="00613783" w:rsidP="00E33705">
      <w:pPr>
        <w:ind w:firstLine="397"/>
        <w:rPr>
          <w:rFonts w:cs="Times New Roman"/>
          <w:szCs w:val="24"/>
        </w:rPr>
      </w:pPr>
      <w:r w:rsidRPr="003A49C8">
        <w:rPr>
          <w:rFonts w:cs="Times New Roman"/>
          <w:szCs w:val="24"/>
        </w:rPr>
        <w:t xml:space="preserve">According to </w:t>
      </w:r>
      <w:r w:rsidR="009C237B">
        <w:rPr>
          <w:rFonts w:cs="Times New Roman"/>
          <w:szCs w:val="24"/>
        </w:rPr>
        <w:t>Fig. 1</w:t>
      </w:r>
      <w:r w:rsidRPr="003A49C8">
        <w:rPr>
          <w:rFonts w:cs="Times New Roman"/>
          <w:szCs w:val="24"/>
        </w:rPr>
        <w:t>.3, the average rolling expected shortfall for financial ETFs is very similar to the average rolling tail quantile. Prior to the financial crisis (pre-2009), financial ETFs were moderately stable but increased substantially between 2009 and 2011, before dropping sharply post-crisis (post-2011) to pre-crisis levels in 2018. Once again, the level of risk increased in 2020 due to the COVID-19 crisis. Healthcare ETFs, however, maintain a stable average rolling expected shortfall, with a slight increase between 2011 and 2015. Despite a slight drop in 2015, recent data shows an upward trend (between 2019 and 2022). Nevertheless, the rolling tail expected shortfall conditional upon the tail quantile of financial ETFs is much higher than healthcare ETFs throughout our sample period. A similar trend is observed in ESG ETFs, but the level of increased tail-risk is lower than in Financial ETFs. This again reaffirms the need for regulation of financial and ESG-related activities (</w:t>
      </w:r>
      <w:proofErr w:type="spellStart"/>
      <w:r w:rsidRPr="003A49C8">
        <w:rPr>
          <w:rFonts w:cs="Times New Roman"/>
          <w:szCs w:val="24"/>
        </w:rPr>
        <w:t>Klinke</w:t>
      </w:r>
      <w:proofErr w:type="spellEnd"/>
      <w:r w:rsidRPr="003A49C8">
        <w:rPr>
          <w:rFonts w:cs="Times New Roman"/>
          <w:szCs w:val="24"/>
        </w:rPr>
        <w:t xml:space="preserve"> </w:t>
      </w:r>
      <w:r w:rsidR="008C0623">
        <w:rPr>
          <w:rFonts w:cs="Times New Roman"/>
          <w:szCs w:val="24"/>
        </w:rPr>
        <w:t>&amp;</w:t>
      </w:r>
      <w:r w:rsidRPr="003A49C8">
        <w:rPr>
          <w:rFonts w:cs="Times New Roman"/>
          <w:szCs w:val="24"/>
        </w:rPr>
        <w:t xml:space="preserve"> </w:t>
      </w:r>
      <w:proofErr w:type="spellStart"/>
      <w:r w:rsidRPr="003A49C8">
        <w:rPr>
          <w:rFonts w:cs="Times New Roman"/>
          <w:szCs w:val="24"/>
        </w:rPr>
        <w:t>Renn</w:t>
      </w:r>
      <w:proofErr w:type="spellEnd"/>
      <w:r w:rsidRPr="003A49C8">
        <w:rPr>
          <w:rFonts w:cs="Times New Roman"/>
          <w:szCs w:val="24"/>
        </w:rPr>
        <w:t xml:space="preserve">, 2021). The rolling tail expected shortfall situation conditional upon the tail quantile of ESG, healthcare, and financial ETFs (see </w:t>
      </w:r>
      <w:r w:rsidR="009C237B">
        <w:rPr>
          <w:rFonts w:cs="Times New Roman"/>
          <w:szCs w:val="24"/>
        </w:rPr>
        <w:t>Fig. 1</w:t>
      </w:r>
      <w:r w:rsidRPr="003A49C8">
        <w:rPr>
          <w:rFonts w:cs="Times New Roman"/>
          <w:szCs w:val="24"/>
        </w:rPr>
        <w:t xml:space="preserve">.) shows very similar patterns if the 25% threshold is used (see </w:t>
      </w:r>
      <w:r w:rsidR="009C237B">
        <w:rPr>
          <w:rFonts w:cs="Times New Roman"/>
          <w:szCs w:val="24"/>
        </w:rPr>
        <w:t>Fig. 1</w:t>
      </w:r>
      <w:r w:rsidRPr="003A49C8">
        <w:rPr>
          <w:rFonts w:cs="Times New Roman"/>
          <w:szCs w:val="24"/>
        </w:rPr>
        <w:t>.4).</w:t>
      </w:r>
    </w:p>
    <w:p w14:paraId="7A32EE89" w14:textId="77777777" w:rsidR="00613783" w:rsidRPr="003A49C8" w:rsidRDefault="00613783" w:rsidP="00B942AD">
      <w:pPr>
        <w:rPr>
          <w:rFonts w:cs="Times New Roman"/>
        </w:rPr>
        <w:sectPr w:rsidR="00613783" w:rsidRPr="003A49C8">
          <w:pgSz w:w="11906" w:h="16838"/>
          <w:pgMar w:top="1440" w:right="1440" w:bottom="1440" w:left="1440" w:header="708" w:footer="708" w:gutter="0"/>
          <w:cols w:space="708"/>
          <w:docGrid w:linePitch="360"/>
        </w:sectPr>
      </w:pPr>
    </w:p>
    <w:p w14:paraId="0D53D443" w14:textId="3A8C0431" w:rsidR="00613783" w:rsidRPr="003A49C8" w:rsidRDefault="00613783" w:rsidP="00B942AD">
      <w:pPr>
        <w:pStyle w:val="Caption"/>
        <w:rPr>
          <w:rFonts w:ascii="Times New Roman" w:hAnsi="Times New Roman" w:cs="Times New Roman"/>
          <w:i w:val="0"/>
          <w:iCs w:val="0"/>
          <w:color w:val="auto"/>
          <w:sz w:val="24"/>
          <w:szCs w:val="24"/>
        </w:rPr>
      </w:pPr>
      <w:r w:rsidRPr="003A49C8">
        <w:rPr>
          <w:rFonts w:ascii="Times New Roman" w:hAnsi="Times New Roman" w:cs="Times New Roman"/>
          <w:i w:val="0"/>
          <w:iCs w:val="0"/>
          <w:color w:val="auto"/>
          <w:sz w:val="24"/>
          <w:szCs w:val="24"/>
        </w:rPr>
        <w:lastRenderedPageBreak/>
        <w:t>Fig</w:t>
      </w:r>
      <w:r w:rsidR="009C237B">
        <w:rPr>
          <w:rFonts w:ascii="Times New Roman" w:hAnsi="Times New Roman" w:cs="Times New Roman"/>
          <w:i w:val="0"/>
          <w:iCs w:val="0"/>
          <w:color w:val="auto"/>
          <w:sz w:val="24"/>
          <w:szCs w:val="24"/>
        </w:rPr>
        <w:t>.</w:t>
      </w:r>
      <w:r w:rsidRPr="003A49C8">
        <w:rPr>
          <w:rFonts w:ascii="Times New Roman" w:hAnsi="Times New Roman" w:cs="Times New Roman"/>
          <w:i w:val="0"/>
          <w:iCs w:val="0"/>
          <w:color w:val="auto"/>
          <w:sz w:val="24"/>
          <w:szCs w:val="24"/>
        </w:rPr>
        <w:t xml:space="preserve"> </w:t>
      </w:r>
      <w:r w:rsidRPr="003A49C8">
        <w:rPr>
          <w:rFonts w:ascii="Times New Roman" w:hAnsi="Times New Roman" w:cs="Times New Roman"/>
          <w:i w:val="0"/>
          <w:iCs w:val="0"/>
          <w:color w:val="auto"/>
          <w:sz w:val="24"/>
          <w:szCs w:val="24"/>
        </w:rPr>
        <w:fldChar w:fldCharType="begin"/>
      </w:r>
      <w:r w:rsidRPr="003A49C8">
        <w:rPr>
          <w:rFonts w:ascii="Times New Roman" w:hAnsi="Times New Roman" w:cs="Times New Roman"/>
          <w:i w:val="0"/>
          <w:iCs w:val="0"/>
          <w:color w:val="auto"/>
          <w:sz w:val="24"/>
          <w:szCs w:val="24"/>
        </w:rPr>
        <w:instrText xml:space="preserve"> SEQ Figure \* ARABIC </w:instrText>
      </w:r>
      <w:r w:rsidRPr="003A49C8">
        <w:rPr>
          <w:rFonts w:ascii="Times New Roman" w:hAnsi="Times New Roman" w:cs="Times New Roman"/>
          <w:i w:val="0"/>
          <w:iCs w:val="0"/>
          <w:color w:val="auto"/>
          <w:sz w:val="24"/>
          <w:szCs w:val="24"/>
        </w:rPr>
        <w:fldChar w:fldCharType="separate"/>
      </w:r>
      <w:r w:rsidR="00343F9E" w:rsidRPr="003A49C8">
        <w:rPr>
          <w:rFonts w:ascii="Times New Roman" w:hAnsi="Times New Roman" w:cs="Times New Roman"/>
          <w:i w:val="0"/>
          <w:iCs w:val="0"/>
          <w:noProof/>
          <w:color w:val="auto"/>
          <w:sz w:val="24"/>
          <w:szCs w:val="24"/>
        </w:rPr>
        <w:t>1</w:t>
      </w:r>
      <w:r w:rsidRPr="003A49C8">
        <w:rPr>
          <w:rFonts w:ascii="Times New Roman" w:hAnsi="Times New Roman" w:cs="Times New Roman"/>
          <w:i w:val="0"/>
          <w:iCs w:val="0"/>
          <w:noProof/>
          <w:color w:val="auto"/>
          <w:sz w:val="24"/>
          <w:szCs w:val="24"/>
        </w:rPr>
        <w:fldChar w:fldCharType="end"/>
      </w:r>
      <w:r w:rsidR="009C237B">
        <w:rPr>
          <w:rFonts w:ascii="Times New Roman" w:hAnsi="Times New Roman" w:cs="Times New Roman"/>
          <w:i w:val="0"/>
          <w:iCs w:val="0"/>
          <w:noProof/>
          <w:color w:val="auto"/>
          <w:sz w:val="24"/>
          <w:szCs w:val="24"/>
        </w:rPr>
        <w:t>.</w:t>
      </w:r>
      <w:r w:rsidRPr="003A49C8">
        <w:rPr>
          <w:rFonts w:ascii="Times New Roman" w:hAnsi="Times New Roman" w:cs="Times New Roman"/>
          <w:i w:val="0"/>
          <w:iCs w:val="0"/>
          <w:color w:val="auto"/>
          <w:sz w:val="24"/>
          <w:szCs w:val="24"/>
        </w:rPr>
        <w:t xml:space="preserve"> The rolling tail risk of ESG, healthcare, and financial ETFs</w:t>
      </w:r>
    </w:p>
    <w:p w14:paraId="6402B5E6" w14:textId="77777777" w:rsidR="00613783" w:rsidRPr="003A49C8" w:rsidRDefault="00613783" w:rsidP="00B942AD">
      <w:pPr>
        <w:rPr>
          <w:rFonts w:cs="Times New Roman"/>
        </w:rPr>
      </w:pPr>
      <w:r w:rsidRPr="003A49C8">
        <w:rPr>
          <w:rFonts w:cs="Times New Roman"/>
          <w:noProof/>
          <w:lang w:eastAsia="en-GB"/>
        </w:rPr>
        <w:drawing>
          <wp:inline distT="0" distB="0" distL="0" distR="0" wp14:anchorId="0272FD8A" wp14:editId="50E67036">
            <wp:extent cx="7021902" cy="2622430"/>
            <wp:effectExtent l="0" t="0" r="7620" b="6985"/>
            <wp:docPr id="7" name="Chart 7">
              <a:extLst xmlns:a="http://schemas.openxmlformats.org/drawingml/2006/main">
                <a:ext uri="{FF2B5EF4-FFF2-40B4-BE49-F238E27FC236}">
                  <a16:creationId xmlns:a16="http://schemas.microsoft.com/office/drawing/2014/main" id="{B8AE1993-8F03-4BDA-AC76-2F08E8BF95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749425C" w14:textId="77777777" w:rsidR="00613783" w:rsidRPr="003A49C8" w:rsidRDefault="00613783" w:rsidP="00B942AD">
      <w:pPr>
        <w:rPr>
          <w:rFonts w:cs="Times New Roman"/>
        </w:rPr>
      </w:pPr>
      <w:r w:rsidRPr="003A49C8">
        <w:rPr>
          <w:rFonts w:cs="Times New Roman"/>
          <w:noProof/>
          <w:lang w:eastAsia="en-GB"/>
        </w:rPr>
        <w:drawing>
          <wp:inline distT="0" distB="0" distL="0" distR="0" wp14:anchorId="7C54F005" wp14:editId="19921A3C">
            <wp:extent cx="7021830" cy="3130905"/>
            <wp:effectExtent l="0" t="0" r="7620" b="12700"/>
            <wp:docPr id="30" name="Chart 30">
              <a:extLst xmlns:a="http://schemas.openxmlformats.org/drawingml/2006/main">
                <a:ext uri="{FF2B5EF4-FFF2-40B4-BE49-F238E27FC236}">
                  <a16:creationId xmlns:a16="http://schemas.microsoft.com/office/drawing/2014/main" id="{1A19E38F-8739-499A-BF10-68CF26A929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F49DDA7" w14:textId="77777777" w:rsidR="00613783" w:rsidRPr="003A49C8" w:rsidRDefault="00613783" w:rsidP="00B942AD">
      <w:pPr>
        <w:rPr>
          <w:rFonts w:cs="Times New Roman"/>
        </w:rPr>
      </w:pPr>
      <w:r w:rsidRPr="003A49C8">
        <w:rPr>
          <w:rFonts w:cs="Times New Roman"/>
          <w:noProof/>
          <w:lang w:eastAsia="en-GB"/>
        </w:rPr>
        <w:lastRenderedPageBreak/>
        <w:drawing>
          <wp:inline distT="0" distB="0" distL="0" distR="0" wp14:anchorId="5AFCFDB3" wp14:editId="5C8B4537">
            <wp:extent cx="7029907" cy="2845613"/>
            <wp:effectExtent l="0" t="0" r="0" b="12065"/>
            <wp:docPr id="31" name="Chart 31">
              <a:extLst xmlns:a="http://schemas.openxmlformats.org/drawingml/2006/main">
                <a:ext uri="{FF2B5EF4-FFF2-40B4-BE49-F238E27FC236}">
                  <a16:creationId xmlns:a16="http://schemas.microsoft.com/office/drawing/2014/main" id="{1A19E38F-8739-499A-BF10-68CF26A929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436D2B" w14:textId="77777777" w:rsidR="00613783" w:rsidRPr="003A49C8" w:rsidRDefault="00613783" w:rsidP="00B942AD">
      <w:pPr>
        <w:rPr>
          <w:rFonts w:cs="Times New Roman"/>
        </w:rPr>
        <w:sectPr w:rsidR="00613783" w:rsidRPr="003A49C8" w:rsidSect="00AA49B7">
          <w:pgSz w:w="16838" w:h="11906" w:orient="landscape"/>
          <w:pgMar w:top="720" w:right="720" w:bottom="720" w:left="720" w:header="708" w:footer="708" w:gutter="0"/>
          <w:cols w:space="708"/>
          <w:docGrid w:linePitch="360"/>
        </w:sectPr>
      </w:pPr>
      <w:r w:rsidRPr="003A49C8">
        <w:rPr>
          <w:rFonts w:cs="Times New Roman"/>
          <w:noProof/>
          <w:sz w:val="26"/>
          <w:szCs w:val="26"/>
          <w:lang w:eastAsia="en-GB"/>
        </w:rPr>
        <w:drawing>
          <wp:inline distT="0" distB="0" distL="0" distR="0" wp14:anchorId="5A59AB7A" wp14:editId="47C3C7A6">
            <wp:extent cx="7065010" cy="3094329"/>
            <wp:effectExtent l="0" t="0" r="2540" b="11430"/>
            <wp:docPr id="21" name="Chart 21">
              <a:extLst xmlns:a="http://schemas.openxmlformats.org/drawingml/2006/main">
                <a:ext uri="{FF2B5EF4-FFF2-40B4-BE49-F238E27FC236}">
                  <a16:creationId xmlns:a16="http://schemas.microsoft.com/office/drawing/2014/main" id="{1A19E38F-8739-499A-BF10-68CF26A929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48BB10E" w14:textId="13927C22" w:rsidR="00613783" w:rsidRPr="003A49C8" w:rsidRDefault="00613783" w:rsidP="00B942AD">
      <w:pPr>
        <w:pStyle w:val="Heading2"/>
        <w:rPr>
          <w:rFonts w:cs="Times New Roman"/>
          <w:szCs w:val="24"/>
        </w:rPr>
      </w:pPr>
      <w:r w:rsidRPr="003A49C8">
        <w:rPr>
          <w:rFonts w:cs="Times New Roman"/>
          <w:szCs w:val="24"/>
        </w:rPr>
        <w:lastRenderedPageBreak/>
        <w:t xml:space="preserve">4.2 Extreme systematic risk of ESG, healthcare, and financial </w:t>
      </w:r>
      <w:r w:rsidR="002D11A1" w:rsidRPr="003A49C8">
        <w:rPr>
          <w:rFonts w:cs="Times New Roman"/>
          <w:szCs w:val="24"/>
        </w:rPr>
        <w:t>sectors</w:t>
      </w:r>
    </w:p>
    <w:p w14:paraId="1E142015" w14:textId="4FBC8633" w:rsidR="00613783" w:rsidRPr="003A49C8" w:rsidRDefault="00613783" w:rsidP="00B942AD">
      <w:pPr>
        <w:rPr>
          <w:rFonts w:cs="Times New Roman"/>
          <w:szCs w:val="24"/>
        </w:rPr>
      </w:pPr>
      <w:r w:rsidRPr="003A49C8">
        <w:rPr>
          <w:rFonts w:cs="Times New Roman"/>
          <w:szCs w:val="24"/>
        </w:rPr>
        <w:t xml:space="preserve">In this section, we estimate the exposure of the top-10 ETFs in ESG, healthcare, and financial </w:t>
      </w:r>
      <w:r w:rsidR="00264CBF" w:rsidRPr="003A49C8">
        <w:rPr>
          <w:rFonts w:cs="Times New Roman"/>
          <w:szCs w:val="24"/>
        </w:rPr>
        <w:t>sectors</w:t>
      </w:r>
      <w:r w:rsidRPr="003A49C8">
        <w:rPr>
          <w:rFonts w:cs="Times New Roman"/>
          <w:szCs w:val="24"/>
        </w:rPr>
        <w:t xml:space="preserve">, respectively, to large adverse movements in aggregate shocks. We employ 10 </w:t>
      </w:r>
      <w:r w:rsidR="00E63C6E" w:rsidRPr="003A49C8">
        <w:rPr>
          <w:rFonts w:cs="Times New Roman"/>
          <w:szCs w:val="24"/>
        </w:rPr>
        <w:t xml:space="preserve">different conditioning factors, which </w:t>
      </w:r>
      <w:r w:rsidRPr="003A49C8">
        <w:rPr>
          <w:rFonts w:cs="Times New Roman"/>
          <w:szCs w:val="24"/>
        </w:rPr>
        <w:t xml:space="preserve">are FTSE All-World ETF, Vanguard FTSE Europe ETF, EZU iShares MSCI Eurozone ETF, MCHI iShares MSCI China ETF, VOO Vanguard S&amp;P 500 ETF, VTI Vanguard Total Stock Market ETF, QQQ Invesco QQQ Trust, Energy Select Sector SPDR Fund, Green Energy First Trust NASDAQ, and iShares Core US Aggregate Bond. </w:t>
      </w:r>
      <w:r w:rsidR="00E63C6E" w:rsidRPr="003A49C8">
        <w:rPr>
          <w:rFonts w:cs="Times New Roman"/>
          <w:szCs w:val="24"/>
        </w:rPr>
        <w:t xml:space="preserve">These ETFs cover ETFs of the major countries and economic regions. Because of the importance of energy for a sector or an economy, we also include traditional and green energy ETFs. Finally, we also include another important asset class of bonds as a conditioning factor. </w:t>
      </w:r>
      <w:r w:rsidR="00107485">
        <w:rPr>
          <w:rFonts w:cs="Times New Roman"/>
          <w:szCs w:val="24"/>
        </w:rPr>
        <w:t>Table II</w:t>
      </w:r>
      <w:r w:rsidRPr="003A49C8">
        <w:rPr>
          <w:rFonts w:cs="Times New Roman"/>
          <w:szCs w:val="24"/>
        </w:rPr>
        <w:t xml:space="preserve"> presents the extreme systematic risk (tail-βs) for ESG, healthcare, and financial EFTs in Panel I, II, and III, respectively. The 10 indices are compared with nuisance parameters (m = 300). Overall, the MCHI iShares MSCI China ETF index shows high extreme systematic risk in ESG (βs = 0.32147). Among both the healthcare (βs = 0.455846902) and financial (βs = 0.483737585) panels, the Green Energy First Trust NASDAQ index has a higher extreme systematic risk (tail- βs). These results are used to interpret economic intuition. For example, the </w:t>
      </w:r>
      <w:r w:rsidR="00E63C6E" w:rsidRPr="003A49C8">
        <w:rPr>
          <w:rFonts w:cs="Times New Roman"/>
          <w:szCs w:val="24"/>
        </w:rPr>
        <w:t>tail-</w:t>
      </w:r>
      <w:r w:rsidRPr="003A49C8">
        <w:rPr>
          <w:rFonts w:cs="Times New Roman"/>
          <w:szCs w:val="24"/>
        </w:rPr>
        <w:t>βs = 0.3022 for DSI iShares MSCI KLD 400 Social under the FTSE All-World ETF index column indicates that a large downturn in the DSI iShares MSCI KLD 400 Social return index. According to our results, a daily stock price decline of comparable magnitude is 30.22% likely for DSI iShares MSCI KLD 400 Social. Thus, nearly three out of ten times, a sharp drop in the FTSE All-World ETF index is expected to be matched by a similarly large drop in DSI iShares MSCI KLD 400 Social.</w:t>
      </w:r>
    </w:p>
    <w:p w14:paraId="26D9EB6D" w14:textId="40AF7E42" w:rsidR="00613783" w:rsidRPr="003A49C8" w:rsidRDefault="000E693D" w:rsidP="00E33705">
      <w:pPr>
        <w:ind w:firstLine="397"/>
        <w:rPr>
          <w:rFonts w:cs="Times New Roman"/>
          <w:szCs w:val="24"/>
        </w:rPr>
      </w:pPr>
      <w:r w:rsidRPr="003A49C8">
        <w:rPr>
          <w:rFonts w:cs="Times New Roman"/>
          <w:szCs w:val="24"/>
        </w:rPr>
        <w:t>Furthermore</w:t>
      </w:r>
      <w:r w:rsidR="00613783" w:rsidRPr="003A49C8">
        <w:rPr>
          <w:rFonts w:cs="Times New Roman"/>
          <w:szCs w:val="24"/>
        </w:rPr>
        <w:t xml:space="preserve">, </w:t>
      </w:r>
      <w:r w:rsidRPr="003A49C8">
        <w:rPr>
          <w:rFonts w:cs="Times New Roman"/>
          <w:szCs w:val="24"/>
        </w:rPr>
        <w:t xml:space="preserve">as shown in the </w:t>
      </w:r>
      <w:r w:rsidR="00613783" w:rsidRPr="003A49C8">
        <w:rPr>
          <w:rFonts w:cs="Times New Roman"/>
          <w:szCs w:val="24"/>
        </w:rPr>
        <w:t xml:space="preserve">Penal III in </w:t>
      </w:r>
      <w:r w:rsidR="00107485">
        <w:rPr>
          <w:rFonts w:cs="Times New Roman"/>
          <w:szCs w:val="24"/>
        </w:rPr>
        <w:t>Table II</w:t>
      </w:r>
      <w:r w:rsidR="00613783" w:rsidRPr="003A49C8">
        <w:rPr>
          <w:rFonts w:cs="Times New Roman"/>
          <w:szCs w:val="24"/>
        </w:rPr>
        <w:t xml:space="preserve">, these financial ETFs are more exposed to extreme systematic risk in the green energy First Trust NASDAQ index. Our results show that compared to the other nine indices, the individual financial ETFs are more likely to be affected by a shock from a green energy First Trust NASDAQ index. In fact, the iShares Core US Aggregate Bond index has the least impact on financial ETFs. As with the Green Energy First Trust NASDAQ index, healthcare ETFs show the highest extreme systematic risk (tail-s). It may be because most of the top holdings companies in the healthcare ETFs are headquartered in the US, so US indices (e.g., the NASDAQ index in our case) better reflect the performance of the healthcare ETFs. Individual financial ETFs are more affected by shocks from the Green Energy First Trust NASDAQ index. Next to the US, the other big index in our sample is the MCHI iShares MSCI China ETF index based in China. ESG ETFs show the </w:t>
      </w:r>
      <w:r w:rsidR="00613783" w:rsidRPr="003A49C8">
        <w:rPr>
          <w:rFonts w:cs="Times New Roman"/>
          <w:szCs w:val="24"/>
        </w:rPr>
        <w:lastRenderedPageBreak/>
        <w:t xml:space="preserve">highest extreme systematic risk compared to the MCHI iShares MSCI China ETF index, meaning this index has a greater impact on individual ESG ETFs than the other nine global indices. Additionally, our findings indicate that financial ETFs, and especially ESG ETFs, require not only local but also global regulation to mitigate the effects of extreme systematic risk. According to </w:t>
      </w:r>
      <w:proofErr w:type="spellStart"/>
      <w:r w:rsidR="00613783" w:rsidRPr="003A49C8">
        <w:rPr>
          <w:rFonts w:cs="Times New Roman"/>
          <w:szCs w:val="24"/>
        </w:rPr>
        <w:t>Battiston</w:t>
      </w:r>
      <w:proofErr w:type="spellEnd"/>
      <w:r w:rsidR="00613783" w:rsidRPr="003A49C8">
        <w:rPr>
          <w:rFonts w:cs="Times New Roman"/>
          <w:szCs w:val="24"/>
        </w:rPr>
        <w:t xml:space="preserve"> and Martinez-Jaramillo (2018), if ETFs invest in the same group of companies as another ETF, tail risk connections are more likely to happen. For example, Johnson &amp; Johnson is popular in the ESG and healthcare ETFs, and Berkshire Hathaway is popular in the ESG and financial ETFs in our sample. Compared with healthcare ETFs, the extreme systemic risks of financial ETFs are not much different based on the ten indices in our data sample. As a result, financial and healthcare firms </w:t>
      </w:r>
      <w:r w:rsidR="00EB5748" w:rsidRPr="003A49C8">
        <w:rPr>
          <w:rFonts w:cs="Times New Roman"/>
          <w:szCs w:val="24"/>
        </w:rPr>
        <w:t>tend</w:t>
      </w:r>
      <w:r w:rsidR="00613783" w:rsidRPr="003A49C8">
        <w:rPr>
          <w:rFonts w:cs="Times New Roman"/>
          <w:szCs w:val="24"/>
        </w:rPr>
        <w:t xml:space="preserve"> to have a </w:t>
      </w:r>
      <w:r w:rsidR="00EB5748" w:rsidRPr="003A49C8">
        <w:rPr>
          <w:rFonts w:cs="Times New Roman"/>
          <w:szCs w:val="24"/>
        </w:rPr>
        <w:t>broader range of</w:t>
      </w:r>
      <w:r w:rsidR="00613783" w:rsidRPr="003A49C8">
        <w:rPr>
          <w:rFonts w:cs="Times New Roman"/>
          <w:szCs w:val="24"/>
        </w:rPr>
        <w:t xml:space="preserve"> investors than ESG ETFs. Consequently, these indices in the healthcare and finance panels have high co-movement in tail-βs.</w:t>
      </w:r>
    </w:p>
    <w:p w14:paraId="11297D0E" w14:textId="77777777" w:rsidR="00613783" w:rsidRPr="003A49C8" w:rsidRDefault="00613783" w:rsidP="00B942AD">
      <w:pPr>
        <w:rPr>
          <w:rFonts w:cs="Times New Roman"/>
        </w:rPr>
      </w:pPr>
    </w:p>
    <w:p w14:paraId="7FAF4E5C" w14:textId="77777777" w:rsidR="00613783" w:rsidRPr="003A49C8" w:rsidRDefault="00613783" w:rsidP="00B942AD">
      <w:pPr>
        <w:rPr>
          <w:rFonts w:cs="Times New Roman"/>
        </w:rPr>
        <w:sectPr w:rsidR="00613783" w:rsidRPr="003A49C8">
          <w:pgSz w:w="11906" w:h="16838"/>
          <w:pgMar w:top="1440" w:right="1440" w:bottom="1440" w:left="1440" w:header="708" w:footer="708" w:gutter="0"/>
          <w:cols w:space="708"/>
          <w:docGrid w:linePitch="360"/>
        </w:sectPr>
      </w:pPr>
    </w:p>
    <w:p w14:paraId="035E1C2E" w14:textId="28898F03" w:rsidR="00613783" w:rsidRPr="003A49C8" w:rsidRDefault="00613783" w:rsidP="00E33705">
      <w:pPr>
        <w:pStyle w:val="Caption"/>
        <w:keepNext/>
        <w:rPr>
          <w:rFonts w:ascii="Times New Roman" w:hAnsi="Times New Roman" w:cs="Times New Roman"/>
          <w:i w:val="0"/>
          <w:iCs w:val="0"/>
          <w:color w:val="auto"/>
          <w:sz w:val="24"/>
          <w:szCs w:val="24"/>
        </w:rPr>
      </w:pPr>
      <w:r w:rsidRPr="003A49C8">
        <w:rPr>
          <w:rFonts w:ascii="Times New Roman" w:hAnsi="Times New Roman" w:cs="Times New Roman"/>
          <w:i w:val="0"/>
          <w:iCs w:val="0"/>
          <w:color w:val="auto"/>
          <w:sz w:val="24"/>
          <w:szCs w:val="24"/>
        </w:rPr>
        <w:lastRenderedPageBreak/>
        <w:t xml:space="preserve">Table </w:t>
      </w:r>
      <w:r w:rsidR="007B3E58" w:rsidRPr="003A49C8">
        <w:rPr>
          <w:rFonts w:ascii="Times New Roman" w:hAnsi="Times New Roman" w:cs="Times New Roman"/>
          <w:i w:val="0"/>
          <w:iCs w:val="0"/>
          <w:color w:val="auto"/>
          <w:sz w:val="24"/>
          <w:szCs w:val="24"/>
        </w:rPr>
        <w:t>II</w:t>
      </w:r>
      <w:r w:rsidR="009C237B">
        <w:rPr>
          <w:rFonts w:ascii="Times New Roman" w:hAnsi="Times New Roman" w:cs="Times New Roman"/>
          <w:i w:val="0"/>
          <w:iCs w:val="0"/>
          <w:color w:val="auto"/>
          <w:sz w:val="24"/>
          <w:szCs w:val="24"/>
        </w:rPr>
        <w:t>.</w:t>
      </w:r>
      <w:r w:rsidRPr="003A49C8">
        <w:rPr>
          <w:rFonts w:ascii="Times New Roman" w:hAnsi="Times New Roman" w:cs="Times New Roman"/>
          <w:i w:val="0"/>
          <w:iCs w:val="0"/>
          <w:color w:val="auto"/>
          <w:sz w:val="24"/>
          <w:szCs w:val="24"/>
        </w:rPr>
        <w:t xml:space="preserve"> Extreme systematic risk (tail-βs) for ESG, healthcare, financial sectors</w:t>
      </w:r>
    </w:p>
    <w:tbl>
      <w:tblPr>
        <w:tblW w:w="5000" w:type="pct"/>
        <w:tblLayout w:type="fixed"/>
        <w:tblLook w:val="04A0" w:firstRow="1" w:lastRow="0" w:firstColumn="1" w:lastColumn="0" w:noHBand="0" w:noVBand="1"/>
      </w:tblPr>
      <w:tblGrid>
        <w:gridCol w:w="3262"/>
        <w:gridCol w:w="1214"/>
        <w:gridCol w:w="1214"/>
        <w:gridCol w:w="1214"/>
        <w:gridCol w:w="1214"/>
        <w:gridCol w:w="1214"/>
        <w:gridCol w:w="1214"/>
        <w:gridCol w:w="1213"/>
        <w:gridCol w:w="1213"/>
        <w:gridCol w:w="1213"/>
        <w:gridCol w:w="1213"/>
      </w:tblGrid>
      <w:tr w:rsidR="003A49C8" w:rsidRPr="003A49C8" w14:paraId="5FDEC2B8" w14:textId="77777777" w:rsidTr="00AA49B7">
        <w:trPr>
          <w:trHeight w:val="743"/>
        </w:trPr>
        <w:tc>
          <w:tcPr>
            <w:tcW w:w="1059" w:type="pct"/>
            <w:tcBorders>
              <w:top w:val="single" w:sz="4" w:space="0" w:color="auto"/>
            </w:tcBorders>
            <w:shd w:val="clear" w:color="auto" w:fill="auto"/>
            <w:vAlign w:val="center"/>
            <w:hideMark/>
          </w:tcPr>
          <w:p w14:paraId="4C6BD4D2" w14:textId="77777777" w:rsidR="00613783" w:rsidRPr="003A49C8" w:rsidRDefault="00613783" w:rsidP="00456D56">
            <w:pPr>
              <w:spacing w:after="0" w:line="240" w:lineRule="auto"/>
              <w:rPr>
                <w:rFonts w:eastAsia="Times New Roman" w:cs="Times New Roman"/>
                <w:b/>
                <w:bCs/>
                <w:sz w:val="18"/>
                <w:szCs w:val="18"/>
              </w:rPr>
            </w:pPr>
            <w:bookmarkStart w:id="13" w:name="_Hlk117435251"/>
          </w:p>
        </w:tc>
        <w:tc>
          <w:tcPr>
            <w:tcW w:w="394" w:type="pct"/>
            <w:tcBorders>
              <w:top w:val="single" w:sz="4" w:space="0" w:color="auto"/>
            </w:tcBorders>
            <w:shd w:val="clear" w:color="auto" w:fill="auto"/>
            <w:vAlign w:val="center"/>
            <w:hideMark/>
          </w:tcPr>
          <w:p w14:paraId="5FD05A66" w14:textId="77777777" w:rsidR="00613783" w:rsidRPr="003A49C8" w:rsidRDefault="00613783" w:rsidP="00456D56">
            <w:pPr>
              <w:spacing w:after="0" w:line="240" w:lineRule="auto"/>
              <w:rPr>
                <w:rFonts w:eastAsia="Times New Roman" w:cs="Times New Roman"/>
                <w:b/>
                <w:bCs/>
                <w:sz w:val="18"/>
                <w:szCs w:val="18"/>
              </w:rPr>
            </w:pPr>
            <w:r w:rsidRPr="003A49C8">
              <w:rPr>
                <w:rFonts w:eastAsia="Times New Roman" w:cs="Times New Roman"/>
                <w:b/>
                <w:bCs/>
                <w:sz w:val="18"/>
                <w:szCs w:val="18"/>
              </w:rPr>
              <w:t>FTSE All-World ETF</w:t>
            </w:r>
          </w:p>
        </w:tc>
        <w:tc>
          <w:tcPr>
            <w:tcW w:w="394" w:type="pct"/>
            <w:tcBorders>
              <w:top w:val="single" w:sz="4" w:space="0" w:color="auto"/>
            </w:tcBorders>
            <w:shd w:val="clear" w:color="auto" w:fill="auto"/>
            <w:vAlign w:val="center"/>
            <w:hideMark/>
          </w:tcPr>
          <w:p w14:paraId="5728DA4A" w14:textId="77777777" w:rsidR="00613783" w:rsidRPr="003A49C8" w:rsidRDefault="00613783" w:rsidP="00456D56">
            <w:pPr>
              <w:spacing w:after="0" w:line="240" w:lineRule="auto"/>
              <w:rPr>
                <w:rFonts w:eastAsia="Times New Roman" w:cs="Times New Roman"/>
                <w:b/>
                <w:bCs/>
                <w:sz w:val="18"/>
                <w:szCs w:val="18"/>
              </w:rPr>
            </w:pPr>
            <w:r w:rsidRPr="003A49C8">
              <w:rPr>
                <w:rFonts w:eastAsia="Times New Roman" w:cs="Times New Roman"/>
                <w:b/>
                <w:bCs/>
                <w:sz w:val="18"/>
                <w:szCs w:val="18"/>
              </w:rPr>
              <w:t>Vanguard FTSE Europe ETF</w:t>
            </w:r>
          </w:p>
        </w:tc>
        <w:tc>
          <w:tcPr>
            <w:tcW w:w="394" w:type="pct"/>
            <w:tcBorders>
              <w:top w:val="single" w:sz="4" w:space="0" w:color="auto"/>
            </w:tcBorders>
            <w:shd w:val="clear" w:color="auto" w:fill="auto"/>
            <w:vAlign w:val="center"/>
            <w:hideMark/>
          </w:tcPr>
          <w:p w14:paraId="554B1D8D" w14:textId="77777777" w:rsidR="00613783" w:rsidRPr="003A49C8" w:rsidRDefault="00613783" w:rsidP="00456D56">
            <w:pPr>
              <w:spacing w:after="0" w:line="240" w:lineRule="auto"/>
              <w:rPr>
                <w:rFonts w:eastAsia="Times New Roman" w:cs="Times New Roman"/>
                <w:b/>
                <w:bCs/>
                <w:sz w:val="18"/>
                <w:szCs w:val="18"/>
              </w:rPr>
            </w:pPr>
            <w:r w:rsidRPr="003A49C8">
              <w:rPr>
                <w:rFonts w:eastAsia="Times New Roman" w:cs="Times New Roman"/>
                <w:b/>
                <w:bCs/>
                <w:sz w:val="18"/>
                <w:szCs w:val="18"/>
              </w:rPr>
              <w:t>EZU iShares MSCI Eurozone ETF</w:t>
            </w:r>
          </w:p>
        </w:tc>
        <w:tc>
          <w:tcPr>
            <w:tcW w:w="394" w:type="pct"/>
            <w:tcBorders>
              <w:top w:val="single" w:sz="4" w:space="0" w:color="auto"/>
            </w:tcBorders>
            <w:shd w:val="clear" w:color="auto" w:fill="auto"/>
            <w:vAlign w:val="center"/>
            <w:hideMark/>
          </w:tcPr>
          <w:p w14:paraId="3DB98DCE" w14:textId="77777777" w:rsidR="00613783" w:rsidRPr="003A49C8" w:rsidRDefault="00613783" w:rsidP="00456D56">
            <w:pPr>
              <w:spacing w:after="0" w:line="240" w:lineRule="auto"/>
              <w:rPr>
                <w:rFonts w:eastAsia="Times New Roman" w:cs="Times New Roman"/>
                <w:b/>
                <w:bCs/>
                <w:sz w:val="18"/>
                <w:szCs w:val="18"/>
                <w:lang w:val="it-IT"/>
              </w:rPr>
            </w:pPr>
            <w:r w:rsidRPr="003A49C8">
              <w:rPr>
                <w:rFonts w:eastAsia="Times New Roman" w:cs="Times New Roman"/>
                <w:b/>
                <w:bCs/>
                <w:sz w:val="18"/>
                <w:szCs w:val="18"/>
                <w:lang w:val="it-IT"/>
              </w:rPr>
              <w:t>MCHI iShares MSCI China ETF</w:t>
            </w:r>
          </w:p>
        </w:tc>
        <w:tc>
          <w:tcPr>
            <w:tcW w:w="394" w:type="pct"/>
            <w:tcBorders>
              <w:top w:val="single" w:sz="4" w:space="0" w:color="auto"/>
            </w:tcBorders>
            <w:shd w:val="clear" w:color="auto" w:fill="auto"/>
            <w:vAlign w:val="center"/>
            <w:hideMark/>
          </w:tcPr>
          <w:p w14:paraId="1281DAAD" w14:textId="77777777" w:rsidR="00613783" w:rsidRPr="003A49C8" w:rsidRDefault="00613783" w:rsidP="00456D56">
            <w:pPr>
              <w:spacing w:after="0" w:line="240" w:lineRule="auto"/>
              <w:rPr>
                <w:rFonts w:eastAsia="Times New Roman" w:cs="Times New Roman"/>
                <w:b/>
                <w:bCs/>
                <w:sz w:val="18"/>
                <w:szCs w:val="18"/>
              </w:rPr>
            </w:pPr>
            <w:r w:rsidRPr="003A49C8">
              <w:rPr>
                <w:rFonts w:eastAsia="Times New Roman" w:cs="Times New Roman"/>
                <w:b/>
                <w:bCs/>
                <w:sz w:val="18"/>
                <w:szCs w:val="18"/>
              </w:rPr>
              <w:t>VOO Vanguard S&amp;P 500 ETF</w:t>
            </w:r>
          </w:p>
        </w:tc>
        <w:tc>
          <w:tcPr>
            <w:tcW w:w="394" w:type="pct"/>
            <w:tcBorders>
              <w:top w:val="single" w:sz="4" w:space="0" w:color="auto"/>
            </w:tcBorders>
            <w:shd w:val="clear" w:color="auto" w:fill="auto"/>
            <w:vAlign w:val="center"/>
            <w:hideMark/>
          </w:tcPr>
          <w:p w14:paraId="1AAED33A" w14:textId="77777777" w:rsidR="00613783" w:rsidRPr="003A49C8" w:rsidRDefault="00613783" w:rsidP="00456D56">
            <w:pPr>
              <w:spacing w:after="0" w:line="240" w:lineRule="auto"/>
              <w:rPr>
                <w:rFonts w:eastAsia="Times New Roman" w:cs="Times New Roman"/>
                <w:b/>
                <w:bCs/>
                <w:sz w:val="18"/>
                <w:szCs w:val="18"/>
              </w:rPr>
            </w:pPr>
            <w:r w:rsidRPr="003A49C8">
              <w:rPr>
                <w:rFonts w:eastAsia="Times New Roman" w:cs="Times New Roman"/>
                <w:b/>
                <w:bCs/>
                <w:sz w:val="18"/>
                <w:szCs w:val="18"/>
              </w:rPr>
              <w:t>VTI Vanguard Total Stock Market ETF</w:t>
            </w:r>
          </w:p>
        </w:tc>
        <w:tc>
          <w:tcPr>
            <w:tcW w:w="394" w:type="pct"/>
            <w:tcBorders>
              <w:top w:val="single" w:sz="4" w:space="0" w:color="auto"/>
            </w:tcBorders>
            <w:shd w:val="clear" w:color="auto" w:fill="auto"/>
            <w:vAlign w:val="center"/>
            <w:hideMark/>
          </w:tcPr>
          <w:p w14:paraId="3FEA0A46" w14:textId="77777777" w:rsidR="00613783" w:rsidRPr="003A49C8" w:rsidRDefault="00613783" w:rsidP="00456D56">
            <w:pPr>
              <w:spacing w:after="0" w:line="240" w:lineRule="auto"/>
              <w:rPr>
                <w:rFonts w:eastAsia="Times New Roman" w:cs="Times New Roman"/>
                <w:b/>
                <w:bCs/>
                <w:sz w:val="18"/>
                <w:szCs w:val="18"/>
              </w:rPr>
            </w:pPr>
            <w:r w:rsidRPr="003A49C8">
              <w:rPr>
                <w:rFonts w:eastAsia="Times New Roman" w:cs="Times New Roman"/>
                <w:b/>
                <w:bCs/>
                <w:sz w:val="18"/>
                <w:szCs w:val="18"/>
              </w:rPr>
              <w:t>QQQ Invesco QQQ Trust</w:t>
            </w:r>
          </w:p>
        </w:tc>
        <w:tc>
          <w:tcPr>
            <w:tcW w:w="394" w:type="pct"/>
            <w:tcBorders>
              <w:top w:val="single" w:sz="4" w:space="0" w:color="auto"/>
            </w:tcBorders>
            <w:shd w:val="clear" w:color="auto" w:fill="auto"/>
            <w:vAlign w:val="center"/>
            <w:hideMark/>
          </w:tcPr>
          <w:p w14:paraId="1098EDBC" w14:textId="77777777" w:rsidR="00613783" w:rsidRPr="003A49C8" w:rsidRDefault="00613783" w:rsidP="00456D56">
            <w:pPr>
              <w:spacing w:after="0" w:line="240" w:lineRule="auto"/>
              <w:rPr>
                <w:rFonts w:eastAsia="Times New Roman" w:cs="Times New Roman"/>
                <w:b/>
                <w:bCs/>
                <w:sz w:val="18"/>
                <w:szCs w:val="18"/>
              </w:rPr>
            </w:pPr>
            <w:r w:rsidRPr="003A49C8">
              <w:rPr>
                <w:rFonts w:eastAsia="Times New Roman" w:cs="Times New Roman"/>
                <w:b/>
                <w:bCs/>
                <w:sz w:val="18"/>
                <w:szCs w:val="18"/>
              </w:rPr>
              <w:t>Energy Select Sector SPDR Fund</w:t>
            </w:r>
          </w:p>
        </w:tc>
        <w:tc>
          <w:tcPr>
            <w:tcW w:w="394" w:type="pct"/>
            <w:tcBorders>
              <w:top w:val="single" w:sz="4" w:space="0" w:color="auto"/>
            </w:tcBorders>
            <w:shd w:val="clear" w:color="auto" w:fill="auto"/>
            <w:vAlign w:val="center"/>
            <w:hideMark/>
          </w:tcPr>
          <w:p w14:paraId="55E4F1A7" w14:textId="77777777" w:rsidR="00613783" w:rsidRPr="003A49C8" w:rsidRDefault="00613783" w:rsidP="00456D56">
            <w:pPr>
              <w:spacing w:after="0" w:line="240" w:lineRule="auto"/>
              <w:rPr>
                <w:rFonts w:eastAsia="Times New Roman" w:cs="Times New Roman"/>
                <w:b/>
                <w:bCs/>
                <w:sz w:val="18"/>
                <w:szCs w:val="18"/>
              </w:rPr>
            </w:pPr>
            <w:r w:rsidRPr="003A49C8">
              <w:rPr>
                <w:rFonts w:eastAsia="Times New Roman" w:cs="Times New Roman"/>
                <w:b/>
                <w:bCs/>
                <w:sz w:val="18"/>
                <w:szCs w:val="18"/>
              </w:rPr>
              <w:t>Green energy First Trust NASDAQ</w:t>
            </w:r>
          </w:p>
        </w:tc>
        <w:tc>
          <w:tcPr>
            <w:tcW w:w="394" w:type="pct"/>
            <w:tcBorders>
              <w:top w:val="single" w:sz="4" w:space="0" w:color="auto"/>
            </w:tcBorders>
            <w:shd w:val="clear" w:color="auto" w:fill="auto"/>
            <w:vAlign w:val="center"/>
            <w:hideMark/>
          </w:tcPr>
          <w:p w14:paraId="4B1781E3" w14:textId="77777777" w:rsidR="00613783" w:rsidRPr="003A49C8" w:rsidRDefault="00613783" w:rsidP="00456D56">
            <w:pPr>
              <w:spacing w:after="0" w:line="240" w:lineRule="auto"/>
              <w:rPr>
                <w:rFonts w:eastAsia="Times New Roman" w:cs="Times New Roman"/>
                <w:b/>
                <w:bCs/>
                <w:sz w:val="18"/>
                <w:szCs w:val="18"/>
              </w:rPr>
            </w:pPr>
            <w:r w:rsidRPr="003A49C8">
              <w:rPr>
                <w:rFonts w:eastAsia="Times New Roman" w:cs="Times New Roman"/>
                <w:b/>
                <w:bCs/>
                <w:sz w:val="18"/>
                <w:szCs w:val="18"/>
              </w:rPr>
              <w:t>iShares Core US Aggregate Bond</w:t>
            </w:r>
          </w:p>
        </w:tc>
      </w:tr>
      <w:tr w:rsidR="003A49C8" w:rsidRPr="003A49C8" w14:paraId="4627F37E" w14:textId="77777777" w:rsidTr="00AA49B7">
        <w:trPr>
          <w:trHeight w:val="300"/>
        </w:trPr>
        <w:tc>
          <w:tcPr>
            <w:tcW w:w="1059" w:type="pct"/>
            <w:tcBorders>
              <w:bottom w:val="single" w:sz="4" w:space="0" w:color="auto"/>
            </w:tcBorders>
            <w:shd w:val="clear" w:color="auto" w:fill="auto"/>
            <w:noWrap/>
            <w:vAlign w:val="bottom"/>
            <w:hideMark/>
          </w:tcPr>
          <w:p w14:paraId="7FE10433" w14:textId="77777777" w:rsidR="00613783" w:rsidRPr="003A49C8" w:rsidRDefault="00613783" w:rsidP="00456D56">
            <w:pPr>
              <w:spacing w:after="0" w:line="240" w:lineRule="auto"/>
              <w:rPr>
                <w:rFonts w:eastAsia="Times New Roman" w:cs="Times New Roman"/>
                <w:b/>
                <w:bCs/>
                <w:sz w:val="18"/>
                <w:szCs w:val="18"/>
              </w:rPr>
            </w:pPr>
          </w:p>
        </w:tc>
        <w:tc>
          <w:tcPr>
            <w:tcW w:w="394" w:type="pct"/>
            <w:tcBorders>
              <w:bottom w:val="single" w:sz="4" w:space="0" w:color="auto"/>
            </w:tcBorders>
            <w:shd w:val="clear" w:color="auto" w:fill="auto"/>
            <w:noWrap/>
            <w:vAlign w:val="center"/>
            <w:hideMark/>
          </w:tcPr>
          <w:p w14:paraId="766B264A" w14:textId="77777777" w:rsidR="00613783" w:rsidRPr="003A49C8" w:rsidRDefault="00613783" w:rsidP="00456D56">
            <w:pPr>
              <w:spacing w:after="0" w:line="240" w:lineRule="auto"/>
              <w:rPr>
                <w:rFonts w:eastAsia="Times New Roman" w:cs="Times New Roman"/>
                <w:b/>
                <w:bCs/>
                <w:sz w:val="18"/>
                <w:szCs w:val="18"/>
              </w:rPr>
            </w:pPr>
            <w:r w:rsidRPr="003A49C8">
              <w:rPr>
                <w:rFonts w:eastAsia="Times New Roman" w:cs="Times New Roman"/>
                <w:b/>
                <w:bCs/>
                <w:sz w:val="18"/>
                <w:szCs w:val="18"/>
              </w:rPr>
              <w:t>m = 300</w:t>
            </w:r>
          </w:p>
        </w:tc>
        <w:tc>
          <w:tcPr>
            <w:tcW w:w="394" w:type="pct"/>
            <w:tcBorders>
              <w:bottom w:val="single" w:sz="4" w:space="0" w:color="auto"/>
            </w:tcBorders>
            <w:shd w:val="clear" w:color="auto" w:fill="auto"/>
            <w:noWrap/>
            <w:vAlign w:val="center"/>
            <w:hideMark/>
          </w:tcPr>
          <w:p w14:paraId="07A8D834" w14:textId="77777777" w:rsidR="00613783" w:rsidRPr="003A49C8" w:rsidRDefault="00613783" w:rsidP="00456D56">
            <w:pPr>
              <w:spacing w:after="0" w:line="240" w:lineRule="auto"/>
              <w:rPr>
                <w:rFonts w:eastAsia="Times New Roman" w:cs="Times New Roman"/>
                <w:b/>
                <w:bCs/>
                <w:sz w:val="18"/>
                <w:szCs w:val="18"/>
              </w:rPr>
            </w:pPr>
            <w:r w:rsidRPr="003A49C8">
              <w:rPr>
                <w:rFonts w:eastAsia="Times New Roman" w:cs="Times New Roman"/>
                <w:b/>
                <w:bCs/>
                <w:sz w:val="18"/>
                <w:szCs w:val="18"/>
              </w:rPr>
              <w:t>m = 300</w:t>
            </w:r>
          </w:p>
        </w:tc>
        <w:tc>
          <w:tcPr>
            <w:tcW w:w="394" w:type="pct"/>
            <w:tcBorders>
              <w:bottom w:val="single" w:sz="4" w:space="0" w:color="auto"/>
            </w:tcBorders>
            <w:shd w:val="clear" w:color="auto" w:fill="auto"/>
            <w:noWrap/>
            <w:vAlign w:val="center"/>
            <w:hideMark/>
          </w:tcPr>
          <w:p w14:paraId="737AE4FB" w14:textId="77777777" w:rsidR="00613783" w:rsidRPr="003A49C8" w:rsidRDefault="00613783" w:rsidP="00456D56">
            <w:pPr>
              <w:spacing w:after="0" w:line="240" w:lineRule="auto"/>
              <w:rPr>
                <w:rFonts w:eastAsia="Times New Roman" w:cs="Times New Roman"/>
                <w:b/>
                <w:bCs/>
                <w:sz w:val="18"/>
                <w:szCs w:val="18"/>
              </w:rPr>
            </w:pPr>
            <w:r w:rsidRPr="003A49C8">
              <w:rPr>
                <w:rFonts w:eastAsia="Times New Roman" w:cs="Times New Roman"/>
                <w:b/>
                <w:bCs/>
                <w:sz w:val="18"/>
                <w:szCs w:val="18"/>
              </w:rPr>
              <w:t>m = 300</w:t>
            </w:r>
          </w:p>
        </w:tc>
        <w:tc>
          <w:tcPr>
            <w:tcW w:w="394" w:type="pct"/>
            <w:tcBorders>
              <w:bottom w:val="single" w:sz="4" w:space="0" w:color="auto"/>
            </w:tcBorders>
            <w:shd w:val="clear" w:color="auto" w:fill="auto"/>
            <w:noWrap/>
            <w:vAlign w:val="center"/>
            <w:hideMark/>
          </w:tcPr>
          <w:p w14:paraId="4CAF63D3" w14:textId="77777777" w:rsidR="00613783" w:rsidRPr="003A49C8" w:rsidRDefault="00613783" w:rsidP="00456D56">
            <w:pPr>
              <w:spacing w:after="0" w:line="240" w:lineRule="auto"/>
              <w:rPr>
                <w:rFonts w:eastAsia="Times New Roman" w:cs="Times New Roman"/>
                <w:b/>
                <w:bCs/>
                <w:sz w:val="18"/>
                <w:szCs w:val="18"/>
              </w:rPr>
            </w:pPr>
            <w:r w:rsidRPr="003A49C8">
              <w:rPr>
                <w:rFonts w:eastAsia="Times New Roman" w:cs="Times New Roman"/>
                <w:b/>
                <w:bCs/>
                <w:sz w:val="18"/>
                <w:szCs w:val="18"/>
              </w:rPr>
              <w:t>m = 300</w:t>
            </w:r>
          </w:p>
        </w:tc>
        <w:tc>
          <w:tcPr>
            <w:tcW w:w="394" w:type="pct"/>
            <w:tcBorders>
              <w:bottom w:val="single" w:sz="4" w:space="0" w:color="auto"/>
            </w:tcBorders>
            <w:shd w:val="clear" w:color="auto" w:fill="auto"/>
            <w:noWrap/>
            <w:vAlign w:val="center"/>
            <w:hideMark/>
          </w:tcPr>
          <w:p w14:paraId="7F956C31" w14:textId="77777777" w:rsidR="00613783" w:rsidRPr="003A49C8" w:rsidRDefault="00613783" w:rsidP="00456D56">
            <w:pPr>
              <w:spacing w:after="0" w:line="240" w:lineRule="auto"/>
              <w:rPr>
                <w:rFonts w:eastAsia="Times New Roman" w:cs="Times New Roman"/>
                <w:b/>
                <w:bCs/>
                <w:sz w:val="18"/>
                <w:szCs w:val="18"/>
              </w:rPr>
            </w:pPr>
            <w:r w:rsidRPr="003A49C8">
              <w:rPr>
                <w:rFonts w:eastAsia="Times New Roman" w:cs="Times New Roman"/>
                <w:b/>
                <w:bCs/>
                <w:sz w:val="18"/>
                <w:szCs w:val="18"/>
              </w:rPr>
              <w:t>m = 300</w:t>
            </w:r>
          </w:p>
        </w:tc>
        <w:tc>
          <w:tcPr>
            <w:tcW w:w="394" w:type="pct"/>
            <w:tcBorders>
              <w:bottom w:val="single" w:sz="4" w:space="0" w:color="auto"/>
            </w:tcBorders>
            <w:shd w:val="clear" w:color="auto" w:fill="auto"/>
            <w:noWrap/>
            <w:vAlign w:val="center"/>
            <w:hideMark/>
          </w:tcPr>
          <w:p w14:paraId="22648C23" w14:textId="77777777" w:rsidR="00613783" w:rsidRPr="003A49C8" w:rsidRDefault="00613783" w:rsidP="00456D56">
            <w:pPr>
              <w:spacing w:after="0" w:line="240" w:lineRule="auto"/>
              <w:rPr>
                <w:rFonts w:eastAsia="Times New Roman" w:cs="Times New Roman"/>
                <w:b/>
                <w:bCs/>
                <w:sz w:val="18"/>
                <w:szCs w:val="18"/>
              </w:rPr>
            </w:pPr>
            <w:r w:rsidRPr="003A49C8">
              <w:rPr>
                <w:rFonts w:eastAsia="Times New Roman" w:cs="Times New Roman"/>
                <w:b/>
                <w:bCs/>
                <w:sz w:val="18"/>
                <w:szCs w:val="18"/>
              </w:rPr>
              <w:t>m = 300</w:t>
            </w:r>
          </w:p>
        </w:tc>
        <w:tc>
          <w:tcPr>
            <w:tcW w:w="394" w:type="pct"/>
            <w:tcBorders>
              <w:bottom w:val="single" w:sz="4" w:space="0" w:color="auto"/>
            </w:tcBorders>
            <w:shd w:val="clear" w:color="auto" w:fill="auto"/>
            <w:noWrap/>
            <w:vAlign w:val="center"/>
            <w:hideMark/>
          </w:tcPr>
          <w:p w14:paraId="0660E9C5" w14:textId="77777777" w:rsidR="00613783" w:rsidRPr="003A49C8" w:rsidRDefault="00613783" w:rsidP="00456D56">
            <w:pPr>
              <w:spacing w:after="0" w:line="240" w:lineRule="auto"/>
              <w:rPr>
                <w:rFonts w:eastAsia="Times New Roman" w:cs="Times New Roman"/>
                <w:b/>
                <w:bCs/>
                <w:sz w:val="18"/>
                <w:szCs w:val="18"/>
              </w:rPr>
            </w:pPr>
            <w:r w:rsidRPr="003A49C8">
              <w:rPr>
                <w:rFonts w:eastAsia="Times New Roman" w:cs="Times New Roman"/>
                <w:b/>
                <w:bCs/>
                <w:sz w:val="18"/>
                <w:szCs w:val="18"/>
              </w:rPr>
              <w:t>m = 300</w:t>
            </w:r>
          </w:p>
        </w:tc>
        <w:tc>
          <w:tcPr>
            <w:tcW w:w="394" w:type="pct"/>
            <w:tcBorders>
              <w:bottom w:val="single" w:sz="4" w:space="0" w:color="auto"/>
            </w:tcBorders>
            <w:shd w:val="clear" w:color="auto" w:fill="auto"/>
            <w:noWrap/>
            <w:vAlign w:val="center"/>
            <w:hideMark/>
          </w:tcPr>
          <w:p w14:paraId="4EF4CFE1" w14:textId="77777777" w:rsidR="00613783" w:rsidRPr="003A49C8" w:rsidRDefault="00613783" w:rsidP="00456D56">
            <w:pPr>
              <w:spacing w:after="0" w:line="240" w:lineRule="auto"/>
              <w:rPr>
                <w:rFonts w:eastAsia="Times New Roman" w:cs="Times New Roman"/>
                <w:b/>
                <w:bCs/>
                <w:sz w:val="18"/>
                <w:szCs w:val="18"/>
              </w:rPr>
            </w:pPr>
            <w:r w:rsidRPr="003A49C8">
              <w:rPr>
                <w:rFonts w:eastAsia="Times New Roman" w:cs="Times New Roman"/>
                <w:b/>
                <w:bCs/>
                <w:sz w:val="18"/>
                <w:szCs w:val="18"/>
              </w:rPr>
              <w:t>m = 300</w:t>
            </w:r>
          </w:p>
        </w:tc>
        <w:tc>
          <w:tcPr>
            <w:tcW w:w="394" w:type="pct"/>
            <w:tcBorders>
              <w:bottom w:val="single" w:sz="4" w:space="0" w:color="auto"/>
            </w:tcBorders>
            <w:shd w:val="clear" w:color="auto" w:fill="auto"/>
            <w:noWrap/>
            <w:vAlign w:val="center"/>
            <w:hideMark/>
          </w:tcPr>
          <w:p w14:paraId="20D7D61D" w14:textId="77777777" w:rsidR="00613783" w:rsidRPr="003A49C8" w:rsidRDefault="00613783" w:rsidP="00456D56">
            <w:pPr>
              <w:spacing w:after="0" w:line="240" w:lineRule="auto"/>
              <w:rPr>
                <w:rFonts w:eastAsia="Times New Roman" w:cs="Times New Roman"/>
                <w:b/>
                <w:bCs/>
                <w:sz w:val="18"/>
                <w:szCs w:val="18"/>
              </w:rPr>
            </w:pPr>
            <w:r w:rsidRPr="003A49C8">
              <w:rPr>
                <w:rFonts w:eastAsia="Times New Roman" w:cs="Times New Roman"/>
                <w:b/>
                <w:bCs/>
                <w:sz w:val="18"/>
                <w:szCs w:val="18"/>
              </w:rPr>
              <w:t>m = 300</w:t>
            </w:r>
          </w:p>
        </w:tc>
        <w:tc>
          <w:tcPr>
            <w:tcW w:w="394" w:type="pct"/>
            <w:tcBorders>
              <w:bottom w:val="single" w:sz="4" w:space="0" w:color="auto"/>
            </w:tcBorders>
            <w:shd w:val="clear" w:color="auto" w:fill="auto"/>
            <w:noWrap/>
            <w:vAlign w:val="center"/>
            <w:hideMark/>
          </w:tcPr>
          <w:p w14:paraId="133DD52E" w14:textId="77777777" w:rsidR="00613783" w:rsidRPr="003A49C8" w:rsidRDefault="00613783" w:rsidP="00456D56">
            <w:pPr>
              <w:spacing w:after="0" w:line="240" w:lineRule="auto"/>
              <w:rPr>
                <w:rFonts w:eastAsia="Times New Roman" w:cs="Times New Roman"/>
                <w:b/>
                <w:bCs/>
                <w:sz w:val="18"/>
                <w:szCs w:val="18"/>
              </w:rPr>
            </w:pPr>
            <w:r w:rsidRPr="003A49C8">
              <w:rPr>
                <w:rFonts w:eastAsia="Times New Roman" w:cs="Times New Roman"/>
                <w:b/>
                <w:bCs/>
                <w:sz w:val="18"/>
                <w:szCs w:val="18"/>
              </w:rPr>
              <w:t>m = 300</w:t>
            </w:r>
          </w:p>
        </w:tc>
      </w:tr>
      <w:tr w:rsidR="003A49C8" w:rsidRPr="003A49C8" w14:paraId="7E9EA947" w14:textId="77777777" w:rsidTr="00AA49B7">
        <w:trPr>
          <w:trHeight w:val="300"/>
        </w:trPr>
        <w:tc>
          <w:tcPr>
            <w:tcW w:w="1059" w:type="pct"/>
            <w:tcBorders>
              <w:top w:val="single" w:sz="4" w:space="0" w:color="auto"/>
            </w:tcBorders>
            <w:shd w:val="clear" w:color="auto" w:fill="auto"/>
            <w:noWrap/>
            <w:vAlign w:val="bottom"/>
          </w:tcPr>
          <w:p w14:paraId="05B501F1" w14:textId="77777777" w:rsidR="00613783" w:rsidRPr="003A49C8" w:rsidRDefault="00613783" w:rsidP="00456D56">
            <w:pPr>
              <w:spacing w:after="0" w:line="240" w:lineRule="auto"/>
              <w:rPr>
                <w:rFonts w:eastAsia="Times New Roman" w:cs="Times New Roman"/>
                <w:b/>
                <w:bCs/>
                <w:sz w:val="18"/>
                <w:szCs w:val="18"/>
              </w:rPr>
            </w:pPr>
            <w:r w:rsidRPr="003A49C8">
              <w:rPr>
                <w:rFonts w:eastAsia="Times New Roman" w:cs="Times New Roman"/>
                <w:b/>
                <w:bCs/>
                <w:sz w:val="18"/>
                <w:szCs w:val="18"/>
              </w:rPr>
              <w:t>Panel I: ESG ETFs</w:t>
            </w:r>
          </w:p>
        </w:tc>
        <w:tc>
          <w:tcPr>
            <w:tcW w:w="394" w:type="pct"/>
            <w:tcBorders>
              <w:top w:val="single" w:sz="4" w:space="0" w:color="auto"/>
            </w:tcBorders>
            <w:shd w:val="clear" w:color="auto" w:fill="auto"/>
            <w:noWrap/>
            <w:vAlign w:val="bottom"/>
          </w:tcPr>
          <w:p w14:paraId="0C1833E0" w14:textId="77777777" w:rsidR="00613783" w:rsidRPr="003A49C8" w:rsidRDefault="00613783" w:rsidP="00456D56">
            <w:pPr>
              <w:spacing w:after="0" w:line="240" w:lineRule="auto"/>
              <w:rPr>
                <w:rFonts w:eastAsia="Times New Roman" w:cs="Times New Roman"/>
                <w:b/>
                <w:bCs/>
                <w:sz w:val="18"/>
                <w:szCs w:val="18"/>
              </w:rPr>
            </w:pPr>
          </w:p>
        </w:tc>
        <w:tc>
          <w:tcPr>
            <w:tcW w:w="394" w:type="pct"/>
            <w:tcBorders>
              <w:top w:val="single" w:sz="4" w:space="0" w:color="auto"/>
            </w:tcBorders>
            <w:shd w:val="clear" w:color="auto" w:fill="auto"/>
            <w:noWrap/>
            <w:vAlign w:val="bottom"/>
          </w:tcPr>
          <w:p w14:paraId="178ACA21" w14:textId="77777777" w:rsidR="00613783" w:rsidRPr="003A49C8" w:rsidRDefault="00613783" w:rsidP="00456D56">
            <w:pPr>
              <w:spacing w:after="0" w:line="240" w:lineRule="auto"/>
              <w:rPr>
                <w:rFonts w:eastAsia="Times New Roman" w:cs="Times New Roman"/>
                <w:b/>
                <w:bCs/>
                <w:sz w:val="18"/>
                <w:szCs w:val="18"/>
              </w:rPr>
            </w:pPr>
          </w:p>
        </w:tc>
        <w:tc>
          <w:tcPr>
            <w:tcW w:w="394" w:type="pct"/>
            <w:tcBorders>
              <w:top w:val="single" w:sz="4" w:space="0" w:color="auto"/>
            </w:tcBorders>
            <w:shd w:val="clear" w:color="auto" w:fill="auto"/>
            <w:noWrap/>
            <w:vAlign w:val="bottom"/>
          </w:tcPr>
          <w:p w14:paraId="42791ED8" w14:textId="77777777" w:rsidR="00613783" w:rsidRPr="003A49C8" w:rsidRDefault="00613783" w:rsidP="00456D56">
            <w:pPr>
              <w:spacing w:after="0" w:line="240" w:lineRule="auto"/>
              <w:rPr>
                <w:rFonts w:eastAsia="Times New Roman" w:cs="Times New Roman"/>
                <w:b/>
                <w:bCs/>
                <w:sz w:val="18"/>
                <w:szCs w:val="18"/>
              </w:rPr>
            </w:pPr>
          </w:p>
        </w:tc>
        <w:tc>
          <w:tcPr>
            <w:tcW w:w="394" w:type="pct"/>
            <w:tcBorders>
              <w:top w:val="single" w:sz="4" w:space="0" w:color="auto"/>
            </w:tcBorders>
            <w:shd w:val="clear" w:color="auto" w:fill="auto"/>
            <w:noWrap/>
            <w:vAlign w:val="bottom"/>
          </w:tcPr>
          <w:p w14:paraId="3BA1098E" w14:textId="77777777" w:rsidR="00613783" w:rsidRPr="003A49C8" w:rsidRDefault="00613783" w:rsidP="00456D56">
            <w:pPr>
              <w:spacing w:after="0" w:line="240" w:lineRule="auto"/>
              <w:rPr>
                <w:rFonts w:eastAsia="Times New Roman" w:cs="Times New Roman"/>
                <w:b/>
                <w:bCs/>
                <w:sz w:val="18"/>
                <w:szCs w:val="18"/>
              </w:rPr>
            </w:pPr>
          </w:p>
        </w:tc>
        <w:tc>
          <w:tcPr>
            <w:tcW w:w="394" w:type="pct"/>
            <w:tcBorders>
              <w:top w:val="single" w:sz="4" w:space="0" w:color="auto"/>
            </w:tcBorders>
            <w:shd w:val="clear" w:color="auto" w:fill="auto"/>
            <w:noWrap/>
            <w:vAlign w:val="bottom"/>
          </w:tcPr>
          <w:p w14:paraId="2BF85232" w14:textId="77777777" w:rsidR="00613783" w:rsidRPr="003A49C8" w:rsidRDefault="00613783" w:rsidP="00456D56">
            <w:pPr>
              <w:spacing w:after="0" w:line="240" w:lineRule="auto"/>
              <w:rPr>
                <w:rFonts w:eastAsia="Times New Roman" w:cs="Times New Roman"/>
                <w:b/>
                <w:bCs/>
                <w:sz w:val="18"/>
                <w:szCs w:val="18"/>
              </w:rPr>
            </w:pPr>
          </w:p>
        </w:tc>
        <w:tc>
          <w:tcPr>
            <w:tcW w:w="394" w:type="pct"/>
            <w:tcBorders>
              <w:top w:val="single" w:sz="4" w:space="0" w:color="auto"/>
            </w:tcBorders>
            <w:shd w:val="clear" w:color="auto" w:fill="auto"/>
            <w:noWrap/>
            <w:vAlign w:val="bottom"/>
          </w:tcPr>
          <w:p w14:paraId="7076182F" w14:textId="77777777" w:rsidR="00613783" w:rsidRPr="003A49C8" w:rsidRDefault="00613783" w:rsidP="00456D56">
            <w:pPr>
              <w:spacing w:after="0" w:line="240" w:lineRule="auto"/>
              <w:rPr>
                <w:rFonts w:eastAsia="Times New Roman" w:cs="Times New Roman"/>
                <w:b/>
                <w:bCs/>
                <w:sz w:val="18"/>
                <w:szCs w:val="18"/>
              </w:rPr>
            </w:pPr>
          </w:p>
        </w:tc>
        <w:tc>
          <w:tcPr>
            <w:tcW w:w="394" w:type="pct"/>
            <w:tcBorders>
              <w:top w:val="single" w:sz="4" w:space="0" w:color="auto"/>
            </w:tcBorders>
            <w:shd w:val="clear" w:color="auto" w:fill="auto"/>
            <w:noWrap/>
            <w:vAlign w:val="bottom"/>
          </w:tcPr>
          <w:p w14:paraId="7D8AC2F9" w14:textId="77777777" w:rsidR="00613783" w:rsidRPr="003A49C8" w:rsidRDefault="00613783" w:rsidP="00456D56">
            <w:pPr>
              <w:spacing w:after="0" w:line="240" w:lineRule="auto"/>
              <w:rPr>
                <w:rFonts w:eastAsia="Times New Roman" w:cs="Times New Roman"/>
                <w:b/>
                <w:bCs/>
                <w:sz w:val="18"/>
                <w:szCs w:val="18"/>
              </w:rPr>
            </w:pPr>
          </w:p>
        </w:tc>
        <w:tc>
          <w:tcPr>
            <w:tcW w:w="394" w:type="pct"/>
            <w:tcBorders>
              <w:top w:val="single" w:sz="4" w:space="0" w:color="auto"/>
            </w:tcBorders>
            <w:shd w:val="clear" w:color="auto" w:fill="auto"/>
            <w:noWrap/>
            <w:vAlign w:val="bottom"/>
          </w:tcPr>
          <w:p w14:paraId="4F66CD0E" w14:textId="77777777" w:rsidR="00613783" w:rsidRPr="003A49C8" w:rsidRDefault="00613783" w:rsidP="00456D56">
            <w:pPr>
              <w:spacing w:after="0" w:line="240" w:lineRule="auto"/>
              <w:rPr>
                <w:rFonts w:eastAsia="Times New Roman" w:cs="Times New Roman"/>
                <w:b/>
                <w:bCs/>
                <w:sz w:val="18"/>
                <w:szCs w:val="18"/>
              </w:rPr>
            </w:pPr>
          </w:p>
        </w:tc>
        <w:tc>
          <w:tcPr>
            <w:tcW w:w="394" w:type="pct"/>
            <w:tcBorders>
              <w:top w:val="single" w:sz="4" w:space="0" w:color="auto"/>
            </w:tcBorders>
            <w:shd w:val="clear" w:color="auto" w:fill="auto"/>
            <w:noWrap/>
            <w:vAlign w:val="bottom"/>
          </w:tcPr>
          <w:p w14:paraId="35D58301" w14:textId="77777777" w:rsidR="00613783" w:rsidRPr="003A49C8" w:rsidRDefault="00613783" w:rsidP="00456D56">
            <w:pPr>
              <w:spacing w:after="0" w:line="240" w:lineRule="auto"/>
              <w:rPr>
                <w:rFonts w:eastAsia="Times New Roman" w:cs="Times New Roman"/>
                <w:b/>
                <w:bCs/>
                <w:sz w:val="18"/>
                <w:szCs w:val="18"/>
              </w:rPr>
            </w:pPr>
          </w:p>
        </w:tc>
        <w:tc>
          <w:tcPr>
            <w:tcW w:w="394" w:type="pct"/>
            <w:tcBorders>
              <w:top w:val="single" w:sz="4" w:space="0" w:color="auto"/>
            </w:tcBorders>
            <w:shd w:val="clear" w:color="auto" w:fill="auto"/>
            <w:noWrap/>
            <w:vAlign w:val="bottom"/>
          </w:tcPr>
          <w:p w14:paraId="5B0F8CF0" w14:textId="77777777" w:rsidR="00613783" w:rsidRPr="003A49C8" w:rsidRDefault="00613783" w:rsidP="00456D56">
            <w:pPr>
              <w:spacing w:after="0" w:line="240" w:lineRule="auto"/>
              <w:rPr>
                <w:rFonts w:eastAsia="Times New Roman" w:cs="Times New Roman"/>
                <w:b/>
                <w:bCs/>
                <w:sz w:val="18"/>
                <w:szCs w:val="18"/>
              </w:rPr>
            </w:pPr>
          </w:p>
        </w:tc>
      </w:tr>
      <w:tr w:rsidR="003A49C8" w:rsidRPr="003A49C8" w14:paraId="486C463E" w14:textId="77777777" w:rsidTr="00541B5B">
        <w:trPr>
          <w:trHeight w:val="300"/>
        </w:trPr>
        <w:tc>
          <w:tcPr>
            <w:tcW w:w="1059" w:type="pct"/>
            <w:shd w:val="clear" w:color="auto" w:fill="auto"/>
            <w:noWrap/>
            <w:vAlign w:val="center"/>
            <w:hideMark/>
          </w:tcPr>
          <w:p w14:paraId="27D0FDAF" w14:textId="06CB546E"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DSI iShares MSCI KLD 400 Social ETF</w:t>
            </w:r>
          </w:p>
        </w:tc>
        <w:tc>
          <w:tcPr>
            <w:tcW w:w="394" w:type="pct"/>
            <w:shd w:val="clear" w:color="auto" w:fill="auto"/>
            <w:noWrap/>
            <w:vAlign w:val="bottom"/>
            <w:hideMark/>
          </w:tcPr>
          <w:p w14:paraId="17A0E3D7"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0.3022</w:t>
            </w:r>
          </w:p>
        </w:tc>
        <w:tc>
          <w:tcPr>
            <w:tcW w:w="394" w:type="pct"/>
            <w:shd w:val="clear" w:color="auto" w:fill="auto"/>
            <w:noWrap/>
            <w:vAlign w:val="bottom"/>
            <w:hideMark/>
          </w:tcPr>
          <w:p w14:paraId="12516A9A"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0.3025</w:t>
            </w:r>
          </w:p>
        </w:tc>
        <w:tc>
          <w:tcPr>
            <w:tcW w:w="394" w:type="pct"/>
            <w:shd w:val="clear" w:color="auto" w:fill="auto"/>
            <w:noWrap/>
            <w:vAlign w:val="bottom"/>
            <w:hideMark/>
          </w:tcPr>
          <w:p w14:paraId="587351F6"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0.3001</w:t>
            </w:r>
          </w:p>
        </w:tc>
        <w:tc>
          <w:tcPr>
            <w:tcW w:w="394" w:type="pct"/>
            <w:shd w:val="clear" w:color="auto" w:fill="auto"/>
            <w:noWrap/>
            <w:vAlign w:val="bottom"/>
            <w:hideMark/>
          </w:tcPr>
          <w:p w14:paraId="5B1C3729"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0.2842</w:t>
            </w:r>
          </w:p>
        </w:tc>
        <w:tc>
          <w:tcPr>
            <w:tcW w:w="394" w:type="pct"/>
            <w:shd w:val="clear" w:color="auto" w:fill="auto"/>
            <w:noWrap/>
            <w:vAlign w:val="bottom"/>
            <w:hideMark/>
          </w:tcPr>
          <w:p w14:paraId="647D1634"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0.28256102</w:t>
            </w:r>
          </w:p>
        </w:tc>
        <w:tc>
          <w:tcPr>
            <w:tcW w:w="394" w:type="pct"/>
            <w:shd w:val="clear" w:color="auto" w:fill="auto"/>
            <w:noWrap/>
            <w:vAlign w:val="bottom"/>
            <w:hideMark/>
          </w:tcPr>
          <w:p w14:paraId="2DC9C1D4"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0.30038019</w:t>
            </w:r>
          </w:p>
        </w:tc>
        <w:tc>
          <w:tcPr>
            <w:tcW w:w="394" w:type="pct"/>
            <w:shd w:val="clear" w:color="auto" w:fill="auto"/>
            <w:noWrap/>
            <w:vAlign w:val="bottom"/>
            <w:hideMark/>
          </w:tcPr>
          <w:p w14:paraId="301D9BF0"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0.30068117</w:t>
            </w:r>
          </w:p>
        </w:tc>
        <w:tc>
          <w:tcPr>
            <w:tcW w:w="394" w:type="pct"/>
            <w:shd w:val="clear" w:color="auto" w:fill="auto"/>
            <w:noWrap/>
            <w:vAlign w:val="bottom"/>
            <w:hideMark/>
          </w:tcPr>
          <w:p w14:paraId="7AF40952"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0.2928</w:t>
            </w:r>
          </w:p>
        </w:tc>
        <w:tc>
          <w:tcPr>
            <w:tcW w:w="394" w:type="pct"/>
            <w:shd w:val="clear" w:color="auto" w:fill="auto"/>
            <w:noWrap/>
            <w:vAlign w:val="bottom"/>
            <w:hideMark/>
          </w:tcPr>
          <w:p w14:paraId="7F168566"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0.3001</w:t>
            </w:r>
          </w:p>
        </w:tc>
        <w:tc>
          <w:tcPr>
            <w:tcW w:w="394" w:type="pct"/>
            <w:shd w:val="clear" w:color="auto" w:fill="auto"/>
            <w:noWrap/>
            <w:vAlign w:val="bottom"/>
            <w:hideMark/>
          </w:tcPr>
          <w:p w14:paraId="1E088894"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0.2863</w:t>
            </w:r>
          </w:p>
        </w:tc>
      </w:tr>
      <w:tr w:rsidR="003A49C8" w:rsidRPr="003A49C8" w14:paraId="506F4559" w14:textId="77777777" w:rsidTr="00541B5B">
        <w:trPr>
          <w:trHeight w:val="300"/>
        </w:trPr>
        <w:tc>
          <w:tcPr>
            <w:tcW w:w="1059" w:type="pct"/>
            <w:shd w:val="clear" w:color="auto" w:fill="auto"/>
            <w:noWrap/>
            <w:vAlign w:val="center"/>
            <w:hideMark/>
          </w:tcPr>
          <w:p w14:paraId="7CCFA65D" w14:textId="69C4D110"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ESGD iShares ESG Aware MSCI EAFE ETF</w:t>
            </w:r>
          </w:p>
        </w:tc>
        <w:tc>
          <w:tcPr>
            <w:tcW w:w="394" w:type="pct"/>
            <w:shd w:val="clear" w:color="auto" w:fill="auto"/>
            <w:noWrap/>
            <w:vAlign w:val="bottom"/>
            <w:hideMark/>
          </w:tcPr>
          <w:p w14:paraId="452E48ED"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0.2614</w:t>
            </w:r>
          </w:p>
        </w:tc>
        <w:tc>
          <w:tcPr>
            <w:tcW w:w="394" w:type="pct"/>
            <w:shd w:val="clear" w:color="auto" w:fill="auto"/>
            <w:noWrap/>
            <w:vAlign w:val="bottom"/>
            <w:hideMark/>
          </w:tcPr>
          <w:p w14:paraId="1BB091C7"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0.2609</w:t>
            </w:r>
          </w:p>
        </w:tc>
        <w:tc>
          <w:tcPr>
            <w:tcW w:w="394" w:type="pct"/>
            <w:shd w:val="clear" w:color="auto" w:fill="auto"/>
            <w:noWrap/>
            <w:vAlign w:val="bottom"/>
            <w:hideMark/>
          </w:tcPr>
          <w:p w14:paraId="5FD5456D"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0.2596</w:t>
            </w:r>
          </w:p>
        </w:tc>
        <w:tc>
          <w:tcPr>
            <w:tcW w:w="394" w:type="pct"/>
            <w:shd w:val="clear" w:color="auto" w:fill="auto"/>
            <w:noWrap/>
            <w:vAlign w:val="bottom"/>
            <w:hideMark/>
          </w:tcPr>
          <w:p w14:paraId="13D5410A"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0.3223</w:t>
            </w:r>
          </w:p>
        </w:tc>
        <w:tc>
          <w:tcPr>
            <w:tcW w:w="394" w:type="pct"/>
            <w:shd w:val="clear" w:color="auto" w:fill="auto"/>
            <w:noWrap/>
            <w:vAlign w:val="bottom"/>
            <w:hideMark/>
          </w:tcPr>
          <w:p w14:paraId="772CD952"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0.31323571</w:t>
            </w:r>
          </w:p>
        </w:tc>
        <w:tc>
          <w:tcPr>
            <w:tcW w:w="394" w:type="pct"/>
            <w:shd w:val="clear" w:color="auto" w:fill="auto"/>
            <w:noWrap/>
            <w:vAlign w:val="bottom"/>
            <w:hideMark/>
          </w:tcPr>
          <w:p w14:paraId="0E9A23F1"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0.26864799</w:t>
            </w:r>
          </w:p>
        </w:tc>
        <w:tc>
          <w:tcPr>
            <w:tcW w:w="394" w:type="pct"/>
            <w:shd w:val="clear" w:color="auto" w:fill="auto"/>
            <w:noWrap/>
            <w:vAlign w:val="bottom"/>
            <w:hideMark/>
          </w:tcPr>
          <w:p w14:paraId="4A617F7C"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0.26937146</w:t>
            </w:r>
          </w:p>
        </w:tc>
        <w:tc>
          <w:tcPr>
            <w:tcW w:w="394" w:type="pct"/>
            <w:shd w:val="clear" w:color="auto" w:fill="auto"/>
            <w:noWrap/>
            <w:vAlign w:val="bottom"/>
            <w:hideMark/>
          </w:tcPr>
          <w:p w14:paraId="196494F6"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0.2815</w:t>
            </w:r>
          </w:p>
        </w:tc>
        <w:tc>
          <w:tcPr>
            <w:tcW w:w="394" w:type="pct"/>
            <w:shd w:val="clear" w:color="auto" w:fill="auto"/>
            <w:noWrap/>
            <w:vAlign w:val="bottom"/>
            <w:hideMark/>
          </w:tcPr>
          <w:p w14:paraId="42B35DD6"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0.2675</w:t>
            </w:r>
          </w:p>
        </w:tc>
        <w:tc>
          <w:tcPr>
            <w:tcW w:w="394" w:type="pct"/>
            <w:shd w:val="clear" w:color="auto" w:fill="auto"/>
            <w:noWrap/>
            <w:vAlign w:val="bottom"/>
            <w:hideMark/>
          </w:tcPr>
          <w:p w14:paraId="7623A49E"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0.2807</w:t>
            </w:r>
          </w:p>
        </w:tc>
      </w:tr>
      <w:tr w:rsidR="003A49C8" w:rsidRPr="003A49C8" w14:paraId="63144BC5" w14:textId="77777777" w:rsidTr="00541B5B">
        <w:trPr>
          <w:trHeight w:val="300"/>
        </w:trPr>
        <w:tc>
          <w:tcPr>
            <w:tcW w:w="1059" w:type="pct"/>
            <w:shd w:val="clear" w:color="auto" w:fill="auto"/>
            <w:noWrap/>
            <w:vAlign w:val="center"/>
            <w:hideMark/>
          </w:tcPr>
          <w:p w14:paraId="57C43C3A" w14:textId="1E54DDA2"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ESGE iShares ESG Aware MSCI EM ETF</w:t>
            </w:r>
          </w:p>
        </w:tc>
        <w:tc>
          <w:tcPr>
            <w:tcW w:w="394" w:type="pct"/>
            <w:shd w:val="clear" w:color="auto" w:fill="auto"/>
            <w:noWrap/>
            <w:vAlign w:val="bottom"/>
            <w:hideMark/>
          </w:tcPr>
          <w:p w14:paraId="1E474F32"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0.2594</w:t>
            </w:r>
          </w:p>
        </w:tc>
        <w:tc>
          <w:tcPr>
            <w:tcW w:w="394" w:type="pct"/>
            <w:shd w:val="clear" w:color="auto" w:fill="auto"/>
            <w:noWrap/>
            <w:vAlign w:val="bottom"/>
            <w:hideMark/>
          </w:tcPr>
          <w:p w14:paraId="30B5E7A3"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0.2574</w:t>
            </w:r>
          </w:p>
        </w:tc>
        <w:tc>
          <w:tcPr>
            <w:tcW w:w="394" w:type="pct"/>
            <w:shd w:val="clear" w:color="auto" w:fill="auto"/>
            <w:noWrap/>
            <w:vAlign w:val="bottom"/>
            <w:hideMark/>
          </w:tcPr>
          <w:p w14:paraId="4D843414"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0.2587</w:t>
            </w:r>
          </w:p>
        </w:tc>
        <w:tc>
          <w:tcPr>
            <w:tcW w:w="394" w:type="pct"/>
            <w:shd w:val="clear" w:color="auto" w:fill="auto"/>
            <w:noWrap/>
            <w:vAlign w:val="bottom"/>
            <w:hideMark/>
          </w:tcPr>
          <w:p w14:paraId="63CEB144"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0.3186</w:t>
            </w:r>
          </w:p>
        </w:tc>
        <w:tc>
          <w:tcPr>
            <w:tcW w:w="394" w:type="pct"/>
            <w:shd w:val="clear" w:color="auto" w:fill="auto"/>
            <w:noWrap/>
            <w:vAlign w:val="bottom"/>
            <w:hideMark/>
          </w:tcPr>
          <w:p w14:paraId="0B735AEB"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0.31620633</w:t>
            </w:r>
          </w:p>
        </w:tc>
        <w:tc>
          <w:tcPr>
            <w:tcW w:w="394" w:type="pct"/>
            <w:shd w:val="clear" w:color="auto" w:fill="auto"/>
            <w:noWrap/>
            <w:vAlign w:val="bottom"/>
            <w:hideMark/>
          </w:tcPr>
          <w:p w14:paraId="63739B59"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0.26768939</w:t>
            </w:r>
          </w:p>
        </w:tc>
        <w:tc>
          <w:tcPr>
            <w:tcW w:w="394" w:type="pct"/>
            <w:shd w:val="clear" w:color="auto" w:fill="auto"/>
            <w:noWrap/>
            <w:vAlign w:val="bottom"/>
            <w:hideMark/>
          </w:tcPr>
          <w:p w14:paraId="651B8517"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0.27606238</w:t>
            </w:r>
          </w:p>
        </w:tc>
        <w:tc>
          <w:tcPr>
            <w:tcW w:w="394" w:type="pct"/>
            <w:shd w:val="clear" w:color="auto" w:fill="auto"/>
            <w:noWrap/>
            <w:vAlign w:val="bottom"/>
            <w:hideMark/>
          </w:tcPr>
          <w:p w14:paraId="6BCDA270"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0.2863</w:t>
            </w:r>
          </w:p>
        </w:tc>
        <w:tc>
          <w:tcPr>
            <w:tcW w:w="394" w:type="pct"/>
            <w:shd w:val="clear" w:color="auto" w:fill="auto"/>
            <w:noWrap/>
            <w:vAlign w:val="bottom"/>
            <w:hideMark/>
          </w:tcPr>
          <w:p w14:paraId="4ADD8FC8"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0.2667</w:t>
            </w:r>
          </w:p>
        </w:tc>
        <w:tc>
          <w:tcPr>
            <w:tcW w:w="394" w:type="pct"/>
            <w:shd w:val="clear" w:color="auto" w:fill="auto"/>
            <w:noWrap/>
            <w:vAlign w:val="bottom"/>
            <w:hideMark/>
          </w:tcPr>
          <w:p w14:paraId="30E1D77B"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0.2756</w:t>
            </w:r>
          </w:p>
        </w:tc>
      </w:tr>
      <w:tr w:rsidR="003A49C8" w:rsidRPr="003A49C8" w14:paraId="05A41105" w14:textId="77777777" w:rsidTr="00541B5B">
        <w:trPr>
          <w:trHeight w:val="300"/>
        </w:trPr>
        <w:tc>
          <w:tcPr>
            <w:tcW w:w="1059" w:type="pct"/>
            <w:shd w:val="clear" w:color="auto" w:fill="auto"/>
            <w:noWrap/>
            <w:vAlign w:val="center"/>
            <w:hideMark/>
          </w:tcPr>
          <w:p w14:paraId="1CABA65A" w14:textId="25B5FBCC" w:rsidR="00456D56" w:rsidRPr="003A49C8" w:rsidRDefault="00456D56" w:rsidP="00456D56">
            <w:pPr>
              <w:spacing w:after="0" w:line="240" w:lineRule="auto"/>
              <w:rPr>
                <w:rFonts w:eastAsia="Times New Roman" w:cs="Times New Roman"/>
                <w:sz w:val="18"/>
                <w:szCs w:val="18"/>
                <w:lang w:val="it-IT"/>
              </w:rPr>
            </w:pPr>
            <w:r w:rsidRPr="003A49C8">
              <w:rPr>
                <w:rFonts w:eastAsia="Times New Roman" w:cs="Times New Roman"/>
                <w:sz w:val="18"/>
                <w:szCs w:val="18"/>
                <w:lang w:val="it-IT"/>
              </w:rPr>
              <w:t>SUSA iShares MSCI USA ESG Select ETF</w:t>
            </w:r>
          </w:p>
        </w:tc>
        <w:tc>
          <w:tcPr>
            <w:tcW w:w="394" w:type="pct"/>
            <w:shd w:val="clear" w:color="auto" w:fill="auto"/>
            <w:noWrap/>
            <w:vAlign w:val="bottom"/>
            <w:hideMark/>
          </w:tcPr>
          <w:p w14:paraId="00197FC0"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0.2682</w:t>
            </w:r>
          </w:p>
        </w:tc>
        <w:tc>
          <w:tcPr>
            <w:tcW w:w="394" w:type="pct"/>
            <w:shd w:val="clear" w:color="auto" w:fill="auto"/>
            <w:noWrap/>
            <w:vAlign w:val="bottom"/>
            <w:hideMark/>
          </w:tcPr>
          <w:p w14:paraId="6D468CF0"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0.2679</w:t>
            </w:r>
          </w:p>
        </w:tc>
        <w:tc>
          <w:tcPr>
            <w:tcW w:w="394" w:type="pct"/>
            <w:shd w:val="clear" w:color="auto" w:fill="auto"/>
            <w:noWrap/>
            <w:vAlign w:val="bottom"/>
            <w:hideMark/>
          </w:tcPr>
          <w:p w14:paraId="4699C920"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0.2679</w:t>
            </w:r>
          </w:p>
        </w:tc>
        <w:tc>
          <w:tcPr>
            <w:tcW w:w="394" w:type="pct"/>
            <w:shd w:val="clear" w:color="auto" w:fill="auto"/>
            <w:noWrap/>
            <w:vAlign w:val="bottom"/>
            <w:hideMark/>
          </w:tcPr>
          <w:p w14:paraId="14C5B482"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0.3368</w:t>
            </w:r>
          </w:p>
        </w:tc>
        <w:tc>
          <w:tcPr>
            <w:tcW w:w="394" w:type="pct"/>
            <w:shd w:val="clear" w:color="auto" w:fill="auto"/>
            <w:noWrap/>
            <w:vAlign w:val="bottom"/>
            <w:hideMark/>
          </w:tcPr>
          <w:p w14:paraId="7FAA9792"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0.32231988</w:t>
            </w:r>
          </w:p>
        </w:tc>
        <w:tc>
          <w:tcPr>
            <w:tcW w:w="394" w:type="pct"/>
            <w:shd w:val="clear" w:color="auto" w:fill="auto"/>
            <w:noWrap/>
            <w:vAlign w:val="bottom"/>
            <w:hideMark/>
          </w:tcPr>
          <w:p w14:paraId="4E85ACA8"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0.27530258</w:t>
            </w:r>
          </w:p>
        </w:tc>
        <w:tc>
          <w:tcPr>
            <w:tcW w:w="394" w:type="pct"/>
            <w:shd w:val="clear" w:color="auto" w:fill="auto"/>
            <w:noWrap/>
            <w:vAlign w:val="bottom"/>
            <w:hideMark/>
          </w:tcPr>
          <w:p w14:paraId="793D832B"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0.28389764</w:t>
            </w:r>
          </w:p>
        </w:tc>
        <w:tc>
          <w:tcPr>
            <w:tcW w:w="394" w:type="pct"/>
            <w:shd w:val="clear" w:color="auto" w:fill="auto"/>
            <w:noWrap/>
            <w:vAlign w:val="bottom"/>
            <w:hideMark/>
          </w:tcPr>
          <w:p w14:paraId="47DDF62B"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0.2842</w:t>
            </w:r>
          </w:p>
        </w:tc>
        <w:tc>
          <w:tcPr>
            <w:tcW w:w="394" w:type="pct"/>
            <w:shd w:val="clear" w:color="auto" w:fill="auto"/>
            <w:noWrap/>
            <w:vAlign w:val="bottom"/>
            <w:hideMark/>
          </w:tcPr>
          <w:p w14:paraId="293998AE"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0.2743</w:t>
            </w:r>
          </w:p>
        </w:tc>
        <w:tc>
          <w:tcPr>
            <w:tcW w:w="394" w:type="pct"/>
            <w:shd w:val="clear" w:color="auto" w:fill="auto"/>
            <w:noWrap/>
            <w:vAlign w:val="bottom"/>
            <w:hideMark/>
          </w:tcPr>
          <w:p w14:paraId="21A30283"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0.2779</w:t>
            </w:r>
          </w:p>
        </w:tc>
      </w:tr>
      <w:tr w:rsidR="003A49C8" w:rsidRPr="003A49C8" w14:paraId="1CBEFB8E" w14:textId="77777777" w:rsidTr="00541B5B">
        <w:trPr>
          <w:trHeight w:val="300"/>
        </w:trPr>
        <w:tc>
          <w:tcPr>
            <w:tcW w:w="1059" w:type="pct"/>
            <w:shd w:val="clear" w:color="auto" w:fill="auto"/>
            <w:noWrap/>
            <w:vAlign w:val="center"/>
            <w:hideMark/>
          </w:tcPr>
          <w:p w14:paraId="022D8D7D" w14:textId="2449EDA3"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ICLN iShares Global Clean Energy ETF</w:t>
            </w:r>
          </w:p>
        </w:tc>
        <w:tc>
          <w:tcPr>
            <w:tcW w:w="394" w:type="pct"/>
            <w:shd w:val="clear" w:color="auto" w:fill="auto"/>
            <w:noWrap/>
            <w:vAlign w:val="bottom"/>
            <w:hideMark/>
          </w:tcPr>
          <w:p w14:paraId="2899AF61"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0.3031</w:t>
            </w:r>
          </w:p>
        </w:tc>
        <w:tc>
          <w:tcPr>
            <w:tcW w:w="394" w:type="pct"/>
            <w:shd w:val="clear" w:color="auto" w:fill="auto"/>
            <w:noWrap/>
            <w:vAlign w:val="bottom"/>
            <w:hideMark/>
          </w:tcPr>
          <w:p w14:paraId="2AE9F435"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0.3034</w:t>
            </w:r>
          </w:p>
        </w:tc>
        <w:tc>
          <w:tcPr>
            <w:tcW w:w="394" w:type="pct"/>
            <w:shd w:val="clear" w:color="auto" w:fill="auto"/>
            <w:noWrap/>
            <w:vAlign w:val="bottom"/>
            <w:hideMark/>
          </w:tcPr>
          <w:p w14:paraId="6C4A692C"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0.2995</w:t>
            </w:r>
          </w:p>
        </w:tc>
        <w:tc>
          <w:tcPr>
            <w:tcW w:w="394" w:type="pct"/>
            <w:shd w:val="clear" w:color="auto" w:fill="auto"/>
            <w:noWrap/>
            <w:vAlign w:val="bottom"/>
            <w:hideMark/>
          </w:tcPr>
          <w:p w14:paraId="7DB1A79B"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0.2919</w:t>
            </w:r>
          </w:p>
        </w:tc>
        <w:tc>
          <w:tcPr>
            <w:tcW w:w="394" w:type="pct"/>
            <w:shd w:val="clear" w:color="auto" w:fill="auto"/>
            <w:noWrap/>
            <w:vAlign w:val="bottom"/>
            <w:hideMark/>
          </w:tcPr>
          <w:p w14:paraId="2377D16F"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0.30098276</w:t>
            </w:r>
          </w:p>
        </w:tc>
        <w:tc>
          <w:tcPr>
            <w:tcW w:w="394" w:type="pct"/>
            <w:shd w:val="clear" w:color="auto" w:fill="auto"/>
            <w:noWrap/>
            <w:vAlign w:val="bottom"/>
            <w:hideMark/>
          </w:tcPr>
          <w:p w14:paraId="46AA46FF"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0.30526939</w:t>
            </w:r>
          </w:p>
        </w:tc>
        <w:tc>
          <w:tcPr>
            <w:tcW w:w="394" w:type="pct"/>
            <w:shd w:val="clear" w:color="auto" w:fill="auto"/>
            <w:noWrap/>
            <w:vAlign w:val="bottom"/>
            <w:hideMark/>
          </w:tcPr>
          <w:p w14:paraId="0D727CE8"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0.29978003</w:t>
            </w:r>
          </w:p>
        </w:tc>
        <w:tc>
          <w:tcPr>
            <w:tcW w:w="394" w:type="pct"/>
            <w:shd w:val="clear" w:color="auto" w:fill="auto"/>
            <w:noWrap/>
            <w:vAlign w:val="bottom"/>
            <w:hideMark/>
          </w:tcPr>
          <w:p w14:paraId="7C2E82B4"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0.2802</w:t>
            </w:r>
          </w:p>
        </w:tc>
        <w:tc>
          <w:tcPr>
            <w:tcW w:w="394" w:type="pct"/>
            <w:shd w:val="clear" w:color="auto" w:fill="auto"/>
            <w:noWrap/>
            <w:vAlign w:val="bottom"/>
            <w:hideMark/>
          </w:tcPr>
          <w:p w14:paraId="1F593CF6"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0.2894</w:t>
            </w:r>
          </w:p>
        </w:tc>
        <w:tc>
          <w:tcPr>
            <w:tcW w:w="394" w:type="pct"/>
            <w:shd w:val="clear" w:color="auto" w:fill="auto"/>
            <w:noWrap/>
            <w:vAlign w:val="bottom"/>
            <w:hideMark/>
          </w:tcPr>
          <w:p w14:paraId="3D846FBA"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0.2922</w:t>
            </w:r>
          </w:p>
        </w:tc>
      </w:tr>
      <w:tr w:rsidR="003A49C8" w:rsidRPr="003A49C8" w14:paraId="673E4069" w14:textId="77777777" w:rsidTr="00541B5B">
        <w:trPr>
          <w:trHeight w:val="300"/>
        </w:trPr>
        <w:tc>
          <w:tcPr>
            <w:tcW w:w="1059" w:type="pct"/>
            <w:shd w:val="clear" w:color="auto" w:fill="auto"/>
            <w:noWrap/>
            <w:vAlign w:val="center"/>
            <w:hideMark/>
          </w:tcPr>
          <w:p w14:paraId="65C526EA" w14:textId="612B58AB"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TAN Invesco Solar ETF</w:t>
            </w:r>
          </w:p>
        </w:tc>
        <w:tc>
          <w:tcPr>
            <w:tcW w:w="394" w:type="pct"/>
            <w:shd w:val="clear" w:color="auto" w:fill="auto"/>
            <w:noWrap/>
            <w:vAlign w:val="bottom"/>
            <w:hideMark/>
          </w:tcPr>
          <w:p w14:paraId="5772BEEA"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0.2776</w:t>
            </w:r>
          </w:p>
        </w:tc>
        <w:tc>
          <w:tcPr>
            <w:tcW w:w="394" w:type="pct"/>
            <w:shd w:val="clear" w:color="auto" w:fill="auto"/>
            <w:noWrap/>
            <w:vAlign w:val="bottom"/>
            <w:hideMark/>
          </w:tcPr>
          <w:p w14:paraId="68130407"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0.2753</w:t>
            </w:r>
          </w:p>
        </w:tc>
        <w:tc>
          <w:tcPr>
            <w:tcW w:w="394" w:type="pct"/>
            <w:shd w:val="clear" w:color="auto" w:fill="auto"/>
            <w:noWrap/>
            <w:vAlign w:val="bottom"/>
            <w:hideMark/>
          </w:tcPr>
          <w:p w14:paraId="3C8E6566"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0.2738</w:t>
            </w:r>
          </w:p>
        </w:tc>
        <w:tc>
          <w:tcPr>
            <w:tcW w:w="394" w:type="pct"/>
            <w:shd w:val="clear" w:color="auto" w:fill="auto"/>
            <w:noWrap/>
            <w:vAlign w:val="bottom"/>
            <w:hideMark/>
          </w:tcPr>
          <w:p w14:paraId="3DD4C043"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0.3364</w:t>
            </w:r>
          </w:p>
        </w:tc>
        <w:tc>
          <w:tcPr>
            <w:tcW w:w="394" w:type="pct"/>
            <w:shd w:val="clear" w:color="auto" w:fill="auto"/>
            <w:noWrap/>
            <w:vAlign w:val="bottom"/>
            <w:hideMark/>
          </w:tcPr>
          <w:p w14:paraId="25E0ABC0"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0.32903488</w:t>
            </w:r>
          </w:p>
        </w:tc>
        <w:tc>
          <w:tcPr>
            <w:tcW w:w="394" w:type="pct"/>
            <w:shd w:val="clear" w:color="auto" w:fill="auto"/>
            <w:noWrap/>
            <w:vAlign w:val="bottom"/>
            <w:hideMark/>
          </w:tcPr>
          <w:p w14:paraId="37299D52"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0.28309416</w:t>
            </w:r>
          </w:p>
        </w:tc>
        <w:tc>
          <w:tcPr>
            <w:tcW w:w="394" w:type="pct"/>
            <w:shd w:val="clear" w:color="auto" w:fill="auto"/>
            <w:noWrap/>
            <w:vAlign w:val="bottom"/>
            <w:hideMark/>
          </w:tcPr>
          <w:p w14:paraId="528531F2"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0.28993218</w:t>
            </w:r>
          </w:p>
        </w:tc>
        <w:tc>
          <w:tcPr>
            <w:tcW w:w="394" w:type="pct"/>
            <w:shd w:val="clear" w:color="auto" w:fill="auto"/>
            <w:noWrap/>
            <w:vAlign w:val="bottom"/>
            <w:hideMark/>
          </w:tcPr>
          <w:p w14:paraId="5ADA04FA"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0.2983</w:t>
            </w:r>
          </w:p>
        </w:tc>
        <w:tc>
          <w:tcPr>
            <w:tcW w:w="394" w:type="pct"/>
            <w:shd w:val="clear" w:color="auto" w:fill="auto"/>
            <w:noWrap/>
            <w:vAlign w:val="bottom"/>
            <w:hideMark/>
          </w:tcPr>
          <w:p w14:paraId="78FDD285"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0.2858</w:t>
            </w:r>
          </w:p>
        </w:tc>
        <w:tc>
          <w:tcPr>
            <w:tcW w:w="394" w:type="pct"/>
            <w:shd w:val="clear" w:color="auto" w:fill="auto"/>
            <w:noWrap/>
            <w:vAlign w:val="bottom"/>
            <w:hideMark/>
          </w:tcPr>
          <w:p w14:paraId="3C822124"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0.2789</w:t>
            </w:r>
          </w:p>
        </w:tc>
      </w:tr>
      <w:tr w:rsidR="003A49C8" w:rsidRPr="003A49C8" w14:paraId="2566B9BA" w14:textId="77777777" w:rsidTr="00541B5B">
        <w:trPr>
          <w:trHeight w:val="300"/>
        </w:trPr>
        <w:tc>
          <w:tcPr>
            <w:tcW w:w="1059" w:type="pct"/>
            <w:shd w:val="clear" w:color="auto" w:fill="auto"/>
            <w:noWrap/>
            <w:vAlign w:val="center"/>
            <w:hideMark/>
          </w:tcPr>
          <w:p w14:paraId="5A39F048" w14:textId="21D6D3E5"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XSOE WisdomTree Emerging Markets ex-State-Owned Enterprises Fund</w:t>
            </w:r>
          </w:p>
        </w:tc>
        <w:tc>
          <w:tcPr>
            <w:tcW w:w="394" w:type="pct"/>
            <w:shd w:val="clear" w:color="auto" w:fill="auto"/>
            <w:noWrap/>
            <w:vAlign w:val="bottom"/>
            <w:hideMark/>
          </w:tcPr>
          <w:p w14:paraId="7BC3E8D2"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0.2776</w:t>
            </w:r>
          </w:p>
        </w:tc>
        <w:tc>
          <w:tcPr>
            <w:tcW w:w="394" w:type="pct"/>
            <w:shd w:val="clear" w:color="auto" w:fill="auto"/>
            <w:noWrap/>
            <w:vAlign w:val="bottom"/>
            <w:hideMark/>
          </w:tcPr>
          <w:p w14:paraId="25C7CB5C"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0.2753</w:t>
            </w:r>
          </w:p>
        </w:tc>
        <w:tc>
          <w:tcPr>
            <w:tcW w:w="394" w:type="pct"/>
            <w:shd w:val="clear" w:color="auto" w:fill="auto"/>
            <w:noWrap/>
            <w:vAlign w:val="bottom"/>
            <w:hideMark/>
          </w:tcPr>
          <w:p w14:paraId="7CD140B1"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0.2738</w:t>
            </w:r>
          </w:p>
        </w:tc>
        <w:tc>
          <w:tcPr>
            <w:tcW w:w="394" w:type="pct"/>
            <w:shd w:val="clear" w:color="auto" w:fill="auto"/>
            <w:noWrap/>
            <w:vAlign w:val="bottom"/>
            <w:hideMark/>
          </w:tcPr>
          <w:p w14:paraId="02ABAFF4"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0.3368</w:t>
            </w:r>
          </w:p>
        </w:tc>
        <w:tc>
          <w:tcPr>
            <w:tcW w:w="394" w:type="pct"/>
            <w:shd w:val="clear" w:color="auto" w:fill="auto"/>
            <w:noWrap/>
            <w:vAlign w:val="bottom"/>
            <w:hideMark/>
          </w:tcPr>
          <w:p w14:paraId="0F89DB9E"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0.32511355</w:t>
            </w:r>
          </w:p>
        </w:tc>
        <w:tc>
          <w:tcPr>
            <w:tcW w:w="394" w:type="pct"/>
            <w:shd w:val="clear" w:color="auto" w:fill="auto"/>
            <w:noWrap/>
            <w:vAlign w:val="bottom"/>
            <w:hideMark/>
          </w:tcPr>
          <w:p w14:paraId="36BAE3D0"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0.28336148</w:t>
            </w:r>
          </w:p>
        </w:tc>
        <w:tc>
          <w:tcPr>
            <w:tcW w:w="394" w:type="pct"/>
            <w:shd w:val="clear" w:color="auto" w:fill="auto"/>
            <w:noWrap/>
            <w:vAlign w:val="bottom"/>
            <w:hideMark/>
          </w:tcPr>
          <w:p w14:paraId="3AC281DF"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0.28993218</w:t>
            </w:r>
          </w:p>
        </w:tc>
        <w:tc>
          <w:tcPr>
            <w:tcW w:w="394" w:type="pct"/>
            <w:shd w:val="clear" w:color="auto" w:fill="auto"/>
            <w:noWrap/>
            <w:vAlign w:val="bottom"/>
            <w:hideMark/>
          </w:tcPr>
          <w:p w14:paraId="52FD23A6"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0.2962</w:t>
            </w:r>
          </w:p>
        </w:tc>
        <w:tc>
          <w:tcPr>
            <w:tcW w:w="394" w:type="pct"/>
            <w:shd w:val="clear" w:color="auto" w:fill="auto"/>
            <w:noWrap/>
            <w:vAlign w:val="bottom"/>
            <w:hideMark/>
          </w:tcPr>
          <w:p w14:paraId="544D76C3"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0.2858</w:t>
            </w:r>
          </w:p>
        </w:tc>
        <w:tc>
          <w:tcPr>
            <w:tcW w:w="394" w:type="pct"/>
            <w:shd w:val="clear" w:color="auto" w:fill="auto"/>
            <w:noWrap/>
            <w:vAlign w:val="bottom"/>
            <w:hideMark/>
          </w:tcPr>
          <w:p w14:paraId="3AD2006A"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0.2789</w:t>
            </w:r>
          </w:p>
        </w:tc>
      </w:tr>
      <w:tr w:rsidR="003A49C8" w:rsidRPr="003A49C8" w14:paraId="17F35BD6" w14:textId="77777777" w:rsidTr="00541B5B">
        <w:trPr>
          <w:trHeight w:val="300"/>
        </w:trPr>
        <w:tc>
          <w:tcPr>
            <w:tcW w:w="1059" w:type="pct"/>
            <w:shd w:val="clear" w:color="auto" w:fill="auto"/>
            <w:noWrap/>
            <w:vAlign w:val="center"/>
            <w:hideMark/>
          </w:tcPr>
          <w:p w14:paraId="70EFD887" w14:textId="0F8A622F"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SPYX SPDR S&amp;P 500 Fossil Fuel Reserves Free ETF</w:t>
            </w:r>
          </w:p>
        </w:tc>
        <w:tc>
          <w:tcPr>
            <w:tcW w:w="394" w:type="pct"/>
            <w:shd w:val="clear" w:color="auto" w:fill="auto"/>
            <w:noWrap/>
            <w:vAlign w:val="bottom"/>
            <w:hideMark/>
          </w:tcPr>
          <w:p w14:paraId="3C52A995"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0.2784</w:t>
            </w:r>
          </w:p>
        </w:tc>
        <w:tc>
          <w:tcPr>
            <w:tcW w:w="394" w:type="pct"/>
            <w:shd w:val="clear" w:color="auto" w:fill="auto"/>
            <w:noWrap/>
            <w:vAlign w:val="bottom"/>
            <w:hideMark/>
          </w:tcPr>
          <w:p w14:paraId="4A407A64"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0.2751</w:t>
            </w:r>
          </w:p>
        </w:tc>
        <w:tc>
          <w:tcPr>
            <w:tcW w:w="394" w:type="pct"/>
            <w:shd w:val="clear" w:color="auto" w:fill="auto"/>
            <w:noWrap/>
            <w:vAlign w:val="bottom"/>
            <w:hideMark/>
          </w:tcPr>
          <w:p w14:paraId="26A43030"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0.2766</w:t>
            </w:r>
          </w:p>
        </w:tc>
        <w:tc>
          <w:tcPr>
            <w:tcW w:w="394" w:type="pct"/>
            <w:shd w:val="clear" w:color="auto" w:fill="auto"/>
            <w:noWrap/>
            <w:vAlign w:val="bottom"/>
            <w:hideMark/>
          </w:tcPr>
          <w:p w14:paraId="03D95D76"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0.3368</w:t>
            </w:r>
          </w:p>
        </w:tc>
        <w:tc>
          <w:tcPr>
            <w:tcW w:w="394" w:type="pct"/>
            <w:shd w:val="clear" w:color="auto" w:fill="auto"/>
            <w:noWrap/>
            <w:vAlign w:val="bottom"/>
            <w:hideMark/>
          </w:tcPr>
          <w:p w14:paraId="44E317F0"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0.3315799</w:t>
            </w:r>
          </w:p>
        </w:tc>
        <w:tc>
          <w:tcPr>
            <w:tcW w:w="394" w:type="pct"/>
            <w:shd w:val="clear" w:color="auto" w:fill="auto"/>
            <w:noWrap/>
            <w:vAlign w:val="bottom"/>
            <w:hideMark/>
          </w:tcPr>
          <w:p w14:paraId="571A2223"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0.2863357</w:t>
            </w:r>
          </w:p>
        </w:tc>
        <w:tc>
          <w:tcPr>
            <w:tcW w:w="394" w:type="pct"/>
            <w:shd w:val="clear" w:color="auto" w:fill="auto"/>
            <w:noWrap/>
            <w:vAlign w:val="bottom"/>
            <w:hideMark/>
          </w:tcPr>
          <w:p w14:paraId="209C6B4A"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0.29077501</w:t>
            </w:r>
          </w:p>
        </w:tc>
        <w:tc>
          <w:tcPr>
            <w:tcW w:w="394" w:type="pct"/>
            <w:shd w:val="clear" w:color="auto" w:fill="auto"/>
            <w:noWrap/>
            <w:vAlign w:val="bottom"/>
            <w:hideMark/>
          </w:tcPr>
          <w:p w14:paraId="2BCCAFCE"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0.2908</w:t>
            </w:r>
          </w:p>
        </w:tc>
        <w:tc>
          <w:tcPr>
            <w:tcW w:w="394" w:type="pct"/>
            <w:shd w:val="clear" w:color="auto" w:fill="auto"/>
            <w:noWrap/>
            <w:vAlign w:val="bottom"/>
            <w:hideMark/>
          </w:tcPr>
          <w:p w14:paraId="668134F8"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0.2839</w:t>
            </w:r>
          </w:p>
        </w:tc>
        <w:tc>
          <w:tcPr>
            <w:tcW w:w="394" w:type="pct"/>
            <w:shd w:val="clear" w:color="auto" w:fill="auto"/>
            <w:noWrap/>
            <w:vAlign w:val="bottom"/>
            <w:hideMark/>
          </w:tcPr>
          <w:p w14:paraId="05DA04B6"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0.2786</w:t>
            </w:r>
          </w:p>
        </w:tc>
      </w:tr>
      <w:tr w:rsidR="003A49C8" w:rsidRPr="003A49C8" w14:paraId="0B0D22A1" w14:textId="77777777" w:rsidTr="00541B5B">
        <w:trPr>
          <w:trHeight w:val="300"/>
        </w:trPr>
        <w:tc>
          <w:tcPr>
            <w:tcW w:w="1059" w:type="pct"/>
            <w:shd w:val="clear" w:color="auto" w:fill="auto"/>
            <w:noWrap/>
            <w:vAlign w:val="center"/>
            <w:hideMark/>
          </w:tcPr>
          <w:p w14:paraId="6E16F08A" w14:textId="73AE2272"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 xml:space="preserve">iShares ESG MSCI </w:t>
            </w:r>
            <w:r w:rsidR="005E448C" w:rsidRPr="003A49C8">
              <w:rPr>
                <w:rFonts w:eastAsia="Times New Roman" w:cs="Times New Roman"/>
                <w:sz w:val="18"/>
                <w:szCs w:val="18"/>
              </w:rPr>
              <w:t xml:space="preserve">USA Leaders </w:t>
            </w:r>
            <w:r w:rsidRPr="003A49C8">
              <w:rPr>
                <w:rFonts w:eastAsia="Times New Roman" w:cs="Times New Roman"/>
                <w:sz w:val="18"/>
                <w:szCs w:val="18"/>
              </w:rPr>
              <w:t>ETF</w:t>
            </w:r>
          </w:p>
        </w:tc>
        <w:tc>
          <w:tcPr>
            <w:tcW w:w="394" w:type="pct"/>
            <w:shd w:val="clear" w:color="auto" w:fill="auto"/>
            <w:noWrap/>
            <w:vAlign w:val="bottom"/>
            <w:hideMark/>
          </w:tcPr>
          <w:p w14:paraId="0116C922" w14:textId="018DEED0"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w:t>
            </w:r>
            <w:r w:rsidR="005E448C" w:rsidRPr="003A49C8">
              <w:rPr>
                <w:rFonts w:eastAsia="Times New Roman" w:cs="Times New Roman"/>
                <w:sz w:val="18"/>
                <w:szCs w:val="18"/>
              </w:rPr>
              <w:t>606</w:t>
            </w:r>
          </w:p>
        </w:tc>
        <w:tc>
          <w:tcPr>
            <w:tcW w:w="394" w:type="pct"/>
            <w:shd w:val="clear" w:color="auto" w:fill="auto"/>
            <w:noWrap/>
            <w:vAlign w:val="bottom"/>
            <w:hideMark/>
          </w:tcPr>
          <w:p w14:paraId="622EDF83" w14:textId="0C721945"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0.25</w:t>
            </w:r>
            <w:r w:rsidR="005E448C" w:rsidRPr="003A49C8">
              <w:rPr>
                <w:rFonts w:eastAsia="Times New Roman" w:cs="Times New Roman"/>
                <w:sz w:val="18"/>
                <w:szCs w:val="18"/>
              </w:rPr>
              <w:t>84</w:t>
            </w:r>
          </w:p>
        </w:tc>
        <w:tc>
          <w:tcPr>
            <w:tcW w:w="394" w:type="pct"/>
            <w:shd w:val="clear" w:color="auto" w:fill="auto"/>
            <w:noWrap/>
            <w:vAlign w:val="bottom"/>
            <w:hideMark/>
          </w:tcPr>
          <w:p w14:paraId="3B418D57" w14:textId="038DD4FD"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0.25</w:t>
            </w:r>
            <w:r w:rsidR="005E448C" w:rsidRPr="003A49C8">
              <w:rPr>
                <w:rFonts w:eastAsia="Times New Roman" w:cs="Times New Roman"/>
                <w:sz w:val="18"/>
                <w:szCs w:val="18"/>
              </w:rPr>
              <w:t>99</w:t>
            </w:r>
          </w:p>
        </w:tc>
        <w:tc>
          <w:tcPr>
            <w:tcW w:w="394" w:type="pct"/>
            <w:shd w:val="clear" w:color="auto" w:fill="auto"/>
            <w:noWrap/>
            <w:vAlign w:val="bottom"/>
            <w:hideMark/>
          </w:tcPr>
          <w:p w14:paraId="5CD8255C" w14:textId="75AB7E8D"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0.31</w:t>
            </w:r>
            <w:r w:rsidR="005E448C" w:rsidRPr="003A49C8">
              <w:rPr>
                <w:rFonts w:eastAsia="Times New Roman" w:cs="Times New Roman"/>
                <w:sz w:val="18"/>
                <w:szCs w:val="18"/>
              </w:rPr>
              <w:t>98</w:t>
            </w:r>
          </w:p>
        </w:tc>
        <w:tc>
          <w:tcPr>
            <w:tcW w:w="394" w:type="pct"/>
            <w:shd w:val="clear" w:color="auto" w:fill="auto"/>
            <w:noWrap/>
            <w:vAlign w:val="bottom"/>
            <w:hideMark/>
          </w:tcPr>
          <w:p w14:paraId="6B1E23B2" w14:textId="1CD87A1F"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0.31</w:t>
            </w:r>
            <w:r w:rsidR="005E448C" w:rsidRPr="003A49C8">
              <w:rPr>
                <w:rFonts w:eastAsia="Times New Roman" w:cs="Times New Roman"/>
                <w:sz w:val="18"/>
                <w:szCs w:val="18"/>
              </w:rPr>
              <w:t>74363</w:t>
            </w:r>
          </w:p>
        </w:tc>
        <w:tc>
          <w:tcPr>
            <w:tcW w:w="394" w:type="pct"/>
            <w:shd w:val="clear" w:color="auto" w:fill="auto"/>
            <w:noWrap/>
            <w:vAlign w:val="bottom"/>
            <w:hideMark/>
          </w:tcPr>
          <w:p w14:paraId="7E4C455E" w14:textId="46EC9C28"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0.26</w:t>
            </w:r>
            <w:r w:rsidR="005E448C" w:rsidRPr="003A49C8">
              <w:rPr>
                <w:rFonts w:eastAsia="Times New Roman" w:cs="Times New Roman"/>
                <w:sz w:val="18"/>
                <w:szCs w:val="18"/>
              </w:rPr>
              <w:t>89194</w:t>
            </w:r>
          </w:p>
        </w:tc>
        <w:tc>
          <w:tcPr>
            <w:tcW w:w="394" w:type="pct"/>
            <w:shd w:val="clear" w:color="auto" w:fill="auto"/>
            <w:noWrap/>
            <w:vAlign w:val="bottom"/>
            <w:hideMark/>
          </w:tcPr>
          <w:p w14:paraId="4F0E21F5" w14:textId="6B96DAB2"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0.27</w:t>
            </w:r>
            <w:r w:rsidR="005E448C" w:rsidRPr="003A49C8">
              <w:rPr>
                <w:rFonts w:eastAsia="Times New Roman" w:cs="Times New Roman"/>
                <w:sz w:val="18"/>
                <w:szCs w:val="18"/>
              </w:rPr>
              <w:t>729238</w:t>
            </w:r>
          </w:p>
        </w:tc>
        <w:tc>
          <w:tcPr>
            <w:tcW w:w="394" w:type="pct"/>
            <w:shd w:val="clear" w:color="auto" w:fill="auto"/>
            <w:noWrap/>
            <w:vAlign w:val="bottom"/>
            <w:hideMark/>
          </w:tcPr>
          <w:p w14:paraId="6C3982C0" w14:textId="557ABF20"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0.28</w:t>
            </w:r>
            <w:r w:rsidR="005E448C" w:rsidRPr="003A49C8">
              <w:rPr>
                <w:rFonts w:eastAsia="Times New Roman" w:cs="Times New Roman"/>
                <w:sz w:val="18"/>
                <w:szCs w:val="18"/>
              </w:rPr>
              <w:t>75</w:t>
            </w:r>
          </w:p>
        </w:tc>
        <w:tc>
          <w:tcPr>
            <w:tcW w:w="394" w:type="pct"/>
            <w:shd w:val="clear" w:color="auto" w:fill="auto"/>
            <w:noWrap/>
            <w:vAlign w:val="bottom"/>
            <w:hideMark/>
          </w:tcPr>
          <w:p w14:paraId="7559FC47" w14:textId="575B3094"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0.26</w:t>
            </w:r>
            <w:r w:rsidR="005E448C" w:rsidRPr="003A49C8">
              <w:rPr>
                <w:rFonts w:eastAsia="Times New Roman" w:cs="Times New Roman"/>
                <w:sz w:val="18"/>
                <w:szCs w:val="18"/>
              </w:rPr>
              <w:t>79</w:t>
            </w:r>
          </w:p>
        </w:tc>
        <w:tc>
          <w:tcPr>
            <w:tcW w:w="394" w:type="pct"/>
            <w:shd w:val="clear" w:color="auto" w:fill="auto"/>
            <w:noWrap/>
            <w:vAlign w:val="bottom"/>
            <w:hideMark/>
          </w:tcPr>
          <w:p w14:paraId="18302BCD" w14:textId="02EEBD19"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0.27</w:t>
            </w:r>
            <w:r w:rsidR="005E448C" w:rsidRPr="003A49C8">
              <w:rPr>
                <w:rFonts w:eastAsia="Times New Roman" w:cs="Times New Roman"/>
                <w:sz w:val="18"/>
                <w:szCs w:val="18"/>
              </w:rPr>
              <w:t>68</w:t>
            </w:r>
          </w:p>
        </w:tc>
      </w:tr>
      <w:tr w:rsidR="003A49C8" w:rsidRPr="003A49C8" w14:paraId="50904A31" w14:textId="77777777" w:rsidTr="00541B5B">
        <w:trPr>
          <w:trHeight w:val="300"/>
        </w:trPr>
        <w:tc>
          <w:tcPr>
            <w:tcW w:w="1059" w:type="pct"/>
            <w:shd w:val="clear" w:color="auto" w:fill="auto"/>
            <w:noWrap/>
            <w:vAlign w:val="center"/>
            <w:hideMark/>
          </w:tcPr>
          <w:p w14:paraId="11F63516" w14:textId="1418FEBE"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 xml:space="preserve">PBW Invesco </w:t>
            </w:r>
            <w:proofErr w:type="spellStart"/>
            <w:r w:rsidRPr="003A49C8">
              <w:rPr>
                <w:rFonts w:eastAsia="Times New Roman" w:cs="Times New Roman"/>
                <w:sz w:val="18"/>
                <w:szCs w:val="18"/>
              </w:rPr>
              <w:t>WilderHill</w:t>
            </w:r>
            <w:proofErr w:type="spellEnd"/>
            <w:r w:rsidRPr="003A49C8">
              <w:rPr>
                <w:rFonts w:eastAsia="Times New Roman" w:cs="Times New Roman"/>
                <w:sz w:val="18"/>
                <w:szCs w:val="18"/>
              </w:rPr>
              <w:t xml:space="preserve"> Clean Energy ETF</w:t>
            </w:r>
          </w:p>
        </w:tc>
        <w:tc>
          <w:tcPr>
            <w:tcW w:w="394" w:type="pct"/>
            <w:shd w:val="clear" w:color="auto" w:fill="auto"/>
            <w:noWrap/>
            <w:vAlign w:val="bottom"/>
            <w:hideMark/>
          </w:tcPr>
          <w:p w14:paraId="2D5F421E"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0.2699</w:t>
            </w:r>
          </w:p>
        </w:tc>
        <w:tc>
          <w:tcPr>
            <w:tcW w:w="394" w:type="pct"/>
            <w:shd w:val="clear" w:color="auto" w:fill="auto"/>
            <w:noWrap/>
            <w:vAlign w:val="bottom"/>
            <w:hideMark/>
          </w:tcPr>
          <w:p w14:paraId="3A784A6C"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0.2696</w:t>
            </w:r>
          </w:p>
        </w:tc>
        <w:tc>
          <w:tcPr>
            <w:tcW w:w="394" w:type="pct"/>
            <w:shd w:val="clear" w:color="auto" w:fill="auto"/>
            <w:noWrap/>
            <w:vAlign w:val="bottom"/>
            <w:hideMark/>
          </w:tcPr>
          <w:p w14:paraId="33CBDCB0"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0.2706</w:t>
            </w:r>
          </w:p>
        </w:tc>
        <w:tc>
          <w:tcPr>
            <w:tcW w:w="394" w:type="pct"/>
            <w:shd w:val="clear" w:color="auto" w:fill="auto"/>
            <w:noWrap/>
            <w:vAlign w:val="bottom"/>
            <w:hideMark/>
          </w:tcPr>
          <w:p w14:paraId="2EDE2268"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0.3323</w:t>
            </w:r>
          </w:p>
        </w:tc>
        <w:tc>
          <w:tcPr>
            <w:tcW w:w="394" w:type="pct"/>
            <w:shd w:val="clear" w:color="auto" w:fill="auto"/>
            <w:noWrap/>
            <w:vAlign w:val="bottom"/>
            <w:hideMark/>
          </w:tcPr>
          <w:p w14:paraId="1ADABAC9"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0.32511355</w:t>
            </w:r>
          </w:p>
        </w:tc>
        <w:tc>
          <w:tcPr>
            <w:tcW w:w="394" w:type="pct"/>
            <w:shd w:val="clear" w:color="auto" w:fill="auto"/>
            <w:noWrap/>
            <w:vAlign w:val="bottom"/>
            <w:hideMark/>
          </w:tcPr>
          <w:p w14:paraId="543C840A"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0.27759464</w:t>
            </w:r>
          </w:p>
        </w:tc>
        <w:tc>
          <w:tcPr>
            <w:tcW w:w="394" w:type="pct"/>
            <w:shd w:val="clear" w:color="auto" w:fill="auto"/>
            <w:noWrap/>
            <w:vAlign w:val="bottom"/>
            <w:hideMark/>
          </w:tcPr>
          <w:p w14:paraId="30A2575D"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0.28389764</w:t>
            </w:r>
          </w:p>
        </w:tc>
        <w:tc>
          <w:tcPr>
            <w:tcW w:w="394" w:type="pct"/>
            <w:shd w:val="clear" w:color="auto" w:fill="auto"/>
            <w:noWrap/>
            <w:vAlign w:val="bottom"/>
            <w:hideMark/>
          </w:tcPr>
          <w:p w14:paraId="5EFE5B8E"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0.2842</w:t>
            </w:r>
          </w:p>
        </w:tc>
        <w:tc>
          <w:tcPr>
            <w:tcW w:w="394" w:type="pct"/>
            <w:shd w:val="clear" w:color="auto" w:fill="auto"/>
            <w:noWrap/>
            <w:vAlign w:val="bottom"/>
            <w:hideMark/>
          </w:tcPr>
          <w:p w14:paraId="5F0B4F72"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0.2766</w:t>
            </w:r>
          </w:p>
        </w:tc>
        <w:tc>
          <w:tcPr>
            <w:tcW w:w="394" w:type="pct"/>
            <w:shd w:val="clear" w:color="auto" w:fill="auto"/>
            <w:noWrap/>
            <w:vAlign w:val="bottom"/>
            <w:hideMark/>
          </w:tcPr>
          <w:p w14:paraId="4FF3A1BA"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0.2804</w:t>
            </w:r>
          </w:p>
        </w:tc>
      </w:tr>
      <w:tr w:rsidR="003A49C8" w:rsidRPr="003A49C8" w14:paraId="756B16DB" w14:textId="77777777" w:rsidTr="00AA49B7">
        <w:trPr>
          <w:trHeight w:val="300"/>
        </w:trPr>
        <w:tc>
          <w:tcPr>
            <w:tcW w:w="1059" w:type="pct"/>
            <w:shd w:val="clear" w:color="auto" w:fill="auto"/>
            <w:noWrap/>
            <w:vAlign w:val="bottom"/>
            <w:hideMark/>
          </w:tcPr>
          <w:p w14:paraId="4A7B09AD" w14:textId="77777777" w:rsidR="00613783" w:rsidRPr="003A49C8" w:rsidRDefault="00613783" w:rsidP="00456D56">
            <w:pPr>
              <w:spacing w:after="0" w:line="240" w:lineRule="auto"/>
              <w:rPr>
                <w:rFonts w:eastAsia="Times New Roman" w:cs="Times New Roman"/>
                <w:b/>
                <w:bCs/>
                <w:sz w:val="18"/>
                <w:szCs w:val="18"/>
              </w:rPr>
            </w:pPr>
            <w:r w:rsidRPr="003A49C8">
              <w:rPr>
                <w:rFonts w:eastAsia="Times New Roman" w:cs="Times New Roman"/>
                <w:b/>
                <w:bCs/>
                <w:sz w:val="18"/>
                <w:szCs w:val="18"/>
              </w:rPr>
              <w:t>Average</w:t>
            </w:r>
          </w:p>
        </w:tc>
        <w:tc>
          <w:tcPr>
            <w:tcW w:w="394" w:type="pct"/>
            <w:shd w:val="clear" w:color="auto" w:fill="auto"/>
            <w:noWrap/>
            <w:vAlign w:val="bottom"/>
            <w:hideMark/>
          </w:tcPr>
          <w:p w14:paraId="6D2EFD73" w14:textId="0F8D9F40" w:rsidR="00613783" w:rsidRPr="003A49C8" w:rsidRDefault="00613783" w:rsidP="00456D56">
            <w:pPr>
              <w:spacing w:after="0" w:line="240" w:lineRule="auto"/>
              <w:rPr>
                <w:rFonts w:eastAsia="Times New Roman" w:cs="Times New Roman"/>
                <w:b/>
                <w:bCs/>
                <w:sz w:val="18"/>
                <w:szCs w:val="18"/>
              </w:rPr>
            </w:pPr>
            <w:r w:rsidRPr="003A49C8">
              <w:rPr>
                <w:rFonts w:eastAsia="Times New Roman" w:cs="Times New Roman"/>
                <w:b/>
                <w:bCs/>
                <w:sz w:val="18"/>
                <w:szCs w:val="18"/>
              </w:rPr>
              <w:t>0.27</w:t>
            </w:r>
            <w:r w:rsidR="005E448C" w:rsidRPr="003A49C8">
              <w:rPr>
                <w:rFonts w:eastAsia="Times New Roman" w:cs="Times New Roman"/>
                <w:b/>
                <w:bCs/>
                <w:sz w:val="18"/>
                <w:szCs w:val="18"/>
              </w:rPr>
              <w:t>584</w:t>
            </w:r>
          </w:p>
        </w:tc>
        <w:tc>
          <w:tcPr>
            <w:tcW w:w="394" w:type="pct"/>
            <w:shd w:val="clear" w:color="auto" w:fill="auto"/>
            <w:noWrap/>
            <w:vAlign w:val="bottom"/>
            <w:hideMark/>
          </w:tcPr>
          <w:p w14:paraId="3EBE092F" w14:textId="559278C8" w:rsidR="00613783" w:rsidRPr="003A49C8" w:rsidRDefault="00613783" w:rsidP="00456D56">
            <w:pPr>
              <w:spacing w:after="0" w:line="240" w:lineRule="auto"/>
              <w:rPr>
                <w:rFonts w:eastAsia="Times New Roman" w:cs="Times New Roman"/>
                <w:b/>
                <w:bCs/>
                <w:sz w:val="18"/>
                <w:szCs w:val="18"/>
              </w:rPr>
            </w:pPr>
            <w:r w:rsidRPr="003A49C8">
              <w:rPr>
                <w:rFonts w:eastAsia="Times New Roman" w:cs="Times New Roman"/>
                <w:b/>
                <w:bCs/>
                <w:sz w:val="18"/>
                <w:szCs w:val="18"/>
              </w:rPr>
              <w:t>0.27</w:t>
            </w:r>
            <w:r w:rsidR="005E448C" w:rsidRPr="003A49C8">
              <w:rPr>
                <w:rFonts w:eastAsia="Times New Roman" w:cs="Times New Roman"/>
                <w:b/>
                <w:bCs/>
                <w:sz w:val="18"/>
                <w:szCs w:val="18"/>
              </w:rPr>
              <w:t>460</w:t>
            </w:r>
          </w:p>
        </w:tc>
        <w:tc>
          <w:tcPr>
            <w:tcW w:w="394" w:type="pct"/>
            <w:shd w:val="clear" w:color="auto" w:fill="auto"/>
            <w:noWrap/>
            <w:vAlign w:val="bottom"/>
            <w:hideMark/>
          </w:tcPr>
          <w:p w14:paraId="1B7312D6" w14:textId="58906151" w:rsidR="00613783" w:rsidRPr="003A49C8" w:rsidRDefault="00613783" w:rsidP="00456D56">
            <w:pPr>
              <w:spacing w:after="0" w:line="240" w:lineRule="auto"/>
              <w:rPr>
                <w:rFonts w:eastAsia="Times New Roman" w:cs="Times New Roman"/>
                <w:b/>
                <w:bCs/>
                <w:sz w:val="18"/>
                <w:szCs w:val="18"/>
              </w:rPr>
            </w:pPr>
            <w:r w:rsidRPr="003A49C8">
              <w:rPr>
                <w:rFonts w:eastAsia="Times New Roman" w:cs="Times New Roman"/>
                <w:b/>
                <w:bCs/>
                <w:sz w:val="18"/>
                <w:szCs w:val="18"/>
              </w:rPr>
              <w:t>0.27</w:t>
            </w:r>
            <w:r w:rsidR="005E448C" w:rsidRPr="003A49C8">
              <w:rPr>
                <w:rFonts w:eastAsia="Times New Roman" w:cs="Times New Roman"/>
                <w:b/>
                <w:bCs/>
                <w:sz w:val="18"/>
                <w:szCs w:val="18"/>
              </w:rPr>
              <w:t>405</w:t>
            </w:r>
          </w:p>
        </w:tc>
        <w:tc>
          <w:tcPr>
            <w:tcW w:w="394" w:type="pct"/>
            <w:shd w:val="clear" w:color="auto" w:fill="auto"/>
            <w:noWrap/>
            <w:vAlign w:val="bottom"/>
            <w:hideMark/>
          </w:tcPr>
          <w:p w14:paraId="28A66F84" w14:textId="4384650C" w:rsidR="00613783" w:rsidRPr="003A49C8" w:rsidRDefault="00613783" w:rsidP="00456D56">
            <w:pPr>
              <w:spacing w:after="0" w:line="240" w:lineRule="auto"/>
              <w:rPr>
                <w:rFonts w:eastAsia="Times New Roman" w:cs="Times New Roman"/>
                <w:b/>
                <w:bCs/>
                <w:sz w:val="18"/>
                <w:szCs w:val="18"/>
              </w:rPr>
            </w:pPr>
            <w:r w:rsidRPr="003A49C8">
              <w:rPr>
                <w:rFonts w:eastAsia="Times New Roman" w:cs="Times New Roman"/>
                <w:b/>
                <w:bCs/>
                <w:sz w:val="18"/>
                <w:szCs w:val="18"/>
              </w:rPr>
              <w:t>0.321</w:t>
            </w:r>
            <w:r w:rsidR="005E448C" w:rsidRPr="003A49C8">
              <w:rPr>
                <w:rFonts w:eastAsia="Times New Roman" w:cs="Times New Roman"/>
                <w:b/>
                <w:bCs/>
                <w:sz w:val="18"/>
                <w:szCs w:val="18"/>
              </w:rPr>
              <w:t>59</w:t>
            </w:r>
          </w:p>
        </w:tc>
        <w:tc>
          <w:tcPr>
            <w:tcW w:w="394" w:type="pct"/>
            <w:shd w:val="clear" w:color="auto" w:fill="auto"/>
            <w:noWrap/>
            <w:vAlign w:val="bottom"/>
            <w:hideMark/>
          </w:tcPr>
          <w:p w14:paraId="1410D147" w14:textId="09CF6DAE" w:rsidR="00613783" w:rsidRPr="003A49C8" w:rsidRDefault="00613783" w:rsidP="00456D56">
            <w:pPr>
              <w:spacing w:after="0" w:line="240" w:lineRule="auto"/>
              <w:rPr>
                <w:rFonts w:eastAsia="Times New Roman" w:cs="Times New Roman"/>
                <w:b/>
                <w:bCs/>
                <w:sz w:val="18"/>
                <w:szCs w:val="18"/>
              </w:rPr>
            </w:pPr>
            <w:r w:rsidRPr="003A49C8">
              <w:rPr>
                <w:rFonts w:eastAsia="Times New Roman" w:cs="Times New Roman"/>
                <w:b/>
                <w:bCs/>
                <w:sz w:val="18"/>
                <w:szCs w:val="18"/>
              </w:rPr>
              <w:t>0.316</w:t>
            </w:r>
            <w:r w:rsidR="005E448C" w:rsidRPr="003A49C8">
              <w:rPr>
                <w:rFonts w:eastAsia="Times New Roman" w:cs="Times New Roman"/>
                <w:b/>
                <w:bCs/>
                <w:sz w:val="18"/>
                <w:szCs w:val="18"/>
              </w:rPr>
              <w:t>358391</w:t>
            </w:r>
          </w:p>
        </w:tc>
        <w:tc>
          <w:tcPr>
            <w:tcW w:w="394" w:type="pct"/>
            <w:shd w:val="clear" w:color="auto" w:fill="auto"/>
            <w:noWrap/>
            <w:vAlign w:val="bottom"/>
            <w:hideMark/>
          </w:tcPr>
          <w:p w14:paraId="64395EB7" w14:textId="4E1DE29B" w:rsidR="00613783" w:rsidRPr="003A49C8" w:rsidRDefault="00613783" w:rsidP="00456D56">
            <w:pPr>
              <w:spacing w:after="0" w:line="240" w:lineRule="auto"/>
              <w:rPr>
                <w:rFonts w:eastAsia="Times New Roman" w:cs="Times New Roman"/>
                <w:b/>
                <w:bCs/>
                <w:sz w:val="18"/>
                <w:szCs w:val="18"/>
              </w:rPr>
            </w:pPr>
            <w:r w:rsidRPr="003A49C8">
              <w:rPr>
                <w:rFonts w:eastAsia="Times New Roman" w:cs="Times New Roman"/>
                <w:b/>
                <w:bCs/>
                <w:sz w:val="18"/>
                <w:szCs w:val="18"/>
              </w:rPr>
              <w:t>0.281</w:t>
            </w:r>
            <w:r w:rsidR="005E448C" w:rsidRPr="003A49C8">
              <w:rPr>
                <w:rFonts w:eastAsia="Times New Roman" w:cs="Times New Roman"/>
                <w:b/>
                <w:bCs/>
                <w:sz w:val="18"/>
                <w:szCs w:val="18"/>
              </w:rPr>
              <w:t>659491</w:t>
            </w:r>
          </w:p>
        </w:tc>
        <w:tc>
          <w:tcPr>
            <w:tcW w:w="394" w:type="pct"/>
            <w:shd w:val="clear" w:color="auto" w:fill="auto"/>
            <w:noWrap/>
            <w:vAlign w:val="bottom"/>
            <w:hideMark/>
          </w:tcPr>
          <w:p w14:paraId="07F38F17" w14:textId="264435B4" w:rsidR="00613783" w:rsidRPr="003A49C8" w:rsidRDefault="00613783" w:rsidP="00456D56">
            <w:pPr>
              <w:spacing w:after="0" w:line="240" w:lineRule="auto"/>
              <w:rPr>
                <w:rFonts w:eastAsia="Times New Roman" w:cs="Times New Roman"/>
                <w:b/>
                <w:bCs/>
                <w:sz w:val="18"/>
                <w:szCs w:val="18"/>
              </w:rPr>
            </w:pPr>
            <w:r w:rsidRPr="003A49C8">
              <w:rPr>
                <w:rFonts w:eastAsia="Times New Roman" w:cs="Times New Roman"/>
                <w:b/>
                <w:bCs/>
                <w:sz w:val="18"/>
                <w:szCs w:val="18"/>
              </w:rPr>
              <w:t>0.286</w:t>
            </w:r>
            <w:r w:rsidR="005E448C" w:rsidRPr="003A49C8">
              <w:rPr>
                <w:rFonts w:eastAsia="Times New Roman" w:cs="Times New Roman"/>
                <w:b/>
                <w:bCs/>
                <w:sz w:val="18"/>
                <w:szCs w:val="18"/>
              </w:rPr>
              <w:t>16220</w:t>
            </w:r>
          </w:p>
        </w:tc>
        <w:tc>
          <w:tcPr>
            <w:tcW w:w="394" w:type="pct"/>
            <w:shd w:val="clear" w:color="auto" w:fill="auto"/>
            <w:noWrap/>
            <w:vAlign w:val="bottom"/>
            <w:hideMark/>
          </w:tcPr>
          <w:p w14:paraId="25C51B75" w14:textId="6FA7FEFE" w:rsidR="00613783" w:rsidRPr="003A49C8" w:rsidRDefault="00613783" w:rsidP="00456D56">
            <w:pPr>
              <w:spacing w:after="0" w:line="240" w:lineRule="auto"/>
              <w:rPr>
                <w:rFonts w:eastAsia="Times New Roman" w:cs="Times New Roman"/>
                <w:b/>
                <w:bCs/>
                <w:sz w:val="18"/>
                <w:szCs w:val="18"/>
              </w:rPr>
            </w:pPr>
            <w:r w:rsidRPr="003A49C8">
              <w:rPr>
                <w:rFonts w:eastAsia="Times New Roman" w:cs="Times New Roman"/>
                <w:b/>
                <w:bCs/>
                <w:sz w:val="18"/>
                <w:szCs w:val="18"/>
              </w:rPr>
              <w:t>0.288</w:t>
            </w:r>
            <w:r w:rsidR="005E448C" w:rsidRPr="003A49C8">
              <w:rPr>
                <w:rFonts w:eastAsia="Times New Roman" w:cs="Times New Roman"/>
                <w:b/>
                <w:bCs/>
                <w:sz w:val="18"/>
                <w:szCs w:val="18"/>
              </w:rPr>
              <w:t>20</w:t>
            </w:r>
          </w:p>
        </w:tc>
        <w:tc>
          <w:tcPr>
            <w:tcW w:w="394" w:type="pct"/>
            <w:shd w:val="clear" w:color="auto" w:fill="auto"/>
            <w:noWrap/>
            <w:vAlign w:val="bottom"/>
            <w:hideMark/>
          </w:tcPr>
          <w:p w14:paraId="15BB1087" w14:textId="43334E01" w:rsidR="00613783" w:rsidRPr="003A49C8" w:rsidRDefault="00613783" w:rsidP="00456D56">
            <w:pPr>
              <w:spacing w:after="0" w:line="240" w:lineRule="auto"/>
              <w:rPr>
                <w:rFonts w:eastAsia="Times New Roman" w:cs="Times New Roman"/>
                <w:b/>
                <w:bCs/>
                <w:sz w:val="18"/>
                <w:szCs w:val="18"/>
              </w:rPr>
            </w:pPr>
            <w:r w:rsidRPr="003A49C8">
              <w:rPr>
                <w:rFonts w:eastAsia="Times New Roman" w:cs="Times New Roman"/>
                <w:b/>
                <w:bCs/>
                <w:sz w:val="18"/>
                <w:szCs w:val="18"/>
              </w:rPr>
              <w:t>0.279</w:t>
            </w:r>
            <w:r w:rsidR="005E448C" w:rsidRPr="003A49C8">
              <w:rPr>
                <w:rFonts w:eastAsia="Times New Roman" w:cs="Times New Roman"/>
                <w:b/>
                <w:bCs/>
                <w:sz w:val="18"/>
                <w:szCs w:val="18"/>
              </w:rPr>
              <w:t>8</w:t>
            </w:r>
          </w:p>
        </w:tc>
        <w:tc>
          <w:tcPr>
            <w:tcW w:w="394" w:type="pct"/>
            <w:shd w:val="clear" w:color="auto" w:fill="auto"/>
            <w:noWrap/>
            <w:vAlign w:val="bottom"/>
            <w:hideMark/>
          </w:tcPr>
          <w:p w14:paraId="4475C749" w14:textId="4E8CBBE1" w:rsidR="00613783" w:rsidRPr="003A49C8" w:rsidRDefault="00613783" w:rsidP="00456D56">
            <w:pPr>
              <w:spacing w:after="0" w:line="240" w:lineRule="auto"/>
              <w:rPr>
                <w:rFonts w:eastAsia="Times New Roman" w:cs="Times New Roman"/>
                <w:b/>
                <w:bCs/>
                <w:sz w:val="18"/>
                <w:szCs w:val="18"/>
              </w:rPr>
            </w:pPr>
            <w:r w:rsidRPr="003A49C8">
              <w:rPr>
                <w:rFonts w:eastAsia="Times New Roman" w:cs="Times New Roman"/>
                <w:b/>
                <w:bCs/>
                <w:sz w:val="18"/>
                <w:szCs w:val="18"/>
              </w:rPr>
              <w:t>0.280</w:t>
            </w:r>
            <w:r w:rsidR="005E448C" w:rsidRPr="003A49C8">
              <w:rPr>
                <w:rFonts w:eastAsia="Times New Roman" w:cs="Times New Roman"/>
                <w:b/>
                <w:bCs/>
                <w:sz w:val="18"/>
                <w:szCs w:val="18"/>
              </w:rPr>
              <w:t>6</w:t>
            </w:r>
          </w:p>
        </w:tc>
      </w:tr>
      <w:tr w:rsidR="003A49C8" w:rsidRPr="003A49C8" w14:paraId="0E8D8DFF" w14:textId="77777777" w:rsidTr="00AA49B7">
        <w:trPr>
          <w:trHeight w:val="300"/>
        </w:trPr>
        <w:tc>
          <w:tcPr>
            <w:tcW w:w="1059" w:type="pct"/>
            <w:shd w:val="clear" w:color="auto" w:fill="auto"/>
            <w:noWrap/>
            <w:vAlign w:val="bottom"/>
          </w:tcPr>
          <w:p w14:paraId="2858B982" w14:textId="77777777" w:rsidR="00613783" w:rsidRPr="003A49C8" w:rsidRDefault="00613783" w:rsidP="00456D56">
            <w:pPr>
              <w:spacing w:after="0" w:line="240" w:lineRule="auto"/>
              <w:rPr>
                <w:rFonts w:eastAsia="Times New Roman" w:cs="Times New Roman"/>
                <w:b/>
                <w:bCs/>
                <w:sz w:val="18"/>
                <w:szCs w:val="18"/>
              </w:rPr>
            </w:pPr>
          </w:p>
        </w:tc>
        <w:tc>
          <w:tcPr>
            <w:tcW w:w="394" w:type="pct"/>
            <w:shd w:val="clear" w:color="auto" w:fill="auto"/>
            <w:noWrap/>
            <w:vAlign w:val="bottom"/>
          </w:tcPr>
          <w:p w14:paraId="6ED18412" w14:textId="77777777" w:rsidR="00613783" w:rsidRPr="003A49C8" w:rsidRDefault="00613783" w:rsidP="00456D56">
            <w:pPr>
              <w:spacing w:after="0" w:line="240" w:lineRule="auto"/>
              <w:rPr>
                <w:rFonts w:eastAsia="Times New Roman" w:cs="Times New Roman"/>
                <w:b/>
                <w:bCs/>
                <w:sz w:val="18"/>
                <w:szCs w:val="18"/>
              </w:rPr>
            </w:pPr>
          </w:p>
        </w:tc>
        <w:tc>
          <w:tcPr>
            <w:tcW w:w="394" w:type="pct"/>
            <w:shd w:val="clear" w:color="auto" w:fill="auto"/>
            <w:noWrap/>
            <w:vAlign w:val="bottom"/>
          </w:tcPr>
          <w:p w14:paraId="76C48A31" w14:textId="77777777" w:rsidR="00613783" w:rsidRPr="003A49C8" w:rsidRDefault="00613783" w:rsidP="00456D56">
            <w:pPr>
              <w:spacing w:after="0" w:line="240" w:lineRule="auto"/>
              <w:rPr>
                <w:rFonts w:eastAsia="Times New Roman" w:cs="Times New Roman"/>
                <w:b/>
                <w:bCs/>
                <w:sz w:val="18"/>
                <w:szCs w:val="18"/>
              </w:rPr>
            </w:pPr>
          </w:p>
        </w:tc>
        <w:tc>
          <w:tcPr>
            <w:tcW w:w="394" w:type="pct"/>
            <w:shd w:val="clear" w:color="auto" w:fill="auto"/>
            <w:noWrap/>
            <w:vAlign w:val="bottom"/>
          </w:tcPr>
          <w:p w14:paraId="6CF66A1E" w14:textId="77777777" w:rsidR="00613783" w:rsidRPr="003A49C8" w:rsidRDefault="00613783" w:rsidP="00456D56">
            <w:pPr>
              <w:spacing w:after="0" w:line="240" w:lineRule="auto"/>
              <w:rPr>
                <w:rFonts w:eastAsia="Times New Roman" w:cs="Times New Roman"/>
                <w:b/>
                <w:bCs/>
                <w:sz w:val="18"/>
                <w:szCs w:val="18"/>
              </w:rPr>
            </w:pPr>
          </w:p>
        </w:tc>
        <w:tc>
          <w:tcPr>
            <w:tcW w:w="394" w:type="pct"/>
            <w:shd w:val="clear" w:color="auto" w:fill="auto"/>
            <w:noWrap/>
            <w:vAlign w:val="bottom"/>
          </w:tcPr>
          <w:p w14:paraId="4451E587" w14:textId="77777777" w:rsidR="00613783" w:rsidRPr="003A49C8" w:rsidRDefault="00613783" w:rsidP="00456D56">
            <w:pPr>
              <w:spacing w:after="0" w:line="240" w:lineRule="auto"/>
              <w:rPr>
                <w:rFonts w:eastAsia="Times New Roman" w:cs="Times New Roman"/>
                <w:b/>
                <w:bCs/>
                <w:sz w:val="18"/>
                <w:szCs w:val="18"/>
              </w:rPr>
            </w:pPr>
          </w:p>
        </w:tc>
        <w:tc>
          <w:tcPr>
            <w:tcW w:w="394" w:type="pct"/>
            <w:shd w:val="clear" w:color="auto" w:fill="auto"/>
            <w:noWrap/>
            <w:vAlign w:val="bottom"/>
          </w:tcPr>
          <w:p w14:paraId="14DF43C9" w14:textId="77777777" w:rsidR="00613783" w:rsidRPr="003A49C8" w:rsidRDefault="00613783" w:rsidP="00456D56">
            <w:pPr>
              <w:spacing w:after="0" w:line="240" w:lineRule="auto"/>
              <w:rPr>
                <w:rFonts w:eastAsia="Times New Roman" w:cs="Times New Roman"/>
                <w:b/>
                <w:bCs/>
                <w:sz w:val="18"/>
                <w:szCs w:val="18"/>
              </w:rPr>
            </w:pPr>
          </w:p>
        </w:tc>
        <w:tc>
          <w:tcPr>
            <w:tcW w:w="394" w:type="pct"/>
            <w:shd w:val="clear" w:color="auto" w:fill="auto"/>
            <w:noWrap/>
            <w:vAlign w:val="bottom"/>
          </w:tcPr>
          <w:p w14:paraId="54384465" w14:textId="77777777" w:rsidR="00613783" w:rsidRPr="003A49C8" w:rsidRDefault="00613783" w:rsidP="00456D56">
            <w:pPr>
              <w:spacing w:after="0" w:line="240" w:lineRule="auto"/>
              <w:rPr>
                <w:rFonts w:eastAsia="Times New Roman" w:cs="Times New Roman"/>
                <w:b/>
                <w:bCs/>
                <w:sz w:val="18"/>
                <w:szCs w:val="18"/>
              </w:rPr>
            </w:pPr>
          </w:p>
        </w:tc>
        <w:tc>
          <w:tcPr>
            <w:tcW w:w="394" w:type="pct"/>
            <w:shd w:val="clear" w:color="auto" w:fill="auto"/>
            <w:noWrap/>
            <w:vAlign w:val="bottom"/>
          </w:tcPr>
          <w:p w14:paraId="0DA4B062" w14:textId="77777777" w:rsidR="00613783" w:rsidRPr="003A49C8" w:rsidRDefault="00613783" w:rsidP="00456D56">
            <w:pPr>
              <w:spacing w:after="0" w:line="240" w:lineRule="auto"/>
              <w:rPr>
                <w:rFonts w:eastAsia="Times New Roman" w:cs="Times New Roman"/>
                <w:b/>
                <w:bCs/>
                <w:sz w:val="18"/>
                <w:szCs w:val="18"/>
              </w:rPr>
            </w:pPr>
          </w:p>
        </w:tc>
        <w:tc>
          <w:tcPr>
            <w:tcW w:w="394" w:type="pct"/>
            <w:shd w:val="clear" w:color="auto" w:fill="auto"/>
            <w:noWrap/>
            <w:vAlign w:val="bottom"/>
          </w:tcPr>
          <w:p w14:paraId="020F6357" w14:textId="77777777" w:rsidR="00613783" w:rsidRPr="003A49C8" w:rsidRDefault="00613783" w:rsidP="00456D56">
            <w:pPr>
              <w:spacing w:after="0" w:line="240" w:lineRule="auto"/>
              <w:rPr>
                <w:rFonts w:eastAsia="Times New Roman" w:cs="Times New Roman"/>
                <w:b/>
                <w:bCs/>
                <w:sz w:val="18"/>
                <w:szCs w:val="18"/>
              </w:rPr>
            </w:pPr>
          </w:p>
        </w:tc>
        <w:tc>
          <w:tcPr>
            <w:tcW w:w="394" w:type="pct"/>
            <w:shd w:val="clear" w:color="auto" w:fill="auto"/>
            <w:noWrap/>
            <w:vAlign w:val="bottom"/>
          </w:tcPr>
          <w:p w14:paraId="2362BBE0" w14:textId="77777777" w:rsidR="00613783" w:rsidRPr="003A49C8" w:rsidRDefault="00613783" w:rsidP="00456D56">
            <w:pPr>
              <w:spacing w:after="0" w:line="240" w:lineRule="auto"/>
              <w:rPr>
                <w:rFonts w:eastAsia="Times New Roman" w:cs="Times New Roman"/>
                <w:b/>
                <w:bCs/>
                <w:sz w:val="18"/>
                <w:szCs w:val="18"/>
              </w:rPr>
            </w:pPr>
          </w:p>
        </w:tc>
        <w:tc>
          <w:tcPr>
            <w:tcW w:w="394" w:type="pct"/>
            <w:shd w:val="clear" w:color="auto" w:fill="auto"/>
            <w:noWrap/>
            <w:vAlign w:val="bottom"/>
          </w:tcPr>
          <w:p w14:paraId="1DCE4DDB" w14:textId="77777777" w:rsidR="00613783" w:rsidRPr="003A49C8" w:rsidRDefault="00613783" w:rsidP="00456D56">
            <w:pPr>
              <w:spacing w:after="0" w:line="240" w:lineRule="auto"/>
              <w:rPr>
                <w:rFonts w:eastAsia="Times New Roman" w:cs="Times New Roman"/>
                <w:b/>
                <w:bCs/>
                <w:sz w:val="18"/>
                <w:szCs w:val="18"/>
              </w:rPr>
            </w:pPr>
          </w:p>
        </w:tc>
      </w:tr>
      <w:tr w:rsidR="003A49C8" w:rsidRPr="003A49C8" w14:paraId="2A6F44C5" w14:textId="77777777" w:rsidTr="00AA49B7">
        <w:trPr>
          <w:trHeight w:val="300"/>
        </w:trPr>
        <w:tc>
          <w:tcPr>
            <w:tcW w:w="1059" w:type="pct"/>
            <w:shd w:val="clear" w:color="auto" w:fill="auto"/>
            <w:noWrap/>
            <w:vAlign w:val="bottom"/>
          </w:tcPr>
          <w:p w14:paraId="678D3565" w14:textId="77777777" w:rsidR="00613783" w:rsidRPr="003A49C8" w:rsidRDefault="00613783" w:rsidP="00456D56">
            <w:pPr>
              <w:spacing w:after="0" w:line="240" w:lineRule="auto"/>
              <w:rPr>
                <w:rFonts w:eastAsia="Times New Roman" w:cs="Times New Roman"/>
                <w:b/>
                <w:bCs/>
                <w:sz w:val="18"/>
                <w:szCs w:val="18"/>
              </w:rPr>
            </w:pPr>
            <w:r w:rsidRPr="003A49C8">
              <w:rPr>
                <w:rFonts w:eastAsia="Times New Roman" w:cs="Times New Roman"/>
                <w:b/>
                <w:bCs/>
                <w:sz w:val="18"/>
                <w:szCs w:val="18"/>
              </w:rPr>
              <w:t>Panel II: Healthcare ETFs</w:t>
            </w:r>
          </w:p>
        </w:tc>
        <w:tc>
          <w:tcPr>
            <w:tcW w:w="394" w:type="pct"/>
            <w:shd w:val="clear" w:color="auto" w:fill="auto"/>
            <w:noWrap/>
            <w:vAlign w:val="bottom"/>
          </w:tcPr>
          <w:p w14:paraId="2F4641A7" w14:textId="77777777" w:rsidR="00613783" w:rsidRPr="003A49C8" w:rsidRDefault="00613783" w:rsidP="00456D56">
            <w:pPr>
              <w:spacing w:after="0" w:line="240" w:lineRule="auto"/>
              <w:rPr>
                <w:rFonts w:eastAsia="Times New Roman" w:cs="Times New Roman"/>
                <w:b/>
                <w:bCs/>
                <w:sz w:val="18"/>
                <w:szCs w:val="18"/>
              </w:rPr>
            </w:pPr>
          </w:p>
        </w:tc>
        <w:tc>
          <w:tcPr>
            <w:tcW w:w="394" w:type="pct"/>
            <w:shd w:val="clear" w:color="auto" w:fill="auto"/>
            <w:noWrap/>
            <w:vAlign w:val="bottom"/>
          </w:tcPr>
          <w:p w14:paraId="355174F7" w14:textId="77777777" w:rsidR="00613783" w:rsidRPr="003A49C8" w:rsidRDefault="00613783" w:rsidP="00456D56">
            <w:pPr>
              <w:spacing w:after="0" w:line="240" w:lineRule="auto"/>
              <w:rPr>
                <w:rFonts w:eastAsia="Times New Roman" w:cs="Times New Roman"/>
                <w:b/>
                <w:bCs/>
                <w:sz w:val="18"/>
                <w:szCs w:val="18"/>
              </w:rPr>
            </w:pPr>
          </w:p>
        </w:tc>
        <w:tc>
          <w:tcPr>
            <w:tcW w:w="394" w:type="pct"/>
            <w:shd w:val="clear" w:color="auto" w:fill="auto"/>
            <w:noWrap/>
            <w:vAlign w:val="bottom"/>
          </w:tcPr>
          <w:p w14:paraId="110104A5" w14:textId="77777777" w:rsidR="00613783" w:rsidRPr="003A49C8" w:rsidRDefault="00613783" w:rsidP="00456D56">
            <w:pPr>
              <w:spacing w:after="0" w:line="240" w:lineRule="auto"/>
              <w:rPr>
                <w:rFonts w:eastAsia="Times New Roman" w:cs="Times New Roman"/>
                <w:b/>
                <w:bCs/>
                <w:sz w:val="18"/>
                <w:szCs w:val="18"/>
              </w:rPr>
            </w:pPr>
          </w:p>
        </w:tc>
        <w:tc>
          <w:tcPr>
            <w:tcW w:w="394" w:type="pct"/>
            <w:shd w:val="clear" w:color="auto" w:fill="auto"/>
            <w:noWrap/>
            <w:vAlign w:val="bottom"/>
          </w:tcPr>
          <w:p w14:paraId="6F1BEA68" w14:textId="77777777" w:rsidR="00613783" w:rsidRPr="003A49C8" w:rsidRDefault="00613783" w:rsidP="00456D56">
            <w:pPr>
              <w:spacing w:after="0" w:line="240" w:lineRule="auto"/>
              <w:rPr>
                <w:rFonts w:eastAsia="Times New Roman" w:cs="Times New Roman"/>
                <w:b/>
                <w:bCs/>
                <w:sz w:val="18"/>
                <w:szCs w:val="18"/>
              </w:rPr>
            </w:pPr>
          </w:p>
        </w:tc>
        <w:tc>
          <w:tcPr>
            <w:tcW w:w="394" w:type="pct"/>
            <w:shd w:val="clear" w:color="auto" w:fill="auto"/>
            <w:noWrap/>
            <w:vAlign w:val="bottom"/>
          </w:tcPr>
          <w:p w14:paraId="1CFC8807" w14:textId="77777777" w:rsidR="00613783" w:rsidRPr="003A49C8" w:rsidRDefault="00613783" w:rsidP="00456D56">
            <w:pPr>
              <w:spacing w:after="0" w:line="240" w:lineRule="auto"/>
              <w:rPr>
                <w:rFonts w:eastAsia="Times New Roman" w:cs="Times New Roman"/>
                <w:b/>
                <w:bCs/>
                <w:sz w:val="18"/>
                <w:szCs w:val="18"/>
              </w:rPr>
            </w:pPr>
          </w:p>
        </w:tc>
        <w:tc>
          <w:tcPr>
            <w:tcW w:w="394" w:type="pct"/>
            <w:shd w:val="clear" w:color="auto" w:fill="auto"/>
            <w:noWrap/>
            <w:vAlign w:val="bottom"/>
          </w:tcPr>
          <w:p w14:paraId="1EFB2BEB" w14:textId="77777777" w:rsidR="00613783" w:rsidRPr="003A49C8" w:rsidRDefault="00613783" w:rsidP="00456D56">
            <w:pPr>
              <w:spacing w:after="0" w:line="240" w:lineRule="auto"/>
              <w:rPr>
                <w:rFonts w:eastAsia="Times New Roman" w:cs="Times New Roman"/>
                <w:b/>
                <w:bCs/>
                <w:sz w:val="18"/>
                <w:szCs w:val="18"/>
              </w:rPr>
            </w:pPr>
          </w:p>
        </w:tc>
        <w:tc>
          <w:tcPr>
            <w:tcW w:w="394" w:type="pct"/>
            <w:shd w:val="clear" w:color="auto" w:fill="auto"/>
            <w:noWrap/>
            <w:vAlign w:val="bottom"/>
          </w:tcPr>
          <w:p w14:paraId="24D092C4" w14:textId="77777777" w:rsidR="00613783" w:rsidRPr="003A49C8" w:rsidRDefault="00613783" w:rsidP="00456D56">
            <w:pPr>
              <w:spacing w:after="0" w:line="240" w:lineRule="auto"/>
              <w:rPr>
                <w:rFonts w:eastAsia="Times New Roman" w:cs="Times New Roman"/>
                <w:b/>
                <w:bCs/>
                <w:sz w:val="18"/>
                <w:szCs w:val="18"/>
              </w:rPr>
            </w:pPr>
          </w:p>
        </w:tc>
        <w:tc>
          <w:tcPr>
            <w:tcW w:w="394" w:type="pct"/>
            <w:shd w:val="clear" w:color="auto" w:fill="auto"/>
            <w:noWrap/>
            <w:vAlign w:val="bottom"/>
          </w:tcPr>
          <w:p w14:paraId="709B2C1D" w14:textId="77777777" w:rsidR="00613783" w:rsidRPr="003A49C8" w:rsidRDefault="00613783" w:rsidP="00456D56">
            <w:pPr>
              <w:spacing w:after="0" w:line="240" w:lineRule="auto"/>
              <w:rPr>
                <w:rFonts w:eastAsia="Times New Roman" w:cs="Times New Roman"/>
                <w:b/>
                <w:bCs/>
                <w:sz w:val="18"/>
                <w:szCs w:val="18"/>
              </w:rPr>
            </w:pPr>
          </w:p>
        </w:tc>
        <w:tc>
          <w:tcPr>
            <w:tcW w:w="394" w:type="pct"/>
            <w:shd w:val="clear" w:color="auto" w:fill="auto"/>
            <w:noWrap/>
            <w:vAlign w:val="bottom"/>
          </w:tcPr>
          <w:p w14:paraId="0BF8363F" w14:textId="77777777" w:rsidR="00613783" w:rsidRPr="003A49C8" w:rsidRDefault="00613783" w:rsidP="00456D56">
            <w:pPr>
              <w:spacing w:after="0" w:line="240" w:lineRule="auto"/>
              <w:rPr>
                <w:rFonts w:eastAsia="Times New Roman" w:cs="Times New Roman"/>
                <w:b/>
                <w:bCs/>
                <w:sz w:val="18"/>
                <w:szCs w:val="18"/>
              </w:rPr>
            </w:pPr>
          </w:p>
        </w:tc>
        <w:tc>
          <w:tcPr>
            <w:tcW w:w="394" w:type="pct"/>
            <w:shd w:val="clear" w:color="auto" w:fill="auto"/>
            <w:noWrap/>
            <w:vAlign w:val="bottom"/>
          </w:tcPr>
          <w:p w14:paraId="4C45BCF8" w14:textId="77777777" w:rsidR="00613783" w:rsidRPr="003A49C8" w:rsidRDefault="00613783" w:rsidP="00456D56">
            <w:pPr>
              <w:spacing w:after="0" w:line="240" w:lineRule="auto"/>
              <w:rPr>
                <w:rFonts w:eastAsia="Times New Roman" w:cs="Times New Roman"/>
                <w:b/>
                <w:bCs/>
                <w:sz w:val="18"/>
                <w:szCs w:val="18"/>
              </w:rPr>
            </w:pPr>
          </w:p>
        </w:tc>
      </w:tr>
      <w:tr w:rsidR="003A49C8" w:rsidRPr="003A49C8" w14:paraId="73A42F97" w14:textId="77777777" w:rsidTr="00AA49B7">
        <w:trPr>
          <w:trHeight w:val="300"/>
        </w:trPr>
        <w:tc>
          <w:tcPr>
            <w:tcW w:w="1059" w:type="pct"/>
            <w:shd w:val="clear" w:color="auto" w:fill="auto"/>
            <w:noWrap/>
            <w:vAlign w:val="center"/>
          </w:tcPr>
          <w:p w14:paraId="09AE08C5" w14:textId="0DAC4F8B" w:rsidR="00456D56" w:rsidRPr="003A49C8" w:rsidRDefault="00456D56" w:rsidP="00456D56">
            <w:pPr>
              <w:spacing w:after="0" w:line="240" w:lineRule="auto"/>
              <w:rPr>
                <w:rFonts w:eastAsia="Times New Roman" w:cs="Times New Roman"/>
                <w:b/>
                <w:bCs/>
                <w:sz w:val="18"/>
                <w:szCs w:val="18"/>
              </w:rPr>
            </w:pPr>
            <w:r w:rsidRPr="003A49C8">
              <w:rPr>
                <w:rFonts w:eastAsia="Times New Roman" w:cs="Times New Roman"/>
                <w:sz w:val="18"/>
                <w:szCs w:val="18"/>
              </w:rPr>
              <w:t>XLV Health Care Select Sector SPDR Fund</w:t>
            </w:r>
          </w:p>
        </w:tc>
        <w:tc>
          <w:tcPr>
            <w:tcW w:w="394" w:type="pct"/>
            <w:shd w:val="clear" w:color="auto" w:fill="auto"/>
            <w:noWrap/>
            <w:vAlign w:val="center"/>
          </w:tcPr>
          <w:p w14:paraId="749320D1" w14:textId="77777777" w:rsidR="00456D56" w:rsidRPr="003A49C8" w:rsidRDefault="00456D56" w:rsidP="00456D56">
            <w:pPr>
              <w:spacing w:after="0" w:line="240" w:lineRule="auto"/>
              <w:rPr>
                <w:rFonts w:eastAsia="Times New Roman" w:cs="Times New Roman"/>
                <w:b/>
                <w:bCs/>
                <w:sz w:val="18"/>
                <w:szCs w:val="18"/>
              </w:rPr>
            </w:pPr>
            <w:r w:rsidRPr="003A49C8">
              <w:rPr>
                <w:rFonts w:eastAsia="Times New Roman" w:cs="Times New Roman"/>
                <w:sz w:val="18"/>
                <w:szCs w:val="18"/>
              </w:rPr>
              <w:t>0.21727154</w:t>
            </w:r>
          </w:p>
        </w:tc>
        <w:tc>
          <w:tcPr>
            <w:tcW w:w="394" w:type="pct"/>
            <w:shd w:val="clear" w:color="auto" w:fill="auto"/>
            <w:noWrap/>
            <w:vAlign w:val="center"/>
          </w:tcPr>
          <w:p w14:paraId="4B5ED50E" w14:textId="77777777" w:rsidR="00456D56" w:rsidRPr="003A49C8" w:rsidRDefault="00456D56" w:rsidP="00456D56">
            <w:pPr>
              <w:spacing w:after="0" w:line="240" w:lineRule="auto"/>
              <w:rPr>
                <w:rFonts w:eastAsia="Times New Roman" w:cs="Times New Roman"/>
                <w:b/>
                <w:bCs/>
                <w:sz w:val="18"/>
                <w:szCs w:val="18"/>
              </w:rPr>
            </w:pPr>
            <w:r w:rsidRPr="003A49C8">
              <w:rPr>
                <w:rFonts w:eastAsia="Times New Roman" w:cs="Times New Roman"/>
                <w:sz w:val="18"/>
                <w:szCs w:val="18"/>
              </w:rPr>
              <w:t>0.21401711</w:t>
            </w:r>
          </w:p>
        </w:tc>
        <w:tc>
          <w:tcPr>
            <w:tcW w:w="394" w:type="pct"/>
            <w:shd w:val="clear" w:color="auto" w:fill="auto"/>
            <w:noWrap/>
            <w:vAlign w:val="center"/>
          </w:tcPr>
          <w:p w14:paraId="10205FEB" w14:textId="77777777" w:rsidR="00456D56" w:rsidRPr="003A49C8" w:rsidRDefault="00456D56" w:rsidP="00456D56">
            <w:pPr>
              <w:spacing w:after="0" w:line="240" w:lineRule="auto"/>
              <w:rPr>
                <w:rFonts w:eastAsia="Times New Roman" w:cs="Times New Roman"/>
                <w:b/>
                <w:bCs/>
                <w:sz w:val="18"/>
                <w:szCs w:val="18"/>
              </w:rPr>
            </w:pPr>
            <w:r w:rsidRPr="003A49C8">
              <w:rPr>
                <w:rFonts w:eastAsia="Times New Roman" w:cs="Times New Roman"/>
                <w:sz w:val="18"/>
                <w:szCs w:val="18"/>
              </w:rPr>
              <w:t>0.2299249</w:t>
            </w:r>
          </w:p>
        </w:tc>
        <w:tc>
          <w:tcPr>
            <w:tcW w:w="394" w:type="pct"/>
            <w:shd w:val="clear" w:color="auto" w:fill="auto"/>
            <w:noWrap/>
            <w:vAlign w:val="center"/>
          </w:tcPr>
          <w:p w14:paraId="450C6814" w14:textId="77777777" w:rsidR="00456D56" w:rsidRPr="003A49C8" w:rsidRDefault="00456D56" w:rsidP="00456D56">
            <w:pPr>
              <w:spacing w:after="0" w:line="240" w:lineRule="auto"/>
              <w:rPr>
                <w:rFonts w:eastAsia="Times New Roman" w:cs="Times New Roman"/>
                <w:b/>
                <w:bCs/>
                <w:sz w:val="18"/>
                <w:szCs w:val="18"/>
              </w:rPr>
            </w:pPr>
            <w:r w:rsidRPr="003A49C8">
              <w:rPr>
                <w:rFonts w:eastAsia="Times New Roman" w:cs="Times New Roman"/>
                <w:sz w:val="18"/>
                <w:szCs w:val="18"/>
              </w:rPr>
              <w:t>0.21356014</w:t>
            </w:r>
          </w:p>
        </w:tc>
        <w:tc>
          <w:tcPr>
            <w:tcW w:w="394" w:type="pct"/>
            <w:shd w:val="clear" w:color="auto" w:fill="auto"/>
            <w:noWrap/>
            <w:vAlign w:val="center"/>
          </w:tcPr>
          <w:p w14:paraId="08019977" w14:textId="77777777" w:rsidR="00456D56" w:rsidRPr="003A49C8" w:rsidRDefault="00456D56" w:rsidP="00456D56">
            <w:pPr>
              <w:spacing w:after="0" w:line="240" w:lineRule="auto"/>
              <w:rPr>
                <w:rFonts w:eastAsia="Times New Roman" w:cs="Times New Roman"/>
                <w:b/>
                <w:bCs/>
                <w:sz w:val="18"/>
                <w:szCs w:val="18"/>
              </w:rPr>
            </w:pPr>
            <w:r w:rsidRPr="003A49C8">
              <w:rPr>
                <w:rFonts w:eastAsia="Times New Roman" w:cs="Times New Roman"/>
                <w:sz w:val="18"/>
                <w:szCs w:val="18"/>
              </w:rPr>
              <w:t>0.20982657</w:t>
            </w:r>
          </w:p>
        </w:tc>
        <w:tc>
          <w:tcPr>
            <w:tcW w:w="394" w:type="pct"/>
            <w:shd w:val="clear" w:color="auto" w:fill="auto"/>
            <w:noWrap/>
            <w:vAlign w:val="center"/>
          </w:tcPr>
          <w:p w14:paraId="406927AC" w14:textId="77777777" w:rsidR="00456D56" w:rsidRPr="003A49C8" w:rsidRDefault="00456D56" w:rsidP="00456D56">
            <w:pPr>
              <w:spacing w:after="0" w:line="240" w:lineRule="auto"/>
              <w:rPr>
                <w:rFonts w:eastAsia="Times New Roman" w:cs="Times New Roman"/>
                <w:b/>
                <w:bCs/>
                <w:sz w:val="18"/>
                <w:szCs w:val="18"/>
              </w:rPr>
            </w:pPr>
            <w:r w:rsidRPr="003A49C8">
              <w:rPr>
                <w:rFonts w:eastAsia="Times New Roman" w:cs="Times New Roman"/>
                <w:sz w:val="18"/>
                <w:szCs w:val="18"/>
              </w:rPr>
              <w:t>0.21602015</w:t>
            </w:r>
          </w:p>
        </w:tc>
        <w:tc>
          <w:tcPr>
            <w:tcW w:w="394" w:type="pct"/>
            <w:shd w:val="clear" w:color="auto" w:fill="auto"/>
            <w:noWrap/>
            <w:vAlign w:val="center"/>
          </w:tcPr>
          <w:p w14:paraId="1D23C93A" w14:textId="77777777" w:rsidR="00456D56" w:rsidRPr="003A49C8" w:rsidRDefault="00456D56" w:rsidP="00456D56">
            <w:pPr>
              <w:spacing w:after="0" w:line="240" w:lineRule="auto"/>
              <w:rPr>
                <w:rFonts w:eastAsia="Times New Roman" w:cs="Times New Roman"/>
                <w:b/>
                <w:bCs/>
                <w:sz w:val="18"/>
                <w:szCs w:val="18"/>
              </w:rPr>
            </w:pPr>
            <w:r w:rsidRPr="003A49C8">
              <w:rPr>
                <w:rFonts w:eastAsia="Times New Roman" w:cs="Times New Roman"/>
                <w:sz w:val="18"/>
                <w:szCs w:val="18"/>
              </w:rPr>
              <w:t>0.23063182</w:t>
            </w:r>
          </w:p>
        </w:tc>
        <w:tc>
          <w:tcPr>
            <w:tcW w:w="394" w:type="pct"/>
            <w:shd w:val="clear" w:color="auto" w:fill="auto"/>
            <w:noWrap/>
            <w:vAlign w:val="center"/>
          </w:tcPr>
          <w:p w14:paraId="00EB8473" w14:textId="77777777" w:rsidR="00456D56" w:rsidRPr="003A49C8" w:rsidRDefault="00456D56" w:rsidP="00456D56">
            <w:pPr>
              <w:spacing w:after="0" w:line="240" w:lineRule="auto"/>
              <w:rPr>
                <w:rFonts w:eastAsia="Times New Roman" w:cs="Times New Roman"/>
                <w:b/>
                <w:bCs/>
                <w:sz w:val="18"/>
                <w:szCs w:val="18"/>
              </w:rPr>
            </w:pPr>
            <w:r w:rsidRPr="003A49C8">
              <w:rPr>
                <w:rFonts w:eastAsia="Times New Roman" w:cs="Times New Roman"/>
                <w:sz w:val="18"/>
                <w:szCs w:val="18"/>
              </w:rPr>
              <w:t>0.43422864</w:t>
            </w:r>
          </w:p>
        </w:tc>
        <w:tc>
          <w:tcPr>
            <w:tcW w:w="394" w:type="pct"/>
            <w:shd w:val="clear" w:color="auto" w:fill="auto"/>
            <w:noWrap/>
            <w:vAlign w:val="center"/>
          </w:tcPr>
          <w:p w14:paraId="6644E31A" w14:textId="77777777" w:rsidR="00456D56" w:rsidRPr="003A49C8" w:rsidRDefault="00456D56" w:rsidP="00456D56">
            <w:pPr>
              <w:spacing w:after="0" w:line="240" w:lineRule="auto"/>
              <w:rPr>
                <w:rFonts w:eastAsia="Times New Roman" w:cs="Times New Roman"/>
                <w:b/>
                <w:bCs/>
                <w:sz w:val="18"/>
                <w:szCs w:val="18"/>
              </w:rPr>
            </w:pPr>
            <w:r w:rsidRPr="003A49C8">
              <w:rPr>
                <w:rFonts w:eastAsia="Times New Roman" w:cs="Times New Roman"/>
                <w:sz w:val="18"/>
                <w:szCs w:val="18"/>
              </w:rPr>
              <w:t>0.40547567</w:t>
            </w:r>
          </w:p>
        </w:tc>
        <w:tc>
          <w:tcPr>
            <w:tcW w:w="394" w:type="pct"/>
            <w:shd w:val="clear" w:color="auto" w:fill="auto"/>
            <w:noWrap/>
            <w:vAlign w:val="center"/>
          </w:tcPr>
          <w:p w14:paraId="7BC9468B" w14:textId="77777777" w:rsidR="00456D56" w:rsidRPr="003A49C8" w:rsidRDefault="00456D56" w:rsidP="00456D56">
            <w:pPr>
              <w:spacing w:after="0" w:line="240" w:lineRule="auto"/>
              <w:rPr>
                <w:rFonts w:eastAsia="Times New Roman" w:cs="Times New Roman"/>
                <w:b/>
                <w:bCs/>
                <w:sz w:val="18"/>
                <w:szCs w:val="18"/>
              </w:rPr>
            </w:pPr>
            <w:r w:rsidRPr="003A49C8">
              <w:rPr>
                <w:rFonts w:eastAsia="Times New Roman" w:cs="Times New Roman"/>
                <w:sz w:val="18"/>
                <w:szCs w:val="18"/>
              </w:rPr>
              <w:t>0.20287491</w:t>
            </w:r>
          </w:p>
        </w:tc>
      </w:tr>
      <w:tr w:rsidR="003A49C8" w:rsidRPr="003A49C8" w14:paraId="2160FD84" w14:textId="77777777" w:rsidTr="00AA49B7">
        <w:trPr>
          <w:trHeight w:val="300"/>
        </w:trPr>
        <w:tc>
          <w:tcPr>
            <w:tcW w:w="1059" w:type="pct"/>
            <w:shd w:val="clear" w:color="auto" w:fill="auto"/>
            <w:noWrap/>
            <w:vAlign w:val="center"/>
          </w:tcPr>
          <w:p w14:paraId="7CC29FAD" w14:textId="55DBBF0C"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ARKG ARK Genomic Revolution ETF</w:t>
            </w:r>
          </w:p>
        </w:tc>
        <w:tc>
          <w:tcPr>
            <w:tcW w:w="394" w:type="pct"/>
            <w:shd w:val="clear" w:color="auto" w:fill="auto"/>
            <w:noWrap/>
            <w:vAlign w:val="center"/>
          </w:tcPr>
          <w:p w14:paraId="5174985F"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0.26091478</w:t>
            </w:r>
          </w:p>
        </w:tc>
        <w:tc>
          <w:tcPr>
            <w:tcW w:w="394" w:type="pct"/>
            <w:shd w:val="clear" w:color="auto" w:fill="auto"/>
            <w:noWrap/>
            <w:vAlign w:val="center"/>
          </w:tcPr>
          <w:p w14:paraId="01065D57"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0.24695637</w:t>
            </w:r>
          </w:p>
        </w:tc>
        <w:tc>
          <w:tcPr>
            <w:tcW w:w="394" w:type="pct"/>
            <w:shd w:val="clear" w:color="auto" w:fill="auto"/>
            <w:noWrap/>
            <w:vAlign w:val="center"/>
          </w:tcPr>
          <w:p w14:paraId="6C378A80"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0.21295386</w:t>
            </w:r>
          </w:p>
        </w:tc>
        <w:tc>
          <w:tcPr>
            <w:tcW w:w="394" w:type="pct"/>
            <w:shd w:val="clear" w:color="auto" w:fill="auto"/>
            <w:noWrap/>
            <w:vAlign w:val="center"/>
          </w:tcPr>
          <w:p w14:paraId="29C93DAC"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0.3219442</w:t>
            </w:r>
          </w:p>
        </w:tc>
        <w:tc>
          <w:tcPr>
            <w:tcW w:w="394" w:type="pct"/>
            <w:shd w:val="clear" w:color="auto" w:fill="auto"/>
            <w:noWrap/>
            <w:vAlign w:val="center"/>
          </w:tcPr>
          <w:p w14:paraId="284FC787"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0.30869547</w:t>
            </w:r>
          </w:p>
        </w:tc>
        <w:tc>
          <w:tcPr>
            <w:tcW w:w="394" w:type="pct"/>
            <w:shd w:val="clear" w:color="auto" w:fill="auto"/>
            <w:noWrap/>
            <w:vAlign w:val="center"/>
          </w:tcPr>
          <w:p w14:paraId="17A649EE"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0.22526426</w:t>
            </w:r>
          </w:p>
        </w:tc>
        <w:tc>
          <w:tcPr>
            <w:tcW w:w="394" w:type="pct"/>
            <w:shd w:val="clear" w:color="auto" w:fill="auto"/>
            <w:noWrap/>
            <w:vAlign w:val="center"/>
          </w:tcPr>
          <w:p w14:paraId="616EF8AA"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0.20191924</w:t>
            </w:r>
          </w:p>
        </w:tc>
        <w:tc>
          <w:tcPr>
            <w:tcW w:w="394" w:type="pct"/>
            <w:shd w:val="clear" w:color="auto" w:fill="auto"/>
            <w:noWrap/>
            <w:vAlign w:val="center"/>
          </w:tcPr>
          <w:p w14:paraId="79467D5A"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0.25799827</w:t>
            </w:r>
          </w:p>
        </w:tc>
        <w:tc>
          <w:tcPr>
            <w:tcW w:w="394" w:type="pct"/>
            <w:shd w:val="clear" w:color="auto" w:fill="auto"/>
            <w:noWrap/>
            <w:vAlign w:val="center"/>
          </w:tcPr>
          <w:p w14:paraId="2043DF9B"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0.35678002</w:t>
            </w:r>
          </w:p>
        </w:tc>
        <w:tc>
          <w:tcPr>
            <w:tcW w:w="394" w:type="pct"/>
            <w:shd w:val="clear" w:color="auto" w:fill="auto"/>
            <w:noWrap/>
            <w:vAlign w:val="center"/>
          </w:tcPr>
          <w:p w14:paraId="66E6052A"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0.24100562</w:t>
            </w:r>
          </w:p>
        </w:tc>
      </w:tr>
      <w:tr w:rsidR="003A49C8" w:rsidRPr="003A49C8" w14:paraId="16064841" w14:textId="77777777" w:rsidTr="00AA49B7">
        <w:trPr>
          <w:trHeight w:val="300"/>
        </w:trPr>
        <w:tc>
          <w:tcPr>
            <w:tcW w:w="1059" w:type="pct"/>
            <w:shd w:val="clear" w:color="auto" w:fill="auto"/>
            <w:noWrap/>
            <w:vAlign w:val="center"/>
          </w:tcPr>
          <w:p w14:paraId="20EA81F4" w14:textId="4556FB84"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FHLC Fidelity MSCI Health Care Index ETF</w:t>
            </w:r>
          </w:p>
        </w:tc>
        <w:tc>
          <w:tcPr>
            <w:tcW w:w="394" w:type="pct"/>
            <w:shd w:val="clear" w:color="auto" w:fill="auto"/>
            <w:noWrap/>
            <w:vAlign w:val="center"/>
          </w:tcPr>
          <w:p w14:paraId="5F882EAD"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0.2604618</w:t>
            </w:r>
          </w:p>
        </w:tc>
        <w:tc>
          <w:tcPr>
            <w:tcW w:w="394" w:type="pct"/>
            <w:shd w:val="clear" w:color="auto" w:fill="auto"/>
            <w:noWrap/>
            <w:vAlign w:val="center"/>
          </w:tcPr>
          <w:p w14:paraId="0673962B"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0.24119935</w:t>
            </w:r>
          </w:p>
        </w:tc>
        <w:tc>
          <w:tcPr>
            <w:tcW w:w="394" w:type="pct"/>
            <w:shd w:val="clear" w:color="auto" w:fill="auto"/>
            <w:noWrap/>
            <w:vAlign w:val="center"/>
          </w:tcPr>
          <w:p w14:paraId="1B5491A4"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0.21509103</w:t>
            </w:r>
          </w:p>
        </w:tc>
        <w:tc>
          <w:tcPr>
            <w:tcW w:w="394" w:type="pct"/>
            <w:shd w:val="clear" w:color="auto" w:fill="auto"/>
            <w:noWrap/>
            <w:vAlign w:val="center"/>
          </w:tcPr>
          <w:p w14:paraId="166405E4"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0.32368068</w:t>
            </w:r>
          </w:p>
        </w:tc>
        <w:tc>
          <w:tcPr>
            <w:tcW w:w="394" w:type="pct"/>
            <w:shd w:val="clear" w:color="auto" w:fill="auto"/>
            <w:noWrap/>
            <w:vAlign w:val="center"/>
          </w:tcPr>
          <w:p w14:paraId="1642AFFB"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0.31255416</w:t>
            </w:r>
          </w:p>
        </w:tc>
        <w:tc>
          <w:tcPr>
            <w:tcW w:w="394" w:type="pct"/>
            <w:shd w:val="clear" w:color="auto" w:fill="auto"/>
            <w:noWrap/>
            <w:vAlign w:val="center"/>
          </w:tcPr>
          <w:p w14:paraId="1765F3D9"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0.22209622</w:t>
            </w:r>
          </w:p>
        </w:tc>
        <w:tc>
          <w:tcPr>
            <w:tcW w:w="394" w:type="pct"/>
            <w:shd w:val="clear" w:color="auto" w:fill="auto"/>
            <w:noWrap/>
            <w:vAlign w:val="center"/>
          </w:tcPr>
          <w:p w14:paraId="3D488022"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0.1991055</w:t>
            </w:r>
          </w:p>
        </w:tc>
        <w:tc>
          <w:tcPr>
            <w:tcW w:w="394" w:type="pct"/>
            <w:shd w:val="clear" w:color="auto" w:fill="auto"/>
            <w:noWrap/>
            <w:vAlign w:val="center"/>
          </w:tcPr>
          <w:p w14:paraId="216869F3"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0.27252679</w:t>
            </w:r>
          </w:p>
        </w:tc>
        <w:tc>
          <w:tcPr>
            <w:tcW w:w="394" w:type="pct"/>
            <w:shd w:val="clear" w:color="auto" w:fill="auto"/>
            <w:noWrap/>
            <w:vAlign w:val="center"/>
          </w:tcPr>
          <w:p w14:paraId="3DB561B3"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0.37742389</w:t>
            </w:r>
          </w:p>
        </w:tc>
        <w:tc>
          <w:tcPr>
            <w:tcW w:w="394" w:type="pct"/>
            <w:shd w:val="clear" w:color="auto" w:fill="auto"/>
            <w:noWrap/>
            <w:vAlign w:val="center"/>
          </w:tcPr>
          <w:p w14:paraId="7271E25F"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0.23757086</w:t>
            </w:r>
          </w:p>
        </w:tc>
      </w:tr>
      <w:tr w:rsidR="003A49C8" w:rsidRPr="003A49C8" w14:paraId="392A8DEB" w14:textId="77777777" w:rsidTr="00AA49B7">
        <w:trPr>
          <w:trHeight w:val="300"/>
        </w:trPr>
        <w:tc>
          <w:tcPr>
            <w:tcW w:w="1059" w:type="pct"/>
            <w:shd w:val="clear" w:color="auto" w:fill="auto"/>
            <w:noWrap/>
            <w:vAlign w:val="center"/>
          </w:tcPr>
          <w:p w14:paraId="0A0EB544" w14:textId="39A00346"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IBB iShares Nasdaq Biotechnology ETF</w:t>
            </w:r>
          </w:p>
        </w:tc>
        <w:tc>
          <w:tcPr>
            <w:tcW w:w="394" w:type="pct"/>
            <w:shd w:val="clear" w:color="auto" w:fill="auto"/>
            <w:noWrap/>
            <w:vAlign w:val="center"/>
          </w:tcPr>
          <w:p w14:paraId="714CA866"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0.23259844</w:t>
            </w:r>
          </w:p>
        </w:tc>
        <w:tc>
          <w:tcPr>
            <w:tcW w:w="394" w:type="pct"/>
            <w:shd w:val="clear" w:color="auto" w:fill="auto"/>
            <w:noWrap/>
            <w:vAlign w:val="center"/>
          </w:tcPr>
          <w:p w14:paraId="24E541D3"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0.22679667</w:t>
            </w:r>
          </w:p>
        </w:tc>
        <w:tc>
          <w:tcPr>
            <w:tcW w:w="394" w:type="pct"/>
            <w:shd w:val="clear" w:color="auto" w:fill="auto"/>
            <w:noWrap/>
            <w:vAlign w:val="center"/>
          </w:tcPr>
          <w:p w14:paraId="0A1AFD5E"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0.23700789</w:t>
            </w:r>
          </w:p>
        </w:tc>
        <w:tc>
          <w:tcPr>
            <w:tcW w:w="394" w:type="pct"/>
            <w:shd w:val="clear" w:color="auto" w:fill="auto"/>
            <w:noWrap/>
            <w:vAlign w:val="center"/>
          </w:tcPr>
          <w:p w14:paraId="4876BE17"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0.23223838</w:t>
            </w:r>
          </w:p>
        </w:tc>
        <w:tc>
          <w:tcPr>
            <w:tcW w:w="394" w:type="pct"/>
            <w:shd w:val="clear" w:color="auto" w:fill="auto"/>
            <w:noWrap/>
            <w:vAlign w:val="center"/>
          </w:tcPr>
          <w:p w14:paraId="0E674203"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0.22904732</w:t>
            </w:r>
          </w:p>
        </w:tc>
        <w:tc>
          <w:tcPr>
            <w:tcW w:w="394" w:type="pct"/>
            <w:shd w:val="clear" w:color="auto" w:fill="auto"/>
            <w:noWrap/>
            <w:vAlign w:val="center"/>
          </w:tcPr>
          <w:p w14:paraId="2A5C35C6"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0.23515046</w:t>
            </w:r>
          </w:p>
        </w:tc>
        <w:tc>
          <w:tcPr>
            <w:tcW w:w="394" w:type="pct"/>
            <w:shd w:val="clear" w:color="auto" w:fill="auto"/>
            <w:noWrap/>
            <w:vAlign w:val="center"/>
          </w:tcPr>
          <w:p w14:paraId="2E87A7C0"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0.22696822</w:t>
            </w:r>
          </w:p>
        </w:tc>
        <w:tc>
          <w:tcPr>
            <w:tcW w:w="394" w:type="pct"/>
            <w:shd w:val="clear" w:color="auto" w:fill="auto"/>
            <w:noWrap/>
            <w:vAlign w:val="center"/>
          </w:tcPr>
          <w:p w14:paraId="253B3AC8"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0.39273821</w:t>
            </w:r>
          </w:p>
        </w:tc>
        <w:tc>
          <w:tcPr>
            <w:tcW w:w="394" w:type="pct"/>
            <w:shd w:val="clear" w:color="auto" w:fill="auto"/>
            <w:noWrap/>
            <w:vAlign w:val="center"/>
          </w:tcPr>
          <w:p w14:paraId="6C4ACFD0"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0.42201405</w:t>
            </w:r>
          </w:p>
        </w:tc>
        <w:tc>
          <w:tcPr>
            <w:tcW w:w="394" w:type="pct"/>
            <w:shd w:val="clear" w:color="auto" w:fill="auto"/>
            <w:noWrap/>
            <w:vAlign w:val="center"/>
          </w:tcPr>
          <w:p w14:paraId="0D135182"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0.21220084</w:t>
            </w:r>
          </w:p>
        </w:tc>
      </w:tr>
      <w:tr w:rsidR="003A49C8" w:rsidRPr="003A49C8" w14:paraId="7A32033E" w14:textId="77777777" w:rsidTr="00AA49B7">
        <w:trPr>
          <w:trHeight w:val="300"/>
        </w:trPr>
        <w:tc>
          <w:tcPr>
            <w:tcW w:w="1059" w:type="pct"/>
            <w:shd w:val="clear" w:color="auto" w:fill="auto"/>
            <w:noWrap/>
            <w:vAlign w:val="center"/>
          </w:tcPr>
          <w:p w14:paraId="309331DC" w14:textId="0826F54D"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 xml:space="preserve">IHF iShares US Healthcare Providers ETF </w:t>
            </w:r>
          </w:p>
        </w:tc>
        <w:tc>
          <w:tcPr>
            <w:tcW w:w="394" w:type="pct"/>
            <w:shd w:val="clear" w:color="auto" w:fill="auto"/>
            <w:noWrap/>
            <w:vAlign w:val="center"/>
          </w:tcPr>
          <w:p w14:paraId="19EC9553"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0.27203263</w:t>
            </w:r>
          </w:p>
        </w:tc>
        <w:tc>
          <w:tcPr>
            <w:tcW w:w="394" w:type="pct"/>
            <w:shd w:val="clear" w:color="auto" w:fill="auto"/>
            <w:noWrap/>
            <w:vAlign w:val="center"/>
          </w:tcPr>
          <w:p w14:paraId="242940CF"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0.26482965</w:t>
            </w:r>
          </w:p>
        </w:tc>
        <w:tc>
          <w:tcPr>
            <w:tcW w:w="394" w:type="pct"/>
            <w:shd w:val="clear" w:color="auto" w:fill="auto"/>
            <w:noWrap/>
            <w:vAlign w:val="center"/>
          </w:tcPr>
          <w:p w14:paraId="5DA80CC1"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0.2315216</w:t>
            </w:r>
          </w:p>
        </w:tc>
        <w:tc>
          <w:tcPr>
            <w:tcW w:w="394" w:type="pct"/>
            <w:shd w:val="clear" w:color="auto" w:fill="auto"/>
            <w:noWrap/>
            <w:vAlign w:val="center"/>
          </w:tcPr>
          <w:p w14:paraId="12FE33DD"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0.26251268</w:t>
            </w:r>
          </w:p>
        </w:tc>
        <w:tc>
          <w:tcPr>
            <w:tcW w:w="394" w:type="pct"/>
            <w:shd w:val="clear" w:color="auto" w:fill="auto"/>
            <w:noWrap/>
            <w:vAlign w:val="center"/>
          </w:tcPr>
          <w:p w14:paraId="3D186067"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0.25866551</w:t>
            </w:r>
          </w:p>
        </w:tc>
        <w:tc>
          <w:tcPr>
            <w:tcW w:w="394" w:type="pct"/>
            <w:shd w:val="clear" w:color="auto" w:fill="auto"/>
            <w:noWrap/>
            <w:vAlign w:val="center"/>
          </w:tcPr>
          <w:p w14:paraId="6B373551"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0.2345989</w:t>
            </w:r>
          </w:p>
        </w:tc>
        <w:tc>
          <w:tcPr>
            <w:tcW w:w="394" w:type="pct"/>
            <w:shd w:val="clear" w:color="auto" w:fill="auto"/>
            <w:noWrap/>
            <w:vAlign w:val="center"/>
          </w:tcPr>
          <w:p w14:paraId="400565D4"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0.21190113</w:t>
            </w:r>
          </w:p>
        </w:tc>
        <w:tc>
          <w:tcPr>
            <w:tcW w:w="394" w:type="pct"/>
            <w:shd w:val="clear" w:color="auto" w:fill="auto"/>
            <w:noWrap/>
            <w:vAlign w:val="center"/>
          </w:tcPr>
          <w:p w14:paraId="2A20442B"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0.43110919</w:t>
            </w:r>
          </w:p>
        </w:tc>
        <w:tc>
          <w:tcPr>
            <w:tcW w:w="394" w:type="pct"/>
            <w:shd w:val="clear" w:color="auto" w:fill="auto"/>
            <w:noWrap/>
            <w:vAlign w:val="center"/>
          </w:tcPr>
          <w:p w14:paraId="32E3EA68"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0.51203412</w:t>
            </w:r>
          </w:p>
        </w:tc>
        <w:tc>
          <w:tcPr>
            <w:tcW w:w="394" w:type="pct"/>
            <w:shd w:val="clear" w:color="auto" w:fill="auto"/>
            <w:noWrap/>
            <w:vAlign w:val="center"/>
          </w:tcPr>
          <w:p w14:paraId="6CA467E1"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0.22957306</w:t>
            </w:r>
          </w:p>
        </w:tc>
      </w:tr>
      <w:tr w:rsidR="003A49C8" w:rsidRPr="003A49C8" w14:paraId="4B3F6741" w14:textId="77777777" w:rsidTr="00AA49B7">
        <w:trPr>
          <w:trHeight w:val="300"/>
        </w:trPr>
        <w:tc>
          <w:tcPr>
            <w:tcW w:w="1059" w:type="pct"/>
            <w:shd w:val="clear" w:color="auto" w:fill="auto"/>
            <w:noWrap/>
            <w:vAlign w:val="center"/>
          </w:tcPr>
          <w:p w14:paraId="6BB35FED" w14:textId="014929C1"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IHI iShares US Medical Device ETF</w:t>
            </w:r>
          </w:p>
        </w:tc>
        <w:tc>
          <w:tcPr>
            <w:tcW w:w="394" w:type="pct"/>
            <w:shd w:val="clear" w:color="auto" w:fill="auto"/>
            <w:noWrap/>
            <w:vAlign w:val="center"/>
          </w:tcPr>
          <w:p w14:paraId="5B73F16B"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0.26910493</w:t>
            </w:r>
          </w:p>
        </w:tc>
        <w:tc>
          <w:tcPr>
            <w:tcW w:w="394" w:type="pct"/>
            <w:shd w:val="clear" w:color="auto" w:fill="auto"/>
            <w:noWrap/>
            <w:vAlign w:val="center"/>
          </w:tcPr>
          <w:p w14:paraId="0A018C7C"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0.2615972</w:t>
            </w:r>
          </w:p>
        </w:tc>
        <w:tc>
          <w:tcPr>
            <w:tcW w:w="394" w:type="pct"/>
            <w:shd w:val="clear" w:color="auto" w:fill="auto"/>
            <w:noWrap/>
            <w:vAlign w:val="center"/>
          </w:tcPr>
          <w:p w14:paraId="78773920"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0.23187944</w:t>
            </w:r>
          </w:p>
        </w:tc>
        <w:tc>
          <w:tcPr>
            <w:tcW w:w="394" w:type="pct"/>
            <w:shd w:val="clear" w:color="auto" w:fill="auto"/>
            <w:noWrap/>
            <w:vAlign w:val="center"/>
          </w:tcPr>
          <w:p w14:paraId="10D776CA"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0.27203263</w:t>
            </w:r>
          </w:p>
        </w:tc>
        <w:tc>
          <w:tcPr>
            <w:tcW w:w="394" w:type="pct"/>
            <w:shd w:val="clear" w:color="auto" w:fill="auto"/>
            <w:noWrap/>
            <w:vAlign w:val="center"/>
          </w:tcPr>
          <w:p w14:paraId="34F4E818"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0.26742602</w:t>
            </w:r>
          </w:p>
        </w:tc>
        <w:tc>
          <w:tcPr>
            <w:tcW w:w="394" w:type="pct"/>
            <w:shd w:val="clear" w:color="auto" w:fill="auto"/>
            <w:noWrap/>
            <w:vAlign w:val="center"/>
          </w:tcPr>
          <w:p w14:paraId="3278A9DA"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0.23441562</w:t>
            </w:r>
          </w:p>
        </w:tc>
        <w:tc>
          <w:tcPr>
            <w:tcW w:w="394" w:type="pct"/>
            <w:shd w:val="clear" w:color="auto" w:fill="auto"/>
            <w:noWrap/>
            <w:vAlign w:val="center"/>
          </w:tcPr>
          <w:p w14:paraId="5A18CE76"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0.20693241</w:t>
            </w:r>
          </w:p>
        </w:tc>
        <w:tc>
          <w:tcPr>
            <w:tcW w:w="394" w:type="pct"/>
            <w:shd w:val="clear" w:color="auto" w:fill="auto"/>
            <w:noWrap/>
            <w:vAlign w:val="center"/>
          </w:tcPr>
          <w:p w14:paraId="04B55C8A"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0.40879018</w:t>
            </w:r>
          </w:p>
        </w:tc>
        <w:tc>
          <w:tcPr>
            <w:tcW w:w="394" w:type="pct"/>
            <w:shd w:val="clear" w:color="auto" w:fill="auto"/>
            <w:noWrap/>
            <w:vAlign w:val="center"/>
          </w:tcPr>
          <w:p w14:paraId="3CABBB2D"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0.55055412</w:t>
            </w:r>
          </w:p>
        </w:tc>
        <w:tc>
          <w:tcPr>
            <w:tcW w:w="394" w:type="pct"/>
            <w:shd w:val="clear" w:color="auto" w:fill="auto"/>
            <w:noWrap/>
            <w:vAlign w:val="center"/>
          </w:tcPr>
          <w:p w14:paraId="23388B29"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0.23626141</w:t>
            </w:r>
          </w:p>
        </w:tc>
      </w:tr>
      <w:tr w:rsidR="003A49C8" w:rsidRPr="003A49C8" w14:paraId="17E1ADF9" w14:textId="77777777" w:rsidTr="00AA49B7">
        <w:trPr>
          <w:trHeight w:val="300"/>
        </w:trPr>
        <w:tc>
          <w:tcPr>
            <w:tcW w:w="1059" w:type="pct"/>
            <w:shd w:val="clear" w:color="auto" w:fill="auto"/>
            <w:noWrap/>
            <w:vAlign w:val="center"/>
          </w:tcPr>
          <w:p w14:paraId="5A690DC4" w14:textId="432DCB0E"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IXJ iShares Global Healthcare ETF</w:t>
            </w:r>
          </w:p>
        </w:tc>
        <w:tc>
          <w:tcPr>
            <w:tcW w:w="394" w:type="pct"/>
            <w:shd w:val="clear" w:color="auto" w:fill="auto"/>
            <w:noWrap/>
            <w:vAlign w:val="center"/>
          </w:tcPr>
          <w:p w14:paraId="0B41FA4A"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0.24276051</w:t>
            </w:r>
          </w:p>
        </w:tc>
        <w:tc>
          <w:tcPr>
            <w:tcW w:w="394" w:type="pct"/>
            <w:shd w:val="clear" w:color="auto" w:fill="auto"/>
            <w:noWrap/>
            <w:vAlign w:val="center"/>
          </w:tcPr>
          <w:p w14:paraId="7D2B9370"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0.24374654</w:t>
            </w:r>
          </w:p>
        </w:tc>
        <w:tc>
          <w:tcPr>
            <w:tcW w:w="394" w:type="pct"/>
            <w:shd w:val="clear" w:color="auto" w:fill="auto"/>
            <w:noWrap/>
            <w:vAlign w:val="center"/>
          </w:tcPr>
          <w:p w14:paraId="0BC4367D"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0.24004159</w:t>
            </w:r>
          </w:p>
        </w:tc>
        <w:tc>
          <w:tcPr>
            <w:tcW w:w="394" w:type="pct"/>
            <w:shd w:val="clear" w:color="auto" w:fill="auto"/>
            <w:noWrap/>
            <w:vAlign w:val="center"/>
          </w:tcPr>
          <w:p w14:paraId="016B0433"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0.23832565</w:t>
            </w:r>
          </w:p>
        </w:tc>
        <w:tc>
          <w:tcPr>
            <w:tcW w:w="394" w:type="pct"/>
            <w:shd w:val="clear" w:color="auto" w:fill="auto"/>
            <w:noWrap/>
            <w:vAlign w:val="center"/>
          </w:tcPr>
          <w:p w14:paraId="018CC125"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0.2345989</w:t>
            </w:r>
          </w:p>
        </w:tc>
        <w:tc>
          <w:tcPr>
            <w:tcW w:w="394" w:type="pct"/>
            <w:shd w:val="clear" w:color="auto" w:fill="auto"/>
            <w:noWrap/>
            <w:vAlign w:val="center"/>
          </w:tcPr>
          <w:p w14:paraId="0FDA46CB"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0.24004159</w:t>
            </w:r>
          </w:p>
        </w:tc>
        <w:tc>
          <w:tcPr>
            <w:tcW w:w="394" w:type="pct"/>
            <w:shd w:val="clear" w:color="auto" w:fill="auto"/>
            <w:noWrap/>
            <w:vAlign w:val="center"/>
          </w:tcPr>
          <w:p w14:paraId="43DA8803"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0.22226074</w:t>
            </w:r>
          </w:p>
        </w:tc>
        <w:tc>
          <w:tcPr>
            <w:tcW w:w="394" w:type="pct"/>
            <w:shd w:val="clear" w:color="auto" w:fill="auto"/>
            <w:noWrap/>
            <w:vAlign w:val="center"/>
          </w:tcPr>
          <w:p w14:paraId="31A0B75D"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0.42380225</w:t>
            </w:r>
          </w:p>
        </w:tc>
        <w:tc>
          <w:tcPr>
            <w:tcW w:w="394" w:type="pct"/>
            <w:shd w:val="clear" w:color="auto" w:fill="auto"/>
            <w:noWrap/>
            <w:vAlign w:val="center"/>
          </w:tcPr>
          <w:p w14:paraId="7DA74BE4"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0.44917963</w:t>
            </w:r>
          </w:p>
        </w:tc>
        <w:tc>
          <w:tcPr>
            <w:tcW w:w="394" w:type="pct"/>
            <w:shd w:val="clear" w:color="auto" w:fill="auto"/>
            <w:noWrap/>
            <w:vAlign w:val="center"/>
          </w:tcPr>
          <w:p w14:paraId="16175341"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0.22492653</w:t>
            </w:r>
          </w:p>
        </w:tc>
      </w:tr>
      <w:tr w:rsidR="003A49C8" w:rsidRPr="003A49C8" w14:paraId="4D654C90" w14:textId="77777777" w:rsidTr="00AA49B7">
        <w:trPr>
          <w:trHeight w:val="300"/>
        </w:trPr>
        <w:tc>
          <w:tcPr>
            <w:tcW w:w="1059" w:type="pct"/>
            <w:shd w:val="clear" w:color="auto" w:fill="auto"/>
            <w:noWrap/>
            <w:vAlign w:val="center"/>
          </w:tcPr>
          <w:p w14:paraId="47DBD644" w14:textId="2AA85F69"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IYH iShares US Healthcare ETF</w:t>
            </w:r>
          </w:p>
        </w:tc>
        <w:tc>
          <w:tcPr>
            <w:tcW w:w="394" w:type="pct"/>
            <w:shd w:val="clear" w:color="auto" w:fill="auto"/>
            <w:noWrap/>
            <w:vAlign w:val="center"/>
          </w:tcPr>
          <w:p w14:paraId="57B7BA01"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0.2224255</w:t>
            </w:r>
          </w:p>
        </w:tc>
        <w:tc>
          <w:tcPr>
            <w:tcW w:w="394" w:type="pct"/>
            <w:shd w:val="clear" w:color="auto" w:fill="auto"/>
            <w:noWrap/>
            <w:vAlign w:val="center"/>
          </w:tcPr>
          <w:p w14:paraId="3E67A742"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0.22095139</w:t>
            </w:r>
          </w:p>
        </w:tc>
        <w:tc>
          <w:tcPr>
            <w:tcW w:w="394" w:type="pct"/>
            <w:shd w:val="clear" w:color="auto" w:fill="auto"/>
            <w:noWrap/>
            <w:vAlign w:val="center"/>
          </w:tcPr>
          <w:p w14:paraId="29886239"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0.23700789</w:t>
            </w:r>
          </w:p>
        </w:tc>
        <w:tc>
          <w:tcPr>
            <w:tcW w:w="394" w:type="pct"/>
            <w:shd w:val="clear" w:color="auto" w:fill="auto"/>
            <w:noWrap/>
            <w:vAlign w:val="center"/>
          </w:tcPr>
          <w:p w14:paraId="702CF6FA"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0.22835007</w:t>
            </w:r>
          </w:p>
        </w:tc>
        <w:tc>
          <w:tcPr>
            <w:tcW w:w="394" w:type="pct"/>
            <w:shd w:val="clear" w:color="auto" w:fill="auto"/>
            <w:noWrap/>
            <w:vAlign w:val="center"/>
          </w:tcPr>
          <w:p w14:paraId="080BBF99"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0.21901605</w:t>
            </w:r>
          </w:p>
        </w:tc>
        <w:tc>
          <w:tcPr>
            <w:tcW w:w="394" w:type="pct"/>
            <w:shd w:val="clear" w:color="auto" w:fill="auto"/>
            <w:noWrap/>
            <w:vAlign w:val="center"/>
          </w:tcPr>
          <w:p w14:paraId="45C1FDEA"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0.22939755</w:t>
            </w:r>
          </w:p>
        </w:tc>
        <w:tc>
          <w:tcPr>
            <w:tcW w:w="394" w:type="pct"/>
            <w:shd w:val="clear" w:color="auto" w:fill="auto"/>
            <w:noWrap/>
            <w:vAlign w:val="center"/>
          </w:tcPr>
          <w:p w14:paraId="3E36CFBA"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0.23134309</w:t>
            </w:r>
          </w:p>
        </w:tc>
        <w:tc>
          <w:tcPr>
            <w:tcW w:w="394" w:type="pct"/>
            <w:shd w:val="clear" w:color="auto" w:fill="auto"/>
            <w:noWrap/>
            <w:vAlign w:val="center"/>
          </w:tcPr>
          <w:p w14:paraId="57CBE49E"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0.4386725</w:t>
            </w:r>
          </w:p>
        </w:tc>
        <w:tc>
          <w:tcPr>
            <w:tcW w:w="394" w:type="pct"/>
            <w:shd w:val="clear" w:color="auto" w:fill="auto"/>
            <w:noWrap/>
            <w:vAlign w:val="center"/>
          </w:tcPr>
          <w:p w14:paraId="440E5744"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0.42987392</w:t>
            </w:r>
          </w:p>
        </w:tc>
        <w:tc>
          <w:tcPr>
            <w:tcW w:w="394" w:type="pct"/>
            <w:shd w:val="clear" w:color="auto" w:fill="auto"/>
            <w:noWrap/>
            <w:vAlign w:val="center"/>
          </w:tcPr>
          <w:p w14:paraId="7536ABAF"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0.21145313</w:t>
            </w:r>
          </w:p>
        </w:tc>
      </w:tr>
      <w:tr w:rsidR="003A49C8" w:rsidRPr="003A49C8" w14:paraId="053A85A9" w14:textId="77777777" w:rsidTr="00AA49B7">
        <w:trPr>
          <w:trHeight w:val="300"/>
        </w:trPr>
        <w:tc>
          <w:tcPr>
            <w:tcW w:w="1059" w:type="pct"/>
            <w:shd w:val="clear" w:color="auto" w:fill="auto"/>
            <w:noWrap/>
            <w:vAlign w:val="center"/>
          </w:tcPr>
          <w:p w14:paraId="4237110C" w14:textId="5B680280"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VHT Vanguard Health Care Index Fund ETF</w:t>
            </w:r>
          </w:p>
        </w:tc>
        <w:tc>
          <w:tcPr>
            <w:tcW w:w="394" w:type="pct"/>
            <w:shd w:val="clear" w:color="auto" w:fill="auto"/>
            <w:noWrap/>
            <w:vAlign w:val="center"/>
          </w:tcPr>
          <w:p w14:paraId="5595BFF1"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0.25645469</w:t>
            </w:r>
          </w:p>
        </w:tc>
        <w:tc>
          <w:tcPr>
            <w:tcW w:w="394" w:type="pct"/>
            <w:shd w:val="clear" w:color="auto" w:fill="auto"/>
            <w:noWrap/>
            <w:vAlign w:val="center"/>
          </w:tcPr>
          <w:p w14:paraId="6CF15E6F"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0.2557988</w:t>
            </w:r>
          </w:p>
        </w:tc>
        <w:tc>
          <w:tcPr>
            <w:tcW w:w="394" w:type="pct"/>
            <w:shd w:val="clear" w:color="auto" w:fill="auto"/>
            <w:noWrap/>
            <w:vAlign w:val="center"/>
          </w:tcPr>
          <w:p w14:paraId="02C0B905"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0.2315216</w:t>
            </w:r>
          </w:p>
        </w:tc>
        <w:tc>
          <w:tcPr>
            <w:tcW w:w="394" w:type="pct"/>
            <w:shd w:val="clear" w:color="auto" w:fill="auto"/>
            <w:noWrap/>
            <w:vAlign w:val="center"/>
          </w:tcPr>
          <w:p w14:paraId="3686AF7C"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0.25558091</w:t>
            </w:r>
          </w:p>
        </w:tc>
        <w:tc>
          <w:tcPr>
            <w:tcW w:w="394" w:type="pct"/>
            <w:shd w:val="clear" w:color="auto" w:fill="auto"/>
            <w:noWrap/>
            <w:vAlign w:val="center"/>
          </w:tcPr>
          <w:p w14:paraId="68070A81"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0.25492948</w:t>
            </w:r>
          </w:p>
        </w:tc>
        <w:tc>
          <w:tcPr>
            <w:tcW w:w="394" w:type="pct"/>
            <w:shd w:val="clear" w:color="auto" w:fill="auto"/>
            <w:noWrap/>
            <w:vAlign w:val="center"/>
          </w:tcPr>
          <w:p w14:paraId="712ADB44"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0.23794766</w:t>
            </w:r>
          </w:p>
        </w:tc>
        <w:tc>
          <w:tcPr>
            <w:tcW w:w="394" w:type="pct"/>
            <w:shd w:val="clear" w:color="auto" w:fill="auto"/>
            <w:noWrap/>
            <w:vAlign w:val="center"/>
          </w:tcPr>
          <w:p w14:paraId="142AA8D5"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0.21539985</w:t>
            </w:r>
          </w:p>
        </w:tc>
        <w:tc>
          <w:tcPr>
            <w:tcW w:w="394" w:type="pct"/>
            <w:shd w:val="clear" w:color="auto" w:fill="auto"/>
            <w:noWrap/>
            <w:vAlign w:val="center"/>
          </w:tcPr>
          <w:p w14:paraId="439BA0DC"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0.42201405</w:t>
            </w:r>
          </w:p>
        </w:tc>
        <w:tc>
          <w:tcPr>
            <w:tcW w:w="394" w:type="pct"/>
            <w:shd w:val="clear" w:color="auto" w:fill="auto"/>
            <w:noWrap/>
            <w:vAlign w:val="center"/>
          </w:tcPr>
          <w:p w14:paraId="4476FB94"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0.51644061</w:t>
            </w:r>
          </w:p>
        </w:tc>
        <w:tc>
          <w:tcPr>
            <w:tcW w:w="394" w:type="pct"/>
            <w:shd w:val="clear" w:color="auto" w:fill="auto"/>
            <w:noWrap/>
            <w:vAlign w:val="center"/>
          </w:tcPr>
          <w:p w14:paraId="239E2692"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0.2435487</w:t>
            </w:r>
          </w:p>
        </w:tc>
      </w:tr>
      <w:tr w:rsidR="003A49C8" w:rsidRPr="003A49C8" w14:paraId="2E0EC2AB" w14:textId="77777777" w:rsidTr="00AA49B7">
        <w:trPr>
          <w:trHeight w:val="300"/>
        </w:trPr>
        <w:tc>
          <w:tcPr>
            <w:tcW w:w="1059" w:type="pct"/>
            <w:shd w:val="clear" w:color="auto" w:fill="auto"/>
            <w:noWrap/>
            <w:vAlign w:val="center"/>
          </w:tcPr>
          <w:p w14:paraId="312656F9" w14:textId="447A84FB" w:rsidR="00456D56" w:rsidRPr="003A49C8" w:rsidRDefault="00456D56" w:rsidP="00456D56">
            <w:pPr>
              <w:spacing w:after="0" w:line="240" w:lineRule="auto"/>
              <w:rPr>
                <w:rFonts w:eastAsia="Times New Roman" w:cs="Times New Roman"/>
                <w:sz w:val="18"/>
                <w:szCs w:val="18"/>
                <w:lang w:val="nl-NL"/>
              </w:rPr>
            </w:pPr>
            <w:r w:rsidRPr="003A49C8">
              <w:rPr>
                <w:rFonts w:eastAsia="Times New Roman" w:cs="Times New Roman"/>
                <w:sz w:val="18"/>
                <w:szCs w:val="18"/>
                <w:lang w:val="nl-NL"/>
              </w:rPr>
              <w:t>XBI SPDR S&amp;P Biotech ETF</w:t>
            </w:r>
          </w:p>
        </w:tc>
        <w:tc>
          <w:tcPr>
            <w:tcW w:w="394" w:type="pct"/>
            <w:shd w:val="clear" w:color="auto" w:fill="auto"/>
            <w:noWrap/>
            <w:vAlign w:val="center"/>
          </w:tcPr>
          <w:p w14:paraId="26E3593D"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0.26862309</w:t>
            </w:r>
          </w:p>
        </w:tc>
        <w:tc>
          <w:tcPr>
            <w:tcW w:w="394" w:type="pct"/>
            <w:shd w:val="clear" w:color="auto" w:fill="auto"/>
            <w:noWrap/>
            <w:vAlign w:val="center"/>
          </w:tcPr>
          <w:p w14:paraId="7AE33746"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0.26343459</w:t>
            </w:r>
          </w:p>
        </w:tc>
        <w:tc>
          <w:tcPr>
            <w:tcW w:w="394" w:type="pct"/>
            <w:shd w:val="clear" w:color="auto" w:fill="auto"/>
            <w:noWrap/>
            <w:vAlign w:val="center"/>
          </w:tcPr>
          <w:p w14:paraId="79CC6885"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0.22887261</w:t>
            </w:r>
          </w:p>
        </w:tc>
        <w:tc>
          <w:tcPr>
            <w:tcW w:w="394" w:type="pct"/>
            <w:shd w:val="clear" w:color="auto" w:fill="auto"/>
            <w:noWrap/>
            <w:vAlign w:val="center"/>
          </w:tcPr>
          <w:p w14:paraId="31D2AC54"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0.27911813</w:t>
            </w:r>
          </w:p>
        </w:tc>
        <w:tc>
          <w:tcPr>
            <w:tcW w:w="394" w:type="pct"/>
            <w:shd w:val="clear" w:color="auto" w:fill="auto"/>
            <w:noWrap/>
            <w:vAlign w:val="center"/>
          </w:tcPr>
          <w:p w14:paraId="7A29EFA6"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0.26958849</w:t>
            </w:r>
          </w:p>
        </w:tc>
        <w:tc>
          <w:tcPr>
            <w:tcW w:w="394" w:type="pct"/>
            <w:shd w:val="clear" w:color="auto" w:fill="auto"/>
            <w:noWrap/>
            <w:vAlign w:val="center"/>
          </w:tcPr>
          <w:p w14:paraId="35DBAB0B"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0.23478247</w:t>
            </w:r>
          </w:p>
        </w:tc>
        <w:tc>
          <w:tcPr>
            <w:tcW w:w="394" w:type="pct"/>
            <w:shd w:val="clear" w:color="auto" w:fill="auto"/>
            <w:noWrap/>
            <w:vAlign w:val="center"/>
          </w:tcPr>
          <w:p w14:paraId="473D82A9"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0.21085874</w:t>
            </w:r>
          </w:p>
        </w:tc>
        <w:tc>
          <w:tcPr>
            <w:tcW w:w="394" w:type="pct"/>
            <w:shd w:val="clear" w:color="auto" w:fill="auto"/>
            <w:noWrap/>
            <w:vAlign w:val="center"/>
          </w:tcPr>
          <w:p w14:paraId="1DCA7A0B"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0.37366375</w:t>
            </w:r>
          </w:p>
        </w:tc>
        <w:tc>
          <w:tcPr>
            <w:tcW w:w="394" w:type="pct"/>
            <w:shd w:val="clear" w:color="auto" w:fill="auto"/>
            <w:noWrap/>
            <w:vAlign w:val="center"/>
          </w:tcPr>
          <w:p w14:paraId="7BB8BA01"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0.53869299</w:t>
            </w:r>
          </w:p>
        </w:tc>
        <w:tc>
          <w:tcPr>
            <w:tcW w:w="394" w:type="pct"/>
            <w:shd w:val="clear" w:color="auto" w:fill="auto"/>
            <w:noWrap/>
            <w:vAlign w:val="center"/>
          </w:tcPr>
          <w:p w14:paraId="78C4B989"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0.2345989</w:t>
            </w:r>
          </w:p>
        </w:tc>
      </w:tr>
      <w:tr w:rsidR="003A49C8" w:rsidRPr="003A49C8" w14:paraId="3DA5E95D" w14:textId="77777777" w:rsidTr="00AA49B7">
        <w:trPr>
          <w:trHeight w:val="300"/>
        </w:trPr>
        <w:tc>
          <w:tcPr>
            <w:tcW w:w="1059" w:type="pct"/>
            <w:shd w:val="clear" w:color="auto" w:fill="auto"/>
            <w:noWrap/>
            <w:vAlign w:val="center"/>
          </w:tcPr>
          <w:p w14:paraId="074EE461" w14:textId="77777777" w:rsidR="00613783" w:rsidRPr="003A49C8" w:rsidRDefault="00613783" w:rsidP="00456D56">
            <w:pPr>
              <w:spacing w:after="0" w:line="240" w:lineRule="auto"/>
              <w:rPr>
                <w:rFonts w:eastAsia="Times New Roman" w:cs="Times New Roman"/>
                <w:sz w:val="18"/>
                <w:szCs w:val="18"/>
              </w:rPr>
            </w:pPr>
            <w:r w:rsidRPr="003A49C8">
              <w:rPr>
                <w:rFonts w:eastAsia="Times New Roman" w:cs="Times New Roman"/>
                <w:b/>
                <w:bCs/>
                <w:sz w:val="18"/>
                <w:szCs w:val="18"/>
              </w:rPr>
              <w:t>Average</w:t>
            </w:r>
          </w:p>
        </w:tc>
        <w:tc>
          <w:tcPr>
            <w:tcW w:w="394" w:type="pct"/>
            <w:shd w:val="clear" w:color="auto" w:fill="auto"/>
            <w:noWrap/>
            <w:vAlign w:val="center"/>
          </w:tcPr>
          <w:p w14:paraId="789C10F0" w14:textId="77777777" w:rsidR="00613783" w:rsidRPr="003A49C8" w:rsidRDefault="00613783" w:rsidP="00456D56">
            <w:pPr>
              <w:spacing w:after="0" w:line="240" w:lineRule="auto"/>
              <w:rPr>
                <w:rFonts w:eastAsia="Times New Roman" w:cs="Times New Roman"/>
                <w:sz w:val="18"/>
                <w:szCs w:val="18"/>
              </w:rPr>
            </w:pPr>
            <w:r w:rsidRPr="003A49C8">
              <w:rPr>
                <w:rFonts w:eastAsia="Times New Roman" w:cs="Times New Roman"/>
                <w:b/>
                <w:bCs/>
                <w:sz w:val="18"/>
                <w:szCs w:val="18"/>
              </w:rPr>
              <w:t>0.250264791</w:t>
            </w:r>
          </w:p>
        </w:tc>
        <w:tc>
          <w:tcPr>
            <w:tcW w:w="394" w:type="pct"/>
            <w:shd w:val="clear" w:color="auto" w:fill="auto"/>
            <w:noWrap/>
            <w:vAlign w:val="center"/>
          </w:tcPr>
          <w:p w14:paraId="1642ADC4" w14:textId="77777777" w:rsidR="00613783" w:rsidRPr="003A49C8" w:rsidRDefault="00613783" w:rsidP="00456D56">
            <w:pPr>
              <w:spacing w:after="0" w:line="240" w:lineRule="auto"/>
              <w:rPr>
                <w:rFonts w:eastAsia="Times New Roman" w:cs="Times New Roman"/>
                <w:sz w:val="18"/>
                <w:szCs w:val="18"/>
              </w:rPr>
            </w:pPr>
            <w:r w:rsidRPr="003A49C8">
              <w:rPr>
                <w:rFonts w:eastAsia="Times New Roman" w:cs="Times New Roman"/>
                <w:b/>
                <w:bCs/>
                <w:sz w:val="18"/>
                <w:szCs w:val="18"/>
              </w:rPr>
              <w:t>0.243932767</w:t>
            </w:r>
          </w:p>
        </w:tc>
        <w:tc>
          <w:tcPr>
            <w:tcW w:w="394" w:type="pct"/>
            <w:shd w:val="clear" w:color="auto" w:fill="auto"/>
            <w:noWrap/>
            <w:vAlign w:val="center"/>
          </w:tcPr>
          <w:p w14:paraId="1711054F" w14:textId="77777777" w:rsidR="00613783" w:rsidRPr="003A49C8" w:rsidRDefault="00613783" w:rsidP="00456D56">
            <w:pPr>
              <w:spacing w:after="0" w:line="240" w:lineRule="auto"/>
              <w:rPr>
                <w:rFonts w:eastAsia="Times New Roman" w:cs="Times New Roman"/>
                <w:sz w:val="18"/>
                <w:szCs w:val="18"/>
              </w:rPr>
            </w:pPr>
            <w:r w:rsidRPr="003A49C8">
              <w:rPr>
                <w:rFonts w:eastAsia="Times New Roman" w:cs="Times New Roman"/>
                <w:b/>
                <w:bCs/>
                <w:sz w:val="18"/>
                <w:szCs w:val="18"/>
              </w:rPr>
              <w:t>0.229582241</w:t>
            </w:r>
          </w:p>
        </w:tc>
        <w:tc>
          <w:tcPr>
            <w:tcW w:w="394" w:type="pct"/>
            <w:shd w:val="clear" w:color="auto" w:fill="auto"/>
            <w:noWrap/>
            <w:vAlign w:val="center"/>
          </w:tcPr>
          <w:p w14:paraId="030557A8" w14:textId="77777777" w:rsidR="00613783" w:rsidRPr="003A49C8" w:rsidRDefault="00613783" w:rsidP="00456D56">
            <w:pPr>
              <w:spacing w:after="0" w:line="240" w:lineRule="auto"/>
              <w:rPr>
                <w:rFonts w:eastAsia="Times New Roman" w:cs="Times New Roman"/>
                <w:sz w:val="18"/>
                <w:szCs w:val="18"/>
              </w:rPr>
            </w:pPr>
            <w:r w:rsidRPr="003A49C8">
              <w:rPr>
                <w:rFonts w:eastAsia="Times New Roman" w:cs="Times New Roman"/>
                <w:b/>
                <w:bCs/>
                <w:sz w:val="18"/>
                <w:szCs w:val="18"/>
              </w:rPr>
              <w:t>0.262734347</w:t>
            </w:r>
          </w:p>
        </w:tc>
        <w:tc>
          <w:tcPr>
            <w:tcW w:w="394" w:type="pct"/>
            <w:shd w:val="clear" w:color="auto" w:fill="auto"/>
            <w:noWrap/>
            <w:vAlign w:val="center"/>
          </w:tcPr>
          <w:p w14:paraId="7F008518" w14:textId="77777777" w:rsidR="00613783" w:rsidRPr="003A49C8" w:rsidRDefault="00613783" w:rsidP="00456D56">
            <w:pPr>
              <w:spacing w:after="0" w:line="240" w:lineRule="auto"/>
              <w:rPr>
                <w:rFonts w:eastAsia="Times New Roman" w:cs="Times New Roman"/>
                <w:sz w:val="18"/>
                <w:szCs w:val="18"/>
              </w:rPr>
            </w:pPr>
            <w:r w:rsidRPr="003A49C8">
              <w:rPr>
                <w:rFonts w:eastAsia="Times New Roman" w:cs="Times New Roman"/>
                <w:b/>
                <w:bCs/>
                <w:sz w:val="18"/>
                <w:szCs w:val="18"/>
              </w:rPr>
              <w:t>0.256434797</w:t>
            </w:r>
          </w:p>
        </w:tc>
        <w:tc>
          <w:tcPr>
            <w:tcW w:w="394" w:type="pct"/>
            <w:shd w:val="clear" w:color="auto" w:fill="auto"/>
            <w:noWrap/>
            <w:vAlign w:val="center"/>
          </w:tcPr>
          <w:p w14:paraId="51FEEB59" w14:textId="77777777" w:rsidR="00613783" w:rsidRPr="003A49C8" w:rsidRDefault="00613783" w:rsidP="00456D56">
            <w:pPr>
              <w:spacing w:after="0" w:line="240" w:lineRule="auto"/>
              <w:rPr>
                <w:rFonts w:eastAsia="Times New Roman" w:cs="Times New Roman"/>
                <w:sz w:val="18"/>
                <w:szCs w:val="18"/>
              </w:rPr>
            </w:pPr>
            <w:r w:rsidRPr="003A49C8">
              <w:rPr>
                <w:rFonts w:eastAsia="Times New Roman" w:cs="Times New Roman"/>
                <w:b/>
                <w:bCs/>
                <w:sz w:val="18"/>
                <w:szCs w:val="18"/>
              </w:rPr>
              <w:t>0.230971488</w:t>
            </w:r>
          </w:p>
        </w:tc>
        <w:tc>
          <w:tcPr>
            <w:tcW w:w="394" w:type="pct"/>
            <w:shd w:val="clear" w:color="auto" w:fill="auto"/>
            <w:noWrap/>
            <w:vAlign w:val="center"/>
          </w:tcPr>
          <w:p w14:paraId="3B978907" w14:textId="77777777" w:rsidR="00613783" w:rsidRPr="003A49C8" w:rsidRDefault="00613783" w:rsidP="00456D56">
            <w:pPr>
              <w:spacing w:after="0" w:line="240" w:lineRule="auto"/>
              <w:rPr>
                <w:rFonts w:eastAsia="Times New Roman" w:cs="Times New Roman"/>
                <w:sz w:val="18"/>
                <w:szCs w:val="18"/>
              </w:rPr>
            </w:pPr>
            <w:r w:rsidRPr="003A49C8">
              <w:rPr>
                <w:rFonts w:eastAsia="Times New Roman" w:cs="Times New Roman"/>
                <w:b/>
                <w:bCs/>
                <w:sz w:val="18"/>
                <w:szCs w:val="18"/>
              </w:rPr>
              <w:t>0.215732074</w:t>
            </w:r>
          </w:p>
        </w:tc>
        <w:tc>
          <w:tcPr>
            <w:tcW w:w="394" w:type="pct"/>
            <w:shd w:val="clear" w:color="auto" w:fill="auto"/>
            <w:noWrap/>
            <w:vAlign w:val="center"/>
          </w:tcPr>
          <w:p w14:paraId="3F70A743" w14:textId="77777777" w:rsidR="00613783" w:rsidRPr="003A49C8" w:rsidRDefault="00613783" w:rsidP="00456D56">
            <w:pPr>
              <w:spacing w:after="0" w:line="240" w:lineRule="auto"/>
              <w:rPr>
                <w:rFonts w:eastAsia="Times New Roman" w:cs="Times New Roman"/>
                <w:sz w:val="18"/>
                <w:szCs w:val="18"/>
              </w:rPr>
            </w:pPr>
            <w:r w:rsidRPr="003A49C8">
              <w:rPr>
                <w:rFonts w:eastAsia="Times New Roman" w:cs="Times New Roman"/>
                <w:b/>
                <w:bCs/>
                <w:sz w:val="18"/>
                <w:szCs w:val="18"/>
              </w:rPr>
              <w:t>0.385554383</w:t>
            </w:r>
          </w:p>
        </w:tc>
        <w:tc>
          <w:tcPr>
            <w:tcW w:w="394" w:type="pct"/>
            <w:shd w:val="clear" w:color="auto" w:fill="auto"/>
            <w:noWrap/>
            <w:vAlign w:val="center"/>
          </w:tcPr>
          <w:p w14:paraId="5FCD8762" w14:textId="77777777" w:rsidR="00613783" w:rsidRPr="003A49C8" w:rsidRDefault="00613783" w:rsidP="00456D56">
            <w:pPr>
              <w:spacing w:after="0" w:line="240" w:lineRule="auto"/>
              <w:rPr>
                <w:rFonts w:eastAsia="Times New Roman" w:cs="Times New Roman"/>
                <w:sz w:val="18"/>
                <w:szCs w:val="18"/>
              </w:rPr>
            </w:pPr>
            <w:r w:rsidRPr="003A49C8">
              <w:rPr>
                <w:rFonts w:eastAsia="Times New Roman" w:cs="Times New Roman"/>
                <w:b/>
                <w:bCs/>
                <w:sz w:val="18"/>
                <w:szCs w:val="18"/>
              </w:rPr>
              <w:t>0.455846902</w:t>
            </w:r>
          </w:p>
        </w:tc>
        <w:tc>
          <w:tcPr>
            <w:tcW w:w="394" w:type="pct"/>
            <w:shd w:val="clear" w:color="auto" w:fill="auto"/>
            <w:noWrap/>
            <w:vAlign w:val="center"/>
          </w:tcPr>
          <w:p w14:paraId="6ACFB6D5" w14:textId="77777777" w:rsidR="00613783" w:rsidRPr="003A49C8" w:rsidRDefault="00613783" w:rsidP="00456D56">
            <w:pPr>
              <w:spacing w:after="0" w:line="240" w:lineRule="auto"/>
              <w:rPr>
                <w:rFonts w:eastAsia="Times New Roman" w:cs="Times New Roman"/>
                <w:sz w:val="18"/>
                <w:szCs w:val="18"/>
              </w:rPr>
            </w:pPr>
            <w:r w:rsidRPr="003A49C8">
              <w:rPr>
                <w:rFonts w:eastAsia="Times New Roman" w:cs="Times New Roman"/>
                <w:b/>
                <w:bCs/>
                <w:sz w:val="18"/>
                <w:szCs w:val="18"/>
              </w:rPr>
              <w:t>0.227401396</w:t>
            </w:r>
          </w:p>
        </w:tc>
      </w:tr>
      <w:tr w:rsidR="003A49C8" w:rsidRPr="003A49C8" w14:paraId="0D6EC68C" w14:textId="77777777" w:rsidTr="00AA49B7">
        <w:trPr>
          <w:trHeight w:val="300"/>
        </w:trPr>
        <w:tc>
          <w:tcPr>
            <w:tcW w:w="1059" w:type="pct"/>
            <w:shd w:val="clear" w:color="auto" w:fill="auto"/>
            <w:noWrap/>
            <w:vAlign w:val="center"/>
          </w:tcPr>
          <w:p w14:paraId="20F6627D" w14:textId="77777777" w:rsidR="00613783" w:rsidRPr="003A49C8" w:rsidRDefault="00613783" w:rsidP="00456D56">
            <w:pPr>
              <w:spacing w:after="0" w:line="240" w:lineRule="auto"/>
              <w:rPr>
                <w:rFonts w:eastAsia="Times New Roman" w:cs="Times New Roman"/>
                <w:b/>
                <w:bCs/>
                <w:sz w:val="18"/>
                <w:szCs w:val="18"/>
              </w:rPr>
            </w:pPr>
          </w:p>
        </w:tc>
        <w:tc>
          <w:tcPr>
            <w:tcW w:w="394" w:type="pct"/>
            <w:shd w:val="clear" w:color="auto" w:fill="auto"/>
            <w:noWrap/>
            <w:vAlign w:val="center"/>
          </w:tcPr>
          <w:p w14:paraId="272D16C0" w14:textId="77777777" w:rsidR="00613783" w:rsidRPr="003A49C8" w:rsidRDefault="00613783" w:rsidP="00456D56">
            <w:pPr>
              <w:spacing w:after="0" w:line="240" w:lineRule="auto"/>
              <w:rPr>
                <w:rFonts w:eastAsia="Times New Roman" w:cs="Times New Roman"/>
                <w:b/>
                <w:bCs/>
                <w:sz w:val="18"/>
                <w:szCs w:val="18"/>
              </w:rPr>
            </w:pPr>
          </w:p>
        </w:tc>
        <w:tc>
          <w:tcPr>
            <w:tcW w:w="394" w:type="pct"/>
            <w:shd w:val="clear" w:color="auto" w:fill="auto"/>
            <w:noWrap/>
            <w:vAlign w:val="center"/>
          </w:tcPr>
          <w:p w14:paraId="07CE8637" w14:textId="77777777" w:rsidR="00613783" w:rsidRPr="003A49C8" w:rsidRDefault="00613783" w:rsidP="00456D56">
            <w:pPr>
              <w:spacing w:after="0" w:line="240" w:lineRule="auto"/>
              <w:rPr>
                <w:rFonts w:eastAsia="Times New Roman" w:cs="Times New Roman"/>
                <w:b/>
                <w:bCs/>
                <w:sz w:val="18"/>
                <w:szCs w:val="18"/>
              </w:rPr>
            </w:pPr>
          </w:p>
        </w:tc>
        <w:tc>
          <w:tcPr>
            <w:tcW w:w="394" w:type="pct"/>
            <w:shd w:val="clear" w:color="auto" w:fill="auto"/>
            <w:noWrap/>
            <w:vAlign w:val="center"/>
          </w:tcPr>
          <w:p w14:paraId="18FFA3E1" w14:textId="77777777" w:rsidR="00613783" w:rsidRPr="003A49C8" w:rsidRDefault="00613783" w:rsidP="00456D56">
            <w:pPr>
              <w:spacing w:after="0" w:line="240" w:lineRule="auto"/>
              <w:rPr>
                <w:rFonts w:eastAsia="Times New Roman" w:cs="Times New Roman"/>
                <w:b/>
                <w:bCs/>
                <w:sz w:val="18"/>
                <w:szCs w:val="18"/>
              </w:rPr>
            </w:pPr>
          </w:p>
        </w:tc>
        <w:tc>
          <w:tcPr>
            <w:tcW w:w="394" w:type="pct"/>
            <w:shd w:val="clear" w:color="auto" w:fill="auto"/>
            <w:noWrap/>
            <w:vAlign w:val="center"/>
          </w:tcPr>
          <w:p w14:paraId="223EB58C" w14:textId="77777777" w:rsidR="00613783" w:rsidRPr="003A49C8" w:rsidRDefault="00613783" w:rsidP="00456D56">
            <w:pPr>
              <w:spacing w:after="0" w:line="240" w:lineRule="auto"/>
              <w:rPr>
                <w:rFonts w:eastAsia="Times New Roman" w:cs="Times New Roman"/>
                <w:b/>
                <w:bCs/>
                <w:sz w:val="18"/>
                <w:szCs w:val="18"/>
              </w:rPr>
            </w:pPr>
          </w:p>
        </w:tc>
        <w:tc>
          <w:tcPr>
            <w:tcW w:w="394" w:type="pct"/>
            <w:shd w:val="clear" w:color="auto" w:fill="auto"/>
            <w:noWrap/>
            <w:vAlign w:val="center"/>
          </w:tcPr>
          <w:p w14:paraId="5AC78849" w14:textId="77777777" w:rsidR="00613783" w:rsidRPr="003A49C8" w:rsidRDefault="00613783" w:rsidP="00456D56">
            <w:pPr>
              <w:spacing w:after="0" w:line="240" w:lineRule="auto"/>
              <w:rPr>
                <w:rFonts w:eastAsia="Times New Roman" w:cs="Times New Roman"/>
                <w:b/>
                <w:bCs/>
                <w:sz w:val="18"/>
                <w:szCs w:val="18"/>
              </w:rPr>
            </w:pPr>
          </w:p>
        </w:tc>
        <w:tc>
          <w:tcPr>
            <w:tcW w:w="394" w:type="pct"/>
            <w:shd w:val="clear" w:color="auto" w:fill="auto"/>
            <w:noWrap/>
            <w:vAlign w:val="center"/>
          </w:tcPr>
          <w:p w14:paraId="33C43CD9" w14:textId="77777777" w:rsidR="00613783" w:rsidRPr="003A49C8" w:rsidRDefault="00613783" w:rsidP="00456D56">
            <w:pPr>
              <w:spacing w:after="0" w:line="240" w:lineRule="auto"/>
              <w:rPr>
                <w:rFonts w:eastAsia="Times New Roman" w:cs="Times New Roman"/>
                <w:b/>
                <w:bCs/>
                <w:sz w:val="18"/>
                <w:szCs w:val="18"/>
              </w:rPr>
            </w:pPr>
          </w:p>
        </w:tc>
        <w:tc>
          <w:tcPr>
            <w:tcW w:w="394" w:type="pct"/>
            <w:shd w:val="clear" w:color="auto" w:fill="auto"/>
            <w:noWrap/>
            <w:vAlign w:val="center"/>
          </w:tcPr>
          <w:p w14:paraId="0A5F32FE" w14:textId="77777777" w:rsidR="00613783" w:rsidRPr="003A49C8" w:rsidRDefault="00613783" w:rsidP="00456D56">
            <w:pPr>
              <w:spacing w:after="0" w:line="240" w:lineRule="auto"/>
              <w:rPr>
                <w:rFonts w:eastAsia="Times New Roman" w:cs="Times New Roman"/>
                <w:b/>
                <w:bCs/>
                <w:sz w:val="18"/>
                <w:szCs w:val="18"/>
              </w:rPr>
            </w:pPr>
          </w:p>
        </w:tc>
        <w:tc>
          <w:tcPr>
            <w:tcW w:w="394" w:type="pct"/>
            <w:shd w:val="clear" w:color="auto" w:fill="auto"/>
            <w:noWrap/>
            <w:vAlign w:val="center"/>
          </w:tcPr>
          <w:p w14:paraId="0133EBCE" w14:textId="77777777" w:rsidR="00613783" w:rsidRPr="003A49C8" w:rsidRDefault="00613783" w:rsidP="00456D56">
            <w:pPr>
              <w:spacing w:after="0" w:line="240" w:lineRule="auto"/>
              <w:rPr>
                <w:rFonts w:eastAsia="Times New Roman" w:cs="Times New Roman"/>
                <w:b/>
                <w:bCs/>
                <w:sz w:val="18"/>
                <w:szCs w:val="18"/>
              </w:rPr>
            </w:pPr>
          </w:p>
        </w:tc>
        <w:tc>
          <w:tcPr>
            <w:tcW w:w="394" w:type="pct"/>
            <w:shd w:val="clear" w:color="auto" w:fill="auto"/>
            <w:noWrap/>
            <w:vAlign w:val="center"/>
          </w:tcPr>
          <w:p w14:paraId="3FE9F3C9" w14:textId="77777777" w:rsidR="00613783" w:rsidRPr="003A49C8" w:rsidRDefault="00613783" w:rsidP="00456D56">
            <w:pPr>
              <w:spacing w:after="0" w:line="240" w:lineRule="auto"/>
              <w:rPr>
                <w:rFonts w:eastAsia="Times New Roman" w:cs="Times New Roman"/>
                <w:b/>
                <w:bCs/>
                <w:sz w:val="18"/>
                <w:szCs w:val="18"/>
              </w:rPr>
            </w:pPr>
          </w:p>
        </w:tc>
        <w:tc>
          <w:tcPr>
            <w:tcW w:w="394" w:type="pct"/>
            <w:shd w:val="clear" w:color="auto" w:fill="auto"/>
            <w:noWrap/>
            <w:vAlign w:val="center"/>
          </w:tcPr>
          <w:p w14:paraId="0D3A3779" w14:textId="77777777" w:rsidR="00613783" w:rsidRPr="003A49C8" w:rsidRDefault="00613783" w:rsidP="00456D56">
            <w:pPr>
              <w:spacing w:after="0" w:line="240" w:lineRule="auto"/>
              <w:rPr>
                <w:rFonts w:eastAsia="Times New Roman" w:cs="Times New Roman"/>
                <w:b/>
                <w:bCs/>
                <w:sz w:val="18"/>
                <w:szCs w:val="18"/>
              </w:rPr>
            </w:pPr>
          </w:p>
        </w:tc>
      </w:tr>
      <w:tr w:rsidR="003A49C8" w:rsidRPr="003A49C8" w14:paraId="5D3A0DF4" w14:textId="77777777" w:rsidTr="00AA49B7">
        <w:trPr>
          <w:trHeight w:val="300"/>
        </w:trPr>
        <w:tc>
          <w:tcPr>
            <w:tcW w:w="1059" w:type="pct"/>
            <w:shd w:val="clear" w:color="auto" w:fill="auto"/>
            <w:noWrap/>
            <w:vAlign w:val="center"/>
          </w:tcPr>
          <w:p w14:paraId="6DC39511" w14:textId="77777777" w:rsidR="00613783" w:rsidRPr="003A49C8" w:rsidRDefault="00613783" w:rsidP="00456D56">
            <w:pPr>
              <w:spacing w:after="0" w:line="240" w:lineRule="auto"/>
              <w:rPr>
                <w:rFonts w:eastAsia="Times New Roman" w:cs="Times New Roman"/>
                <w:b/>
                <w:bCs/>
                <w:sz w:val="18"/>
                <w:szCs w:val="18"/>
              </w:rPr>
            </w:pPr>
            <w:r w:rsidRPr="003A49C8">
              <w:rPr>
                <w:rFonts w:eastAsia="Times New Roman" w:cs="Times New Roman"/>
                <w:b/>
                <w:bCs/>
                <w:sz w:val="18"/>
                <w:szCs w:val="18"/>
              </w:rPr>
              <w:t>Panel III: Financial ETFs</w:t>
            </w:r>
          </w:p>
        </w:tc>
        <w:tc>
          <w:tcPr>
            <w:tcW w:w="394" w:type="pct"/>
            <w:shd w:val="clear" w:color="auto" w:fill="auto"/>
            <w:noWrap/>
            <w:vAlign w:val="center"/>
          </w:tcPr>
          <w:p w14:paraId="033A8D76" w14:textId="77777777" w:rsidR="00613783" w:rsidRPr="003A49C8" w:rsidRDefault="00613783" w:rsidP="00456D56">
            <w:pPr>
              <w:spacing w:after="0" w:line="240" w:lineRule="auto"/>
              <w:rPr>
                <w:rFonts w:eastAsia="Times New Roman" w:cs="Times New Roman"/>
                <w:b/>
                <w:bCs/>
                <w:sz w:val="18"/>
                <w:szCs w:val="18"/>
              </w:rPr>
            </w:pPr>
          </w:p>
        </w:tc>
        <w:tc>
          <w:tcPr>
            <w:tcW w:w="394" w:type="pct"/>
            <w:shd w:val="clear" w:color="auto" w:fill="auto"/>
            <w:noWrap/>
            <w:vAlign w:val="center"/>
          </w:tcPr>
          <w:p w14:paraId="7851AB13" w14:textId="77777777" w:rsidR="00613783" w:rsidRPr="003A49C8" w:rsidRDefault="00613783" w:rsidP="00456D56">
            <w:pPr>
              <w:spacing w:after="0" w:line="240" w:lineRule="auto"/>
              <w:rPr>
                <w:rFonts w:eastAsia="Times New Roman" w:cs="Times New Roman"/>
                <w:b/>
                <w:bCs/>
                <w:sz w:val="18"/>
                <w:szCs w:val="18"/>
              </w:rPr>
            </w:pPr>
          </w:p>
        </w:tc>
        <w:tc>
          <w:tcPr>
            <w:tcW w:w="394" w:type="pct"/>
            <w:shd w:val="clear" w:color="auto" w:fill="auto"/>
            <w:noWrap/>
            <w:vAlign w:val="center"/>
          </w:tcPr>
          <w:p w14:paraId="701CF57B" w14:textId="77777777" w:rsidR="00613783" w:rsidRPr="003A49C8" w:rsidRDefault="00613783" w:rsidP="00456D56">
            <w:pPr>
              <w:spacing w:after="0" w:line="240" w:lineRule="auto"/>
              <w:rPr>
                <w:rFonts w:eastAsia="Times New Roman" w:cs="Times New Roman"/>
                <w:b/>
                <w:bCs/>
                <w:sz w:val="18"/>
                <w:szCs w:val="18"/>
              </w:rPr>
            </w:pPr>
          </w:p>
        </w:tc>
        <w:tc>
          <w:tcPr>
            <w:tcW w:w="394" w:type="pct"/>
            <w:shd w:val="clear" w:color="auto" w:fill="auto"/>
            <w:noWrap/>
            <w:vAlign w:val="center"/>
          </w:tcPr>
          <w:p w14:paraId="22027116" w14:textId="77777777" w:rsidR="00613783" w:rsidRPr="003A49C8" w:rsidRDefault="00613783" w:rsidP="00456D56">
            <w:pPr>
              <w:spacing w:after="0" w:line="240" w:lineRule="auto"/>
              <w:rPr>
                <w:rFonts w:eastAsia="Times New Roman" w:cs="Times New Roman"/>
                <w:b/>
                <w:bCs/>
                <w:sz w:val="18"/>
                <w:szCs w:val="18"/>
              </w:rPr>
            </w:pPr>
          </w:p>
        </w:tc>
        <w:tc>
          <w:tcPr>
            <w:tcW w:w="394" w:type="pct"/>
            <w:shd w:val="clear" w:color="auto" w:fill="auto"/>
            <w:noWrap/>
            <w:vAlign w:val="center"/>
          </w:tcPr>
          <w:p w14:paraId="52B92724" w14:textId="77777777" w:rsidR="00613783" w:rsidRPr="003A49C8" w:rsidRDefault="00613783" w:rsidP="00456D56">
            <w:pPr>
              <w:spacing w:after="0" w:line="240" w:lineRule="auto"/>
              <w:rPr>
                <w:rFonts w:eastAsia="Times New Roman" w:cs="Times New Roman"/>
                <w:b/>
                <w:bCs/>
                <w:sz w:val="18"/>
                <w:szCs w:val="18"/>
              </w:rPr>
            </w:pPr>
          </w:p>
        </w:tc>
        <w:tc>
          <w:tcPr>
            <w:tcW w:w="394" w:type="pct"/>
            <w:shd w:val="clear" w:color="auto" w:fill="auto"/>
            <w:noWrap/>
            <w:vAlign w:val="center"/>
          </w:tcPr>
          <w:p w14:paraId="241F7B3A" w14:textId="77777777" w:rsidR="00613783" w:rsidRPr="003A49C8" w:rsidRDefault="00613783" w:rsidP="00456D56">
            <w:pPr>
              <w:spacing w:after="0" w:line="240" w:lineRule="auto"/>
              <w:rPr>
                <w:rFonts w:eastAsia="Times New Roman" w:cs="Times New Roman"/>
                <w:b/>
                <w:bCs/>
                <w:sz w:val="18"/>
                <w:szCs w:val="18"/>
              </w:rPr>
            </w:pPr>
          </w:p>
        </w:tc>
        <w:tc>
          <w:tcPr>
            <w:tcW w:w="394" w:type="pct"/>
            <w:shd w:val="clear" w:color="auto" w:fill="auto"/>
            <w:noWrap/>
            <w:vAlign w:val="center"/>
          </w:tcPr>
          <w:p w14:paraId="66C7302B" w14:textId="77777777" w:rsidR="00613783" w:rsidRPr="003A49C8" w:rsidRDefault="00613783" w:rsidP="00456D56">
            <w:pPr>
              <w:spacing w:after="0" w:line="240" w:lineRule="auto"/>
              <w:rPr>
                <w:rFonts w:eastAsia="Times New Roman" w:cs="Times New Roman"/>
                <w:b/>
                <w:bCs/>
                <w:sz w:val="18"/>
                <w:szCs w:val="18"/>
              </w:rPr>
            </w:pPr>
          </w:p>
        </w:tc>
        <w:tc>
          <w:tcPr>
            <w:tcW w:w="394" w:type="pct"/>
            <w:shd w:val="clear" w:color="auto" w:fill="auto"/>
            <w:noWrap/>
            <w:vAlign w:val="center"/>
          </w:tcPr>
          <w:p w14:paraId="028FC222" w14:textId="77777777" w:rsidR="00613783" w:rsidRPr="003A49C8" w:rsidRDefault="00613783" w:rsidP="00456D56">
            <w:pPr>
              <w:spacing w:after="0" w:line="240" w:lineRule="auto"/>
              <w:rPr>
                <w:rFonts w:eastAsia="Times New Roman" w:cs="Times New Roman"/>
                <w:b/>
                <w:bCs/>
                <w:sz w:val="18"/>
                <w:szCs w:val="18"/>
              </w:rPr>
            </w:pPr>
          </w:p>
        </w:tc>
        <w:tc>
          <w:tcPr>
            <w:tcW w:w="394" w:type="pct"/>
            <w:shd w:val="clear" w:color="auto" w:fill="auto"/>
            <w:noWrap/>
            <w:vAlign w:val="center"/>
          </w:tcPr>
          <w:p w14:paraId="60174407" w14:textId="77777777" w:rsidR="00613783" w:rsidRPr="003A49C8" w:rsidRDefault="00613783" w:rsidP="00456D56">
            <w:pPr>
              <w:spacing w:after="0" w:line="240" w:lineRule="auto"/>
              <w:rPr>
                <w:rFonts w:eastAsia="Times New Roman" w:cs="Times New Roman"/>
                <w:b/>
                <w:bCs/>
                <w:sz w:val="18"/>
                <w:szCs w:val="18"/>
              </w:rPr>
            </w:pPr>
          </w:p>
        </w:tc>
        <w:tc>
          <w:tcPr>
            <w:tcW w:w="394" w:type="pct"/>
            <w:shd w:val="clear" w:color="auto" w:fill="auto"/>
            <w:noWrap/>
            <w:vAlign w:val="center"/>
          </w:tcPr>
          <w:p w14:paraId="7799AACA" w14:textId="77777777" w:rsidR="00613783" w:rsidRPr="003A49C8" w:rsidRDefault="00613783" w:rsidP="00456D56">
            <w:pPr>
              <w:spacing w:after="0" w:line="240" w:lineRule="auto"/>
              <w:rPr>
                <w:rFonts w:eastAsia="Times New Roman" w:cs="Times New Roman"/>
                <w:b/>
                <w:bCs/>
                <w:sz w:val="18"/>
                <w:szCs w:val="18"/>
              </w:rPr>
            </w:pPr>
          </w:p>
        </w:tc>
      </w:tr>
      <w:tr w:rsidR="003A49C8" w:rsidRPr="003A49C8" w14:paraId="3EA9FDBF" w14:textId="77777777" w:rsidTr="00AA49B7">
        <w:trPr>
          <w:trHeight w:val="300"/>
        </w:trPr>
        <w:tc>
          <w:tcPr>
            <w:tcW w:w="1059" w:type="pct"/>
            <w:shd w:val="clear" w:color="auto" w:fill="auto"/>
            <w:noWrap/>
            <w:vAlign w:val="center"/>
          </w:tcPr>
          <w:p w14:paraId="17362C2D" w14:textId="2B780B47" w:rsidR="00456D56" w:rsidRPr="003A49C8" w:rsidRDefault="00456D56" w:rsidP="00456D56">
            <w:pPr>
              <w:spacing w:after="0" w:line="240" w:lineRule="auto"/>
              <w:rPr>
                <w:rFonts w:eastAsia="Times New Roman" w:cs="Times New Roman"/>
                <w:b/>
                <w:bCs/>
                <w:sz w:val="18"/>
                <w:szCs w:val="18"/>
              </w:rPr>
            </w:pPr>
            <w:r w:rsidRPr="003A49C8">
              <w:rPr>
                <w:rFonts w:eastAsia="Times New Roman" w:cs="Times New Roman"/>
                <w:sz w:val="18"/>
                <w:szCs w:val="18"/>
              </w:rPr>
              <w:t>XLF Financial Select Sector SPDR Fund</w:t>
            </w:r>
          </w:p>
        </w:tc>
        <w:tc>
          <w:tcPr>
            <w:tcW w:w="394" w:type="pct"/>
            <w:shd w:val="clear" w:color="auto" w:fill="auto"/>
            <w:noWrap/>
            <w:vAlign w:val="center"/>
          </w:tcPr>
          <w:p w14:paraId="1449685B" w14:textId="77777777" w:rsidR="00456D56" w:rsidRPr="003A49C8" w:rsidRDefault="00456D56" w:rsidP="00456D56">
            <w:pPr>
              <w:spacing w:after="0" w:line="240" w:lineRule="auto"/>
              <w:rPr>
                <w:rFonts w:eastAsia="Times New Roman" w:cs="Times New Roman"/>
                <w:b/>
                <w:bCs/>
                <w:sz w:val="18"/>
                <w:szCs w:val="18"/>
              </w:rPr>
            </w:pPr>
            <w:r w:rsidRPr="003A49C8">
              <w:rPr>
                <w:rFonts w:eastAsia="Times New Roman" w:cs="Times New Roman"/>
                <w:sz w:val="18"/>
                <w:szCs w:val="18"/>
              </w:rPr>
              <w:t>0.23205877</w:t>
            </w:r>
          </w:p>
        </w:tc>
        <w:tc>
          <w:tcPr>
            <w:tcW w:w="394" w:type="pct"/>
            <w:shd w:val="clear" w:color="auto" w:fill="auto"/>
            <w:noWrap/>
            <w:vAlign w:val="center"/>
          </w:tcPr>
          <w:p w14:paraId="5F3532C3" w14:textId="77777777" w:rsidR="00456D56" w:rsidRPr="003A49C8" w:rsidRDefault="00456D56" w:rsidP="00456D56">
            <w:pPr>
              <w:spacing w:after="0" w:line="240" w:lineRule="auto"/>
              <w:rPr>
                <w:rFonts w:eastAsia="Times New Roman" w:cs="Times New Roman"/>
                <w:b/>
                <w:bCs/>
                <w:sz w:val="18"/>
                <w:szCs w:val="18"/>
              </w:rPr>
            </w:pPr>
            <w:r w:rsidRPr="003A49C8">
              <w:rPr>
                <w:rFonts w:eastAsia="Times New Roman" w:cs="Times New Roman"/>
                <w:sz w:val="18"/>
                <w:szCs w:val="18"/>
              </w:rPr>
              <w:t>0.23063182</w:t>
            </w:r>
          </w:p>
        </w:tc>
        <w:tc>
          <w:tcPr>
            <w:tcW w:w="394" w:type="pct"/>
            <w:shd w:val="clear" w:color="auto" w:fill="auto"/>
            <w:noWrap/>
            <w:vAlign w:val="center"/>
          </w:tcPr>
          <w:p w14:paraId="16E95C87" w14:textId="77777777" w:rsidR="00456D56" w:rsidRPr="003A49C8" w:rsidRDefault="00456D56" w:rsidP="00456D56">
            <w:pPr>
              <w:spacing w:after="0" w:line="240" w:lineRule="auto"/>
              <w:rPr>
                <w:rFonts w:eastAsia="Times New Roman" w:cs="Times New Roman"/>
                <w:b/>
                <w:bCs/>
                <w:sz w:val="18"/>
                <w:szCs w:val="18"/>
              </w:rPr>
            </w:pPr>
            <w:r w:rsidRPr="003A49C8">
              <w:rPr>
                <w:rFonts w:eastAsia="Times New Roman" w:cs="Times New Roman"/>
                <w:sz w:val="18"/>
                <w:szCs w:val="18"/>
              </w:rPr>
              <w:t>0.24454115</w:t>
            </w:r>
          </w:p>
        </w:tc>
        <w:tc>
          <w:tcPr>
            <w:tcW w:w="394" w:type="pct"/>
            <w:shd w:val="clear" w:color="auto" w:fill="auto"/>
            <w:noWrap/>
            <w:vAlign w:val="center"/>
          </w:tcPr>
          <w:p w14:paraId="118F59EC" w14:textId="77777777" w:rsidR="00456D56" w:rsidRPr="003A49C8" w:rsidRDefault="00456D56" w:rsidP="00456D56">
            <w:pPr>
              <w:spacing w:after="0" w:line="240" w:lineRule="auto"/>
              <w:rPr>
                <w:rFonts w:eastAsia="Times New Roman" w:cs="Times New Roman"/>
                <w:b/>
                <w:bCs/>
                <w:sz w:val="18"/>
                <w:szCs w:val="18"/>
              </w:rPr>
            </w:pPr>
            <w:r w:rsidRPr="003A49C8">
              <w:rPr>
                <w:rFonts w:eastAsia="Times New Roman" w:cs="Times New Roman"/>
                <w:sz w:val="18"/>
                <w:szCs w:val="18"/>
              </w:rPr>
              <w:t>0.20808044</w:t>
            </w:r>
          </w:p>
        </w:tc>
        <w:tc>
          <w:tcPr>
            <w:tcW w:w="394" w:type="pct"/>
            <w:shd w:val="clear" w:color="auto" w:fill="auto"/>
            <w:noWrap/>
            <w:vAlign w:val="center"/>
          </w:tcPr>
          <w:p w14:paraId="43797306" w14:textId="77777777" w:rsidR="00456D56" w:rsidRPr="003A49C8" w:rsidRDefault="00456D56" w:rsidP="00456D56">
            <w:pPr>
              <w:spacing w:after="0" w:line="240" w:lineRule="auto"/>
              <w:rPr>
                <w:rFonts w:eastAsia="Times New Roman" w:cs="Times New Roman"/>
                <w:b/>
                <w:bCs/>
                <w:sz w:val="18"/>
                <w:szCs w:val="18"/>
              </w:rPr>
            </w:pPr>
            <w:r w:rsidRPr="003A49C8">
              <w:rPr>
                <w:rFonts w:eastAsia="Times New Roman" w:cs="Times New Roman"/>
                <w:sz w:val="18"/>
                <w:szCs w:val="18"/>
              </w:rPr>
              <w:t>0.20938729</w:t>
            </w:r>
          </w:p>
        </w:tc>
        <w:tc>
          <w:tcPr>
            <w:tcW w:w="394" w:type="pct"/>
            <w:shd w:val="clear" w:color="auto" w:fill="auto"/>
            <w:noWrap/>
            <w:vAlign w:val="center"/>
          </w:tcPr>
          <w:p w14:paraId="253E812D" w14:textId="77777777" w:rsidR="00456D56" w:rsidRPr="003A49C8" w:rsidRDefault="00456D56" w:rsidP="00456D56">
            <w:pPr>
              <w:spacing w:after="0" w:line="240" w:lineRule="auto"/>
              <w:rPr>
                <w:rFonts w:eastAsia="Times New Roman" w:cs="Times New Roman"/>
                <w:b/>
                <w:bCs/>
                <w:sz w:val="18"/>
                <w:szCs w:val="18"/>
              </w:rPr>
            </w:pPr>
            <w:r w:rsidRPr="003A49C8">
              <w:rPr>
                <w:rFonts w:eastAsia="Times New Roman" w:cs="Times New Roman"/>
                <w:sz w:val="18"/>
                <w:szCs w:val="18"/>
              </w:rPr>
              <w:t>0.225603</w:t>
            </w:r>
          </w:p>
        </w:tc>
        <w:tc>
          <w:tcPr>
            <w:tcW w:w="394" w:type="pct"/>
            <w:shd w:val="clear" w:color="auto" w:fill="auto"/>
            <w:noWrap/>
            <w:vAlign w:val="center"/>
          </w:tcPr>
          <w:p w14:paraId="69EE6693" w14:textId="77777777" w:rsidR="00456D56" w:rsidRPr="003A49C8" w:rsidRDefault="00456D56" w:rsidP="00456D56">
            <w:pPr>
              <w:spacing w:after="0" w:line="240" w:lineRule="auto"/>
              <w:rPr>
                <w:rFonts w:eastAsia="Times New Roman" w:cs="Times New Roman"/>
                <w:b/>
                <w:bCs/>
                <w:sz w:val="18"/>
                <w:szCs w:val="18"/>
              </w:rPr>
            </w:pPr>
            <w:r w:rsidRPr="003A49C8">
              <w:rPr>
                <w:rFonts w:eastAsia="Times New Roman" w:cs="Times New Roman"/>
                <w:sz w:val="18"/>
                <w:szCs w:val="18"/>
              </w:rPr>
              <w:t>0.23663406</w:t>
            </w:r>
          </w:p>
        </w:tc>
        <w:tc>
          <w:tcPr>
            <w:tcW w:w="394" w:type="pct"/>
            <w:shd w:val="clear" w:color="auto" w:fill="auto"/>
            <w:noWrap/>
            <w:vAlign w:val="center"/>
          </w:tcPr>
          <w:p w14:paraId="79E1FD53" w14:textId="77777777" w:rsidR="00456D56" w:rsidRPr="003A49C8" w:rsidRDefault="00456D56" w:rsidP="00456D56">
            <w:pPr>
              <w:spacing w:after="0" w:line="240" w:lineRule="auto"/>
              <w:rPr>
                <w:rFonts w:eastAsia="Times New Roman" w:cs="Times New Roman"/>
                <w:b/>
                <w:bCs/>
                <w:sz w:val="18"/>
                <w:szCs w:val="18"/>
              </w:rPr>
            </w:pPr>
            <w:r w:rsidRPr="003A49C8">
              <w:rPr>
                <w:rFonts w:eastAsia="Times New Roman" w:cs="Times New Roman"/>
                <w:sz w:val="18"/>
                <w:szCs w:val="18"/>
              </w:rPr>
              <w:t>0.46883124</w:t>
            </w:r>
          </w:p>
        </w:tc>
        <w:tc>
          <w:tcPr>
            <w:tcW w:w="394" w:type="pct"/>
            <w:shd w:val="clear" w:color="auto" w:fill="auto"/>
            <w:noWrap/>
            <w:vAlign w:val="center"/>
          </w:tcPr>
          <w:p w14:paraId="6DC056E1" w14:textId="77777777" w:rsidR="00456D56" w:rsidRPr="003A49C8" w:rsidRDefault="00456D56" w:rsidP="00456D56">
            <w:pPr>
              <w:spacing w:after="0" w:line="240" w:lineRule="auto"/>
              <w:rPr>
                <w:rFonts w:eastAsia="Times New Roman" w:cs="Times New Roman"/>
                <w:b/>
                <w:bCs/>
                <w:sz w:val="18"/>
                <w:szCs w:val="18"/>
              </w:rPr>
            </w:pPr>
            <w:r w:rsidRPr="003A49C8">
              <w:rPr>
                <w:rFonts w:eastAsia="Times New Roman" w:cs="Times New Roman"/>
                <w:sz w:val="18"/>
                <w:szCs w:val="18"/>
              </w:rPr>
              <w:t>0.4630432</w:t>
            </w:r>
          </w:p>
        </w:tc>
        <w:tc>
          <w:tcPr>
            <w:tcW w:w="394" w:type="pct"/>
            <w:shd w:val="clear" w:color="auto" w:fill="auto"/>
            <w:noWrap/>
            <w:vAlign w:val="center"/>
          </w:tcPr>
          <w:p w14:paraId="06D1EE27" w14:textId="77777777" w:rsidR="00456D56" w:rsidRPr="003A49C8" w:rsidRDefault="00456D56" w:rsidP="00456D56">
            <w:pPr>
              <w:spacing w:after="0" w:line="240" w:lineRule="auto"/>
              <w:rPr>
                <w:rFonts w:eastAsia="Times New Roman" w:cs="Times New Roman"/>
                <w:b/>
                <w:bCs/>
                <w:sz w:val="18"/>
                <w:szCs w:val="18"/>
              </w:rPr>
            </w:pPr>
            <w:r w:rsidRPr="003A49C8">
              <w:rPr>
                <w:rFonts w:eastAsia="Times New Roman" w:cs="Times New Roman"/>
                <w:sz w:val="18"/>
                <w:szCs w:val="18"/>
              </w:rPr>
              <w:t>0.18295853</w:t>
            </w:r>
          </w:p>
        </w:tc>
      </w:tr>
      <w:tr w:rsidR="003A49C8" w:rsidRPr="003A49C8" w14:paraId="23241A34" w14:textId="77777777" w:rsidTr="00AA49B7">
        <w:trPr>
          <w:trHeight w:val="300"/>
        </w:trPr>
        <w:tc>
          <w:tcPr>
            <w:tcW w:w="1059" w:type="pct"/>
            <w:shd w:val="clear" w:color="auto" w:fill="auto"/>
            <w:noWrap/>
            <w:vAlign w:val="center"/>
          </w:tcPr>
          <w:p w14:paraId="1A786F57" w14:textId="6322C0F9" w:rsidR="00456D56" w:rsidRPr="003A49C8" w:rsidRDefault="00456D56" w:rsidP="00456D56">
            <w:pPr>
              <w:spacing w:after="0" w:line="240" w:lineRule="auto"/>
              <w:rPr>
                <w:rFonts w:eastAsia="Times New Roman" w:cs="Times New Roman"/>
                <w:sz w:val="18"/>
                <w:szCs w:val="18"/>
                <w:lang w:val="fr-FR"/>
              </w:rPr>
            </w:pPr>
            <w:r w:rsidRPr="003A49C8">
              <w:rPr>
                <w:rFonts w:eastAsia="Times New Roman" w:cs="Times New Roman"/>
                <w:sz w:val="18"/>
                <w:szCs w:val="18"/>
                <w:lang w:val="fr-FR"/>
              </w:rPr>
              <w:t xml:space="preserve">EUFN </w:t>
            </w:r>
            <w:proofErr w:type="spellStart"/>
            <w:r w:rsidRPr="003A49C8">
              <w:rPr>
                <w:rFonts w:eastAsia="Times New Roman" w:cs="Times New Roman"/>
                <w:sz w:val="18"/>
                <w:szCs w:val="18"/>
                <w:lang w:val="fr-FR"/>
              </w:rPr>
              <w:t>iShares</w:t>
            </w:r>
            <w:proofErr w:type="spellEnd"/>
            <w:r w:rsidRPr="003A49C8">
              <w:rPr>
                <w:rFonts w:eastAsia="Times New Roman" w:cs="Times New Roman"/>
                <w:sz w:val="18"/>
                <w:szCs w:val="18"/>
                <w:lang w:val="fr-FR"/>
              </w:rPr>
              <w:t xml:space="preserve"> MSCI Europe </w:t>
            </w:r>
            <w:proofErr w:type="spellStart"/>
            <w:r w:rsidRPr="003A49C8">
              <w:rPr>
                <w:rFonts w:eastAsia="Times New Roman" w:cs="Times New Roman"/>
                <w:sz w:val="18"/>
                <w:szCs w:val="18"/>
                <w:lang w:val="fr-FR"/>
              </w:rPr>
              <w:t>Financials</w:t>
            </w:r>
            <w:proofErr w:type="spellEnd"/>
            <w:r w:rsidRPr="003A49C8">
              <w:rPr>
                <w:rFonts w:eastAsia="Times New Roman" w:cs="Times New Roman"/>
                <w:sz w:val="18"/>
                <w:szCs w:val="18"/>
                <w:lang w:val="fr-FR"/>
              </w:rPr>
              <w:t xml:space="preserve"> ETF</w:t>
            </w:r>
          </w:p>
        </w:tc>
        <w:tc>
          <w:tcPr>
            <w:tcW w:w="394" w:type="pct"/>
            <w:shd w:val="clear" w:color="auto" w:fill="auto"/>
            <w:noWrap/>
            <w:vAlign w:val="center"/>
          </w:tcPr>
          <w:p w14:paraId="1954261D"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0.26886378</w:t>
            </w:r>
          </w:p>
        </w:tc>
        <w:tc>
          <w:tcPr>
            <w:tcW w:w="394" w:type="pct"/>
            <w:shd w:val="clear" w:color="auto" w:fill="auto"/>
            <w:noWrap/>
            <w:vAlign w:val="center"/>
          </w:tcPr>
          <w:p w14:paraId="4C46E147"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0.25866551</w:t>
            </w:r>
          </w:p>
        </w:tc>
        <w:tc>
          <w:tcPr>
            <w:tcW w:w="394" w:type="pct"/>
            <w:shd w:val="clear" w:color="auto" w:fill="auto"/>
            <w:noWrap/>
            <w:vAlign w:val="center"/>
          </w:tcPr>
          <w:p w14:paraId="563D4A37"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0.22748445</w:t>
            </w:r>
          </w:p>
        </w:tc>
        <w:tc>
          <w:tcPr>
            <w:tcW w:w="394" w:type="pct"/>
            <w:shd w:val="clear" w:color="auto" w:fill="auto"/>
            <w:noWrap/>
            <w:vAlign w:val="center"/>
          </w:tcPr>
          <w:p w14:paraId="08550FA1"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0.31617702</w:t>
            </w:r>
          </w:p>
        </w:tc>
        <w:tc>
          <w:tcPr>
            <w:tcW w:w="394" w:type="pct"/>
            <w:shd w:val="clear" w:color="auto" w:fill="auto"/>
            <w:noWrap/>
            <w:vAlign w:val="center"/>
          </w:tcPr>
          <w:p w14:paraId="42453954"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0.30369635</w:t>
            </w:r>
          </w:p>
        </w:tc>
        <w:tc>
          <w:tcPr>
            <w:tcW w:w="394" w:type="pct"/>
            <w:shd w:val="clear" w:color="auto" w:fill="auto"/>
            <w:noWrap/>
            <w:vAlign w:val="center"/>
          </w:tcPr>
          <w:p w14:paraId="74B51AF0"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0.22835007</w:t>
            </w:r>
          </w:p>
        </w:tc>
        <w:tc>
          <w:tcPr>
            <w:tcW w:w="394" w:type="pct"/>
            <w:shd w:val="clear" w:color="auto" w:fill="auto"/>
            <w:noWrap/>
            <w:vAlign w:val="center"/>
          </w:tcPr>
          <w:p w14:paraId="62D757B4"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0.20083801</w:t>
            </w:r>
          </w:p>
        </w:tc>
        <w:tc>
          <w:tcPr>
            <w:tcW w:w="394" w:type="pct"/>
            <w:shd w:val="clear" w:color="auto" w:fill="auto"/>
            <w:noWrap/>
            <w:vAlign w:val="center"/>
          </w:tcPr>
          <w:p w14:paraId="7A4C9198"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0.35300234</w:t>
            </w:r>
          </w:p>
        </w:tc>
        <w:tc>
          <w:tcPr>
            <w:tcW w:w="394" w:type="pct"/>
            <w:shd w:val="clear" w:color="auto" w:fill="auto"/>
            <w:noWrap/>
            <w:vAlign w:val="center"/>
          </w:tcPr>
          <w:p w14:paraId="667A6210"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0.43297546</w:t>
            </w:r>
          </w:p>
        </w:tc>
        <w:tc>
          <w:tcPr>
            <w:tcW w:w="394" w:type="pct"/>
            <w:shd w:val="clear" w:color="auto" w:fill="auto"/>
            <w:noWrap/>
            <w:vAlign w:val="center"/>
          </w:tcPr>
          <w:p w14:paraId="0010E4BF"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0.21175158</w:t>
            </w:r>
          </w:p>
        </w:tc>
      </w:tr>
      <w:tr w:rsidR="003A49C8" w:rsidRPr="003A49C8" w14:paraId="55FD0EA6" w14:textId="77777777" w:rsidTr="00AA49B7">
        <w:trPr>
          <w:trHeight w:val="300"/>
        </w:trPr>
        <w:tc>
          <w:tcPr>
            <w:tcW w:w="1059" w:type="pct"/>
            <w:shd w:val="clear" w:color="auto" w:fill="auto"/>
            <w:noWrap/>
            <w:vAlign w:val="center"/>
          </w:tcPr>
          <w:p w14:paraId="3B0DF3D1" w14:textId="30284E28"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FNCL Fidelity MSCI Financials Index ETF</w:t>
            </w:r>
          </w:p>
        </w:tc>
        <w:tc>
          <w:tcPr>
            <w:tcW w:w="394" w:type="pct"/>
            <w:shd w:val="clear" w:color="auto" w:fill="auto"/>
            <w:noWrap/>
            <w:vAlign w:val="center"/>
          </w:tcPr>
          <w:p w14:paraId="214F5F83"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0.26023589</w:t>
            </w:r>
          </w:p>
        </w:tc>
        <w:tc>
          <w:tcPr>
            <w:tcW w:w="394" w:type="pct"/>
            <w:shd w:val="clear" w:color="auto" w:fill="auto"/>
            <w:noWrap/>
            <w:vAlign w:val="center"/>
          </w:tcPr>
          <w:p w14:paraId="7D0FDC1C"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0.24394471</w:t>
            </w:r>
          </w:p>
        </w:tc>
        <w:tc>
          <w:tcPr>
            <w:tcW w:w="394" w:type="pct"/>
            <w:shd w:val="clear" w:color="auto" w:fill="auto"/>
            <w:noWrap/>
            <w:vAlign w:val="center"/>
          </w:tcPr>
          <w:p w14:paraId="647C0EDD"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0.2147831</w:t>
            </w:r>
          </w:p>
        </w:tc>
        <w:tc>
          <w:tcPr>
            <w:tcW w:w="394" w:type="pct"/>
            <w:shd w:val="clear" w:color="auto" w:fill="auto"/>
            <w:noWrap/>
            <w:vAlign w:val="center"/>
          </w:tcPr>
          <w:p w14:paraId="06531552"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0.31886503</w:t>
            </w:r>
          </w:p>
        </w:tc>
        <w:tc>
          <w:tcPr>
            <w:tcW w:w="394" w:type="pct"/>
            <w:shd w:val="clear" w:color="auto" w:fill="auto"/>
            <w:noWrap/>
            <w:vAlign w:val="center"/>
          </w:tcPr>
          <w:p w14:paraId="3C65A6E2"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0.3058634</w:t>
            </w:r>
          </w:p>
        </w:tc>
        <w:tc>
          <w:tcPr>
            <w:tcW w:w="394" w:type="pct"/>
            <w:shd w:val="clear" w:color="auto" w:fill="auto"/>
            <w:noWrap/>
            <w:vAlign w:val="center"/>
          </w:tcPr>
          <w:p w14:paraId="22BFF981"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0.22046436</w:t>
            </w:r>
          </w:p>
        </w:tc>
        <w:tc>
          <w:tcPr>
            <w:tcW w:w="394" w:type="pct"/>
            <w:shd w:val="clear" w:color="auto" w:fill="auto"/>
            <w:noWrap/>
            <w:vAlign w:val="center"/>
          </w:tcPr>
          <w:p w14:paraId="39D395B1"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0.19990139</w:t>
            </w:r>
          </w:p>
        </w:tc>
        <w:tc>
          <w:tcPr>
            <w:tcW w:w="394" w:type="pct"/>
            <w:shd w:val="clear" w:color="auto" w:fill="auto"/>
            <w:noWrap/>
            <w:vAlign w:val="center"/>
          </w:tcPr>
          <w:p w14:paraId="05227A40"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0.30125702</w:t>
            </w:r>
          </w:p>
        </w:tc>
        <w:tc>
          <w:tcPr>
            <w:tcW w:w="394" w:type="pct"/>
            <w:shd w:val="clear" w:color="auto" w:fill="auto"/>
            <w:noWrap/>
            <w:vAlign w:val="center"/>
          </w:tcPr>
          <w:p w14:paraId="16B89FA7"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0.35635629</w:t>
            </w:r>
          </w:p>
        </w:tc>
        <w:tc>
          <w:tcPr>
            <w:tcW w:w="394" w:type="pct"/>
            <w:shd w:val="clear" w:color="auto" w:fill="auto"/>
            <w:noWrap/>
            <w:vAlign w:val="center"/>
          </w:tcPr>
          <w:p w14:paraId="43D17833"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0.21160225</w:t>
            </w:r>
          </w:p>
        </w:tc>
      </w:tr>
      <w:tr w:rsidR="003A49C8" w:rsidRPr="003A49C8" w14:paraId="7F050C63" w14:textId="77777777" w:rsidTr="00AA49B7">
        <w:trPr>
          <w:trHeight w:val="300"/>
        </w:trPr>
        <w:tc>
          <w:tcPr>
            <w:tcW w:w="1059" w:type="pct"/>
            <w:shd w:val="clear" w:color="auto" w:fill="auto"/>
            <w:noWrap/>
            <w:vAlign w:val="center"/>
          </w:tcPr>
          <w:p w14:paraId="6827D324" w14:textId="7F41CF90"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 xml:space="preserve">FXO First Trust Financials </w:t>
            </w:r>
            <w:proofErr w:type="spellStart"/>
            <w:r w:rsidRPr="003A49C8">
              <w:rPr>
                <w:rFonts w:eastAsia="Times New Roman" w:cs="Times New Roman"/>
                <w:sz w:val="18"/>
                <w:szCs w:val="18"/>
              </w:rPr>
              <w:t>AlphaDEX</w:t>
            </w:r>
            <w:proofErr w:type="spellEnd"/>
            <w:r w:rsidRPr="003A49C8">
              <w:rPr>
                <w:rFonts w:eastAsia="Times New Roman" w:cs="Times New Roman"/>
                <w:sz w:val="18"/>
                <w:szCs w:val="18"/>
              </w:rPr>
              <w:t xml:space="preserve"> Fund</w:t>
            </w:r>
          </w:p>
        </w:tc>
        <w:tc>
          <w:tcPr>
            <w:tcW w:w="394" w:type="pct"/>
            <w:shd w:val="clear" w:color="auto" w:fill="auto"/>
            <w:noWrap/>
            <w:vAlign w:val="center"/>
          </w:tcPr>
          <w:p w14:paraId="5ADBE7F0"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0.28387132</w:t>
            </w:r>
          </w:p>
        </w:tc>
        <w:tc>
          <w:tcPr>
            <w:tcW w:w="394" w:type="pct"/>
            <w:shd w:val="clear" w:color="auto" w:fill="auto"/>
            <w:noWrap/>
            <w:vAlign w:val="center"/>
          </w:tcPr>
          <w:p w14:paraId="415DD68D"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0.27031711</w:t>
            </w:r>
          </w:p>
        </w:tc>
        <w:tc>
          <w:tcPr>
            <w:tcW w:w="394" w:type="pct"/>
            <w:shd w:val="clear" w:color="auto" w:fill="auto"/>
            <w:noWrap/>
            <w:vAlign w:val="center"/>
          </w:tcPr>
          <w:p w14:paraId="47FCBC6F"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0.23738291</w:t>
            </w:r>
          </w:p>
        </w:tc>
        <w:tc>
          <w:tcPr>
            <w:tcW w:w="394" w:type="pct"/>
            <w:shd w:val="clear" w:color="auto" w:fill="auto"/>
            <w:noWrap/>
            <w:vAlign w:val="center"/>
          </w:tcPr>
          <w:p w14:paraId="45D5C6AA"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0.27680073</w:t>
            </w:r>
          </w:p>
        </w:tc>
        <w:tc>
          <w:tcPr>
            <w:tcW w:w="394" w:type="pct"/>
            <w:shd w:val="clear" w:color="auto" w:fill="auto"/>
            <w:noWrap/>
            <w:vAlign w:val="center"/>
          </w:tcPr>
          <w:p w14:paraId="35334784"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0.27227949</w:t>
            </w:r>
          </w:p>
        </w:tc>
        <w:tc>
          <w:tcPr>
            <w:tcW w:w="394" w:type="pct"/>
            <w:shd w:val="clear" w:color="auto" w:fill="auto"/>
            <w:noWrap/>
            <w:vAlign w:val="center"/>
          </w:tcPr>
          <w:p w14:paraId="0B4B720A"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0.23441562</w:t>
            </w:r>
          </w:p>
        </w:tc>
        <w:tc>
          <w:tcPr>
            <w:tcW w:w="394" w:type="pct"/>
            <w:shd w:val="clear" w:color="auto" w:fill="auto"/>
            <w:noWrap/>
            <w:vAlign w:val="center"/>
          </w:tcPr>
          <w:p w14:paraId="6862B05D"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0.2105628</w:t>
            </w:r>
          </w:p>
        </w:tc>
        <w:tc>
          <w:tcPr>
            <w:tcW w:w="394" w:type="pct"/>
            <w:shd w:val="clear" w:color="auto" w:fill="auto"/>
            <w:noWrap/>
            <w:vAlign w:val="center"/>
          </w:tcPr>
          <w:p w14:paraId="2D14CB9C"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0.46519689</w:t>
            </w:r>
          </w:p>
        </w:tc>
        <w:tc>
          <w:tcPr>
            <w:tcW w:w="394" w:type="pct"/>
            <w:shd w:val="clear" w:color="auto" w:fill="auto"/>
            <w:noWrap/>
            <w:vAlign w:val="center"/>
          </w:tcPr>
          <w:p w14:paraId="11D3E1C3"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0.57371318</w:t>
            </w:r>
          </w:p>
        </w:tc>
        <w:tc>
          <w:tcPr>
            <w:tcW w:w="394" w:type="pct"/>
            <w:shd w:val="clear" w:color="auto" w:fill="auto"/>
            <w:noWrap/>
            <w:vAlign w:val="center"/>
          </w:tcPr>
          <w:p w14:paraId="0888B143"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0.21175158</w:t>
            </w:r>
          </w:p>
        </w:tc>
      </w:tr>
      <w:tr w:rsidR="003A49C8" w:rsidRPr="003A49C8" w14:paraId="3E447FEB" w14:textId="77777777" w:rsidTr="00AA49B7">
        <w:trPr>
          <w:trHeight w:val="300"/>
        </w:trPr>
        <w:tc>
          <w:tcPr>
            <w:tcW w:w="1059" w:type="pct"/>
            <w:shd w:val="clear" w:color="auto" w:fill="auto"/>
            <w:noWrap/>
            <w:vAlign w:val="center"/>
          </w:tcPr>
          <w:p w14:paraId="7FB922E1" w14:textId="06F0C9B1"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IYF iShares US Financials ETF</w:t>
            </w:r>
          </w:p>
        </w:tc>
        <w:tc>
          <w:tcPr>
            <w:tcW w:w="394" w:type="pct"/>
            <w:shd w:val="clear" w:color="auto" w:fill="auto"/>
            <w:noWrap/>
            <w:vAlign w:val="center"/>
          </w:tcPr>
          <w:p w14:paraId="7C7C07BF"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0.24178242</w:t>
            </w:r>
          </w:p>
        </w:tc>
        <w:tc>
          <w:tcPr>
            <w:tcW w:w="394" w:type="pct"/>
            <w:shd w:val="clear" w:color="auto" w:fill="auto"/>
            <w:noWrap/>
            <w:vAlign w:val="center"/>
          </w:tcPr>
          <w:p w14:paraId="3D422DE3"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0.24197741</w:t>
            </w:r>
          </w:p>
        </w:tc>
        <w:tc>
          <w:tcPr>
            <w:tcW w:w="394" w:type="pct"/>
            <w:shd w:val="clear" w:color="auto" w:fill="auto"/>
            <w:noWrap/>
            <w:vAlign w:val="center"/>
          </w:tcPr>
          <w:p w14:paraId="2EE72EEA"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0.25214453</w:t>
            </w:r>
          </w:p>
        </w:tc>
        <w:tc>
          <w:tcPr>
            <w:tcW w:w="394" w:type="pct"/>
            <w:shd w:val="clear" w:color="auto" w:fill="auto"/>
            <w:noWrap/>
            <w:vAlign w:val="center"/>
          </w:tcPr>
          <w:p w14:paraId="75FF8B7D"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0.21648773</w:t>
            </w:r>
          </w:p>
        </w:tc>
        <w:tc>
          <w:tcPr>
            <w:tcW w:w="394" w:type="pct"/>
            <w:shd w:val="clear" w:color="auto" w:fill="auto"/>
            <w:noWrap/>
            <w:vAlign w:val="center"/>
          </w:tcPr>
          <w:p w14:paraId="67973B5C"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0.21416987</w:t>
            </w:r>
          </w:p>
        </w:tc>
        <w:tc>
          <w:tcPr>
            <w:tcW w:w="394" w:type="pct"/>
            <w:shd w:val="clear" w:color="auto" w:fill="auto"/>
            <w:noWrap/>
            <w:vAlign w:val="center"/>
          </w:tcPr>
          <w:p w14:paraId="2FCD297D"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0.23570463</w:t>
            </w:r>
          </w:p>
        </w:tc>
        <w:tc>
          <w:tcPr>
            <w:tcW w:w="394" w:type="pct"/>
            <w:shd w:val="clear" w:color="auto" w:fill="auto"/>
            <w:noWrap/>
            <w:vAlign w:val="center"/>
          </w:tcPr>
          <w:p w14:paraId="6CBD7DEB"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0.23080923</w:t>
            </w:r>
          </w:p>
        </w:tc>
        <w:tc>
          <w:tcPr>
            <w:tcW w:w="394" w:type="pct"/>
            <w:shd w:val="clear" w:color="auto" w:fill="auto"/>
            <w:noWrap/>
            <w:vAlign w:val="center"/>
          </w:tcPr>
          <w:p w14:paraId="3C949496"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0.48085255</w:t>
            </w:r>
          </w:p>
        </w:tc>
        <w:tc>
          <w:tcPr>
            <w:tcW w:w="394" w:type="pct"/>
            <w:shd w:val="clear" w:color="auto" w:fill="auto"/>
            <w:noWrap/>
            <w:vAlign w:val="center"/>
          </w:tcPr>
          <w:p w14:paraId="2B150DD8"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0.50770219</w:t>
            </w:r>
          </w:p>
        </w:tc>
        <w:tc>
          <w:tcPr>
            <w:tcW w:w="394" w:type="pct"/>
            <w:shd w:val="clear" w:color="auto" w:fill="auto"/>
            <w:noWrap/>
            <w:vAlign w:val="center"/>
          </w:tcPr>
          <w:p w14:paraId="61C0D8A8"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0.19534635</w:t>
            </w:r>
          </w:p>
        </w:tc>
      </w:tr>
      <w:tr w:rsidR="003A49C8" w:rsidRPr="003A49C8" w14:paraId="7A0ECFA4" w14:textId="77777777" w:rsidTr="00AA49B7">
        <w:trPr>
          <w:trHeight w:val="300"/>
        </w:trPr>
        <w:tc>
          <w:tcPr>
            <w:tcW w:w="1059" w:type="pct"/>
            <w:shd w:val="clear" w:color="auto" w:fill="auto"/>
            <w:noWrap/>
            <w:vAlign w:val="center"/>
          </w:tcPr>
          <w:p w14:paraId="64EC40DF" w14:textId="78B51113"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IYG iShares US Financial Services ETF</w:t>
            </w:r>
          </w:p>
        </w:tc>
        <w:tc>
          <w:tcPr>
            <w:tcW w:w="394" w:type="pct"/>
            <w:shd w:val="clear" w:color="auto" w:fill="auto"/>
            <w:noWrap/>
            <w:vAlign w:val="center"/>
          </w:tcPr>
          <w:p w14:paraId="5681976F"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0.24675328</w:t>
            </w:r>
          </w:p>
        </w:tc>
        <w:tc>
          <w:tcPr>
            <w:tcW w:w="394" w:type="pct"/>
            <w:shd w:val="clear" w:color="auto" w:fill="auto"/>
            <w:noWrap/>
            <w:vAlign w:val="center"/>
          </w:tcPr>
          <w:p w14:paraId="449B50CB"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0.24454115</w:t>
            </w:r>
          </w:p>
        </w:tc>
        <w:tc>
          <w:tcPr>
            <w:tcW w:w="394" w:type="pct"/>
            <w:shd w:val="clear" w:color="auto" w:fill="auto"/>
            <w:noWrap/>
            <w:vAlign w:val="center"/>
          </w:tcPr>
          <w:p w14:paraId="157762ED"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0.25755536</w:t>
            </w:r>
          </w:p>
        </w:tc>
        <w:tc>
          <w:tcPr>
            <w:tcW w:w="394" w:type="pct"/>
            <w:shd w:val="clear" w:color="auto" w:fill="auto"/>
            <w:noWrap/>
            <w:vAlign w:val="center"/>
          </w:tcPr>
          <w:p w14:paraId="201AD625"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0.22046436</w:t>
            </w:r>
          </w:p>
        </w:tc>
        <w:tc>
          <w:tcPr>
            <w:tcW w:w="394" w:type="pct"/>
            <w:shd w:val="clear" w:color="auto" w:fill="auto"/>
            <w:noWrap/>
            <w:vAlign w:val="center"/>
          </w:tcPr>
          <w:p w14:paraId="40961E30"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0.2185375</w:t>
            </w:r>
          </w:p>
        </w:tc>
        <w:tc>
          <w:tcPr>
            <w:tcW w:w="394" w:type="pct"/>
            <w:shd w:val="clear" w:color="auto" w:fill="auto"/>
            <w:noWrap/>
            <w:vAlign w:val="center"/>
          </w:tcPr>
          <w:p w14:paraId="5A10DB9F"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0.23626141</w:t>
            </w:r>
          </w:p>
        </w:tc>
        <w:tc>
          <w:tcPr>
            <w:tcW w:w="394" w:type="pct"/>
            <w:shd w:val="clear" w:color="auto" w:fill="auto"/>
            <w:noWrap/>
            <w:vAlign w:val="center"/>
          </w:tcPr>
          <w:p w14:paraId="53C647D7"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0.23205877</w:t>
            </w:r>
          </w:p>
        </w:tc>
        <w:tc>
          <w:tcPr>
            <w:tcW w:w="394" w:type="pct"/>
            <w:shd w:val="clear" w:color="auto" w:fill="auto"/>
            <w:noWrap/>
            <w:vAlign w:val="center"/>
          </w:tcPr>
          <w:p w14:paraId="78BEDE37"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0.4770302</w:t>
            </w:r>
          </w:p>
        </w:tc>
        <w:tc>
          <w:tcPr>
            <w:tcW w:w="394" w:type="pct"/>
            <w:shd w:val="clear" w:color="auto" w:fill="auto"/>
            <w:noWrap/>
            <w:vAlign w:val="center"/>
          </w:tcPr>
          <w:p w14:paraId="4D5FDF63"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0.51466894</w:t>
            </w:r>
          </w:p>
        </w:tc>
        <w:tc>
          <w:tcPr>
            <w:tcW w:w="394" w:type="pct"/>
            <w:shd w:val="clear" w:color="auto" w:fill="auto"/>
            <w:noWrap/>
            <w:vAlign w:val="center"/>
          </w:tcPr>
          <w:p w14:paraId="7209B918"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0.19209475</w:t>
            </w:r>
          </w:p>
        </w:tc>
      </w:tr>
      <w:tr w:rsidR="003A49C8" w:rsidRPr="003A49C8" w14:paraId="64962A2F" w14:textId="77777777" w:rsidTr="00AA49B7">
        <w:trPr>
          <w:trHeight w:val="300"/>
        </w:trPr>
        <w:tc>
          <w:tcPr>
            <w:tcW w:w="1059" w:type="pct"/>
            <w:shd w:val="clear" w:color="auto" w:fill="auto"/>
            <w:noWrap/>
            <w:vAlign w:val="center"/>
          </w:tcPr>
          <w:p w14:paraId="2540C595" w14:textId="6C27B27B"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KBE SPDR S&amp;P Bank ETF</w:t>
            </w:r>
          </w:p>
        </w:tc>
        <w:tc>
          <w:tcPr>
            <w:tcW w:w="394" w:type="pct"/>
            <w:shd w:val="clear" w:color="auto" w:fill="auto"/>
            <w:noWrap/>
            <w:vAlign w:val="center"/>
          </w:tcPr>
          <w:p w14:paraId="40E8BA79"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0.27885872</w:t>
            </w:r>
          </w:p>
        </w:tc>
        <w:tc>
          <w:tcPr>
            <w:tcW w:w="394" w:type="pct"/>
            <w:shd w:val="clear" w:color="auto" w:fill="auto"/>
            <w:noWrap/>
            <w:vAlign w:val="center"/>
          </w:tcPr>
          <w:p w14:paraId="3B468987"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0.27178623</w:t>
            </w:r>
          </w:p>
        </w:tc>
        <w:tc>
          <w:tcPr>
            <w:tcW w:w="394" w:type="pct"/>
            <w:shd w:val="clear" w:color="auto" w:fill="auto"/>
            <w:noWrap/>
            <w:vAlign w:val="center"/>
          </w:tcPr>
          <w:p w14:paraId="1C16C428"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0.23700789</w:t>
            </w:r>
          </w:p>
        </w:tc>
        <w:tc>
          <w:tcPr>
            <w:tcW w:w="394" w:type="pct"/>
            <w:shd w:val="clear" w:color="auto" w:fill="auto"/>
            <w:noWrap/>
            <w:vAlign w:val="center"/>
          </w:tcPr>
          <w:p w14:paraId="306FEA47"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0.25956055</w:t>
            </w:r>
          </w:p>
        </w:tc>
        <w:tc>
          <w:tcPr>
            <w:tcW w:w="394" w:type="pct"/>
            <w:shd w:val="clear" w:color="auto" w:fill="auto"/>
            <w:noWrap/>
            <w:vAlign w:val="center"/>
          </w:tcPr>
          <w:p w14:paraId="507B8507"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0.25711396</w:t>
            </w:r>
          </w:p>
        </w:tc>
        <w:tc>
          <w:tcPr>
            <w:tcW w:w="394" w:type="pct"/>
            <w:shd w:val="clear" w:color="auto" w:fill="auto"/>
            <w:noWrap/>
            <w:vAlign w:val="center"/>
          </w:tcPr>
          <w:p w14:paraId="2DAB3237"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0.23626141</w:t>
            </w:r>
          </w:p>
        </w:tc>
        <w:tc>
          <w:tcPr>
            <w:tcW w:w="394" w:type="pct"/>
            <w:shd w:val="clear" w:color="auto" w:fill="auto"/>
            <w:noWrap/>
            <w:vAlign w:val="center"/>
          </w:tcPr>
          <w:p w14:paraId="1BB22533"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0.21265201</w:t>
            </w:r>
          </w:p>
        </w:tc>
        <w:tc>
          <w:tcPr>
            <w:tcW w:w="394" w:type="pct"/>
            <w:shd w:val="clear" w:color="auto" w:fill="auto"/>
            <w:noWrap/>
            <w:vAlign w:val="center"/>
          </w:tcPr>
          <w:p w14:paraId="1C49D85E"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0.44717138</w:t>
            </w:r>
          </w:p>
        </w:tc>
        <w:tc>
          <w:tcPr>
            <w:tcW w:w="394" w:type="pct"/>
            <w:shd w:val="clear" w:color="auto" w:fill="auto"/>
            <w:noWrap/>
            <w:vAlign w:val="center"/>
          </w:tcPr>
          <w:p w14:paraId="57FE4286"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0.51644061</w:t>
            </w:r>
          </w:p>
        </w:tc>
        <w:tc>
          <w:tcPr>
            <w:tcW w:w="394" w:type="pct"/>
            <w:shd w:val="clear" w:color="auto" w:fill="auto"/>
            <w:noWrap/>
            <w:vAlign w:val="center"/>
          </w:tcPr>
          <w:p w14:paraId="504AE73F"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0.20495355</w:t>
            </w:r>
          </w:p>
        </w:tc>
      </w:tr>
      <w:tr w:rsidR="003A49C8" w:rsidRPr="003A49C8" w14:paraId="7BF85359" w14:textId="77777777" w:rsidTr="00AA49B7">
        <w:trPr>
          <w:trHeight w:val="300"/>
        </w:trPr>
        <w:tc>
          <w:tcPr>
            <w:tcW w:w="1059" w:type="pct"/>
            <w:shd w:val="clear" w:color="auto" w:fill="auto"/>
            <w:noWrap/>
            <w:vAlign w:val="center"/>
          </w:tcPr>
          <w:p w14:paraId="6FDD4628" w14:textId="27C4AB50"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KBWB Invesco KBW Bank ETF</w:t>
            </w:r>
          </w:p>
        </w:tc>
        <w:tc>
          <w:tcPr>
            <w:tcW w:w="394" w:type="pct"/>
            <w:shd w:val="clear" w:color="auto" w:fill="auto"/>
            <w:noWrap/>
            <w:vAlign w:val="center"/>
          </w:tcPr>
          <w:p w14:paraId="16D95AC1"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0.26205413</w:t>
            </w:r>
          </w:p>
        </w:tc>
        <w:tc>
          <w:tcPr>
            <w:tcW w:w="394" w:type="pct"/>
            <w:shd w:val="clear" w:color="auto" w:fill="auto"/>
            <w:noWrap/>
            <w:vAlign w:val="center"/>
          </w:tcPr>
          <w:p w14:paraId="2B7B5915"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0.24756765</w:t>
            </w:r>
          </w:p>
        </w:tc>
        <w:tc>
          <w:tcPr>
            <w:tcW w:w="394" w:type="pct"/>
            <w:shd w:val="clear" w:color="auto" w:fill="auto"/>
            <w:noWrap/>
            <w:vAlign w:val="center"/>
          </w:tcPr>
          <w:p w14:paraId="36155298"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0.21790268</w:t>
            </w:r>
          </w:p>
        </w:tc>
        <w:tc>
          <w:tcPr>
            <w:tcW w:w="394" w:type="pct"/>
            <w:shd w:val="clear" w:color="auto" w:fill="auto"/>
            <w:noWrap/>
            <w:vAlign w:val="center"/>
          </w:tcPr>
          <w:p w14:paraId="6B0E747F"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0.31988485</w:t>
            </w:r>
          </w:p>
        </w:tc>
        <w:tc>
          <w:tcPr>
            <w:tcW w:w="394" w:type="pct"/>
            <w:shd w:val="clear" w:color="auto" w:fill="auto"/>
            <w:noWrap/>
            <w:vAlign w:val="center"/>
          </w:tcPr>
          <w:p w14:paraId="24981FD4"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0.30965118</w:t>
            </w:r>
          </w:p>
        </w:tc>
        <w:tc>
          <w:tcPr>
            <w:tcW w:w="394" w:type="pct"/>
            <w:shd w:val="clear" w:color="auto" w:fill="auto"/>
            <w:noWrap/>
            <w:vAlign w:val="center"/>
          </w:tcPr>
          <w:p w14:paraId="7B09CCDF"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0.22425411</w:t>
            </w:r>
          </w:p>
        </w:tc>
        <w:tc>
          <w:tcPr>
            <w:tcW w:w="394" w:type="pct"/>
            <w:shd w:val="clear" w:color="auto" w:fill="auto"/>
            <w:noWrap/>
            <w:vAlign w:val="center"/>
          </w:tcPr>
          <w:p w14:paraId="42058471"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0.1991055</w:t>
            </w:r>
          </w:p>
        </w:tc>
        <w:tc>
          <w:tcPr>
            <w:tcW w:w="394" w:type="pct"/>
            <w:shd w:val="clear" w:color="auto" w:fill="auto"/>
            <w:noWrap/>
            <w:vAlign w:val="center"/>
          </w:tcPr>
          <w:p w14:paraId="68B6BF96"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0.32403023</w:t>
            </w:r>
          </w:p>
        </w:tc>
        <w:tc>
          <w:tcPr>
            <w:tcW w:w="394" w:type="pct"/>
            <w:shd w:val="clear" w:color="auto" w:fill="auto"/>
            <w:noWrap/>
            <w:vAlign w:val="center"/>
          </w:tcPr>
          <w:p w14:paraId="45E0C3D8"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0.40767934</w:t>
            </w:r>
          </w:p>
        </w:tc>
        <w:tc>
          <w:tcPr>
            <w:tcW w:w="394" w:type="pct"/>
            <w:shd w:val="clear" w:color="auto" w:fill="auto"/>
            <w:noWrap/>
            <w:vAlign w:val="center"/>
          </w:tcPr>
          <w:p w14:paraId="5AC613F4"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0.20056951</w:t>
            </w:r>
          </w:p>
        </w:tc>
      </w:tr>
      <w:tr w:rsidR="003A49C8" w:rsidRPr="003A49C8" w14:paraId="2D9B1DB3" w14:textId="77777777" w:rsidTr="00AA49B7">
        <w:trPr>
          <w:trHeight w:val="300"/>
        </w:trPr>
        <w:tc>
          <w:tcPr>
            <w:tcW w:w="1059" w:type="pct"/>
            <w:shd w:val="clear" w:color="auto" w:fill="auto"/>
            <w:noWrap/>
            <w:vAlign w:val="center"/>
          </w:tcPr>
          <w:p w14:paraId="00A28A20" w14:textId="22F3187B"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KRE SPDR S&amp;P Regional Banking ETF</w:t>
            </w:r>
          </w:p>
        </w:tc>
        <w:tc>
          <w:tcPr>
            <w:tcW w:w="394" w:type="pct"/>
            <w:shd w:val="clear" w:color="auto" w:fill="auto"/>
            <w:noWrap/>
            <w:vAlign w:val="center"/>
          </w:tcPr>
          <w:p w14:paraId="7699ACC9"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0.28226903</w:t>
            </w:r>
          </w:p>
        </w:tc>
        <w:tc>
          <w:tcPr>
            <w:tcW w:w="394" w:type="pct"/>
            <w:shd w:val="clear" w:color="auto" w:fill="auto"/>
            <w:noWrap/>
            <w:vAlign w:val="center"/>
          </w:tcPr>
          <w:p w14:paraId="00869FF3"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0.27277454</w:t>
            </w:r>
          </w:p>
        </w:tc>
        <w:tc>
          <w:tcPr>
            <w:tcW w:w="394" w:type="pct"/>
            <w:shd w:val="clear" w:color="auto" w:fill="auto"/>
            <w:noWrap/>
            <w:vAlign w:val="center"/>
          </w:tcPr>
          <w:p w14:paraId="47B2CEC5"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0.23775911</w:t>
            </w:r>
          </w:p>
        </w:tc>
        <w:tc>
          <w:tcPr>
            <w:tcW w:w="394" w:type="pct"/>
            <w:shd w:val="clear" w:color="auto" w:fill="auto"/>
            <w:noWrap/>
            <w:vAlign w:val="center"/>
          </w:tcPr>
          <w:p w14:paraId="31B33CD3"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0.26389797</w:t>
            </w:r>
          </w:p>
        </w:tc>
        <w:tc>
          <w:tcPr>
            <w:tcW w:w="394" w:type="pct"/>
            <w:shd w:val="clear" w:color="auto" w:fill="auto"/>
            <w:noWrap/>
            <w:vAlign w:val="center"/>
          </w:tcPr>
          <w:p w14:paraId="4431471D"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0.2632035</w:t>
            </w:r>
          </w:p>
        </w:tc>
        <w:tc>
          <w:tcPr>
            <w:tcW w:w="394" w:type="pct"/>
            <w:shd w:val="clear" w:color="auto" w:fill="auto"/>
            <w:noWrap/>
            <w:vAlign w:val="center"/>
          </w:tcPr>
          <w:p w14:paraId="318202EC"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0.23719525</w:t>
            </w:r>
          </w:p>
        </w:tc>
        <w:tc>
          <w:tcPr>
            <w:tcW w:w="394" w:type="pct"/>
            <w:shd w:val="clear" w:color="auto" w:fill="auto"/>
            <w:noWrap/>
            <w:vAlign w:val="center"/>
          </w:tcPr>
          <w:p w14:paraId="63B6D3FA"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0.21401711</w:t>
            </w:r>
          </w:p>
        </w:tc>
        <w:tc>
          <w:tcPr>
            <w:tcW w:w="394" w:type="pct"/>
            <w:shd w:val="clear" w:color="auto" w:fill="auto"/>
            <w:noWrap/>
            <w:vAlign w:val="center"/>
          </w:tcPr>
          <w:p w14:paraId="77EEF928"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0.43297546</w:t>
            </w:r>
          </w:p>
        </w:tc>
        <w:tc>
          <w:tcPr>
            <w:tcW w:w="394" w:type="pct"/>
            <w:shd w:val="clear" w:color="auto" w:fill="auto"/>
            <w:noWrap/>
            <w:vAlign w:val="center"/>
          </w:tcPr>
          <w:p w14:paraId="25D95D7B"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0.49108346</w:t>
            </w:r>
          </w:p>
        </w:tc>
        <w:tc>
          <w:tcPr>
            <w:tcW w:w="394" w:type="pct"/>
            <w:shd w:val="clear" w:color="auto" w:fill="auto"/>
            <w:noWrap/>
            <w:vAlign w:val="center"/>
          </w:tcPr>
          <w:p w14:paraId="1EE40B88"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0.19884161</w:t>
            </w:r>
          </w:p>
        </w:tc>
      </w:tr>
      <w:tr w:rsidR="003A49C8" w:rsidRPr="003A49C8" w14:paraId="12D21CB1" w14:textId="77777777" w:rsidTr="00AA49B7">
        <w:trPr>
          <w:trHeight w:val="300"/>
        </w:trPr>
        <w:tc>
          <w:tcPr>
            <w:tcW w:w="1059" w:type="pct"/>
            <w:shd w:val="clear" w:color="auto" w:fill="auto"/>
            <w:noWrap/>
            <w:vAlign w:val="center"/>
          </w:tcPr>
          <w:p w14:paraId="32CF25D5" w14:textId="692064BE"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VFH-Vanguard Financials ETF</w:t>
            </w:r>
          </w:p>
        </w:tc>
        <w:tc>
          <w:tcPr>
            <w:tcW w:w="394" w:type="pct"/>
            <w:shd w:val="clear" w:color="auto" w:fill="auto"/>
            <w:noWrap/>
            <w:vAlign w:val="center"/>
          </w:tcPr>
          <w:p w14:paraId="4FEB32FF"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0.27104967</w:t>
            </w:r>
          </w:p>
        </w:tc>
        <w:tc>
          <w:tcPr>
            <w:tcW w:w="394" w:type="pct"/>
            <w:shd w:val="clear" w:color="auto" w:fill="auto"/>
            <w:noWrap/>
            <w:vAlign w:val="center"/>
          </w:tcPr>
          <w:p w14:paraId="0D103994"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0.2700738</w:t>
            </w:r>
          </w:p>
        </w:tc>
        <w:tc>
          <w:tcPr>
            <w:tcW w:w="394" w:type="pct"/>
            <w:shd w:val="clear" w:color="auto" w:fill="auto"/>
            <w:noWrap/>
            <w:vAlign w:val="center"/>
          </w:tcPr>
          <w:p w14:paraId="427DAD8B"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0.23908525</w:t>
            </w:r>
          </w:p>
        </w:tc>
        <w:tc>
          <w:tcPr>
            <w:tcW w:w="394" w:type="pct"/>
            <w:shd w:val="clear" w:color="auto" w:fill="auto"/>
            <w:noWrap/>
            <w:vAlign w:val="center"/>
          </w:tcPr>
          <w:p w14:paraId="6A7791F9"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0.24197741</w:t>
            </w:r>
          </w:p>
        </w:tc>
        <w:tc>
          <w:tcPr>
            <w:tcW w:w="394" w:type="pct"/>
            <w:shd w:val="clear" w:color="auto" w:fill="auto"/>
            <w:noWrap/>
            <w:vAlign w:val="center"/>
          </w:tcPr>
          <w:p w14:paraId="0827ED8E"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0.24100562</w:t>
            </w:r>
          </w:p>
        </w:tc>
        <w:tc>
          <w:tcPr>
            <w:tcW w:w="394" w:type="pct"/>
            <w:shd w:val="clear" w:color="auto" w:fill="auto"/>
            <w:noWrap/>
            <w:vAlign w:val="center"/>
          </w:tcPr>
          <w:p w14:paraId="7ED109DE"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0.23794766</w:t>
            </w:r>
          </w:p>
        </w:tc>
        <w:tc>
          <w:tcPr>
            <w:tcW w:w="394" w:type="pct"/>
            <w:shd w:val="clear" w:color="auto" w:fill="auto"/>
            <w:noWrap/>
            <w:vAlign w:val="center"/>
          </w:tcPr>
          <w:p w14:paraId="34748D13"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0.21280283</w:t>
            </w:r>
          </w:p>
        </w:tc>
        <w:tc>
          <w:tcPr>
            <w:tcW w:w="394" w:type="pct"/>
            <w:shd w:val="clear" w:color="auto" w:fill="auto"/>
            <w:noWrap/>
            <w:vAlign w:val="center"/>
          </w:tcPr>
          <w:p w14:paraId="7654DC74"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0.49431959</w:t>
            </w:r>
          </w:p>
        </w:tc>
        <w:tc>
          <w:tcPr>
            <w:tcW w:w="394" w:type="pct"/>
            <w:shd w:val="clear" w:color="auto" w:fill="auto"/>
            <w:noWrap/>
            <w:vAlign w:val="center"/>
          </w:tcPr>
          <w:p w14:paraId="309A4414"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0.57371318</w:t>
            </w:r>
          </w:p>
        </w:tc>
        <w:tc>
          <w:tcPr>
            <w:tcW w:w="394" w:type="pct"/>
            <w:shd w:val="clear" w:color="auto" w:fill="auto"/>
            <w:noWrap/>
            <w:vAlign w:val="center"/>
          </w:tcPr>
          <w:p w14:paraId="29328983" w14:textId="77777777" w:rsidR="00456D56" w:rsidRPr="003A49C8" w:rsidRDefault="00456D56" w:rsidP="00456D56">
            <w:pPr>
              <w:spacing w:after="0" w:line="240" w:lineRule="auto"/>
              <w:rPr>
                <w:rFonts w:eastAsia="Times New Roman" w:cs="Times New Roman"/>
                <w:sz w:val="18"/>
                <w:szCs w:val="18"/>
              </w:rPr>
            </w:pPr>
            <w:r w:rsidRPr="003A49C8">
              <w:rPr>
                <w:rFonts w:eastAsia="Times New Roman" w:cs="Times New Roman"/>
                <w:sz w:val="18"/>
                <w:szCs w:val="18"/>
              </w:rPr>
              <w:t>0.20967994</w:t>
            </w:r>
          </w:p>
        </w:tc>
      </w:tr>
      <w:tr w:rsidR="00613783" w:rsidRPr="003A49C8" w14:paraId="1AFD295B" w14:textId="77777777" w:rsidTr="00AA49B7">
        <w:trPr>
          <w:trHeight w:val="300"/>
        </w:trPr>
        <w:tc>
          <w:tcPr>
            <w:tcW w:w="1059" w:type="pct"/>
            <w:tcBorders>
              <w:bottom w:val="single" w:sz="4" w:space="0" w:color="auto"/>
            </w:tcBorders>
            <w:shd w:val="clear" w:color="auto" w:fill="auto"/>
            <w:noWrap/>
            <w:vAlign w:val="center"/>
          </w:tcPr>
          <w:p w14:paraId="21A36B53" w14:textId="77777777" w:rsidR="00613783" w:rsidRPr="003A49C8" w:rsidRDefault="00613783" w:rsidP="00456D56">
            <w:pPr>
              <w:spacing w:after="0" w:line="240" w:lineRule="auto"/>
              <w:rPr>
                <w:rFonts w:eastAsia="Times New Roman" w:cs="Times New Roman"/>
                <w:sz w:val="18"/>
                <w:szCs w:val="18"/>
              </w:rPr>
            </w:pPr>
            <w:r w:rsidRPr="003A49C8">
              <w:rPr>
                <w:rFonts w:eastAsia="Times New Roman" w:cs="Times New Roman"/>
                <w:b/>
                <w:bCs/>
                <w:sz w:val="18"/>
                <w:szCs w:val="18"/>
              </w:rPr>
              <w:t>Average</w:t>
            </w:r>
          </w:p>
        </w:tc>
        <w:tc>
          <w:tcPr>
            <w:tcW w:w="394" w:type="pct"/>
            <w:tcBorders>
              <w:bottom w:val="single" w:sz="4" w:space="0" w:color="auto"/>
            </w:tcBorders>
            <w:shd w:val="clear" w:color="auto" w:fill="auto"/>
            <w:noWrap/>
            <w:vAlign w:val="center"/>
          </w:tcPr>
          <w:p w14:paraId="15590B66" w14:textId="77777777" w:rsidR="00613783" w:rsidRPr="003A49C8" w:rsidRDefault="00613783" w:rsidP="00456D56">
            <w:pPr>
              <w:spacing w:after="0" w:line="240" w:lineRule="auto"/>
              <w:rPr>
                <w:rFonts w:eastAsia="Times New Roman" w:cs="Times New Roman"/>
                <w:sz w:val="18"/>
                <w:szCs w:val="18"/>
              </w:rPr>
            </w:pPr>
            <w:r w:rsidRPr="003A49C8">
              <w:rPr>
                <w:rFonts w:eastAsia="Times New Roman" w:cs="Times New Roman"/>
                <w:b/>
                <w:bCs/>
                <w:sz w:val="18"/>
                <w:szCs w:val="18"/>
              </w:rPr>
              <w:t>0.262779701</w:t>
            </w:r>
          </w:p>
        </w:tc>
        <w:tc>
          <w:tcPr>
            <w:tcW w:w="394" w:type="pct"/>
            <w:tcBorders>
              <w:bottom w:val="single" w:sz="4" w:space="0" w:color="auto"/>
            </w:tcBorders>
            <w:shd w:val="clear" w:color="auto" w:fill="auto"/>
            <w:noWrap/>
            <w:vAlign w:val="center"/>
          </w:tcPr>
          <w:p w14:paraId="1416FD08" w14:textId="77777777" w:rsidR="00613783" w:rsidRPr="003A49C8" w:rsidRDefault="00613783" w:rsidP="00456D56">
            <w:pPr>
              <w:spacing w:after="0" w:line="240" w:lineRule="auto"/>
              <w:rPr>
                <w:rFonts w:eastAsia="Times New Roman" w:cs="Times New Roman"/>
                <w:sz w:val="18"/>
                <w:szCs w:val="18"/>
              </w:rPr>
            </w:pPr>
            <w:r w:rsidRPr="003A49C8">
              <w:rPr>
                <w:rFonts w:eastAsia="Times New Roman" w:cs="Times New Roman"/>
                <w:b/>
                <w:bCs/>
                <w:sz w:val="18"/>
                <w:szCs w:val="18"/>
              </w:rPr>
              <w:t>0.255227993</w:t>
            </w:r>
          </w:p>
        </w:tc>
        <w:tc>
          <w:tcPr>
            <w:tcW w:w="394" w:type="pct"/>
            <w:tcBorders>
              <w:bottom w:val="single" w:sz="4" w:space="0" w:color="auto"/>
            </w:tcBorders>
            <w:shd w:val="clear" w:color="auto" w:fill="auto"/>
            <w:noWrap/>
            <w:vAlign w:val="center"/>
          </w:tcPr>
          <w:p w14:paraId="50F5DF7E" w14:textId="77777777" w:rsidR="00613783" w:rsidRPr="003A49C8" w:rsidRDefault="00613783" w:rsidP="00456D56">
            <w:pPr>
              <w:spacing w:after="0" w:line="240" w:lineRule="auto"/>
              <w:rPr>
                <w:rFonts w:eastAsia="Times New Roman" w:cs="Times New Roman"/>
                <w:sz w:val="18"/>
                <w:szCs w:val="18"/>
              </w:rPr>
            </w:pPr>
            <w:r w:rsidRPr="003A49C8">
              <w:rPr>
                <w:rFonts w:eastAsia="Times New Roman" w:cs="Times New Roman"/>
                <w:b/>
                <w:bCs/>
                <w:sz w:val="18"/>
                <w:szCs w:val="18"/>
              </w:rPr>
              <w:t>0.236564643</w:t>
            </w:r>
          </w:p>
        </w:tc>
        <w:tc>
          <w:tcPr>
            <w:tcW w:w="394" w:type="pct"/>
            <w:tcBorders>
              <w:bottom w:val="single" w:sz="4" w:space="0" w:color="auto"/>
            </w:tcBorders>
            <w:shd w:val="clear" w:color="auto" w:fill="auto"/>
            <w:noWrap/>
            <w:vAlign w:val="center"/>
          </w:tcPr>
          <w:p w14:paraId="038BB879" w14:textId="77777777" w:rsidR="00613783" w:rsidRPr="003A49C8" w:rsidRDefault="00613783" w:rsidP="00456D56">
            <w:pPr>
              <w:spacing w:after="0" w:line="240" w:lineRule="auto"/>
              <w:rPr>
                <w:rFonts w:eastAsia="Times New Roman" w:cs="Times New Roman"/>
                <w:sz w:val="18"/>
                <w:szCs w:val="18"/>
              </w:rPr>
            </w:pPr>
            <w:r w:rsidRPr="003A49C8">
              <w:rPr>
                <w:rFonts w:eastAsia="Times New Roman" w:cs="Times New Roman"/>
                <w:b/>
                <w:bCs/>
                <w:sz w:val="18"/>
                <w:szCs w:val="18"/>
              </w:rPr>
              <w:t>0.264219609</w:t>
            </w:r>
          </w:p>
        </w:tc>
        <w:tc>
          <w:tcPr>
            <w:tcW w:w="394" w:type="pct"/>
            <w:tcBorders>
              <w:bottom w:val="single" w:sz="4" w:space="0" w:color="auto"/>
            </w:tcBorders>
            <w:shd w:val="clear" w:color="auto" w:fill="auto"/>
            <w:noWrap/>
            <w:vAlign w:val="center"/>
          </w:tcPr>
          <w:p w14:paraId="2230A950" w14:textId="77777777" w:rsidR="00613783" w:rsidRPr="003A49C8" w:rsidRDefault="00613783" w:rsidP="00456D56">
            <w:pPr>
              <w:spacing w:after="0" w:line="240" w:lineRule="auto"/>
              <w:rPr>
                <w:rFonts w:eastAsia="Times New Roman" w:cs="Times New Roman"/>
                <w:sz w:val="18"/>
                <w:szCs w:val="18"/>
              </w:rPr>
            </w:pPr>
            <w:r w:rsidRPr="003A49C8">
              <w:rPr>
                <w:rFonts w:eastAsia="Times New Roman" w:cs="Times New Roman"/>
                <w:b/>
                <w:bCs/>
                <w:sz w:val="18"/>
                <w:szCs w:val="18"/>
              </w:rPr>
              <w:t>0.259490816</w:t>
            </w:r>
          </w:p>
        </w:tc>
        <w:tc>
          <w:tcPr>
            <w:tcW w:w="394" w:type="pct"/>
            <w:tcBorders>
              <w:bottom w:val="single" w:sz="4" w:space="0" w:color="auto"/>
            </w:tcBorders>
            <w:shd w:val="clear" w:color="auto" w:fill="auto"/>
            <w:noWrap/>
            <w:vAlign w:val="center"/>
          </w:tcPr>
          <w:p w14:paraId="3FDC341C" w14:textId="77777777" w:rsidR="00613783" w:rsidRPr="003A49C8" w:rsidRDefault="00613783" w:rsidP="00456D56">
            <w:pPr>
              <w:spacing w:after="0" w:line="240" w:lineRule="auto"/>
              <w:rPr>
                <w:rFonts w:eastAsia="Times New Roman" w:cs="Times New Roman"/>
                <w:sz w:val="18"/>
                <w:szCs w:val="18"/>
              </w:rPr>
            </w:pPr>
            <w:r w:rsidRPr="003A49C8">
              <w:rPr>
                <w:rFonts w:eastAsia="Times New Roman" w:cs="Times New Roman"/>
                <w:b/>
                <w:bCs/>
                <w:sz w:val="18"/>
                <w:szCs w:val="18"/>
              </w:rPr>
              <w:t>0.231645752</w:t>
            </w:r>
          </w:p>
        </w:tc>
        <w:tc>
          <w:tcPr>
            <w:tcW w:w="394" w:type="pct"/>
            <w:tcBorders>
              <w:bottom w:val="single" w:sz="4" w:space="0" w:color="auto"/>
            </w:tcBorders>
            <w:shd w:val="clear" w:color="auto" w:fill="auto"/>
            <w:noWrap/>
            <w:vAlign w:val="center"/>
          </w:tcPr>
          <w:p w14:paraId="7DC7EC09" w14:textId="77777777" w:rsidR="00613783" w:rsidRPr="003A49C8" w:rsidRDefault="00613783" w:rsidP="00456D56">
            <w:pPr>
              <w:spacing w:after="0" w:line="240" w:lineRule="auto"/>
              <w:rPr>
                <w:rFonts w:eastAsia="Times New Roman" w:cs="Times New Roman"/>
                <w:sz w:val="18"/>
                <w:szCs w:val="18"/>
              </w:rPr>
            </w:pPr>
            <w:r w:rsidRPr="003A49C8">
              <w:rPr>
                <w:rFonts w:eastAsia="Times New Roman" w:cs="Times New Roman"/>
                <w:b/>
                <w:bCs/>
                <w:sz w:val="18"/>
                <w:szCs w:val="18"/>
              </w:rPr>
              <w:t>0.214938171</w:t>
            </w:r>
          </w:p>
        </w:tc>
        <w:tc>
          <w:tcPr>
            <w:tcW w:w="394" w:type="pct"/>
            <w:tcBorders>
              <w:bottom w:val="single" w:sz="4" w:space="0" w:color="auto"/>
            </w:tcBorders>
            <w:shd w:val="clear" w:color="auto" w:fill="auto"/>
            <w:noWrap/>
            <w:vAlign w:val="center"/>
          </w:tcPr>
          <w:p w14:paraId="79B71B9D" w14:textId="77777777" w:rsidR="00613783" w:rsidRPr="003A49C8" w:rsidRDefault="00613783" w:rsidP="00456D56">
            <w:pPr>
              <w:spacing w:after="0" w:line="240" w:lineRule="auto"/>
              <w:rPr>
                <w:rFonts w:eastAsia="Times New Roman" w:cs="Times New Roman"/>
                <w:sz w:val="18"/>
                <w:szCs w:val="18"/>
              </w:rPr>
            </w:pPr>
            <w:r w:rsidRPr="003A49C8">
              <w:rPr>
                <w:rFonts w:eastAsia="Times New Roman" w:cs="Times New Roman"/>
                <w:b/>
                <w:bCs/>
                <w:sz w:val="18"/>
                <w:szCs w:val="18"/>
              </w:rPr>
              <w:t>0.42446669</w:t>
            </w:r>
          </w:p>
        </w:tc>
        <w:tc>
          <w:tcPr>
            <w:tcW w:w="394" w:type="pct"/>
            <w:tcBorders>
              <w:bottom w:val="single" w:sz="4" w:space="0" w:color="auto"/>
            </w:tcBorders>
            <w:shd w:val="clear" w:color="auto" w:fill="auto"/>
            <w:noWrap/>
            <w:vAlign w:val="center"/>
          </w:tcPr>
          <w:p w14:paraId="00AB4A1A" w14:textId="77777777" w:rsidR="00613783" w:rsidRPr="003A49C8" w:rsidRDefault="00613783" w:rsidP="00456D56">
            <w:pPr>
              <w:spacing w:after="0" w:line="240" w:lineRule="auto"/>
              <w:rPr>
                <w:rFonts w:eastAsia="Times New Roman" w:cs="Times New Roman"/>
                <w:sz w:val="18"/>
                <w:szCs w:val="18"/>
              </w:rPr>
            </w:pPr>
            <w:r w:rsidRPr="003A49C8">
              <w:rPr>
                <w:rFonts w:eastAsia="Times New Roman" w:cs="Times New Roman"/>
                <w:b/>
                <w:bCs/>
                <w:sz w:val="18"/>
                <w:szCs w:val="18"/>
              </w:rPr>
              <w:t>0.483737585</w:t>
            </w:r>
          </w:p>
        </w:tc>
        <w:tc>
          <w:tcPr>
            <w:tcW w:w="394" w:type="pct"/>
            <w:tcBorders>
              <w:bottom w:val="single" w:sz="4" w:space="0" w:color="auto"/>
            </w:tcBorders>
            <w:shd w:val="clear" w:color="auto" w:fill="auto"/>
            <w:noWrap/>
            <w:vAlign w:val="center"/>
          </w:tcPr>
          <w:p w14:paraId="464688DC" w14:textId="77777777" w:rsidR="00613783" w:rsidRPr="003A49C8" w:rsidRDefault="00613783" w:rsidP="00456D56">
            <w:pPr>
              <w:spacing w:after="0" w:line="240" w:lineRule="auto"/>
              <w:rPr>
                <w:rFonts w:eastAsia="Times New Roman" w:cs="Times New Roman"/>
                <w:sz w:val="18"/>
                <w:szCs w:val="18"/>
              </w:rPr>
            </w:pPr>
            <w:r w:rsidRPr="003A49C8">
              <w:rPr>
                <w:rFonts w:eastAsia="Times New Roman" w:cs="Times New Roman"/>
                <w:b/>
                <w:bCs/>
                <w:sz w:val="18"/>
                <w:szCs w:val="18"/>
              </w:rPr>
              <w:t>0.201954965</w:t>
            </w:r>
          </w:p>
        </w:tc>
      </w:tr>
      <w:bookmarkEnd w:id="13"/>
    </w:tbl>
    <w:p w14:paraId="7D28474B" w14:textId="77777777" w:rsidR="00613783" w:rsidRPr="003A49C8" w:rsidRDefault="00613783" w:rsidP="00E33705">
      <w:pPr>
        <w:spacing w:after="0" w:line="240" w:lineRule="auto"/>
        <w:rPr>
          <w:rFonts w:cs="Times New Roman"/>
        </w:rPr>
      </w:pPr>
    </w:p>
    <w:p w14:paraId="0D441424" w14:textId="77777777" w:rsidR="00613783" w:rsidRPr="003A49C8" w:rsidRDefault="00613783" w:rsidP="00B942AD">
      <w:pPr>
        <w:rPr>
          <w:rFonts w:cs="Times New Roman"/>
        </w:rPr>
        <w:sectPr w:rsidR="00613783" w:rsidRPr="003A49C8" w:rsidSect="00AA49B7">
          <w:pgSz w:w="16838" w:h="11906" w:orient="landscape"/>
          <w:pgMar w:top="720" w:right="720" w:bottom="720" w:left="720" w:header="708" w:footer="708" w:gutter="0"/>
          <w:cols w:space="708"/>
          <w:docGrid w:linePitch="360"/>
        </w:sectPr>
      </w:pPr>
    </w:p>
    <w:p w14:paraId="28737DE7" w14:textId="3AAFAA77" w:rsidR="00393903" w:rsidRPr="003A49C8" w:rsidRDefault="0074047B" w:rsidP="00E33705">
      <w:pPr>
        <w:ind w:firstLine="397"/>
        <w:sectPr w:rsidR="00393903" w:rsidRPr="003A49C8" w:rsidSect="00F50DBD">
          <w:pgSz w:w="11906" w:h="16838"/>
          <w:pgMar w:top="1440" w:right="1440" w:bottom="1440" w:left="1440" w:header="708" w:footer="708" w:gutter="0"/>
          <w:cols w:space="708"/>
          <w:docGrid w:linePitch="360"/>
        </w:sectPr>
      </w:pPr>
      <w:r w:rsidRPr="003A49C8">
        <w:lastRenderedPageBreak/>
        <w:t xml:space="preserve">Similar to the tail risk temporal plots, we also explore the temporal changes in the extreme systemic risk of ESG, healthcare and financial </w:t>
      </w:r>
      <w:r w:rsidR="00330350" w:rsidRPr="003A49C8">
        <w:t>sectors</w:t>
      </w:r>
      <w:r w:rsidRPr="003A49C8">
        <w:t xml:space="preserve">. We use </w:t>
      </w:r>
      <w:r w:rsidR="00330350" w:rsidRPr="003A49C8">
        <w:t>seven</w:t>
      </w:r>
      <w:r w:rsidRPr="003A49C8">
        <w:t xml:space="preserve">-year average rolling windows to calculate the extreme systemic risk. The results are provided in </w:t>
      </w:r>
      <w:r w:rsidR="009C237B">
        <w:t>Fig. 2</w:t>
      </w:r>
      <w:r w:rsidRPr="003A49C8">
        <w:t xml:space="preserve">. </w:t>
      </w:r>
      <w:r w:rsidR="004C59B3" w:rsidRPr="003A49C8">
        <w:t xml:space="preserve">As shown in </w:t>
      </w:r>
      <w:r w:rsidR="009C237B">
        <w:t>Figs.</w:t>
      </w:r>
      <w:r w:rsidR="004C59B3" w:rsidRPr="003A49C8">
        <w:t xml:space="preserve"> </w:t>
      </w:r>
      <w:r w:rsidRPr="003A49C8">
        <w:t>2</w:t>
      </w:r>
      <w:r w:rsidR="004C59B3" w:rsidRPr="003A49C8">
        <w:t xml:space="preserve">.1a, </w:t>
      </w:r>
      <w:r w:rsidRPr="003A49C8">
        <w:t>2</w:t>
      </w:r>
      <w:r w:rsidR="004C59B3" w:rsidRPr="003A49C8">
        <w:t xml:space="preserve">.2a, and </w:t>
      </w:r>
      <w:r w:rsidRPr="003A49C8">
        <w:t>2</w:t>
      </w:r>
      <w:r w:rsidR="004C59B3" w:rsidRPr="003A49C8">
        <w:t xml:space="preserve">.3a, we also examine the rolling tail betas of ESG, healthcare, and financial ETFs based on their trading markets (i.e., the UK, EU, China, and USA). As for the types of ETFs, we cover technology, energy, green energy, and aggregate bonds (see </w:t>
      </w:r>
      <w:r w:rsidR="009C237B">
        <w:t>Figs.</w:t>
      </w:r>
      <w:r w:rsidR="004C59B3" w:rsidRPr="003A49C8">
        <w:t xml:space="preserve"> </w:t>
      </w:r>
      <w:r w:rsidR="00343F9E" w:rsidRPr="003A49C8">
        <w:t>2</w:t>
      </w:r>
      <w:r w:rsidR="004C59B3" w:rsidRPr="003A49C8">
        <w:t xml:space="preserve">.1b, </w:t>
      </w:r>
      <w:r w:rsidR="00343F9E" w:rsidRPr="003A49C8">
        <w:t>2</w:t>
      </w:r>
      <w:r w:rsidR="004C59B3" w:rsidRPr="003A49C8">
        <w:t xml:space="preserve">.2b, and </w:t>
      </w:r>
      <w:r w:rsidR="00343F9E" w:rsidRPr="003A49C8">
        <w:t>2</w:t>
      </w:r>
      <w:r w:rsidR="004C59B3" w:rsidRPr="003A49C8">
        <w:t xml:space="preserve">.3b). </w:t>
      </w:r>
      <w:r w:rsidRPr="003A49C8">
        <w:t xml:space="preserve">The </w:t>
      </w:r>
      <w:r w:rsidR="009C237B">
        <w:t>Figs.</w:t>
      </w:r>
      <w:r w:rsidRPr="003A49C8">
        <w:t xml:space="preserve"> of Vanguard FTSE Europe ETF </w:t>
      </w:r>
      <w:r w:rsidR="004C59B3" w:rsidRPr="003A49C8">
        <w:t>VTI Vanguard Total Stock Market ETF</w:t>
      </w:r>
      <w:r w:rsidRPr="003A49C8">
        <w:t xml:space="preserve"> and </w:t>
      </w:r>
      <w:r w:rsidR="004C59B3" w:rsidRPr="003A49C8">
        <w:t>QQQ Invesco QQQ Trust</w:t>
      </w:r>
      <w:r w:rsidRPr="003A49C8">
        <w:t xml:space="preserve"> are not reported for the sake of brevity</w:t>
      </w:r>
      <w:r w:rsidR="004C59B3" w:rsidRPr="003A49C8">
        <w:t xml:space="preserve">. We observe that in turbulent times, such as the 2008 global financial crisis, the 2015 oil price crisis, and the 2019 COVID-19 pandemic crisis, tail betas are significantly low for the majority of the selected ETF markets. Interestingly, before the COVID-19 pandemic started, the systemic risk measures were already rising. </w:t>
      </w:r>
      <w:r w:rsidR="00E07AE0" w:rsidRPr="003A49C8">
        <w:t>A s</w:t>
      </w:r>
      <w:r w:rsidR="004C59B3" w:rsidRPr="003A49C8">
        <w:t xml:space="preserve">imilar pattern has also been observed by (Chaudhry et al., 2022). The upward trend of betas is particularly evident in VTI Vanguard Total Stock Market ETF and Green Energy First Trust NASDAQ (see </w:t>
      </w:r>
      <w:r w:rsidR="009C237B">
        <w:t>Figs.</w:t>
      </w:r>
      <w:r w:rsidR="004C59B3" w:rsidRPr="003A49C8">
        <w:t xml:space="preserve"> </w:t>
      </w:r>
      <w:r w:rsidRPr="003A49C8">
        <w:t>2</w:t>
      </w:r>
      <w:r w:rsidR="004C59B3" w:rsidRPr="003A49C8">
        <w:t xml:space="preserve">.1b, </w:t>
      </w:r>
      <w:r w:rsidRPr="003A49C8">
        <w:t>2</w:t>
      </w:r>
      <w:r w:rsidR="004C59B3" w:rsidRPr="003A49C8">
        <w:t xml:space="preserve">.2b, and </w:t>
      </w:r>
      <w:r w:rsidRPr="003A49C8">
        <w:t>2</w:t>
      </w:r>
      <w:r w:rsidR="004C59B3" w:rsidRPr="003A49C8">
        <w:t xml:space="preserve">.3b), indicating these two markets are more sensitive to systematic risk, which can result in more volatile price swings in the investment portfolio. On the other hand, a significant drop in betas is observed after one year of the pandemic, suggesting that some brokers may want to invest in these markets to hedge against the financial crisis (Lean </w:t>
      </w:r>
      <w:r w:rsidR="008C0623">
        <w:t>&amp;</w:t>
      </w:r>
      <w:r w:rsidR="004C59B3" w:rsidRPr="003A49C8">
        <w:t xml:space="preserve"> </w:t>
      </w:r>
      <w:proofErr w:type="spellStart"/>
      <w:r w:rsidR="004C59B3" w:rsidRPr="003A49C8">
        <w:t>Pizzutilo</w:t>
      </w:r>
      <w:proofErr w:type="spellEnd"/>
      <w:r w:rsidR="004C59B3" w:rsidRPr="003A49C8">
        <w:t xml:space="preserve">, 2021). Similar beta indications are found in country-level ETFs. ESG ETF betas are especially high in China (MCHI iShares MSCI China ETF, see </w:t>
      </w:r>
      <w:r w:rsidR="009C237B">
        <w:t>Fig. 2</w:t>
      </w:r>
      <w:r w:rsidR="004C59B3" w:rsidRPr="003A49C8">
        <w:t xml:space="preserve">.1a), but lower in the US (VOO Vanguard S&amp;P 500 ETF, see </w:t>
      </w:r>
      <w:r w:rsidR="009C237B">
        <w:t>Figs.</w:t>
      </w:r>
      <w:r w:rsidR="004C59B3" w:rsidRPr="003A49C8">
        <w:t xml:space="preserve"> </w:t>
      </w:r>
      <w:r w:rsidRPr="003A49C8">
        <w:t>2</w:t>
      </w:r>
      <w:r w:rsidR="004C59B3" w:rsidRPr="003A49C8">
        <w:t xml:space="preserve">.2a and </w:t>
      </w:r>
      <w:r w:rsidRPr="003A49C8">
        <w:t>2</w:t>
      </w:r>
      <w:r w:rsidR="004C59B3" w:rsidRPr="003A49C8">
        <w:t>.3a) for healthcare and financial ETFs.</w:t>
      </w:r>
    </w:p>
    <w:p w14:paraId="319EDE92" w14:textId="4DCC5D3D" w:rsidR="00393903" w:rsidRPr="003A49C8" w:rsidRDefault="00343F9E" w:rsidP="00343F9E">
      <w:pPr>
        <w:pStyle w:val="Caption"/>
        <w:keepNext/>
        <w:rPr>
          <w:rFonts w:ascii="Times New Roman" w:hAnsi="Times New Roman" w:cs="Times New Roman"/>
          <w:i w:val="0"/>
          <w:iCs w:val="0"/>
          <w:color w:val="auto"/>
          <w:sz w:val="24"/>
          <w:szCs w:val="24"/>
        </w:rPr>
      </w:pPr>
      <w:bookmarkStart w:id="14" w:name="_Hlk121244426"/>
      <w:r w:rsidRPr="003A49C8">
        <w:rPr>
          <w:rFonts w:ascii="Times New Roman" w:hAnsi="Times New Roman" w:cs="Times New Roman"/>
          <w:i w:val="0"/>
          <w:iCs w:val="0"/>
          <w:color w:val="auto"/>
          <w:sz w:val="24"/>
          <w:szCs w:val="24"/>
        </w:rPr>
        <w:lastRenderedPageBreak/>
        <w:t>Fig</w:t>
      </w:r>
      <w:r w:rsidR="009C237B">
        <w:rPr>
          <w:rFonts w:ascii="Times New Roman" w:hAnsi="Times New Roman" w:cs="Times New Roman"/>
          <w:i w:val="0"/>
          <w:iCs w:val="0"/>
          <w:color w:val="auto"/>
          <w:sz w:val="24"/>
          <w:szCs w:val="24"/>
        </w:rPr>
        <w:t>.</w:t>
      </w:r>
      <w:r w:rsidRPr="003A49C8">
        <w:rPr>
          <w:rFonts w:ascii="Times New Roman" w:hAnsi="Times New Roman" w:cs="Times New Roman"/>
          <w:i w:val="0"/>
          <w:iCs w:val="0"/>
          <w:color w:val="auto"/>
          <w:sz w:val="24"/>
          <w:szCs w:val="24"/>
        </w:rPr>
        <w:t xml:space="preserve"> </w:t>
      </w:r>
      <w:r w:rsidRPr="003A49C8">
        <w:rPr>
          <w:rFonts w:ascii="Times New Roman" w:hAnsi="Times New Roman" w:cs="Times New Roman"/>
          <w:i w:val="0"/>
          <w:iCs w:val="0"/>
          <w:color w:val="auto"/>
          <w:sz w:val="24"/>
          <w:szCs w:val="24"/>
        </w:rPr>
        <w:fldChar w:fldCharType="begin"/>
      </w:r>
      <w:r w:rsidRPr="003A49C8">
        <w:rPr>
          <w:rFonts w:ascii="Times New Roman" w:hAnsi="Times New Roman" w:cs="Times New Roman"/>
          <w:i w:val="0"/>
          <w:iCs w:val="0"/>
          <w:color w:val="auto"/>
          <w:sz w:val="24"/>
          <w:szCs w:val="24"/>
        </w:rPr>
        <w:instrText xml:space="preserve"> SEQ Figure \* ARABIC </w:instrText>
      </w:r>
      <w:r w:rsidRPr="003A49C8">
        <w:rPr>
          <w:rFonts w:ascii="Times New Roman" w:hAnsi="Times New Roman" w:cs="Times New Roman"/>
          <w:i w:val="0"/>
          <w:iCs w:val="0"/>
          <w:color w:val="auto"/>
          <w:sz w:val="24"/>
          <w:szCs w:val="24"/>
        </w:rPr>
        <w:fldChar w:fldCharType="separate"/>
      </w:r>
      <w:r w:rsidRPr="003A49C8">
        <w:rPr>
          <w:rFonts w:ascii="Times New Roman" w:hAnsi="Times New Roman" w:cs="Times New Roman"/>
          <w:i w:val="0"/>
          <w:iCs w:val="0"/>
          <w:noProof/>
          <w:color w:val="auto"/>
          <w:sz w:val="24"/>
          <w:szCs w:val="24"/>
        </w:rPr>
        <w:t>2</w:t>
      </w:r>
      <w:r w:rsidRPr="003A49C8">
        <w:rPr>
          <w:rFonts w:ascii="Times New Roman" w:hAnsi="Times New Roman" w:cs="Times New Roman"/>
          <w:i w:val="0"/>
          <w:iCs w:val="0"/>
          <w:color w:val="auto"/>
          <w:sz w:val="24"/>
          <w:szCs w:val="24"/>
        </w:rPr>
        <w:fldChar w:fldCharType="end"/>
      </w:r>
      <w:r w:rsidR="009C237B">
        <w:rPr>
          <w:rFonts w:ascii="Times New Roman" w:hAnsi="Times New Roman" w:cs="Times New Roman"/>
          <w:i w:val="0"/>
          <w:iCs w:val="0"/>
          <w:color w:val="auto"/>
          <w:sz w:val="24"/>
          <w:szCs w:val="24"/>
        </w:rPr>
        <w:t>.</w:t>
      </w:r>
      <w:r w:rsidR="0074047B" w:rsidRPr="003A49C8">
        <w:rPr>
          <w:rFonts w:ascii="Times New Roman" w:hAnsi="Times New Roman" w:cs="Times New Roman"/>
          <w:i w:val="0"/>
          <w:iCs w:val="0"/>
          <w:color w:val="auto"/>
          <w:sz w:val="24"/>
          <w:szCs w:val="24"/>
        </w:rPr>
        <w:t xml:space="preserve"> </w:t>
      </w:r>
      <w:r w:rsidR="00393903" w:rsidRPr="003A49C8">
        <w:rPr>
          <w:rFonts w:ascii="Times New Roman" w:hAnsi="Times New Roman" w:cs="Times New Roman"/>
          <w:i w:val="0"/>
          <w:iCs w:val="0"/>
          <w:color w:val="auto"/>
          <w:sz w:val="24"/>
          <w:szCs w:val="24"/>
        </w:rPr>
        <w:t>Rolling Tail Betas of ESG, healthcare, and finance ETFs conditional upon certainty country level ETFs and certain types of ETFs</w:t>
      </w:r>
    </w:p>
    <w:p w14:paraId="36CD5BC9" w14:textId="77777777" w:rsidR="00393903" w:rsidRPr="003A49C8" w:rsidRDefault="00393903" w:rsidP="00B942AD">
      <w:pPr>
        <w:rPr>
          <w:rFonts w:cs="Times New Roman"/>
        </w:rPr>
      </w:pPr>
      <w:r w:rsidRPr="003A49C8">
        <w:rPr>
          <w:rFonts w:cs="Times New Roman"/>
        </w:rPr>
        <w:t xml:space="preserve"> </w:t>
      </w:r>
      <w:r w:rsidRPr="003A49C8">
        <w:rPr>
          <w:rFonts w:cs="Times New Roman"/>
          <w:noProof/>
          <w:lang w:eastAsia="en-GB"/>
        </w:rPr>
        <w:drawing>
          <wp:inline distT="0" distB="0" distL="0" distR="0" wp14:anchorId="61E4982B" wp14:editId="1EAA4111">
            <wp:extent cx="4572000" cy="2639683"/>
            <wp:effectExtent l="0" t="0" r="0" b="8890"/>
            <wp:docPr id="26" name="Chart 26">
              <a:extLst xmlns:a="http://schemas.openxmlformats.org/drawingml/2006/main">
                <a:ext uri="{FF2B5EF4-FFF2-40B4-BE49-F238E27FC236}">
                  <a16:creationId xmlns:a16="http://schemas.microsoft.com/office/drawing/2014/main" id="{7195E030-1783-453C-BEF2-6E7E7A6B24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3A49C8">
        <w:rPr>
          <w:rFonts w:cs="Times New Roman"/>
        </w:rPr>
        <w:t xml:space="preserve"> </w:t>
      </w:r>
      <w:r w:rsidRPr="003A49C8">
        <w:rPr>
          <w:rFonts w:cs="Times New Roman"/>
          <w:noProof/>
          <w:lang w:eastAsia="en-GB"/>
        </w:rPr>
        <w:drawing>
          <wp:inline distT="0" distB="0" distL="0" distR="0" wp14:anchorId="574693EB" wp14:editId="3E774D9D">
            <wp:extent cx="4666615" cy="2665562"/>
            <wp:effectExtent l="0" t="0" r="635" b="1905"/>
            <wp:docPr id="27" name="Chart 27">
              <a:extLst xmlns:a="http://schemas.openxmlformats.org/drawingml/2006/main">
                <a:ext uri="{FF2B5EF4-FFF2-40B4-BE49-F238E27FC236}">
                  <a16:creationId xmlns:a16="http://schemas.microsoft.com/office/drawing/2014/main" id="{382C83A9-BA96-43F2-A101-8E132B76A0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FC699F8" w14:textId="77777777" w:rsidR="00393903" w:rsidRPr="003A49C8" w:rsidRDefault="00393903" w:rsidP="00B942AD">
      <w:pPr>
        <w:rPr>
          <w:rFonts w:cs="Times New Roman"/>
        </w:rPr>
      </w:pPr>
      <w:r w:rsidRPr="003A49C8">
        <w:rPr>
          <w:rFonts w:cs="Times New Roman"/>
          <w:noProof/>
          <w:lang w:eastAsia="en-GB"/>
        </w:rPr>
        <w:drawing>
          <wp:inline distT="0" distB="0" distL="0" distR="0" wp14:anchorId="6BE4C294" wp14:editId="7F9FC0D6">
            <wp:extent cx="4572000" cy="2878455"/>
            <wp:effectExtent l="0" t="0" r="0" b="17145"/>
            <wp:docPr id="24" name="Chart 24">
              <a:extLst xmlns:a="http://schemas.openxmlformats.org/drawingml/2006/main">
                <a:ext uri="{FF2B5EF4-FFF2-40B4-BE49-F238E27FC236}">
                  <a16:creationId xmlns:a16="http://schemas.microsoft.com/office/drawing/2014/main" id="{690E8B6E-0610-446F-B647-62E6D483FE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3A49C8">
        <w:rPr>
          <w:rFonts w:cs="Times New Roman"/>
        </w:rPr>
        <w:t xml:space="preserve"> </w:t>
      </w:r>
      <w:r w:rsidRPr="003A49C8">
        <w:rPr>
          <w:rFonts w:cs="Times New Roman"/>
          <w:noProof/>
          <w:lang w:eastAsia="en-GB"/>
        </w:rPr>
        <w:drawing>
          <wp:inline distT="0" distB="0" distL="0" distR="0" wp14:anchorId="07D9A2B5" wp14:editId="130997AA">
            <wp:extent cx="4779034" cy="2889250"/>
            <wp:effectExtent l="0" t="0" r="2540" b="6350"/>
            <wp:docPr id="25" name="Chart 25">
              <a:extLst xmlns:a="http://schemas.openxmlformats.org/drawingml/2006/main">
                <a:ext uri="{FF2B5EF4-FFF2-40B4-BE49-F238E27FC236}">
                  <a16:creationId xmlns:a16="http://schemas.microsoft.com/office/drawing/2014/main" id="{3A483C90-F785-45AB-B3B4-E0DE5F6A39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10D9A48" w14:textId="77777777" w:rsidR="00393903" w:rsidRPr="003A49C8" w:rsidRDefault="00393903" w:rsidP="00B942AD">
      <w:pPr>
        <w:rPr>
          <w:rFonts w:cs="Times New Roman"/>
        </w:rPr>
      </w:pPr>
      <w:r w:rsidRPr="003A49C8">
        <w:rPr>
          <w:rFonts w:cs="Times New Roman"/>
          <w:noProof/>
          <w:lang w:eastAsia="en-GB"/>
        </w:rPr>
        <w:lastRenderedPageBreak/>
        <w:drawing>
          <wp:inline distT="0" distB="0" distL="0" distR="0" wp14:anchorId="14CFB3D3" wp14:editId="21E347D2">
            <wp:extent cx="4796287" cy="2700068"/>
            <wp:effectExtent l="0" t="0" r="4445" b="5080"/>
            <wp:docPr id="28" name="Chart 28">
              <a:extLst xmlns:a="http://schemas.openxmlformats.org/drawingml/2006/main">
                <a:ext uri="{FF2B5EF4-FFF2-40B4-BE49-F238E27FC236}">
                  <a16:creationId xmlns:a16="http://schemas.microsoft.com/office/drawing/2014/main" id="{D2D9E956-3BA4-43A6-B527-30DD3CBAB1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3A49C8">
        <w:rPr>
          <w:rFonts w:cs="Times New Roman"/>
        </w:rPr>
        <w:t xml:space="preserve"> </w:t>
      </w:r>
      <w:r w:rsidRPr="003A49C8">
        <w:rPr>
          <w:rFonts w:cs="Times New Roman"/>
          <w:noProof/>
          <w:lang w:eastAsia="en-GB"/>
        </w:rPr>
        <w:drawing>
          <wp:inline distT="0" distB="0" distL="0" distR="0" wp14:anchorId="4D9FC9F9" wp14:editId="7494053E">
            <wp:extent cx="4718650" cy="2708275"/>
            <wp:effectExtent l="0" t="0" r="6350" b="15875"/>
            <wp:docPr id="29" name="Chart 29">
              <a:extLst xmlns:a="http://schemas.openxmlformats.org/drawingml/2006/main">
                <a:ext uri="{FF2B5EF4-FFF2-40B4-BE49-F238E27FC236}">
                  <a16:creationId xmlns:a16="http://schemas.microsoft.com/office/drawing/2014/main" id="{349EAABD-A85D-4A07-95A7-6F056DAF91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bookmarkEnd w:id="14"/>
    </w:p>
    <w:p w14:paraId="78501EBA" w14:textId="77777777" w:rsidR="004C59B3" w:rsidRPr="003A49C8" w:rsidRDefault="004C59B3" w:rsidP="00B942AD">
      <w:pPr>
        <w:rPr>
          <w:rFonts w:cs="Times New Roman"/>
          <w:szCs w:val="24"/>
        </w:rPr>
        <w:sectPr w:rsidR="004C59B3" w:rsidRPr="003A49C8" w:rsidSect="00393903">
          <w:pgSz w:w="16838" w:h="11906" w:orient="landscape"/>
          <w:pgMar w:top="720" w:right="720" w:bottom="720" w:left="720" w:header="708" w:footer="708" w:gutter="0"/>
          <w:cols w:space="708"/>
          <w:docGrid w:linePitch="360"/>
        </w:sectPr>
      </w:pPr>
    </w:p>
    <w:p w14:paraId="07C5615A" w14:textId="5BEEDB61" w:rsidR="00613783" w:rsidRPr="003A49C8" w:rsidRDefault="00613783" w:rsidP="00B942AD">
      <w:pPr>
        <w:pStyle w:val="Heading2"/>
        <w:rPr>
          <w:rFonts w:cs="Times New Roman"/>
          <w:szCs w:val="24"/>
        </w:rPr>
      </w:pPr>
      <w:r w:rsidRPr="003A49C8">
        <w:rPr>
          <w:rFonts w:cs="Times New Roman"/>
          <w:szCs w:val="24"/>
        </w:rPr>
        <w:lastRenderedPageBreak/>
        <w:t>4.3 Spillover risk of ESG, healthcare, and financial sectors</w:t>
      </w:r>
    </w:p>
    <w:p w14:paraId="3A347CFB" w14:textId="306C0228" w:rsidR="00613783" w:rsidRPr="003A49C8" w:rsidRDefault="00107485" w:rsidP="00B942AD">
      <w:pPr>
        <w:rPr>
          <w:rFonts w:cs="Times New Roman"/>
          <w:szCs w:val="24"/>
        </w:rPr>
      </w:pPr>
      <w:r>
        <w:rPr>
          <w:rFonts w:cs="Times New Roman"/>
          <w:szCs w:val="24"/>
        </w:rPr>
        <w:t>Table III</w:t>
      </w:r>
      <w:r w:rsidR="00613783" w:rsidRPr="003A49C8">
        <w:rPr>
          <w:rFonts w:cs="Times New Roman"/>
          <w:szCs w:val="24"/>
        </w:rPr>
        <w:t xml:space="preserve"> illustrates the multivariate spillover risk for ESG, healthcare, and financial </w:t>
      </w:r>
      <w:r w:rsidR="009570AA" w:rsidRPr="003A49C8">
        <w:rPr>
          <w:rFonts w:cs="Times New Roman"/>
          <w:szCs w:val="24"/>
        </w:rPr>
        <w:t>sectors</w:t>
      </w:r>
      <w:r w:rsidR="00613783" w:rsidRPr="003A49C8">
        <w:rPr>
          <w:rFonts w:cs="Times New Roman"/>
          <w:szCs w:val="24"/>
        </w:rPr>
        <w:t xml:space="preserve"> with two nuisance parameters (</w:t>
      </w:r>
      <m:oMath>
        <m:r>
          <w:rPr>
            <w:rFonts w:ascii="Cambria Math" w:hAnsi="Cambria Math" w:cs="Times New Roman"/>
            <w:szCs w:val="24"/>
          </w:rPr>
          <m:t>m = 200</m:t>
        </m:r>
      </m:oMath>
      <w:r w:rsidR="00613783" w:rsidRPr="003A49C8">
        <w:rPr>
          <w:rFonts w:cs="Times New Roman"/>
          <w:szCs w:val="24"/>
        </w:rPr>
        <w:t xml:space="preserve">, and </w:t>
      </w:r>
      <m:oMath>
        <m:r>
          <w:rPr>
            <w:rFonts w:ascii="Cambria Math" w:hAnsi="Cambria Math" w:cs="Times New Roman"/>
            <w:szCs w:val="24"/>
          </w:rPr>
          <m:t>m = 300</m:t>
        </m:r>
      </m:oMath>
      <w:r w:rsidR="00613783" w:rsidRPr="003A49C8">
        <w:rPr>
          <w:rFonts w:cs="Times New Roman"/>
          <w:szCs w:val="24"/>
        </w:rPr>
        <w:t xml:space="preserve">). For example, when the nuisance parameter </w:t>
      </w:r>
      <m:oMath>
        <m:r>
          <w:rPr>
            <w:rFonts w:ascii="Cambria Math" w:hAnsi="Cambria Math" w:cs="Times New Roman"/>
            <w:szCs w:val="24"/>
          </w:rPr>
          <m:t>m = 200</m:t>
        </m:r>
      </m:oMath>
      <w:r w:rsidR="00613783" w:rsidRPr="003A49C8">
        <w:rPr>
          <w:rFonts w:cs="Times New Roman"/>
          <w:szCs w:val="24"/>
        </w:rPr>
        <w:t xml:space="preserve">, if one ESG ETF goes into distress, there is a 17.7195% probability that all 10 ESG ETFs will go into distress, according to the economic interpretation of the multivariate spillover risk of 0.177195. This number is 16.4097% in healthcare ETFs and 20.5797% in financial ETFs. Similar patterns have also been observed that </w:t>
      </w:r>
      <m:oMath>
        <m:r>
          <w:rPr>
            <w:rFonts w:ascii="Cambria Math" w:hAnsi="Cambria Math" w:cs="Times New Roman"/>
            <w:szCs w:val="24"/>
          </w:rPr>
          <m:t>E</m:t>
        </m:r>
        <m:r>
          <w:rPr>
            <w:rFonts w:ascii="Cambria Math" w:hAnsi="Cambria Math" w:cs="Times New Roman"/>
            <w:szCs w:val="24"/>
            <w:vertAlign w:val="subscript"/>
          </w:rPr>
          <m:t>Financial</m:t>
        </m:r>
        <m:r>
          <w:rPr>
            <w:rFonts w:ascii="Cambria Math" w:hAnsi="Cambria Math" w:cs="Times New Roman"/>
            <w:szCs w:val="24"/>
          </w:rPr>
          <m:t xml:space="preserve"> (22.714%) &gt; EE</m:t>
        </m:r>
        <m:r>
          <w:rPr>
            <w:rFonts w:ascii="Cambria Math" w:hAnsi="Cambria Math" w:cs="Times New Roman"/>
            <w:szCs w:val="24"/>
            <w:vertAlign w:val="subscript"/>
          </w:rPr>
          <m:t>SG</m:t>
        </m:r>
        <m:r>
          <w:rPr>
            <w:rFonts w:ascii="Cambria Math" w:hAnsi="Cambria Math" w:cs="Times New Roman"/>
            <w:szCs w:val="24"/>
          </w:rPr>
          <m:t xml:space="preserve"> (22.1135%) &gt; E</m:t>
        </m:r>
        <m:r>
          <w:rPr>
            <w:rFonts w:ascii="Cambria Math" w:hAnsi="Cambria Math" w:cs="Times New Roman"/>
            <w:szCs w:val="24"/>
            <w:vertAlign w:val="subscript"/>
          </w:rPr>
          <m:t>Healthcare</m:t>
        </m:r>
        <m:r>
          <w:rPr>
            <w:rFonts w:ascii="Cambria Math" w:hAnsi="Cambria Math" w:cs="Times New Roman"/>
            <w:szCs w:val="24"/>
          </w:rPr>
          <m:t xml:space="preserve"> (17.6605%) </m:t>
        </m:r>
      </m:oMath>
      <w:r w:rsidR="00613783" w:rsidRPr="003A49C8">
        <w:rPr>
          <w:rFonts w:cs="Times New Roman"/>
          <w:szCs w:val="24"/>
        </w:rPr>
        <w:t xml:space="preserve">with </w:t>
      </w:r>
      <m:oMath>
        <m:r>
          <w:rPr>
            <w:rFonts w:ascii="Cambria Math" w:hAnsi="Cambria Math" w:cs="Times New Roman"/>
            <w:szCs w:val="24"/>
          </w:rPr>
          <m:t>m = 300</m:t>
        </m:r>
      </m:oMath>
      <w:r w:rsidR="00613783" w:rsidRPr="003A49C8">
        <w:rPr>
          <w:rFonts w:cs="Times New Roman"/>
          <w:szCs w:val="24"/>
        </w:rPr>
        <w:t xml:space="preserve">. One possible reason could be that the systemic risk may be higher in a more integrated financial system because financial ETFs are more interdependent (Renn et al., 2022). Therefore, financial ETFs have a higher multivariate spillover risk than ESG and healthcare ETFs. </w:t>
      </w:r>
      <w:r w:rsidR="00E46865" w:rsidRPr="003A49C8">
        <w:rPr>
          <w:rFonts w:cs="Times New Roman"/>
          <w:szCs w:val="24"/>
        </w:rPr>
        <w:t xml:space="preserve">Our study assesses the multivariate spillover risk across three ETF categories to provide a broad understanding of systemic risk. Our findings indicate that healthcare ETFs have the lowest level of systematic risk. This is consistent with previous research (e.g., Chen et al., 2018), which suggests that the more diversified the portfolio composition, the lower the systematic risk for healthcare ETFs. However, investors looking to minimize their exposure to ecological risks may find ESG ETFs a promising avenue. </w:t>
      </w:r>
      <w:r w:rsidR="006E2DAC" w:rsidRPr="003A49C8">
        <w:rPr>
          <w:rFonts w:cs="Times New Roman"/>
          <w:szCs w:val="24"/>
        </w:rPr>
        <w:t xml:space="preserve">The recent IPCC AR6 Synthesis Report 2023 warns that global warming is accelerating faster than previously anticipated and that urgent and large-scale actions are needed to mitigate the risks of climate change </w:t>
      </w:r>
      <w:r w:rsidR="00E46865" w:rsidRPr="003A49C8">
        <w:rPr>
          <w:rFonts w:cs="Times New Roman"/>
          <w:szCs w:val="24"/>
        </w:rPr>
        <w:t>(</w:t>
      </w:r>
      <w:r w:rsidR="006E2DAC" w:rsidRPr="003A49C8">
        <w:rPr>
          <w:rFonts w:cs="Times New Roman"/>
          <w:szCs w:val="24"/>
        </w:rPr>
        <w:t>Ripple et al., 2020</w:t>
      </w:r>
      <w:r w:rsidR="00E46865" w:rsidRPr="003A49C8">
        <w:rPr>
          <w:rFonts w:cs="Times New Roman"/>
          <w:szCs w:val="24"/>
        </w:rPr>
        <w:t>). Furthermore, firms with higher ESG ratings tend to have better environmental management practices, which can help mitigate ecological risks (</w:t>
      </w:r>
      <w:r w:rsidR="00F013CF" w:rsidRPr="003A49C8">
        <w:rPr>
          <w:rFonts w:cs="Times New Roman"/>
          <w:szCs w:val="24"/>
        </w:rPr>
        <w:t>Hansen et al., 2017</w:t>
      </w:r>
      <w:r w:rsidR="00E46865" w:rsidRPr="003A49C8">
        <w:rPr>
          <w:rFonts w:cs="Times New Roman"/>
          <w:szCs w:val="24"/>
        </w:rPr>
        <w:t xml:space="preserve">; </w:t>
      </w:r>
      <w:proofErr w:type="spellStart"/>
      <w:r w:rsidR="00E46865" w:rsidRPr="003A49C8">
        <w:rPr>
          <w:rFonts w:cs="Times New Roman"/>
          <w:szCs w:val="24"/>
        </w:rPr>
        <w:t>Ioannou</w:t>
      </w:r>
      <w:proofErr w:type="spellEnd"/>
      <w:r w:rsidR="00E46865" w:rsidRPr="003A49C8">
        <w:rPr>
          <w:rFonts w:cs="Times New Roman"/>
          <w:szCs w:val="24"/>
        </w:rPr>
        <w:t xml:space="preserve"> </w:t>
      </w:r>
      <w:r w:rsidR="008C0623">
        <w:rPr>
          <w:rFonts w:cs="Times New Roman"/>
          <w:szCs w:val="24"/>
        </w:rPr>
        <w:t>&amp;</w:t>
      </w:r>
      <w:r w:rsidR="00E46865" w:rsidRPr="003A49C8">
        <w:rPr>
          <w:rFonts w:cs="Times New Roman"/>
          <w:szCs w:val="24"/>
        </w:rPr>
        <w:t xml:space="preserve"> </w:t>
      </w:r>
      <w:proofErr w:type="spellStart"/>
      <w:r w:rsidR="00E46865" w:rsidRPr="003A49C8">
        <w:rPr>
          <w:rFonts w:cs="Times New Roman"/>
          <w:szCs w:val="24"/>
        </w:rPr>
        <w:t>Serafeim</w:t>
      </w:r>
      <w:proofErr w:type="spellEnd"/>
      <w:r w:rsidR="00E46865" w:rsidRPr="003A49C8">
        <w:rPr>
          <w:rFonts w:cs="Times New Roman"/>
          <w:szCs w:val="24"/>
        </w:rPr>
        <w:t>, 2021). Therefore, ESG ETFs may also be an attractive option for investors seeking to minimize their exposure to ecological risks in their portfolios.</w:t>
      </w:r>
    </w:p>
    <w:p w14:paraId="31A7D83F" w14:textId="00565483" w:rsidR="004C59B3" w:rsidRPr="003A49C8" w:rsidRDefault="00613783" w:rsidP="002072C1">
      <w:pPr>
        <w:ind w:firstLine="397"/>
        <w:rPr>
          <w:lang w:eastAsia="zh-CN"/>
        </w:rPr>
        <w:sectPr w:rsidR="004C59B3" w:rsidRPr="003A49C8" w:rsidSect="00F50DBD">
          <w:pgSz w:w="11906" w:h="16838"/>
          <w:pgMar w:top="1440" w:right="1440" w:bottom="1440" w:left="1440" w:header="708" w:footer="708" w:gutter="0"/>
          <w:cols w:space="708"/>
          <w:docGrid w:linePitch="360"/>
        </w:sectPr>
      </w:pPr>
      <w:r w:rsidRPr="003A49C8">
        <w:rPr>
          <w:rFonts w:cs="Times New Roman"/>
          <w:szCs w:val="24"/>
        </w:rPr>
        <w:t xml:space="preserve">The time-varying systemic risk of expected co-crash indicators and co-crash probabilities </w:t>
      </w:r>
      <w:r w:rsidR="0074047B" w:rsidRPr="003A49C8">
        <w:rPr>
          <w:rFonts w:cs="Times New Roman"/>
          <w:szCs w:val="24"/>
        </w:rPr>
        <w:t>are</w:t>
      </w:r>
      <w:r w:rsidRPr="003A49C8">
        <w:rPr>
          <w:rFonts w:cs="Times New Roman"/>
          <w:szCs w:val="24"/>
        </w:rPr>
        <w:t xml:space="preserve"> depicted in </w:t>
      </w:r>
      <w:r w:rsidR="009C237B">
        <w:rPr>
          <w:rFonts w:cs="Times New Roman"/>
          <w:szCs w:val="24"/>
        </w:rPr>
        <w:t>Fig. 3</w:t>
      </w:r>
      <w:r w:rsidRPr="003A49C8">
        <w:rPr>
          <w:rFonts w:cs="Times New Roman"/>
          <w:szCs w:val="24"/>
        </w:rPr>
        <w:t xml:space="preserve"> for ESG, healthcare, and financial ETFs. Similar to tail-βs, the </w:t>
      </w:r>
      <w:r w:rsidR="00EE0BF1" w:rsidRPr="003A49C8">
        <w:rPr>
          <w:rFonts w:cs="Times New Roman"/>
          <w:szCs w:val="24"/>
        </w:rPr>
        <w:t>seven</w:t>
      </w:r>
      <w:r w:rsidRPr="003A49C8">
        <w:rPr>
          <w:rFonts w:cs="Times New Roman"/>
          <w:szCs w:val="24"/>
        </w:rPr>
        <w:t>-year rolling spillover risk measurement in healthcare ETFs is much higher than the full sample. For example, when one healthcare ETF is in distress for a</w:t>
      </w:r>
      <w:r w:rsidR="0074047B" w:rsidRPr="003A49C8">
        <w:rPr>
          <w:rFonts w:cs="Times New Roman"/>
          <w:szCs w:val="24"/>
        </w:rPr>
        <w:t xml:space="preserve"> </w:t>
      </w:r>
      <w:r w:rsidR="00EE0BF1" w:rsidRPr="003A49C8">
        <w:rPr>
          <w:rFonts w:cs="Times New Roman"/>
          <w:szCs w:val="24"/>
        </w:rPr>
        <w:t>seven</w:t>
      </w:r>
      <w:r w:rsidRPr="003A49C8">
        <w:rPr>
          <w:rFonts w:cs="Times New Roman"/>
          <w:szCs w:val="24"/>
        </w:rPr>
        <w:t xml:space="preserve">-year rolling period, 2.894356 healthcare ETFs are, on average, likely to be in distress, compared to only 0.164097 for the full sample (see </w:t>
      </w:r>
      <w:r w:rsidR="009C237B">
        <w:rPr>
          <w:rFonts w:cs="Times New Roman"/>
          <w:szCs w:val="24"/>
        </w:rPr>
        <w:t>Fig. 3</w:t>
      </w:r>
      <w:r w:rsidRPr="003A49C8">
        <w:rPr>
          <w:rFonts w:cs="Times New Roman"/>
          <w:szCs w:val="24"/>
        </w:rPr>
        <w:t xml:space="preserve">.1). We also find that all three ETF categories exhibit a similar pattern of time-varying spillover risk, but financial ETFs have a more pronounced effect. Considering the distress of one financial ETF in 2019, the crash likelihood for financial ETFs is the highest, with 4.83 likely to be in distress. Assuming that one financial ETF crashed in 2015, the lowest crash likelihood would indicate a 2.98 financial ETFs </w:t>
      </w:r>
      <w:r w:rsidR="00EE45C3" w:rsidRPr="003A49C8">
        <w:rPr>
          <w:rFonts w:cs="Times New Roman"/>
          <w:szCs w:val="24"/>
        </w:rPr>
        <w:t>crash</w:t>
      </w:r>
      <w:r w:rsidRPr="003A49C8">
        <w:rPr>
          <w:rFonts w:cs="Times New Roman"/>
          <w:szCs w:val="24"/>
        </w:rPr>
        <w:t xml:space="preserve">. The likelihood of financial ETFs </w:t>
      </w:r>
      <w:r w:rsidRPr="003A49C8">
        <w:rPr>
          <w:rFonts w:cs="Times New Roman"/>
          <w:szCs w:val="24"/>
        </w:rPr>
        <w:lastRenderedPageBreak/>
        <w:t xml:space="preserve">collapsing has increased to almost the highest level compared with ESG and healthcare ETFs since 2017. Interestingly, since 2017, the crash likelihood for ESG ETFs has declined dramatically, indicating that </w:t>
      </w:r>
      <w:r w:rsidR="00841BD7" w:rsidRPr="003A49C8">
        <w:rPr>
          <w:rFonts w:cs="Times New Roman"/>
          <w:szCs w:val="24"/>
        </w:rPr>
        <w:t xml:space="preserve">the </w:t>
      </w:r>
      <w:r w:rsidRPr="003A49C8">
        <w:rPr>
          <w:rFonts w:cs="Times New Roman"/>
          <w:szCs w:val="24"/>
        </w:rPr>
        <w:t>social system (e.g., ESG) is becoming more popular on the stock market (</w:t>
      </w:r>
      <w:proofErr w:type="spellStart"/>
      <w:r w:rsidRPr="003A49C8">
        <w:rPr>
          <w:rFonts w:cs="Times New Roman"/>
          <w:szCs w:val="24"/>
        </w:rPr>
        <w:t>Renn</w:t>
      </w:r>
      <w:proofErr w:type="spellEnd"/>
      <w:r w:rsidRPr="003A49C8">
        <w:rPr>
          <w:rFonts w:cs="Times New Roman"/>
          <w:szCs w:val="24"/>
        </w:rPr>
        <w:t xml:space="preserve"> et al., 2022). Regarding the healthcare ETF category, given that one healthcare ETF was in distress during the peak of the 2008 dot-com bubble financial crisis, almost 3 healthcare ETFs are likely to be in distress. After 2009, the crash likelihood went down to 2.73, and then gradually increased. Multivariate spillover risk (see </w:t>
      </w:r>
      <w:r w:rsidR="009C237B">
        <w:rPr>
          <w:rFonts w:cs="Times New Roman"/>
          <w:szCs w:val="24"/>
        </w:rPr>
        <w:t>Fig. 3</w:t>
      </w:r>
      <w:r w:rsidRPr="003A49C8">
        <w:rPr>
          <w:rFonts w:cs="Times New Roman"/>
          <w:szCs w:val="24"/>
        </w:rPr>
        <w:t xml:space="preserve">.2) shows that the financial ETFs are consistently higher than ESG and healthcare ETFs. Our results are consistent with the findings of Chaudhry et al. (2022) and Teixeira et al. (2018). In the sample period, ESG ETFs have been slightly higher than healthcare and financial ETFs between 2015 and 2019. </w:t>
      </w:r>
      <w:r w:rsidR="001537A2" w:rsidRPr="003A49C8">
        <w:rPr>
          <w:rFonts w:cs="Times New Roman"/>
          <w:szCs w:val="24"/>
        </w:rPr>
        <w:t>We argue that while ESG investing can be a useful tool to encourage companies to prioritise environmental and social issues, it is also important to recognise that the current ESG framework may not be enough to tackle the magnitude of the ecological risks we face (</w:t>
      </w:r>
      <w:proofErr w:type="spellStart"/>
      <w:r w:rsidR="001537A2" w:rsidRPr="003A49C8">
        <w:rPr>
          <w:rFonts w:cs="Times New Roman"/>
          <w:szCs w:val="24"/>
        </w:rPr>
        <w:t>Asefi-Najafabady</w:t>
      </w:r>
      <w:proofErr w:type="spellEnd"/>
      <w:r w:rsidR="001537A2" w:rsidRPr="003A49C8">
        <w:rPr>
          <w:rFonts w:cs="Times New Roman"/>
          <w:szCs w:val="24"/>
        </w:rPr>
        <w:t xml:space="preserve"> et al., 2021</w:t>
      </w:r>
      <w:r w:rsidR="002072C1" w:rsidRPr="003A49C8">
        <w:rPr>
          <w:rFonts w:cs="Times New Roman"/>
          <w:szCs w:val="24"/>
        </w:rPr>
        <w:t>, Ripple et al., 2020</w:t>
      </w:r>
      <w:r w:rsidR="001537A2" w:rsidRPr="003A49C8">
        <w:rPr>
          <w:rFonts w:cs="Times New Roman"/>
          <w:szCs w:val="24"/>
        </w:rPr>
        <w:t>).</w:t>
      </w:r>
      <w:r w:rsidR="002072C1" w:rsidRPr="003A49C8">
        <w:rPr>
          <w:rFonts w:cs="Times New Roman"/>
          <w:szCs w:val="24"/>
        </w:rPr>
        <w:t xml:space="preserve"> As IPCC AR6 Synthesis Report 2023 emphasises that reducing greenhouse gas emissions and transitioning to renewable energy sources are crucial to avoid catastrophic environmental impacts (Steffen et al., 2018).</w:t>
      </w:r>
      <w:r w:rsidR="001537A2" w:rsidRPr="003A49C8">
        <w:rPr>
          <w:rFonts w:cs="Times New Roman"/>
          <w:szCs w:val="24"/>
        </w:rPr>
        <w:t xml:space="preserve"> </w:t>
      </w:r>
      <w:r w:rsidRPr="003A49C8">
        <w:rPr>
          <w:rFonts w:cs="Times New Roman"/>
          <w:szCs w:val="24"/>
        </w:rPr>
        <w:t>Additionally, we observe that the multivariate spillover risk of financial ETFs has increased sharply since 2017. With the highest point of 0.482, it indicates that there is a 48.2% probability that all financial ETFs would go into distress if one financial ETF goes into distress. Healthcare ETFs also exhibit a similar pattern. As of 2018, however, the multivariate spillover risk increased and was less aggressive compared to financial ETFs. The multivariate spillover risk for ESG ETFs, on the other hand, is steadily declining.</w:t>
      </w:r>
      <w:r w:rsidR="002072C1" w:rsidRPr="003A49C8">
        <w:rPr>
          <w:rFonts w:cs="Times New Roman"/>
          <w:szCs w:val="24"/>
        </w:rPr>
        <w:t xml:space="preserve"> Our results </w:t>
      </w:r>
      <w:r w:rsidR="002072C1" w:rsidRPr="003A49C8">
        <w:rPr>
          <w:lang w:eastAsia="zh-CN"/>
        </w:rPr>
        <w:t>highlight the importance of considering the intersectionality of social and ecological risks</w:t>
      </w:r>
      <w:r w:rsidR="00DD703C" w:rsidRPr="003A49C8">
        <w:rPr>
          <w:lang w:eastAsia="zh-CN"/>
        </w:rPr>
        <w:t xml:space="preserve"> (Moore, 2015)</w:t>
      </w:r>
      <w:r w:rsidR="002072C1" w:rsidRPr="003A49C8">
        <w:rPr>
          <w:lang w:eastAsia="zh-CN"/>
        </w:rPr>
        <w:t>. Environmental degradation and climate change disproportionately affect marginalized communities and exacerbate social inequalities</w:t>
      </w:r>
      <w:r w:rsidR="00DD703C" w:rsidRPr="003A49C8">
        <w:rPr>
          <w:lang w:eastAsia="zh-CN"/>
        </w:rPr>
        <w:t xml:space="preserve"> (Hansen et al., 2017</w:t>
      </w:r>
      <w:r w:rsidR="00510932" w:rsidRPr="003A49C8">
        <w:rPr>
          <w:lang w:eastAsia="zh-CN"/>
        </w:rPr>
        <w:t>)</w:t>
      </w:r>
      <w:r w:rsidR="002072C1" w:rsidRPr="003A49C8">
        <w:rPr>
          <w:lang w:eastAsia="zh-CN"/>
        </w:rPr>
        <w:t>. Therefore, it's crucial for investors to consider not only the ecological risks but also the social risks when evaluating their investment options.</w:t>
      </w:r>
    </w:p>
    <w:p w14:paraId="0F1FA68E" w14:textId="1880AAF9" w:rsidR="00613783" w:rsidRPr="003A49C8" w:rsidRDefault="00613783" w:rsidP="00B942AD">
      <w:pPr>
        <w:pStyle w:val="Caption"/>
        <w:jc w:val="center"/>
        <w:rPr>
          <w:rFonts w:ascii="Times New Roman" w:hAnsi="Times New Roman" w:cs="Times New Roman"/>
          <w:i w:val="0"/>
          <w:iCs w:val="0"/>
          <w:color w:val="auto"/>
          <w:sz w:val="24"/>
          <w:szCs w:val="24"/>
        </w:rPr>
      </w:pPr>
      <w:r w:rsidRPr="003A49C8">
        <w:rPr>
          <w:rFonts w:ascii="Times New Roman" w:hAnsi="Times New Roman" w:cs="Times New Roman"/>
          <w:i w:val="0"/>
          <w:iCs w:val="0"/>
          <w:color w:val="auto"/>
          <w:sz w:val="24"/>
          <w:szCs w:val="24"/>
        </w:rPr>
        <w:lastRenderedPageBreak/>
        <w:t xml:space="preserve">Table </w:t>
      </w:r>
      <w:r w:rsidR="007B3E58" w:rsidRPr="003A49C8">
        <w:rPr>
          <w:rFonts w:ascii="Times New Roman" w:hAnsi="Times New Roman" w:cs="Times New Roman"/>
          <w:i w:val="0"/>
          <w:iCs w:val="0"/>
          <w:color w:val="auto"/>
          <w:sz w:val="24"/>
          <w:szCs w:val="24"/>
        </w:rPr>
        <w:t>III</w:t>
      </w:r>
      <w:r w:rsidRPr="003A49C8">
        <w:rPr>
          <w:rFonts w:ascii="Times New Roman" w:hAnsi="Times New Roman" w:cs="Times New Roman"/>
          <w:i w:val="0"/>
          <w:iCs w:val="0"/>
          <w:color w:val="auto"/>
          <w:sz w:val="24"/>
          <w:szCs w:val="24"/>
        </w:rPr>
        <w:t xml:space="preserve"> Spillover risk</w:t>
      </w:r>
      <w:r w:rsidR="000E338A" w:rsidRPr="003A49C8">
        <w:rPr>
          <w:rFonts w:ascii="Times New Roman" w:hAnsi="Times New Roman" w:cs="Times New Roman"/>
          <w:i w:val="0"/>
          <w:iCs w:val="0"/>
          <w:color w:val="auto"/>
          <w:sz w:val="24"/>
          <w:szCs w:val="24"/>
        </w:rPr>
        <w:t xml:space="preserve"> of ESG, healthcare and financial sectors</w:t>
      </w:r>
    </w:p>
    <w:tbl>
      <w:tblPr>
        <w:tblStyle w:val="TableGrid"/>
        <w:tblW w:w="0" w:type="auto"/>
        <w:tblInd w:w="3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3"/>
        <w:gridCol w:w="1402"/>
        <w:gridCol w:w="1116"/>
        <w:gridCol w:w="1349"/>
        <w:gridCol w:w="1116"/>
      </w:tblGrid>
      <w:tr w:rsidR="003A49C8" w:rsidRPr="003A49C8" w14:paraId="104BF256" w14:textId="77777777" w:rsidTr="00BE420A">
        <w:tc>
          <w:tcPr>
            <w:tcW w:w="0" w:type="auto"/>
            <w:tcBorders>
              <w:top w:val="single" w:sz="4" w:space="0" w:color="auto"/>
              <w:bottom w:val="single" w:sz="4" w:space="0" w:color="auto"/>
            </w:tcBorders>
          </w:tcPr>
          <w:p w14:paraId="4C455BDE" w14:textId="77777777" w:rsidR="00613783" w:rsidRPr="003A49C8" w:rsidRDefault="00613783" w:rsidP="00B942AD">
            <w:pPr>
              <w:rPr>
                <w:rFonts w:cs="Times New Roman"/>
                <w:b/>
                <w:bCs/>
                <w:szCs w:val="24"/>
              </w:rPr>
            </w:pPr>
          </w:p>
        </w:tc>
        <w:tc>
          <w:tcPr>
            <w:tcW w:w="0" w:type="auto"/>
            <w:tcBorders>
              <w:top w:val="single" w:sz="4" w:space="0" w:color="auto"/>
              <w:bottom w:val="single" w:sz="4" w:space="0" w:color="auto"/>
            </w:tcBorders>
            <w:vAlign w:val="center"/>
          </w:tcPr>
          <w:p w14:paraId="1BE23C07" w14:textId="77777777" w:rsidR="00613783" w:rsidRPr="003A49C8" w:rsidRDefault="00613783" w:rsidP="00B942AD">
            <w:pPr>
              <w:rPr>
                <w:rFonts w:cs="Times New Roman"/>
                <w:b/>
                <w:bCs/>
                <w:szCs w:val="24"/>
              </w:rPr>
            </w:pPr>
            <w:r w:rsidRPr="003A49C8">
              <w:rPr>
                <w:rFonts w:cs="Times New Roman"/>
                <w:b/>
                <w:bCs/>
                <w:szCs w:val="24"/>
              </w:rPr>
              <w:t>Parameters</w:t>
            </w:r>
          </w:p>
        </w:tc>
        <w:tc>
          <w:tcPr>
            <w:tcW w:w="0" w:type="auto"/>
            <w:tcBorders>
              <w:top w:val="single" w:sz="4" w:space="0" w:color="auto"/>
              <w:bottom w:val="single" w:sz="4" w:space="0" w:color="auto"/>
            </w:tcBorders>
            <w:vAlign w:val="center"/>
          </w:tcPr>
          <w:p w14:paraId="51258CFE" w14:textId="77777777" w:rsidR="00613783" w:rsidRPr="003A49C8" w:rsidRDefault="00613783" w:rsidP="00B942AD">
            <w:pPr>
              <w:rPr>
                <w:rFonts w:cs="Times New Roman"/>
                <w:b/>
                <w:bCs/>
                <w:szCs w:val="24"/>
              </w:rPr>
            </w:pPr>
            <w:r w:rsidRPr="003A49C8">
              <w:rPr>
                <w:rFonts w:cs="Times New Roman"/>
                <w:b/>
                <w:bCs/>
                <w:szCs w:val="24"/>
              </w:rPr>
              <w:t>ESG</w:t>
            </w:r>
          </w:p>
        </w:tc>
        <w:tc>
          <w:tcPr>
            <w:tcW w:w="0" w:type="auto"/>
            <w:tcBorders>
              <w:top w:val="single" w:sz="4" w:space="0" w:color="auto"/>
              <w:bottom w:val="single" w:sz="4" w:space="0" w:color="auto"/>
            </w:tcBorders>
            <w:vAlign w:val="center"/>
          </w:tcPr>
          <w:p w14:paraId="289ECBCF" w14:textId="77777777" w:rsidR="00613783" w:rsidRPr="003A49C8" w:rsidRDefault="00613783" w:rsidP="00B942AD">
            <w:pPr>
              <w:rPr>
                <w:rFonts w:cs="Times New Roman"/>
                <w:b/>
                <w:bCs/>
                <w:szCs w:val="24"/>
              </w:rPr>
            </w:pPr>
            <w:r w:rsidRPr="003A49C8">
              <w:rPr>
                <w:rFonts w:cs="Times New Roman"/>
                <w:b/>
                <w:bCs/>
                <w:szCs w:val="24"/>
              </w:rPr>
              <w:t>Healthcare</w:t>
            </w:r>
          </w:p>
        </w:tc>
        <w:tc>
          <w:tcPr>
            <w:tcW w:w="0" w:type="auto"/>
            <w:tcBorders>
              <w:top w:val="single" w:sz="4" w:space="0" w:color="auto"/>
              <w:bottom w:val="single" w:sz="4" w:space="0" w:color="auto"/>
            </w:tcBorders>
            <w:vAlign w:val="center"/>
          </w:tcPr>
          <w:p w14:paraId="6EFD8E60" w14:textId="77777777" w:rsidR="00613783" w:rsidRPr="003A49C8" w:rsidRDefault="00613783" w:rsidP="00B942AD">
            <w:pPr>
              <w:rPr>
                <w:rFonts w:cs="Times New Roman"/>
                <w:b/>
                <w:bCs/>
                <w:szCs w:val="24"/>
              </w:rPr>
            </w:pPr>
            <w:r w:rsidRPr="003A49C8">
              <w:rPr>
                <w:rFonts w:cs="Times New Roman"/>
                <w:b/>
                <w:bCs/>
                <w:szCs w:val="24"/>
              </w:rPr>
              <w:t>Finance</w:t>
            </w:r>
          </w:p>
        </w:tc>
      </w:tr>
      <w:tr w:rsidR="003A49C8" w:rsidRPr="003A49C8" w14:paraId="581D6735" w14:textId="77777777" w:rsidTr="00BE420A">
        <w:tc>
          <w:tcPr>
            <w:tcW w:w="0" w:type="auto"/>
            <w:vMerge w:val="restart"/>
            <w:tcBorders>
              <w:top w:val="single" w:sz="4" w:space="0" w:color="auto"/>
              <w:bottom w:val="single" w:sz="4" w:space="0" w:color="auto"/>
            </w:tcBorders>
            <w:vAlign w:val="center"/>
          </w:tcPr>
          <w:p w14:paraId="4C9C91A7" w14:textId="5B5A091E" w:rsidR="00613783" w:rsidRPr="003A49C8" w:rsidRDefault="00613783" w:rsidP="00B942AD">
            <w:pPr>
              <w:rPr>
                <w:rFonts w:cs="Times New Roman"/>
                <w:b/>
                <w:bCs/>
                <w:szCs w:val="24"/>
              </w:rPr>
            </w:pPr>
            <w:r w:rsidRPr="003A49C8">
              <w:rPr>
                <w:rFonts w:cs="Times New Roman"/>
                <w:b/>
                <w:bCs/>
                <w:szCs w:val="24"/>
              </w:rPr>
              <w:t>Expected Joint Crashes (1&lt;E&lt;</w:t>
            </w:r>
            <w:r w:rsidR="00C877E4" w:rsidRPr="003A49C8">
              <w:rPr>
                <w:rFonts w:cs="Times New Roman"/>
                <w:b/>
                <w:bCs/>
                <w:szCs w:val="24"/>
              </w:rPr>
              <w:t>10</w:t>
            </w:r>
            <w:r w:rsidRPr="003A49C8">
              <w:rPr>
                <w:rFonts w:cs="Times New Roman"/>
                <w:b/>
                <w:bCs/>
                <w:szCs w:val="24"/>
              </w:rPr>
              <w:t>)</w:t>
            </w:r>
          </w:p>
        </w:tc>
        <w:tc>
          <w:tcPr>
            <w:tcW w:w="0" w:type="auto"/>
            <w:tcBorders>
              <w:top w:val="single" w:sz="4" w:space="0" w:color="auto"/>
            </w:tcBorders>
            <w:vAlign w:val="center"/>
          </w:tcPr>
          <w:p w14:paraId="2D8C874A" w14:textId="77777777" w:rsidR="00613783" w:rsidRPr="003A49C8" w:rsidRDefault="00613783" w:rsidP="00B942AD">
            <w:pPr>
              <w:rPr>
                <w:rFonts w:cs="Times New Roman"/>
                <w:szCs w:val="24"/>
              </w:rPr>
            </w:pPr>
            <w:r w:rsidRPr="003A49C8">
              <w:rPr>
                <w:rFonts w:cs="Times New Roman"/>
                <w:szCs w:val="24"/>
              </w:rPr>
              <w:t>m = 200</w:t>
            </w:r>
          </w:p>
        </w:tc>
        <w:tc>
          <w:tcPr>
            <w:tcW w:w="0" w:type="auto"/>
            <w:tcBorders>
              <w:top w:val="single" w:sz="4" w:space="0" w:color="auto"/>
            </w:tcBorders>
            <w:vAlign w:val="center"/>
          </w:tcPr>
          <w:p w14:paraId="032EF0A3" w14:textId="77777777" w:rsidR="00613783" w:rsidRPr="003A49C8" w:rsidRDefault="00613783" w:rsidP="00B942AD">
            <w:pPr>
              <w:rPr>
                <w:rFonts w:cs="Times New Roman"/>
                <w:szCs w:val="24"/>
              </w:rPr>
            </w:pPr>
            <w:r w:rsidRPr="003A49C8">
              <w:rPr>
                <w:rFonts w:cs="Times New Roman"/>
                <w:szCs w:val="24"/>
              </w:rPr>
              <w:t>2.70636</w:t>
            </w:r>
          </w:p>
        </w:tc>
        <w:tc>
          <w:tcPr>
            <w:tcW w:w="0" w:type="auto"/>
            <w:tcBorders>
              <w:top w:val="single" w:sz="4" w:space="0" w:color="auto"/>
            </w:tcBorders>
            <w:vAlign w:val="center"/>
          </w:tcPr>
          <w:p w14:paraId="3AD24D05" w14:textId="77777777" w:rsidR="00613783" w:rsidRPr="003A49C8" w:rsidRDefault="00613783" w:rsidP="00B942AD">
            <w:pPr>
              <w:rPr>
                <w:rFonts w:cs="Times New Roman"/>
                <w:szCs w:val="24"/>
              </w:rPr>
            </w:pPr>
            <w:r w:rsidRPr="003A49C8">
              <w:rPr>
                <w:rFonts w:cs="Times New Roman"/>
                <w:szCs w:val="24"/>
              </w:rPr>
              <w:t>2.894356</w:t>
            </w:r>
          </w:p>
        </w:tc>
        <w:tc>
          <w:tcPr>
            <w:tcW w:w="0" w:type="auto"/>
            <w:tcBorders>
              <w:top w:val="single" w:sz="4" w:space="0" w:color="auto"/>
            </w:tcBorders>
            <w:vAlign w:val="center"/>
          </w:tcPr>
          <w:p w14:paraId="30E18E50" w14:textId="77777777" w:rsidR="00613783" w:rsidRPr="003A49C8" w:rsidRDefault="00613783" w:rsidP="00B942AD">
            <w:pPr>
              <w:rPr>
                <w:rFonts w:cs="Times New Roman"/>
                <w:szCs w:val="24"/>
              </w:rPr>
            </w:pPr>
            <w:r w:rsidRPr="003A49C8">
              <w:rPr>
                <w:rFonts w:cs="Times New Roman"/>
                <w:szCs w:val="24"/>
              </w:rPr>
              <w:t>3.571429</w:t>
            </w:r>
          </w:p>
        </w:tc>
      </w:tr>
      <w:tr w:rsidR="003A49C8" w:rsidRPr="003A49C8" w14:paraId="50549F44" w14:textId="77777777" w:rsidTr="00BE420A">
        <w:tc>
          <w:tcPr>
            <w:tcW w:w="0" w:type="auto"/>
            <w:vMerge/>
            <w:tcBorders>
              <w:bottom w:val="single" w:sz="4" w:space="0" w:color="auto"/>
            </w:tcBorders>
            <w:vAlign w:val="center"/>
          </w:tcPr>
          <w:p w14:paraId="7B0D356A" w14:textId="77777777" w:rsidR="00613783" w:rsidRPr="003A49C8" w:rsidRDefault="00613783" w:rsidP="00B942AD">
            <w:pPr>
              <w:rPr>
                <w:rFonts w:cs="Times New Roman"/>
                <w:b/>
                <w:bCs/>
                <w:szCs w:val="24"/>
              </w:rPr>
            </w:pPr>
          </w:p>
        </w:tc>
        <w:tc>
          <w:tcPr>
            <w:tcW w:w="0" w:type="auto"/>
            <w:tcBorders>
              <w:bottom w:val="single" w:sz="4" w:space="0" w:color="auto"/>
            </w:tcBorders>
            <w:vAlign w:val="center"/>
          </w:tcPr>
          <w:p w14:paraId="44C7298E" w14:textId="77777777" w:rsidR="00613783" w:rsidRPr="003A49C8" w:rsidRDefault="00613783" w:rsidP="00B942AD">
            <w:pPr>
              <w:rPr>
                <w:rFonts w:cs="Times New Roman"/>
                <w:szCs w:val="24"/>
              </w:rPr>
            </w:pPr>
            <w:r w:rsidRPr="003A49C8">
              <w:rPr>
                <w:rFonts w:cs="Times New Roman"/>
                <w:szCs w:val="24"/>
              </w:rPr>
              <w:t>m = 300</w:t>
            </w:r>
          </w:p>
        </w:tc>
        <w:tc>
          <w:tcPr>
            <w:tcW w:w="0" w:type="auto"/>
            <w:tcBorders>
              <w:bottom w:val="single" w:sz="4" w:space="0" w:color="auto"/>
            </w:tcBorders>
            <w:vAlign w:val="center"/>
          </w:tcPr>
          <w:p w14:paraId="279204C7" w14:textId="77777777" w:rsidR="00613783" w:rsidRPr="003A49C8" w:rsidRDefault="00613783" w:rsidP="00B942AD">
            <w:pPr>
              <w:rPr>
                <w:rFonts w:cs="Times New Roman"/>
                <w:szCs w:val="24"/>
              </w:rPr>
            </w:pPr>
            <w:r w:rsidRPr="003A49C8">
              <w:rPr>
                <w:rFonts w:cs="Times New Roman"/>
                <w:szCs w:val="24"/>
              </w:rPr>
              <w:t>2.876318</w:t>
            </w:r>
          </w:p>
        </w:tc>
        <w:tc>
          <w:tcPr>
            <w:tcW w:w="0" w:type="auto"/>
            <w:tcBorders>
              <w:bottom w:val="single" w:sz="4" w:space="0" w:color="auto"/>
            </w:tcBorders>
            <w:vAlign w:val="center"/>
          </w:tcPr>
          <w:p w14:paraId="27CE181E" w14:textId="77777777" w:rsidR="00613783" w:rsidRPr="003A49C8" w:rsidRDefault="00613783" w:rsidP="00B942AD">
            <w:pPr>
              <w:rPr>
                <w:rFonts w:cs="Times New Roman"/>
                <w:szCs w:val="24"/>
              </w:rPr>
            </w:pPr>
            <w:r w:rsidRPr="003A49C8">
              <w:rPr>
                <w:rFonts w:cs="Times New Roman"/>
                <w:szCs w:val="24"/>
              </w:rPr>
              <w:t>3.003003</w:t>
            </w:r>
          </w:p>
        </w:tc>
        <w:tc>
          <w:tcPr>
            <w:tcW w:w="0" w:type="auto"/>
            <w:tcBorders>
              <w:bottom w:val="single" w:sz="4" w:space="0" w:color="auto"/>
            </w:tcBorders>
            <w:vAlign w:val="center"/>
          </w:tcPr>
          <w:p w14:paraId="287FF7DD" w14:textId="77777777" w:rsidR="00613783" w:rsidRPr="003A49C8" w:rsidRDefault="00613783" w:rsidP="00B942AD">
            <w:pPr>
              <w:rPr>
                <w:rFonts w:cs="Times New Roman"/>
                <w:szCs w:val="24"/>
              </w:rPr>
            </w:pPr>
            <w:r w:rsidRPr="003A49C8">
              <w:rPr>
                <w:rFonts w:cs="Times New Roman"/>
                <w:szCs w:val="24"/>
              </w:rPr>
              <w:t>3.699137</w:t>
            </w:r>
          </w:p>
        </w:tc>
      </w:tr>
      <w:tr w:rsidR="003A49C8" w:rsidRPr="003A49C8" w14:paraId="7CC79D70" w14:textId="77777777" w:rsidTr="00BE420A">
        <w:tc>
          <w:tcPr>
            <w:tcW w:w="0" w:type="auto"/>
            <w:vMerge w:val="restart"/>
            <w:tcBorders>
              <w:top w:val="single" w:sz="4" w:space="0" w:color="auto"/>
              <w:bottom w:val="single" w:sz="4" w:space="0" w:color="auto"/>
            </w:tcBorders>
            <w:vAlign w:val="center"/>
          </w:tcPr>
          <w:p w14:paraId="596EE691" w14:textId="77777777" w:rsidR="00613783" w:rsidRPr="003A49C8" w:rsidRDefault="00613783" w:rsidP="00B942AD">
            <w:pPr>
              <w:rPr>
                <w:rFonts w:cs="Times New Roman"/>
                <w:b/>
                <w:bCs/>
                <w:szCs w:val="24"/>
              </w:rPr>
            </w:pPr>
            <w:r w:rsidRPr="003A49C8">
              <w:rPr>
                <w:rFonts w:cs="Times New Roman"/>
                <w:b/>
                <w:bCs/>
                <w:szCs w:val="24"/>
              </w:rPr>
              <w:t>E = Multivariate Gaussian</w:t>
            </w:r>
          </w:p>
        </w:tc>
        <w:tc>
          <w:tcPr>
            <w:tcW w:w="0" w:type="auto"/>
            <w:tcBorders>
              <w:top w:val="single" w:sz="4" w:space="0" w:color="auto"/>
            </w:tcBorders>
            <w:vAlign w:val="center"/>
          </w:tcPr>
          <w:p w14:paraId="0E9033FA" w14:textId="77777777" w:rsidR="00613783" w:rsidRPr="003A49C8" w:rsidRDefault="00613783" w:rsidP="00B942AD">
            <w:pPr>
              <w:rPr>
                <w:rFonts w:cs="Times New Roman"/>
                <w:szCs w:val="24"/>
              </w:rPr>
            </w:pPr>
            <w:r w:rsidRPr="003A49C8">
              <w:rPr>
                <w:rFonts w:cs="Times New Roman"/>
                <w:szCs w:val="24"/>
              </w:rPr>
              <w:t>m = 200</w:t>
            </w:r>
          </w:p>
        </w:tc>
        <w:tc>
          <w:tcPr>
            <w:tcW w:w="0" w:type="auto"/>
            <w:tcBorders>
              <w:top w:val="single" w:sz="4" w:space="0" w:color="auto"/>
            </w:tcBorders>
            <w:vAlign w:val="center"/>
          </w:tcPr>
          <w:p w14:paraId="4D26B57E" w14:textId="77777777" w:rsidR="00613783" w:rsidRPr="003A49C8" w:rsidRDefault="00613783" w:rsidP="00B942AD">
            <w:pPr>
              <w:rPr>
                <w:rFonts w:cs="Times New Roman"/>
                <w:szCs w:val="24"/>
              </w:rPr>
            </w:pPr>
            <w:r w:rsidRPr="003A49C8">
              <w:rPr>
                <w:rFonts w:cs="Times New Roman"/>
                <w:szCs w:val="24"/>
              </w:rPr>
              <w:t>0.177195</w:t>
            </w:r>
          </w:p>
        </w:tc>
        <w:tc>
          <w:tcPr>
            <w:tcW w:w="0" w:type="auto"/>
            <w:tcBorders>
              <w:top w:val="single" w:sz="4" w:space="0" w:color="auto"/>
            </w:tcBorders>
            <w:vAlign w:val="center"/>
          </w:tcPr>
          <w:p w14:paraId="610D7B0A" w14:textId="77777777" w:rsidR="00613783" w:rsidRPr="003A49C8" w:rsidRDefault="00613783" w:rsidP="00B942AD">
            <w:pPr>
              <w:rPr>
                <w:rFonts w:cs="Times New Roman"/>
                <w:szCs w:val="24"/>
              </w:rPr>
            </w:pPr>
            <w:r w:rsidRPr="003A49C8">
              <w:rPr>
                <w:rFonts w:cs="Times New Roman"/>
                <w:szCs w:val="24"/>
              </w:rPr>
              <w:t>0.164097</w:t>
            </w:r>
          </w:p>
        </w:tc>
        <w:tc>
          <w:tcPr>
            <w:tcW w:w="0" w:type="auto"/>
            <w:tcBorders>
              <w:top w:val="single" w:sz="4" w:space="0" w:color="auto"/>
            </w:tcBorders>
            <w:vAlign w:val="center"/>
          </w:tcPr>
          <w:p w14:paraId="5D36076C" w14:textId="77777777" w:rsidR="00613783" w:rsidRPr="003A49C8" w:rsidRDefault="00613783" w:rsidP="00B942AD">
            <w:pPr>
              <w:rPr>
                <w:rFonts w:cs="Times New Roman"/>
                <w:szCs w:val="24"/>
              </w:rPr>
            </w:pPr>
            <w:r w:rsidRPr="003A49C8">
              <w:rPr>
                <w:rFonts w:cs="Times New Roman"/>
                <w:szCs w:val="24"/>
              </w:rPr>
              <w:t>0.205797</w:t>
            </w:r>
          </w:p>
        </w:tc>
      </w:tr>
      <w:tr w:rsidR="003A49C8" w:rsidRPr="003A49C8" w14:paraId="354198C7" w14:textId="77777777" w:rsidTr="00BE420A">
        <w:tc>
          <w:tcPr>
            <w:tcW w:w="0" w:type="auto"/>
            <w:vMerge/>
            <w:tcBorders>
              <w:bottom w:val="single" w:sz="4" w:space="0" w:color="auto"/>
            </w:tcBorders>
          </w:tcPr>
          <w:p w14:paraId="10EFBE69" w14:textId="77777777" w:rsidR="00613783" w:rsidRPr="003A49C8" w:rsidRDefault="00613783" w:rsidP="00B942AD">
            <w:pPr>
              <w:rPr>
                <w:rFonts w:cs="Times New Roman"/>
                <w:b/>
                <w:bCs/>
                <w:szCs w:val="24"/>
              </w:rPr>
            </w:pPr>
          </w:p>
        </w:tc>
        <w:tc>
          <w:tcPr>
            <w:tcW w:w="0" w:type="auto"/>
            <w:tcBorders>
              <w:bottom w:val="single" w:sz="4" w:space="0" w:color="auto"/>
            </w:tcBorders>
            <w:vAlign w:val="center"/>
          </w:tcPr>
          <w:p w14:paraId="58688B33" w14:textId="77777777" w:rsidR="00613783" w:rsidRPr="003A49C8" w:rsidRDefault="00613783" w:rsidP="00B942AD">
            <w:pPr>
              <w:rPr>
                <w:rFonts w:cs="Times New Roman"/>
                <w:szCs w:val="24"/>
              </w:rPr>
            </w:pPr>
            <w:r w:rsidRPr="003A49C8">
              <w:rPr>
                <w:rFonts w:cs="Times New Roman"/>
                <w:szCs w:val="24"/>
              </w:rPr>
              <w:t>m = 300</w:t>
            </w:r>
          </w:p>
        </w:tc>
        <w:tc>
          <w:tcPr>
            <w:tcW w:w="0" w:type="auto"/>
            <w:tcBorders>
              <w:bottom w:val="single" w:sz="4" w:space="0" w:color="auto"/>
            </w:tcBorders>
            <w:vAlign w:val="center"/>
          </w:tcPr>
          <w:p w14:paraId="3DB10130" w14:textId="77777777" w:rsidR="00613783" w:rsidRPr="003A49C8" w:rsidRDefault="00613783" w:rsidP="00B942AD">
            <w:pPr>
              <w:rPr>
                <w:rFonts w:cs="Times New Roman"/>
                <w:szCs w:val="24"/>
              </w:rPr>
            </w:pPr>
            <w:r w:rsidRPr="003A49C8">
              <w:rPr>
                <w:rFonts w:cs="Times New Roman"/>
                <w:szCs w:val="24"/>
              </w:rPr>
              <w:t>0.221135</w:t>
            </w:r>
          </w:p>
        </w:tc>
        <w:tc>
          <w:tcPr>
            <w:tcW w:w="0" w:type="auto"/>
            <w:tcBorders>
              <w:bottom w:val="single" w:sz="4" w:space="0" w:color="auto"/>
            </w:tcBorders>
            <w:vAlign w:val="center"/>
          </w:tcPr>
          <w:p w14:paraId="4A876A39" w14:textId="77777777" w:rsidR="00613783" w:rsidRPr="003A49C8" w:rsidRDefault="00613783" w:rsidP="00B942AD">
            <w:pPr>
              <w:rPr>
                <w:rFonts w:cs="Times New Roman"/>
                <w:szCs w:val="24"/>
              </w:rPr>
            </w:pPr>
            <w:r w:rsidRPr="003A49C8">
              <w:rPr>
                <w:rFonts w:cs="Times New Roman"/>
                <w:szCs w:val="24"/>
              </w:rPr>
              <w:t>0.176605</w:t>
            </w:r>
          </w:p>
        </w:tc>
        <w:tc>
          <w:tcPr>
            <w:tcW w:w="0" w:type="auto"/>
            <w:tcBorders>
              <w:bottom w:val="single" w:sz="4" w:space="0" w:color="auto"/>
            </w:tcBorders>
            <w:vAlign w:val="center"/>
          </w:tcPr>
          <w:p w14:paraId="4802FA1A" w14:textId="77777777" w:rsidR="00613783" w:rsidRPr="003A49C8" w:rsidRDefault="00613783" w:rsidP="00B942AD">
            <w:pPr>
              <w:rPr>
                <w:rFonts w:cs="Times New Roman"/>
                <w:szCs w:val="24"/>
              </w:rPr>
            </w:pPr>
            <w:r w:rsidRPr="003A49C8">
              <w:rPr>
                <w:rFonts w:cs="Times New Roman"/>
                <w:szCs w:val="24"/>
              </w:rPr>
              <w:t>0.22714</w:t>
            </w:r>
          </w:p>
        </w:tc>
      </w:tr>
    </w:tbl>
    <w:p w14:paraId="308EE243" w14:textId="49827566" w:rsidR="00613783" w:rsidRPr="003A49C8" w:rsidRDefault="00613783" w:rsidP="00B942AD">
      <w:pPr>
        <w:ind w:left="2160" w:firstLine="720"/>
        <w:rPr>
          <w:rFonts w:cs="Times New Roman"/>
        </w:rPr>
      </w:pPr>
      <w:r w:rsidRPr="003A49C8">
        <w:rPr>
          <w:rFonts w:cs="Times New Roman"/>
          <w:b/>
          <w:bCs/>
        </w:rPr>
        <w:t>Note:</w:t>
      </w:r>
      <w:r w:rsidRPr="003A49C8">
        <w:rPr>
          <w:rFonts w:cs="Times New Roman"/>
        </w:rPr>
        <w:t xml:space="preserve"> the nuisance parameter m represents the number of extremes used in estimation for three sectors.</w:t>
      </w:r>
    </w:p>
    <w:p w14:paraId="748AE141" w14:textId="3C9E796A" w:rsidR="00613783" w:rsidRPr="009C237B" w:rsidRDefault="00343F9E" w:rsidP="00343F9E">
      <w:pPr>
        <w:pStyle w:val="Caption"/>
        <w:rPr>
          <w:rFonts w:ascii="Times New Roman" w:hAnsi="Times New Roman" w:cs="Times New Roman"/>
          <w:i w:val="0"/>
          <w:iCs w:val="0"/>
          <w:color w:val="auto"/>
          <w:sz w:val="24"/>
          <w:szCs w:val="24"/>
        </w:rPr>
      </w:pPr>
      <w:r w:rsidRPr="009C237B">
        <w:rPr>
          <w:rFonts w:ascii="Times New Roman" w:hAnsi="Times New Roman" w:cs="Times New Roman"/>
          <w:i w:val="0"/>
          <w:iCs w:val="0"/>
          <w:color w:val="auto"/>
          <w:sz w:val="24"/>
          <w:szCs w:val="24"/>
        </w:rPr>
        <w:t>Fig</w:t>
      </w:r>
      <w:r w:rsidR="009C237B">
        <w:rPr>
          <w:rFonts w:ascii="Times New Roman" w:hAnsi="Times New Roman" w:cs="Times New Roman"/>
          <w:i w:val="0"/>
          <w:iCs w:val="0"/>
          <w:color w:val="auto"/>
          <w:sz w:val="24"/>
          <w:szCs w:val="24"/>
        </w:rPr>
        <w:t>.</w:t>
      </w:r>
      <w:r w:rsidRPr="009C237B">
        <w:rPr>
          <w:rFonts w:ascii="Times New Roman" w:hAnsi="Times New Roman" w:cs="Times New Roman"/>
          <w:i w:val="0"/>
          <w:iCs w:val="0"/>
          <w:color w:val="auto"/>
          <w:sz w:val="24"/>
          <w:szCs w:val="24"/>
        </w:rPr>
        <w:t xml:space="preserve"> </w:t>
      </w:r>
      <w:r w:rsidRPr="009C237B">
        <w:rPr>
          <w:rFonts w:ascii="Times New Roman" w:hAnsi="Times New Roman" w:cs="Times New Roman"/>
          <w:i w:val="0"/>
          <w:iCs w:val="0"/>
          <w:color w:val="auto"/>
          <w:sz w:val="24"/>
          <w:szCs w:val="24"/>
        </w:rPr>
        <w:fldChar w:fldCharType="begin"/>
      </w:r>
      <w:r w:rsidRPr="009C237B">
        <w:rPr>
          <w:rFonts w:ascii="Times New Roman" w:hAnsi="Times New Roman" w:cs="Times New Roman"/>
          <w:i w:val="0"/>
          <w:iCs w:val="0"/>
          <w:color w:val="auto"/>
          <w:sz w:val="24"/>
          <w:szCs w:val="24"/>
        </w:rPr>
        <w:instrText xml:space="preserve"> SEQ Figure \* ARABIC </w:instrText>
      </w:r>
      <w:r w:rsidRPr="009C237B">
        <w:rPr>
          <w:rFonts w:ascii="Times New Roman" w:hAnsi="Times New Roman" w:cs="Times New Roman"/>
          <w:i w:val="0"/>
          <w:iCs w:val="0"/>
          <w:color w:val="auto"/>
          <w:sz w:val="24"/>
          <w:szCs w:val="24"/>
        </w:rPr>
        <w:fldChar w:fldCharType="separate"/>
      </w:r>
      <w:r w:rsidRPr="009C237B">
        <w:rPr>
          <w:rFonts w:ascii="Times New Roman" w:hAnsi="Times New Roman" w:cs="Times New Roman"/>
          <w:i w:val="0"/>
          <w:iCs w:val="0"/>
          <w:color w:val="auto"/>
          <w:sz w:val="24"/>
          <w:szCs w:val="24"/>
        </w:rPr>
        <w:t>3</w:t>
      </w:r>
      <w:r w:rsidRPr="009C237B">
        <w:rPr>
          <w:rFonts w:ascii="Times New Roman" w:hAnsi="Times New Roman" w:cs="Times New Roman"/>
          <w:i w:val="0"/>
          <w:iCs w:val="0"/>
          <w:color w:val="auto"/>
          <w:sz w:val="24"/>
          <w:szCs w:val="24"/>
        </w:rPr>
        <w:fldChar w:fldCharType="end"/>
      </w:r>
      <w:r w:rsidR="009C237B">
        <w:rPr>
          <w:rFonts w:ascii="Times New Roman" w:hAnsi="Times New Roman" w:cs="Times New Roman"/>
          <w:i w:val="0"/>
          <w:iCs w:val="0"/>
          <w:color w:val="auto"/>
          <w:sz w:val="24"/>
          <w:szCs w:val="24"/>
        </w:rPr>
        <w:t>.</w:t>
      </w:r>
      <w:r w:rsidR="0074047B" w:rsidRPr="009C237B">
        <w:rPr>
          <w:rFonts w:ascii="Times New Roman" w:hAnsi="Times New Roman" w:cs="Times New Roman"/>
          <w:i w:val="0"/>
          <w:iCs w:val="0"/>
          <w:color w:val="auto"/>
          <w:sz w:val="24"/>
          <w:szCs w:val="24"/>
        </w:rPr>
        <w:t xml:space="preserve"> </w:t>
      </w:r>
      <w:r w:rsidR="00613783" w:rsidRPr="009C237B">
        <w:rPr>
          <w:rFonts w:ascii="Times New Roman" w:hAnsi="Times New Roman" w:cs="Times New Roman"/>
          <w:i w:val="0"/>
          <w:iCs w:val="0"/>
          <w:color w:val="auto"/>
          <w:sz w:val="24"/>
          <w:szCs w:val="24"/>
        </w:rPr>
        <w:t xml:space="preserve">Time varying </w:t>
      </w:r>
      <w:r w:rsidR="000E338A" w:rsidRPr="009C237B">
        <w:rPr>
          <w:rFonts w:ascii="Times New Roman" w:hAnsi="Times New Roman" w:cs="Times New Roman"/>
          <w:i w:val="0"/>
          <w:iCs w:val="0"/>
          <w:color w:val="auto"/>
          <w:sz w:val="24"/>
          <w:szCs w:val="24"/>
        </w:rPr>
        <w:t>spillover</w:t>
      </w:r>
      <w:r w:rsidR="00613783" w:rsidRPr="009C237B">
        <w:rPr>
          <w:rFonts w:ascii="Times New Roman" w:hAnsi="Times New Roman" w:cs="Times New Roman"/>
          <w:i w:val="0"/>
          <w:iCs w:val="0"/>
          <w:color w:val="auto"/>
          <w:sz w:val="24"/>
          <w:szCs w:val="24"/>
        </w:rPr>
        <w:t xml:space="preserve"> risk: (rolling) expected co-crash indicators and co-crash probabilities for ESG, healthcare, and finance ETFs</w:t>
      </w:r>
    </w:p>
    <w:p w14:paraId="38C46B32" w14:textId="38DEF613" w:rsidR="00613783" w:rsidRPr="003A49C8" w:rsidRDefault="00613783" w:rsidP="00B942AD">
      <w:pPr>
        <w:rPr>
          <w:rFonts w:cs="Times New Roman"/>
        </w:rPr>
        <w:sectPr w:rsidR="00613783" w:rsidRPr="003A49C8" w:rsidSect="00AA49B7">
          <w:pgSz w:w="16838" w:h="11906" w:orient="landscape"/>
          <w:pgMar w:top="720" w:right="720" w:bottom="720" w:left="720" w:header="708" w:footer="708" w:gutter="0"/>
          <w:cols w:space="708"/>
          <w:docGrid w:linePitch="360"/>
        </w:sectPr>
      </w:pPr>
      <w:r w:rsidRPr="003A49C8">
        <w:rPr>
          <w:rFonts w:cs="Times New Roman"/>
          <w:noProof/>
          <w:lang w:eastAsia="en-GB"/>
        </w:rPr>
        <w:drawing>
          <wp:inline distT="0" distB="0" distL="0" distR="0" wp14:anchorId="505ECDAC" wp14:editId="4497C68F">
            <wp:extent cx="4554220" cy="2380890"/>
            <wp:effectExtent l="0" t="0" r="17780" b="635"/>
            <wp:docPr id="22" name="Chart 22">
              <a:extLst xmlns:a="http://schemas.openxmlformats.org/drawingml/2006/main">
                <a:ext uri="{FF2B5EF4-FFF2-40B4-BE49-F238E27FC236}">
                  <a16:creationId xmlns:a16="http://schemas.microsoft.com/office/drawing/2014/main" id="{7F1CF27A-1137-4607-8DA6-CB94380773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3A49C8">
        <w:rPr>
          <w:rFonts w:cs="Times New Roman"/>
        </w:rPr>
        <w:t xml:space="preserve"> </w:t>
      </w:r>
      <w:r w:rsidRPr="003A49C8">
        <w:rPr>
          <w:rFonts w:cs="Times New Roman"/>
          <w:noProof/>
          <w:lang w:eastAsia="en-GB"/>
        </w:rPr>
        <w:drawing>
          <wp:inline distT="0" distB="0" distL="0" distR="0" wp14:anchorId="419D54D0" wp14:editId="1D66E4BC">
            <wp:extent cx="4623435" cy="2372264"/>
            <wp:effectExtent l="0" t="0" r="5715" b="9525"/>
            <wp:docPr id="23" name="Chart 23">
              <a:extLst xmlns:a="http://schemas.openxmlformats.org/drawingml/2006/main">
                <a:ext uri="{FF2B5EF4-FFF2-40B4-BE49-F238E27FC236}">
                  <a16:creationId xmlns:a16="http://schemas.microsoft.com/office/drawing/2014/main" id="{D496EABF-1E26-4616-97A1-4676BB1545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bookmarkEnd w:id="11"/>
    <w:p w14:paraId="4050CCB2" w14:textId="3C1B234C" w:rsidR="00613783" w:rsidRPr="003A49C8" w:rsidRDefault="004E3C65" w:rsidP="00E33705">
      <w:pPr>
        <w:pStyle w:val="Heading1"/>
      </w:pPr>
      <w:r w:rsidRPr="003A49C8">
        <w:lastRenderedPageBreak/>
        <w:t>5. Conclusion</w:t>
      </w:r>
    </w:p>
    <w:p w14:paraId="49270E9D" w14:textId="12ABD2D4" w:rsidR="009F3331" w:rsidRPr="003A49C8" w:rsidRDefault="009F3331" w:rsidP="00FC6359">
      <w:pPr>
        <w:rPr>
          <w:rFonts w:cs="Times New Roman"/>
          <w:szCs w:val="24"/>
        </w:rPr>
      </w:pPr>
      <w:r w:rsidRPr="003A49C8">
        <w:rPr>
          <w:rFonts w:cs="Times New Roman"/>
          <w:szCs w:val="24"/>
        </w:rPr>
        <w:t xml:space="preserve">To </w:t>
      </w:r>
      <w:r w:rsidR="00600CBC" w:rsidRPr="003A49C8">
        <w:rPr>
          <w:rFonts w:cs="Times New Roman"/>
          <w:szCs w:val="24"/>
        </w:rPr>
        <w:t xml:space="preserve">tackle the ecological challenges and </w:t>
      </w:r>
      <w:r w:rsidRPr="003A49C8">
        <w:rPr>
          <w:rFonts w:cs="Times New Roman"/>
          <w:szCs w:val="24"/>
        </w:rPr>
        <w:t xml:space="preserve">achieve </w:t>
      </w:r>
      <w:r w:rsidR="00600CBC" w:rsidRPr="003A49C8">
        <w:rPr>
          <w:rFonts w:cs="Times New Roman"/>
          <w:szCs w:val="24"/>
        </w:rPr>
        <w:t>environmental goals</w:t>
      </w:r>
      <w:r w:rsidRPr="003A49C8">
        <w:rPr>
          <w:rFonts w:cs="Times New Roman"/>
          <w:szCs w:val="24"/>
        </w:rPr>
        <w:t xml:space="preserve">, it is important to understand the ecological, socioeconomic, health and financial risks posed by climate change. This study addresses this unexplored issue and provides a comprehensive risk analysis of </w:t>
      </w:r>
      <w:r w:rsidR="00E07AE0" w:rsidRPr="003A49C8">
        <w:rPr>
          <w:rFonts w:cs="Times New Roman"/>
          <w:szCs w:val="24"/>
        </w:rPr>
        <w:t xml:space="preserve">the </w:t>
      </w:r>
      <w:r w:rsidRPr="003A49C8">
        <w:rPr>
          <w:rFonts w:cs="Times New Roman"/>
          <w:szCs w:val="24"/>
        </w:rPr>
        <w:t xml:space="preserve">ecological, socio-economic, governance, healthcare and financial </w:t>
      </w:r>
      <w:r w:rsidR="004D7D3B" w:rsidRPr="003A49C8">
        <w:rPr>
          <w:rFonts w:cs="Times New Roman"/>
          <w:szCs w:val="24"/>
        </w:rPr>
        <w:t>sectors</w:t>
      </w:r>
      <w:r w:rsidRPr="003A49C8">
        <w:rPr>
          <w:rFonts w:cs="Times New Roman"/>
          <w:szCs w:val="24"/>
        </w:rPr>
        <w:t xml:space="preserve">. </w:t>
      </w:r>
      <w:r w:rsidR="00417950" w:rsidRPr="003A49C8">
        <w:rPr>
          <w:rFonts w:cs="Times New Roman"/>
          <w:szCs w:val="24"/>
        </w:rPr>
        <w:t xml:space="preserve">We model risk by employing statistical extreme value theory to estimate indicators of </w:t>
      </w:r>
      <w:r w:rsidRPr="003A49C8">
        <w:rPr>
          <w:rFonts w:cs="Times New Roman"/>
          <w:szCs w:val="24"/>
        </w:rPr>
        <w:t>tail risk, extreme systemic risk and extreme spillover risk of ESG (Environment, Social and Governance), healthcare and financial ETFs.</w:t>
      </w:r>
      <w:r w:rsidR="00C74298" w:rsidRPr="003A49C8">
        <w:rPr>
          <w:rFonts w:cs="Times New Roman"/>
          <w:szCs w:val="24"/>
        </w:rPr>
        <w:t xml:space="preserve"> </w:t>
      </w:r>
      <w:r w:rsidR="00EF2D77" w:rsidRPr="003A49C8">
        <w:rPr>
          <w:rFonts w:cs="Times New Roman"/>
          <w:szCs w:val="24"/>
        </w:rPr>
        <w:t xml:space="preserve">Tail risk refers to the downside risk </w:t>
      </w:r>
      <w:r w:rsidR="00C74298" w:rsidRPr="003A49C8">
        <w:rPr>
          <w:rFonts w:cs="Times New Roman"/>
          <w:szCs w:val="24"/>
        </w:rPr>
        <w:t xml:space="preserve">in </w:t>
      </w:r>
      <w:r w:rsidR="008E1951" w:rsidRPr="003A49C8">
        <w:rPr>
          <w:rFonts w:cs="Times New Roman"/>
          <w:szCs w:val="24"/>
        </w:rPr>
        <w:t>each sector (ESG, healthcare or financial sector) and extreme systemic ri</w:t>
      </w:r>
      <w:r w:rsidR="00C74298" w:rsidRPr="003A49C8">
        <w:rPr>
          <w:rFonts w:cs="Times New Roman"/>
          <w:szCs w:val="24"/>
        </w:rPr>
        <w:t xml:space="preserve">sk (tail-β.) is the exposure </w:t>
      </w:r>
      <w:r w:rsidR="008E1951" w:rsidRPr="003A49C8">
        <w:rPr>
          <w:rFonts w:cs="Times New Roman"/>
          <w:szCs w:val="24"/>
        </w:rPr>
        <w:t>to extreme systemic shock. We use 10 different conditioning factors as measure</w:t>
      </w:r>
      <w:r w:rsidR="00C51C9F" w:rsidRPr="003A49C8">
        <w:rPr>
          <w:rFonts w:cs="Times New Roman"/>
          <w:szCs w:val="24"/>
        </w:rPr>
        <w:t>s</w:t>
      </w:r>
      <w:r w:rsidR="008E1951" w:rsidRPr="003A49C8">
        <w:rPr>
          <w:rFonts w:cs="Times New Roman"/>
          <w:szCs w:val="24"/>
        </w:rPr>
        <w:t xml:space="preserve"> of extreme systemic shock. These factors are as broad as the whole world and also cover all the major economic regions, namely, USA, China, </w:t>
      </w:r>
      <w:r w:rsidR="00E07AE0" w:rsidRPr="003A49C8">
        <w:rPr>
          <w:rFonts w:cs="Times New Roman"/>
          <w:szCs w:val="24"/>
        </w:rPr>
        <w:t xml:space="preserve">and </w:t>
      </w:r>
      <w:r w:rsidR="008E1951" w:rsidRPr="003A49C8">
        <w:rPr>
          <w:rFonts w:cs="Times New Roman"/>
          <w:szCs w:val="24"/>
        </w:rPr>
        <w:t>Europe. We also include unique macro shocks like traditional energy, green energy</w:t>
      </w:r>
      <w:r w:rsidR="005C0546" w:rsidRPr="003A49C8">
        <w:rPr>
          <w:rFonts w:cs="Times New Roman"/>
          <w:szCs w:val="24"/>
        </w:rPr>
        <w:t>,</w:t>
      </w:r>
      <w:r w:rsidR="008E1951" w:rsidRPr="003A49C8">
        <w:rPr>
          <w:rFonts w:cs="Times New Roman"/>
          <w:szCs w:val="24"/>
        </w:rPr>
        <w:t xml:space="preserve"> and bonds. Finally, the </w:t>
      </w:r>
      <w:r w:rsidR="00C51C9F" w:rsidRPr="003A49C8">
        <w:rPr>
          <w:rFonts w:cs="Times New Roman"/>
          <w:szCs w:val="24"/>
        </w:rPr>
        <w:t xml:space="preserve">extreme </w:t>
      </w:r>
      <w:r w:rsidR="008E1951" w:rsidRPr="003A49C8">
        <w:rPr>
          <w:rFonts w:cs="Times New Roman"/>
          <w:szCs w:val="24"/>
        </w:rPr>
        <w:t xml:space="preserve">spillover risk is an expected number of co-crashes if there is </w:t>
      </w:r>
      <w:r w:rsidR="00E07AE0" w:rsidRPr="003A49C8">
        <w:rPr>
          <w:rFonts w:cs="Times New Roman"/>
          <w:szCs w:val="24"/>
        </w:rPr>
        <w:t xml:space="preserve">a </w:t>
      </w:r>
      <w:r w:rsidR="008E1951" w:rsidRPr="003A49C8">
        <w:rPr>
          <w:rFonts w:cs="Times New Roman"/>
          <w:szCs w:val="24"/>
        </w:rPr>
        <w:t xml:space="preserve">crash in one ETF or a multivariate probability of </w:t>
      </w:r>
      <w:r w:rsidR="00E07AE0" w:rsidRPr="003A49C8">
        <w:rPr>
          <w:rFonts w:cs="Times New Roman"/>
          <w:szCs w:val="24"/>
        </w:rPr>
        <w:t xml:space="preserve">a </w:t>
      </w:r>
      <w:r w:rsidR="008E1951" w:rsidRPr="003A49C8">
        <w:rPr>
          <w:rFonts w:cs="Times New Roman"/>
          <w:szCs w:val="24"/>
        </w:rPr>
        <w:t xml:space="preserve">joint drop of other ETFs if there is a drop in one. </w:t>
      </w:r>
      <w:r w:rsidR="00C51C9F" w:rsidRPr="003A49C8">
        <w:rPr>
          <w:rFonts w:cs="Times New Roman"/>
          <w:szCs w:val="24"/>
        </w:rPr>
        <w:t xml:space="preserve">As our study makes stakeholders, including policymakers, investors, employees and society at large </w:t>
      </w:r>
      <w:r w:rsidR="007500A7" w:rsidRPr="003A49C8">
        <w:rPr>
          <w:rFonts w:cs="Times New Roman"/>
          <w:shd w:val="clear" w:color="auto" w:fill="FFFFFF"/>
        </w:rPr>
        <w:t xml:space="preserve">aware of the risks that </w:t>
      </w:r>
      <w:r w:rsidR="00C51C9F" w:rsidRPr="003A49C8">
        <w:rPr>
          <w:rFonts w:cs="Times New Roman"/>
          <w:shd w:val="clear" w:color="auto" w:fill="FFFFFF"/>
        </w:rPr>
        <w:t>these sectors pose</w:t>
      </w:r>
      <w:r w:rsidR="007500A7" w:rsidRPr="003A49C8">
        <w:rPr>
          <w:rFonts w:cs="Times New Roman"/>
          <w:shd w:val="clear" w:color="auto" w:fill="FFFFFF"/>
        </w:rPr>
        <w:t xml:space="preserve">, </w:t>
      </w:r>
      <w:r w:rsidR="00C51C9F" w:rsidRPr="003A49C8">
        <w:rPr>
          <w:rFonts w:cs="Times New Roman"/>
          <w:shd w:val="clear" w:color="auto" w:fill="FFFFFF"/>
        </w:rPr>
        <w:t xml:space="preserve">these stakeholders </w:t>
      </w:r>
      <w:r w:rsidR="007500A7" w:rsidRPr="003A49C8">
        <w:rPr>
          <w:rFonts w:cs="Times New Roman"/>
          <w:shd w:val="clear" w:color="auto" w:fill="FFFFFF"/>
        </w:rPr>
        <w:t>can make informed decisions to continue maintaining investments that will lead to solving the challenges to the environment, socio-economic, governance and health underpinning climate change.</w:t>
      </w:r>
    </w:p>
    <w:p w14:paraId="6A0A4631" w14:textId="056A79FF" w:rsidR="008E1951" w:rsidRPr="003A49C8" w:rsidRDefault="004C0DBD" w:rsidP="00E33705">
      <w:pPr>
        <w:ind w:firstLine="397"/>
        <w:rPr>
          <w:rFonts w:cs="Times New Roman"/>
          <w:szCs w:val="24"/>
        </w:rPr>
      </w:pPr>
      <w:r w:rsidRPr="003A49C8">
        <w:rPr>
          <w:rFonts w:cs="Times New Roman"/>
          <w:szCs w:val="24"/>
        </w:rPr>
        <w:t xml:space="preserve">Our risk modelling findings reveal that </w:t>
      </w:r>
      <w:r w:rsidR="00E07AE0" w:rsidRPr="003A49C8">
        <w:rPr>
          <w:rFonts w:cs="Times New Roman"/>
          <w:szCs w:val="24"/>
        </w:rPr>
        <w:t xml:space="preserve">the </w:t>
      </w:r>
      <w:r w:rsidRPr="003A49C8">
        <w:rPr>
          <w:rFonts w:cs="Times New Roman"/>
          <w:szCs w:val="24"/>
        </w:rPr>
        <w:t xml:space="preserve">ESG </w:t>
      </w:r>
      <w:r w:rsidR="00284679" w:rsidRPr="003A49C8">
        <w:rPr>
          <w:rFonts w:cs="Times New Roman"/>
          <w:szCs w:val="24"/>
        </w:rPr>
        <w:t>sector</w:t>
      </w:r>
      <w:r w:rsidRPr="003A49C8">
        <w:rPr>
          <w:rFonts w:cs="Times New Roman"/>
          <w:szCs w:val="24"/>
        </w:rPr>
        <w:t xml:space="preserve"> exhibit</w:t>
      </w:r>
      <w:r w:rsidR="00284679" w:rsidRPr="003A49C8">
        <w:rPr>
          <w:rFonts w:cs="Times New Roman"/>
          <w:szCs w:val="24"/>
        </w:rPr>
        <w:t>s</w:t>
      </w:r>
      <w:r w:rsidRPr="003A49C8">
        <w:rPr>
          <w:rFonts w:cs="Times New Roman"/>
          <w:szCs w:val="24"/>
        </w:rPr>
        <w:t xml:space="preserve"> the highest tail risk in </w:t>
      </w:r>
      <w:r w:rsidR="00E07AE0" w:rsidRPr="003A49C8">
        <w:rPr>
          <w:rFonts w:cs="Times New Roman"/>
          <w:szCs w:val="24"/>
        </w:rPr>
        <w:t xml:space="preserve">the </w:t>
      </w:r>
      <w:r w:rsidRPr="003A49C8">
        <w:rPr>
          <w:rFonts w:cs="Times New Roman"/>
          <w:szCs w:val="24"/>
        </w:rPr>
        <w:t xml:space="preserve">extreme environment when we consider there is a shock of 25% or 50%. We observe such shocks in financial markets in situations like </w:t>
      </w:r>
      <w:r w:rsidR="00E07AE0" w:rsidRPr="003A49C8">
        <w:rPr>
          <w:rFonts w:cs="Times New Roman"/>
          <w:szCs w:val="24"/>
        </w:rPr>
        <w:t xml:space="preserve">the </w:t>
      </w:r>
      <w:r w:rsidRPr="003A49C8">
        <w:rPr>
          <w:rFonts w:cs="Times New Roman"/>
          <w:szCs w:val="24"/>
        </w:rPr>
        <w:t xml:space="preserve">global financial crisis of 2007-08 and </w:t>
      </w:r>
      <w:r w:rsidR="00E07AE0" w:rsidRPr="003A49C8">
        <w:rPr>
          <w:rFonts w:cs="Times New Roman"/>
          <w:szCs w:val="24"/>
        </w:rPr>
        <w:t xml:space="preserve">the </w:t>
      </w:r>
      <w:r w:rsidRPr="003A49C8">
        <w:rPr>
          <w:rFonts w:cs="Times New Roman"/>
          <w:szCs w:val="24"/>
        </w:rPr>
        <w:t xml:space="preserve">COVID-19 crisis. However, the healthcare </w:t>
      </w:r>
      <w:r w:rsidR="00284679" w:rsidRPr="003A49C8">
        <w:rPr>
          <w:rFonts w:cs="Times New Roman"/>
          <w:szCs w:val="24"/>
        </w:rPr>
        <w:t>sector</w:t>
      </w:r>
      <w:r w:rsidR="005C0546" w:rsidRPr="003A49C8">
        <w:rPr>
          <w:rFonts w:cs="Times New Roman"/>
          <w:szCs w:val="24"/>
        </w:rPr>
        <w:t xml:space="preserve"> </w:t>
      </w:r>
      <w:r w:rsidRPr="003A49C8">
        <w:rPr>
          <w:rFonts w:cs="Times New Roman"/>
          <w:szCs w:val="24"/>
        </w:rPr>
        <w:t>show</w:t>
      </w:r>
      <w:r w:rsidR="00284679" w:rsidRPr="003A49C8">
        <w:rPr>
          <w:rFonts w:cs="Times New Roman"/>
          <w:szCs w:val="24"/>
        </w:rPr>
        <w:t>s</w:t>
      </w:r>
      <w:r w:rsidRPr="003A49C8">
        <w:rPr>
          <w:rFonts w:cs="Times New Roman"/>
          <w:szCs w:val="24"/>
        </w:rPr>
        <w:t xml:space="preserve"> the lowest risk</w:t>
      </w:r>
      <w:r w:rsidR="00525793" w:rsidRPr="003A49C8">
        <w:rPr>
          <w:rFonts w:cs="Times New Roman"/>
          <w:szCs w:val="24"/>
        </w:rPr>
        <w:t xml:space="preserve"> o</w:t>
      </w:r>
      <w:r w:rsidR="00EB5C1D" w:rsidRPr="003A49C8">
        <w:rPr>
          <w:rFonts w:cs="Times New Roman"/>
          <w:szCs w:val="24"/>
        </w:rPr>
        <w:t>n</w:t>
      </w:r>
      <w:r w:rsidR="00525793" w:rsidRPr="003A49C8">
        <w:rPr>
          <w:rFonts w:cs="Times New Roman"/>
          <w:szCs w:val="24"/>
        </w:rPr>
        <w:t xml:space="preserve"> the tail quantile,</w:t>
      </w:r>
      <w:r w:rsidRPr="003A49C8">
        <w:rPr>
          <w:rFonts w:cs="Times New Roman"/>
          <w:szCs w:val="24"/>
        </w:rPr>
        <w:t xml:space="preserve"> while </w:t>
      </w:r>
      <w:r w:rsidR="00E07AE0" w:rsidRPr="003A49C8">
        <w:rPr>
          <w:rFonts w:cs="Times New Roman"/>
          <w:szCs w:val="24"/>
        </w:rPr>
        <w:t xml:space="preserve">the </w:t>
      </w:r>
      <w:r w:rsidRPr="003A49C8">
        <w:rPr>
          <w:rFonts w:cs="Times New Roman"/>
          <w:szCs w:val="24"/>
        </w:rPr>
        <w:t>ESG</w:t>
      </w:r>
      <w:r w:rsidR="005C0546" w:rsidRPr="003A49C8">
        <w:rPr>
          <w:rFonts w:cs="Times New Roman"/>
          <w:szCs w:val="24"/>
        </w:rPr>
        <w:t xml:space="preserve"> </w:t>
      </w:r>
      <w:r w:rsidR="00284679" w:rsidRPr="003A49C8">
        <w:rPr>
          <w:rFonts w:cs="Times New Roman"/>
          <w:szCs w:val="24"/>
        </w:rPr>
        <w:t>sector</w:t>
      </w:r>
      <w:r w:rsidR="005C0546" w:rsidRPr="003A49C8">
        <w:rPr>
          <w:rFonts w:cs="Times New Roman"/>
          <w:szCs w:val="24"/>
        </w:rPr>
        <w:t xml:space="preserve"> </w:t>
      </w:r>
      <w:r w:rsidRPr="003A49C8">
        <w:rPr>
          <w:rFonts w:cs="Times New Roman"/>
          <w:szCs w:val="24"/>
        </w:rPr>
        <w:t>reveal</w:t>
      </w:r>
      <w:r w:rsidR="00284679" w:rsidRPr="003A49C8">
        <w:rPr>
          <w:rFonts w:cs="Times New Roman"/>
          <w:szCs w:val="24"/>
        </w:rPr>
        <w:t>s</w:t>
      </w:r>
      <w:r w:rsidRPr="003A49C8">
        <w:rPr>
          <w:rFonts w:cs="Times New Roman"/>
          <w:szCs w:val="24"/>
        </w:rPr>
        <w:t xml:space="preserve"> the lower risk in the tail expected shortfall. On the contrary, </w:t>
      </w:r>
      <w:r w:rsidR="00E07AE0" w:rsidRPr="003A49C8">
        <w:rPr>
          <w:rFonts w:cs="Times New Roman"/>
          <w:szCs w:val="24"/>
        </w:rPr>
        <w:t xml:space="preserve">the </w:t>
      </w:r>
      <w:r w:rsidRPr="003A49C8">
        <w:rPr>
          <w:rFonts w:cs="Times New Roman"/>
          <w:szCs w:val="24"/>
        </w:rPr>
        <w:t xml:space="preserve">financial </w:t>
      </w:r>
      <w:r w:rsidR="00284679" w:rsidRPr="003A49C8">
        <w:rPr>
          <w:rFonts w:cs="Times New Roman"/>
          <w:szCs w:val="24"/>
        </w:rPr>
        <w:t>sector</w:t>
      </w:r>
      <w:r w:rsidR="005C0546" w:rsidRPr="003A49C8">
        <w:rPr>
          <w:rFonts w:cs="Times New Roman"/>
          <w:szCs w:val="24"/>
        </w:rPr>
        <w:t xml:space="preserve"> </w:t>
      </w:r>
      <w:r w:rsidRPr="003A49C8">
        <w:rPr>
          <w:rFonts w:cs="Times New Roman"/>
          <w:szCs w:val="24"/>
        </w:rPr>
        <w:t>exhibit</w:t>
      </w:r>
      <w:r w:rsidR="00284679" w:rsidRPr="003A49C8">
        <w:rPr>
          <w:rFonts w:cs="Times New Roman"/>
          <w:szCs w:val="24"/>
        </w:rPr>
        <w:t>s</w:t>
      </w:r>
      <w:r w:rsidRPr="003A49C8">
        <w:rPr>
          <w:rFonts w:cs="Times New Roman"/>
          <w:szCs w:val="24"/>
        </w:rPr>
        <w:t xml:space="preserve"> the highest risk in both the tail quantile and </w:t>
      </w:r>
      <w:r w:rsidR="00E07AE0" w:rsidRPr="003A49C8">
        <w:rPr>
          <w:rFonts w:cs="Times New Roman"/>
          <w:szCs w:val="24"/>
        </w:rPr>
        <w:t xml:space="preserve">the </w:t>
      </w:r>
      <w:r w:rsidRPr="003A49C8">
        <w:rPr>
          <w:rFonts w:cs="Times New Roman"/>
          <w:szCs w:val="24"/>
        </w:rPr>
        <w:t xml:space="preserve">tail expected shortfall. For extreme systemic risk, we find that </w:t>
      </w:r>
      <w:r w:rsidR="00E07AE0" w:rsidRPr="003A49C8">
        <w:rPr>
          <w:rFonts w:cs="Times New Roman"/>
          <w:szCs w:val="24"/>
        </w:rPr>
        <w:t xml:space="preserve">the </w:t>
      </w:r>
      <w:r w:rsidRPr="003A49C8">
        <w:rPr>
          <w:rFonts w:cs="Times New Roman"/>
          <w:szCs w:val="24"/>
        </w:rPr>
        <w:t xml:space="preserve">ESG </w:t>
      </w:r>
      <w:r w:rsidR="00284679" w:rsidRPr="003A49C8">
        <w:rPr>
          <w:rFonts w:cs="Times New Roman"/>
          <w:szCs w:val="24"/>
        </w:rPr>
        <w:t>sector</w:t>
      </w:r>
      <w:r w:rsidR="005C0546" w:rsidRPr="003A49C8">
        <w:rPr>
          <w:rFonts w:cs="Times New Roman"/>
          <w:szCs w:val="24"/>
        </w:rPr>
        <w:t xml:space="preserve"> </w:t>
      </w:r>
      <w:r w:rsidR="00284679" w:rsidRPr="003A49C8">
        <w:rPr>
          <w:rFonts w:cs="Times New Roman"/>
          <w:szCs w:val="24"/>
        </w:rPr>
        <w:t>is</w:t>
      </w:r>
      <w:r w:rsidRPr="003A49C8">
        <w:rPr>
          <w:rFonts w:cs="Times New Roman"/>
          <w:szCs w:val="24"/>
        </w:rPr>
        <w:t xml:space="preserve"> the riskiest with all of </w:t>
      </w:r>
      <w:r w:rsidR="00E07AE0" w:rsidRPr="003A49C8">
        <w:rPr>
          <w:rFonts w:cs="Times New Roman"/>
          <w:szCs w:val="24"/>
        </w:rPr>
        <w:t xml:space="preserve">the </w:t>
      </w:r>
      <w:r w:rsidRPr="003A49C8">
        <w:rPr>
          <w:rFonts w:cs="Times New Roman"/>
          <w:szCs w:val="24"/>
        </w:rPr>
        <w:t xml:space="preserve">10 conditioning factors. The ESG sector shows the highest risk if the shock is coming from China. The healthcare and financial </w:t>
      </w:r>
      <w:r w:rsidR="00284679" w:rsidRPr="003A49C8">
        <w:rPr>
          <w:rFonts w:cs="Times New Roman"/>
          <w:szCs w:val="24"/>
        </w:rPr>
        <w:t>sectors</w:t>
      </w:r>
      <w:r w:rsidRPr="003A49C8">
        <w:rPr>
          <w:rFonts w:cs="Times New Roman"/>
          <w:szCs w:val="24"/>
        </w:rPr>
        <w:t xml:space="preserve"> exhibit similar risk</w:t>
      </w:r>
      <w:r w:rsidR="00E07AE0" w:rsidRPr="003A49C8">
        <w:rPr>
          <w:rFonts w:cs="Times New Roman"/>
          <w:szCs w:val="24"/>
        </w:rPr>
        <w:t>s</w:t>
      </w:r>
      <w:r w:rsidRPr="003A49C8">
        <w:rPr>
          <w:rFonts w:cs="Times New Roman"/>
          <w:szCs w:val="24"/>
        </w:rPr>
        <w:t xml:space="preserve"> for all the conditioning factors except for traditional energy and green energy. </w:t>
      </w:r>
      <w:r w:rsidR="00EB5C1D" w:rsidRPr="003A49C8">
        <w:rPr>
          <w:rFonts w:cs="Times New Roman"/>
          <w:szCs w:val="24"/>
        </w:rPr>
        <w:t>The h</w:t>
      </w:r>
      <w:r w:rsidRPr="003A49C8">
        <w:rPr>
          <w:rFonts w:cs="Times New Roman"/>
          <w:szCs w:val="24"/>
        </w:rPr>
        <w:t xml:space="preserve">ealthcare </w:t>
      </w:r>
      <w:r w:rsidR="005C0546" w:rsidRPr="003A49C8">
        <w:rPr>
          <w:rFonts w:cs="Times New Roman"/>
          <w:szCs w:val="24"/>
        </w:rPr>
        <w:t>(</w:t>
      </w:r>
      <w:r w:rsidRPr="003A49C8">
        <w:rPr>
          <w:rFonts w:cs="Times New Roman"/>
          <w:szCs w:val="24"/>
        </w:rPr>
        <w:t>financial</w:t>
      </w:r>
      <w:r w:rsidR="005C0546" w:rsidRPr="003A49C8">
        <w:rPr>
          <w:rFonts w:cs="Times New Roman"/>
          <w:szCs w:val="24"/>
        </w:rPr>
        <w:t>)</w:t>
      </w:r>
      <w:r w:rsidRPr="003A49C8">
        <w:rPr>
          <w:rFonts w:cs="Times New Roman"/>
          <w:szCs w:val="24"/>
        </w:rPr>
        <w:t xml:space="preserve"> </w:t>
      </w:r>
      <w:r w:rsidR="00284679" w:rsidRPr="003A49C8">
        <w:rPr>
          <w:rFonts w:cs="Times New Roman"/>
          <w:szCs w:val="24"/>
        </w:rPr>
        <w:t>sector</w:t>
      </w:r>
      <w:r w:rsidR="005C0546" w:rsidRPr="003A49C8">
        <w:rPr>
          <w:rFonts w:cs="Times New Roman"/>
          <w:szCs w:val="24"/>
        </w:rPr>
        <w:t>’</w:t>
      </w:r>
      <w:r w:rsidR="00284679" w:rsidRPr="003A49C8">
        <w:rPr>
          <w:rFonts w:cs="Times New Roman"/>
          <w:szCs w:val="24"/>
        </w:rPr>
        <w:t>s</w:t>
      </w:r>
      <w:r w:rsidRPr="003A49C8">
        <w:rPr>
          <w:rFonts w:cs="Times New Roman"/>
          <w:szCs w:val="24"/>
        </w:rPr>
        <w:t xml:space="preserve"> tail systemic risk is almost 50% (70%) higher in </w:t>
      </w:r>
      <w:r w:rsidR="00E07AE0" w:rsidRPr="003A49C8">
        <w:rPr>
          <w:rFonts w:cs="Times New Roman"/>
          <w:szCs w:val="24"/>
        </w:rPr>
        <w:t xml:space="preserve">the </w:t>
      </w:r>
      <w:r w:rsidRPr="003A49C8">
        <w:rPr>
          <w:rFonts w:cs="Times New Roman"/>
          <w:szCs w:val="24"/>
        </w:rPr>
        <w:t xml:space="preserve">case of traditional energy and almost 80% (90%) higher in </w:t>
      </w:r>
      <w:r w:rsidR="00E07AE0" w:rsidRPr="003A49C8">
        <w:rPr>
          <w:rFonts w:cs="Times New Roman"/>
          <w:szCs w:val="24"/>
        </w:rPr>
        <w:t xml:space="preserve">the </w:t>
      </w:r>
      <w:r w:rsidRPr="003A49C8">
        <w:rPr>
          <w:rFonts w:cs="Times New Roman"/>
          <w:szCs w:val="24"/>
        </w:rPr>
        <w:t xml:space="preserve">case of green energy. </w:t>
      </w:r>
      <w:r w:rsidR="005C0546" w:rsidRPr="003A49C8">
        <w:rPr>
          <w:rFonts w:cs="Times New Roman"/>
          <w:szCs w:val="24"/>
        </w:rPr>
        <w:t>Our results show</w:t>
      </w:r>
      <w:r w:rsidRPr="003A49C8">
        <w:rPr>
          <w:rFonts w:cs="Times New Roman"/>
          <w:szCs w:val="24"/>
        </w:rPr>
        <w:t xml:space="preserve"> that both </w:t>
      </w:r>
      <w:r w:rsidR="00E07AE0" w:rsidRPr="003A49C8">
        <w:rPr>
          <w:rFonts w:cs="Times New Roman"/>
          <w:szCs w:val="24"/>
        </w:rPr>
        <w:t xml:space="preserve">the </w:t>
      </w:r>
      <w:r w:rsidRPr="003A49C8">
        <w:rPr>
          <w:rFonts w:cs="Times New Roman"/>
          <w:szCs w:val="24"/>
        </w:rPr>
        <w:t xml:space="preserve">healthcare and financial </w:t>
      </w:r>
      <w:r w:rsidR="00284679" w:rsidRPr="003A49C8">
        <w:rPr>
          <w:rFonts w:cs="Times New Roman"/>
          <w:szCs w:val="24"/>
        </w:rPr>
        <w:t>sectors</w:t>
      </w:r>
      <w:r w:rsidRPr="003A49C8">
        <w:rPr>
          <w:rFonts w:cs="Times New Roman"/>
          <w:szCs w:val="24"/>
        </w:rPr>
        <w:t xml:space="preserve"> are very sensitive to shock</w:t>
      </w:r>
      <w:r w:rsidR="008A7BF3" w:rsidRPr="003A49C8">
        <w:rPr>
          <w:rFonts w:cs="Times New Roman"/>
          <w:szCs w:val="24"/>
        </w:rPr>
        <w:t>s</w:t>
      </w:r>
      <w:r w:rsidRPr="003A49C8">
        <w:rPr>
          <w:rFonts w:cs="Times New Roman"/>
          <w:szCs w:val="24"/>
        </w:rPr>
        <w:t xml:space="preserve"> from </w:t>
      </w:r>
      <w:r w:rsidR="00E07AE0" w:rsidRPr="003A49C8">
        <w:rPr>
          <w:rFonts w:cs="Times New Roman"/>
          <w:szCs w:val="24"/>
        </w:rPr>
        <w:t xml:space="preserve">the </w:t>
      </w:r>
      <w:r w:rsidRPr="003A49C8">
        <w:rPr>
          <w:rFonts w:cs="Times New Roman"/>
          <w:szCs w:val="24"/>
        </w:rPr>
        <w:t xml:space="preserve">energy sectors and particularly from </w:t>
      </w:r>
      <w:r w:rsidR="00E07AE0" w:rsidRPr="003A49C8">
        <w:rPr>
          <w:rFonts w:cs="Times New Roman"/>
          <w:szCs w:val="24"/>
        </w:rPr>
        <w:t>the</w:t>
      </w:r>
      <w:r w:rsidRPr="003A49C8">
        <w:rPr>
          <w:rFonts w:cs="Times New Roman"/>
          <w:szCs w:val="24"/>
        </w:rPr>
        <w:t xml:space="preserve"> green energy sector. </w:t>
      </w:r>
      <w:r w:rsidR="005C0546" w:rsidRPr="003A49C8">
        <w:rPr>
          <w:rFonts w:cs="Times New Roman"/>
          <w:szCs w:val="24"/>
        </w:rPr>
        <w:t>Additionally, we</w:t>
      </w:r>
      <w:r w:rsidRPr="003A49C8">
        <w:rPr>
          <w:rFonts w:cs="Times New Roman"/>
          <w:szCs w:val="24"/>
        </w:rPr>
        <w:t xml:space="preserve"> observe </w:t>
      </w:r>
      <w:r w:rsidR="00E07AE0" w:rsidRPr="003A49C8">
        <w:rPr>
          <w:rFonts w:cs="Times New Roman"/>
          <w:szCs w:val="24"/>
        </w:rPr>
        <w:t xml:space="preserve">a </w:t>
      </w:r>
      <w:r w:rsidRPr="003A49C8">
        <w:rPr>
          <w:rFonts w:cs="Times New Roman"/>
          <w:szCs w:val="24"/>
        </w:rPr>
        <w:t xml:space="preserve">similar pattern when we calculate the extreme spillover risk via </w:t>
      </w:r>
      <w:r w:rsidR="00E07AE0" w:rsidRPr="003A49C8">
        <w:rPr>
          <w:rFonts w:cs="Times New Roman"/>
          <w:szCs w:val="24"/>
        </w:rPr>
        <w:t xml:space="preserve">the </w:t>
      </w:r>
      <w:r w:rsidRPr="003A49C8">
        <w:rPr>
          <w:rFonts w:cs="Times New Roman"/>
          <w:szCs w:val="24"/>
        </w:rPr>
        <w:t xml:space="preserve">number of expected joint crashes and </w:t>
      </w:r>
      <w:r w:rsidR="00EB5C1D" w:rsidRPr="003A49C8">
        <w:rPr>
          <w:rFonts w:cs="Times New Roman"/>
          <w:szCs w:val="24"/>
        </w:rPr>
        <w:t xml:space="preserve">the </w:t>
      </w:r>
      <w:r w:rsidRPr="003A49C8">
        <w:rPr>
          <w:rFonts w:cs="Times New Roman"/>
          <w:szCs w:val="24"/>
        </w:rPr>
        <w:t xml:space="preserve">probability of </w:t>
      </w:r>
      <w:r w:rsidR="00E07AE0" w:rsidRPr="003A49C8">
        <w:rPr>
          <w:rFonts w:cs="Times New Roman"/>
          <w:szCs w:val="24"/>
        </w:rPr>
        <w:t xml:space="preserve">a </w:t>
      </w:r>
      <w:r w:rsidRPr="003A49C8">
        <w:rPr>
          <w:rFonts w:cs="Times New Roman"/>
          <w:szCs w:val="24"/>
        </w:rPr>
        <w:t xml:space="preserve">crash in the ETFs of two other sectors </w:t>
      </w:r>
      <w:r w:rsidRPr="003A49C8">
        <w:rPr>
          <w:rFonts w:cs="Times New Roman"/>
          <w:szCs w:val="24"/>
        </w:rPr>
        <w:lastRenderedPageBreak/>
        <w:t>given there is a crash in the ETF</w:t>
      </w:r>
      <w:r w:rsidR="00E07AE0" w:rsidRPr="003A49C8">
        <w:rPr>
          <w:rFonts w:cs="Times New Roman"/>
          <w:szCs w:val="24"/>
        </w:rPr>
        <w:t>s</w:t>
      </w:r>
      <w:r w:rsidRPr="003A49C8">
        <w:rPr>
          <w:rFonts w:cs="Times New Roman"/>
          <w:szCs w:val="24"/>
        </w:rPr>
        <w:t xml:space="preserve"> in one other sector. We find that ESG and healthcare </w:t>
      </w:r>
      <w:r w:rsidR="00284679" w:rsidRPr="003A49C8">
        <w:rPr>
          <w:rFonts w:cs="Times New Roman"/>
          <w:szCs w:val="24"/>
        </w:rPr>
        <w:t xml:space="preserve">sectors </w:t>
      </w:r>
      <w:r w:rsidRPr="003A49C8">
        <w:rPr>
          <w:rFonts w:cs="Times New Roman"/>
          <w:szCs w:val="24"/>
        </w:rPr>
        <w:t>have lower spillover risk</w:t>
      </w:r>
      <w:r w:rsidR="00600CBC" w:rsidRPr="003A49C8">
        <w:rPr>
          <w:rFonts w:cs="Times New Roman"/>
          <w:szCs w:val="24"/>
        </w:rPr>
        <w:t>s</w:t>
      </w:r>
      <w:r w:rsidRPr="003A49C8">
        <w:rPr>
          <w:rFonts w:cs="Times New Roman"/>
          <w:szCs w:val="24"/>
        </w:rPr>
        <w:t xml:space="preserve"> compared to the financial</w:t>
      </w:r>
      <w:r w:rsidR="005C0546" w:rsidRPr="003A49C8">
        <w:rPr>
          <w:rFonts w:cs="Times New Roman"/>
          <w:szCs w:val="24"/>
        </w:rPr>
        <w:t xml:space="preserve"> </w:t>
      </w:r>
      <w:r w:rsidR="00284679" w:rsidRPr="003A49C8">
        <w:rPr>
          <w:rFonts w:cs="Times New Roman"/>
          <w:szCs w:val="24"/>
        </w:rPr>
        <w:t>sector</w:t>
      </w:r>
      <w:r w:rsidRPr="003A49C8">
        <w:rPr>
          <w:rFonts w:cs="Times New Roman"/>
          <w:szCs w:val="24"/>
        </w:rPr>
        <w:t xml:space="preserve">. However, with the probability of </w:t>
      </w:r>
      <w:r w:rsidR="00E07AE0" w:rsidRPr="003A49C8">
        <w:rPr>
          <w:rFonts w:cs="Times New Roman"/>
          <w:szCs w:val="24"/>
        </w:rPr>
        <w:t xml:space="preserve">a </w:t>
      </w:r>
      <w:r w:rsidRPr="003A49C8">
        <w:rPr>
          <w:rFonts w:cs="Times New Roman"/>
          <w:szCs w:val="24"/>
        </w:rPr>
        <w:t>crash</w:t>
      </w:r>
      <w:r w:rsidR="00525793" w:rsidRPr="003A49C8">
        <w:rPr>
          <w:rFonts w:cs="Times New Roman"/>
          <w:szCs w:val="24"/>
        </w:rPr>
        <w:t>, the</w:t>
      </w:r>
      <w:r w:rsidRPr="003A49C8">
        <w:rPr>
          <w:rFonts w:cs="Times New Roman"/>
          <w:szCs w:val="24"/>
        </w:rPr>
        <w:t xml:space="preserve"> ESG </w:t>
      </w:r>
      <w:r w:rsidR="00284679" w:rsidRPr="003A49C8">
        <w:rPr>
          <w:rFonts w:cs="Times New Roman"/>
          <w:szCs w:val="24"/>
        </w:rPr>
        <w:t xml:space="preserve">sector </w:t>
      </w:r>
      <w:r w:rsidRPr="003A49C8">
        <w:rPr>
          <w:rFonts w:cs="Times New Roman"/>
          <w:szCs w:val="24"/>
        </w:rPr>
        <w:t xml:space="preserve">is </w:t>
      </w:r>
      <w:r w:rsidR="00525793" w:rsidRPr="003A49C8">
        <w:rPr>
          <w:rFonts w:cs="Times New Roman"/>
          <w:szCs w:val="24"/>
        </w:rPr>
        <w:t xml:space="preserve">considered to be riskier than the </w:t>
      </w:r>
      <w:r w:rsidRPr="003A49C8">
        <w:rPr>
          <w:rFonts w:cs="Times New Roman"/>
          <w:szCs w:val="24"/>
        </w:rPr>
        <w:t xml:space="preserve">healthcare and financial </w:t>
      </w:r>
      <w:r w:rsidR="00284679" w:rsidRPr="003A49C8">
        <w:rPr>
          <w:rFonts w:cs="Times New Roman"/>
          <w:szCs w:val="24"/>
        </w:rPr>
        <w:t>sectors</w:t>
      </w:r>
      <w:r w:rsidRPr="003A49C8">
        <w:rPr>
          <w:rFonts w:cs="Times New Roman"/>
          <w:szCs w:val="24"/>
        </w:rPr>
        <w:t xml:space="preserve">. </w:t>
      </w:r>
    </w:p>
    <w:p w14:paraId="41D8F9A9" w14:textId="77777777" w:rsidR="00BF5796" w:rsidRPr="003A49C8" w:rsidRDefault="009E62B1" w:rsidP="00BF5796">
      <w:pPr>
        <w:ind w:firstLine="397"/>
        <w:rPr>
          <w:rFonts w:cs="Times New Roman"/>
          <w:szCs w:val="24"/>
        </w:rPr>
      </w:pPr>
      <w:r w:rsidRPr="003A49C8">
        <w:rPr>
          <w:rFonts w:cs="Times New Roman"/>
          <w:szCs w:val="24"/>
        </w:rPr>
        <w:t xml:space="preserve">Our paper has implications for climate change risk management that could be useful for international and national organisations, governments, and corporations. The risk modelling and risk assessment of ESG, healthcare and financial ETFs provide great insights for making sustainable economic, business, and financial strategies as we learn about the downside risk, extreme systemic risk and </w:t>
      </w:r>
      <w:r w:rsidR="006D5CDF" w:rsidRPr="003A49C8">
        <w:rPr>
          <w:rFonts w:cs="Times New Roman"/>
          <w:szCs w:val="24"/>
        </w:rPr>
        <w:t xml:space="preserve">extreme </w:t>
      </w:r>
      <w:r w:rsidRPr="003A49C8">
        <w:rPr>
          <w:rFonts w:cs="Times New Roman"/>
          <w:szCs w:val="24"/>
        </w:rPr>
        <w:t xml:space="preserve">spillover risk. When formulating a policy, understanding downside risk can be helpful, as it shows how much risk each sector or each ETF investment has and how that risk can be incorporated into the policy. Similarly, the effects of macro shocks and the spillover from one sector to another are beneficial as policymakers are aware of how much risk these sectors pose to the system. </w:t>
      </w:r>
    </w:p>
    <w:p w14:paraId="322C9512" w14:textId="1E79759E" w:rsidR="00237CDF" w:rsidRPr="003A49C8" w:rsidRDefault="00237CDF" w:rsidP="00237CDF">
      <w:pPr>
        <w:ind w:firstLine="397"/>
        <w:rPr>
          <w:rFonts w:cs="Times New Roman"/>
          <w:shd w:val="clear" w:color="auto" w:fill="FFFFFF"/>
        </w:rPr>
      </w:pPr>
      <w:r w:rsidRPr="003A49C8">
        <w:rPr>
          <w:rFonts w:cs="Times New Roman"/>
          <w:shd w:val="clear" w:color="auto" w:fill="FFFFFF"/>
        </w:rPr>
        <w:t xml:space="preserve">The integration of the healthcare, financial, and ESG sectors </w:t>
      </w:r>
      <w:r w:rsidR="006D5CDF" w:rsidRPr="003A49C8">
        <w:rPr>
          <w:rFonts w:cs="Times New Roman"/>
          <w:shd w:val="clear" w:color="auto" w:fill="FFFFFF"/>
        </w:rPr>
        <w:t xml:space="preserve">also </w:t>
      </w:r>
      <w:r w:rsidRPr="003A49C8">
        <w:rPr>
          <w:rFonts w:cs="Times New Roman"/>
          <w:shd w:val="clear" w:color="auto" w:fill="FFFFFF"/>
        </w:rPr>
        <w:t>offers important insights that may guide policy in the areas of risk analysis, assessment, and management.</w:t>
      </w:r>
      <w:r w:rsidR="008A7BF3" w:rsidRPr="003A49C8">
        <w:rPr>
          <w:rFonts w:cs="Times New Roman"/>
          <w:shd w:val="clear" w:color="auto" w:fill="FFFFFF"/>
        </w:rPr>
        <w:t xml:space="preserve"> </w:t>
      </w:r>
      <w:r w:rsidRPr="003A49C8">
        <w:rPr>
          <w:rFonts w:cs="Times New Roman"/>
          <w:shd w:val="clear" w:color="auto" w:fill="FFFFFF"/>
        </w:rPr>
        <w:t xml:space="preserve">First, it is clear that ESG risks may have a significant impact on the financial and healthcare industries. Therefore, it is essential that policymakers give ESG issues </w:t>
      </w:r>
      <w:r w:rsidR="00841BD7" w:rsidRPr="003A49C8">
        <w:rPr>
          <w:rFonts w:cs="Times New Roman"/>
          <w:shd w:val="clear" w:color="auto" w:fill="FFFFFF"/>
        </w:rPr>
        <w:t xml:space="preserve">a </w:t>
      </w:r>
      <w:r w:rsidRPr="003A49C8">
        <w:rPr>
          <w:rFonts w:cs="Times New Roman"/>
          <w:shd w:val="clear" w:color="auto" w:fill="FFFFFF"/>
        </w:rPr>
        <w:t>top priority when developing frameworks for these sectors' risk analysis and evaluation. This might include integrating ESG considerations in financial reporting standards and urging healthcare businesses to do the same while formulating their strategic plans.</w:t>
      </w:r>
      <w:r w:rsidR="009E62B1" w:rsidRPr="003A49C8">
        <w:rPr>
          <w:rFonts w:cs="Times New Roman"/>
          <w:shd w:val="clear" w:color="auto" w:fill="FFFFFF"/>
        </w:rPr>
        <w:t xml:space="preserve"> </w:t>
      </w:r>
      <w:r w:rsidRPr="003A49C8">
        <w:rPr>
          <w:rFonts w:cs="Times New Roman"/>
          <w:shd w:val="clear" w:color="auto" w:fill="FFFFFF"/>
        </w:rPr>
        <w:t>Secondly, to address ESG concerns, the healthcare and finance industries need to work together and coordinate better. As an example, financial companies that invest in healthcare companies should take steps to communicate with these companies about ESG issues and encourage them to improve their ESG performance. To ensure that ESG risks are successfully handled in their operations, healthcare institutions should work closely with financial institutions.</w:t>
      </w:r>
      <w:r w:rsidR="009E62B1" w:rsidRPr="003A49C8">
        <w:rPr>
          <w:rFonts w:cs="Times New Roman"/>
          <w:shd w:val="clear" w:color="auto" w:fill="FFFFFF"/>
        </w:rPr>
        <w:t xml:space="preserve"> </w:t>
      </w:r>
      <w:r w:rsidRPr="003A49C8">
        <w:rPr>
          <w:rFonts w:cs="Times New Roman"/>
          <w:shd w:val="clear" w:color="auto" w:fill="FFFFFF"/>
        </w:rPr>
        <w:t>Thirdly, policymakers need to assess how incentives and legislation may help the healthcare and finance industries promote ESG risk management. This may include establishing rules and guidelines requiring businesses to report on their ESG performance and offering rewards to those that give ESG considerations a high priority in their operations and investment choices.</w:t>
      </w:r>
      <w:r w:rsidR="00BF5796" w:rsidRPr="003A49C8">
        <w:rPr>
          <w:rFonts w:cs="Times New Roman"/>
          <w:shd w:val="clear" w:color="auto" w:fill="FFFFFF"/>
        </w:rPr>
        <w:t xml:space="preserve"> Therefore, t</w:t>
      </w:r>
      <w:r w:rsidRPr="003A49C8">
        <w:rPr>
          <w:rFonts w:cs="Times New Roman"/>
          <w:shd w:val="clear" w:color="auto" w:fill="FFFFFF"/>
        </w:rPr>
        <w:t xml:space="preserve">he relationship between the financial, healthcare, and ESG sectors </w:t>
      </w:r>
      <w:r w:rsidR="00BF5796" w:rsidRPr="003A49C8">
        <w:rPr>
          <w:rFonts w:cs="Times New Roman"/>
          <w:shd w:val="clear" w:color="auto" w:fill="FFFFFF"/>
        </w:rPr>
        <w:t xml:space="preserve">should </w:t>
      </w:r>
      <w:r w:rsidRPr="003A49C8">
        <w:rPr>
          <w:rFonts w:cs="Times New Roman"/>
          <w:shd w:val="clear" w:color="auto" w:fill="FFFFFF"/>
        </w:rPr>
        <w:t>be taken into consideration in a more integrated approach to risk analysis, appraisal, and management. By tackling ESG risks in a comprehensive and coordinated way, policymakers may promote robust, sustainable healthcare and financial systems that have a greater capacity to manage risk in the future.</w:t>
      </w:r>
    </w:p>
    <w:p w14:paraId="3BB2DBE5" w14:textId="77777777" w:rsidR="00553BD2" w:rsidRPr="003A49C8" w:rsidRDefault="007B1003" w:rsidP="00553BD2">
      <w:pPr>
        <w:ind w:firstLine="397"/>
        <w:rPr>
          <w:rFonts w:cs="Times New Roman"/>
          <w:shd w:val="clear" w:color="auto" w:fill="FFFFFF"/>
        </w:rPr>
      </w:pPr>
      <w:r w:rsidRPr="003A49C8">
        <w:rPr>
          <w:rFonts w:cs="Times New Roman"/>
          <w:shd w:val="clear" w:color="auto" w:fill="FFFFFF"/>
        </w:rPr>
        <w:lastRenderedPageBreak/>
        <w:t xml:space="preserve">Our results also have several significant implications for practitioners in ESG, healthcare, and finance sectors. </w:t>
      </w:r>
      <w:r w:rsidR="000F03E8" w:rsidRPr="003A49C8">
        <w:rPr>
          <w:rFonts w:cs="Times New Roman"/>
          <w:shd w:val="clear" w:color="auto" w:fill="FFFFFF"/>
        </w:rPr>
        <w:t>First, by recognising possible risks and their potential implications, businesses and governments may take steps to manage risks and reduce the likelihood of adverse results. This may assist to protect stakeholders in addition to maintaining the financial and healthcare sectors' sustainability and resilience. Second, risk analysis in the financial and healthcare sectors may also lead to more openness. By identifying possible risks and their potential repercussions, businesses and governments may inform stakeholders, such as investors, employees, patients, and the general public, more extensively and openly. This could encourage more accountability and trust-building. Third, the outcomes may also be utilised to direct policy in the healthcare and financial sectors. By identifying potential sources of these risks, regulators may take steps to lower systemic risk as well as other risks, improving financial stability and resilience. As a consequence, financial crises and other negative outcomes could be less probable.</w:t>
      </w:r>
    </w:p>
    <w:p w14:paraId="55A99371" w14:textId="423EFEFA" w:rsidR="00460F87" w:rsidRPr="003A49C8" w:rsidRDefault="00A95A32" w:rsidP="006F38A4">
      <w:pPr>
        <w:ind w:firstLine="397"/>
        <w:rPr>
          <w:rFonts w:cs="Times New Roman"/>
          <w:szCs w:val="24"/>
        </w:rPr>
      </w:pPr>
      <w:r w:rsidRPr="003A49C8">
        <w:rPr>
          <w:rFonts w:cs="Times New Roman"/>
          <w:szCs w:val="24"/>
        </w:rPr>
        <w:t xml:space="preserve">In light of the importance of the Precautionary Principle </w:t>
      </w:r>
      <w:r w:rsidR="00CE76DB" w:rsidRPr="003A49C8">
        <w:rPr>
          <w:rFonts w:cs="Times New Roman"/>
          <w:szCs w:val="24"/>
        </w:rPr>
        <w:t xml:space="preserve">highlighted in Article 3 of the United Nations Framework Convention on Climate Change (UNFCCC, 1992) </w:t>
      </w:r>
      <w:r w:rsidRPr="003A49C8">
        <w:rPr>
          <w:rFonts w:cs="Times New Roman"/>
          <w:szCs w:val="24"/>
        </w:rPr>
        <w:t xml:space="preserve">and its wide interpretation in risk management, it is worth noting that the principle now seems to necessitate an emphasis on overweighting risk and frontloading responses. This approach is crucial to avoid irreversible effects and amplification problems. </w:t>
      </w:r>
      <w:r w:rsidR="00CE76DB" w:rsidRPr="003A49C8">
        <w:rPr>
          <w:rFonts w:cs="Times New Roman"/>
          <w:szCs w:val="24"/>
        </w:rPr>
        <w:t xml:space="preserve">These problems can include the exacerbation of climate change impacts, the escalation of environmental degradation, the intensification of social and economic inequalities, and the compounding of adverse effects on ecosystems and human well-being. More specifically, </w:t>
      </w:r>
      <w:r w:rsidRPr="003A49C8">
        <w:rPr>
          <w:rFonts w:cs="Times New Roman"/>
          <w:szCs w:val="24"/>
        </w:rPr>
        <w:t>Article 3 (3) of the UNFCCC</w:t>
      </w:r>
      <w:r w:rsidR="00CE76DB" w:rsidRPr="003A49C8">
        <w:rPr>
          <w:rFonts w:cs="Times New Roman"/>
          <w:szCs w:val="24"/>
        </w:rPr>
        <w:t xml:space="preserve"> (1992</w:t>
      </w:r>
      <w:r w:rsidRPr="003A49C8">
        <w:rPr>
          <w:rFonts w:cs="Times New Roman"/>
          <w:szCs w:val="24"/>
        </w:rPr>
        <w:t xml:space="preserve">) </w:t>
      </w:r>
      <w:r w:rsidR="00CE76DB" w:rsidRPr="003A49C8">
        <w:rPr>
          <w:rFonts w:cs="Times New Roman"/>
          <w:szCs w:val="24"/>
        </w:rPr>
        <w:t xml:space="preserve">emphasises the critical role of precautionary measures in addressing climate change and minimizing its adverse effects. It emphasizes that the lack of complete scientific certainty should not serve as a justification for postponing necessary actions when there are threats of serious or irreversible damage. By embracing a precautionary approach, we can effectively reduce the potential amplification of these problems and strive towards sustainable and resilient </w:t>
      </w:r>
      <w:r w:rsidR="00E6006C" w:rsidRPr="003A49C8">
        <w:rPr>
          <w:rFonts w:cs="Times New Roman"/>
          <w:szCs w:val="24"/>
        </w:rPr>
        <w:t>solutions.</w:t>
      </w:r>
      <w:r w:rsidR="00E6006C" w:rsidRPr="003A49C8">
        <w:rPr>
          <w:rFonts w:cs="Times New Roman"/>
          <w:shd w:val="clear" w:color="auto" w:fill="FFFFFF"/>
        </w:rPr>
        <w:t xml:space="preserve"> Overall</w:t>
      </w:r>
      <w:r w:rsidR="000F03E8" w:rsidRPr="003A49C8">
        <w:rPr>
          <w:rFonts w:cs="Times New Roman"/>
          <w:shd w:val="clear" w:color="auto" w:fill="FFFFFF"/>
        </w:rPr>
        <w:t xml:space="preserve">, the healthcare, </w:t>
      </w:r>
      <w:r w:rsidR="00E6006C" w:rsidRPr="003A49C8">
        <w:rPr>
          <w:rFonts w:cs="Times New Roman"/>
          <w:shd w:val="clear" w:color="auto" w:fill="FFFFFF"/>
        </w:rPr>
        <w:t xml:space="preserve">financial, </w:t>
      </w:r>
      <w:r w:rsidR="000F03E8" w:rsidRPr="003A49C8">
        <w:rPr>
          <w:rFonts w:cs="Times New Roman"/>
          <w:shd w:val="clear" w:color="auto" w:fill="FFFFFF"/>
        </w:rPr>
        <w:t xml:space="preserve">and ESG sectors are strongly influenced in terms of risk management, transparency, decision-making, and regulation. By implementing a thorough and integrated risk analysis approach, businesses and policymakers can help ensure the sustainability and resilience of these important sectors, protect </w:t>
      </w:r>
      <w:r w:rsidR="00841BD7" w:rsidRPr="003A49C8">
        <w:rPr>
          <w:rFonts w:cs="Times New Roman"/>
          <w:shd w:val="clear" w:color="auto" w:fill="FFFFFF"/>
        </w:rPr>
        <w:t xml:space="preserve">the </w:t>
      </w:r>
      <w:r w:rsidR="000F03E8" w:rsidRPr="003A49C8">
        <w:rPr>
          <w:rFonts w:cs="Times New Roman"/>
          <w:shd w:val="clear" w:color="auto" w:fill="FFFFFF"/>
        </w:rPr>
        <w:t>stakeholders, and promote more sustainable and resilient results.</w:t>
      </w:r>
      <w:r w:rsidR="00460F87" w:rsidRPr="003A49C8">
        <w:rPr>
          <w:rFonts w:cs="Times New Roman"/>
          <w:szCs w:val="24"/>
        </w:rPr>
        <w:br w:type="page"/>
      </w:r>
    </w:p>
    <w:p w14:paraId="65932342" w14:textId="77777777" w:rsidR="00623D1F" w:rsidRPr="007C0879" w:rsidRDefault="00623D1F" w:rsidP="00623D1F">
      <w:pPr>
        <w:pStyle w:val="Heading1"/>
        <w:spacing w:after="0"/>
        <w:rPr>
          <w:rFonts w:cs="Times New Roman"/>
          <w:szCs w:val="24"/>
        </w:rPr>
      </w:pPr>
      <w:bookmarkStart w:id="15" w:name="_Hlk130150787"/>
      <w:r w:rsidRPr="007C0879">
        <w:rPr>
          <w:rFonts w:cs="Times New Roman"/>
          <w:szCs w:val="24"/>
        </w:rPr>
        <w:lastRenderedPageBreak/>
        <w:t>References</w:t>
      </w:r>
    </w:p>
    <w:p w14:paraId="58BC7DBB" w14:textId="77777777" w:rsidR="00623D1F" w:rsidRPr="007C0879" w:rsidRDefault="00623D1F" w:rsidP="00623D1F">
      <w:pPr>
        <w:spacing w:line="240" w:lineRule="auto"/>
        <w:rPr>
          <w:rFonts w:cs="Times New Roman"/>
          <w:szCs w:val="24"/>
          <w:shd w:val="clear" w:color="auto" w:fill="FFFFFF"/>
        </w:rPr>
      </w:pPr>
      <w:r w:rsidRPr="007C0879">
        <w:rPr>
          <w:rFonts w:cs="Times New Roman"/>
          <w:szCs w:val="24"/>
          <w:shd w:val="clear" w:color="auto" w:fill="FFFFFF"/>
        </w:rPr>
        <w:t xml:space="preserve">Adrian, T., &amp; </w:t>
      </w:r>
      <w:proofErr w:type="spellStart"/>
      <w:r w:rsidRPr="007C0879">
        <w:rPr>
          <w:rFonts w:cs="Times New Roman"/>
          <w:szCs w:val="24"/>
          <w:shd w:val="clear" w:color="auto" w:fill="FFFFFF"/>
        </w:rPr>
        <w:t>Brunnermeier</w:t>
      </w:r>
      <w:proofErr w:type="spellEnd"/>
      <w:r w:rsidRPr="007C0879">
        <w:rPr>
          <w:rFonts w:cs="Times New Roman"/>
          <w:szCs w:val="24"/>
          <w:shd w:val="clear" w:color="auto" w:fill="FFFFFF"/>
        </w:rPr>
        <w:t xml:space="preserve">, M.K. (2016). CoVaR. </w:t>
      </w:r>
      <w:r w:rsidRPr="007C0879">
        <w:rPr>
          <w:rFonts w:cs="Times New Roman"/>
          <w:i/>
          <w:iCs/>
          <w:szCs w:val="24"/>
          <w:shd w:val="clear" w:color="auto" w:fill="FFFFFF"/>
        </w:rPr>
        <w:t>American Economic Review</w:t>
      </w:r>
      <w:r w:rsidRPr="007C0879">
        <w:rPr>
          <w:rFonts w:cs="Times New Roman"/>
          <w:szCs w:val="24"/>
          <w:shd w:val="clear" w:color="auto" w:fill="FFFFFF"/>
        </w:rPr>
        <w:t>, 106(7), 1705-1741.</w:t>
      </w:r>
    </w:p>
    <w:p w14:paraId="52305835" w14:textId="77777777" w:rsidR="00623D1F" w:rsidRPr="007C0879" w:rsidRDefault="00623D1F" w:rsidP="00623D1F">
      <w:pPr>
        <w:spacing w:line="240" w:lineRule="auto"/>
        <w:rPr>
          <w:rFonts w:cs="Times New Roman"/>
          <w:szCs w:val="24"/>
          <w:shd w:val="clear" w:color="auto" w:fill="FFFFFF"/>
        </w:rPr>
      </w:pPr>
      <w:r w:rsidRPr="007C0879">
        <w:rPr>
          <w:rFonts w:cs="Times New Roman"/>
          <w:szCs w:val="24"/>
          <w:shd w:val="clear" w:color="auto" w:fill="FFFFFF"/>
        </w:rPr>
        <w:t>Albarrak, M.S., Elnahass, M., &amp; Salama, A. (2019). The effect of carbon dissemination on cost of equity. </w:t>
      </w:r>
      <w:r w:rsidRPr="007C0879">
        <w:rPr>
          <w:rFonts w:cs="Times New Roman"/>
          <w:i/>
          <w:iCs/>
          <w:szCs w:val="24"/>
          <w:shd w:val="clear" w:color="auto" w:fill="FFFFFF"/>
        </w:rPr>
        <w:t>Business Strategy and the Environment</w:t>
      </w:r>
      <w:r w:rsidRPr="007C0879">
        <w:rPr>
          <w:rFonts w:cs="Times New Roman"/>
          <w:szCs w:val="24"/>
          <w:shd w:val="clear" w:color="auto" w:fill="FFFFFF"/>
        </w:rPr>
        <w:t>, </w:t>
      </w:r>
      <w:r w:rsidRPr="007C0879">
        <w:rPr>
          <w:rFonts w:cs="Times New Roman"/>
          <w:i/>
          <w:iCs/>
          <w:szCs w:val="24"/>
          <w:shd w:val="clear" w:color="auto" w:fill="FFFFFF"/>
        </w:rPr>
        <w:t>28</w:t>
      </w:r>
      <w:r w:rsidRPr="007C0879">
        <w:rPr>
          <w:rFonts w:cs="Times New Roman"/>
          <w:szCs w:val="24"/>
          <w:shd w:val="clear" w:color="auto" w:fill="FFFFFF"/>
        </w:rPr>
        <w:t>(6), 1179-1198.</w:t>
      </w:r>
    </w:p>
    <w:p w14:paraId="23B4CAF6" w14:textId="77777777" w:rsidR="00623D1F" w:rsidRPr="007C0879" w:rsidRDefault="00623D1F" w:rsidP="00623D1F">
      <w:pPr>
        <w:spacing w:line="240" w:lineRule="auto"/>
        <w:rPr>
          <w:rFonts w:cs="Times New Roman"/>
          <w:szCs w:val="24"/>
          <w:shd w:val="clear" w:color="auto" w:fill="FFFFFF"/>
        </w:rPr>
      </w:pPr>
      <w:r w:rsidRPr="00D643B0">
        <w:rPr>
          <w:rFonts w:cs="Times New Roman"/>
          <w:szCs w:val="24"/>
          <w:shd w:val="clear" w:color="auto" w:fill="FFFFFF"/>
        </w:rPr>
        <w:t>Allen, D.E.</w:t>
      </w:r>
      <w:r w:rsidRPr="007C0879">
        <w:rPr>
          <w:rFonts w:cs="Times New Roman"/>
          <w:szCs w:val="24"/>
          <w:shd w:val="clear" w:color="auto" w:fill="FFFFFF"/>
        </w:rPr>
        <w:t xml:space="preserve">, </w:t>
      </w:r>
      <w:r w:rsidRPr="00D643B0">
        <w:rPr>
          <w:rFonts w:cs="Times New Roman"/>
          <w:szCs w:val="24"/>
          <w:shd w:val="clear" w:color="auto" w:fill="FFFFFF"/>
        </w:rPr>
        <w:t>Singh, A.K.</w:t>
      </w:r>
      <w:r w:rsidRPr="007C0879">
        <w:rPr>
          <w:rFonts w:cs="Times New Roman"/>
          <w:szCs w:val="24"/>
          <w:shd w:val="clear" w:color="auto" w:fill="FFFFFF"/>
        </w:rPr>
        <w:t xml:space="preserve">, </w:t>
      </w:r>
      <w:r w:rsidRPr="00D643B0">
        <w:rPr>
          <w:rFonts w:cs="Times New Roman"/>
          <w:szCs w:val="24"/>
          <w:shd w:val="clear" w:color="auto" w:fill="FFFFFF"/>
        </w:rPr>
        <w:t>Powell</w:t>
      </w:r>
      <w:r w:rsidRPr="007C0879">
        <w:rPr>
          <w:rFonts w:cs="Times New Roman"/>
          <w:szCs w:val="24"/>
          <w:shd w:val="clear" w:color="auto" w:fill="FFFFFF"/>
        </w:rPr>
        <w:t xml:space="preserve">, </w:t>
      </w:r>
      <w:r w:rsidRPr="00D643B0">
        <w:rPr>
          <w:rFonts w:cs="Times New Roman"/>
          <w:szCs w:val="24"/>
          <w:shd w:val="clear" w:color="auto" w:fill="FFFFFF"/>
        </w:rPr>
        <w:t>R.J.</w:t>
      </w:r>
      <w:r w:rsidRPr="007C0879">
        <w:rPr>
          <w:rFonts w:cs="Times New Roman"/>
          <w:szCs w:val="24"/>
          <w:shd w:val="clear" w:color="auto" w:fill="FFFFFF"/>
        </w:rPr>
        <w:t xml:space="preserve">, (2013). </w:t>
      </w:r>
      <w:r w:rsidRPr="00D643B0">
        <w:rPr>
          <w:rFonts w:cs="Times New Roman"/>
          <w:szCs w:val="24"/>
          <w:shd w:val="clear" w:color="auto" w:fill="FFFFFF"/>
        </w:rPr>
        <w:t>EVT and tail-risk modelling: evidence from market indices and volatility series</w:t>
      </w:r>
      <w:r w:rsidRPr="007C0879">
        <w:rPr>
          <w:rFonts w:cs="Times New Roman"/>
          <w:szCs w:val="24"/>
          <w:shd w:val="clear" w:color="auto" w:fill="FFFFFF"/>
        </w:rPr>
        <w:t xml:space="preserve">. </w:t>
      </w:r>
      <w:r w:rsidRPr="007C0879">
        <w:rPr>
          <w:rFonts w:cs="Times New Roman"/>
          <w:i/>
          <w:iCs/>
          <w:szCs w:val="24"/>
          <w:shd w:val="clear" w:color="auto" w:fill="FFFFFF"/>
        </w:rPr>
        <w:t>North American Journal of Economics and Finance</w:t>
      </w:r>
      <w:r w:rsidRPr="007C0879">
        <w:rPr>
          <w:rFonts w:cs="Times New Roman"/>
          <w:szCs w:val="24"/>
          <w:shd w:val="clear" w:color="auto" w:fill="FFFFFF"/>
        </w:rPr>
        <w:t xml:space="preserve">, </w:t>
      </w:r>
      <w:r w:rsidRPr="00D643B0">
        <w:rPr>
          <w:rFonts w:cs="Times New Roman"/>
          <w:szCs w:val="24"/>
          <w:shd w:val="clear" w:color="auto" w:fill="FFFFFF"/>
        </w:rPr>
        <w:t>26</w:t>
      </w:r>
      <w:r w:rsidRPr="007C0879">
        <w:rPr>
          <w:rFonts w:cs="Times New Roman"/>
          <w:szCs w:val="24"/>
          <w:shd w:val="clear" w:color="auto" w:fill="FFFFFF"/>
        </w:rPr>
        <w:t xml:space="preserve">, </w:t>
      </w:r>
      <w:r w:rsidRPr="00D643B0">
        <w:rPr>
          <w:rFonts w:cs="Times New Roman"/>
          <w:szCs w:val="24"/>
          <w:shd w:val="clear" w:color="auto" w:fill="FFFFFF"/>
        </w:rPr>
        <w:t>355-369</w:t>
      </w:r>
      <w:r w:rsidRPr="007C0879">
        <w:rPr>
          <w:rFonts w:cs="Times New Roman"/>
          <w:szCs w:val="24"/>
          <w:shd w:val="clear" w:color="auto" w:fill="FFFFFF"/>
        </w:rPr>
        <w:t>.</w:t>
      </w:r>
    </w:p>
    <w:p w14:paraId="69DB13CF" w14:textId="77777777" w:rsidR="00623D1F" w:rsidRPr="007C0879" w:rsidRDefault="00623D1F" w:rsidP="00623D1F">
      <w:pPr>
        <w:spacing w:line="240" w:lineRule="auto"/>
        <w:rPr>
          <w:rFonts w:cs="Times New Roman"/>
          <w:szCs w:val="24"/>
          <w:shd w:val="clear" w:color="auto" w:fill="FFFFFF"/>
        </w:rPr>
      </w:pPr>
      <w:proofErr w:type="spellStart"/>
      <w:r w:rsidRPr="007C0879">
        <w:rPr>
          <w:rFonts w:cs="Times New Roman"/>
          <w:szCs w:val="24"/>
          <w:shd w:val="clear" w:color="auto" w:fill="FFFFFF"/>
        </w:rPr>
        <w:t>Asefi-Najafabady</w:t>
      </w:r>
      <w:proofErr w:type="spellEnd"/>
      <w:r w:rsidRPr="007C0879">
        <w:rPr>
          <w:rFonts w:cs="Times New Roman"/>
          <w:szCs w:val="24"/>
          <w:shd w:val="clear" w:color="auto" w:fill="FFFFFF"/>
        </w:rPr>
        <w:t xml:space="preserve">, S., Villegas-Ortiz, L. &amp; Morgan, J. (2021). The failure of Integrated Assessment Models as a response to ‘climate emergency’ and ecological breakdown: the Emperor has no clothes. </w:t>
      </w:r>
      <w:r w:rsidRPr="007C0879">
        <w:rPr>
          <w:rFonts w:cs="Times New Roman"/>
          <w:i/>
          <w:iCs/>
          <w:szCs w:val="24"/>
          <w:shd w:val="clear" w:color="auto" w:fill="FFFFFF"/>
        </w:rPr>
        <w:t>Globalizations,</w:t>
      </w:r>
      <w:r w:rsidRPr="007C0879">
        <w:rPr>
          <w:rFonts w:cs="Times New Roman"/>
          <w:szCs w:val="24"/>
          <w:shd w:val="clear" w:color="auto" w:fill="FFFFFF"/>
        </w:rPr>
        <w:t xml:space="preserve"> 18(7), 1178-1188.</w:t>
      </w:r>
    </w:p>
    <w:p w14:paraId="1493E13D" w14:textId="77777777" w:rsidR="00623D1F" w:rsidRPr="007C0879" w:rsidRDefault="00623D1F" w:rsidP="00623D1F">
      <w:pPr>
        <w:spacing w:line="240" w:lineRule="auto"/>
        <w:rPr>
          <w:rFonts w:cs="Times New Roman"/>
          <w:szCs w:val="24"/>
          <w:shd w:val="clear" w:color="auto" w:fill="FFFFFF"/>
        </w:rPr>
      </w:pPr>
      <w:proofErr w:type="spellStart"/>
      <w:r w:rsidRPr="007C0879">
        <w:rPr>
          <w:rFonts w:cs="Times New Roman"/>
          <w:szCs w:val="24"/>
          <w:shd w:val="clear" w:color="auto" w:fill="FFFFFF"/>
        </w:rPr>
        <w:t>Bătrâncea</w:t>
      </w:r>
      <w:proofErr w:type="spellEnd"/>
      <w:r w:rsidRPr="007C0879">
        <w:rPr>
          <w:rFonts w:cs="Times New Roman"/>
          <w:szCs w:val="24"/>
          <w:shd w:val="clear" w:color="auto" w:fill="FFFFFF"/>
        </w:rPr>
        <w:t xml:space="preserve">, L. &amp; </w:t>
      </w:r>
      <w:proofErr w:type="spellStart"/>
      <w:r w:rsidRPr="007C0879">
        <w:rPr>
          <w:rFonts w:cs="Times New Roman"/>
          <w:szCs w:val="24"/>
          <w:shd w:val="clear" w:color="auto" w:fill="FFFFFF"/>
        </w:rPr>
        <w:t>Nichita</w:t>
      </w:r>
      <w:proofErr w:type="spellEnd"/>
      <w:r w:rsidRPr="007C0879">
        <w:rPr>
          <w:rFonts w:cs="Times New Roman"/>
          <w:szCs w:val="24"/>
          <w:shd w:val="clear" w:color="auto" w:fill="FFFFFF"/>
        </w:rPr>
        <w:t>, A. (2015). Which is the best government? Colligating tax compliance and citizens’ insights regarding authorities’ actions. </w:t>
      </w:r>
      <w:r w:rsidRPr="007C0879">
        <w:rPr>
          <w:rFonts w:cs="Times New Roman"/>
          <w:i/>
          <w:iCs/>
          <w:szCs w:val="24"/>
          <w:shd w:val="clear" w:color="auto" w:fill="FFFFFF"/>
        </w:rPr>
        <w:t>Transylvanian Review of Administrative Sciences</w:t>
      </w:r>
      <w:r w:rsidRPr="007C0879">
        <w:rPr>
          <w:rFonts w:cs="Times New Roman"/>
          <w:szCs w:val="24"/>
          <w:shd w:val="clear" w:color="auto" w:fill="FFFFFF"/>
        </w:rPr>
        <w:t>, </w:t>
      </w:r>
      <w:r w:rsidRPr="007C0879">
        <w:rPr>
          <w:rFonts w:cs="Times New Roman"/>
          <w:i/>
          <w:iCs/>
          <w:szCs w:val="24"/>
          <w:shd w:val="clear" w:color="auto" w:fill="FFFFFF"/>
        </w:rPr>
        <w:t>11</w:t>
      </w:r>
      <w:r w:rsidRPr="007C0879">
        <w:rPr>
          <w:rFonts w:cs="Times New Roman"/>
          <w:szCs w:val="24"/>
          <w:shd w:val="clear" w:color="auto" w:fill="FFFFFF"/>
        </w:rPr>
        <w:t>(44), 5-22.</w:t>
      </w:r>
    </w:p>
    <w:p w14:paraId="0834B05D" w14:textId="77777777" w:rsidR="00623D1F" w:rsidRPr="007C0879" w:rsidRDefault="00623D1F" w:rsidP="00623D1F">
      <w:pPr>
        <w:spacing w:line="240" w:lineRule="auto"/>
        <w:rPr>
          <w:rFonts w:cs="Times New Roman"/>
          <w:szCs w:val="24"/>
          <w:shd w:val="clear" w:color="auto" w:fill="FFFFFF"/>
        </w:rPr>
      </w:pPr>
      <w:r w:rsidRPr="007C0879">
        <w:rPr>
          <w:rFonts w:cs="Times New Roman"/>
          <w:szCs w:val="24"/>
          <w:shd w:val="clear" w:color="auto" w:fill="FFFFFF"/>
        </w:rPr>
        <w:t xml:space="preserve">Barber, S.L., </w:t>
      </w:r>
      <w:proofErr w:type="spellStart"/>
      <w:r w:rsidRPr="007C0879">
        <w:rPr>
          <w:rFonts w:cs="Times New Roman"/>
          <w:szCs w:val="24"/>
          <w:shd w:val="clear" w:color="auto" w:fill="FFFFFF"/>
        </w:rPr>
        <w:t>Lorenzoni</w:t>
      </w:r>
      <w:proofErr w:type="spellEnd"/>
      <w:r w:rsidRPr="007C0879">
        <w:rPr>
          <w:rFonts w:cs="Times New Roman"/>
          <w:szCs w:val="24"/>
          <w:shd w:val="clear" w:color="auto" w:fill="FFFFFF"/>
        </w:rPr>
        <w:t>, L., &amp; Ong, P. (2019). </w:t>
      </w:r>
      <w:r w:rsidRPr="007C0879">
        <w:rPr>
          <w:rFonts w:cs="Times New Roman"/>
          <w:i/>
          <w:iCs/>
          <w:szCs w:val="24"/>
          <w:shd w:val="clear" w:color="auto" w:fill="FFFFFF"/>
        </w:rPr>
        <w:t>Price setting and price regulation in health care: lessons for advancing Universal Health Coverage</w:t>
      </w:r>
      <w:r w:rsidRPr="007C0879">
        <w:rPr>
          <w:rFonts w:cs="Times New Roman"/>
          <w:szCs w:val="24"/>
          <w:shd w:val="clear" w:color="auto" w:fill="FFFFFF"/>
        </w:rPr>
        <w:t> (No. WHO/WKC-OECD/K18014). World Health Organization.</w:t>
      </w:r>
    </w:p>
    <w:p w14:paraId="685E9309" w14:textId="77777777" w:rsidR="00623D1F" w:rsidRPr="007C0879" w:rsidRDefault="00623D1F" w:rsidP="00623D1F">
      <w:pPr>
        <w:spacing w:line="240" w:lineRule="auto"/>
        <w:rPr>
          <w:rFonts w:cs="Times New Roman"/>
          <w:szCs w:val="24"/>
          <w:shd w:val="clear" w:color="auto" w:fill="FFFFFF"/>
        </w:rPr>
      </w:pPr>
      <w:proofErr w:type="spellStart"/>
      <w:r w:rsidRPr="007C0879">
        <w:rPr>
          <w:rFonts w:cs="Times New Roman"/>
          <w:szCs w:val="24"/>
          <w:shd w:val="clear" w:color="auto" w:fill="FFFFFF"/>
        </w:rPr>
        <w:t>Battiston</w:t>
      </w:r>
      <w:proofErr w:type="spellEnd"/>
      <w:r w:rsidRPr="007C0879">
        <w:rPr>
          <w:rFonts w:cs="Times New Roman"/>
          <w:szCs w:val="24"/>
          <w:shd w:val="clear" w:color="auto" w:fill="FFFFFF"/>
        </w:rPr>
        <w:t xml:space="preserve">, S., Mandel, A., </w:t>
      </w:r>
      <w:proofErr w:type="spellStart"/>
      <w:r w:rsidRPr="007C0879">
        <w:rPr>
          <w:rFonts w:cs="Times New Roman"/>
          <w:szCs w:val="24"/>
          <w:shd w:val="clear" w:color="auto" w:fill="FFFFFF"/>
        </w:rPr>
        <w:t>Monasterolo</w:t>
      </w:r>
      <w:proofErr w:type="spellEnd"/>
      <w:r w:rsidRPr="007C0879">
        <w:rPr>
          <w:rFonts w:cs="Times New Roman"/>
          <w:szCs w:val="24"/>
          <w:shd w:val="clear" w:color="auto" w:fill="FFFFFF"/>
        </w:rPr>
        <w:t xml:space="preserve">, I., </w:t>
      </w:r>
      <w:proofErr w:type="spellStart"/>
      <w:r w:rsidRPr="007C0879">
        <w:rPr>
          <w:rFonts w:cs="Times New Roman"/>
          <w:szCs w:val="24"/>
          <w:shd w:val="clear" w:color="auto" w:fill="FFFFFF"/>
        </w:rPr>
        <w:t>Schütze</w:t>
      </w:r>
      <w:proofErr w:type="spellEnd"/>
      <w:r w:rsidRPr="007C0879">
        <w:rPr>
          <w:rFonts w:cs="Times New Roman"/>
          <w:szCs w:val="24"/>
          <w:shd w:val="clear" w:color="auto" w:fill="FFFFFF"/>
        </w:rPr>
        <w:t xml:space="preserve">, F., &amp; </w:t>
      </w:r>
      <w:proofErr w:type="spellStart"/>
      <w:r w:rsidRPr="007C0879">
        <w:rPr>
          <w:rFonts w:cs="Times New Roman"/>
          <w:szCs w:val="24"/>
          <w:shd w:val="clear" w:color="auto" w:fill="FFFFFF"/>
        </w:rPr>
        <w:t>Visentin</w:t>
      </w:r>
      <w:proofErr w:type="spellEnd"/>
      <w:r w:rsidRPr="007C0879">
        <w:rPr>
          <w:rFonts w:cs="Times New Roman"/>
          <w:szCs w:val="24"/>
          <w:shd w:val="clear" w:color="auto" w:fill="FFFFFF"/>
        </w:rPr>
        <w:t>, G. (2017). A climate stress-test of the financial system. </w:t>
      </w:r>
      <w:r w:rsidRPr="007C0879">
        <w:rPr>
          <w:rFonts w:cs="Times New Roman"/>
          <w:i/>
          <w:iCs/>
          <w:szCs w:val="24"/>
          <w:shd w:val="clear" w:color="auto" w:fill="FFFFFF"/>
        </w:rPr>
        <w:t>Nature Climate Change</w:t>
      </w:r>
      <w:r w:rsidRPr="007C0879">
        <w:rPr>
          <w:rFonts w:cs="Times New Roman"/>
          <w:szCs w:val="24"/>
          <w:shd w:val="clear" w:color="auto" w:fill="FFFFFF"/>
        </w:rPr>
        <w:t>, </w:t>
      </w:r>
      <w:r w:rsidRPr="007C0879">
        <w:rPr>
          <w:rFonts w:cs="Times New Roman"/>
          <w:i/>
          <w:iCs/>
          <w:szCs w:val="24"/>
          <w:shd w:val="clear" w:color="auto" w:fill="FFFFFF"/>
        </w:rPr>
        <w:t>7</w:t>
      </w:r>
      <w:r w:rsidRPr="007C0879">
        <w:rPr>
          <w:rFonts w:cs="Times New Roman"/>
          <w:szCs w:val="24"/>
          <w:shd w:val="clear" w:color="auto" w:fill="FFFFFF"/>
        </w:rPr>
        <w:t>(4), 283-288.</w:t>
      </w:r>
    </w:p>
    <w:p w14:paraId="0F3BA367" w14:textId="77777777" w:rsidR="00623D1F" w:rsidRPr="007C0879" w:rsidRDefault="00623D1F" w:rsidP="00623D1F">
      <w:pPr>
        <w:widowControl w:val="0"/>
        <w:autoSpaceDE w:val="0"/>
        <w:autoSpaceDN w:val="0"/>
        <w:adjustRightInd w:val="0"/>
        <w:spacing w:line="240" w:lineRule="auto"/>
        <w:rPr>
          <w:rFonts w:cs="Times New Roman"/>
          <w:szCs w:val="24"/>
          <w:lang w:val="en-US"/>
        </w:rPr>
      </w:pPr>
      <w:proofErr w:type="spellStart"/>
      <w:r w:rsidRPr="007C0879">
        <w:rPr>
          <w:rFonts w:cs="Times New Roman"/>
          <w:szCs w:val="24"/>
          <w:lang w:val="en-US"/>
        </w:rPr>
        <w:t>Battiston</w:t>
      </w:r>
      <w:proofErr w:type="spellEnd"/>
      <w:r w:rsidRPr="007C0879">
        <w:rPr>
          <w:rFonts w:cs="Times New Roman"/>
          <w:szCs w:val="24"/>
          <w:lang w:val="en-US"/>
        </w:rPr>
        <w:t xml:space="preserve">, S., &amp; Martinez-Jaramillo, S. (2018). Financial networks and stress testing: Challenges and new research avenues for systemic risk analysis and financial stability implications. </w:t>
      </w:r>
      <w:r w:rsidRPr="007C0879">
        <w:rPr>
          <w:rFonts w:cs="Times New Roman"/>
          <w:i/>
          <w:iCs/>
          <w:szCs w:val="24"/>
          <w:lang w:val="en-US"/>
        </w:rPr>
        <w:t>Journal of Financial Stability</w:t>
      </w:r>
      <w:r w:rsidRPr="007C0879">
        <w:rPr>
          <w:rFonts w:cs="Times New Roman"/>
          <w:szCs w:val="24"/>
          <w:lang w:val="en-US"/>
        </w:rPr>
        <w:t xml:space="preserve">, 35, 6–16. </w:t>
      </w:r>
    </w:p>
    <w:p w14:paraId="7DF865CE" w14:textId="77777777" w:rsidR="00623D1F" w:rsidRPr="007C0879" w:rsidRDefault="00623D1F" w:rsidP="00623D1F">
      <w:pPr>
        <w:spacing w:line="240" w:lineRule="auto"/>
        <w:rPr>
          <w:rFonts w:cs="Times New Roman"/>
          <w:szCs w:val="24"/>
          <w:shd w:val="clear" w:color="auto" w:fill="FFFFFF"/>
        </w:rPr>
      </w:pPr>
      <w:r w:rsidRPr="007C0879">
        <w:rPr>
          <w:rFonts w:cs="Times New Roman"/>
          <w:szCs w:val="24"/>
          <w:shd w:val="clear" w:color="auto" w:fill="FFFFFF"/>
        </w:rPr>
        <w:t xml:space="preserve">Brownlees, C., &amp; Engle, R.F. (2017). SRISK: A conditional capital shortfall measure of systemic risk. </w:t>
      </w:r>
      <w:r w:rsidRPr="007C0879">
        <w:rPr>
          <w:rFonts w:cs="Times New Roman"/>
          <w:i/>
          <w:iCs/>
          <w:szCs w:val="24"/>
          <w:shd w:val="clear" w:color="auto" w:fill="FFFFFF"/>
        </w:rPr>
        <w:t>Review of Financial Studies</w:t>
      </w:r>
      <w:r w:rsidRPr="007C0879">
        <w:rPr>
          <w:rFonts w:cs="Times New Roman"/>
          <w:szCs w:val="24"/>
          <w:shd w:val="clear" w:color="auto" w:fill="FFFFFF"/>
        </w:rPr>
        <w:t>, 30(1), 48-79.</w:t>
      </w:r>
    </w:p>
    <w:p w14:paraId="3D66834D" w14:textId="77777777" w:rsidR="00623D1F" w:rsidRPr="007C0879" w:rsidRDefault="00623D1F" w:rsidP="00623D1F">
      <w:pPr>
        <w:spacing w:line="240" w:lineRule="auto"/>
        <w:rPr>
          <w:rFonts w:cs="Times New Roman"/>
          <w:szCs w:val="24"/>
          <w:shd w:val="clear" w:color="auto" w:fill="FFFFFF"/>
        </w:rPr>
      </w:pPr>
      <w:r w:rsidRPr="007C0879">
        <w:rPr>
          <w:rFonts w:cs="Times New Roman"/>
          <w:szCs w:val="24"/>
          <w:shd w:val="clear" w:color="auto" w:fill="FFFFFF"/>
        </w:rPr>
        <w:t xml:space="preserve">Bui, A., Johnson, F., &amp; </w:t>
      </w:r>
      <w:proofErr w:type="spellStart"/>
      <w:r w:rsidRPr="007C0879">
        <w:rPr>
          <w:rFonts w:cs="Times New Roman"/>
          <w:szCs w:val="24"/>
          <w:shd w:val="clear" w:color="auto" w:fill="FFFFFF"/>
        </w:rPr>
        <w:t>Wasko</w:t>
      </w:r>
      <w:proofErr w:type="spellEnd"/>
      <w:r w:rsidRPr="007C0879">
        <w:rPr>
          <w:rFonts w:cs="Times New Roman"/>
          <w:szCs w:val="24"/>
          <w:shd w:val="clear" w:color="auto" w:fill="FFFFFF"/>
        </w:rPr>
        <w:t>, C. (2019). The relationship of atmospheric air temperature and dew point temperature to extreme rainfall. </w:t>
      </w:r>
      <w:r w:rsidRPr="007C0879">
        <w:rPr>
          <w:rFonts w:cs="Times New Roman"/>
          <w:i/>
          <w:iCs/>
          <w:szCs w:val="24"/>
          <w:shd w:val="clear" w:color="auto" w:fill="FFFFFF"/>
        </w:rPr>
        <w:t>Environmental Research Letters</w:t>
      </w:r>
      <w:r w:rsidRPr="007C0879">
        <w:rPr>
          <w:rFonts w:cs="Times New Roman"/>
          <w:szCs w:val="24"/>
          <w:shd w:val="clear" w:color="auto" w:fill="FFFFFF"/>
        </w:rPr>
        <w:t>, </w:t>
      </w:r>
      <w:r w:rsidRPr="007C0879">
        <w:rPr>
          <w:rFonts w:cs="Times New Roman"/>
          <w:i/>
          <w:iCs/>
          <w:szCs w:val="24"/>
          <w:shd w:val="clear" w:color="auto" w:fill="FFFFFF"/>
        </w:rPr>
        <w:t>14</w:t>
      </w:r>
      <w:r w:rsidRPr="007C0879">
        <w:rPr>
          <w:rFonts w:cs="Times New Roman"/>
          <w:szCs w:val="24"/>
          <w:shd w:val="clear" w:color="auto" w:fill="FFFFFF"/>
        </w:rPr>
        <w:t>(7), p.074025.</w:t>
      </w:r>
    </w:p>
    <w:p w14:paraId="20C7F75E" w14:textId="77777777" w:rsidR="00623D1F" w:rsidRPr="007C0879" w:rsidRDefault="00623D1F" w:rsidP="00623D1F">
      <w:pPr>
        <w:spacing w:line="240" w:lineRule="auto"/>
        <w:rPr>
          <w:rFonts w:cs="Times New Roman"/>
          <w:szCs w:val="24"/>
        </w:rPr>
      </w:pPr>
      <w:r w:rsidRPr="007C0879">
        <w:rPr>
          <w:rFonts w:cs="Times New Roman"/>
          <w:szCs w:val="24"/>
        </w:rPr>
        <w:t xml:space="preserve">Carbon Disclosure Project. (2019). World's biggest companies face $1 trillion in climate change risks. </w:t>
      </w:r>
      <w:proofErr w:type="spellStart"/>
      <w:r w:rsidRPr="007C0879">
        <w:rPr>
          <w:rFonts w:cs="Times New Roman"/>
          <w:szCs w:val="24"/>
          <w:lang w:val="fr-FR"/>
        </w:rPr>
        <w:t>Available</w:t>
      </w:r>
      <w:proofErr w:type="spellEnd"/>
      <w:r w:rsidRPr="007C0879">
        <w:rPr>
          <w:rFonts w:cs="Times New Roman"/>
          <w:szCs w:val="24"/>
          <w:lang w:val="fr-FR"/>
        </w:rPr>
        <w:t xml:space="preserve"> at: </w:t>
      </w:r>
      <w:hyperlink r:id="rId22" w:history="1">
        <w:r w:rsidRPr="007C0879">
          <w:rPr>
            <w:rFonts w:cs="Times New Roman"/>
            <w:szCs w:val="24"/>
            <w:lang w:val="fr-FR"/>
          </w:rPr>
          <w:t>https://www.cdp.net/en/articles/media/worlds-biggest-companies-face-1-trillion-in-climate-change-risks</w:t>
        </w:r>
      </w:hyperlink>
      <w:r w:rsidRPr="007C0879">
        <w:rPr>
          <w:rFonts w:cs="Times New Roman"/>
          <w:szCs w:val="24"/>
          <w:lang w:val="fr-FR"/>
        </w:rPr>
        <w:t xml:space="preserve">. </w:t>
      </w:r>
      <w:r w:rsidRPr="007C0879">
        <w:rPr>
          <w:rFonts w:cs="Times New Roman"/>
          <w:szCs w:val="24"/>
        </w:rPr>
        <w:t>Accessed December 16, 2022.</w:t>
      </w:r>
    </w:p>
    <w:p w14:paraId="3269952F" w14:textId="77777777" w:rsidR="00623D1F" w:rsidRPr="007C0879" w:rsidRDefault="00623D1F" w:rsidP="00623D1F">
      <w:pPr>
        <w:pStyle w:val="Heading1"/>
        <w:shd w:val="clear" w:color="auto" w:fill="FFFFFF"/>
        <w:spacing w:line="240" w:lineRule="auto"/>
        <w:rPr>
          <w:rFonts w:eastAsiaTheme="minorHAnsi" w:cs="Times New Roman"/>
          <w:b w:val="0"/>
          <w:szCs w:val="24"/>
          <w:lang w:val="en-US" w:eastAsia="en-US"/>
        </w:rPr>
      </w:pPr>
      <w:r w:rsidRPr="007C0879">
        <w:rPr>
          <w:rFonts w:eastAsiaTheme="minorHAnsi" w:cs="Times New Roman"/>
          <w:b w:val="0"/>
          <w:szCs w:val="24"/>
          <w:lang w:val="en-US" w:eastAsia="en-US"/>
        </w:rPr>
        <w:t xml:space="preserve">Chan-Lau, J.A. (2010). Regulatory Capital Charges for Too-Connected-to-Fail Institutions: A Practical Proposal. </w:t>
      </w:r>
      <w:r w:rsidRPr="007C0879">
        <w:rPr>
          <w:rFonts w:eastAsiaTheme="minorHAnsi" w:cs="Times New Roman"/>
          <w:b w:val="0"/>
          <w:i/>
          <w:iCs/>
          <w:szCs w:val="24"/>
          <w:lang w:val="en-US" w:eastAsia="en-US"/>
        </w:rPr>
        <w:t>Financial Markets, Institutions and Instruments</w:t>
      </w:r>
      <w:r w:rsidRPr="007C0879">
        <w:rPr>
          <w:rFonts w:eastAsiaTheme="minorHAnsi" w:cs="Times New Roman"/>
          <w:b w:val="0"/>
          <w:szCs w:val="24"/>
          <w:lang w:val="en-US" w:eastAsia="en-US"/>
        </w:rPr>
        <w:t>, 355-380.</w:t>
      </w:r>
    </w:p>
    <w:p w14:paraId="178D0338" w14:textId="77777777" w:rsidR="00623D1F" w:rsidRPr="007C0879" w:rsidRDefault="00623D1F" w:rsidP="00623D1F">
      <w:pPr>
        <w:widowControl w:val="0"/>
        <w:autoSpaceDE w:val="0"/>
        <w:autoSpaceDN w:val="0"/>
        <w:adjustRightInd w:val="0"/>
        <w:spacing w:line="240" w:lineRule="auto"/>
        <w:rPr>
          <w:rFonts w:cs="Times New Roman"/>
          <w:szCs w:val="24"/>
          <w:lang w:val="en-US"/>
        </w:rPr>
      </w:pPr>
      <w:r w:rsidRPr="007C0879">
        <w:rPr>
          <w:rFonts w:cs="Times New Roman"/>
          <w:szCs w:val="24"/>
          <w:lang w:val="en-US"/>
        </w:rPr>
        <w:t xml:space="preserve">Chaudhry, S.M., Ahmed, R., Huynh, T.L.D., &amp; </w:t>
      </w:r>
      <w:proofErr w:type="spellStart"/>
      <w:r w:rsidRPr="007C0879">
        <w:rPr>
          <w:rFonts w:cs="Times New Roman"/>
          <w:szCs w:val="24"/>
          <w:lang w:val="en-US"/>
        </w:rPr>
        <w:t>Benjasak</w:t>
      </w:r>
      <w:proofErr w:type="spellEnd"/>
      <w:r w:rsidRPr="007C0879">
        <w:rPr>
          <w:rFonts w:cs="Times New Roman"/>
          <w:szCs w:val="24"/>
          <w:lang w:val="en-US"/>
        </w:rPr>
        <w:t xml:space="preserve">, C. (2022). Tail risk and systemic risk of finance and technology (FinTech) firms. </w:t>
      </w:r>
      <w:r w:rsidRPr="007C0879">
        <w:rPr>
          <w:rFonts w:cs="Times New Roman"/>
          <w:i/>
          <w:iCs/>
          <w:szCs w:val="24"/>
          <w:lang w:val="en-US"/>
        </w:rPr>
        <w:t>Technological Forecasting and Social Change</w:t>
      </w:r>
      <w:r w:rsidRPr="007C0879">
        <w:rPr>
          <w:rFonts w:cs="Times New Roman"/>
          <w:szCs w:val="24"/>
          <w:lang w:val="en-US"/>
        </w:rPr>
        <w:t xml:space="preserve">, 174,121191. </w:t>
      </w:r>
    </w:p>
    <w:p w14:paraId="17C13857" w14:textId="77777777" w:rsidR="00623D1F" w:rsidRPr="007C0879" w:rsidRDefault="00623D1F" w:rsidP="00623D1F">
      <w:pPr>
        <w:spacing w:line="240" w:lineRule="auto"/>
        <w:rPr>
          <w:rFonts w:cs="Times New Roman"/>
          <w:szCs w:val="24"/>
          <w:shd w:val="clear" w:color="auto" w:fill="FFFFFF"/>
        </w:rPr>
      </w:pPr>
      <w:r w:rsidRPr="007C0879">
        <w:rPr>
          <w:rFonts w:cs="Times New Roman"/>
          <w:szCs w:val="24"/>
          <w:shd w:val="clear" w:color="auto" w:fill="FFFFFF"/>
        </w:rPr>
        <w:t>Chen, H., Estes, J., &amp; Pratt, W. (2018). Investing in the healthcare sector: mutual funds or ETFs. </w:t>
      </w:r>
      <w:r w:rsidRPr="007C0879">
        <w:rPr>
          <w:rFonts w:cs="Times New Roman"/>
          <w:i/>
          <w:iCs/>
          <w:szCs w:val="24"/>
          <w:shd w:val="clear" w:color="auto" w:fill="FFFFFF"/>
        </w:rPr>
        <w:t>Managerial Finance</w:t>
      </w:r>
      <w:r w:rsidRPr="007C0879">
        <w:rPr>
          <w:rFonts w:cs="Times New Roman"/>
          <w:szCs w:val="24"/>
          <w:shd w:val="clear" w:color="auto" w:fill="FFFFFF"/>
        </w:rPr>
        <w:t>, 44,  495-508.</w:t>
      </w:r>
    </w:p>
    <w:p w14:paraId="6A9B0F89" w14:textId="77777777" w:rsidR="00623D1F" w:rsidRPr="007C0879" w:rsidRDefault="00623D1F" w:rsidP="00623D1F">
      <w:pPr>
        <w:spacing w:line="240" w:lineRule="auto"/>
        <w:rPr>
          <w:rFonts w:cs="Times New Roman"/>
          <w:szCs w:val="24"/>
          <w:shd w:val="clear" w:color="auto" w:fill="FFFFFF"/>
        </w:rPr>
      </w:pPr>
      <w:r w:rsidRPr="007C0879">
        <w:rPr>
          <w:rFonts w:cs="Times New Roman"/>
          <w:szCs w:val="24"/>
          <w:shd w:val="clear" w:color="auto" w:fill="FFFFFF"/>
        </w:rPr>
        <w:t xml:space="preserve">Chen, X., Chen, X., Xu, L., &amp; Wen, F. (2022). Attention to climate change and downside risk: Evidence from China. </w:t>
      </w:r>
      <w:r w:rsidRPr="007C0879">
        <w:rPr>
          <w:rFonts w:cs="Times New Roman"/>
          <w:i/>
          <w:iCs/>
          <w:szCs w:val="24"/>
          <w:shd w:val="clear" w:color="auto" w:fill="FFFFFF"/>
        </w:rPr>
        <w:t>Risk Analysis.</w:t>
      </w:r>
      <w:r w:rsidRPr="007C0879">
        <w:t xml:space="preserve"> </w:t>
      </w:r>
      <w:r w:rsidRPr="007C0879">
        <w:rPr>
          <w:rFonts w:cs="Times New Roman"/>
          <w:i/>
          <w:iCs/>
          <w:szCs w:val="24"/>
          <w:shd w:val="clear" w:color="auto" w:fill="FFFFFF"/>
        </w:rPr>
        <w:t xml:space="preserve">43, </w:t>
      </w:r>
      <w:r w:rsidRPr="007C0879">
        <w:rPr>
          <w:rFonts w:cs="Times New Roman"/>
          <w:szCs w:val="24"/>
          <w:shd w:val="clear" w:color="auto" w:fill="FFFFFF"/>
        </w:rPr>
        <w:t>1011– 1031</w:t>
      </w:r>
      <w:r w:rsidRPr="007C0879">
        <w:rPr>
          <w:rFonts w:cs="Times New Roman"/>
          <w:i/>
          <w:iCs/>
          <w:szCs w:val="24"/>
          <w:shd w:val="clear" w:color="auto" w:fill="FFFFFF"/>
        </w:rPr>
        <w:t>.</w:t>
      </w:r>
    </w:p>
    <w:p w14:paraId="59AFE1DF" w14:textId="77777777" w:rsidR="00623D1F" w:rsidRPr="007C0879" w:rsidRDefault="00623D1F" w:rsidP="00623D1F">
      <w:pPr>
        <w:spacing w:line="240" w:lineRule="auto"/>
        <w:rPr>
          <w:rFonts w:cs="Times New Roman"/>
          <w:szCs w:val="24"/>
          <w:shd w:val="clear" w:color="auto" w:fill="FFFFFF"/>
        </w:rPr>
      </w:pPr>
      <w:r w:rsidRPr="007C0879">
        <w:rPr>
          <w:rFonts w:cs="Times New Roman"/>
          <w:szCs w:val="24"/>
          <w:shd w:val="clear" w:color="auto" w:fill="FFFFFF"/>
        </w:rPr>
        <w:t xml:space="preserve">Christensen, H.B., Hail, L., &amp; </w:t>
      </w:r>
      <w:proofErr w:type="spellStart"/>
      <w:r w:rsidRPr="007C0879">
        <w:rPr>
          <w:rFonts w:cs="Times New Roman"/>
          <w:szCs w:val="24"/>
          <w:shd w:val="clear" w:color="auto" w:fill="FFFFFF"/>
        </w:rPr>
        <w:t>Leuz</w:t>
      </w:r>
      <w:proofErr w:type="spellEnd"/>
      <w:r w:rsidRPr="007C0879">
        <w:rPr>
          <w:rFonts w:cs="Times New Roman"/>
          <w:szCs w:val="24"/>
          <w:shd w:val="clear" w:color="auto" w:fill="FFFFFF"/>
        </w:rPr>
        <w:t>, C. (2019). </w:t>
      </w:r>
      <w:r w:rsidRPr="007C0879">
        <w:rPr>
          <w:rFonts w:cs="Times New Roman"/>
          <w:i/>
          <w:iCs/>
          <w:szCs w:val="24"/>
          <w:shd w:val="clear" w:color="auto" w:fill="FFFFFF"/>
        </w:rPr>
        <w:t>Adoption of CSR and sustainability reporting standards: Economic analysis and review</w:t>
      </w:r>
      <w:r w:rsidRPr="007C0879">
        <w:rPr>
          <w:rFonts w:cs="Times New Roman"/>
          <w:szCs w:val="24"/>
          <w:shd w:val="clear" w:color="auto" w:fill="FFFFFF"/>
        </w:rPr>
        <w:t> (Vol. 623,  1-121). Cambridge, MA, USA: National Bureau of Economic Research.</w:t>
      </w:r>
    </w:p>
    <w:p w14:paraId="4B78FF74" w14:textId="77777777" w:rsidR="00623D1F" w:rsidRPr="007C0879" w:rsidRDefault="00623D1F" w:rsidP="00623D1F">
      <w:pPr>
        <w:spacing w:line="240" w:lineRule="auto"/>
        <w:rPr>
          <w:rFonts w:cs="Times New Roman"/>
          <w:szCs w:val="24"/>
          <w:shd w:val="clear" w:color="auto" w:fill="FFFFFF"/>
        </w:rPr>
      </w:pPr>
      <w:r w:rsidRPr="007C0879">
        <w:rPr>
          <w:rFonts w:cs="Times New Roman"/>
          <w:szCs w:val="24"/>
          <w:shd w:val="clear" w:color="auto" w:fill="FFFFFF"/>
        </w:rPr>
        <w:lastRenderedPageBreak/>
        <w:t>Cleverley, W.O. (1978). Profitability analysis in the hospital industry. </w:t>
      </w:r>
      <w:r w:rsidRPr="007C0879">
        <w:rPr>
          <w:rFonts w:cs="Times New Roman"/>
          <w:i/>
          <w:iCs/>
          <w:szCs w:val="24"/>
          <w:shd w:val="clear" w:color="auto" w:fill="FFFFFF"/>
        </w:rPr>
        <w:t>Health Services Research</w:t>
      </w:r>
      <w:r w:rsidRPr="007C0879">
        <w:rPr>
          <w:rFonts w:cs="Times New Roman"/>
          <w:szCs w:val="24"/>
          <w:shd w:val="clear" w:color="auto" w:fill="FFFFFF"/>
        </w:rPr>
        <w:t>, </w:t>
      </w:r>
      <w:r w:rsidRPr="007C0879">
        <w:rPr>
          <w:rFonts w:cs="Times New Roman"/>
          <w:i/>
          <w:iCs/>
          <w:szCs w:val="24"/>
          <w:shd w:val="clear" w:color="auto" w:fill="FFFFFF"/>
        </w:rPr>
        <w:t>13</w:t>
      </w:r>
      <w:r w:rsidRPr="007C0879">
        <w:rPr>
          <w:rFonts w:cs="Times New Roman"/>
          <w:szCs w:val="24"/>
          <w:shd w:val="clear" w:color="auto" w:fill="FFFFFF"/>
        </w:rPr>
        <w:t>(1), 16-27.</w:t>
      </w:r>
    </w:p>
    <w:p w14:paraId="7BECDE01" w14:textId="77777777" w:rsidR="00623D1F" w:rsidRPr="007C0879" w:rsidRDefault="00623D1F" w:rsidP="00623D1F">
      <w:pPr>
        <w:spacing w:line="240" w:lineRule="auto"/>
        <w:rPr>
          <w:rFonts w:cs="Times New Roman"/>
          <w:szCs w:val="24"/>
          <w:shd w:val="clear" w:color="auto" w:fill="FFFFFF"/>
        </w:rPr>
      </w:pPr>
      <w:r w:rsidRPr="007C0879">
        <w:rPr>
          <w:rFonts w:cs="Times New Roman"/>
          <w:szCs w:val="24"/>
          <w:shd w:val="clear" w:color="auto" w:fill="FFFFFF"/>
        </w:rPr>
        <w:t xml:space="preserve">Cornell, B. (2021). ESG preferences, risk and return. </w:t>
      </w:r>
      <w:r w:rsidRPr="007C0879">
        <w:rPr>
          <w:rFonts w:cs="Times New Roman"/>
          <w:i/>
          <w:iCs/>
          <w:szCs w:val="24"/>
          <w:shd w:val="clear" w:color="auto" w:fill="FFFFFF"/>
        </w:rPr>
        <w:t>European Financial Management,</w:t>
      </w:r>
      <w:r w:rsidRPr="007C0879">
        <w:rPr>
          <w:rFonts w:cs="Times New Roman"/>
          <w:szCs w:val="24"/>
          <w:shd w:val="clear" w:color="auto" w:fill="FFFFFF"/>
        </w:rPr>
        <w:t xml:space="preserve"> 27(1), 12-19.</w:t>
      </w:r>
    </w:p>
    <w:p w14:paraId="490DB689" w14:textId="77777777" w:rsidR="00623D1F" w:rsidRPr="007C0879" w:rsidRDefault="00623D1F" w:rsidP="00623D1F">
      <w:pPr>
        <w:pStyle w:val="html-xx"/>
        <w:shd w:val="clear" w:color="auto" w:fill="FFFFFF"/>
        <w:spacing w:before="0" w:beforeAutospacing="0" w:after="160" w:afterAutospacing="0"/>
        <w:rPr>
          <w:shd w:val="clear" w:color="auto" w:fill="FFFFFF"/>
        </w:rPr>
      </w:pPr>
      <w:proofErr w:type="spellStart"/>
      <w:r w:rsidRPr="007C0879">
        <w:rPr>
          <w:shd w:val="clear" w:color="auto" w:fill="FFFFFF"/>
        </w:rPr>
        <w:t>Creixans</w:t>
      </w:r>
      <w:proofErr w:type="spellEnd"/>
      <w:r w:rsidRPr="007C0879">
        <w:rPr>
          <w:shd w:val="clear" w:color="auto" w:fill="FFFFFF"/>
        </w:rPr>
        <w:t xml:space="preserve"> </w:t>
      </w:r>
      <w:proofErr w:type="spellStart"/>
      <w:r w:rsidRPr="007C0879">
        <w:rPr>
          <w:shd w:val="clear" w:color="auto" w:fill="FFFFFF"/>
        </w:rPr>
        <w:t>Tenas</w:t>
      </w:r>
      <w:proofErr w:type="spellEnd"/>
      <w:r w:rsidRPr="007C0879">
        <w:rPr>
          <w:shd w:val="clear" w:color="auto" w:fill="FFFFFF"/>
        </w:rPr>
        <w:t xml:space="preserve">, J., &amp; </w:t>
      </w:r>
      <w:proofErr w:type="spellStart"/>
      <w:r w:rsidRPr="007C0879">
        <w:rPr>
          <w:shd w:val="clear" w:color="auto" w:fill="FFFFFF"/>
        </w:rPr>
        <w:t>Arimany-Serrat</w:t>
      </w:r>
      <w:proofErr w:type="spellEnd"/>
      <w:r w:rsidRPr="007C0879">
        <w:rPr>
          <w:shd w:val="clear" w:color="auto" w:fill="FFFFFF"/>
        </w:rPr>
        <w:t>, N. (2018). Influential variables on the profitability of hospital companies. </w:t>
      </w:r>
      <w:r w:rsidRPr="007C0879">
        <w:rPr>
          <w:i/>
          <w:iCs/>
          <w:shd w:val="clear" w:color="auto" w:fill="FFFFFF"/>
        </w:rPr>
        <w:t>Intangible Capital</w:t>
      </w:r>
      <w:r w:rsidRPr="007C0879">
        <w:rPr>
          <w:shd w:val="clear" w:color="auto" w:fill="FFFFFF"/>
        </w:rPr>
        <w:t>, </w:t>
      </w:r>
      <w:r w:rsidRPr="007C0879">
        <w:rPr>
          <w:i/>
          <w:iCs/>
          <w:shd w:val="clear" w:color="auto" w:fill="FFFFFF"/>
        </w:rPr>
        <w:t>14</w:t>
      </w:r>
      <w:r w:rsidRPr="007C0879">
        <w:rPr>
          <w:shd w:val="clear" w:color="auto" w:fill="FFFFFF"/>
        </w:rPr>
        <w:t>(1), 171-185.</w:t>
      </w:r>
    </w:p>
    <w:p w14:paraId="2E208E72" w14:textId="77777777" w:rsidR="00623D1F" w:rsidRPr="007C0879" w:rsidRDefault="00623D1F" w:rsidP="00623D1F">
      <w:pPr>
        <w:pStyle w:val="html-xx"/>
        <w:shd w:val="clear" w:color="auto" w:fill="FFFFFF"/>
        <w:spacing w:before="0" w:beforeAutospacing="0" w:after="160" w:afterAutospacing="0"/>
        <w:rPr>
          <w:shd w:val="clear" w:color="auto" w:fill="FFFFFF"/>
        </w:rPr>
      </w:pPr>
      <w:proofErr w:type="spellStart"/>
      <w:r w:rsidRPr="007C0879">
        <w:rPr>
          <w:shd w:val="clear" w:color="auto" w:fill="FFFFFF"/>
        </w:rPr>
        <w:t>Cumperayot</w:t>
      </w:r>
      <w:proofErr w:type="spellEnd"/>
      <w:r w:rsidRPr="007C0879">
        <w:rPr>
          <w:shd w:val="clear" w:color="auto" w:fill="FFFFFF"/>
        </w:rPr>
        <w:t>, P.J., Danielsson, J., Jorgensen, B.N., &amp; de Vries, C.G. (2000). On the (</w:t>
      </w:r>
      <w:proofErr w:type="spellStart"/>
      <w:r w:rsidRPr="007C0879">
        <w:rPr>
          <w:shd w:val="clear" w:color="auto" w:fill="FFFFFF"/>
        </w:rPr>
        <w:t>ir</w:t>
      </w:r>
      <w:proofErr w:type="spellEnd"/>
      <w:r w:rsidRPr="007C0879">
        <w:rPr>
          <w:shd w:val="clear" w:color="auto" w:fill="FFFFFF"/>
        </w:rPr>
        <w:t>) relevancy of value-at-risk regulation. In </w:t>
      </w:r>
      <w:r w:rsidRPr="007C0879">
        <w:rPr>
          <w:i/>
          <w:iCs/>
          <w:shd w:val="clear" w:color="auto" w:fill="FFFFFF"/>
        </w:rPr>
        <w:t>Measuring risk in complex stochastic systems</w:t>
      </w:r>
      <w:r w:rsidRPr="007C0879">
        <w:rPr>
          <w:shd w:val="clear" w:color="auto" w:fill="FFFFFF"/>
        </w:rPr>
        <w:t> (99-117). Springer, New York, NY.</w:t>
      </w:r>
    </w:p>
    <w:p w14:paraId="32057BBD" w14:textId="77777777" w:rsidR="00623D1F" w:rsidRPr="007C0879" w:rsidRDefault="00623D1F" w:rsidP="00623D1F">
      <w:pPr>
        <w:spacing w:line="240" w:lineRule="auto"/>
        <w:rPr>
          <w:rFonts w:cs="Times New Roman"/>
          <w:szCs w:val="24"/>
          <w:shd w:val="clear" w:color="auto" w:fill="FFFFFF"/>
        </w:rPr>
      </w:pPr>
      <w:proofErr w:type="spellStart"/>
      <w:r w:rsidRPr="007C0879">
        <w:rPr>
          <w:rFonts w:cs="Times New Roman"/>
          <w:szCs w:val="24"/>
          <w:shd w:val="clear" w:color="auto" w:fill="FFFFFF"/>
        </w:rPr>
        <w:t>Czerwińska</w:t>
      </w:r>
      <w:proofErr w:type="spellEnd"/>
      <w:r w:rsidRPr="007C0879">
        <w:rPr>
          <w:rFonts w:cs="Times New Roman"/>
          <w:szCs w:val="24"/>
          <w:shd w:val="clear" w:color="auto" w:fill="FFFFFF"/>
        </w:rPr>
        <w:t xml:space="preserve">, T., &amp; </w:t>
      </w:r>
      <w:proofErr w:type="spellStart"/>
      <w:r w:rsidRPr="007C0879">
        <w:rPr>
          <w:rFonts w:cs="Times New Roman"/>
          <w:szCs w:val="24"/>
          <w:shd w:val="clear" w:color="auto" w:fill="FFFFFF"/>
        </w:rPr>
        <w:t>Kaźmierkiewicz</w:t>
      </w:r>
      <w:proofErr w:type="spellEnd"/>
      <w:r w:rsidRPr="007C0879">
        <w:rPr>
          <w:rFonts w:cs="Times New Roman"/>
          <w:szCs w:val="24"/>
          <w:shd w:val="clear" w:color="auto" w:fill="FFFFFF"/>
        </w:rPr>
        <w:t>, P. (2015). ESG rating in investment risk analysis of companies listed on the public market in Poland. </w:t>
      </w:r>
      <w:r w:rsidRPr="007C0879">
        <w:rPr>
          <w:rFonts w:cs="Times New Roman"/>
          <w:i/>
          <w:iCs/>
          <w:szCs w:val="24"/>
          <w:shd w:val="clear" w:color="auto" w:fill="FFFFFF"/>
        </w:rPr>
        <w:t>Economic Notes: Review of Banking, Finance and Monetary Economics</w:t>
      </w:r>
      <w:r w:rsidRPr="007C0879">
        <w:rPr>
          <w:rFonts w:cs="Times New Roman"/>
          <w:szCs w:val="24"/>
          <w:shd w:val="clear" w:color="auto" w:fill="FFFFFF"/>
        </w:rPr>
        <w:t>, </w:t>
      </w:r>
      <w:r w:rsidRPr="007C0879">
        <w:rPr>
          <w:rFonts w:cs="Times New Roman"/>
          <w:i/>
          <w:iCs/>
          <w:szCs w:val="24"/>
          <w:shd w:val="clear" w:color="auto" w:fill="FFFFFF"/>
        </w:rPr>
        <w:t>44</w:t>
      </w:r>
      <w:r w:rsidRPr="007C0879">
        <w:rPr>
          <w:rFonts w:cs="Times New Roman"/>
          <w:szCs w:val="24"/>
          <w:shd w:val="clear" w:color="auto" w:fill="FFFFFF"/>
        </w:rPr>
        <w:t>(2), 211-248.</w:t>
      </w:r>
    </w:p>
    <w:p w14:paraId="1768D0B6" w14:textId="77777777" w:rsidR="00623D1F" w:rsidRPr="007C0879" w:rsidRDefault="00623D1F" w:rsidP="00623D1F">
      <w:pPr>
        <w:spacing w:line="240" w:lineRule="auto"/>
        <w:rPr>
          <w:rFonts w:cs="Times New Roman"/>
          <w:szCs w:val="24"/>
          <w:shd w:val="clear" w:color="auto" w:fill="FFFFFF"/>
        </w:rPr>
      </w:pPr>
      <w:r w:rsidRPr="007C0879">
        <w:rPr>
          <w:rFonts w:cs="Times New Roman"/>
          <w:szCs w:val="24"/>
          <w:shd w:val="clear" w:color="auto" w:fill="FFFFFF"/>
        </w:rPr>
        <w:t xml:space="preserve">Danielsson, J., De Vries, C.G. (2000). Value-at-Risk and extreme returns. </w:t>
      </w:r>
      <w:r w:rsidRPr="007C0879">
        <w:rPr>
          <w:rFonts w:cs="Times New Roman"/>
          <w:i/>
          <w:iCs/>
          <w:szCs w:val="24"/>
          <w:shd w:val="clear" w:color="auto" w:fill="FFFFFF"/>
        </w:rPr>
        <w:t>Annals of Economics and Statistics</w:t>
      </w:r>
      <w:r w:rsidRPr="007C0879">
        <w:rPr>
          <w:rFonts w:cs="Times New Roman"/>
          <w:szCs w:val="24"/>
          <w:shd w:val="clear" w:color="auto" w:fill="FFFFFF"/>
        </w:rPr>
        <w:t>, 60, 239-270.</w:t>
      </w:r>
    </w:p>
    <w:p w14:paraId="2B1BA1CC" w14:textId="77777777" w:rsidR="00623D1F" w:rsidRPr="007C0879" w:rsidRDefault="00623D1F" w:rsidP="00623D1F">
      <w:pPr>
        <w:spacing w:line="240" w:lineRule="auto"/>
        <w:rPr>
          <w:rFonts w:cs="Times New Roman"/>
          <w:i/>
          <w:iCs/>
          <w:szCs w:val="24"/>
          <w:shd w:val="clear" w:color="auto" w:fill="FFFFFF"/>
        </w:rPr>
      </w:pPr>
      <w:bookmarkStart w:id="16" w:name="_Hlk137978615"/>
      <w:r w:rsidRPr="007C0879">
        <w:rPr>
          <w:rFonts w:cs="Times New Roman"/>
          <w:szCs w:val="24"/>
          <w:shd w:val="clear" w:color="auto" w:fill="FFFFFF"/>
        </w:rPr>
        <w:t xml:space="preserve">de </w:t>
      </w:r>
      <w:proofErr w:type="spellStart"/>
      <w:r w:rsidRPr="007C0879">
        <w:rPr>
          <w:rFonts w:cs="Times New Roman"/>
          <w:szCs w:val="24"/>
          <w:shd w:val="clear" w:color="auto" w:fill="FFFFFF"/>
        </w:rPr>
        <w:t>Goër</w:t>
      </w:r>
      <w:proofErr w:type="spellEnd"/>
      <w:r w:rsidRPr="007C0879">
        <w:rPr>
          <w:rFonts w:cs="Times New Roman"/>
          <w:szCs w:val="24"/>
          <w:shd w:val="clear" w:color="auto" w:fill="FFFFFF"/>
        </w:rPr>
        <w:t xml:space="preserve"> de Herve, M., </w:t>
      </w:r>
      <w:proofErr w:type="spellStart"/>
      <w:r w:rsidRPr="007C0879">
        <w:rPr>
          <w:rFonts w:cs="Times New Roman"/>
          <w:szCs w:val="24"/>
          <w:shd w:val="clear" w:color="auto" w:fill="FFFFFF"/>
        </w:rPr>
        <w:t>Schinko</w:t>
      </w:r>
      <w:proofErr w:type="spellEnd"/>
      <w:r w:rsidRPr="007C0879">
        <w:rPr>
          <w:rFonts w:cs="Times New Roman"/>
          <w:szCs w:val="24"/>
          <w:shd w:val="clear" w:color="auto" w:fill="FFFFFF"/>
        </w:rPr>
        <w:t xml:space="preserve">, T., &amp; </w:t>
      </w:r>
      <w:proofErr w:type="spellStart"/>
      <w:r w:rsidRPr="007C0879">
        <w:rPr>
          <w:rFonts w:cs="Times New Roman"/>
          <w:szCs w:val="24"/>
          <w:shd w:val="clear" w:color="auto" w:fill="FFFFFF"/>
        </w:rPr>
        <w:t>Handmer</w:t>
      </w:r>
      <w:proofErr w:type="spellEnd"/>
      <w:r w:rsidRPr="007C0879">
        <w:rPr>
          <w:rFonts w:cs="Times New Roman"/>
          <w:szCs w:val="24"/>
          <w:shd w:val="clear" w:color="auto" w:fill="FFFFFF"/>
        </w:rPr>
        <w:t xml:space="preserve">, J. (2023). Risk justice: Boosting the contribution of risk management to sustainable development. </w:t>
      </w:r>
      <w:r w:rsidRPr="007C0879">
        <w:rPr>
          <w:rFonts w:cs="Times New Roman"/>
          <w:i/>
          <w:iCs/>
          <w:szCs w:val="24"/>
          <w:shd w:val="clear" w:color="auto" w:fill="FFFFFF"/>
        </w:rPr>
        <w:t xml:space="preserve">Risk analysis. </w:t>
      </w:r>
      <w:r w:rsidRPr="007C0879">
        <w:rPr>
          <w:rFonts w:cs="Times New Roman"/>
          <w:szCs w:val="24"/>
          <w:shd w:val="clear" w:color="auto" w:fill="FFFFFF"/>
        </w:rPr>
        <w:t>1-15.</w:t>
      </w:r>
    </w:p>
    <w:bookmarkEnd w:id="16"/>
    <w:p w14:paraId="5E1AD41E" w14:textId="77777777" w:rsidR="00623D1F" w:rsidRPr="007C0879" w:rsidRDefault="00623D1F" w:rsidP="00623D1F">
      <w:pPr>
        <w:spacing w:line="240" w:lineRule="auto"/>
        <w:rPr>
          <w:rFonts w:cs="Times New Roman"/>
          <w:szCs w:val="24"/>
          <w:shd w:val="clear" w:color="auto" w:fill="FFFFFF"/>
        </w:rPr>
      </w:pPr>
      <w:r w:rsidRPr="007C0879">
        <w:rPr>
          <w:rFonts w:cs="Times New Roman" w:hint="eastAsia"/>
          <w:szCs w:val="24"/>
          <w:shd w:val="clear" w:color="auto" w:fill="FFFFFF"/>
        </w:rPr>
        <w:t>Deng, Q., Xiao, X., Zhu, L., Cao, X., Liu, K., Zhang, H., Huang, L., Yu, F., Jiang, H., &amp; Liu, Y. (2023. A national risk analysis model (NRAM) for the assessment of COVID</w:t>
      </w:r>
      <w:r w:rsidRPr="007C0879">
        <w:rPr>
          <w:rFonts w:cs="Times New Roman" w:hint="eastAsia"/>
          <w:szCs w:val="24"/>
          <w:shd w:val="clear" w:color="auto" w:fill="FFFFFF"/>
        </w:rPr>
        <w:t>‐</w:t>
      </w:r>
      <w:r w:rsidRPr="007C0879">
        <w:rPr>
          <w:rFonts w:cs="Times New Roman" w:hint="eastAsia"/>
          <w:szCs w:val="24"/>
          <w:shd w:val="clear" w:color="auto" w:fill="FFFFFF"/>
        </w:rPr>
        <w:t xml:space="preserve">19 epidemic. </w:t>
      </w:r>
      <w:r w:rsidRPr="007C0879">
        <w:rPr>
          <w:rFonts w:cs="Times New Roman"/>
          <w:i/>
          <w:iCs/>
          <w:szCs w:val="24"/>
          <w:shd w:val="clear" w:color="auto" w:fill="FFFFFF"/>
        </w:rPr>
        <w:t>Risk Analysis.</w:t>
      </w:r>
    </w:p>
    <w:p w14:paraId="464867E7" w14:textId="77777777" w:rsidR="00623D1F" w:rsidRPr="007C0879" w:rsidRDefault="00623D1F" w:rsidP="00623D1F">
      <w:pPr>
        <w:spacing w:line="240" w:lineRule="auto"/>
        <w:rPr>
          <w:rFonts w:cs="Times New Roman"/>
          <w:szCs w:val="24"/>
          <w:shd w:val="clear" w:color="auto" w:fill="FFFFFF"/>
        </w:rPr>
      </w:pPr>
      <w:r w:rsidRPr="007C0879">
        <w:rPr>
          <w:rFonts w:cs="Times New Roman"/>
          <w:szCs w:val="24"/>
          <w:shd w:val="clear" w:color="auto" w:fill="FFFFFF"/>
        </w:rPr>
        <w:t xml:space="preserve">Dietz, S., Bowen, A., Dixon, C., &amp; </w:t>
      </w:r>
      <w:proofErr w:type="spellStart"/>
      <w:r w:rsidRPr="007C0879">
        <w:rPr>
          <w:rFonts w:cs="Times New Roman"/>
          <w:szCs w:val="24"/>
          <w:shd w:val="clear" w:color="auto" w:fill="FFFFFF"/>
        </w:rPr>
        <w:t>Gradwell</w:t>
      </w:r>
      <w:proofErr w:type="spellEnd"/>
      <w:r w:rsidRPr="007C0879">
        <w:rPr>
          <w:rFonts w:cs="Times New Roman"/>
          <w:szCs w:val="24"/>
          <w:shd w:val="clear" w:color="auto" w:fill="FFFFFF"/>
        </w:rPr>
        <w:t xml:space="preserve">, P. (2016). ‘Climate value at </w:t>
      </w:r>
      <w:proofErr w:type="spellStart"/>
      <w:r w:rsidRPr="007C0879">
        <w:rPr>
          <w:rFonts w:cs="Times New Roman"/>
          <w:szCs w:val="24"/>
          <w:shd w:val="clear" w:color="auto" w:fill="FFFFFF"/>
        </w:rPr>
        <w:t>risk’of</w:t>
      </w:r>
      <w:proofErr w:type="spellEnd"/>
      <w:r w:rsidRPr="007C0879">
        <w:rPr>
          <w:rFonts w:cs="Times New Roman"/>
          <w:szCs w:val="24"/>
          <w:shd w:val="clear" w:color="auto" w:fill="FFFFFF"/>
        </w:rPr>
        <w:t xml:space="preserve"> global financial assets. </w:t>
      </w:r>
      <w:r w:rsidRPr="007C0879">
        <w:rPr>
          <w:rFonts w:cs="Times New Roman"/>
          <w:i/>
          <w:iCs/>
          <w:szCs w:val="24"/>
          <w:shd w:val="clear" w:color="auto" w:fill="FFFFFF"/>
        </w:rPr>
        <w:t>Nature Climate Change</w:t>
      </w:r>
      <w:r w:rsidRPr="007C0879">
        <w:rPr>
          <w:rFonts w:cs="Times New Roman"/>
          <w:szCs w:val="24"/>
          <w:shd w:val="clear" w:color="auto" w:fill="FFFFFF"/>
        </w:rPr>
        <w:t>, </w:t>
      </w:r>
      <w:r w:rsidRPr="007C0879">
        <w:rPr>
          <w:rFonts w:cs="Times New Roman"/>
          <w:i/>
          <w:iCs/>
          <w:szCs w:val="24"/>
          <w:shd w:val="clear" w:color="auto" w:fill="FFFFFF"/>
        </w:rPr>
        <w:t>6</w:t>
      </w:r>
      <w:r w:rsidRPr="007C0879">
        <w:rPr>
          <w:rFonts w:cs="Times New Roman"/>
          <w:szCs w:val="24"/>
          <w:shd w:val="clear" w:color="auto" w:fill="FFFFFF"/>
        </w:rPr>
        <w:t>(7), 676-679.</w:t>
      </w:r>
    </w:p>
    <w:p w14:paraId="62C6DD10" w14:textId="77777777" w:rsidR="00623D1F" w:rsidRPr="007C0879" w:rsidRDefault="00623D1F" w:rsidP="00623D1F">
      <w:pPr>
        <w:spacing w:line="240" w:lineRule="auto"/>
        <w:rPr>
          <w:rFonts w:cs="Times New Roman"/>
          <w:szCs w:val="24"/>
          <w:lang w:val="en-US"/>
        </w:rPr>
      </w:pPr>
      <w:proofErr w:type="spellStart"/>
      <w:r w:rsidRPr="007C0879">
        <w:rPr>
          <w:rFonts w:cs="Times New Roman"/>
          <w:szCs w:val="24"/>
          <w:shd w:val="clear" w:color="auto" w:fill="FFFFFF"/>
        </w:rPr>
        <w:t>Djalante</w:t>
      </w:r>
      <w:proofErr w:type="spellEnd"/>
      <w:r w:rsidRPr="007C0879">
        <w:rPr>
          <w:rFonts w:cs="Times New Roman"/>
          <w:szCs w:val="24"/>
          <w:shd w:val="clear" w:color="auto" w:fill="FFFFFF"/>
        </w:rPr>
        <w:t xml:space="preserve">, R., Shaw, R., &amp; </w:t>
      </w:r>
      <w:proofErr w:type="spellStart"/>
      <w:r w:rsidRPr="007C0879">
        <w:rPr>
          <w:rFonts w:cs="Times New Roman"/>
          <w:szCs w:val="24"/>
          <w:shd w:val="clear" w:color="auto" w:fill="FFFFFF"/>
        </w:rPr>
        <w:t>DeWit</w:t>
      </w:r>
      <w:proofErr w:type="spellEnd"/>
      <w:r w:rsidRPr="007C0879">
        <w:rPr>
          <w:rFonts w:cs="Times New Roman"/>
          <w:szCs w:val="24"/>
          <w:shd w:val="clear" w:color="auto" w:fill="FFFFFF"/>
        </w:rPr>
        <w:t>, A. (2020. Building resilience against biological hazards and pandemics: COVID-19 and its implications for the Sendai Framework. </w:t>
      </w:r>
      <w:r w:rsidRPr="007C0879">
        <w:rPr>
          <w:rFonts w:cs="Times New Roman"/>
          <w:i/>
          <w:iCs/>
          <w:szCs w:val="24"/>
          <w:shd w:val="clear" w:color="auto" w:fill="FFFFFF"/>
        </w:rPr>
        <w:t>Progress in Disaster Science</w:t>
      </w:r>
      <w:r w:rsidRPr="007C0879">
        <w:rPr>
          <w:rFonts w:cs="Times New Roman"/>
          <w:szCs w:val="24"/>
          <w:shd w:val="clear" w:color="auto" w:fill="FFFFFF"/>
        </w:rPr>
        <w:t>, </w:t>
      </w:r>
      <w:r w:rsidRPr="007C0879">
        <w:rPr>
          <w:rFonts w:cs="Times New Roman"/>
          <w:i/>
          <w:iCs/>
          <w:szCs w:val="24"/>
          <w:shd w:val="clear" w:color="auto" w:fill="FFFFFF"/>
        </w:rPr>
        <w:t>6</w:t>
      </w:r>
      <w:r w:rsidRPr="007C0879">
        <w:rPr>
          <w:rFonts w:cs="Times New Roman"/>
          <w:szCs w:val="24"/>
          <w:shd w:val="clear" w:color="auto" w:fill="FFFFFF"/>
        </w:rPr>
        <w:t>, p.100080.</w:t>
      </w:r>
      <w:r w:rsidRPr="007C0879" w:rsidDel="00171ED2">
        <w:rPr>
          <w:rFonts w:cs="Times New Roman"/>
          <w:szCs w:val="24"/>
          <w:lang w:val="en-US"/>
        </w:rPr>
        <w:t xml:space="preserve"> </w:t>
      </w:r>
    </w:p>
    <w:p w14:paraId="021B87FB" w14:textId="77777777" w:rsidR="00623D1F" w:rsidRPr="007C0879" w:rsidRDefault="00623D1F" w:rsidP="00623D1F">
      <w:pPr>
        <w:spacing w:line="240" w:lineRule="auto"/>
        <w:rPr>
          <w:rFonts w:cs="Times New Roman"/>
          <w:szCs w:val="24"/>
          <w:shd w:val="clear" w:color="auto" w:fill="FFFFFF"/>
        </w:rPr>
      </w:pPr>
      <w:proofErr w:type="spellStart"/>
      <w:r w:rsidRPr="007C0879">
        <w:rPr>
          <w:rFonts w:cs="Times New Roman"/>
          <w:szCs w:val="24"/>
          <w:shd w:val="clear" w:color="auto" w:fill="FFFFFF"/>
        </w:rPr>
        <w:t>Donou-Adonsou</w:t>
      </w:r>
      <w:proofErr w:type="spellEnd"/>
      <w:r w:rsidRPr="007C0879">
        <w:rPr>
          <w:rFonts w:cs="Times New Roman"/>
          <w:szCs w:val="24"/>
          <w:shd w:val="clear" w:color="auto" w:fill="FFFFFF"/>
        </w:rPr>
        <w:t>, F. (2022). The effects of health conditions on financial sector development. </w:t>
      </w:r>
      <w:r w:rsidRPr="007C0879">
        <w:rPr>
          <w:rFonts w:cs="Times New Roman"/>
          <w:i/>
          <w:iCs/>
          <w:szCs w:val="24"/>
          <w:shd w:val="clear" w:color="auto" w:fill="FFFFFF"/>
        </w:rPr>
        <w:t>Economic Modelling</w:t>
      </w:r>
      <w:r w:rsidRPr="007C0879">
        <w:rPr>
          <w:rFonts w:cs="Times New Roman"/>
          <w:szCs w:val="24"/>
          <w:shd w:val="clear" w:color="auto" w:fill="FFFFFF"/>
        </w:rPr>
        <w:t>, </w:t>
      </w:r>
      <w:r w:rsidRPr="007C0879">
        <w:rPr>
          <w:rFonts w:cs="Times New Roman"/>
          <w:i/>
          <w:iCs/>
          <w:szCs w:val="24"/>
          <w:shd w:val="clear" w:color="auto" w:fill="FFFFFF"/>
        </w:rPr>
        <w:t>114</w:t>
      </w:r>
      <w:r w:rsidRPr="007C0879">
        <w:rPr>
          <w:rFonts w:cs="Times New Roman"/>
          <w:szCs w:val="24"/>
          <w:shd w:val="clear" w:color="auto" w:fill="FFFFFF"/>
        </w:rPr>
        <w:t>, p.105947.</w:t>
      </w:r>
    </w:p>
    <w:p w14:paraId="753C6180" w14:textId="77777777" w:rsidR="00623D1F" w:rsidRPr="007C0879" w:rsidRDefault="00623D1F" w:rsidP="00623D1F">
      <w:pPr>
        <w:spacing w:line="240" w:lineRule="auto"/>
        <w:rPr>
          <w:rFonts w:cs="Times New Roman"/>
          <w:szCs w:val="24"/>
          <w:shd w:val="clear" w:color="auto" w:fill="FFFFFF"/>
        </w:rPr>
      </w:pPr>
      <w:r w:rsidRPr="007C0879">
        <w:rPr>
          <w:rFonts w:cs="Times New Roman"/>
          <w:szCs w:val="24"/>
          <w:shd w:val="clear" w:color="auto" w:fill="FFFFFF"/>
        </w:rPr>
        <w:t>Fankhauser, S., &amp; McDermott, T.K. (2014. Understanding the adaptation deficit: why are poor countries more vulnerable to climate events than rich countries?. </w:t>
      </w:r>
      <w:r w:rsidRPr="007C0879">
        <w:rPr>
          <w:rFonts w:cs="Times New Roman"/>
          <w:i/>
          <w:iCs/>
          <w:szCs w:val="24"/>
          <w:shd w:val="clear" w:color="auto" w:fill="FFFFFF"/>
        </w:rPr>
        <w:t>Global Environmental Change</w:t>
      </w:r>
      <w:r w:rsidRPr="007C0879">
        <w:rPr>
          <w:rFonts w:cs="Times New Roman"/>
          <w:szCs w:val="24"/>
          <w:shd w:val="clear" w:color="auto" w:fill="FFFFFF"/>
        </w:rPr>
        <w:t>, </w:t>
      </w:r>
      <w:r w:rsidRPr="007C0879">
        <w:rPr>
          <w:rFonts w:cs="Times New Roman"/>
          <w:i/>
          <w:iCs/>
          <w:szCs w:val="24"/>
          <w:shd w:val="clear" w:color="auto" w:fill="FFFFFF"/>
        </w:rPr>
        <w:t>27</w:t>
      </w:r>
      <w:r w:rsidRPr="007C0879">
        <w:rPr>
          <w:rFonts w:cs="Times New Roman"/>
          <w:szCs w:val="24"/>
          <w:shd w:val="clear" w:color="auto" w:fill="FFFFFF"/>
        </w:rPr>
        <w:t>, 9-18.</w:t>
      </w:r>
    </w:p>
    <w:p w14:paraId="287569FC" w14:textId="77777777" w:rsidR="00623D1F" w:rsidRPr="007C0879" w:rsidRDefault="00623D1F" w:rsidP="00623D1F">
      <w:pPr>
        <w:pStyle w:val="html-xx"/>
        <w:shd w:val="clear" w:color="auto" w:fill="FFFFFF"/>
        <w:spacing w:before="0" w:beforeAutospacing="0" w:after="160" w:afterAutospacing="0"/>
        <w:rPr>
          <w:shd w:val="clear" w:color="auto" w:fill="FFFFFF"/>
        </w:rPr>
      </w:pPr>
      <w:bookmarkStart w:id="17" w:name="_Hlk130191054"/>
      <w:proofErr w:type="spellStart"/>
      <w:r w:rsidRPr="007C0879">
        <w:rPr>
          <w:shd w:val="clear" w:color="auto" w:fill="FFFFFF"/>
        </w:rPr>
        <w:t>Galletta</w:t>
      </w:r>
      <w:proofErr w:type="spellEnd"/>
      <w:r w:rsidRPr="007C0879">
        <w:rPr>
          <w:shd w:val="clear" w:color="auto" w:fill="FFFFFF"/>
        </w:rPr>
        <w:t xml:space="preserve">, S., &amp; </w:t>
      </w:r>
      <w:proofErr w:type="spellStart"/>
      <w:r w:rsidRPr="007C0879">
        <w:rPr>
          <w:shd w:val="clear" w:color="auto" w:fill="FFFFFF"/>
        </w:rPr>
        <w:t>Mazzù</w:t>
      </w:r>
      <w:bookmarkEnd w:id="17"/>
      <w:proofErr w:type="spellEnd"/>
      <w:r w:rsidRPr="007C0879">
        <w:rPr>
          <w:shd w:val="clear" w:color="auto" w:fill="FFFFFF"/>
        </w:rPr>
        <w:t xml:space="preserve">, S. (2023). ESG controversies and bank risk taking. </w:t>
      </w:r>
      <w:r w:rsidRPr="007C0879">
        <w:rPr>
          <w:i/>
          <w:iCs/>
          <w:shd w:val="clear" w:color="auto" w:fill="FFFFFF"/>
        </w:rPr>
        <w:t>Business Strategy and the Environment,</w:t>
      </w:r>
      <w:r w:rsidRPr="007C0879">
        <w:rPr>
          <w:shd w:val="clear" w:color="auto" w:fill="FFFFFF"/>
        </w:rPr>
        <w:t xml:space="preserve"> 32(1), 274-288.</w:t>
      </w:r>
    </w:p>
    <w:p w14:paraId="3B6FA41E" w14:textId="77777777" w:rsidR="00623D1F" w:rsidRPr="007C0879" w:rsidRDefault="00623D1F" w:rsidP="00623D1F">
      <w:pPr>
        <w:spacing w:line="240" w:lineRule="auto"/>
        <w:rPr>
          <w:rFonts w:cs="Times New Roman"/>
          <w:szCs w:val="24"/>
          <w:shd w:val="clear" w:color="auto" w:fill="FFFFFF"/>
        </w:rPr>
      </w:pPr>
      <w:proofErr w:type="spellStart"/>
      <w:r w:rsidRPr="007C0879">
        <w:rPr>
          <w:rFonts w:cs="Times New Roman"/>
          <w:szCs w:val="24"/>
          <w:shd w:val="clear" w:color="auto" w:fill="FFFFFF"/>
        </w:rPr>
        <w:t>Gholami</w:t>
      </w:r>
      <w:proofErr w:type="spellEnd"/>
      <w:r w:rsidRPr="007C0879">
        <w:rPr>
          <w:rFonts w:cs="Times New Roman"/>
          <w:szCs w:val="24"/>
          <w:shd w:val="clear" w:color="auto" w:fill="FFFFFF"/>
        </w:rPr>
        <w:t>, A., Sands, J., &amp; Rahman, H.U. (2022). Environmental, Social and Governance disclosure and value generation: Is the financial industry different? </w:t>
      </w:r>
      <w:r w:rsidRPr="007C0879">
        <w:rPr>
          <w:rFonts w:cs="Times New Roman"/>
          <w:i/>
          <w:iCs/>
          <w:szCs w:val="24"/>
          <w:shd w:val="clear" w:color="auto" w:fill="FFFFFF"/>
        </w:rPr>
        <w:t>Sustainability</w:t>
      </w:r>
      <w:r w:rsidRPr="007C0879">
        <w:rPr>
          <w:rFonts w:cs="Times New Roman"/>
          <w:szCs w:val="24"/>
          <w:shd w:val="clear" w:color="auto" w:fill="FFFFFF"/>
        </w:rPr>
        <w:t>, </w:t>
      </w:r>
      <w:r w:rsidRPr="007C0879">
        <w:rPr>
          <w:rFonts w:cs="Times New Roman"/>
          <w:i/>
          <w:iCs/>
          <w:szCs w:val="24"/>
          <w:shd w:val="clear" w:color="auto" w:fill="FFFFFF"/>
        </w:rPr>
        <w:t>14</w:t>
      </w:r>
      <w:r w:rsidRPr="007C0879">
        <w:rPr>
          <w:rFonts w:cs="Times New Roman"/>
          <w:szCs w:val="24"/>
          <w:shd w:val="clear" w:color="auto" w:fill="FFFFFF"/>
        </w:rPr>
        <w:t>(5), p.2647.</w:t>
      </w:r>
    </w:p>
    <w:p w14:paraId="44F7D5E2" w14:textId="77777777" w:rsidR="00623D1F" w:rsidRPr="007C0879" w:rsidRDefault="00623D1F" w:rsidP="00623D1F">
      <w:pPr>
        <w:pStyle w:val="html-xx"/>
        <w:shd w:val="clear" w:color="auto" w:fill="FFFFFF"/>
        <w:spacing w:before="0" w:beforeAutospacing="0" w:after="160" w:afterAutospacing="0"/>
        <w:rPr>
          <w:shd w:val="clear" w:color="auto" w:fill="FFFFFF"/>
        </w:rPr>
      </w:pPr>
      <w:proofErr w:type="spellStart"/>
      <w:r w:rsidRPr="007C0879">
        <w:rPr>
          <w:shd w:val="clear" w:color="auto" w:fill="FFFFFF"/>
        </w:rPr>
        <w:t>Giesecke</w:t>
      </w:r>
      <w:proofErr w:type="spellEnd"/>
      <w:r w:rsidRPr="007C0879">
        <w:rPr>
          <w:shd w:val="clear" w:color="auto" w:fill="FFFFFF"/>
        </w:rPr>
        <w:t>, K., &amp; Goldberg, L.R. (2005). Forecasting extreme financial risk. </w:t>
      </w:r>
      <w:r w:rsidRPr="007C0879">
        <w:rPr>
          <w:i/>
          <w:iCs/>
          <w:shd w:val="clear" w:color="auto" w:fill="FFFFFF"/>
        </w:rPr>
        <w:t>Risk management: A modern perspective</w:t>
      </w:r>
      <w:r w:rsidRPr="007C0879">
        <w:rPr>
          <w:shd w:val="clear" w:color="auto" w:fill="FFFFFF"/>
        </w:rPr>
        <w:t>, 509-536.</w:t>
      </w:r>
    </w:p>
    <w:p w14:paraId="72D527C6" w14:textId="77777777" w:rsidR="00623D1F" w:rsidRPr="007C0879" w:rsidRDefault="00623D1F" w:rsidP="00623D1F">
      <w:pPr>
        <w:spacing w:line="240" w:lineRule="auto"/>
        <w:rPr>
          <w:rFonts w:cs="Times New Roman"/>
          <w:szCs w:val="24"/>
          <w:shd w:val="clear" w:color="auto" w:fill="FFFFFF"/>
        </w:rPr>
      </w:pPr>
      <w:r w:rsidRPr="007C0879">
        <w:rPr>
          <w:rFonts w:cs="Times New Roman"/>
          <w:szCs w:val="24"/>
          <w:shd w:val="clear" w:color="auto" w:fill="FFFFFF"/>
        </w:rPr>
        <w:t>Gil, L., &amp; Bernardo, J. (2020). An approach to energy and climate issues aiming at carbon neutrality. </w:t>
      </w:r>
      <w:r w:rsidRPr="007C0879">
        <w:rPr>
          <w:rFonts w:cs="Times New Roman"/>
          <w:i/>
          <w:iCs/>
          <w:szCs w:val="24"/>
          <w:shd w:val="clear" w:color="auto" w:fill="FFFFFF"/>
        </w:rPr>
        <w:t>Renewable Energy Focus</w:t>
      </w:r>
      <w:r w:rsidRPr="007C0879">
        <w:rPr>
          <w:rFonts w:cs="Times New Roman"/>
          <w:szCs w:val="24"/>
          <w:shd w:val="clear" w:color="auto" w:fill="FFFFFF"/>
        </w:rPr>
        <w:t>, </w:t>
      </w:r>
      <w:r w:rsidRPr="007C0879">
        <w:rPr>
          <w:rFonts w:cs="Times New Roman"/>
          <w:i/>
          <w:iCs/>
          <w:szCs w:val="24"/>
          <w:shd w:val="clear" w:color="auto" w:fill="FFFFFF"/>
        </w:rPr>
        <w:t>33</w:t>
      </w:r>
      <w:r w:rsidRPr="007C0879">
        <w:rPr>
          <w:rFonts w:cs="Times New Roman"/>
          <w:szCs w:val="24"/>
          <w:shd w:val="clear" w:color="auto" w:fill="FFFFFF"/>
        </w:rPr>
        <w:t>, 37-42.</w:t>
      </w:r>
    </w:p>
    <w:p w14:paraId="7663CD9D" w14:textId="77777777" w:rsidR="00623D1F" w:rsidRPr="007C0879" w:rsidRDefault="00623D1F" w:rsidP="00623D1F">
      <w:pPr>
        <w:pStyle w:val="html-xx"/>
        <w:shd w:val="clear" w:color="auto" w:fill="FFFFFF"/>
        <w:spacing w:before="0" w:beforeAutospacing="0" w:after="160" w:afterAutospacing="0"/>
        <w:rPr>
          <w:shd w:val="clear" w:color="auto" w:fill="FFFFFF"/>
        </w:rPr>
      </w:pPr>
      <w:r w:rsidRPr="007C0879">
        <w:rPr>
          <w:shd w:val="clear" w:color="auto" w:fill="FFFFFF"/>
        </w:rPr>
        <w:t xml:space="preserve">Gkillas, K., &amp; </w:t>
      </w:r>
      <w:proofErr w:type="spellStart"/>
      <w:r w:rsidRPr="007C0879">
        <w:rPr>
          <w:shd w:val="clear" w:color="auto" w:fill="FFFFFF"/>
        </w:rPr>
        <w:t>Katsiampa</w:t>
      </w:r>
      <w:proofErr w:type="spellEnd"/>
      <w:r w:rsidRPr="007C0879">
        <w:rPr>
          <w:shd w:val="clear" w:color="auto" w:fill="FFFFFF"/>
        </w:rPr>
        <w:t>, P. (2018). An application of extreme value theory to cryptocurrencies. </w:t>
      </w:r>
      <w:r w:rsidRPr="007C0879">
        <w:rPr>
          <w:i/>
          <w:iCs/>
          <w:shd w:val="clear" w:color="auto" w:fill="FFFFFF"/>
        </w:rPr>
        <w:t>Economics Letters</w:t>
      </w:r>
      <w:r w:rsidRPr="007C0879">
        <w:rPr>
          <w:shd w:val="clear" w:color="auto" w:fill="FFFFFF"/>
        </w:rPr>
        <w:t>, </w:t>
      </w:r>
      <w:r w:rsidRPr="007C0879">
        <w:rPr>
          <w:i/>
          <w:iCs/>
          <w:shd w:val="clear" w:color="auto" w:fill="FFFFFF"/>
        </w:rPr>
        <w:t>164</w:t>
      </w:r>
      <w:r w:rsidRPr="007C0879">
        <w:rPr>
          <w:shd w:val="clear" w:color="auto" w:fill="FFFFFF"/>
        </w:rPr>
        <w:t>, 109-111.</w:t>
      </w:r>
    </w:p>
    <w:p w14:paraId="6DD3F572" w14:textId="77777777" w:rsidR="00623D1F" w:rsidRPr="007C0879" w:rsidRDefault="00623D1F" w:rsidP="00623D1F">
      <w:pPr>
        <w:widowControl w:val="0"/>
        <w:autoSpaceDE w:val="0"/>
        <w:autoSpaceDN w:val="0"/>
        <w:adjustRightInd w:val="0"/>
        <w:spacing w:line="240" w:lineRule="auto"/>
        <w:rPr>
          <w:rFonts w:cs="Times New Roman"/>
          <w:szCs w:val="24"/>
          <w:lang w:val="en-US"/>
        </w:rPr>
      </w:pPr>
      <w:r w:rsidRPr="007C0879">
        <w:rPr>
          <w:rFonts w:cs="Times New Roman"/>
          <w:szCs w:val="24"/>
          <w:lang w:val="en-US"/>
        </w:rPr>
        <w:lastRenderedPageBreak/>
        <w:t xml:space="preserve">Goble, R., &amp; Bier, V.M. (2013). Risk Assessment Can Be a Game-Changing Information Technology-But Too Often It Isn’t. </w:t>
      </w:r>
      <w:r w:rsidRPr="007C0879">
        <w:rPr>
          <w:rFonts w:cs="Times New Roman"/>
          <w:i/>
          <w:iCs/>
          <w:szCs w:val="24"/>
          <w:lang w:val="en-US"/>
        </w:rPr>
        <w:t>Risk Analysis</w:t>
      </w:r>
      <w:r w:rsidRPr="007C0879">
        <w:rPr>
          <w:rFonts w:cs="Times New Roman"/>
          <w:szCs w:val="24"/>
          <w:lang w:val="en-US"/>
        </w:rPr>
        <w:t xml:space="preserve">, 33(11), 1942–1951. </w:t>
      </w:r>
    </w:p>
    <w:p w14:paraId="777C0887" w14:textId="77777777" w:rsidR="00623D1F" w:rsidRPr="007C0879" w:rsidRDefault="00623D1F" w:rsidP="00623D1F">
      <w:pPr>
        <w:pStyle w:val="html-xx"/>
        <w:shd w:val="clear" w:color="auto" w:fill="FFFFFF"/>
        <w:spacing w:before="0" w:beforeAutospacing="0" w:after="160" w:afterAutospacing="0"/>
        <w:rPr>
          <w:shd w:val="clear" w:color="auto" w:fill="FFFFFF"/>
        </w:rPr>
      </w:pPr>
      <w:r w:rsidRPr="007C0879">
        <w:rPr>
          <w:shd w:val="clear" w:color="auto" w:fill="FFFFFF"/>
        </w:rPr>
        <w:t xml:space="preserve">Guimaraes, A., &amp; </w:t>
      </w:r>
      <w:proofErr w:type="spellStart"/>
      <w:r w:rsidRPr="007C0879">
        <w:rPr>
          <w:shd w:val="clear" w:color="auto" w:fill="FFFFFF"/>
        </w:rPr>
        <w:t>Nossa</w:t>
      </w:r>
      <w:proofErr w:type="spellEnd"/>
      <w:r w:rsidRPr="007C0879">
        <w:rPr>
          <w:shd w:val="clear" w:color="auto" w:fill="FFFFFF"/>
        </w:rPr>
        <w:t>, V. (2010). Working capital, profitability, liquidity and solvency of healthcare insurance companies. </w:t>
      </w:r>
      <w:r w:rsidRPr="007C0879">
        <w:rPr>
          <w:i/>
          <w:iCs/>
          <w:shd w:val="clear" w:color="auto" w:fill="FFFFFF"/>
        </w:rPr>
        <w:t>BBR-Brazilian Business Review</w:t>
      </w:r>
      <w:r w:rsidRPr="007C0879">
        <w:rPr>
          <w:shd w:val="clear" w:color="auto" w:fill="FFFFFF"/>
        </w:rPr>
        <w:t>, </w:t>
      </w:r>
      <w:r w:rsidRPr="007C0879">
        <w:rPr>
          <w:i/>
          <w:iCs/>
          <w:shd w:val="clear" w:color="auto" w:fill="FFFFFF"/>
        </w:rPr>
        <w:t>7</w:t>
      </w:r>
      <w:r w:rsidRPr="007C0879">
        <w:rPr>
          <w:shd w:val="clear" w:color="auto" w:fill="FFFFFF"/>
        </w:rPr>
        <w:t>(2), 37-59.</w:t>
      </w:r>
    </w:p>
    <w:p w14:paraId="6C601575" w14:textId="77777777" w:rsidR="00623D1F" w:rsidRPr="007C0879" w:rsidRDefault="00623D1F" w:rsidP="00623D1F">
      <w:pPr>
        <w:spacing w:line="240" w:lineRule="auto"/>
        <w:rPr>
          <w:rFonts w:cs="Times New Roman"/>
          <w:szCs w:val="24"/>
          <w:shd w:val="clear" w:color="auto" w:fill="FFFFFF"/>
        </w:rPr>
      </w:pPr>
      <w:proofErr w:type="spellStart"/>
      <w:r w:rsidRPr="007C0879">
        <w:rPr>
          <w:rFonts w:cs="Times New Roman"/>
          <w:szCs w:val="24"/>
          <w:shd w:val="clear" w:color="auto" w:fill="FFFFFF"/>
        </w:rPr>
        <w:t>Hainmueller</w:t>
      </w:r>
      <w:proofErr w:type="spellEnd"/>
      <w:r w:rsidRPr="007C0879">
        <w:rPr>
          <w:rFonts w:cs="Times New Roman"/>
          <w:szCs w:val="24"/>
          <w:shd w:val="clear" w:color="auto" w:fill="FFFFFF"/>
        </w:rPr>
        <w:t xml:space="preserve">, J., &amp; </w:t>
      </w:r>
      <w:proofErr w:type="spellStart"/>
      <w:r w:rsidRPr="007C0879">
        <w:rPr>
          <w:rFonts w:cs="Times New Roman"/>
          <w:szCs w:val="24"/>
          <w:shd w:val="clear" w:color="auto" w:fill="FFFFFF"/>
        </w:rPr>
        <w:t>Hiscox</w:t>
      </w:r>
      <w:proofErr w:type="spellEnd"/>
      <w:r w:rsidRPr="007C0879">
        <w:rPr>
          <w:rFonts w:cs="Times New Roman"/>
          <w:szCs w:val="24"/>
          <w:shd w:val="clear" w:color="auto" w:fill="FFFFFF"/>
        </w:rPr>
        <w:t>, M.J. (2015). Buying green? Field experimental tests of consumer support for environmentalism. </w:t>
      </w:r>
      <w:r w:rsidRPr="007C0879">
        <w:rPr>
          <w:rFonts w:cs="Times New Roman"/>
          <w:i/>
          <w:iCs/>
          <w:szCs w:val="24"/>
          <w:shd w:val="clear" w:color="auto" w:fill="FFFFFF"/>
        </w:rPr>
        <w:t>Field Experimental Tests of Consumer Support for Environmentalism</w:t>
      </w:r>
      <w:r w:rsidRPr="007C0879">
        <w:rPr>
          <w:rFonts w:cs="Times New Roman"/>
          <w:szCs w:val="24"/>
          <w:shd w:val="clear" w:color="auto" w:fill="FFFFFF"/>
        </w:rPr>
        <w:t>. working paper. Harvard University.</w:t>
      </w:r>
    </w:p>
    <w:p w14:paraId="3D24116E" w14:textId="77777777" w:rsidR="00623D1F" w:rsidRPr="007C0879" w:rsidRDefault="00623D1F" w:rsidP="00623D1F">
      <w:pPr>
        <w:spacing w:line="240" w:lineRule="auto"/>
        <w:rPr>
          <w:rFonts w:cs="Times New Roman"/>
          <w:szCs w:val="24"/>
          <w:shd w:val="clear" w:color="auto" w:fill="FFFFFF"/>
        </w:rPr>
      </w:pPr>
      <w:proofErr w:type="spellStart"/>
      <w:r w:rsidRPr="007C0879">
        <w:rPr>
          <w:rFonts w:cs="Times New Roman"/>
          <w:szCs w:val="24"/>
          <w:shd w:val="clear" w:color="auto" w:fill="FFFFFF"/>
        </w:rPr>
        <w:t>Hallegatte</w:t>
      </w:r>
      <w:proofErr w:type="spellEnd"/>
      <w:r w:rsidRPr="007C0879">
        <w:rPr>
          <w:rFonts w:cs="Times New Roman"/>
          <w:szCs w:val="24"/>
          <w:shd w:val="clear" w:color="auto" w:fill="FFFFFF"/>
        </w:rPr>
        <w:t xml:space="preserve">, S., &amp; Rentschler, J. (2015), Risk Management for Development—Assessing Obstacles and Prioritizing Action. </w:t>
      </w:r>
      <w:r w:rsidRPr="007C0879">
        <w:rPr>
          <w:rFonts w:cs="Times New Roman"/>
          <w:i/>
          <w:iCs/>
          <w:szCs w:val="24"/>
          <w:shd w:val="clear" w:color="auto" w:fill="FFFFFF"/>
        </w:rPr>
        <w:t>Risk Analysis</w:t>
      </w:r>
      <w:r w:rsidRPr="007C0879">
        <w:rPr>
          <w:rFonts w:cs="Times New Roman"/>
          <w:szCs w:val="24"/>
          <w:shd w:val="clear" w:color="auto" w:fill="FFFFFF"/>
        </w:rPr>
        <w:t>, 35: 193-210.</w:t>
      </w:r>
    </w:p>
    <w:p w14:paraId="2BBD8067" w14:textId="77777777" w:rsidR="00623D1F" w:rsidRPr="007C0879" w:rsidRDefault="00623D1F" w:rsidP="00623D1F">
      <w:pPr>
        <w:spacing w:line="240" w:lineRule="auto"/>
        <w:rPr>
          <w:rFonts w:cs="Times New Roman"/>
          <w:szCs w:val="24"/>
          <w:shd w:val="clear" w:color="auto" w:fill="FFFFFF"/>
        </w:rPr>
      </w:pPr>
      <w:r w:rsidRPr="007C0879">
        <w:rPr>
          <w:rFonts w:cs="Times New Roman"/>
          <w:szCs w:val="24"/>
          <w:shd w:val="clear" w:color="auto" w:fill="FFFFFF"/>
        </w:rPr>
        <w:t xml:space="preserve">Hansen, J., Sato, M., </w:t>
      </w:r>
      <w:proofErr w:type="spellStart"/>
      <w:r w:rsidRPr="007C0879">
        <w:rPr>
          <w:rFonts w:cs="Times New Roman"/>
          <w:szCs w:val="24"/>
          <w:shd w:val="clear" w:color="auto" w:fill="FFFFFF"/>
        </w:rPr>
        <w:t>Kharecha</w:t>
      </w:r>
      <w:proofErr w:type="spellEnd"/>
      <w:r w:rsidRPr="007C0879">
        <w:rPr>
          <w:rFonts w:cs="Times New Roman"/>
          <w:szCs w:val="24"/>
          <w:shd w:val="clear" w:color="auto" w:fill="FFFFFF"/>
        </w:rPr>
        <w:t xml:space="preserve">, P., Von </w:t>
      </w:r>
      <w:proofErr w:type="spellStart"/>
      <w:r w:rsidRPr="007C0879">
        <w:rPr>
          <w:rFonts w:cs="Times New Roman"/>
          <w:szCs w:val="24"/>
          <w:shd w:val="clear" w:color="auto" w:fill="FFFFFF"/>
        </w:rPr>
        <w:t>Schuckmann</w:t>
      </w:r>
      <w:proofErr w:type="spellEnd"/>
      <w:r w:rsidRPr="007C0879">
        <w:rPr>
          <w:rFonts w:cs="Times New Roman"/>
          <w:szCs w:val="24"/>
          <w:shd w:val="clear" w:color="auto" w:fill="FFFFFF"/>
        </w:rPr>
        <w:t xml:space="preserve">, K., </w:t>
      </w:r>
      <w:proofErr w:type="spellStart"/>
      <w:r w:rsidRPr="007C0879">
        <w:rPr>
          <w:rFonts w:cs="Times New Roman"/>
          <w:szCs w:val="24"/>
          <w:shd w:val="clear" w:color="auto" w:fill="FFFFFF"/>
        </w:rPr>
        <w:t>Beerling</w:t>
      </w:r>
      <w:proofErr w:type="spellEnd"/>
      <w:r w:rsidRPr="007C0879">
        <w:rPr>
          <w:rFonts w:cs="Times New Roman"/>
          <w:szCs w:val="24"/>
          <w:shd w:val="clear" w:color="auto" w:fill="FFFFFF"/>
        </w:rPr>
        <w:t xml:space="preserve">, D.J., Cao, J., </w:t>
      </w:r>
      <w:proofErr w:type="spellStart"/>
      <w:r w:rsidRPr="007C0879">
        <w:rPr>
          <w:rFonts w:cs="Times New Roman"/>
          <w:szCs w:val="24"/>
          <w:shd w:val="clear" w:color="auto" w:fill="FFFFFF"/>
        </w:rPr>
        <w:t>Marcott</w:t>
      </w:r>
      <w:proofErr w:type="spellEnd"/>
      <w:r w:rsidRPr="007C0879">
        <w:rPr>
          <w:rFonts w:cs="Times New Roman"/>
          <w:szCs w:val="24"/>
          <w:shd w:val="clear" w:color="auto" w:fill="FFFFFF"/>
        </w:rPr>
        <w:t>, S., Masson-</w:t>
      </w:r>
      <w:proofErr w:type="spellStart"/>
      <w:r w:rsidRPr="007C0879">
        <w:rPr>
          <w:rFonts w:cs="Times New Roman"/>
          <w:szCs w:val="24"/>
          <w:shd w:val="clear" w:color="auto" w:fill="FFFFFF"/>
        </w:rPr>
        <w:t>Delmotte</w:t>
      </w:r>
      <w:proofErr w:type="spellEnd"/>
      <w:r w:rsidRPr="007C0879">
        <w:rPr>
          <w:rFonts w:cs="Times New Roman"/>
          <w:szCs w:val="24"/>
          <w:shd w:val="clear" w:color="auto" w:fill="FFFFFF"/>
        </w:rPr>
        <w:t xml:space="preserve">, V., Prather, M.J., </w:t>
      </w:r>
      <w:proofErr w:type="spellStart"/>
      <w:r w:rsidRPr="007C0879">
        <w:rPr>
          <w:rFonts w:cs="Times New Roman"/>
          <w:szCs w:val="24"/>
          <w:shd w:val="clear" w:color="auto" w:fill="FFFFFF"/>
        </w:rPr>
        <w:t>Rohling</w:t>
      </w:r>
      <w:proofErr w:type="spellEnd"/>
      <w:r w:rsidRPr="007C0879">
        <w:rPr>
          <w:rFonts w:cs="Times New Roman"/>
          <w:szCs w:val="24"/>
          <w:shd w:val="clear" w:color="auto" w:fill="FFFFFF"/>
        </w:rPr>
        <w:t xml:space="preserve">, E.J., &amp; </w:t>
      </w:r>
      <w:proofErr w:type="spellStart"/>
      <w:r w:rsidRPr="007C0879">
        <w:rPr>
          <w:rFonts w:cs="Times New Roman"/>
          <w:szCs w:val="24"/>
          <w:shd w:val="clear" w:color="auto" w:fill="FFFFFF"/>
        </w:rPr>
        <w:t>Shakun</w:t>
      </w:r>
      <w:proofErr w:type="spellEnd"/>
      <w:r w:rsidRPr="007C0879">
        <w:rPr>
          <w:rFonts w:cs="Times New Roman"/>
          <w:szCs w:val="24"/>
          <w:shd w:val="clear" w:color="auto" w:fill="FFFFFF"/>
        </w:rPr>
        <w:t xml:space="preserve">, J. (2017). Young people's burden: requirement of negative CO 2 emissions. </w:t>
      </w:r>
      <w:r w:rsidRPr="007C0879">
        <w:rPr>
          <w:rFonts w:cs="Times New Roman"/>
          <w:i/>
          <w:iCs/>
          <w:szCs w:val="24"/>
          <w:shd w:val="clear" w:color="auto" w:fill="FFFFFF"/>
        </w:rPr>
        <w:t>Earth System Dynamics</w:t>
      </w:r>
      <w:r w:rsidRPr="007C0879">
        <w:rPr>
          <w:rFonts w:cs="Times New Roman"/>
          <w:szCs w:val="24"/>
          <w:shd w:val="clear" w:color="auto" w:fill="FFFFFF"/>
        </w:rPr>
        <w:t>, 8(3), 577-616.</w:t>
      </w:r>
    </w:p>
    <w:p w14:paraId="1FF3C849" w14:textId="77777777" w:rsidR="00623D1F" w:rsidRPr="007C0879" w:rsidRDefault="00623D1F" w:rsidP="00623D1F">
      <w:pPr>
        <w:pStyle w:val="html-xx"/>
        <w:shd w:val="clear" w:color="auto" w:fill="FFFFFF"/>
        <w:spacing w:before="0" w:beforeAutospacing="0" w:after="160" w:afterAutospacing="0"/>
        <w:rPr>
          <w:shd w:val="clear" w:color="auto" w:fill="FFFFFF"/>
        </w:rPr>
      </w:pPr>
      <w:r w:rsidRPr="007C0879">
        <w:rPr>
          <w:shd w:val="clear" w:color="auto" w:fill="FFFFFF"/>
        </w:rPr>
        <w:t>Hartmann, P., Straetmans, S., &amp; Vries, C.D. (2004). Asset market linkages in crisis periods. </w:t>
      </w:r>
      <w:r w:rsidRPr="007C0879">
        <w:rPr>
          <w:i/>
          <w:iCs/>
          <w:shd w:val="clear" w:color="auto" w:fill="FFFFFF"/>
        </w:rPr>
        <w:t>Review of Economics and Statistics</w:t>
      </w:r>
      <w:r w:rsidRPr="007C0879">
        <w:rPr>
          <w:shd w:val="clear" w:color="auto" w:fill="FFFFFF"/>
        </w:rPr>
        <w:t>, </w:t>
      </w:r>
      <w:r w:rsidRPr="007C0879">
        <w:rPr>
          <w:i/>
          <w:iCs/>
          <w:shd w:val="clear" w:color="auto" w:fill="FFFFFF"/>
        </w:rPr>
        <w:t>86</w:t>
      </w:r>
      <w:r w:rsidRPr="007C0879">
        <w:rPr>
          <w:shd w:val="clear" w:color="auto" w:fill="FFFFFF"/>
        </w:rPr>
        <w:t>(1), 313-326.</w:t>
      </w:r>
    </w:p>
    <w:p w14:paraId="66575C54" w14:textId="77777777" w:rsidR="00623D1F" w:rsidRPr="007C0879" w:rsidRDefault="00623D1F" w:rsidP="00623D1F">
      <w:pPr>
        <w:pStyle w:val="html-xx"/>
        <w:shd w:val="clear" w:color="auto" w:fill="FFFFFF"/>
        <w:spacing w:before="0" w:beforeAutospacing="0" w:after="160" w:afterAutospacing="0"/>
      </w:pPr>
      <w:r w:rsidRPr="007C0879">
        <w:t>Health Management. A Closer Look at Financial Performance in Healthcare. </w:t>
      </w:r>
      <w:r w:rsidRPr="007C0879">
        <w:rPr>
          <w:rStyle w:val="html-italic"/>
          <w:i/>
          <w:iCs/>
        </w:rPr>
        <w:t>HealthManagement.org</w:t>
      </w:r>
      <w:r w:rsidRPr="007C0879">
        <w:t>. (2016). Volume 16. Available online: </w:t>
      </w:r>
      <w:hyperlink r:id="rId23" w:tgtFrame="_blank" w:history="1">
        <w:r w:rsidRPr="007C0879">
          <w:t>https://healthmanagement.org/c/healthmanagement/issuearticle/a-closer-look-at-financial-performance-in-healthcare-1</w:t>
        </w:r>
      </w:hyperlink>
      <w:r w:rsidRPr="007C0879">
        <w:t> (accessed on 17 December 2022).</w:t>
      </w:r>
    </w:p>
    <w:p w14:paraId="407DEB1E" w14:textId="77777777" w:rsidR="00623D1F" w:rsidRPr="007C0879" w:rsidRDefault="00623D1F" w:rsidP="00623D1F">
      <w:pPr>
        <w:widowControl w:val="0"/>
        <w:autoSpaceDE w:val="0"/>
        <w:autoSpaceDN w:val="0"/>
        <w:adjustRightInd w:val="0"/>
        <w:spacing w:line="240" w:lineRule="auto"/>
        <w:rPr>
          <w:rFonts w:cs="Times New Roman"/>
          <w:szCs w:val="24"/>
          <w:lang w:val="en-US"/>
        </w:rPr>
      </w:pPr>
      <w:r w:rsidRPr="007C0879">
        <w:rPr>
          <w:rFonts w:cs="Times New Roman"/>
          <w:szCs w:val="24"/>
          <w:lang w:val="en-US"/>
        </w:rPr>
        <w:t xml:space="preserve">Hill, B.M., (1975). A Simple General Approach to Inference About the Tail of a Distribution. </w:t>
      </w:r>
      <w:r w:rsidRPr="007C0879">
        <w:rPr>
          <w:rFonts w:cs="Times New Roman"/>
          <w:i/>
          <w:iCs/>
          <w:szCs w:val="24"/>
          <w:lang w:val="en-US"/>
        </w:rPr>
        <w:t>The Annals of Statistics</w:t>
      </w:r>
      <w:r w:rsidRPr="007C0879">
        <w:rPr>
          <w:rFonts w:cs="Times New Roman"/>
          <w:szCs w:val="24"/>
          <w:lang w:val="en-US"/>
        </w:rPr>
        <w:t>, 3(5), 1163–1174.</w:t>
      </w:r>
    </w:p>
    <w:p w14:paraId="39B1A741" w14:textId="77777777" w:rsidR="00623D1F" w:rsidRPr="007C0879" w:rsidRDefault="00623D1F" w:rsidP="00623D1F">
      <w:pPr>
        <w:widowControl w:val="0"/>
        <w:autoSpaceDE w:val="0"/>
        <w:autoSpaceDN w:val="0"/>
        <w:adjustRightInd w:val="0"/>
        <w:spacing w:line="240" w:lineRule="auto"/>
        <w:rPr>
          <w:rFonts w:cs="Times New Roman"/>
          <w:szCs w:val="24"/>
          <w:lang w:val="en-US"/>
        </w:rPr>
      </w:pPr>
      <w:bookmarkStart w:id="18" w:name="_Hlk137978598"/>
      <w:r w:rsidRPr="007C0879">
        <w:rPr>
          <w:rFonts w:cs="Times New Roman"/>
          <w:szCs w:val="24"/>
          <w:lang w:val="en-US"/>
        </w:rPr>
        <w:t xml:space="preserve">Huang, C.D., </w:t>
      </w:r>
      <w:proofErr w:type="spellStart"/>
      <w:r w:rsidRPr="007C0879">
        <w:rPr>
          <w:rFonts w:cs="Times New Roman"/>
          <w:szCs w:val="24"/>
          <w:lang w:val="en-US"/>
        </w:rPr>
        <w:t>Baghersad</w:t>
      </w:r>
      <w:proofErr w:type="spellEnd"/>
      <w:r w:rsidRPr="007C0879">
        <w:rPr>
          <w:rFonts w:cs="Times New Roman"/>
          <w:szCs w:val="24"/>
          <w:lang w:val="en-US"/>
        </w:rPr>
        <w:t xml:space="preserve">, M., </w:t>
      </w:r>
      <w:proofErr w:type="spellStart"/>
      <w:r w:rsidRPr="007C0879">
        <w:rPr>
          <w:rFonts w:cs="Times New Roman"/>
          <w:szCs w:val="24"/>
          <w:lang w:val="en-US"/>
        </w:rPr>
        <w:t>Behara</w:t>
      </w:r>
      <w:proofErr w:type="spellEnd"/>
      <w:r w:rsidRPr="007C0879">
        <w:rPr>
          <w:rFonts w:cs="Times New Roman"/>
          <w:szCs w:val="24"/>
          <w:lang w:val="en-US"/>
        </w:rPr>
        <w:t xml:space="preserve">, R.S., &amp; Zobel, C.W. (2022). Optimal investment in prevention and recovery for mitigating epidemic risks. </w:t>
      </w:r>
      <w:r w:rsidRPr="007C0879">
        <w:rPr>
          <w:rFonts w:cs="Times New Roman"/>
          <w:i/>
          <w:iCs/>
          <w:szCs w:val="24"/>
          <w:lang w:val="en-US"/>
        </w:rPr>
        <w:t>Risk Analysis,</w:t>
      </w:r>
      <w:r w:rsidRPr="007C0879">
        <w:rPr>
          <w:rFonts w:cs="Times New Roman"/>
          <w:szCs w:val="24"/>
          <w:lang w:val="en-US"/>
        </w:rPr>
        <w:t xml:space="preserve"> 42(1), 206-220.</w:t>
      </w:r>
    </w:p>
    <w:bookmarkEnd w:id="18"/>
    <w:p w14:paraId="6F6A3BC8" w14:textId="77777777" w:rsidR="00623D1F" w:rsidRPr="007C0879" w:rsidRDefault="00623D1F" w:rsidP="00623D1F">
      <w:pPr>
        <w:pStyle w:val="html-xx"/>
        <w:shd w:val="clear" w:color="auto" w:fill="FFFFFF"/>
        <w:spacing w:before="0" w:beforeAutospacing="0" w:after="160" w:afterAutospacing="0"/>
      </w:pPr>
      <w:r w:rsidRPr="007C0879">
        <w:t>IBM. (2022). Healthcare Performance Measurements. Available online: </w:t>
      </w:r>
      <w:hyperlink r:id="rId24" w:tgtFrame="_blank" w:history="1">
        <w:r w:rsidRPr="007C0879">
          <w:rPr>
            <w:rFonts w:eastAsiaTheme="minorHAnsi"/>
            <w:shd w:val="clear" w:color="auto" w:fill="FFFFFF"/>
            <w:lang w:eastAsia="en-US"/>
          </w:rPr>
          <w:t>https://www.ibm.com/watson-health/learn/healthcare-performance-measurements</w:t>
        </w:r>
      </w:hyperlink>
      <w:r w:rsidRPr="007C0879">
        <w:t> (accessed on 17 December 2022).</w:t>
      </w:r>
    </w:p>
    <w:p w14:paraId="59845952" w14:textId="77777777" w:rsidR="00623D1F" w:rsidRPr="007C0879" w:rsidRDefault="00623D1F" w:rsidP="00623D1F">
      <w:pPr>
        <w:spacing w:line="240" w:lineRule="auto"/>
        <w:rPr>
          <w:rFonts w:cs="Times New Roman"/>
          <w:szCs w:val="24"/>
          <w:shd w:val="clear" w:color="auto" w:fill="FFFFFF"/>
        </w:rPr>
      </w:pPr>
      <w:r w:rsidRPr="007C0879">
        <w:rPr>
          <w:rFonts w:cs="Times New Roman"/>
          <w:szCs w:val="24"/>
          <w:shd w:val="clear" w:color="auto" w:fill="FFFFFF"/>
        </w:rPr>
        <w:t>Ilhan, E., Krueger, P., Sautner, Z., &amp; Starks, L.T. (2022). Climate risk disclosure and institutional investors. </w:t>
      </w:r>
      <w:r w:rsidRPr="007C0879">
        <w:rPr>
          <w:rFonts w:cs="Times New Roman"/>
          <w:i/>
          <w:iCs/>
          <w:szCs w:val="24"/>
          <w:shd w:val="clear" w:color="auto" w:fill="FFFFFF"/>
        </w:rPr>
        <w:t>Swiss Finance Institute Research Paper</w:t>
      </w:r>
      <w:r w:rsidRPr="007C0879">
        <w:rPr>
          <w:rFonts w:cs="Times New Roman"/>
          <w:szCs w:val="24"/>
          <w:shd w:val="clear" w:color="auto" w:fill="FFFFFF"/>
        </w:rPr>
        <w:t>, (19-66).</w:t>
      </w:r>
    </w:p>
    <w:p w14:paraId="45638DC2" w14:textId="77777777" w:rsidR="00623D1F" w:rsidRPr="007C0879" w:rsidRDefault="00623D1F" w:rsidP="00623D1F">
      <w:pPr>
        <w:spacing w:line="240" w:lineRule="auto"/>
        <w:rPr>
          <w:rFonts w:cs="Times New Roman"/>
          <w:szCs w:val="24"/>
          <w:shd w:val="clear" w:color="auto" w:fill="FFFFFF"/>
        </w:rPr>
      </w:pPr>
      <w:r w:rsidRPr="007C0879">
        <w:rPr>
          <w:rFonts w:cs="Times New Roman"/>
          <w:szCs w:val="24"/>
          <w:shd w:val="clear" w:color="auto" w:fill="FFFFFF"/>
        </w:rPr>
        <w:t xml:space="preserve">Ilhan, E., Sautner, Z., &amp; </w:t>
      </w:r>
      <w:proofErr w:type="spellStart"/>
      <w:r w:rsidRPr="007C0879">
        <w:rPr>
          <w:rFonts w:cs="Times New Roman"/>
          <w:szCs w:val="24"/>
          <w:shd w:val="clear" w:color="auto" w:fill="FFFFFF"/>
        </w:rPr>
        <w:t>Vilkov</w:t>
      </w:r>
      <w:proofErr w:type="spellEnd"/>
      <w:r w:rsidRPr="007C0879">
        <w:rPr>
          <w:rFonts w:cs="Times New Roman"/>
          <w:szCs w:val="24"/>
          <w:shd w:val="clear" w:color="auto" w:fill="FFFFFF"/>
        </w:rPr>
        <w:t>, G. (2021). Carbon tail risk. </w:t>
      </w:r>
      <w:r w:rsidRPr="007C0879">
        <w:rPr>
          <w:rFonts w:cs="Times New Roman"/>
          <w:i/>
          <w:iCs/>
          <w:szCs w:val="24"/>
          <w:shd w:val="clear" w:color="auto" w:fill="FFFFFF"/>
        </w:rPr>
        <w:t>The Review of Financial Studies</w:t>
      </w:r>
      <w:r w:rsidRPr="007C0879">
        <w:rPr>
          <w:rFonts w:cs="Times New Roman"/>
          <w:szCs w:val="24"/>
          <w:shd w:val="clear" w:color="auto" w:fill="FFFFFF"/>
        </w:rPr>
        <w:t>, </w:t>
      </w:r>
      <w:r w:rsidRPr="007C0879">
        <w:rPr>
          <w:rFonts w:cs="Times New Roman"/>
          <w:i/>
          <w:iCs/>
          <w:szCs w:val="24"/>
          <w:shd w:val="clear" w:color="auto" w:fill="FFFFFF"/>
        </w:rPr>
        <w:t>34</w:t>
      </w:r>
      <w:r w:rsidRPr="007C0879">
        <w:rPr>
          <w:rFonts w:cs="Times New Roman"/>
          <w:szCs w:val="24"/>
          <w:shd w:val="clear" w:color="auto" w:fill="FFFFFF"/>
        </w:rPr>
        <w:t>(3), 1540-1571.</w:t>
      </w:r>
    </w:p>
    <w:p w14:paraId="174225B1" w14:textId="77777777" w:rsidR="00623D1F" w:rsidRPr="007C0879" w:rsidRDefault="00623D1F" w:rsidP="00623D1F">
      <w:pPr>
        <w:spacing w:line="240" w:lineRule="auto"/>
        <w:rPr>
          <w:rFonts w:cs="Times New Roman"/>
          <w:szCs w:val="24"/>
          <w:shd w:val="clear" w:color="auto" w:fill="FFFFFF"/>
        </w:rPr>
      </w:pPr>
      <w:proofErr w:type="spellStart"/>
      <w:r w:rsidRPr="007C0879">
        <w:rPr>
          <w:rFonts w:cs="Times New Roman"/>
          <w:szCs w:val="24"/>
          <w:shd w:val="clear" w:color="auto" w:fill="FFFFFF"/>
        </w:rPr>
        <w:t>Ioannou</w:t>
      </w:r>
      <w:proofErr w:type="spellEnd"/>
      <w:r w:rsidRPr="007C0879">
        <w:rPr>
          <w:rFonts w:cs="Times New Roman"/>
          <w:szCs w:val="24"/>
          <w:shd w:val="clear" w:color="auto" w:fill="FFFFFF"/>
        </w:rPr>
        <w:t xml:space="preserve">, I., &amp; </w:t>
      </w:r>
      <w:proofErr w:type="spellStart"/>
      <w:r w:rsidRPr="007C0879">
        <w:rPr>
          <w:rFonts w:cs="Times New Roman"/>
          <w:szCs w:val="24"/>
          <w:shd w:val="clear" w:color="auto" w:fill="FFFFFF"/>
        </w:rPr>
        <w:t>Serafeim</w:t>
      </w:r>
      <w:proofErr w:type="spellEnd"/>
      <w:r w:rsidRPr="007C0879">
        <w:rPr>
          <w:rFonts w:cs="Times New Roman"/>
          <w:szCs w:val="24"/>
          <w:shd w:val="clear" w:color="auto" w:fill="FFFFFF"/>
        </w:rPr>
        <w:t xml:space="preserve">, G. (2021). Corporate sustainability: a strategy? </w:t>
      </w:r>
      <w:r w:rsidRPr="007C0879">
        <w:rPr>
          <w:rFonts w:cs="Times New Roman"/>
          <w:i/>
          <w:iCs/>
          <w:szCs w:val="24"/>
          <w:shd w:val="clear" w:color="auto" w:fill="FFFFFF"/>
        </w:rPr>
        <w:t xml:space="preserve">Harvard Business School Accounting &amp; Management Unit Working Paper, </w:t>
      </w:r>
      <w:r w:rsidRPr="007C0879">
        <w:rPr>
          <w:rFonts w:cs="Times New Roman"/>
          <w:szCs w:val="24"/>
          <w:shd w:val="clear" w:color="auto" w:fill="FFFFFF"/>
        </w:rPr>
        <w:t>19-065.</w:t>
      </w:r>
    </w:p>
    <w:p w14:paraId="5FACC573" w14:textId="77777777" w:rsidR="00623D1F" w:rsidRPr="007C0879" w:rsidRDefault="00623D1F" w:rsidP="00623D1F">
      <w:pPr>
        <w:spacing w:line="240" w:lineRule="auto"/>
        <w:rPr>
          <w:rFonts w:cs="Times New Roman"/>
          <w:szCs w:val="24"/>
          <w:shd w:val="clear" w:color="auto" w:fill="FFFFFF"/>
        </w:rPr>
      </w:pPr>
      <w:r w:rsidRPr="007C0879">
        <w:rPr>
          <w:rFonts w:cs="Times New Roman"/>
          <w:szCs w:val="24"/>
          <w:shd w:val="clear" w:color="auto" w:fill="FFFFFF"/>
        </w:rPr>
        <w:t xml:space="preserve">Iyer, S.R., Sankaran, H., &amp; Walsh, S.T. (2020). Influence of director expertise on capital structure and cash holdings in high-tech firms. </w:t>
      </w:r>
      <w:r w:rsidRPr="007C0879">
        <w:rPr>
          <w:rFonts w:cs="Times New Roman"/>
          <w:i/>
          <w:iCs/>
          <w:szCs w:val="24"/>
          <w:shd w:val="clear" w:color="auto" w:fill="FFFFFF"/>
        </w:rPr>
        <w:t>Technological Forecasting and Social Change</w:t>
      </w:r>
      <w:r w:rsidRPr="007C0879">
        <w:rPr>
          <w:rFonts w:cs="Times New Roman"/>
          <w:szCs w:val="24"/>
          <w:shd w:val="clear" w:color="auto" w:fill="FFFFFF"/>
        </w:rPr>
        <w:t>, 158, p.120060.</w:t>
      </w:r>
    </w:p>
    <w:p w14:paraId="021FB7EE" w14:textId="77777777" w:rsidR="00623D1F" w:rsidRPr="007C0879" w:rsidRDefault="00623D1F" w:rsidP="00623D1F">
      <w:pPr>
        <w:spacing w:line="240" w:lineRule="auto"/>
        <w:rPr>
          <w:rFonts w:cs="Times New Roman"/>
          <w:szCs w:val="24"/>
          <w:shd w:val="clear" w:color="auto" w:fill="FFFFFF"/>
        </w:rPr>
      </w:pPr>
      <w:proofErr w:type="spellStart"/>
      <w:r w:rsidRPr="007C0879">
        <w:rPr>
          <w:rFonts w:cs="Times New Roman"/>
          <w:szCs w:val="24"/>
          <w:shd w:val="clear" w:color="auto" w:fill="FFFFFF"/>
        </w:rPr>
        <w:t>Jeurissen</w:t>
      </w:r>
      <w:proofErr w:type="spellEnd"/>
      <w:r w:rsidRPr="007C0879">
        <w:rPr>
          <w:rFonts w:cs="Times New Roman"/>
          <w:szCs w:val="24"/>
          <w:shd w:val="clear" w:color="auto" w:fill="FFFFFF"/>
        </w:rPr>
        <w:t>, P. (2010). </w:t>
      </w:r>
      <w:r w:rsidRPr="007C0879">
        <w:rPr>
          <w:rFonts w:cs="Times New Roman"/>
          <w:i/>
          <w:iCs/>
          <w:szCs w:val="24"/>
          <w:shd w:val="clear" w:color="auto" w:fill="FFFFFF"/>
        </w:rPr>
        <w:t>For-profit Hospitals: A comparative and longitudinal study of the for-profit hospital sector in four Western countries</w:t>
      </w:r>
      <w:r w:rsidRPr="007C0879">
        <w:rPr>
          <w:rFonts w:cs="Times New Roman"/>
          <w:szCs w:val="24"/>
          <w:shd w:val="clear" w:color="auto" w:fill="FFFFFF"/>
        </w:rPr>
        <w:t xml:space="preserve">. Erasmus University Repository. </w:t>
      </w:r>
    </w:p>
    <w:p w14:paraId="15DFCF33" w14:textId="77777777" w:rsidR="00623D1F" w:rsidRPr="007C0879" w:rsidRDefault="00623D1F" w:rsidP="00623D1F">
      <w:pPr>
        <w:pStyle w:val="html-xx"/>
        <w:shd w:val="clear" w:color="auto" w:fill="FFFFFF"/>
        <w:spacing w:before="0" w:beforeAutospacing="0" w:after="160" w:afterAutospacing="0"/>
      </w:pPr>
      <w:r w:rsidRPr="007C0879">
        <w:t>King, R. (2022). Large Hospitals Chains Post Profits in 2020 Thanks to Higher Acuity and Liquidity. </w:t>
      </w:r>
      <w:r w:rsidRPr="007C0879">
        <w:rPr>
          <w:rStyle w:val="html-italic"/>
          <w:i/>
          <w:iCs/>
        </w:rPr>
        <w:t>Fierce Healthcare</w:t>
      </w:r>
      <w:r w:rsidRPr="007C0879">
        <w:t>. 2021. Available online: </w:t>
      </w:r>
      <w:hyperlink r:id="rId25" w:tgtFrame="_blank" w:history="1">
        <w:r w:rsidRPr="007C0879">
          <w:t>https://www.fiercehealthcare.com/hospitals/large-hospital-chains-post-profits-2020-thanks-to-higher-acuity-and-liquidity</w:t>
        </w:r>
      </w:hyperlink>
      <w:r w:rsidRPr="007C0879">
        <w:t> (accessed on 17 December 2022).</w:t>
      </w:r>
    </w:p>
    <w:p w14:paraId="461C91AD" w14:textId="77777777" w:rsidR="00623D1F" w:rsidRPr="007C0879" w:rsidRDefault="00623D1F" w:rsidP="00623D1F">
      <w:pPr>
        <w:spacing w:line="240" w:lineRule="auto"/>
        <w:rPr>
          <w:rFonts w:cs="Times New Roman"/>
          <w:szCs w:val="24"/>
          <w:shd w:val="clear" w:color="auto" w:fill="FFFFFF"/>
        </w:rPr>
      </w:pPr>
      <w:r w:rsidRPr="007C0879">
        <w:rPr>
          <w:rFonts w:cs="Times New Roman"/>
          <w:szCs w:val="24"/>
          <w:shd w:val="clear" w:color="auto" w:fill="FFFFFF"/>
        </w:rPr>
        <w:lastRenderedPageBreak/>
        <w:t>Kirkland, L.H., &amp; Thompson, D. (1999). Challenges in designing, implementing and operating an environmental management system. </w:t>
      </w:r>
      <w:r w:rsidRPr="007C0879">
        <w:rPr>
          <w:rFonts w:cs="Times New Roman"/>
          <w:i/>
          <w:iCs/>
          <w:szCs w:val="24"/>
          <w:shd w:val="clear" w:color="auto" w:fill="FFFFFF"/>
        </w:rPr>
        <w:t>Business Strategy and the Environment</w:t>
      </w:r>
      <w:r w:rsidRPr="007C0879">
        <w:rPr>
          <w:rFonts w:cs="Times New Roman"/>
          <w:szCs w:val="24"/>
          <w:shd w:val="clear" w:color="auto" w:fill="FFFFFF"/>
        </w:rPr>
        <w:t>, </w:t>
      </w:r>
      <w:r w:rsidRPr="007C0879">
        <w:rPr>
          <w:rFonts w:cs="Times New Roman"/>
          <w:i/>
          <w:iCs/>
          <w:szCs w:val="24"/>
          <w:shd w:val="clear" w:color="auto" w:fill="FFFFFF"/>
        </w:rPr>
        <w:t>8</w:t>
      </w:r>
      <w:r w:rsidRPr="007C0879">
        <w:rPr>
          <w:rFonts w:cs="Times New Roman"/>
          <w:szCs w:val="24"/>
          <w:shd w:val="clear" w:color="auto" w:fill="FFFFFF"/>
        </w:rPr>
        <w:t>(2), 128-143.</w:t>
      </w:r>
    </w:p>
    <w:p w14:paraId="510D6287" w14:textId="77777777" w:rsidR="00623D1F" w:rsidRPr="007C0879" w:rsidRDefault="00623D1F" w:rsidP="00623D1F">
      <w:pPr>
        <w:widowControl w:val="0"/>
        <w:autoSpaceDE w:val="0"/>
        <w:autoSpaceDN w:val="0"/>
        <w:adjustRightInd w:val="0"/>
        <w:spacing w:line="240" w:lineRule="auto"/>
        <w:rPr>
          <w:rFonts w:cs="Times New Roman"/>
          <w:szCs w:val="24"/>
          <w:lang w:val="en-US"/>
        </w:rPr>
      </w:pPr>
      <w:proofErr w:type="spellStart"/>
      <w:r w:rsidRPr="007C0879">
        <w:rPr>
          <w:rFonts w:cs="Times New Roman"/>
          <w:szCs w:val="24"/>
          <w:lang w:val="en-US"/>
        </w:rPr>
        <w:t>Klinke</w:t>
      </w:r>
      <w:proofErr w:type="spellEnd"/>
      <w:r w:rsidRPr="007C0879">
        <w:rPr>
          <w:rFonts w:cs="Times New Roman"/>
          <w:szCs w:val="24"/>
          <w:lang w:val="en-US"/>
        </w:rPr>
        <w:t xml:space="preserve">, A., &amp; </w:t>
      </w:r>
      <w:proofErr w:type="spellStart"/>
      <w:r w:rsidRPr="007C0879">
        <w:rPr>
          <w:rFonts w:cs="Times New Roman"/>
          <w:szCs w:val="24"/>
          <w:lang w:val="en-US"/>
        </w:rPr>
        <w:t>Renn</w:t>
      </w:r>
      <w:proofErr w:type="spellEnd"/>
      <w:r w:rsidRPr="007C0879">
        <w:rPr>
          <w:rFonts w:cs="Times New Roman"/>
          <w:szCs w:val="24"/>
          <w:lang w:val="en-US"/>
        </w:rPr>
        <w:t xml:space="preserve">, O. (2021). The Coming of Age of Risk Governance. </w:t>
      </w:r>
      <w:r w:rsidRPr="007C0879">
        <w:rPr>
          <w:rFonts w:cs="Times New Roman"/>
          <w:i/>
          <w:iCs/>
          <w:szCs w:val="24"/>
          <w:lang w:val="en-US"/>
        </w:rPr>
        <w:t>Risk Analysis</w:t>
      </w:r>
      <w:r w:rsidRPr="007C0879">
        <w:rPr>
          <w:rFonts w:cs="Times New Roman"/>
          <w:szCs w:val="24"/>
          <w:lang w:val="en-US"/>
        </w:rPr>
        <w:t xml:space="preserve">, 41(3), 544–557. </w:t>
      </w:r>
    </w:p>
    <w:p w14:paraId="0989B63B" w14:textId="77777777" w:rsidR="00623D1F" w:rsidRPr="007C0879" w:rsidRDefault="00623D1F" w:rsidP="00623D1F">
      <w:pPr>
        <w:spacing w:line="240" w:lineRule="auto"/>
        <w:rPr>
          <w:rFonts w:cs="Times New Roman"/>
          <w:szCs w:val="24"/>
          <w:shd w:val="clear" w:color="auto" w:fill="FFFFFF"/>
        </w:rPr>
      </w:pPr>
      <w:r w:rsidRPr="007C0879">
        <w:rPr>
          <w:rFonts w:cs="Times New Roman"/>
          <w:szCs w:val="24"/>
          <w:shd w:val="clear" w:color="auto" w:fill="FFFFFF"/>
        </w:rPr>
        <w:t xml:space="preserve">Kron, W., </w:t>
      </w:r>
      <w:proofErr w:type="spellStart"/>
      <w:r w:rsidRPr="007C0879">
        <w:rPr>
          <w:rFonts w:cs="Times New Roman"/>
          <w:szCs w:val="24"/>
          <w:shd w:val="clear" w:color="auto" w:fill="FFFFFF"/>
        </w:rPr>
        <w:t>Löw</w:t>
      </w:r>
      <w:proofErr w:type="spellEnd"/>
      <w:r w:rsidRPr="007C0879">
        <w:rPr>
          <w:rFonts w:cs="Times New Roman"/>
          <w:szCs w:val="24"/>
          <w:shd w:val="clear" w:color="auto" w:fill="FFFFFF"/>
        </w:rPr>
        <w:t xml:space="preserve">, P., &amp; </w:t>
      </w:r>
      <w:proofErr w:type="spellStart"/>
      <w:r w:rsidRPr="007C0879">
        <w:rPr>
          <w:rFonts w:cs="Times New Roman"/>
          <w:szCs w:val="24"/>
          <w:shd w:val="clear" w:color="auto" w:fill="FFFFFF"/>
        </w:rPr>
        <w:t>Kundzewicz</w:t>
      </w:r>
      <w:proofErr w:type="spellEnd"/>
      <w:r w:rsidRPr="007C0879">
        <w:rPr>
          <w:rFonts w:cs="Times New Roman"/>
          <w:szCs w:val="24"/>
          <w:shd w:val="clear" w:color="auto" w:fill="FFFFFF"/>
        </w:rPr>
        <w:t>, Z.W. (2019). Changes in risk of extreme weather events in Europe. </w:t>
      </w:r>
      <w:r w:rsidRPr="007C0879">
        <w:rPr>
          <w:rFonts w:cs="Times New Roman"/>
          <w:i/>
          <w:iCs/>
          <w:szCs w:val="24"/>
          <w:shd w:val="clear" w:color="auto" w:fill="FFFFFF"/>
        </w:rPr>
        <w:t>Environmental Science &amp; Policy</w:t>
      </w:r>
      <w:r w:rsidRPr="007C0879">
        <w:rPr>
          <w:rFonts w:cs="Times New Roman"/>
          <w:szCs w:val="24"/>
          <w:shd w:val="clear" w:color="auto" w:fill="FFFFFF"/>
        </w:rPr>
        <w:t>, </w:t>
      </w:r>
      <w:r w:rsidRPr="007C0879">
        <w:rPr>
          <w:rFonts w:cs="Times New Roman"/>
          <w:i/>
          <w:iCs/>
          <w:szCs w:val="24"/>
          <w:shd w:val="clear" w:color="auto" w:fill="FFFFFF"/>
        </w:rPr>
        <w:t>100</w:t>
      </w:r>
      <w:r w:rsidRPr="007C0879">
        <w:rPr>
          <w:rFonts w:cs="Times New Roman"/>
          <w:szCs w:val="24"/>
          <w:shd w:val="clear" w:color="auto" w:fill="FFFFFF"/>
        </w:rPr>
        <w:t>, 74-83.</w:t>
      </w:r>
    </w:p>
    <w:p w14:paraId="0320991A" w14:textId="77777777" w:rsidR="00623D1F" w:rsidRPr="007C0879" w:rsidRDefault="00623D1F" w:rsidP="00623D1F">
      <w:pPr>
        <w:widowControl w:val="0"/>
        <w:autoSpaceDE w:val="0"/>
        <w:autoSpaceDN w:val="0"/>
        <w:adjustRightInd w:val="0"/>
        <w:spacing w:line="240" w:lineRule="auto"/>
        <w:rPr>
          <w:rFonts w:cs="Times New Roman"/>
          <w:szCs w:val="24"/>
          <w:lang w:val="en-US"/>
        </w:rPr>
      </w:pPr>
      <w:proofErr w:type="spellStart"/>
      <w:r w:rsidRPr="007C0879">
        <w:rPr>
          <w:rFonts w:cs="Times New Roman"/>
          <w:szCs w:val="24"/>
          <w:lang w:val="en-US"/>
        </w:rPr>
        <w:t>Lábaj</w:t>
      </w:r>
      <w:proofErr w:type="spellEnd"/>
      <w:r w:rsidRPr="007C0879">
        <w:rPr>
          <w:rFonts w:cs="Times New Roman"/>
          <w:szCs w:val="24"/>
          <w:lang w:val="en-US"/>
        </w:rPr>
        <w:t xml:space="preserve">, M., Peter </w:t>
      </w:r>
      <w:proofErr w:type="spellStart"/>
      <w:r w:rsidRPr="007C0879">
        <w:rPr>
          <w:rFonts w:cs="Times New Roman"/>
          <w:szCs w:val="24"/>
          <w:lang w:val="en-US"/>
        </w:rPr>
        <w:t>Silanič</w:t>
      </w:r>
      <w:proofErr w:type="spellEnd"/>
      <w:r w:rsidRPr="007C0879">
        <w:rPr>
          <w:rFonts w:cs="Times New Roman"/>
          <w:szCs w:val="24"/>
          <w:lang w:val="en-US"/>
        </w:rPr>
        <w:t xml:space="preserve">, P., Weiss, C., &amp; </w:t>
      </w:r>
      <w:proofErr w:type="spellStart"/>
      <w:r w:rsidRPr="007C0879">
        <w:rPr>
          <w:rFonts w:cs="Times New Roman"/>
          <w:szCs w:val="24"/>
          <w:lang w:val="en-US"/>
        </w:rPr>
        <w:t>Yontcheva</w:t>
      </w:r>
      <w:proofErr w:type="spellEnd"/>
      <w:r w:rsidRPr="007C0879">
        <w:rPr>
          <w:rFonts w:cs="Times New Roman"/>
          <w:szCs w:val="24"/>
          <w:lang w:val="en-US"/>
        </w:rPr>
        <w:t xml:space="preserve">, B. (2018). Market structure and competition in the healthcare industry. </w:t>
      </w:r>
      <w:r w:rsidRPr="007C0879">
        <w:rPr>
          <w:rFonts w:cs="Times New Roman"/>
          <w:i/>
          <w:iCs/>
          <w:szCs w:val="24"/>
          <w:lang w:val="en-US"/>
        </w:rPr>
        <w:t>The European Journal of Health Economics</w:t>
      </w:r>
      <w:r w:rsidRPr="007C0879">
        <w:rPr>
          <w:rFonts w:cs="Times New Roman"/>
          <w:szCs w:val="24"/>
          <w:lang w:val="en-US"/>
        </w:rPr>
        <w:t>, 19(8), 1087–1110.</w:t>
      </w:r>
    </w:p>
    <w:p w14:paraId="149E3F9B" w14:textId="77777777" w:rsidR="00623D1F" w:rsidRPr="007C0879" w:rsidRDefault="00623D1F" w:rsidP="00623D1F">
      <w:pPr>
        <w:widowControl w:val="0"/>
        <w:autoSpaceDE w:val="0"/>
        <w:autoSpaceDN w:val="0"/>
        <w:adjustRightInd w:val="0"/>
        <w:spacing w:line="240" w:lineRule="auto"/>
        <w:rPr>
          <w:rFonts w:cs="Times New Roman"/>
          <w:szCs w:val="24"/>
          <w:lang w:val="en-US"/>
        </w:rPr>
      </w:pPr>
      <w:r w:rsidRPr="007C0879">
        <w:rPr>
          <w:rFonts w:cs="Times New Roman"/>
          <w:szCs w:val="24"/>
          <w:lang w:val="en-US"/>
        </w:rPr>
        <w:t xml:space="preserve">Lean, H.H., &amp; </w:t>
      </w:r>
      <w:proofErr w:type="spellStart"/>
      <w:r w:rsidRPr="007C0879">
        <w:rPr>
          <w:rFonts w:cs="Times New Roman"/>
          <w:szCs w:val="24"/>
          <w:lang w:val="en-US"/>
        </w:rPr>
        <w:t>Pizzutilo</w:t>
      </w:r>
      <w:proofErr w:type="spellEnd"/>
      <w:r w:rsidRPr="007C0879">
        <w:rPr>
          <w:rFonts w:cs="Times New Roman"/>
          <w:szCs w:val="24"/>
          <w:lang w:val="en-US"/>
        </w:rPr>
        <w:t xml:space="preserve">, F. (2020). Performances and risk of socially responsible investments across regions during crisis. </w:t>
      </w:r>
      <w:r w:rsidRPr="007C0879">
        <w:rPr>
          <w:rFonts w:cs="Times New Roman"/>
          <w:i/>
          <w:iCs/>
          <w:szCs w:val="24"/>
          <w:lang w:val="en-US"/>
        </w:rPr>
        <w:t>International Journal of Finance &amp; Economics</w:t>
      </w:r>
      <w:r w:rsidRPr="007C0879">
        <w:rPr>
          <w:rFonts w:cs="Times New Roman"/>
          <w:szCs w:val="24"/>
          <w:lang w:val="en-US"/>
        </w:rPr>
        <w:t xml:space="preserve">, 26(3), 3556–3568. </w:t>
      </w:r>
    </w:p>
    <w:p w14:paraId="15FAE9E4" w14:textId="77777777" w:rsidR="00623D1F" w:rsidRPr="007C0879" w:rsidRDefault="00623D1F" w:rsidP="00623D1F">
      <w:pPr>
        <w:spacing w:line="240" w:lineRule="auto"/>
        <w:rPr>
          <w:rFonts w:cs="Times New Roman"/>
          <w:szCs w:val="24"/>
          <w:shd w:val="clear" w:color="auto" w:fill="FFFFFF"/>
        </w:rPr>
      </w:pPr>
      <w:proofErr w:type="spellStart"/>
      <w:r w:rsidRPr="007C0879">
        <w:rPr>
          <w:rFonts w:cs="Times New Roman"/>
          <w:szCs w:val="24"/>
          <w:shd w:val="clear" w:color="auto" w:fill="FFFFFF"/>
        </w:rPr>
        <w:t>Leuz</w:t>
      </w:r>
      <w:proofErr w:type="spellEnd"/>
      <w:r w:rsidRPr="007C0879">
        <w:rPr>
          <w:rFonts w:cs="Times New Roman"/>
          <w:szCs w:val="24"/>
          <w:shd w:val="clear" w:color="auto" w:fill="FFFFFF"/>
        </w:rPr>
        <w:t xml:space="preserve">, C., </w:t>
      </w:r>
      <w:proofErr w:type="spellStart"/>
      <w:r w:rsidRPr="007C0879">
        <w:rPr>
          <w:rFonts w:cs="Times New Roman"/>
          <w:szCs w:val="24"/>
          <w:shd w:val="clear" w:color="auto" w:fill="FFFFFF"/>
        </w:rPr>
        <w:t>Lins</w:t>
      </w:r>
      <w:proofErr w:type="spellEnd"/>
      <w:r w:rsidRPr="007C0879">
        <w:rPr>
          <w:rFonts w:cs="Times New Roman"/>
          <w:szCs w:val="24"/>
          <w:shd w:val="clear" w:color="auto" w:fill="FFFFFF"/>
        </w:rPr>
        <w:t>, K.V., &amp; Warnock, F.E. (2009). Do foreigners invest less in poorly governed firms?. </w:t>
      </w:r>
      <w:r w:rsidRPr="007C0879">
        <w:rPr>
          <w:rFonts w:cs="Times New Roman"/>
          <w:i/>
          <w:iCs/>
          <w:szCs w:val="24"/>
          <w:shd w:val="clear" w:color="auto" w:fill="FFFFFF"/>
        </w:rPr>
        <w:t>The Review of Financial Studies</w:t>
      </w:r>
      <w:r w:rsidRPr="007C0879">
        <w:rPr>
          <w:rFonts w:cs="Times New Roman"/>
          <w:szCs w:val="24"/>
          <w:shd w:val="clear" w:color="auto" w:fill="FFFFFF"/>
        </w:rPr>
        <w:t>, </w:t>
      </w:r>
      <w:r w:rsidRPr="007C0879">
        <w:rPr>
          <w:rFonts w:cs="Times New Roman"/>
          <w:i/>
          <w:iCs/>
          <w:szCs w:val="24"/>
          <w:shd w:val="clear" w:color="auto" w:fill="FFFFFF"/>
        </w:rPr>
        <w:t>22</w:t>
      </w:r>
      <w:r w:rsidRPr="007C0879">
        <w:rPr>
          <w:rFonts w:cs="Times New Roman"/>
          <w:szCs w:val="24"/>
          <w:shd w:val="clear" w:color="auto" w:fill="FFFFFF"/>
        </w:rPr>
        <w:t>(8), 3245-3285.</w:t>
      </w:r>
    </w:p>
    <w:p w14:paraId="55EB8C5F" w14:textId="77777777" w:rsidR="00623D1F" w:rsidRPr="007C0879" w:rsidRDefault="00623D1F" w:rsidP="00623D1F">
      <w:pPr>
        <w:spacing w:line="240" w:lineRule="auto"/>
        <w:rPr>
          <w:rFonts w:cs="Times New Roman"/>
          <w:szCs w:val="24"/>
          <w:shd w:val="clear" w:color="auto" w:fill="FFFFFF"/>
        </w:rPr>
      </w:pPr>
      <w:proofErr w:type="spellStart"/>
      <w:r w:rsidRPr="007C0879">
        <w:rPr>
          <w:rFonts w:cs="Times New Roman"/>
          <w:szCs w:val="24"/>
          <w:shd w:val="clear" w:color="auto" w:fill="FFFFFF"/>
        </w:rPr>
        <w:t>Leuz</w:t>
      </w:r>
      <w:proofErr w:type="spellEnd"/>
      <w:r w:rsidRPr="007C0879">
        <w:rPr>
          <w:rFonts w:cs="Times New Roman"/>
          <w:szCs w:val="24"/>
          <w:shd w:val="clear" w:color="auto" w:fill="FFFFFF"/>
        </w:rPr>
        <w:t>, C., Nanda, D., &amp; Wysocki, P.D. (2003). Earnings management and investor protection: an international comparison. </w:t>
      </w:r>
      <w:r w:rsidRPr="007C0879">
        <w:rPr>
          <w:rFonts w:cs="Times New Roman"/>
          <w:i/>
          <w:iCs/>
          <w:szCs w:val="24"/>
          <w:shd w:val="clear" w:color="auto" w:fill="FFFFFF"/>
        </w:rPr>
        <w:t>Journal of financial economics</w:t>
      </w:r>
      <w:r w:rsidRPr="007C0879">
        <w:rPr>
          <w:rFonts w:cs="Times New Roman"/>
          <w:szCs w:val="24"/>
          <w:shd w:val="clear" w:color="auto" w:fill="FFFFFF"/>
        </w:rPr>
        <w:t>, </w:t>
      </w:r>
      <w:r w:rsidRPr="007C0879">
        <w:rPr>
          <w:rFonts w:cs="Times New Roman"/>
          <w:i/>
          <w:iCs/>
          <w:szCs w:val="24"/>
          <w:shd w:val="clear" w:color="auto" w:fill="FFFFFF"/>
        </w:rPr>
        <w:t>69</w:t>
      </w:r>
      <w:r w:rsidRPr="007C0879">
        <w:rPr>
          <w:rFonts w:cs="Times New Roman"/>
          <w:szCs w:val="24"/>
          <w:shd w:val="clear" w:color="auto" w:fill="FFFFFF"/>
        </w:rPr>
        <w:t>(3), 505-527.</w:t>
      </w:r>
    </w:p>
    <w:p w14:paraId="4874E95C" w14:textId="77777777" w:rsidR="00623D1F" w:rsidRPr="007C0879" w:rsidRDefault="00623D1F" w:rsidP="00623D1F">
      <w:pPr>
        <w:pStyle w:val="html-xx"/>
        <w:shd w:val="clear" w:color="auto" w:fill="FFFFFF"/>
        <w:spacing w:before="0" w:beforeAutospacing="0" w:after="160" w:afterAutospacing="0"/>
        <w:rPr>
          <w:shd w:val="clear" w:color="auto" w:fill="FFFFFF"/>
        </w:rPr>
      </w:pPr>
      <w:r w:rsidRPr="007C0879">
        <w:rPr>
          <w:shd w:val="clear" w:color="auto" w:fill="FFFFFF"/>
        </w:rPr>
        <w:t xml:space="preserve">Lim, H., &amp; </w:t>
      </w:r>
      <w:proofErr w:type="spellStart"/>
      <w:r w:rsidRPr="007C0879">
        <w:rPr>
          <w:shd w:val="clear" w:color="auto" w:fill="FFFFFF"/>
        </w:rPr>
        <w:t>Rokhim</w:t>
      </w:r>
      <w:proofErr w:type="spellEnd"/>
      <w:r w:rsidRPr="007C0879">
        <w:rPr>
          <w:shd w:val="clear" w:color="auto" w:fill="FFFFFF"/>
        </w:rPr>
        <w:t>, R. (2020). Factors affecting profitability of pharmaceutical company: An Indonesian evidence. </w:t>
      </w:r>
      <w:r w:rsidRPr="007C0879">
        <w:rPr>
          <w:i/>
          <w:iCs/>
          <w:shd w:val="clear" w:color="auto" w:fill="FFFFFF"/>
        </w:rPr>
        <w:t>Journal of economic studies</w:t>
      </w:r>
      <w:r w:rsidRPr="007C0879">
        <w:rPr>
          <w:shd w:val="clear" w:color="auto" w:fill="FFFFFF"/>
        </w:rPr>
        <w:t>. 48(5), 981-995.</w:t>
      </w:r>
    </w:p>
    <w:p w14:paraId="482947E3" w14:textId="77777777" w:rsidR="00623D1F" w:rsidRPr="007C0879" w:rsidRDefault="00623D1F" w:rsidP="00623D1F">
      <w:pPr>
        <w:pStyle w:val="html-xx"/>
        <w:shd w:val="clear" w:color="auto" w:fill="FFFFFF"/>
        <w:spacing w:before="0" w:beforeAutospacing="0" w:after="160" w:afterAutospacing="0"/>
        <w:rPr>
          <w:shd w:val="clear" w:color="auto" w:fill="FFFFFF"/>
        </w:rPr>
      </w:pPr>
      <w:r w:rsidRPr="007C0879">
        <w:rPr>
          <w:shd w:val="clear" w:color="auto" w:fill="FFFFFF"/>
        </w:rPr>
        <w:t>Liu, B. (2013). Extreme value theorems of uncertain process with application to insurance risk model. </w:t>
      </w:r>
      <w:r w:rsidRPr="007C0879">
        <w:rPr>
          <w:i/>
          <w:iCs/>
          <w:shd w:val="clear" w:color="auto" w:fill="FFFFFF"/>
        </w:rPr>
        <w:t>Soft Computing</w:t>
      </w:r>
      <w:r w:rsidRPr="007C0879">
        <w:rPr>
          <w:shd w:val="clear" w:color="auto" w:fill="FFFFFF"/>
        </w:rPr>
        <w:t>, </w:t>
      </w:r>
      <w:r w:rsidRPr="007C0879">
        <w:rPr>
          <w:i/>
          <w:iCs/>
          <w:shd w:val="clear" w:color="auto" w:fill="FFFFFF"/>
        </w:rPr>
        <w:t>17</w:t>
      </w:r>
      <w:r w:rsidRPr="007C0879">
        <w:rPr>
          <w:shd w:val="clear" w:color="auto" w:fill="FFFFFF"/>
        </w:rPr>
        <w:t>(4), 549-556.</w:t>
      </w:r>
    </w:p>
    <w:p w14:paraId="72B7A4A8" w14:textId="77777777" w:rsidR="00623D1F" w:rsidRPr="007C0879" w:rsidRDefault="00623D1F" w:rsidP="00623D1F">
      <w:pPr>
        <w:spacing w:line="240" w:lineRule="auto"/>
        <w:rPr>
          <w:rFonts w:cs="Times New Roman"/>
          <w:szCs w:val="24"/>
          <w:shd w:val="clear" w:color="auto" w:fill="FFFFFF"/>
        </w:rPr>
      </w:pPr>
      <w:proofErr w:type="spellStart"/>
      <w:r w:rsidRPr="007C0879">
        <w:rPr>
          <w:rFonts w:cs="Times New Roman"/>
          <w:szCs w:val="24"/>
          <w:shd w:val="clear" w:color="auto" w:fill="FFFFFF"/>
        </w:rPr>
        <w:t>Manupati</w:t>
      </w:r>
      <w:proofErr w:type="spellEnd"/>
      <w:r w:rsidRPr="007C0879">
        <w:rPr>
          <w:rFonts w:cs="Times New Roman"/>
          <w:szCs w:val="24"/>
          <w:shd w:val="clear" w:color="auto" w:fill="FFFFFF"/>
        </w:rPr>
        <w:t xml:space="preserve">, V.K., Ramkumar, M., Baba, V., &amp; Agarwal, A. (2021). Selection of the best healthcare waste disposal techniques during and post COVID-19 pandemic era. </w:t>
      </w:r>
      <w:r w:rsidRPr="007C0879">
        <w:rPr>
          <w:rFonts w:cs="Times New Roman"/>
          <w:i/>
          <w:iCs/>
          <w:szCs w:val="24"/>
          <w:shd w:val="clear" w:color="auto" w:fill="FFFFFF"/>
        </w:rPr>
        <w:t>Journal of cleaner production,</w:t>
      </w:r>
      <w:r w:rsidRPr="007C0879">
        <w:rPr>
          <w:rFonts w:cs="Times New Roman"/>
          <w:szCs w:val="24"/>
          <w:shd w:val="clear" w:color="auto" w:fill="FFFFFF"/>
        </w:rPr>
        <w:t xml:space="preserve"> 281, p.125175.</w:t>
      </w:r>
    </w:p>
    <w:p w14:paraId="0A34AF08" w14:textId="77777777" w:rsidR="00623D1F" w:rsidRPr="007C0879" w:rsidRDefault="00623D1F" w:rsidP="00623D1F">
      <w:pPr>
        <w:spacing w:line="240" w:lineRule="auto"/>
        <w:rPr>
          <w:rFonts w:cs="Times New Roman"/>
          <w:szCs w:val="24"/>
          <w:shd w:val="clear" w:color="auto" w:fill="FFFFFF"/>
        </w:rPr>
      </w:pPr>
      <w:r w:rsidRPr="007C0879">
        <w:rPr>
          <w:rFonts w:cs="Times New Roman"/>
          <w:szCs w:val="24"/>
          <w:shd w:val="clear" w:color="auto" w:fill="FFFFFF"/>
        </w:rPr>
        <w:t xml:space="preserve">Mattoo, A., Subramanian, A., Van Der </w:t>
      </w:r>
      <w:proofErr w:type="spellStart"/>
      <w:r w:rsidRPr="007C0879">
        <w:rPr>
          <w:rFonts w:cs="Times New Roman"/>
          <w:szCs w:val="24"/>
          <w:shd w:val="clear" w:color="auto" w:fill="FFFFFF"/>
        </w:rPr>
        <w:t>Mensbrugghe</w:t>
      </w:r>
      <w:proofErr w:type="spellEnd"/>
      <w:r w:rsidRPr="007C0879">
        <w:rPr>
          <w:rFonts w:cs="Times New Roman"/>
          <w:szCs w:val="24"/>
          <w:shd w:val="clear" w:color="auto" w:fill="FFFFFF"/>
        </w:rPr>
        <w:t>, D., &amp; He, J. (2009). Reconciling climate change and trade policy. </w:t>
      </w:r>
      <w:proofErr w:type="spellStart"/>
      <w:r w:rsidRPr="007C0879">
        <w:rPr>
          <w:rFonts w:cs="Times New Roman"/>
          <w:i/>
          <w:iCs/>
          <w:szCs w:val="24"/>
          <w:shd w:val="clear" w:color="auto" w:fill="FFFFFF"/>
        </w:rPr>
        <w:t>Center</w:t>
      </w:r>
      <w:proofErr w:type="spellEnd"/>
      <w:r w:rsidRPr="007C0879">
        <w:rPr>
          <w:rFonts w:cs="Times New Roman"/>
          <w:i/>
          <w:iCs/>
          <w:szCs w:val="24"/>
          <w:shd w:val="clear" w:color="auto" w:fill="FFFFFF"/>
        </w:rPr>
        <w:t xml:space="preserve"> for Global Development Working Paper</w:t>
      </w:r>
      <w:r w:rsidRPr="007C0879">
        <w:rPr>
          <w:rFonts w:cs="Times New Roman"/>
          <w:szCs w:val="24"/>
          <w:shd w:val="clear" w:color="auto" w:fill="FFFFFF"/>
        </w:rPr>
        <w:t>, (189).</w:t>
      </w:r>
    </w:p>
    <w:p w14:paraId="222B6BE6" w14:textId="77777777" w:rsidR="00623D1F" w:rsidRPr="007C0879" w:rsidRDefault="00623D1F" w:rsidP="00623D1F">
      <w:pPr>
        <w:pStyle w:val="html-xx"/>
        <w:shd w:val="clear" w:color="auto" w:fill="FFFFFF"/>
        <w:spacing w:before="0" w:beforeAutospacing="0" w:after="160" w:afterAutospacing="0"/>
        <w:rPr>
          <w:shd w:val="clear" w:color="auto" w:fill="FFFFFF"/>
        </w:rPr>
      </w:pPr>
      <w:r w:rsidRPr="007C0879">
        <w:rPr>
          <w:shd w:val="clear" w:color="auto" w:fill="FFFFFF"/>
        </w:rPr>
        <w:t>McNeil, A.J., &amp; Frey, R. (2000). Estimation of tail-related risk measures for heteroscedastic financial time series: an extreme value approach. </w:t>
      </w:r>
      <w:r w:rsidRPr="007C0879">
        <w:rPr>
          <w:i/>
          <w:iCs/>
          <w:shd w:val="clear" w:color="auto" w:fill="FFFFFF"/>
        </w:rPr>
        <w:t>Journal of empirical finance</w:t>
      </w:r>
      <w:r w:rsidRPr="007C0879">
        <w:rPr>
          <w:shd w:val="clear" w:color="auto" w:fill="FFFFFF"/>
        </w:rPr>
        <w:t>, </w:t>
      </w:r>
      <w:r w:rsidRPr="007C0879">
        <w:rPr>
          <w:i/>
          <w:iCs/>
          <w:shd w:val="clear" w:color="auto" w:fill="FFFFFF"/>
        </w:rPr>
        <w:t>7</w:t>
      </w:r>
      <w:r w:rsidRPr="007C0879">
        <w:rPr>
          <w:shd w:val="clear" w:color="auto" w:fill="FFFFFF"/>
        </w:rPr>
        <w:t>(3-4), 271-300.</w:t>
      </w:r>
    </w:p>
    <w:p w14:paraId="76D70D8D" w14:textId="77777777" w:rsidR="00623D1F" w:rsidRPr="007C0879" w:rsidRDefault="00623D1F" w:rsidP="00623D1F">
      <w:pPr>
        <w:spacing w:line="240" w:lineRule="auto"/>
        <w:rPr>
          <w:rFonts w:cs="Times New Roman"/>
          <w:szCs w:val="24"/>
          <w:shd w:val="clear" w:color="auto" w:fill="FFFFFF"/>
        </w:rPr>
      </w:pPr>
      <w:r w:rsidRPr="007C0879">
        <w:rPr>
          <w:rFonts w:cs="Times New Roman"/>
          <w:szCs w:val="24"/>
          <w:shd w:val="clear" w:color="auto" w:fill="FFFFFF"/>
        </w:rPr>
        <w:t>Mirza, M.M.Q. (2003). Climate change and extreme weather events: can developing countries adapt?. </w:t>
      </w:r>
      <w:r w:rsidRPr="007C0879">
        <w:rPr>
          <w:rFonts w:cs="Times New Roman"/>
          <w:i/>
          <w:iCs/>
          <w:szCs w:val="24"/>
          <w:shd w:val="clear" w:color="auto" w:fill="FFFFFF"/>
        </w:rPr>
        <w:t>Climate policy</w:t>
      </w:r>
      <w:r w:rsidRPr="007C0879">
        <w:rPr>
          <w:rFonts w:cs="Times New Roman"/>
          <w:szCs w:val="24"/>
          <w:shd w:val="clear" w:color="auto" w:fill="FFFFFF"/>
        </w:rPr>
        <w:t>, </w:t>
      </w:r>
      <w:r w:rsidRPr="007C0879">
        <w:rPr>
          <w:rFonts w:cs="Times New Roman"/>
          <w:i/>
          <w:iCs/>
          <w:szCs w:val="24"/>
          <w:shd w:val="clear" w:color="auto" w:fill="FFFFFF"/>
        </w:rPr>
        <w:t>3</w:t>
      </w:r>
      <w:r w:rsidRPr="007C0879">
        <w:rPr>
          <w:rFonts w:cs="Times New Roman"/>
          <w:szCs w:val="24"/>
          <w:shd w:val="clear" w:color="auto" w:fill="FFFFFF"/>
        </w:rPr>
        <w:t>(3), 233-248.</w:t>
      </w:r>
    </w:p>
    <w:p w14:paraId="332FC080" w14:textId="77777777" w:rsidR="00623D1F" w:rsidRPr="007C0879" w:rsidRDefault="00623D1F" w:rsidP="00623D1F">
      <w:pPr>
        <w:spacing w:line="240" w:lineRule="auto"/>
        <w:rPr>
          <w:rFonts w:cs="Times New Roman"/>
          <w:szCs w:val="24"/>
          <w:shd w:val="clear" w:color="auto" w:fill="FFFFFF"/>
        </w:rPr>
      </w:pPr>
      <w:r w:rsidRPr="007C0879">
        <w:rPr>
          <w:rFonts w:cs="Times New Roman"/>
          <w:szCs w:val="24"/>
          <w:shd w:val="clear" w:color="auto" w:fill="FFFFFF"/>
        </w:rPr>
        <w:t xml:space="preserve">Moore, J. (2015). </w:t>
      </w:r>
      <w:r w:rsidRPr="007C0879">
        <w:rPr>
          <w:rFonts w:cs="Times New Roman"/>
          <w:i/>
          <w:iCs/>
          <w:szCs w:val="24"/>
          <w:shd w:val="clear" w:color="auto" w:fill="FFFFFF"/>
        </w:rPr>
        <w:t>Capitalism in the Web of Life: Ecology and the Accumulation of Capital.</w:t>
      </w:r>
      <w:r w:rsidRPr="007C0879">
        <w:rPr>
          <w:rFonts w:cs="Times New Roman"/>
          <w:szCs w:val="24"/>
          <w:shd w:val="clear" w:color="auto" w:fill="FFFFFF"/>
        </w:rPr>
        <w:t xml:space="preserve"> Verso Books.</w:t>
      </w:r>
    </w:p>
    <w:p w14:paraId="49F8C617" w14:textId="77777777" w:rsidR="00623D1F" w:rsidRPr="007C0879" w:rsidRDefault="00623D1F" w:rsidP="00623D1F">
      <w:pPr>
        <w:widowControl w:val="0"/>
        <w:autoSpaceDE w:val="0"/>
        <w:autoSpaceDN w:val="0"/>
        <w:adjustRightInd w:val="0"/>
        <w:spacing w:line="240" w:lineRule="auto"/>
        <w:rPr>
          <w:rFonts w:cs="Times New Roman"/>
          <w:szCs w:val="24"/>
          <w:lang w:val="en-US"/>
        </w:rPr>
      </w:pPr>
      <w:r w:rsidRPr="007C0879">
        <w:rPr>
          <w:rFonts w:cs="Times New Roman"/>
          <w:szCs w:val="24"/>
          <w:lang w:val="en-US"/>
        </w:rPr>
        <w:t xml:space="preserve">Nasir, M.A., </w:t>
      </w:r>
      <w:proofErr w:type="spellStart"/>
      <w:r w:rsidRPr="007C0879">
        <w:rPr>
          <w:rFonts w:cs="Times New Roman"/>
          <w:szCs w:val="24"/>
          <w:lang w:val="en-US"/>
        </w:rPr>
        <w:t>Balsalobre</w:t>
      </w:r>
      <w:proofErr w:type="spellEnd"/>
      <w:r w:rsidRPr="007C0879">
        <w:rPr>
          <w:rFonts w:cs="Times New Roman"/>
          <w:szCs w:val="24"/>
          <w:lang w:val="en-US"/>
        </w:rPr>
        <w:t xml:space="preserve">-Lorente, D., &amp; Huynh, T.L.D. (2020). Anchoring inflation expectations in the face of oil shocks &amp; in the proximity of ZLB: A tale of two </w:t>
      </w:r>
      <w:proofErr w:type="spellStart"/>
      <w:r w:rsidRPr="007C0879">
        <w:rPr>
          <w:rFonts w:cs="Times New Roman"/>
          <w:szCs w:val="24"/>
          <w:lang w:val="en-US"/>
        </w:rPr>
        <w:t>targeters</w:t>
      </w:r>
      <w:proofErr w:type="spellEnd"/>
      <w:r w:rsidRPr="007C0879">
        <w:rPr>
          <w:rFonts w:cs="Times New Roman"/>
          <w:szCs w:val="24"/>
          <w:lang w:val="en-US"/>
        </w:rPr>
        <w:t xml:space="preserve">. </w:t>
      </w:r>
      <w:r w:rsidRPr="007C0879">
        <w:rPr>
          <w:rFonts w:cs="Times New Roman"/>
          <w:i/>
          <w:iCs/>
          <w:szCs w:val="24"/>
          <w:lang w:val="en-US"/>
        </w:rPr>
        <w:t>Energy Economics</w:t>
      </w:r>
      <w:r w:rsidRPr="007C0879">
        <w:rPr>
          <w:rFonts w:cs="Times New Roman"/>
          <w:szCs w:val="24"/>
          <w:lang w:val="en-US"/>
        </w:rPr>
        <w:t xml:space="preserve">, 86, p.104662. </w:t>
      </w:r>
    </w:p>
    <w:p w14:paraId="67D44728" w14:textId="77777777" w:rsidR="00623D1F" w:rsidRPr="007C0879" w:rsidRDefault="00623D1F" w:rsidP="00623D1F">
      <w:pPr>
        <w:pStyle w:val="html-xx"/>
        <w:shd w:val="clear" w:color="auto" w:fill="FFFFFF"/>
        <w:spacing w:before="0" w:beforeAutospacing="0" w:after="160" w:afterAutospacing="0"/>
        <w:rPr>
          <w:shd w:val="clear" w:color="auto" w:fill="FFFFFF"/>
        </w:rPr>
      </w:pPr>
      <w:proofErr w:type="spellStart"/>
      <w:r w:rsidRPr="007C0879">
        <w:rPr>
          <w:shd w:val="clear" w:color="auto" w:fill="FFFFFF"/>
        </w:rPr>
        <w:t>Neftci</w:t>
      </w:r>
      <w:proofErr w:type="spellEnd"/>
      <w:r w:rsidRPr="007C0879">
        <w:rPr>
          <w:shd w:val="clear" w:color="auto" w:fill="FFFFFF"/>
        </w:rPr>
        <w:t>, S.N. (2000). Value at risk calculations, extreme events, and tail estimation. </w:t>
      </w:r>
      <w:r w:rsidRPr="007C0879">
        <w:rPr>
          <w:i/>
          <w:iCs/>
          <w:shd w:val="clear" w:color="auto" w:fill="FFFFFF"/>
        </w:rPr>
        <w:t>The Journal of Derivatives</w:t>
      </w:r>
      <w:r w:rsidRPr="007C0879">
        <w:rPr>
          <w:shd w:val="clear" w:color="auto" w:fill="FFFFFF"/>
        </w:rPr>
        <w:t>, </w:t>
      </w:r>
      <w:r w:rsidRPr="007C0879">
        <w:rPr>
          <w:i/>
          <w:iCs/>
          <w:shd w:val="clear" w:color="auto" w:fill="FFFFFF"/>
        </w:rPr>
        <w:t>7</w:t>
      </w:r>
      <w:r w:rsidRPr="007C0879">
        <w:rPr>
          <w:shd w:val="clear" w:color="auto" w:fill="FFFFFF"/>
        </w:rPr>
        <w:t>(3), 23-37.</w:t>
      </w:r>
    </w:p>
    <w:p w14:paraId="55BAAB76" w14:textId="77777777" w:rsidR="00623D1F" w:rsidRPr="007C0879" w:rsidRDefault="00623D1F" w:rsidP="00623D1F">
      <w:pPr>
        <w:pStyle w:val="html-xx"/>
        <w:shd w:val="clear" w:color="auto" w:fill="FFFFFF"/>
        <w:spacing w:before="0" w:beforeAutospacing="0" w:after="160" w:afterAutospacing="0"/>
        <w:rPr>
          <w:shd w:val="clear" w:color="auto" w:fill="FFFFFF"/>
        </w:rPr>
      </w:pPr>
      <w:proofErr w:type="spellStart"/>
      <w:r w:rsidRPr="007C0879">
        <w:rPr>
          <w:shd w:val="clear" w:color="auto" w:fill="FFFFFF"/>
        </w:rPr>
        <w:t>Onour</w:t>
      </w:r>
      <w:proofErr w:type="spellEnd"/>
      <w:r w:rsidRPr="007C0879">
        <w:rPr>
          <w:shd w:val="clear" w:color="auto" w:fill="FFFFFF"/>
        </w:rPr>
        <w:t>, I. (2010). Extreme risk and fat-tails distribution model: empirical analysis. </w:t>
      </w:r>
      <w:r w:rsidRPr="007C0879">
        <w:rPr>
          <w:i/>
          <w:iCs/>
          <w:shd w:val="clear" w:color="auto" w:fill="FFFFFF"/>
        </w:rPr>
        <w:t>Journal of Money, Investment and Banking</w:t>
      </w:r>
      <w:r w:rsidRPr="007C0879">
        <w:rPr>
          <w:shd w:val="clear" w:color="auto" w:fill="FFFFFF"/>
        </w:rPr>
        <w:t>, 13, 2010.</w:t>
      </w:r>
    </w:p>
    <w:p w14:paraId="7550B737" w14:textId="77777777" w:rsidR="00623D1F" w:rsidRPr="007C0879" w:rsidRDefault="00623D1F" w:rsidP="00623D1F">
      <w:pPr>
        <w:pStyle w:val="html-xx"/>
        <w:shd w:val="clear" w:color="auto" w:fill="FFFFFF"/>
        <w:spacing w:before="0" w:beforeAutospacing="0" w:after="160" w:afterAutospacing="0"/>
        <w:rPr>
          <w:shd w:val="clear" w:color="auto" w:fill="FFFFFF"/>
        </w:rPr>
      </w:pPr>
      <w:proofErr w:type="spellStart"/>
      <w:r w:rsidRPr="007C0879">
        <w:rPr>
          <w:shd w:val="clear" w:color="auto" w:fill="FFFFFF"/>
        </w:rPr>
        <w:t>Osterrieder</w:t>
      </w:r>
      <w:proofErr w:type="spellEnd"/>
      <w:r w:rsidRPr="007C0879">
        <w:rPr>
          <w:shd w:val="clear" w:color="auto" w:fill="FFFFFF"/>
        </w:rPr>
        <w:t xml:space="preserve">, J., &amp; Lorenz, J. (2017). A statistical risk assessment of Bitcoin and its extreme tail </w:t>
      </w:r>
      <w:proofErr w:type="spellStart"/>
      <w:r w:rsidRPr="007C0879">
        <w:rPr>
          <w:shd w:val="clear" w:color="auto" w:fill="FFFFFF"/>
        </w:rPr>
        <w:t>behavior</w:t>
      </w:r>
      <w:proofErr w:type="spellEnd"/>
      <w:r w:rsidRPr="007C0879">
        <w:rPr>
          <w:shd w:val="clear" w:color="auto" w:fill="FFFFFF"/>
        </w:rPr>
        <w:t>. </w:t>
      </w:r>
      <w:r w:rsidRPr="007C0879">
        <w:rPr>
          <w:i/>
          <w:iCs/>
          <w:shd w:val="clear" w:color="auto" w:fill="FFFFFF"/>
        </w:rPr>
        <w:t>Annals of Financial Economics</w:t>
      </w:r>
      <w:r w:rsidRPr="007C0879">
        <w:rPr>
          <w:shd w:val="clear" w:color="auto" w:fill="FFFFFF"/>
        </w:rPr>
        <w:t>, </w:t>
      </w:r>
      <w:r w:rsidRPr="007C0879">
        <w:rPr>
          <w:i/>
          <w:iCs/>
          <w:shd w:val="clear" w:color="auto" w:fill="FFFFFF"/>
        </w:rPr>
        <w:t>12</w:t>
      </w:r>
      <w:r w:rsidRPr="007C0879">
        <w:rPr>
          <w:shd w:val="clear" w:color="auto" w:fill="FFFFFF"/>
        </w:rPr>
        <w:t>(01), p.1750003.</w:t>
      </w:r>
    </w:p>
    <w:p w14:paraId="3491A1A8" w14:textId="77777777" w:rsidR="00623D1F" w:rsidRPr="007C0879" w:rsidRDefault="00623D1F" w:rsidP="00623D1F">
      <w:pPr>
        <w:spacing w:line="240" w:lineRule="auto"/>
        <w:rPr>
          <w:rFonts w:cs="Times New Roman"/>
          <w:szCs w:val="24"/>
          <w:shd w:val="clear" w:color="auto" w:fill="FFFFFF"/>
          <w:lang w:val="de-DE"/>
        </w:rPr>
      </w:pPr>
      <w:proofErr w:type="spellStart"/>
      <w:r w:rsidRPr="007C0879">
        <w:rPr>
          <w:rFonts w:cs="Times New Roman"/>
          <w:szCs w:val="24"/>
          <w:shd w:val="clear" w:color="auto" w:fill="FFFFFF"/>
        </w:rPr>
        <w:lastRenderedPageBreak/>
        <w:t>Popesko</w:t>
      </w:r>
      <w:proofErr w:type="spellEnd"/>
      <w:r w:rsidRPr="007C0879">
        <w:rPr>
          <w:rFonts w:cs="Times New Roman"/>
          <w:szCs w:val="24"/>
          <w:shd w:val="clear" w:color="auto" w:fill="FFFFFF"/>
        </w:rPr>
        <w:t xml:space="preserve">, B., </w:t>
      </w:r>
      <w:proofErr w:type="spellStart"/>
      <w:r w:rsidRPr="007C0879">
        <w:rPr>
          <w:rFonts w:cs="Times New Roman"/>
          <w:szCs w:val="24"/>
          <w:shd w:val="clear" w:color="auto" w:fill="FFFFFF"/>
        </w:rPr>
        <w:t>Novák</w:t>
      </w:r>
      <w:proofErr w:type="spellEnd"/>
      <w:r w:rsidRPr="007C0879">
        <w:rPr>
          <w:rFonts w:cs="Times New Roman"/>
          <w:szCs w:val="24"/>
          <w:shd w:val="clear" w:color="auto" w:fill="FFFFFF"/>
        </w:rPr>
        <w:t xml:space="preserve">, P., &amp; </w:t>
      </w:r>
      <w:proofErr w:type="spellStart"/>
      <w:r w:rsidRPr="007C0879">
        <w:rPr>
          <w:rFonts w:cs="Times New Roman"/>
          <w:szCs w:val="24"/>
          <w:shd w:val="clear" w:color="auto" w:fill="FFFFFF"/>
        </w:rPr>
        <w:t>Papadaki</w:t>
      </w:r>
      <w:proofErr w:type="spellEnd"/>
      <w:r w:rsidRPr="007C0879">
        <w:rPr>
          <w:rFonts w:cs="Times New Roman"/>
          <w:szCs w:val="24"/>
          <w:shd w:val="clear" w:color="auto" w:fill="FFFFFF"/>
        </w:rPr>
        <w:t>, Š. (2015). Measuring diagnosis and patient profitability in healthcare: economics vs ethics. </w:t>
      </w:r>
      <w:r w:rsidRPr="007C0879">
        <w:rPr>
          <w:rFonts w:cs="Times New Roman"/>
          <w:i/>
          <w:iCs/>
          <w:szCs w:val="24"/>
          <w:shd w:val="clear" w:color="auto" w:fill="FFFFFF"/>
          <w:lang w:val="de-DE"/>
        </w:rPr>
        <w:t>Economics and Sociology</w:t>
      </w:r>
      <w:r w:rsidRPr="007C0879">
        <w:rPr>
          <w:rFonts w:cs="Times New Roman"/>
          <w:szCs w:val="24"/>
          <w:shd w:val="clear" w:color="auto" w:fill="FFFFFF"/>
          <w:lang w:val="de-DE"/>
        </w:rPr>
        <w:t>. 8(1), 234-245.</w:t>
      </w:r>
    </w:p>
    <w:p w14:paraId="51F37A6E" w14:textId="77777777" w:rsidR="00623D1F" w:rsidRPr="007C0879" w:rsidRDefault="00623D1F" w:rsidP="00623D1F">
      <w:pPr>
        <w:widowControl w:val="0"/>
        <w:autoSpaceDE w:val="0"/>
        <w:autoSpaceDN w:val="0"/>
        <w:adjustRightInd w:val="0"/>
        <w:spacing w:line="240" w:lineRule="auto"/>
        <w:rPr>
          <w:rFonts w:cs="Times New Roman"/>
          <w:szCs w:val="24"/>
          <w:lang w:val="en-US"/>
        </w:rPr>
      </w:pPr>
      <w:r w:rsidRPr="007C0879">
        <w:rPr>
          <w:rFonts w:cs="Times New Roman"/>
          <w:szCs w:val="24"/>
          <w:lang w:val="de-DE"/>
        </w:rPr>
        <w:t xml:space="preserve">Renn, O., Laubichler, M., Lucas, K., Kröger, W., Schanze, J., Scholz, R.W., &amp; Schweizer, P. (2022). </w:t>
      </w:r>
      <w:r w:rsidRPr="007C0879">
        <w:rPr>
          <w:rFonts w:cs="Times New Roman"/>
          <w:szCs w:val="24"/>
          <w:lang w:val="en-US"/>
        </w:rPr>
        <w:t xml:space="preserve">Systemic Risks from Different Perspectives. </w:t>
      </w:r>
      <w:r w:rsidRPr="007C0879">
        <w:rPr>
          <w:rFonts w:cs="Times New Roman"/>
          <w:i/>
          <w:iCs/>
          <w:szCs w:val="24"/>
          <w:lang w:val="en-US"/>
        </w:rPr>
        <w:t>Risk Analysis</w:t>
      </w:r>
      <w:r w:rsidRPr="007C0879">
        <w:rPr>
          <w:rFonts w:cs="Times New Roman"/>
          <w:szCs w:val="24"/>
          <w:lang w:val="en-US"/>
        </w:rPr>
        <w:t>, 42(9). 1902-1920.</w:t>
      </w:r>
    </w:p>
    <w:p w14:paraId="04ACA3FC" w14:textId="77777777" w:rsidR="00623D1F" w:rsidRPr="007C0879" w:rsidRDefault="00623D1F" w:rsidP="00623D1F">
      <w:pPr>
        <w:spacing w:line="240" w:lineRule="auto"/>
        <w:rPr>
          <w:rFonts w:cs="Times New Roman"/>
          <w:i/>
          <w:iCs/>
          <w:szCs w:val="24"/>
          <w:shd w:val="clear" w:color="auto" w:fill="FFFFFF"/>
        </w:rPr>
      </w:pPr>
      <w:r w:rsidRPr="007C0879">
        <w:rPr>
          <w:rFonts w:cs="Times New Roman"/>
          <w:szCs w:val="24"/>
          <w:shd w:val="clear" w:color="auto" w:fill="FFFFFF"/>
        </w:rPr>
        <w:t xml:space="preserve">Ripple, W., Wolf, C., Newsome, T., Barnard, P., </w:t>
      </w:r>
      <w:proofErr w:type="spellStart"/>
      <w:r w:rsidRPr="007C0879">
        <w:rPr>
          <w:rFonts w:cs="Times New Roman"/>
          <w:szCs w:val="24"/>
          <w:shd w:val="clear" w:color="auto" w:fill="FFFFFF"/>
        </w:rPr>
        <w:t>Moomaw</w:t>
      </w:r>
      <w:proofErr w:type="spellEnd"/>
      <w:r w:rsidRPr="007C0879">
        <w:rPr>
          <w:rFonts w:cs="Times New Roman"/>
          <w:szCs w:val="24"/>
          <w:shd w:val="clear" w:color="auto" w:fill="FFFFFF"/>
        </w:rPr>
        <w:t xml:space="preserve">, W., &amp; Grandcolas, P. (2020). World scientists' warning of a climate emergency. </w:t>
      </w:r>
      <w:proofErr w:type="spellStart"/>
      <w:r w:rsidRPr="007C0879">
        <w:rPr>
          <w:rFonts w:cs="Times New Roman"/>
          <w:i/>
          <w:iCs/>
          <w:szCs w:val="24"/>
          <w:shd w:val="clear" w:color="auto" w:fill="FFFFFF"/>
        </w:rPr>
        <w:t>BioScience</w:t>
      </w:r>
      <w:proofErr w:type="spellEnd"/>
      <w:r w:rsidRPr="007C0879">
        <w:rPr>
          <w:rFonts w:cs="Times New Roman"/>
          <w:i/>
          <w:iCs/>
          <w:szCs w:val="24"/>
          <w:shd w:val="clear" w:color="auto" w:fill="FFFFFF"/>
        </w:rPr>
        <w:t xml:space="preserve">. </w:t>
      </w:r>
      <w:r w:rsidRPr="007C0879">
        <w:rPr>
          <w:rFonts w:cs="Times New Roman"/>
          <w:szCs w:val="24"/>
          <w:shd w:val="clear" w:color="auto" w:fill="FFFFFF"/>
        </w:rPr>
        <w:t>70(1)</w:t>
      </w:r>
      <w:r w:rsidRPr="007C0879">
        <w:rPr>
          <w:rFonts w:cs="Times New Roman"/>
          <w:i/>
          <w:iCs/>
          <w:szCs w:val="24"/>
          <w:shd w:val="clear" w:color="auto" w:fill="FFFFFF"/>
        </w:rPr>
        <w:t>.</w:t>
      </w:r>
    </w:p>
    <w:p w14:paraId="6E1B9BBD" w14:textId="77777777" w:rsidR="00623D1F" w:rsidRPr="007C0879" w:rsidRDefault="00623D1F" w:rsidP="00623D1F">
      <w:pPr>
        <w:spacing w:line="240" w:lineRule="auto"/>
        <w:rPr>
          <w:rFonts w:cs="Times New Roman"/>
          <w:szCs w:val="24"/>
          <w:shd w:val="clear" w:color="auto" w:fill="EFEFF0"/>
        </w:rPr>
      </w:pPr>
      <w:r w:rsidRPr="007C0879">
        <w:rPr>
          <w:rFonts w:cs="Times New Roman"/>
          <w:szCs w:val="24"/>
          <w:shd w:val="clear" w:color="auto" w:fill="FFFFFF"/>
        </w:rPr>
        <w:t xml:space="preserve">Romaniuk, P., </w:t>
      </w:r>
      <w:proofErr w:type="spellStart"/>
      <w:r w:rsidRPr="007C0879">
        <w:rPr>
          <w:rFonts w:cs="Times New Roman"/>
          <w:szCs w:val="24"/>
          <w:shd w:val="clear" w:color="auto" w:fill="FFFFFF"/>
        </w:rPr>
        <w:t>Poznańska</w:t>
      </w:r>
      <w:proofErr w:type="spellEnd"/>
      <w:r w:rsidRPr="007C0879">
        <w:rPr>
          <w:rFonts w:cs="Times New Roman"/>
          <w:szCs w:val="24"/>
          <w:shd w:val="clear" w:color="auto" w:fill="FFFFFF"/>
        </w:rPr>
        <w:t xml:space="preserve">, A., </w:t>
      </w:r>
      <w:proofErr w:type="spellStart"/>
      <w:r w:rsidRPr="007C0879">
        <w:rPr>
          <w:rFonts w:cs="Times New Roman"/>
          <w:szCs w:val="24"/>
          <w:shd w:val="clear" w:color="auto" w:fill="FFFFFF"/>
        </w:rPr>
        <w:t>Brukało</w:t>
      </w:r>
      <w:proofErr w:type="spellEnd"/>
      <w:r w:rsidRPr="007C0879">
        <w:rPr>
          <w:rFonts w:cs="Times New Roman"/>
          <w:szCs w:val="24"/>
          <w:shd w:val="clear" w:color="auto" w:fill="FFFFFF"/>
        </w:rPr>
        <w:t xml:space="preserve">, K., &amp; </w:t>
      </w:r>
      <w:proofErr w:type="spellStart"/>
      <w:r w:rsidRPr="007C0879">
        <w:rPr>
          <w:rFonts w:cs="Times New Roman"/>
          <w:szCs w:val="24"/>
          <w:shd w:val="clear" w:color="auto" w:fill="FFFFFF"/>
        </w:rPr>
        <w:t>Holecki</w:t>
      </w:r>
      <w:proofErr w:type="spellEnd"/>
      <w:r w:rsidRPr="007C0879">
        <w:rPr>
          <w:rFonts w:cs="Times New Roman"/>
          <w:szCs w:val="24"/>
          <w:shd w:val="clear" w:color="auto" w:fill="FFFFFF"/>
        </w:rPr>
        <w:t>, T. (2020). Health system outcomes in BRICS countries and their association with the economic context. </w:t>
      </w:r>
      <w:r w:rsidRPr="007C0879">
        <w:rPr>
          <w:rFonts w:cs="Times New Roman"/>
          <w:i/>
          <w:iCs/>
          <w:szCs w:val="24"/>
          <w:shd w:val="clear" w:color="auto" w:fill="FFFFFF"/>
        </w:rPr>
        <w:t>Frontiers in public health</w:t>
      </w:r>
      <w:r w:rsidRPr="007C0879">
        <w:rPr>
          <w:rFonts w:cs="Times New Roman"/>
          <w:szCs w:val="24"/>
          <w:shd w:val="clear" w:color="auto" w:fill="FFFFFF"/>
        </w:rPr>
        <w:t>, </w:t>
      </w:r>
      <w:r w:rsidRPr="007C0879">
        <w:rPr>
          <w:rFonts w:cs="Times New Roman"/>
          <w:i/>
          <w:iCs/>
          <w:szCs w:val="24"/>
          <w:shd w:val="clear" w:color="auto" w:fill="FFFFFF"/>
        </w:rPr>
        <w:t>8</w:t>
      </w:r>
      <w:r w:rsidRPr="007C0879">
        <w:rPr>
          <w:rFonts w:cs="Times New Roman"/>
          <w:szCs w:val="24"/>
          <w:shd w:val="clear" w:color="auto" w:fill="FFFFFF"/>
        </w:rPr>
        <w:t>, p.80.</w:t>
      </w:r>
    </w:p>
    <w:p w14:paraId="34328D68" w14:textId="77777777" w:rsidR="00623D1F" w:rsidRPr="007C0879" w:rsidRDefault="00623D1F" w:rsidP="00623D1F">
      <w:pPr>
        <w:widowControl w:val="0"/>
        <w:autoSpaceDE w:val="0"/>
        <w:autoSpaceDN w:val="0"/>
        <w:adjustRightInd w:val="0"/>
        <w:spacing w:line="240" w:lineRule="auto"/>
        <w:rPr>
          <w:rFonts w:cs="Times New Roman"/>
          <w:szCs w:val="24"/>
          <w:lang w:val="en-US"/>
        </w:rPr>
      </w:pPr>
      <w:proofErr w:type="spellStart"/>
      <w:r w:rsidRPr="007C0879">
        <w:rPr>
          <w:rFonts w:cs="Times New Roman"/>
          <w:szCs w:val="24"/>
          <w:lang w:val="en-US"/>
        </w:rPr>
        <w:t>Roychowdhury</w:t>
      </w:r>
      <w:proofErr w:type="spellEnd"/>
      <w:r w:rsidRPr="007C0879">
        <w:rPr>
          <w:rFonts w:cs="Times New Roman"/>
          <w:szCs w:val="24"/>
          <w:lang w:val="en-US"/>
        </w:rPr>
        <w:t xml:space="preserve">, S., &amp; Srinivasan, S. (2019). The Role of Gatekeepers in Capital Markets. </w:t>
      </w:r>
      <w:r w:rsidRPr="007C0879">
        <w:rPr>
          <w:rFonts w:cs="Times New Roman"/>
          <w:i/>
          <w:iCs/>
          <w:szCs w:val="24"/>
          <w:lang w:val="en-US"/>
        </w:rPr>
        <w:t>SSRN Electronic Journal</w:t>
      </w:r>
      <w:r w:rsidRPr="007C0879">
        <w:rPr>
          <w:rFonts w:cs="Times New Roman"/>
          <w:szCs w:val="24"/>
          <w:lang w:val="en-US"/>
        </w:rPr>
        <w:t xml:space="preserve">, 57(2), 295–322. </w:t>
      </w:r>
    </w:p>
    <w:p w14:paraId="1267B06A" w14:textId="77777777" w:rsidR="00623D1F" w:rsidRPr="007C0879" w:rsidRDefault="00623D1F" w:rsidP="00623D1F">
      <w:pPr>
        <w:spacing w:line="240" w:lineRule="auto"/>
        <w:rPr>
          <w:rFonts w:cs="Times New Roman"/>
          <w:szCs w:val="24"/>
          <w:shd w:val="clear" w:color="auto" w:fill="FFFFFF"/>
        </w:rPr>
      </w:pPr>
      <w:proofErr w:type="spellStart"/>
      <w:r w:rsidRPr="007C0879">
        <w:rPr>
          <w:rFonts w:cs="Times New Roman"/>
          <w:szCs w:val="24"/>
          <w:shd w:val="clear" w:color="auto" w:fill="FFFFFF"/>
        </w:rPr>
        <w:t>Serafeim</w:t>
      </w:r>
      <w:proofErr w:type="spellEnd"/>
      <w:r w:rsidRPr="007C0879">
        <w:rPr>
          <w:rFonts w:cs="Times New Roman"/>
          <w:szCs w:val="24"/>
          <w:shd w:val="clear" w:color="auto" w:fill="FFFFFF"/>
        </w:rPr>
        <w:t>, G., &amp; Grewal, J. (2017). The value relevance of corporate sustainability disclosures: An analysis of a dataset from one large asset owner. </w:t>
      </w:r>
      <w:r w:rsidRPr="007C0879">
        <w:rPr>
          <w:rFonts w:cs="Times New Roman"/>
          <w:i/>
          <w:iCs/>
          <w:szCs w:val="24"/>
          <w:shd w:val="clear" w:color="auto" w:fill="FFFFFF"/>
        </w:rPr>
        <w:t>Available at SSRN 2966767</w:t>
      </w:r>
      <w:r w:rsidRPr="007C0879">
        <w:rPr>
          <w:rFonts w:cs="Times New Roman"/>
          <w:szCs w:val="24"/>
          <w:shd w:val="clear" w:color="auto" w:fill="FFFFFF"/>
        </w:rPr>
        <w:t>.</w:t>
      </w:r>
    </w:p>
    <w:p w14:paraId="2EE79FFC" w14:textId="77777777" w:rsidR="00623D1F" w:rsidRPr="007C0879" w:rsidRDefault="00623D1F" w:rsidP="00623D1F">
      <w:pPr>
        <w:pStyle w:val="html-xx"/>
        <w:shd w:val="clear" w:color="auto" w:fill="FFFFFF"/>
        <w:spacing w:before="0" w:beforeAutospacing="0" w:after="160" w:afterAutospacing="0"/>
        <w:rPr>
          <w:shd w:val="clear" w:color="auto" w:fill="FFFFFF"/>
        </w:rPr>
      </w:pPr>
      <w:proofErr w:type="spellStart"/>
      <w:r w:rsidRPr="007C0879">
        <w:rPr>
          <w:shd w:val="clear" w:color="auto" w:fill="FFFFFF"/>
        </w:rPr>
        <w:t>Siedlecki</w:t>
      </w:r>
      <w:proofErr w:type="spellEnd"/>
      <w:r w:rsidRPr="007C0879">
        <w:rPr>
          <w:shd w:val="clear" w:color="auto" w:fill="FFFFFF"/>
        </w:rPr>
        <w:t xml:space="preserve">, R., </w:t>
      </w:r>
      <w:proofErr w:type="spellStart"/>
      <w:r w:rsidRPr="007C0879">
        <w:rPr>
          <w:shd w:val="clear" w:color="auto" w:fill="FFFFFF"/>
        </w:rPr>
        <w:t>Bem</w:t>
      </w:r>
      <w:proofErr w:type="spellEnd"/>
      <w:r w:rsidRPr="007C0879">
        <w:rPr>
          <w:shd w:val="clear" w:color="auto" w:fill="FFFFFF"/>
        </w:rPr>
        <w:t xml:space="preserve">, A., </w:t>
      </w:r>
      <w:proofErr w:type="spellStart"/>
      <w:r w:rsidRPr="007C0879">
        <w:rPr>
          <w:shd w:val="clear" w:color="auto" w:fill="FFFFFF"/>
        </w:rPr>
        <w:t>Ucieklak-Jeż</w:t>
      </w:r>
      <w:proofErr w:type="spellEnd"/>
      <w:r w:rsidRPr="007C0879">
        <w:rPr>
          <w:shd w:val="clear" w:color="auto" w:fill="FFFFFF"/>
        </w:rPr>
        <w:t xml:space="preserve">, P., &amp; </w:t>
      </w:r>
      <w:proofErr w:type="spellStart"/>
      <w:r w:rsidRPr="007C0879">
        <w:rPr>
          <w:shd w:val="clear" w:color="auto" w:fill="FFFFFF"/>
        </w:rPr>
        <w:t>Prędkiewicz</w:t>
      </w:r>
      <w:proofErr w:type="spellEnd"/>
      <w:r w:rsidRPr="007C0879">
        <w:rPr>
          <w:shd w:val="clear" w:color="auto" w:fill="FFFFFF"/>
        </w:rPr>
        <w:t>, P. (2016). Rural Versus Urban Hospitals in Poland. Hospital's Financial Health Assessment. </w:t>
      </w:r>
      <w:r w:rsidRPr="007C0879">
        <w:rPr>
          <w:i/>
          <w:iCs/>
          <w:shd w:val="clear" w:color="auto" w:fill="FFFFFF"/>
        </w:rPr>
        <w:t xml:space="preserve">Procedia-Social and </w:t>
      </w:r>
      <w:proofErr w:type="spellStart"/>
      <w:r w:rsidRPr="007C0879">
        <w:rPr>
          <w:i/>
          <w:iCs/>
          <w:shd w:val="clear" w:color="auto" w:fill="FFFFFF"/>
        </w:rPr>
        <w:t>Behavioral</w:t>
      </w:r>
      <w:proofErr w:type="spellEnd"/>
      <w:r w:rsidRPr="007C0879">
        <w:rPr>
          <w:i/>
          <w:iCs/>
          <w:shd w:val="clear" w:color="auto" w:fill="FFFFFF"/>
        </w:rPr>
        <w:t xml:space="preserve"> Sciences</w:t>
      </w:r>
      <w:r w:rsidRPr="007C0879">
        <w:rPr>
          <w:shd w:val="clear" w:color="auto" w:fill="FFFFFF"/>
        </w:rPr>
        <w:t>, </w:t>
      </w:r>
      <w:r w:rsidRPr="007C0879">
        <w:rPr>
          <w:i/>
          <w:iCs/>
          <w:shd w:val="clear" w:color="auto" w:fill="FFFFFF"/>
        </w:rPr>
        <w:t>220</w:t>
      </w:r>
      <w:r w:rsidRPr="007C0879">
        <w:rPr>
          <w:shd w:val="clear" w:color="auto" w:fill="FFFFFF"/>
        </w:rPr>
        <w:t>, 444-451.</w:t>
      </w:r>
    </w:p>
    <w:p w14:paraId="06F15959" w14:textId="77777777" w:rsidR="00623D1F" w:rsidRPr="007C0879" w:rsidRDefault="00623D1F" w:rsidP="00623D1F">
      <w:pPr>
        <w:spacing w:line="240" w:lineRule="auto"/>
        <w:rPr>
          <w:rFonts w:cs="Times New Roman"/>
          <w:szCs w:val="24"/>
          <w:shd w:val="clear" w:color="auto" w:fill="FFFFFF"/>
        </w:rPr>
      </w:pPr>
      <w:r w:rsidRPr="007C0879">
        <w:rPr>
          <w:rFonts w:cs="Times New Roman"/>
          <w:szCs w:val="24"/>
          <w:shd w:val="clear" w:color="auto" w:fill="FFFFFF"/>
        </w:rPr>
        <w:t xml:space="preserve">Steffen, W., </w:t>
      </w:r>
      <w:proofErr w:type="spellStart"/>
      <w:r w:rsidRPr="007C0879">
        <w:rPr>
          <w:rFonts w:cs="Times New Roman"/>
          <w:szCs w:val="24"/>
          <w:shd w:val="clear" w:color="auto" w:fill="FFFFFF"/>
        </w:rPr>
        <w:t>Rockström</w:t>
      </w:r>
      <w:proofErr w:type="spellEnd"/>
      <w:r w:rsidRPr="007C0879">
        <w:rPr>
          <w:rFonts w:cs="Times New Roman"/>
          <w:szCs w:val="24"/>
          <w:shd w:val="clear" w:color="auto" w:fill="FFFFFF"/>
        </w:rPr>
        <w:t xml:space="preserve">, J., Richardson, K., </w:t>
      </w:r>
      <w:proofErr w:type="spellStart"/>
      <w:r w:rsidRPr="007C0879">
        <w:rPr>
          <w:rFonts w:cs="Times New Roman"/>
          <w:szCs w:val="24"/>
          <w:shd w:val="clear" w:color="auto" w:fill="FFFFFF"/>
        </w:rPr>
        <w:t>Lenton</w:t>
      </w:r>
      <w:proofErr w:type="spellEnd"/>
      <w:r w:rsidRPr="007C0879">
        <w:rPr>
          <w:rFonts w:cs="Times New Roman"/>
          <w:szCs w:val="24"/>
          <w:shd w:val="clear" w:color="auto" w:fill="FFFFFF"/>
        </w:rPr>
        <w:t xml:space="preserve">, T.M., </w:t>
      </w:r>
      <w:proofErr w:type="spellStart"/>
      <w:r w:rsidRPr="007C0879">
        <w:rPr>
          <w:rFonts w:cs="Times New Roman"/>
          <w:szCs w:val="24"/>
          <w:shd w:val="clear" w:color="auto" w:fill="FFFFFF"/>
        </w:rPr>
        <w:t>Folke</w:t>
      </w:r>
      <w:proofErr w:type="spellEnd"/>
      <w:r w:rsidRPr="007C0879">
        <w:rPr>
          <w:rFonts w:cs="Times New Roman"/>
          <w:szCs w:val="24"/>
          <w:shd w:val="clear" w:color="auto" w:fill="FFFFFF"/>
        </w:rPr>
        <w:t xml:space="preserve">, C., </w:t>
      </w:r>
      <w:proofErr w:type="spellStart"/>
      <w:r w:rsidRPr="007C0879">
        <w:rPr>
          <w:rFonts w:cs="Times New Roman"/>
          <w:szCs w:val="24"/>
          <w:shd w:val="clear" w:color="auto" w:fill="FFFFFF"/>
        </w:rPr>
        <w:t>Liverman</w:t>
      </w:r>
      <w:proofErr w:type="spellEnd"/>
      <w:r w:rsidRPr="007C0879">
        <w:rPr>
          <w:rFonts w:cs="Times New Roman"/>
          <w:szCs w:val="24"/>
          <w:shd w:val="clear" w:color="auto" w:fill="FFFFFF"/>
        </w:rPr>
        <w:t xml:space="preserve">, D., Summerhayes, C.P., </w:t>
      </w:r>
      <w:proofErr w:type="spellStart"/>
      <w:r w:rsidRPr="007C0879">
        <w:rPr>
          <w:rFonts w:cs="Times New Roman"/>
          <w:szCs w:val="24"/>
          <w:shd w:val="clear" w:color="auto" w:fill="FFFFFF"/>
        </w:rPr>
        <w:t>Barnosky</w:t>
      </w:r>
      <w:proofErr w:type="spellEnd"/>
      <w:r w:rsidRPr="007C0879">
        <w:rPr>
          <w:rFonts w:cs="Times New Roman"/>
          <w:szCs w:val="24"/>
          <w:shd w:val="clear" w:color="auto" w:fill="FFFFFF"/>
        </w:rPr>
        <w:t xml:space="preserve">, A.D., Cornell, S.E., Crucifix, M., &amp; Donges, J.F. (2018). Trajectories of the Earth System in the Anthropocene. </w:t>
      </w:r>
      <w:r w:rsidRPr="007C0879">
        <w:rPr>
          <w:rFonts w:cs="Times New Roman"/>
          <w:i/>
          <w:iCs/>
          <w:szCs w:val="24"/>
          <w:shd w:val="clear" w:color="auto" w:fill="FFFFFF"/>
        </w:rPr>
        <w:t>Proceedings of the National Academy of Sciences,</w:t>
      </w:r>
      <w:r w:rsidRPr="007C0879">
        <w:rPr>
          <w:rFonts w:cs="Times New Roman"/>
          <w:szCs w:val="24"/>
          <w:shd w:val="clear" w:color="auto" w:fill="FFFFFF"/>
        </w:rPr>
        <w:t xml:space="preserve"> 115(33), 8252-8259.</w:t>
      </w:r>
    </w:p>
    <w:p w14:paraId="73FD53CA" w14:textId="77777777" w:rsidR="00623D1F" w:rsidRPr="007C0879" w:rsidRDefault="00623D1F" w:rsidP="00623D1F">
      <w:pPr>
        <w:pStyle w:val="html-xx"/>
        <w:shd w:val="clear" w:color="auto" w:fill="FFFFFF"/>
        <w:spacing w:before="0" w:beforeAutospacing="0" w:after="160" w:afterAutospacing="0"/>
        <w:rPr>
          <w:shd w:val="clear" w:color="auto" w:fill="FFFFFF"/>
        </w:rPr>
      </w:pPr>
      <w:r w:rsidRPr="007C0879">
        <w:rPr>
          <w:shd w:val="clear" w:color="auto" w:fill="FFFFFF"/>
        </w:rPr>
        <w:t>Straetmans, S., &amp; Chaudhry, S.M. (2015). Tail risk and systemic risk of US and Eurozone financial institutions in the wake of the global financial crisis. </w:t>
      </w:r>
      <w:r w:rsidRPr="007C0879">
        <w:rPr>
          <w:i/>
          <w:iCs/>
          <w:shd w:val="clear" w:color="auto" w:fill="FFFFFF"/>
        </w:rPr>
        <w:t>Journal of International Money and Finance</w:t>
      </w:r>
      <w:r w:rsidRPr="007C0879">
        <w:rPr>
          <w:shd w:val="clear" w:color="auto" w:fill="FFFFFF"/>
        </w:rPr>
        <w:t>, </w:t>
      </w:r>
      <w:r w:rsidRPr="007C0879">
        <w:rPr>
          <w:i/>
          <w:iCs/>
          <w:shd w:val="clear" w:color="auto" w:fill="FFFFFF"/>
        </w:rPr>
        <w:t>58</w:t>
      </w:r>
      <w:r w:rsidRPr="007C0879">
        <w:rPr>
          <w:shd w:val="clear" w:color="auto" w:fill="FFFFFF"/>
        </w:rPr>
        <w:t>, 191-223.</w:t>
      </w:r>
    </w:p>
    <w:p w14:paraId="58846FE1" w14:textId="77777777" w:rsidR="00623D1F" w:rsidRPr="007C0879" w:rsidRDefault="00623D1F" w:rsidP="00623D1F">
      <w:pPr>
        <w:pStyle w:val="html-xx"/>
        <w:shd w:val="clear" w:color="auto" w:fill="FFFFFF"/>
        <w:spacing w:before="0" w:beforeAutospacing="0" w:after="160" w:afterAutospacing="0"/>
        <w:rPr>
          <w:shd w:val="clear" w:color="auto" w:fill="FFFFFF"/>
        </w:rPr>
      </w:pPr>
      <w:r w:rsidRPr="007C0879">
        <w:rPr>
          <w:shd w:val="clear" w:color="auto" w:fill="FFFFFF"/>
        </w:rPr>
        <w:t>Straetmans, S.T., Verschoor, W.F., &amp; Wolff, C.C. (2008). Extreme US stock market fluctuations in the wake of 9/11. </w:t>
      </w:r>
      <w:r w:rsidRPr="007C0879">
        <w:rPr>
          <w:i/>
          <w:iCs/>
          <w:shd w:val="clear" w:color="auto" w:fill="FFFFFF"/>
        </w:rPr>
        <w:t>Journal of Applied Econometrics</w:t>
      </w:r>
      <w:r w:rsidRPr="007C0879">
        <w:rPr>
          <w:shd w:val="clear" w:color="auto" w:fill="FFFFFF"/>
        </w:rPr>
        <w:t>, </w:t>
      </w:r>
      <w:r w:rsidRPr="007C0879">
        <w:rPr>
          <w:i/>
          <w:iCs/>
          <w:shd w:val="clear" w:color="auto" w:fill="FFFFFF"/>
        </w:rPr>
        <w:t>23</w:t>
      </w:r>
      <w:r w:rsidRPr="007C0879">
        <w:rPr>
          <w:shd w:val="clear" w:color="auto" w:fill="FFFFFF"/>
        </w:rPr>
        <w:t>(1), 17-42.</w:t>
      </w:r>
    </w:p>
    <w:p w14:paraId="6BC5028C" w14:textId="77777777" w:rsidR="00623D1F" w:rsidRPr="007C0879" w:rsidRDefault="00623D1F" w:rsidP="00623D1F">
      <w:pPr>
        <w:widowControl w:val="0"/>
        <w:autoSpaceDE w:val="0"/>
        <w:autoSpaceDN w:val="0"/>
        <w:adjustRightInd w:val="0"/>
        <w:spacing w:line="240" w:lineRule="auto"/>
        <w:rPr>
          <w:rFonts w:cs="Times New Roman"/>
          <w:szCs w:val="24"/>
          <w:lang w:val="en-US"/>
        </w:rPr>
      </w:pPr>
      <w:r w:rsidRPr="007C0879">
        <w:rPr>
          <w:rFonts w:cs="Times New Roman"/>
          <w:szCs w:val="24"/>
          <w:lang w:val="en-US"/>
        </w:rPr>
        <w:t xml:space="preserve">Teixeira, J.C.A., Silva, F.J.F., Ferreira, M.B.S., &amp; Cabral Vieira, J.A. (2018). Sovereign Credit Rating Determinants Under Financial Crises. </w:t>
      </w:r>
      <w:r w:rsidRPr="007C0879">
        <w:rPr>
          <w:rFonts w:cs="Times New Roman"/>
          <w:i/>
          <w:iCs/>
          <w:szCs w:val="24"/>
          <w:lang w:val="en-US"/>
        </w:rPr>
        <w:t>SSRN Electronic Journal</w:t>
      </w:r>
      <w:r w:rsidRPr="007C0879">
        <w:rPr>
          <w:rFonts w:cs="Times New Roman"/>
          <w:szCs w:val="24"/>
          <w:lang w:val="en-US"/>
        </w:rPr>
        <w:t xml:space="preserve">, 36, 1–13. </w:t>
      </w:r>
    </w:p>
    <w:p w14:paraId="7FFF9FB4" w14:textId="77777777" w:rsidR="00623D1F" w:rsidRPr="007C0879" w:rsidRDefault="00623D1F" w:rsidP="00623D1F">
      <w:pPr>
        <w:spacing w:line="240" w:lineRule="auto"/>
        <w:rPr>
          <w:rFonts w:cs="Times New Roman"/>
          <w:szCs w:val="24"/>
          <w:shd w:val="clear" w:color="auto" w:fill="FFFFFF"/>
        </w:rPr>
      </w:pPr>
      <w:r w:rsidRPr="007C0879">
        <w:rPr>
          <w:rFonts w:cs="Times New Roman"/>
          <w:szCs w:val="24"/>
          <w:shd w:val="clear" w:color="auto" w:fill="FFFFFF"/>
        </w:rPr>
        <w:t xml:space="preserve">Too, J., </w:t>
      </w:r>
      <w:proofErr w:type="spellStart"/>
      <w:r w:rsidRPr="007C0879">
        <w:rPr>
          <w:rFonts w:cs="Times New Roman"/>
          <w:szCs w:val="24"/>
          <w:shd w:val="clear" w:color="auto" w:fill="FFFFFF"/>
        </w:rPr>
        <w:t>Ejohwomu</w:t>
      </w:r>
      <w:proofErr w:type="spellEnd"/>
      <w:r w:rsidRPr="007C0879">
        <w:rPr>
          <w:rFonts w:cs="Times New Roman"/>
          <w:szCs w:val="24"/>
          <w:shd w:val="clear" w:color="auto" w:fill="FFFFFF"/>
        </w:rPr>
        <w:t xml:space="preserve">, O.A., Hui, F.K., Duffield, C., </w:t>
      </w:r>
      <w:proofErr w:type="spellStart"/>
      <w:r w:rsidRPr="007C0879">
        <w:rPr>
          <w:rFonts w:cs="Times New Roman"/>
          <w:szCs w:val="24"/>
          <w:shd w:val="clear" w:color="auto" w:fill="FFFFFF"/>
        </w:rPr>
        <w:t>Bukoye</w:t>
      </w:r>
      <w:proofErr w:type="spellEnd"/>
      <w:r w:rsidRPr="007C0879">
        <w:rPr>
          <w:rFonts w:cs="Times New Roman"/>
          <w:szCs w:val="24"/>
          <w:shd w:val="clear" w:color="auto" w:fill="FFFFFF"/>
        </w:rPr>
        <w:t>, O.T., &amp; Edwards, D.J. (2022). Framework for standardising carbon neutrality in building projects. </w:t>
      </w:r>
      <w:r w:rsidRPr="007C0879">
        <w:rPr>
          <w:rFonts w:cs="Times New Roman"/>
          <w:i/>
          <w:iCs/>
          <w:szCs w:val="24"/>
          <w:shd w:val="clear" w:color="auto" w:fill="FFFFFF"/>
        </w:rPr>
        <w:t>Journal of Cleaner Production</w:t>
      </w:r>
      <w:r w:rsidRPr="007C0879">
        <w:rPr>
          <w:rFonts w:cs="Times New Roman"/>
          <w:szCs w:val="24"/>
          <w:shd w:val="clear" w:color="auto" w:fill="FFFFFF"/>
        </w:rPr>
        <w:t>, p.133858.</w:t>
      </w:r>
    </w:p>
    <w:p w14:paraId="0C9EBD7F" w14:textId="77777777" w:rsidR="00623D1F" w:rsidRPr="007C0879" w:rsidRDefault="00623D1F" w:rsidP="00623D1F">
      <w:pPr>
        <w:spacing w:line="240" w:lineRule="auto"/>
        <w:rPr>
          <w:rFonts w:cs="Times New Roman"/>
          <w:szCs w:val="24"/>
          <w:shd w:val="clear" w:color="auto" w:fill="FFFFFF"/>
        </w:rPr>
      </w:pPr>
      <w:r w:rsidRPr="007C0879">
        <w:rPr>
          <w:rFonts w:cs="Times New Roman"/>
          <w:szCs w:val="24"/>
          <w:shd w:val="clear" w:color="auto" w:fill="FFFFFF"/>
        </w:rPr>
        <w:t xml:space="preserve">UNFCCC. (1992). </w:t>
      </w:r>
      <w:r w:rsidRPr="007C0879">
        <w:rPr>
          <w:rFonts w:cs="Times New Roman"/>
          <w:i/>
          <w:iCs/>
          <w:szCs w:val="24"/>
          <w:shd w:val="clear" w:color="auto" w:fill="FFFFFF"/>
        </w:rPr>
        <w:t>United Nations Framework Convention on Climate Change.</w:t>
      </w:r>
      <w:r w:rsidRPr="007C0879">
        <w:rPr>
          <w:rFonts w:cs="Times New Roman"/>
          <w:szCs w:val="24"/>
          <w:shd w:val="clear" w:color="auto" w:fill="FFFFFF"/>
        </w:rPr>
        <w:t xml:space="preserve"> [online] Available from: </w:t>
      </w:r>
      <w:hyperlink r:id="rId26" w:history="1">
        <w:r w:rsidRPr="007C0879">
          <w:rPr>
            <w:rStyle w:val="Hyperlink"/>
            <w:rFonts w:cs="Times New Roman"/>
            <w:color w:val="auto"/>
            <w:szCs w:val="24"/>
            <w:shd w:val="clear" w:color="auto" w:fill="FFFFFF"/>
          </w:rPr>
          <w:t>https://unfccc.int/resource/docs/convkp/conveng.pdf</w:t>
        </w:r>
      </w:hyperlink>
      <w:r w:rsidRPr="007C0879">
        <w:rPr>
          <w:rFonts w:cs="Times New Roman"/>
          <w:szCs w:val="24"/>
          <w:shd w:val="clear" w:color="auto" w:fill="FFFFFF"/>
        </w:rPr>
        <w:t xml:space="preserve"> [Accessed 17th June 2023].</w:t>
      </w:r>
    </w:p>
    <w:p w14:paraId="40D8636A" w14:textId="77777777" w:rsidR="00623D1F" w:rsidRPr="007C0879" w:rsidRDefault="00623D1F" w:rsidP="00623D1F">
      <w:pPr>
        <w:widowControl w:val="0"/>
        <w:autoSpaceDE w:val="0"/>
        <w:autoSpaceDN w:val="0"/>
        <w:adjustRightInd w:val="0"/>
        <w:spacing w:line="240" w:lineRule="auto"/>
        <w:rPr>
          <w:rFonts w:cs="Times New Roman"/>
          <w:szCs w:val="24"/>
          <w:lang w:val="en-US"/>
        </w:rPr>
      </w:pPr>
      <w:r w:rsidRPr="007C0879">
        <w:rPr>
          <w:rFonts w:cs="Times New Roman"/>
          <w:szCs w:val="24"/>
          <w:lang w:val="en-US"/>
        </w:rPr>
        <w:t xml:space="preserve">Wang, Y., </w:t>
      </w:r>
      <w:proofErr w:type="spellStart"/>
      <w:r w:rsidRPr="007C0879">
        <w:rPr>
          <w:rFonts w:cs="Times New Roman"/>
          <w:szCs w:val="24"/>
          <w:lang w:val="en-US"/>
        </w:rPr>
        <w:t>Bouri</w:t>
      </w:r>
      <w:proofErr w:type="spellEnd"/>
      <w:r w:rsidRPr="007C0879">
        <w:rPr>
          <w:rFonts w:cs="Times New Roman"/>
          <w:szCs w:val="24"/>
          <w:lang w:val="en-US"/>
        </w:rPr>
        <w:t xml:space="preserve">, E., Fareed, Z., &amp; Dai, Y. (2022). Geopolitical risk and the systemic risk in the commodity markets under the war in Ukraine. </w:t>
      </w:r>
      <w:r w:rsidRPr="007C0879">
        <w:rPr>
          <w:rFonts w:cs="Times New Roman"/>
          <w:i/>
          <w:iCs/>
          <w:szCs w:val="24"/>
          <w:lang w:val="en-US"/>
        </w:rPr>
        <w:t>Finance Research Letters</w:t>
      </w:r>
      <w:r w:rsidRPr="007C0879">
        <w:rPr>
          <w:rFonts w:cs="Times New Roman"/>
          <w:szCs w:val="24"/>
          <w:lang w:val="en-US"/>
        </w:rPr>
        <w:t xml:space="preserve">, 49, p.103066. </w:t>
      </w:r>
    </w:p>
    <w:p w14:paraId="486AAEC7" w14:textId="77777777" w:rsidR="00623D1F" w:rsidRPr="007C0879" w:rsidRDefault="00623D1F" w:rsidP="00623D1F">
      <w:pPr>
        <w:widowControl w:val="0"/>
        <w:autoSpaceDE w:val="0"/>
        <w:autoSpaceDN w:val="0"/>
        <w:adjustRightInd w:val="0"/>
        <w:spacing w:line="240" w:lineRule="auto"/>
        <w:rPr>
          <w:rFonts w:cs="Times New Roman"/>
          <w:szCs w:val="24"/>
          <w:lang w:val="en-US"/>
        </w:rPr>
      </w:pPr>
      <w:bookmarkStart w:id="19" w:name="_Hlk137978589"/>
      <w:r w:rsidRPr="007C0879">
        <w:rPr>
          <w:rFonts w:cs="Times New Roman"/>
          <w:szCs w:val="24"/>
          <w:lang w:val="en-US"/>
        </w:rPr>
        <w:t xml:space="preserve">Wu, D.D., Mitchell, J., &amp; Lambert, J.H. (2022). Global systemic risk and resilience for novel coronavirus in </w:t>
      </w:r>
      <w:proofErr w:type="spellStart"/>
      <w:r w:rsidRPr="007C0879">
        <w:rPr>
          <w:rFonts w:cs="Times New Roman"/>
          <w:szCs w:val="24"/>
          <w:lang w:val="en-US"/>
        </w:rPr>
        <w:t>postpandemic</w:t>
      </w:r>
      <w:proofErr w:type="spellEnd"/>
      <w:r w:rsidRPr="007C0879">
        <w:rPr>
          <w:rFonts w:cs="Times New Roman"/>
          <w:szCs w:val="24"/>
          <w:lang w:val="en-US"/>
        </w:rPr>
        <w:t xml:space="preserve"> era. </w:t>
      </w:r>
      <w:r w:rsidRPr="007C0879">
        <w:rPr>
          <w:rFonts w:cs="Times New Roman"/>
          <w:i/>
          <w:iCs/>
          <w:szCs w:val="24"/>
          <w:lang w:val="en-US"/>
        </w:rPr>
        <w:t>Risk Analysis</w:t>
      </w:r>
      <w:r w:rsidRPr="007C0879">
        <w:rPr>
          <w:rFonts w:cs="Times New Roman"/>
          <w:szCs w:val="24"/>
          <w:lang w:val="en-US"/>
        </w:rPr>
        <w:t>, 42(1), 1-4.</w:t>
      </w:r>
      <w:bookmarkEnd w:id="15"/>
      <w:bookmarkEnd w:id="19"/>
    </w:p>
    <w:p w14:paraId="3FBFD6E5" w14:textId="77777777" w:rsidR="00623D1F" w:rsidRPr="007C0879" w:rsidRDefault="00623D1F" w:rsidP="00623D1F">
      <w:pPr>
        <w:widowControl w:val="0"/>
        <w:autoSpaceDE w:val="0"/>
        <w:autoSpaceDN w:val="0"/>
        <w:adjustRightInd w:val="0"/>
        <w:spacing w:line="240" w:lineRule="auto"/>
        <w:rPr>
          <w:rFonts w:cs="Times New Roman"/>
          <w:szCs w:val="24"/>
          <w:lang w:val="en-US"/>
        </w:rPr>
      </w:pPr>
      <w:r w:rsidRPr="007C0879">
        <w:rPr>
          <w:rFonts w:cs="Times New Roman"/>
          <w:szCs w:val="24"/>
          <w:lang w:val="en-US"/>
        </w:rPr>
        <w:t xml:space="preserve">Zhao, Z., (2020). Dynamic bivariate peak over threshold model for joint tail risk dynamics of financial markets. </w:t>
      </w:r>
      <w:r w:rsidRPr="007C0879">
        <w:rPr>
          <w:rFonts w:cs="Times New Roman"/>
          <w:i/>
          <w:iCs/>
          <w:szCs w:val="24"/>
          <w:lang w:val="en-US"/>
        </w:rPr>
        <w:t>Journal of Business, Economics and Statistics</w:t>
      </w:r>
      <w:r w:rsidRPr="007C0879">
        <w:rPr>
          <w:rFonts w:cs="Times New Roman"/>
          <w:szCs w:val="24"/>
          <w:lang w:val="en-US"/>
        </w:rPr>
        <w:t>, 39(4), 892-906.</w:t>
      </w:r>
    </w:p>
    <w:p w14:paraId="078C7B21" w14:textId="494B373E" w:rsidR="00791CAF" w:rsidRPr="003A49C8" w:rsidRDefault="00791CAF" w:rsidP="00623D1F">
      <w:pPr>
        <w:pStyle w:val="Heading1"/>
        <w:spacing w:after="0"/>
        <w:rPr>
          <w:rFonts w:cs="Times New Roman"/>
          <w:szCs w:val="24"/>
          <w:lang w:val="en-US"/>
        </w:rPr>
      </w:pPr>
    </w:p>
    <w:sectPr w:rsidR="00791CAF" w:rsidRPr="003A49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8EE2B" w14:textId="77777777" w:rsidR="00F20CE7" w:rsidRDefault="00F20CE7" w:rsidP="00A91980">
      <w:pPr>
        <w:spacing w:after="0" w:line="240" w:lineRule="auto"/>
      </w:pPr>
      <w:r>
        <w:separator/>
      </w:r>
    </w:p>
  </w:endnote>
  <w:endnote w:type="continuationSeparator" w:id="0">
    <w:p w14:paraId="063AB163" w14:textId="77777777" w:rsidR="00F20CE7" w:rsidRDefault="00F20CE7" w:rsidP="00A91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6"/>
      </w:rPr>
      <w:id w:val="-1464275877"/>
      <w:docPartObj>
        <w:docPartGallery w:val="Page Numbers (Bottom of Page)"/>
        <w:docPartUnique/>
      </w:docPartObj>
    </w:sdtPr>
    <w:sdtContent>
      <w:sdt>
        <w:sdtPr>
          <w:rPr>
            <w:sz w:val="18"/>
            <w:szCs w:val="16"/>
          </w:rPr>
          <w:id w:val="-1769616900"/>
          <w:docPartObj>
            <w:docPartGallery w:val="Page Numbers (Top of Page)"/>
            <w:docPartUnique/>
          </w:docPartObj>
        </w:sdtPr>
        <w:sdtContent>
          <w:p w14:paraId="66A1E1B0" w14:textId="1516B17C" w:rsidR="00CF2B14" w:rsidRPr="00D55745" w:rsidRDefault="00CF2B14">
            <w:pPr>
              <w:pStyle w:val="Footer"/>
              <w:jc w:val="right"/>
              <w:rPr>
                <w:sz w:val="18"/>
                <w:szCs w:val="16"/>
              </w:rPr>
            </w:pPr>
            <w:r w:rsidRPr="00D55745">
              <w:rPr>
                <w:sz w:val="18"/>
                <w:szCs w:val="16"/>
              </w:rPr>
              <w:t xml:space="preserve">Page </w:t>
            </w:r>
            <w:r w:rsidRPr="00D55745">
              <w:rPr>
                <w:b/>
                <w:bCs/>
                <w:sz w:val="18"/>
                <w:szCs w:val="18"/>
              </w:rPr>
              <w:fldChar w:fldCharType="begin"/>
            </w:r>
            <w:r w:rsidRPr="00D55745">
              <w:rPr>
                <w:b/>
                <w:bCs/>
                <w:sz w:val="18"/>
                <w:szCs w:val="16"/>
              </w:rPr>
              <w:instrText xml:space="preserve"> PAGE </w:instrText>
            </w:r>
            <w:r w:rsidRPr="00D55745">
              <w:rPr>
                <w:b/>
                <w:bCs/>
                <w:sz w:val="18"/>
                <w:szCs w:val="18"/>
              </w:rPr>
              <w:fldChar w:fldCharType="separate"/>
            </w:r>
            <w:r w:rsidR="00B819B0">
              <w:rPr>
                <w:b/>
                <w:bCs/>
                <w:noProof/>
                <w:sz w:val="18"/>
                <w:szCs w:val="16"/>
              </w:rPr>
              <w:t>9</w:t>
            </w:r>
            <w:r w:rsidRPr="00D55745">
              <w:rPr>
                <w:b/>
                <w:bCs/>
                <w:sz w:val="18"/>
                <w:szCs w:val="18"/>
              </w:rPr>
              <w:fldChar w:fldCharType="end"/>
            </w:r>
            <w:r w:rsidRPr="00D55745">
              <w:rPr>
                <w:sz w:val="18"/>
                <w:szCs w:val="16"/>
              </w:rPr>
              <w:t xml:space="preserve"> of </w:t>
            </w:r>
            <w:r w:rsidRPr="00D55745">
              <w:rPr>
                <w:b/>
                <w:bCs/>
                <w:sz w:val="18"/>
                <w:szCs w:val="18"/>
              </w:rPr>
              <w:fldChar w:fldCharType="begin"/>
            </w:r>
            <w:r w:rsidRPr="00D55745">
              <w:rPr>
                <w:b/>
                <w:bCs/>
                <w:sz w:val="18"/>
                <w:szCs w:val="16"/>
              </w:rPr>
              <w:instrText xml:space="preserve"> NUMPAGES  </w:instrText>
            </w:r>
            <w:r w:rsidRPr="00D55745">
              <w:rPr>
                <w:b/>
                <w:bCs/>
                <w:sz w:val="18"/>
                <w:szCs w:val="18"/>
              </w:rPr>
              <w:fldChar w:fldCharType="separate"/>
            </w:r>
            <w:r w:rsidR="00B819B0">
              <w:rPr>
                <w:b/>
                <w:bCs/>
                <w:noProof/>
                <w:sz w:val="18"/>
                <w:szCs w:val="16"/>
              </w:rPr>
              <w:t>40</w:t>
            </w:r>
            <w:r w:rsidRPr="00D55745">
              <w:rPr>
                <w:b/>
                <w:bCs/>
                <w:sz w:val="18"/>
                <w:szCs w:val="18"/>
              </w:rPr>
              <w:fldChar w:fldCharType="end"/>
            </w:r>
          </w:p>
        </w:sdtContent>
      </w:sdt>
    </w:sdtContent>
  </w:sdt>
  <w:p w14:paraId="6B5BF952" w14:textId="77777777" w:rsidR="00CF2B14" w:rsidRPr="00D55745" w:rsidRDefault="00CF2B14">
    <w:pPr>
      <w:pStyle w:val="Footer"/>
      <w:rPr>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A9099" w14:textId="77777777" w:rsidR="00F20CE7" w:rsidRDefault="00F20CE7" w:rsidP="00A91980">
      <w:pPr>
        <w:spacing w:after="0" w:line="240" w:lineRule="auto"/>
      </w:pPr>
      <w:r>
        <w:separator/>
      </w:r>
    </w:p>
  </w:footnote>
  <w:footnote w:type="continuationSeparator" w:id="0">
    <w:p w14:paraId="6B359C1B" w14:textId="77777777" w:rsidR="00F20CE7" w:rsidRDefault="00F20CE7" w:rsidP="00A91980">
      <w:pPr>
        <w:spacing w:after="0" w:line="240" w:lineRule="auto"/>
      </w:pPr>
      <w:r>
        <w:continuationSeparator/>
      </w:r>
    </w:p>
  </w:footnote>
  <w:footnote w:id="1">
    <w:p w14:paraId="0FCDFB4C" w14:textId="0A1DBBB5" w:rsidR="00CF2B14" w:rsidRDefault="00CF2B14" w:rsidP="001B75E3">
      <w:pPr>
        <w:pStyle w:val="FootnoteText"/>
        <w:jc w:val="left"/>
      </w:pPr>
      <w:r>
        <w:rPr>
          <w:rStyle w:val="FootnoteReference"/>
        </w:rPr>
        <w:footnoteRef/>
      </w:r>
      <w:hyperlink r:id="rId1" w:anchor=":~:text=The%20IPCC%20is%20currently%20working,be%20released%20in%20March%202023" w:history="1">
        <w:r w:rsidRPr="001D544C">
          <w:rPr>
            <w:rStyle w:val="Hyperlink"/>
          </w:rPr>
          <w:t>https://www.ipcc.ch/2022/11/25/ipcc-circulates-final-draft-ar6-synthesis-report/#:~:text=The%20IPCC%20is%20currently%20working,be%20released%20in%20March%202023</w:t>
        </w:r>
      </w:hyperlink>
      <w:r w:rsidRPr="00A91980">
        <w:t>.</w:t>
      </w:r>
      <w:r>
        <w:t xml:space="preserve"> </w:t>
      </w:r>
    </w:p>
  </w:footnote>
  <w:footnote w:id="2">
    <w:p w14:paraId="57D3F3B3" w14:textId="3BB84D8F" w:rsidR="00CF2B14" w:rsidRDefault="00CF2B14">
      <w:pPr>
        <w:pStyle w:val="FootnoteText"/>
      </w:pPr>
      <w:r>
        <w:rPr>
          <w:rStyle w:val="FootnoteReference"/>
        </w:rPr>
        <w:footnoteRef/>
      </w:r>
      <w:r>
        <w:t xml:space="preserve"> In this study we use ESG, healthcare and financial ETFs as proxies for ESG, healthcare and financial sectors and we use ETFs and sectors interchangeably. </w:t>
      </w:r>
    </w:p>
  </w:footnote>
  <w:footnote w:id="3">
    <w:p w14:paraId="603DB9D4" w14:textId="55878363" w:rsidR="00CF2B14" w:rsidRDefault="00CF2B14" w:rsidP="001A69E9">
      <w:pPr>
        <w:pStyle w:val="FootnoteText"/>
      </w:pPr>
      <w:r>
        <w:rPr>
          <w:rStyle w:val="FootnoteReference"/>
        </w:rPr>
        <w:footnoteRef/>
      </w:r>
      <w:r>
        <w:t xml:space="preserve"> ESG sector is not a sector analogous to healthcare and financial sector but to be consistent we use ESG sector in this paper.</w:t>
      </w:r>
    </w:p>
  </w:footnote>
  <w:footnote w:id="4">
    <w:p w14:paraId="11D70CDD" w14:textId="365A3842" w:rsidR="00CF2B14" w:rsidRDefault="00CF2B14">
      <w:pPr>
        <w:pStyle w:val="FootnoteText"/>
      </w:pPr>
      <w:r>
        <w:rPr>
          <w:rStyle w:val="FootnoteReference"/>
        </w:rPr>
        <w:footnoteRef/>
      </w:r>
      <w:r>
        <w:t xml:space="preserve"> As a robustness test, we also use </w:t>
      </w:r>
      <w:r w:rsidRPr="00253AE4">
        <w:rPr>
          <w:i/>
          <w:iCs/>
        </w:rPr>
        <w:t>m</w:t>
      </w:r>
      <w:r>
        <w:t xml:space="preserve"> = 200 but our results generally remain the same. </w:t>
      </w:r>
    </w:p>
  </w:footnote>
  <w:footnote w:id="5">
    <w:p w14:paraId="336F2AC7" w14:textId="75A77E78" w:rsidR="00CF2B14" w:rsidRDefault="00CF2B14" w:rsidP="00B0350A">
      <w:pPr>
        <w:spacing w:line="240" w:lineRule="auto"/>
        <w:rPr>
          <w:rFonts w:cs="Times New Roman"/>
          <w:color w:val="0070C0"/>
          <w:shd w:val="clear" w:color="auto" w:fill="FFFFFF"/>
        </w:rPr>
      </w:pPr>
      <w:r>
        <w:rPr>
          <w:rStyle w:val="FootnoteReference"/>
        </w:rPr>
        <w:footnoteRef/>
      </w:r>
      <w:r>
        <w:t xml:space="preserve"> </w:t>
      </w:r>
      <w:r w:rsidRPr="00B0350A">
        <w:rPr>
          <w:rFonts w:cs="Times New Roman"/>
          <w:color w:val="0070C0"/>
          <w:sz w:val="20"/>
          <w:szCs w:val="20"/>
          <w:shd w:val="clear" w:color="auto" w:fill="FFFFFF"/>
        </w:rPr>
        <w:t>As robustness test,</w:t>
      </w:r>
      <w:r w:rsidRPr="00B0350A">
        <w:rPr>
          <w:rFonts w:cs="Times New Roman"/>
          <w:sz w:val="20"/>
          <w:szCs w:val="20"/>
        </w:rPr>
        <w:t xml:space="preserve"> </w:t>
      </w:r>
      <w:r w:rsidRPr="00B0350A">
        <w:rPr>
          <w:rFonts w:cs="Times New Roman"/>
          <w:color w:val="0070C0"/>
          <w:sz w:val="20"/>
          <w:szCs w:val="20"/>
          <w:shd w:val="clear" w:color="auto" w:fill="FFFFFF"/>
        </w:rPr>
        <w:t xml:space="preserve">we have also used nuisance parameter </w:t>
      </w:r>
      <m:oMath>
        <m:r>
          <w:rPr>
            <w:rFonts w:ascii="Cambria Math" w:hAnsi="Cambria Math" w:cs="Times New Roman"/>
            <w:color w:val="0070C0"/>
            <w:sz w:val="20"/>
            <w:szCs w:val="20"/>
            <w:shd w:val="clear" w:color="auto" w:fill="FFFFFF"/>
          </w:rPr>
          <m:t>m</m:t>
        </m:r>
      </m:oMath>
      <w:r w:rsidRPr="00B0350A">
        <w:rPr>
          <w:rFonts w:eastAsiaTheme="minorEastAsia" w:cs="Times New Roman"/>
          <w:color w:val="0070C0"/>
          <w:sz w:val="20"/>
          <w:szCs w:val="20"/>
          <w:shd w:val="clear" w:color="auto" w:fill="FFFFFF"/>
        </w:rPr>
        <w:t xml:space="preserve"> = 200</w:t>
      </w:r>
      <w:r w:rsidRPr="00B0350A">
        <w:rPr>
          <w:rFonts w:cs="Times New Roman"/>
          <w:color w:val="0070C0"/>
          <w:sz w:val="20"/>
          <w:szCs w:val="20"/>
          <w:shd w:val="clear" w:color="auto" w:fill="FFFFFF"/>
        </w:rPr>
        <w:t xml:space="preserve">, in addition to </w:t>
      </w:r>
      <m:oMath>
        <m:r>
          <w:rPr>
            <w:rFonts w:ascii="Cambria Math" w:hAnsi="Cambria Math" w:cs="Times New Roman"/>
            <w:color w:val="0070C0"/>
            <w:sz w:val="20"/>
            <w:szCs w:val="20"/>
            <w:shd w:val="clear" w:color="auto" w:fill="FFFFFF"/>
          </w:rPr>
          <m:t>m</m:t>
        </m:r>
      </m:oMath>
      <w:r w:rsidRPr="00B0350A">
        <w:rPr>
          <w:rFonts w:eastAsiaTheme="minorEastAsia" w:cs="Times New Roman"/>
          <w:color w:val="0070C0"/>
          <w:sz w:val="20"/>
          <w:szCs w:val="20"/>
          <w:shd w:val="clear" w:color="auto" w:fill="FFFFFF"/>
        </w:rPr>
        <w:t xml:space="preserve"> = 300 in the revised version of the paper and our results remain the same generally. </w:t>
      </w:r>
      <w:r w:rsidRPr="00B0350A">
        <w:rPr>
          <w:rFonts w:cs="Times New Roman"/>
          <w:color w:val="0070C0"/>
          <w:sz w:val="20"/>
          <w:szCs w:val="20"/>
          <w:shd w:val="clear" w:color="auto" w:fill="FFFFFF"/>
        </w:rPr>
        <w:t>We do not report these results in the paper for the sake of brevity.</w:t>
      </w:r>
      <w:r>
        <w:rPr>
          <w:rFonts w:cs="Times New Roman"/>
          <w:color w:val="0070C0"/>
          <w:shd w:val="clear" w:color="auto" w:fill="FFFFFF"/>
        </w:rPr>
        <w:t xml:space="preserve"> </w:t>
      </w:r>
    </w:p>
    <w:p w14:paraId="0263FB77" w14:textId="4AC8F0D4" w:rsidR="00CF2B14" w:rsidRDefault="00CF2B1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03416"/>
    <w:multiLevelType w:val="hybridMultilevel"/>
    <w:tmpl w:val="9BC8DB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0A3D97"/>
    <w:multiLevelType w:val="hybridMultilevel"/>
    <w:tmpl w:val="774642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B24EB8"/>
    <w:multiLevelType w:val="hybridMultilevel"/>
    <w:tmpl w:val="0C56AAA0"/>
    <w:lvl w:ilvl="0" w:tplc="F0AA2D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4674633">
    <w:abstractNumId w:val="0"/>
  </w:num>
  <w:num w:numId="2" w16cid:durableId="1180196544">
    <w:abstractNumId w:val="1"/>
  </w:num>
  <w:num w:numId="3" w16cid:durableId="1227257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2trQ0NzEyNDExMDBV0lEKTi0uzszPAykwNK4FAEQ7BB8tAAAA"/>
  </w:docVars>
  <w:rsids>
    <w:rsidRoot w:val="009C5B12"/>
    <w:rsid w:val="00006590"/>
    <w:rsid w:val="000111E9"/>
    <w:rsid w:val="00015841"/>
    <w:rsid w:val="00015C8B"/>
    <w:rsid w:val="00016D1A"/>
    <w:rsid w:val="00017423"/>
    <w:rsid w:val="00023B2E"/>
    <w:rsid w:val="000313A6"/>
    <w:rsid w:val="00037FF8"/>
    <w:rsid w:val="00042E99"/>
    <w:rsid w:val="00045BC6"/>
    <w:rsid w:val="0005692B"/>
    <w:rsid w:val="00062DBA"/>
    <w:rsid w:val="000719C4"/>
    <w:rsid w:val="00075F28"/>
    <w:rsid w:val="000777D4"/>
    <w:rsid w:val="00090472"/>
    <w:rsid w:val="000908DB"/>
    <w:rsid w:val="00092528"/>
    <w:rsid w:val="00096E91"/>
    <w:rsid w:val="000A1C89"/>
    <w:rsid w:val="000A766E"/>
    <w:rsid w:val="000B22C6"/>
    <w:rsid w:val="000D5BA7"/>
    <w:rsid w:val="000E057F"/>
    <w:rsid w:val="000E1A6B"/>
    <w:rsid w:val="000E2939"/>
    <w:rsid w:val="000E338A"/>
    <w:rsid w:val="000E4A84"/>
    <w:rsid w:val="000E693D"/>
    <w:rsid w:val="000F03E8"/>
    <w:rsid w:val="000F39D8"/>
    <w:rsid w:val="000F4986"/>
    <w:rsid w:val="000F6744"/>
    <w:rsid w:val="000F7921"/>
    <w:rsid w:val="0010177E"/>
    <w:rsid w:val="00102292"/>
    <w:rsid w:val="00105306"/>
    <w:rsid w:val="00107485"/>
    <w:rsid w:val="001208C4"/>
    <w:rsid w:val="0013025F"/>
    <w:rsid w:val="0013554D"/>
    <w:rsid w:val="00151B93"/>
    <w:rsid w:val="001532F4"/>
    <w:rsid w:val="001537A2"/>
    <w:rsid w:val="001606C0"/>
    <w:rsid w:val="00163DA9"/>
    <w:rsid w:val="00164638"/>
    <w:rsid w:val="00165F2E"/>
    <w:rsid w:val="00167D59"/>
    <w:rsid w:val="00171ED2"/>
    <w:rsid w:val="00176D86"/>
    <w:rsid w:val="00177E9F"/>
    <w:rsid w:val="00184E65"/>
    <w:rsid w:val="001947EE"/>
    <w:rsid w:val="001A69E9"/>
    <w:rsid w:val="001B15B4"/>
    <w:rsid w:val="001B73F0"/>
    <w:rsid w:val="001B75E3"/>
    <w:rsid w:val="001B7B5D"/>
    <w:rsid w:val="001C136C"/>
    <w:rsid w:val="001D0B93"/>
    <w:rsid w:val="001D56BE"/>
    <w:rsid w:val="001D76B8"/>
    <w:rsid w:val="001E2E0A"/>
    <w:rsid w:val="001E7B9A"/>
    <w:rsid w:val="001F76F7"/>
    <w:rsid w:val="00201829"/>
    <w:rsid w:val="00201E47"/>
    <w:rsid w:val="002072C1"/>
    <w:rsid w:val="002206CB"/>
    <w:rsid w:val="00221F27"/>
    <w:rsid w:val="00223870"/>
    <w:rsid w:val="002314F1"/>
    <w:rsid w:val="00237CDF"/>
    <w:rsid w:val="0024162E"/>
    <w:rsid w:val="002456C9"/>
    <w:rsid w:val="00253AE4"/>
    <w:rsid w:val="00256337"/>
    <w:rsid w:val="002604F5"/>
    <w:rsid w:val="00264CBF"/>
    <w:rsid w:val="0027121B"/>
    <w:rsid w:val="0027141B"/>
    <w:rsid w:val="00275A57"/>
    <w:rsid w:val="0027728B"/>
    <w:rsid w:val="0028451D"/>
    <w:rsid w:val="00284679"/>
    <w:rsid w:val="00284751"/>
    <w:rsid w:val="00291F18"/>
    <w:rsid w:val="002926D9"/>
    <w:rsid w:val="002A2DEE"/>
    <w:rsid w:val="002A4D4A"/>
    <w:rsid w:val="002B0B36"/>
    <w:rsid w:val="002C0172"/>
    <w:rsid w:val="002C2D41"/>
    <w:rsid w:val="002D11A1"/>
    <w:rsid w:val="002D73CB"/>
    <w:rsid w:val="002E1E31"/>
    <w:rsid w:val="002E45F4"/>
    <w:rsid w:val="002E6014"/>
    <w:rsid w:val="002F0CFD"/>
    <w:rsid w:val="002F3435"/>
    <w:rsid w:val="002F62CC"/>
    <w:rsid w:val="002F789D"/>
    <w:rsid w:val="002F7B28"/>
    <w:rsid w:val="00300A26"/>
    <w:rsid w:val="0030386F"/>
    <w:rsid w:val="003123D7"/>
    <w:rsid w:val="00313166"/>
    <w:rsid w:val="0031674D"/>
    <w:rsid w:val="00317F06"/>
    <w:rsid w:val="00320DC8"/>
    <w:rsid w:val="003238D5"/>
    <w:rsid w:val="00330350"/>
    <w:rsid w:val="00331470"/>
    <w:rsid w:val="00332200"/>
    <w:rsid w:val="003326FB"/>
    <w:rsid w:val="003342E8"/>
    <w:rsid w:val="00340D32"/>
    <w:rsid w:val="003414A1"/>
    <w:rsid w:val="00343F9E"/>
    <w:rsid w:val="00347920"/>
    <w:rsid w:val="00350D7D"/>
    <w:rsid w:val="00351B1A"/>
    <w:rsid w:val="00352574"/>
    <w:rsid w:val="00366786"/>
    <w:rsid w:val="00375421"/>
    <w:rsid w:val="0038000F"/>
    <w:rsid w:val="00385226"/>
    <w:rsid w:val="0038736F"/>
    <w:rsid w:val="00390518"/>
    <w:rsid w:val="003909CC"/>
    <w:rsid w:val="00393903"/>
    <w:rsid w:val="00395175"/>
    <w:rsid w:val="003971FE"/>
    <w:rsid w:val="003A4357"/>
    <w:rsid w:val="003A49C8"/>
    <w:rsid w:val="003B43FC"/>
    <w:rsid w:val="003B6AE8"/>
    <w:rsid w:val="003E20BE"/>
    <w:rsid w:val="0040248B"/>
    <w:rsid w:val="004130C4"/>
    <w:rsid w:val="00417950"/>
    <w:rsid w:val="004362AB"/>
    <w:rsid w:val="004376C1"/>
    <w:rsid w:val="00443077"/>
    <w:rsid w:val="00443DCF"/>
    <w:rsid w:val="00450070"/>
    <w:rsid w:val="0045142D"/>
    <w:rsid w:val="0045258E"/>
    <w:rsid w:val="00456D56"/>
    <w:rsid w:val="00460F87"/>
    <w:rsid w:val="00464B56"/>
    <w:rsid w:val="00475747"/>
    <w:rsid w:val="0048133F"/>
    <w:rsid w:val="0049096E"/>
    <w:rsid w:val="00492E5B"/>
    <w:rsid w:val="00493936"/>
    <w:rsid w:val="004A4C5D"/>
    <w:rsid w:val="004A786E"/>
    <w:rsid w:val="004C0DBD"/>
    <w:rsid w:val="004C59B3"/>
    <w:rsid w:val="004D15E7"/>
    <w:rsid w:val="004D7D3B"/>
    <w:rsid w:val="004E161C"/>
    <w:rsid w:val="004E25DD"/>
    <w:rsid w:val="004E3C65"/>
    <w:rsid w:val="004E59C3"/>
    <w:rsid w:val="004F4192"/>
    <w:rsid w:val="004F7205"/>
    <w:rsid w:val="00507156"/>
    <w:rsid w:val="00510932"/>
    <w:rsid w:val="00514ACC"/>
    <w:rsid w:val="0052348B"/>
    <w:rsid w:val="0052375A"/>
    <w:rsid w:val="00525793"/>
    <w:rsid w:val="005266FD"/>
    <w:rsid w:val="005334F9"/>
    <w:rsid w:val="00541B5B"/>
    <w:rsid w:val="0054323D"/>
    <w:rsid w:val="00551098"/>
    <w:rsid w:val="00553BD2"/>
    <w:rsid w:val="005577B3"/>
    <w:rsid w:val="00562495"/>
    <w:rsid w:val="00562E0A"/>
    <w:rsid w:val="0056487F"/>
    <w:rsid w:val="0057048E"/>
    <w:rsid w:val="00574325"/>
    <w:rsid w:val="00574F2F"/>
    <w:rsid w:val="005761FE"/>
    <w:rsid w:val="005928EF"/>
    <w:rsid w:val="00596065"/>
    <w:rsid w:val="005A1A15"/>
    <w:rsid w:val="005A32E1"/>
    <w:rsid w:val="005A6BC6"/>
    <w:rsid w:val="005B2D6F"/>
    <w:rsid w:val="005B5760"/>
    <w:rsid w:val="005B5987"/>
    <w:rsid w:val="005C0546"/>
    <w:rsid w:val="005C73CB"/>
    <w:rsid w:val="005D161F"/>
    <w:rsid w:val="005D3BB6"/>
    <w:rsid w:val="005D421D"/>
    <w:rsid w:val="005D624B"/>
    <w:rsid w:val="005E448C"/>
    <w:rsid w:val="005E7F94"/>
    <w:rsid w:val="005F34F1"/>
    <w:rsid w:val="005F4B6E"/>
    <w:rsid w:val="005F6E11"/>
    <w:rsid w:val="005F72D9"/>
    <w:rsid w:val="00600CBC"/>
    <w:rsid w:val="00602D0C"/>
    <w:rsid w:val="00613783"/>
    <w:rsid w:val="00614217"/>
    <w:rsid w:val="00623D1F"/>
    <w:rsid w:val="006256FD"/>
    <w:rsid w:val="006263B4"/>
    <w:rsid w:val="0062798A"/>
    <w:rsid w:val="00640B17"/>
    <w:rsid w:val="006415E2"/>
    <w:rsid w:val="006445C7"/>
    <w:rsid w:val="0064697A"/>
    <w:rsid w:val="006512E3"/>
    <w:rsid w:val="00656132"/>
    <w:rsid w:val="00663A4B"/>
    <w:rsid w:val="00666ED2"/>
    <w:rsid w:val="006776E3"/>
    <w:rsid w:val="00677B38"/>
    <w:rsid w:val="00684317"/>
    <w:rsid w:val="00684ECD"/>
    <w:rsid w:val="00687D35"/>
    <w:rsid w:val="006A3C47"/>
    <w:rsid w:val="006A5517"/>
    <w:rsid w:val="006B163F"/>
    <w:rsid w:val="006B3A39"/>
    <w:rsid w:val="006C11D8"/>
    <w:rsid w:val="006D5CDF"/>
    <w:rsid w:val="006E0D88"/>
    <w:rsid w:val="006E2DAC"/>
    <w:rsid w:val="006E5431"/>
    <w:rsid w:val="006F2F02"/>
    <w:rsid w:val="006F38A4"/>
    <w:rsid w:val="0070279B"/>
    <w:rsid w:val="00706762"/>
    <w:rsid w:val="00707C5D"/>
    <w:rsid w:val="007126CC"/>
    <w:rsid w:val="00721582"/>
    <w:rsid w:val="00721CB8"/>
    <w:rsid w:val="007314BF"/>
    <w:rsid w:val="00735D41"/>
    <w:rsid w:val="0074047B"/>
    <w:rsid w:val="007433D9"/>
    <w:rsid w:val="00744A33"/>
    <w:rsid w:val="007500A7"/>
    <w:rsid w:val="00762391"/>
    <w:rsid w:val="0076292D"/>
    <w:rsid w:val="00762A3E"/>
    <w:rsid w:val="00773F70"/>
    <w:rsid w:val="00777593"/>
    <w:rsid w:val="00780144"/>
    <w:rsid w:val="00780897"/>
    <w:rsid w:val="00783364"/>
    <w:rsid w:val="00787883"/>
    <w:rsid w:val="00791CAF"/>
    <w:rsid w:val="00795954"/>
    <w:rsid w:val="00795B2D"/>
    <w:rsid w:val="00795E32"/>
    <w:rsid w:val="007A0C33"/>
    <w:rsid w:val="007A4861"/>
    <w:rsid w:val="007B1003"/>
    <w:rsid w:val="007B3E58"/>
    <w:rsid w:val="007C450F"/>
    <w:rsid w:val="007D2D6B"/>
    <w:rsid w:val="007D58F8"/>
    <w:rsid w:val="007F01AB"/>
    <w:rsid w:val="007F029E"/>
    <w:rsid w:val="00801ED1"/>
    <w:rsid w:val="00804CEB"/>
    <w:rsid w:val="00813F4D"/>
    <w:rsid w:val="00815C6B"/>
    <w:rsid w:val="00833EC5"/>
    <w:rsid w:val="0083658B"/>
    <w:rsid w:val="00837B59"/>
    <w:rsid w:val="00841BD7"/>
    <w:rsid w:val="0084390B"/>
    <w:rsid w:val="00846B12"/>
    <w:rsid w:val="008479B3"/>
    <w:rsid w:val="00851AAA"/>
    <w:rsid w:val="00886A59"/>
    <w:rsid w:val="008A26AF"/>
    <w:rsid w:val="008A411C"/>
    <w:rsid w:val="008A57BD"/>
    <w:rsid w:val="008A5BE2"/>
    <w:rsid w:val="008A7BF3"/>
    <w:rsid w:val="008B0DFD"/>
    <w:rsid w:val="008C0623"/>
    <w:rsid w:val="008C4AFC"/>
    <w:rsid w:val="008D0246"/>
    <w:rsid w:val="008D7ABE"/>
    <w:rsid w:val="008E0AA4"/>
    <w:rsid w:val="008E1951"/>
    <w:rsid w:val="008E2000"/>
    <w:rsid w:val="008E310E"/>
    <w:rsid w:val="008F01CF"/>
    <w:rsid w:val="008F4D5D"/>
    <w:rsid w:val="008F59DE"/>
    <w:rsid w:val="008F63EA"/>
    <w:rsid w:val="0091626F"/>
    <w:rsid w:val="009173FD"/>
    <w:rsid w:val="00920439"/>
    <w:rsid w:val="009348F8"/>
    <w:rsid w:val="009356F3"/>
    <w:rsid w:val="00937335"/>
    <w:rsid w:val="009417CA"/>
    <w:rsid w:val="009426BA"/>
    <w:rsid w:val="00946D2A"/>
    <w:rsid w:val="009526C1"/>
    <w:rsid w:val="009570AA"/>
    <w:rsid w:val="00961902"/>
    <w:rsid w:val="00963B13"/>
    <w:rsid w:val="009678F9"/>
    <w:rsid w:val="00971AD5"/>
    <w:rsid w:val="009764A0"/>
    <w:rsid w:val="00982AAB"/>
    <w:rsid w:val="00994720"/>
    <w:rsid w:val="0099555D"/>
    <w:rsid w:val="009A3487"/>
    <w:rsid w:val="009A6F40"/>
    <w:rsid w:val="009B2CD2"/>
    <w:rsid w:val="009C1A4A"/>
    <w:rsid w:val="009C1DB7"/>
    <w:rsid w:val="009C237B"/>
    <w:rsid w:val="009C3191"/>
    <w:rsid w:val="009C32E9"/>
    <w:rsid w:val="009C5B12"/>
    <w:rsid w:val="009D068D"/>
    <w:rsid w:val="009D651C"/>
    <w:rsid w:val="009E0006"/>
    <w:rsid w:val="009E2724"/>
    <w:rsid w:val="009E62B1"/>
    <w:rsid w:val="009E6B14"/>
    <w:rsid w:val="009F3331"/>
    <w:rsid w:val="00A05F3B"/>
    <w:rsid w:val="00A13871"/>
    <w:rsid w:val="00A31A32"/>
    <w:rsid w:val="00A34A1F"/>
    <w:rsid w:val="00A3567E"/>
    <w:rsid w:val="00A366C1"/>
    <w:rsid w:val="00A407AA"/>
    <w:rsid w:val="00A47CD0"/>
    <w:rsid w:val="00A5753C"/>
    <w:rsid w:val="00A61FD1"/>
    <w:rsid w:val="00A72A91"/>
    <w:rsid w:val="00A73CB5"/>
    <w:rsid w:val="00A767BD"/>
    <w:rsid w:val="00A827EB"/>
    <w:rsid w:val="00A857DA"/>
    <w:rsid w:val="00A85C39"/>
    <w:rsid w:val="00A87AAD"/>
    <w:rsid w:val="00A91980"/>
    <w:rsid w:val="00A95A32"/>
    <w:rsid w:val="00A95EBE"/>
    <w:rsid w:val="00AA49B7"/>
    <w:rsid w:val="00AB2673"/>
    <w:rsid w:val="00AC2CF7"/>
    <w:rsid w:val="00AC6871"/>
    <w:rsid w:val="00AD1605"/>
    <w:rsid w:val="00AD5CDA"/>
    <w:rsid w:val="00AF4560"/>
    <w:rsid w:val="00AF785A"/>
    <w:rsid w:val="00AF7D9F"/>
    <w:rsid w:val="00B0350A"/>
    <w:rsid w:val="00B04FCD"/>
    <w:rsid w:val="00B105E2"/>
    <w:rsid w:val="00B1681C"/>
    <w:rsid w:val="00B25F71"/>
    <w:rsid w:val="00B27683"/>
    <w:rsid w:val="00B3056A"/>
    <w:rsid w:val="00B3161E"/>
    <w:rsid w:val="00B332A8"/>
    <w:rsid w:val="00B4126E"/>
    <w:rsid w:val="00B44B5C"/>
    <w:rsid w:val="00B673B7"/>
    <w:rsid w:val="00B73B4F"/>
    <w:rsid w:val="00B75B6E"/>
    <w:rsid w:val="00B819B0"/>
    <w:rsid w:val="00B81AC6"/>
    <w:rsid w:val="00B90374"/>
    <w:rsid w:val="00B942AD"/>
    <w:rsid w:val="00BB3A11"/>
    <w:rsid w:val="00BB6D74"/>
    <w:rsid w:val="00BB77E9"/>
    <w:rsid w:val="00BC0309"/>
    <w:rsid w:val="00BC2DE1"/>
    <w:rsid w:val="00BD4538"/>
    <w:rsid w:val="00BE420A"/>
    <w:rsid w:val="00BF0142"/>
    <w:rsid w:val="00BF4DDD"/>
    <w:rsid w:val="00BF5796"/>
    <w:rsid w:val="00C14768"/>
    <w:rsid w:val="00C1689E"/>
    <w:rsid w:val="00C254D0"/>
    <w:rsid w:val="00C31622"/>
    <w:rsid w:val="00C320D3"/>
    <w:rsid w:val="00C419D6"/>
    <w:rsid w:val="00C428D0"/>
    <w:rsid w:val="00C44044"/>
    <w:rsid w:val="00C51C9F"/>
    <w:rsid w:val="00C55389"/>
    <w:rsid w:val="00C62826"/>
    <w:rsid w:val="00C63157"/>
    <w:rsid w:val="00C63673"/>
    <w:rsid w:val="00C65512"/>
    <w:rsid w:val="00C67CAC"/>
    <w:rsid w:val="00C74298"/>
    <w:rsid w:val="00C75C47"/>
    <w:rsid w:val="00C84CE8"/>
    <w:rsid w:val="00C877E4"/>
    <w:rsid w:val="00C87FD9"/>
    <w:rsid w:val="00C95667"/>
    <w:rsid w:val="00CE76DB"/>
    <w:rsid w:val="00CF2B14"/>
    <w:rsid w:val="00D11742"/>
    <w:rsid w:val="00D269A3"/>
    <w:rsid w:val="00D27887"/>
    <w:rsid w:val="00D31238"/>
    <w:rsid w:val="00D45FD9"/>
    <w:rsid w:val="00D479E1"/>
    <w:rsid w:val="00D5322C"/>
    <w:rsid w:val="00D56D5E"/>
    <w:rsid w:val="00D57F52"/>
    <w:rsid w:val="00D7326F"/>
    <w:rsid w:val="00D761AE"/>
    <w:rsid w:val="00D805A1"/>
    <w:rsid w:val="00D909C9"/>
    <w:rsid w:val="00D93566"/>
    <w:rsid w:val="00D97E12"/>
    <w:rsid w:val="00DA06A6"/>
    <w:rsid w:val="00DA1598"/>
    <w:rsid w:val="00DC6566"/>
    <w:rsid w:val="00DD12AC"/>
    <w:rsid w:val="00DD703C"/>
    <w:rsid w:val="00DE62E0"/>
    <w:rsid w:val="00DE735D"/>
    <w:rsid w:val="00DF04DC"/>
    <w:rsid w:val="00DF1BCD"/>
    <w:rsid w:val="00E01F94"/>
    <w:rsid w:val="00E061F9"/>
    <w:rsid w:val="00E07AE0"/>
    <w:rsid w:val="00E10A7E"/>
    <w:rsid w:val="00E22CCD"/>
    <w:rsid w:val="00E260F8"/>
    <w:rsid w:val="00E33705"/>
    <w:rsid w:val="00E33D45"/>
    <w:rsid w:val="00E40585"/>
    <w:rsid w:val="00E46865"/>
    <w:rsid w:val="00E47355"/>
    <w:rsid w:val="00E6006C"/>
    <w:rsid w:val="00E61930"/>
    <w:rsid w:val="00E63C6E"/>
    <w:rsid w:val="00E86338"/>
    <w:rsid w:val="00E93D96"/>
    <w:rsid w:val="00E94D5D"/>
    <w:rsid w:val="00EB5748"/>
    <w:rsid w:val="00EB5C1D"/>
    <w:rsid w:val="00EB71A3"/>
    <w:rsid w:val="00EC122A"/>
    <w:rsid w:val="00EC5FB3"/>
    <w:rsid w:val="00ED2C87"/>
    <w:rsid w:val="00ED5436"/>
    <w:rsid w:val="00ED6E71"/>
    <w:rsid w:val="00EE038A"/>
    <w:rsid w:val="00EE0BF1"/>
    <w:rsid w:val="00EE45C3"/>
    <w:rsid w:val="00EE5BB6"/>
    <w:rsid w:val="00EE7850"/>
    <w:rsid w:val="00EF086E"/>
    <w:rsid w:val="00EF2D77"/>
    <w:rsid w:val="00F013CF"/>
    <w:rsid w:val="00F0236E"/>
    <w:rsid w:val="00F10457"/>
    <w:rsid w:val="00F11C13"/>
    <w:rsid w:val="00F17F67"/>
    <w:rsid w:val="00F20CE7"/>
    <w:rsid w:val="00F22EE6"/>
    <w:rsid w:val="00F2600C"/>
    <w:rsid w:val="00F3019E"/>
    <w:rsid w:val="00F349DD"/>
    <w:rsid w:val="00F37FE7"/>
    <w:rsid w:val="00F50DBD"/>
    <w:rsid w:val="00F65E57"/>
    <w:rsid w:val="00F71A3C"/>
    <w:rsid w:val="00F76868"/>
    <w:rsid w:val="00F8469B"/>
    <w:rsid w:val="00F87A1B"/>
    <w:rsid w:val="00F907B1"/>
    <w:rsid w:val="00F91CD2"/>
    <w:rsid w:val="00F937EC"/>
    <w:rsid w:val="00FA6960"/>
    <w:rsid w:val="00FB2742"/>
    <w:rsid w:val="00FB79A0"/>
    <w:rsid w:val="00FC1B8E"/>
    <w:rsid w:val="00FC2851"/>
    <w:rsid w:val="00FC6359"/>
    <w:rsid w:val="00FD15E6"/>
    <w:rsid w:val="00FD42C3"/>
    <w:rsid w:val="00FD57D1"/>
    <w:rsid w:val="00FD5C84"/>
    <w:rsid w:val="00FE18A1"/>
    <w:rsid w:val="00FE2717"/>
    <w:rsid w:val="00FE6505"/>
    <w:rsid w:val="00FF56A3"/>
    <w:rsid w:val="00FF7A8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91CC"/>
  <w15:docId w15:val="{3806EFF0-88C8-487A-AFCE-D6D99D4F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56A"/>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FC6359"/>
    <w:pPr>
      <w:keepNext/>
      <w:keepLines/>
      <w:jc w:val="left"/>
      <w:outlineLvl w:val="0"/>
    </w:pPr>
    <w:rPr>
      <w:rFonts w:eastAsiaTheme="majorEastAsia" w:cstheme="majorBidi"/>
      <w:b/>
      <w:szCs w:val="32"/>
      <w:lang w:eastAsia="zh-CN"/>
    </w:rPr>
  </w:style>
  <w:style w:type="paragraph" w:styleId="Heading2">
    <w:name w:val="heading 2"/>
    <w:basedOn w:val="Normal"/>
    <w:next w:val="Normal"/>
    <w:link w:val="Heading2Char"/>
    <w:uiPriority w:val="9"/>
    <w:unhideWhenUsed/>
    <w:qFormat/>
    <w:rsid w:val="00E33705"/>
    <w:pPr>
      <w:keepNext/>
      <w:keepLines/>
      <w:jc w:val="left"/>
      <w:outlineLvl w:val="1"/>
    </w:pPr>
    <w:rPr>
      <w:rFonts w:eastAsiaTheme="majorEastAsia" w:cstheme="majorBidi"/>
      <w:b/>
      <w:i/>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7921"/>
    <w:rPr>
      <w:color w:val="0563C1" w:themeColor="hyperlink"/>
      <w:u w:val="single"/>
    </w:rPr>
  </w:style>
  <w:style w:type="character" w:customStyle="1" w:styleId="UnresolvedMention1">
    <w:name w:val="Unresolved Mention1"/>
    <w:basedOn w:val="DefaultParagraphFont"/>
    <w:uiPriority w:val="99"/>
    <w:semiHidden/>
    <w:unhideWhenUsed/>
    <w:rsid w:val="000F7921"/>
    <w:rPr>
      <w:color w:val="605E5C"/>
      <w:shd w:val="clear" w:color="auto" w:fill="E1DFDD"/>
    </w:rPr>
  </w:style>
  <w:style w:type="paragraph" w:styleId="ListParagraph">
    <w:name w:val="List Paragraph"/>
    <w:basedOn w:val="Normal"/>
    <w:uiPriority w:val="34"/>
    <w:qFormat/>
    <w:rsid w:val="00320DC8"/>
    <w:pPr>
      <w:ind w:left="720"/>
      <w:contextualSpacing/>
    </w:pPr>
  </w:style>
  <w:style w:type="paragraph" w:customStyle="1" w:styleId="html-xx">
    <w:name w:val="html-xx"/>
    <w:basedOn w:val="Normal"/>
    <w:rsid w:val="00777593"/>
    <w:pPr>
      <w:spacing w:before="100" w:beforeAutospacing="1" w:after="100" w:afterAutospacing="1" w:line="240" w:lineRule="auto"/>
    </w:pPr>
    <w:rPr>
      <w:rFonts w:eastAsia="Times New Roman" w:cs="Times New Roman"/>
      <w:szCs w:val="24"/>
      <w:lang w:eastAsia="en-GB"/>
    </w:rPr>
  </w:style>
  <w:style w:type="character" w:customStyle="1" w:styleId="html-italic">
    <w:name w:val="html-italic"/>
    <w:basedOn w:val="DefaultParagraphFont"/>
    <w:rsid w:val="00777593"/>
  </w:style>
  <w:style w:type="paragraph" w:styleId="FootnoteText">
    <w:name w:val="footnote text"/>
    <w:basedOn w:val="Normal"/>
    <w:link w:val="FootnoteTextChar"/>
    <w:uiPriority w:val="99"/>
    <w:semiHidden/>
    <w:unhideWhenUsed/>
    <w:rsid w:val="00A919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1980"/>
    <w:rPr>
      <w:sz w:val="20"/>
      <w:szCs w:val="20"/>
    </w:rPr>
  </w:style>
  <w:style w:type="character" w:styleId="FootnoteReference">
    <w:name w:val="footnote reference"/>
    <w:basedOn w:val="DefaultParagraphFont"/>
    <w:uiPriority w:val="99"/>
    <w:semiHidden/>
    <w:unhideWhenUsed/>
    <w:rsid w:val="00A91980"/>
    <w:rPr>
      <w:vertAlign w:val="superscript"/>
    </w:rPr>
  </w:style>
  <w:style w:type="character" w:customStyle="1" w:styleId="Heading1Char">
    <w:name w:val="Heading 1 Char"/>
    <w:basedOn w:val="DefaultParagraphFont"/>
    <w:link w:val="Heading1"/>
    <w:uiPriority w:val="9"/>
    <w:rsid w:val="00FC6359"/>
    <w:rPr>
      <w:rFonts w:ascii="Times New Roman" w:eastAsiaTheme="majorEastAsia" w:hAnsi="Times New Roman" w:cstheme="majorBidi"/>
      <w:b/>
      <w:sz w:val="24"/>
      <w:szCs w:val="32"/>
      <w:lang w:eastAsia="zh-CN"/>
    </w:rPr>
  </w:style>
  <w:style w:type="character" w:customStyle="1" w:styleId="Heading2Char">
    <w:name w:val="Heading 2 Char"/>
    <w:basedOn w:val="DefaultParagraphFont"/>
    <w:link w:val="Heading2"/>
    <w:uiPriority w:val="9"/>
    <w:rsid w:val="00E33705"/>
    <w:rPr>
      <w:rFonts w:ascii="Times New Roman" w:eastAsiaTheme="majorEastAsia" w:hAnsi="Times New Roman" w:cstheme="majorBidi"/>
      <w:b/>
      <w:i/>
      <w:sz w:val="24"/>
      <w:szCs w:val="26"/>
      <w:lang w:eastAsia="zh-CN"/>
    </w:rPr>
  </w:style>
  <w:style w:type="paragraph" w:styleId="Caption">
    <w:name w:val="caption"/>
    <w:basedOn w:val="Normal"/>
    <w:next w:val="Normal"/>
    <w:uiPriority w:val="35"/>
    <w:unhideWhenUsed/>
    <w:qFormat/>
    <w:rsid w:val="00613783"/>
    <w:pPr>
      <w:spacing w:after="200" w:line="240" w:lineRule="auto"/>
    </w:pPr>
    <w:rPr>
      <w:rFonts w:ascii="Calibri" w:eastAsiaTheme="minorEastAsia" w:hAnsi="Calibri"/>
      <w:i/>
      <w:iCs/>
      <w:color w:val="44546A" w:themeColor="text2"/>
      <w:sz w:val="18"/>
      <w:szCs w:val="18"/>
      <w:lang w:eastAsia="zh-CN"/>
    </w:rPr>
  </w:style>
  <w:style w:type="character" w:styleId="CommentReference">
    <w:name w:val="annotation reference"/>
    <w:basedOn w:val="DefaultParagraphFont"/>
    <w:uiPriority w:val="99"/>
    <w:semiHidden/>
    <w:unhideWhenUsed/>
    <w:rsid w:val="00613783"/>
    <w:rPr>
      <w:sz w:val="16"/>
      <w:szCs w:val="16"/>
    </w:rPr>
  </w:style>
  <w:style w:type="paragraph" w:styleId="CommentText">
    <w:name w:val="annotation text"/>
    <w:basedOn w:val="Normal"/>
    <w:link w:val="CommentTextChar"/>
    <w:uiPriority w:val="99"/>
    <w:unhideWhenUsed/>
    <w:rsid w:val="00613783"/>
    <w:pPr>
      <w:spacing w:after="0" w:line="240" w:lineRule="auto"/>
    </w:pPr>
    <w:rPr>
      <w:rFonts w:ascii="Calibri" w:eastAsiaTheme="minorEastAsia" w:hAnsi="Calibri"/>
      <w:sz w:val="20"/>
      <w:szCs w:val="20"/>
      <w:lang w:eastAsia="zh-CN"/>
    </w:rPr>
  </w:style>
  <w:style w:type="character" w:customStyle="1" w:styleId="CommentTextChar">
    <w:name w:val="Comment Text Char"/>
    <w:basedOn w:val="DefaultParagraphFont"/>
    <w:link w:val="CommentText"/>
    <w:uiPriority w:val="99"/>
    <w:rsid w:val="00613783"/>
    <w:rPr>
      <w:rFonts w:ascii="Calibri" w:eastAsiaTheme="minorEastAsia" w:hAnsi="Calibri"/>
      <w:sz w:val="20"/>
      <w:szCs w:val="20"/>
      <w:lang w:eastAsia="zh-CN"/>
    </w:rPr>
  </w:style>
  <w:style w:type="paragraph" w:styleId="CommentSubject">
    <w:name w:val="annotation subject"/>
    <w:basedOn w:val="CommentText"/>
    <w:next w:val="CommentText"/>
    <w:link w:val="CommentSubjectChar"/>
    <w:uiPriority w:val="99"/>
    <w:semiHidden/>
    <w:unhideWhenUsed/>
    <w:rsid w:val="00613783"/>
    <w:rPr>
      <w:b/>
      <w:bCs/>
    </w:rPr>
  </w:style>
  <w:style w:type="character" w:customStyle="1" w:styleId="CommentSubjectChar">
    <w:name w:val="Comment Subject Char"/>
    <w:basedOn w:val="CommentTextChar"/>
    <w:link w:val="CommentSubject"/>
    <w:uiPriority w:val="99"/>
    <w:semiHidden/>
    <w:rsid w:val="00613783"/>
    <w:rPr>
      <w:rFonts w:ascii="Calibri" w:eastAsiaTheme="minorEastAsia" w:hAnsi="Calibri"/>
      <w:b/>
      <w:bCs/>
      <w:sz w:val="20"/>
      <w:szCs w:val="20"/>
      <w:lang w:eastAsia="zh-CN"/>
    </w:rPr>
  </w:style>
  <w:style w:type="paragraph" w:styleId="Header">
    <w:name w:val="header"/>
    <w:basedOn w:val="Normal"/>
    <w:link w:val="HeaderChar"/>
    <w:uiPriority w:val="99"/>
    <w:unhideWhenUsed/>
    <w:rsid w:val="00613783"/>
    <w:pPr>
      <w:tabs>
        <w:tab w:val="center" w:pos="4513"/>
        <w:tab w:val="right" w:pos="9026"/>
      </w:tabs>
      <w:spacing w:after="0" w:line="240" w:lineRule="auto"/>
    </w:pPr>
    <w:rPr>
      <w:rFonts w:ascii="Calibri" w:eastAsiaTheme="minorEastAsia" w:hAnsi="Calibri"/>
      <w:lang w:eastAsia="zh-CN"/>
    </w:rPr>
  </w:style>
  <w:style w:type="character" w:customStyle="1" w:styleId="HeaderChar">
    <w:name w:val="Header Char"/>
    <w:basedOn w:val="DefaultParagraphFont"/>
    <w:link w:val="Header"/>
    <w:uiPriority w:val="99"/>
    <w:rsid w:val="00613783"/>
    <w:rPr>
      <w:rFonts w:ascii="Calibri" w:eastAsiaTheme="minorEastAsia" w:hAnsi="Calibri"/>
      <w:sz w:val="24"/>
      <w:lang w:eastAsia="zh-CN"/>
    </w:rPr>
  </w:style>
  <w:style w:type="paragraph" w:styleId="Footer">
    <w:name w:val="footer"/>
    <w:basedOn w:val="Normal"/>
    <w:link w:val="FooterChar"/>
    <w:uiPriority w:val="99"/>
    <w:unhideWhenUsed/>
    <w:rsid w:val="00613783"/>
    <w:pPr>
      <w:tabs>
        <w:tab w:val="center" w:pos="4513"/>
        <w:tab w:val="right" w:pos="9026"/>
      </w:tabs>
      <w:spacing w:after="0" w:line="240" w:lineRule="auto"/>
    </w:pPr>
    <w:rPr>
      <w:rFonts w:ascii="Calibri" w:eastAsiaTheme="minorEastAsia" w:hAnsi="Calibri"/>
      <w:lang w:eastAsia="zh-CN"/>
    </w:rPr>
  </w:style>
  <w:style w:type="character" w:customStyle="1" w:styleId="FooterChar">
    <w:name w:val="Footer Char"/>
    <w:basedOn w:val="DefaultParagraphFont"/>
    <w:link w:val="Footer"/>
    <w:uiPriority w:val="99"/>
    <w:rsid w:val="00613783"/>
    <w:rPr>
      <w:rFonts w:ascii="Calibri" w:eastAsiaTheme="minorEastAsia" w:hAnsi="Calibri"/>
      <w:sz w:val="24"/>
      <w:lang w:eastAsia="zh-CN"/>
    </w:rPr>
  </w:style>
  <w:style w:type="table" w:styleId="TableGrid">
    <w:name w:val="Table Grid"/>
    <w:basedOn w:val="TableNormal"/>
    <w:uiPriority w:val="39"/>
    <w:rsid w:val="0061378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3783"/>
    <w:rPr>
      <w:color w:val="808080"/>
    </w:rPr>
  </w:style>
  <w:style w:type="character" w:customStyle="1" w:styleId="UnresolvedMention2">
    <w:name w:val="Unresolved Mention2"/>
    <w:basedOn w:val="DefaultParagraphFont"/>
    <w:uiPriority w:val="99"/>
    <w:semiHidden/>
    <w:unhideWhenUsed/>
    <w:rsid w:val="00FC6359"/>
    <w:rPr>
      <w:color w:val="605E5C"/>
      <w:shd w:val="clear" w:color="auto" w:fill="E1DFDD"/>
    </w:rPr>
  </w:style>
  <w:style w:type="character" w:customStyle="1" w:styleId="UnresolvedMention3">
    <w:name w:val="Unresolved Mention3"/>
    <w:basedOn w:val="DefaultParagraphFont"/>
    <w:uiPriority w:val="99"/>
    <w:semiHidden/>
    <w:unhideWhenUsed/>
    <w:rsid w:val="00B73B4F"/>
    <w:rPr>
      <w:color w:val="605E5C"/>
      <w:shd w:val="clear" w:color="auto" w:fill="E1DFDD"/>
    </w:rPr>
  </w:style>
  <w:style w:type="paragraph" w:styleId="Revision">
    <w:name w:val="Revision"/>
    <w:hidden/>
    <w:uiPriority w:val="99"/>
    <w:semiHidden/>
    <w:rsid w:val="000E4A84"/>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5D6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2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749841">
      <w:bodyDiv w:val="1"/>
      <w:marLeft w:val="0"/>
      <w:marRight w:val="0"/>
      <w:marTop w:val="0"/>
      <w:marBottom w:val="0"/>
      <w:divBdr>
        <w:top w:val="none" w:sz="0" w:space="0" w:color="auto"/>
        <w:left w:val="none" w:sz="0" w:space="0" w:color="auto"/>
        <w:bottom w:val="none" w:sz="0" w:space="0" w:color="auto"/>
        <w:right w:val="none" w:sz="0" w:space="0" w:color="auto"/>
      </w:divBdr>
    </w:div>
    <w:div w:id="1249653292">
      <w:bodyDiv w:val="1"/>
      <w:marLeft w:val="0"/>
      <w:marRight w:val="0"/>
      <w:marTop w:val="0"/>
      <w:marBottom w:val="0"/>
      <w:divBdr>
        <w:top w:val="none" w:sz="0" w:space="0" w:color="auto"/>
        <w:left w:val="none" w:sz="0" w:space="0" w:color="auto"/>
        <w:bottom w:val="none" w:sz="0" w:space="0" w:color="auto"/>
        <w:right w:val="none" w:sz="0" w:space="0" w:color="auto"/>
      </w:divBdr>
    </w:div>
    <w:div w:id="1476291784">
      <w:bodyDiv w:val="1"/>
      <w:marLeft w:val="0"/>
      <w:marRight w:val="0"/>
      <w:marTop w:val="0"/>
      <w:marBottom w:val="0"/>
      <w:divBdr>
        <w:top w:val="none" w:sz="0" w:space="0" w:color="auto"/>
        <w:left w:val="none" w:sz="0" w:space="0" w:color="auto"/>
        <w:bottom w:val="none" w:sz="0" w:space="0" w:color="auto"/>
        <w:right w:val="none" w:sz="0" w:space="0" w:color="auto"/>
      </w:divBdr>
    </w:div>
    <w:div w:id="1816028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Nasir@leeds.ac.uk" TargetMode="Externa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yperlink" Target="https://unfccc.int/resource/docs/convkp/conveng.pdf" TargetMode="Externa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https://www.fiercehealthcare.com/hospitals/large-hospital-chains-post-profits-2020-thanks-to-higher-acuity-and-liquidity"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www.ibm.com/watson-health/learn/healthcare-performance-measurements" TargetMode="Externa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yperlink" Target="https://healthmanagement.org/c/healthmanagement/issuearticle/a-closer-look-at-financial-performance-in-healthcare-1" TargetMode="Externa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hyperlink" Target="https://www.cdp.net/en/articles/media/worlds-biggest-companies-face-1-trillion-in-climate-change-risk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pcc.ch/2022/11/25/ipcc-circulates-final-draft-ar6-synthesis-repor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G:\My%20Drive\Conferences\M%20Ali%20Nasir\Risk%20Analysis_Sajid_Rizwan_Ali_31.03.2023\data%20results\tb3_60_1%20finance.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G:\My%20Drive\Conferences\M%20Ali%20Nasir\Risk%20Analysis_Sajid_Rizwan_Ali_31.03.2023\data%20results\Spillover%20risk%20and%20plot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G:\My%20Drive\Conferences\M%20Ali%20Nasir\Risk%20Analysis_Sajid_Rizwan_Ali_31.03.2023\data%20results\Spillover%20risk%20and%20plots.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oleObject" Target="file:///F:\Projects\ProjectwithRizwan\Risk%20Analysis\esqesghealthfi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My%20Drive\Conferences\M%20Ali%20Nasir\Risk%20Analysis_Sajid_Rizwan_Ali_31.03.2023\data%20results\tb1_60_1_ESG.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G:\My%20Drive\Conferences\M%20Ali%20Nasir\Risk%20Analysis_Sajid_Rizwan_Ali_31.03.2023\data%20results\tb1_60_1_ESG.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G:\My%20Drive\Conferences\M%20Ali%20Nasir\Risk%20Analysis_Sajid_Rizwan_Ali_31.03.2023\data%20results\tb2_60_1health.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G:\My%20Drive\Conferences\M%20Ali%20Nasir\Risk%20Analysis_Sajid_Rizwan_Ali_31.03.2023\data%20results\tb2_60_1health.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G:\My%20Drive\Conferences\M%20Ali%20Nasir\Risk%20Analysis_Sajid_Rizwan_Ali_31.03.2023\data%20results\tb3_60_1%20finance.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Fig. 1</a:t>
            </a:r>
            <a:r>
              <a:rPr lang="en-GB" sz="1200">
                <a:latin typeface="Times New Roman" panose="02020603050405020304" pitchFamily="18" charset="0"/>
                <a:cs typeface="Times New Roman" panose="02020603050405020304" pitchFamily="18" charset="0"/>
              </a:rPr>
              <a:t>.1 Rolling Tail Index</a:t>
            </a:r>
            <a:r>
              <a:rPr lang="en-GB" sz="1200" baseline="0">
                <a:latin typeface="Times New Roman" panose="02020603050405020304" pitchFamily="18" charset="0"/>
                <a:cs typeface="Times New Roman" panose="02020603050405020304" pitchFamily="18" charset="0"/>
              </a:rPr>
              <a:t> of ESG, Healthcare and Financial ETFs</a:t>
            </a:r>
            <a:endParaRPr lang="en-GB"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Sheet1!$B$12</c:f>
              <c:strCache>
                <c:ptCount val="1"/>
                <c:pt idx="0">
                  <c:v>ESG</c:v>
                </c:pt>
              </c:strCache>
            </c:strRef>
          </c:tx>
          <c:spPr>
            <a:ln w="28575" cap="rnd">
              <a:solidFill>
                <a:schemeClr val="accent1"/>
              </a:solidFill>
              <a:prstDash val="sysDot"/>
              <a:round/>
            </a:ln>
            <a:effectLst/>
          </c:spPr>
          <c:marker>
            <c:symbol val="none"/>
          </c:marker>
          <c:cat>
            <c:numRef>
              <c:f>Sheet1!$A$13:$A$28</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Sheet1!$B$13:$B$28</c:f>
              <c:numCache>
                <c:formatCode>General</c:formatCode>
                <c:ptCount val="16"/>
                <c:pt idx="8">
                  <c:v>1.5410069104350106</c:v>
                </c:pt>
                <c:pt idx="9">
                  <c:v>1.5645661281893861</c:v>
                </c:pt>
                <c:pt idx="10">
                  <c:v>1.792374524010538</c:v>
                </c:pt>
                <c:pt idx="11">
                  <c:v>1.7593666590293544</c:v>
                </c:pt>
                <c:pt idx="12">
                  <c:v>1.6875361192218901</c:v>
                </c:pt>
                <c:pt idx="13">
                  <c:v>1.6568430396031999</c:v>
                </c:pt>
                <c:pt idx="14">
                  <c:v>1.5345323217665481</c:v>
                </c:pt>
                <c:pt idx="15">
                  <c:v>1.4837557235245649</c:v>
                </c:pt>
              </c:numCache>
            </c:numRef>
          </c:val>
          <c:smooth val="0"/>
          <c:extLst>
            <c:ext xmlns:c16="http://schemas.microsoft.com/office/drawing/2014/chart" uri="{C3380CC4-5D6E-409C-BE32-E72D297353CC}">
              <c16:uniqueId val="{00000000-7F3A-4477-9A37-B69EB625D176}"/>
            </c:ext>
          </c:extLst>
        </c:ser>
        <c:ser>
          <c:idx val="1"/>
          <c:order val="1"/>
          <c:tx>
            <c:strRef>
              <c:f>Sheet1!$C$12</c:f>
              <c:strCache>
                <c:ptCount val="1"/>
                <c:pt idx="0">
                  <c:v>Healthcare</c:v>
                </c:pt>
              </c:strCache>
            </c:strRef>
          </c:tx>
          <c:spPr>
            <a:ln w="28575" cap="rnd">
              <a:solidFill>
                <a:schemeClr val="accent2"/>
              </a:solidFill>
              <a:prstDash val="dash"/>
              <a:round/>
            </a:ln>
            <a:effectLst/>
          </c:spPr>
          <c:marker>
            <c:symbol val="none"/>
          </c:marker>
          <c:cat>
            <c:numRef>
              <c:f>Sheet1!$A$13:$A$28</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Sheet1!$C$13:$C$28</c:f>
              <c:numCache>
                <c:formatCode>General</c:formatCode>
                <c:ptCount val="16"/>
                <c:pt idx="0">
                  <c:v>1.7159176387672133</c:v>
                </c:pt>
                <c:pt idx="1">
                  <c:v>1.676061763774696</c:v>
                </c:pt>
                <c:pt idx="2">
                  <c:v>1.757618518110533</c:v>
                </c:pt>
                <c:pt idx="3">
                  <c:v>1.7112333194015275</c:v>
                </c:pt>
                <c:pt idx="4">
                  <c:v>1.6605130484529576</c:v>
                </c:pt>
                <c:pt idx="5">
                  <c:v>1.5560736708656275</c:v>
                </c:pt>
                <c:pt idx="6">
                  <c:v>1.5245532885997903</c:v>
                </c:pt>
                <c:pt idx="7">
                  <c:v>1.5249300634732708</c:v>
                </c:pt>
                <c:pt idx="8">
                  <c:v>1.5124589247568561</c:v>
                </c:pt>
                <c:pt idx="9">
                  <c:v>1.546835631422514</c:v>
                </c:pt>
                <c:pt idx="10">
                  <c:v>1.5724627795690163</c:v>
                </c:pt>
                <c:pt idx="11">
                  <c:v>1.5799508770452471</c:v>
                </c:pt>
                <c:pt idx="12">
                  <c:v>1.6378046559677739</c:v>
                </c:pt>
                <c:pt idx="13">
                  <c:v>1.621691686349845</c:v>
                </c:pt>
                <c:pt idx="14">
                  <c:v>1.6264084515877861</c:v>
                </c:pt>
                <c:pt idx="15">
                  <c:v>1.6200084883535144</c:v>
                </c:pt>
              </c:numCache>
            </c:numRef>
          </c:val>
          <c:smooth val="0"/>
          <c:extLst>
            <c:ext xmlns:c16="http://schemas.microsoft.com/office/drawing/2014/chart" uri="{C3380CC4-5D6E-409C-BE32-E72D297353CC}">
              <c16:uniqueId val="{00000001-7F3A-4477-9A37-B69EB625D176}"/>
            </c:ext>
          </c:extLst>
        </c:ser>
        <c:ser>
          <c:idx val="2"/>
          <c:order val="2"/>
          <c:tx>
            <c:strRef>
              <c:f>Sheet1!$D$12</c:f>
              <c:strCache>
                <c:ptCount val="1"/>
                <c:pt idx="0">
                  <c:v>Finance</c:v>
                </c:pt>
              </c:strCache>
            </c:strRef>
          </c:tx>
          <c:spPr>
            <a:ln w="28575" cap="rnd">
              <a:solidFill>
                <a:schemeClr val="accent3"/>
              </a:solidFill>
              <a:prstDash val="lgDashDotDot"/>
              <a:round/>
            </a:ln>
            <a:effectLst/>
          </c:spPr>
          <c:marker>
            <c:symbol val="none"/>
          </c:marker>
          <c:cat>
            <c:numRef>
              <c:f>Sheet1!$A$13:$A$28</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Sheet1!$D$13:$D$28</c:f>
              <c:numCache>
                <c:formatCode>General</c:formatCode>
                <c:ptCount val="16"/>
                <c:pt idx="0">
                  <c:v>1.783728785289961</c:v>
                </c:pt>
                <c:pt idx="1">
                  <c:v>1.6725340640605162</c:v>
                </c:pt>
                <c:pt idx="2">
                  <c:v>1.6028849575672204</c:v>
                </c:pt>
                <c:pt idx="3">
                  <c:v>1.2536627881132854</c:v>
                </c:pt>
                <c:pt idx="4">
                  <c:v>1.1987359164614977</c:v>
                </c:pt>
                <c:pt idx="5">
                  <c:v>1.2789854487194188</c:v>
                </c:pt>
                <c:pt idx="6">
                  <c:v>1.4078275763956536</c:v>
                </c:pt>
                <c:pt idx="7">
                  <c:v>1.4721692016262489</c:v>
                </c:pt>
                <c:pt idx="8">
                  <c:v>1.4355111085823655</c:v>
                </c:pt>
                <c:pt idx="9">
                  <c:v>1.3414545746222091</c:v>
                </c:pt>
                <c:pt idx="10">
                  <c:v>1.5952558181482577</c:v>
                </c:pt>
                <c:pt idx="11">
                  <c:v>1.6290825915506024</c:v>
                </c:pt>
                <c:pt idx="12">
                  <c:v>1.721654371491034</c:v>
                </c:pt>
                <c:pt idx="13">
                  <c:v>1.7026366645261857</c:v>
                </c:pt>
                <c:pt idx="14">
                  <c:v>1.4583092489004632</c:v>
                </c:pt>
                <c:pt idx="15">
                  <c:v>1.4827382967030396</c:v>
                </c:pt>
              </c:numCache>
            </c:numRef>
          </c:val>
          <c:smooth val="0"/>
          <c:extLst>
            <c:ext xmlns:c16="http://schemas.microsoft.com/office/drawing/2014/chart" uri="{C3380CC4-5D6E-409C-BE32-E72D297353CC}">
              <c16:uniqueId val="{00000002-7F3A-4477-9A37-B69EB625D176}"/>
            </c:ext>
          </c:extLst>
        </c:ser>
        <c:dLbls>
          <c:showLegendKey val="0"/>
          <c:showVal val="0"/>
          <c:showCatName val="0"/>
          <c:showSerName val="0"/>
          <c:showPercent val="0"/>
          <c:showBubbleSize val="0"/>
        </c:dLbls>
        <c:smooth val="0"/>
        <c:axId val="2012424031"/>
        <c:axId val="2012426111"/>
      </c:lineChart>
      <c:catAx>
        <c:axId val="2012424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2426111"/>
        <c:crosses val="autoZero"/>
        <c:auto val="1"/>
        <c:lblAlgn val="ctr"/>
        <c:lblOffset val="100"/>
        <c:noMultiLvlLbl val="0"/>
      </c:catAx>
      <c:valAx>
        <c:axId val="2012426111"/>
        <c:scaling>
          <c:orientation val="minMax"/>
          <c:min val="1"/>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24240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0" i="0" u="none" strike="noStrike" kern="1200" spc="0" baseline="0">
                <a:solidFill>
                  <a:sysClr val="windowText" lastClr="000000"/>
                </a:solidFill>
                <a:effectLst/>
                <a:latin typeface="Times New Roman" panose="02020603050405020304" pitchFamily="18" charset="0"/>
                <a:ea typeface="+mn-ea"/>
                <a:cs typeface="Times New Roman" panose="02020603050405020304" pitchFamily="18" charset="0"/>
              </a:rPr>
              <a:t>Fig. 2</a:t>
            </a:r>
            <a:r>
              <a:rPr lang="en-GB" sz="1200" b="0" i="0" baseline="0">
                <a:solidFill>
                  <a:sysClr val="windowText" lastClr="000000"/>
                </a:solidFill>
                <a:effectLst/>
                <a:latin typeface="Times New Roman" panose="02020603050405020304" pitchFamily="18" charset="0"/>
                <a:cs typeface="Times New Roman" panose="02020603050405020304" pitchFamily="18" charset="0"/>
              </a:rPr>
              <a:t>.3b Rolling </a:t>
            </a:r>
            <a:r>
              <a:rPr lang="en-GB" sz="1200" b="0" i="0" baseline="0">
                <a:effectLst/>
                <a:latin typeface="Times New Roman" panose="02020603050405020304" pitchFamily="18" charset="0"/>
                <a:cs typeface="Times New Roman" panose="02020603050405020304" pitchFamily="18" charset="0"/>
              </a:rPr>
              <a:t>Tail Betas of Finance ETFs Conditional Upon Certain ETFs</a:t>
            </a:r>
            <a:endParaRPr lang="en-GB" sz="12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Sheet1!$F$6</c:f>
              <c:strCache>
                <c:ptCount val="1"/>
                <c:pt idx="0">
                  <c:v>VTI Vanguard Total Stock Market ETF</c:v>
                </c:pt>
              </c:strCache>
            </c:strRef>
          </c:tx>
          <c:spPr>
            <a:ln w="28575" cap="rnd">
              <a:solidFill>
                <a:schemeClr val="accent1"/>
              </a:solidFill>
              <a:prstDash val="sysDot"/>
              <a:round/>
            </a:ln>
            <a:effectLst/>
          </c:spPr>
          <c:marker>
            <c:symbol val="none"/>
          </c:marker>
          <c:cat>
            <c:numRef>
              <c:f>Sheet1!$A$7:$A$22</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Sheet1!$F$7:$F$22</c:f>
              <c:numCache>
                <c:formatCode>General</c:formatCode>
                <c:ptCount val="16"/>
                <c:pt idx="0">
                  <c:v>0.44470868014268727</c:v>
                </c:pt>
                <c:pt idx="1">
                  <c:v>0.56937822518268821</c:v>
                </c:pt>
                <c:pt idx="2">
                  <c:v>0.56151176169531569</c:v>
                </c:pt>
                <c:pt idx="3">
                  <c:v>0.47025973250816894</c:v>
                </c:pt>
                <c:pt idx="4">
                  <c:v>0.65027412463260725</c:v>
                </c:pt>
                <c:pt idx="5">
                  <c:v>0.6490918080423661</c:v>
                </c:pt>
                <c:pt idx="6">
                  <c:v>0.64214725375442372</c:v>
                </c:pt>
                <c:pt idx="7">
                  <c:v>0.58494812257129325</c:v>
                </c:pt>
                <c:pt idx="8">
                  <c:v>0.58450635898174752</c:v>
                </c:pt>
                <c:pt idx="9">
                  <c:v>0.62786683860242654</c:v>
                </c:pt>
                <c:pt idx="10">
                  <c:v>0.338294152363874</c:v>
                </c:pt>
                <c:pt idx="11">
                  <c:v>0.68479670432694462</c:v>
                </c:pt>
                <c:pt idx="12">
                  <c:v>0.66996375043271206</c:v>
                </c:pt>
                <c:pt idx="13">
                  <c:v>0.75184832158993631</c:v>
                </c:pt>
                <c:pt idx="14">
                  <c:v>0.40718449951950159</c:v>
                </c:pt>
                <c:pt idx="15">
                  <c:v>0.41932962535270696</c:v>
                </c:pt>
              </c:numCache>
            </c:numRef>
          </c:val>
          <c:smooth val="0"/>
          <c:extLst>
            <c:ext xmlns:c16="http://schemas.microsoft.com/office/drawing/2014/chart" uri="{C3380CC4-5D6E-409C-BE32-E72D297353CC}">
              <c16:uniqueId val="{00000000-A66E-4A45-A89D-1C98A4E2C8B3}"/>
            </c:ext>
          </c:extLst>
        </c:ser>
        <c:ser>
          <c:idx val="1"/>
          <c:order val="1"/>
          <c:tx>
            <c:strRef>
              <c:f>Sheet1!$G$6</c:f>
              <c:strCache>
                <c:ptCount val="1"/>
                <c:pt idx="0">
                  <c:v>Energy Select Sector SPDR Fund</c:v>
                </c:pt>
              </c:strCache>
            </c:strRef>
          </c:tx>
          <c:spPr>
            <a:ln w="28575" cap="rnd">
              <a:solidFill>
                <a:schemeClr val="accent2"/>
              </a:solidFill>
              <a:prstDash val="dash"/>
              <a:round/>
            </a:ln>
            <a:effectLst/>
          </c:spPr>
          <c:marker>
            <c:symbol val="none"/>
          </c:marker>
          <c:cat>
            <c:numRef>
              <c:f>Sheet1!$A$7:$A$22</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Sheet1!$G$7:$G$22</c:f>
              <c:numCache>
                <c:formatCode>General</c:formatCode>
                <c:ptCount val="16"/>
                <c:pt idx="0">
                  <c:v>0.52204932016750238</c:v>
                </c:pt>
                <c:pt idx="1">
                  <c:v>0.63867735977939133</c:v>
                </c:pt>
                <c:pt idx="2">
                  <c:v>0.64569579230443963</c:v>
                </c:pt>
                <c:pt idx="3">
                  <c:v>0.24954325765420735</c:v>
                </c:pt>
                <c:pt idx="4">
                  <c:v>0.11729437570965924</c:v>
                </c:pt>
                <c:pt idx="5">
                  <c:v>0.22424202846191485</c:v>
                </c:pt>
                <c:pt idx="6">
                  <c:v>0.68035122188738217</c:v>
                </c:pt>
                <c:pt idx="7">
                  <c:v>0.64449581794617972</c:v>
                </c:pt>
                <c:pt idx="8">
                  <c:v>0.64449581794617972</c:v>
                </c:pt>
                <c:pt idx="9">
                  <c:v>0.67515056900976889</c:v>
                </c:pt>
                <c:pt idx="10">
                  <c:v>0.31292860729477334</c:v>
                </c:pt>
                <c:pt idx="11">
                  <c:v>0.27219540373644613</c:v>
                </c:pt>
                <c:pt idx="12">
                  <c:v>0.1545403775913721</c:v>
                </c:pt>
                <c:pt idx="13">
                  <c:v>0.18790066801266125</c:v>
                </c:pt>
                <c:pt idx="14">
                  <c:v>0.29842994151442687</c:v>
                </c:pt>
                <c:pt idx="15">
                  <c:v>0.25093835264237596</c:v>
                </c:pt>
              </c:numCache>
            </c:numRef>
          </c:val>
          <c:smooth val="0"/>
          <c:extLst>
            <c:ext xmlns:c16="http://schemas.microsoft.com/office/drawing/2014/chart" uri="{C3380CC4-5D6E-409C-BE32-E72D297353CC}">
              <c16:uniqueId val="{00000001-A66E-4A45-A89D-1C98A4E2C8B3}"/>
            </c:ext>
          </c:extLst>
        </c:ser>
        <c:ser>
          <c:idx val="2"/>
          <c:order val="2"/>
          <c:tx>
            <c:strRef>
              <c:f>Sheet1!$H$6</c:f>
              <c:strCache>
                <c:ptCount val="1"/>
                <c:pt idx="0">
                  <c:v>Green energy First Trust NASDAQ</c:v>
                </c:pt>
              </c:strCache>
            </c:strRef>
          </c:tx>
          <c:spPr>
            <a:ln w="50800" cap="rnd">
              <a:solidFill>
                <a:schemeClr val="accent3"/>
              </a:solidFill>
              <a:round/>
            </a:ln>
            <a:effectLst/>
          </c:spPr>
          <c:marker>
            <c:symbol val="none"/>
          </c:marker>
          <c:cat>
            <c:numRef>
              <c:f>Sheet1!$A$7:$A$22</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Sheet1!$H$7:$H$22</c:f>
              <c:numCache>
                <c:formatCode>General</c:formatCode>
                <c:ptCount val="16"/>
                <c:pt idx="0">
                  <c:v>8.8158108398330076E-2</c:v>
                </c:pt>
                <c:pt idx="1">
                  <c:v>7.1710643849979216E-2</c:v>
                </c:pt>
                <c:pt idx="2">
                  <c:v>8.441401638986222E-2</c:v>
                </c:pt>
                <c:pt idx="3">
                  <c:v>0.72920200857954598</c:v>
                </c:pt>
                <c:pt idx="4">
                  <c:v>0.66956138358561901</c:v>
                </c:pt>
                <c:pt idx="5">
                  <c:v>0.66355725225712492</c:v>
                </c:pt>
                <c:pt idx="6">
                  <c:v>0.38965376196154061</c:v>
                </c:pt>
                <c:pt idx="7">
                  <c:v>0.21713150340087262</c:v>
                </c:pt>
                <c:pt idx="8">
                  <c:v>0.21676300695216691</c:v>
                </c:pt>
                <c:pt idx="9">
                  <c:v>0.21688715669040884</c:v>
                </c:pt>
                <c:pt idx="10">
                  <c:v>0.24942537273468615</c:v>
                </c:pt>
                <c:pt idx="11">
                  <c:v>0.31956761104771209</c:v>
                </c:pt>
                <c:pt idx="12">
                  <c:v>0.48178167538602423</c:v>
                </c:pt>
                <c:pt idx="13">
                  <c:v>0.81186622525254493</c:v>
                </c:pt>
                <c:pt idx="14">
                  <c:v>0.33188088768699725</c:v>
                </c:pt>
                <c:pt idx="15">
                  <c:v>0.49872379779114162</c:v>
                </c:pt>
              </c:numCache>
            </c:numRef>
          </c:val>
          <c:smooth val="0"/>
          <c:extLst>
            <c:ext xmlns:c16="http://schemas.microsoft.com/office/drawing/2014/chart" uri="{C3380CC4-5D6E-409C-BE32-E72D297353CC}">
              <c16:uniqueId val="{00000002-A66E-4A45-A89D-1C98A4E2C8B3}"/>
            </c:ext>
          </c:extLst>
        </c:ser>
        <c:ser>
          <c:idx val="3"/>
          <c:order val="3"/>
          <c:tx>
            <c:strRef>
              <c:f>Sheet1!$I$6</c:f>
              <c:strCache>
                <c:ptCount val="1"/>
                <c:pt idx="0">
                  <c:v>iShares Core U S  Aggregate Bon</c:v>
                </c:pt>
              </c:strCache>
            </c:strRef>
          </c:tx>
          <c:spPr>
            <a:ln w="28575" cap="rnd">
              <a:solidFill>
                <a:schemeClr val="accent4"/>
              </a:solidFill>
              <a:prstDash val="lgDashDotDot"/>
              <a:round/>
            </a:ln>
            <a:effectLst/>
          </c:spPr>
          <c:marker>
            <c:symbol val="none"/>
          </c:marker>
          <c:cat>
            <c:numRef>
              <c:f>Sheet1!$A$7:$A$22</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Sheet1!$I$7:$I$22</c:f>
              <c:numCache>
                <c:formatCode>General</c:formatCode>
                <c:ptCount val="16"/>
                <c:pt idx="0">
                  <c:v>8.8287752675386438E-2</c:v>
                </c:pt>
                <c:pt idx="1">
                  <c:v>8.0506151695278583E-2</c:v>
                </c:pt>
                <c:pt idx="2">
                  <c:v>8.5525065276808032E-2</c:v>
                </c:pt>
                <c:pt idx="3">
                  <c:v>0.19093519650420021</c:v>
                </c:pt>
                <c:pt idx="4">
                  <c:v>0.1389749274126594</c:v>
                </c:pt>
                <c:pt idx="5">
                  <c:v>0.10632565684650885</c:v>
                </c:pt>
                <c:pt idx="6">
                  <c:v>9.6763424122161684E-2</c:v>
                </c:pt>
                <c:pt idx="7">
                  <c:v>0.13657898803588311</c:v>
                </c:pt>
                <c:pt idx="8">
                  <c:v>0.27501549435920014</c:v>
                </c:pt>
                <c:pt idx="9">
                  <c:v>0.53273881636770348</c:v>
                </c:pt>
                <c:pt idx="10">
                  <c:v>0.22668999454768568</c:v>
                </c:pt>
                <c:pt idx="11">
                  <c:v>0.18538665598423379</c:v>
                </c:pt>
                <c:pt idx="12">
                  <c:v>0.12765266269453335</c:v>
                </c:pt>
                <c:pt idx="13">
                  <c:v>0.18119962792432123</c:v>
                </c:pt>
                <c:pt idx="14">
                  <c:v>0.13812964802736605</c:v>
                </c:pt>
                <c:pt idx="15">
                  <c:v>0.11791012230162043</c:v>
                </c:pt>
              </c:numCache>
            </c:numRef>
          </c:val>
          <c:smooth val="0"/>
          <c:extLst>
            <c:ext xmlns:c16="http://schemas.microsoft.com/office/drawing/2014/chart" uri="{C3380CC4-5D6E-409C-BE32-E72D297353CC}">
              <c16:uniqueId val="{00000003-A66E-4A45-A89D-1C98A4E2C8B3}"/>
            </c:ext>
          </c:extLst>
        </c:ser>
        <c:dLbls>
          <c:showLegendKey val="0"/>
          <c:showVal val="0"/>
          <c:showCatName val="0"/>
          <c:showSerName val="0"/>
          <c:showPercent val="0"/>
          <c:showBubbleSize val="0"/>
        </c:dLbls>
        <c:smooth val="0"/>
        <c:axId val="1532859856"/>
        <c:axId val="1532860688"/>
      </c:lineChart>
      <c:catAx>
        <c:axId val="1532859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2860688"/>
        <c:crosses val="autoZero"/>
        <c:auto val="1"/>
        <c:lblAlgn val="ctr"/>
        <c:lblOffset val="100"/>
        <c:noMultiLvlLbl val="0"/>
      </c:catAx>
      <c:valAx>
        <c:axId val="15328606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2859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0" i="0" baseline="0">
                <a:solidFill>
                  <a:sysClr val="windowText" lastClr="000000"/>
                </a:solidFill>
                <a:effectLst/>
                <a:latin typeface="Times New Roman" panose="02020603050405020304" pitchFamily="18" charset="0"/>
                <a:cs typeface="Times New Roman" panose="02020603050405020304" pitchFamily="18" charset="0"/>
              </a:rPr>
              <a:t>Figure 3.1 Expected Joint Crashes (1&lt;E&lt;10)</a:t>
            </a:r>
            <a:endParaRPr lang="en-GB" sz="12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Sheet1!$B$3</c:f>
              <c:strCache>
                <c:ptCount val="1"/>
                <c:pt idx="0">
                  <c:v>ESG</c:v>
                </c:pt>
              </c:strCache>
            </c:strRef>
          </c:tx>
          <c:spPr>
            <a:ln w="28575" cap="rnd">
              <a:solidFill>
                <a:schemeClr val="accent1"/>
              </a:solidFill>
              <a:prstDash val="sysDot"/>
              <a:round/>
            </a:ln>
            <a:effectLst/>
          </c:spPr>
          <c:marker>
            <c:symbol val="none"/>
          </c:marker>
          <c:cat>
            <c:numRef>
              <c:f>Sheet1!$A$4:$A$19</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Sheet1!$B$4:$B$19</c:f>
              <c:numCache>
                <c:formatCode>General</c:formatCode>
                <c:ptCount val="16"/>
                <c:pt idx="8">
                  <c:v>4.1841004179999999</c:v>
                </c:pt>
                <c:pt idx="9">
                  <c:v>4.3668122269999996</c:v>
                </c:pt>
                <c:pt idx="10">
                  <c:v>4.5146726859999999</c:v>
                </c:pt>
                <c:pt idx="11">
                  <c:v>3.8610038609999999</c:v>
                </c:pt>
                <c:pt idx="12">
                  <c:v>3.3057851239999998</c:v>
                </c:pt>
                <c:pt idx="13">
                  <c:v>3.0395136780000001</c:v>
                </c:pt>
                <c:pt idx="14">
                  <c:v>2.9368575620000001</c:v>
                </c:pt>
                <c:pt idx="15">
                  <c:v>3.0030030029999999</c:v>
                </c:pt>
              </c:numCache>
            </c:numRef>
          </c:val>
          <c:smooth val="0"/>
          <c:extLst>
            <c:ext xmlns:c16="http://schemas.microsoft.com/office/drawing/2014/chart" uri="{C3380CC4-5D6E-409C-BE32-E72D297353CC}">
              <c16:uniqueId val="{00000000-45DA-4788-9B4C-DD1BDA767F6A}"/>
            </c:ext>
          </c:extLst>
        </c:ser>
        <c:ser>
          <c:idx val="1"/>
          <c:order val="1"/>
          <c:tx>
            <c:strRef>
              <c:f>Sheet1!$C$3</c:f>
              <c:strCache>
                <c:ptCount val="1"/>
                <c:pt idx="0">
                  <c:v>Healthcare</c:v>
                </c:pt>
              </c:strCache>
            </c:strRef>
          </c:tx>
          <c:spPr>
            <a:ln w="28575" cap="rnd">
              <a:solidFill>
                <a:schemeClr val="accent2"/>
              </a:solidFill>
              <a:prstDash val="dash"/>
              <a:round/>
            </a:ln>
            <a:effectLst/>
          </c:spPr>
          <c:marker>
            <c:symbol val="none"/>
          </c:marker>
          <c:cat>
            <c:numRef>
              <c:f>Sheet1!$A$4:$A$19</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Sheet1!$C$4:$C$19</c:f>
              <c:numCache>
                <c:formatCode>General</c:formatCode>
                <c:ptCount val="16"/>
                <c:pt idx="0">
                  <c:v>2.93255132</c:v>
                </c:pt>
                <c:pt idx="1">
                  <c:v>2.7739251039999999</c:v>
                </c:pt>
                <c:pt idx="2">
                  <c:v>2.7285129600000002</c:v>
                </c:pt>
                <c:pt idx="3">
                  <c:v>3.1695721080000001</c:v>
                </c:pt>
                <c:pt idx="4">
                  <c:v>3.1645569619999998</c:v>
                </c:pt>
                <c:pt idx="5">
                  <c:v>3.25732899</c:v>
                </c:pt>
                <c:pt idx="6">
                  <c:v>3.663003663</c:v>
                </c:pt>
                <c:pt idx="7">
                  <c:v>3.5650623889999999</c:v>
                </c:pt>
                <c:pt idx="8">
                  <c:v>3.6101083030000001</c:v>
                </c:pt>
                <c:pt idx="9">
                  <c:v>3.2894736839999998</c:v>
                </c:pt>
                <c:pt idx="10">
                  <c:v>3.96039604</c:v>
                </c:pt>
                <c:pt idx="11">
                  <c:v>4.1753653440000003</c:v>
                </c:pt>
                <c:pt idx="12">
                  <c:v>4.2918454940000004</c:v>
                </c:pt>
                <c:pt idx="13">
                  <c:v>4.555808656</c:v>
                </c:pt>
                <c:pt idx="14">
                  <c:v>4.6403712300000004</c:v>
                </c:pt>
                <c:pt idx="15">
                  <c:v>4.5248868780000002</c:v>
                </c:pt>
              </c:numCache>
            </c:numRef>
          </c:val>
          <c:smooth val="0"/>
          <c:extLst>
            <c:ext xmlns:c16="http://schemas.microsoft.com/office/drawing/2014/chart" uri="{C3380CC4-5D6E-409C-BE32-E72D297353CC}">
              <c16:uniqueId val="{00000001-45DA-4788-9B4C-DD1BDA767F6A}"/>
            </c:ext>
          </c:extLst>
        </c:ser>
        <c:ser>
          <c:idx val="2"/>
          <c:order val="2"/>
          <c:tx>
            <c:strRef>
              <c:f>Sheet1!$D$3</c:f>
              <c:strCache>
                <c:ptCount val="1"/>
                <c:pt idx="0">
                  <c:v>Finance</c:v>
                </c:pt>
              </c:strCache>
            </c:strRef>
          </c:tx>
          <c:spPr>
            <a:ln w="28575" cap="rnd">
              <a:solidFill>
                <a:schemeClr val="accent3"/>
              </a:solidFill>
              <a:prstDash val="lgDashDotDot"/>
              <a:round/>
            </a:ln>
            <a:effectLst/>
          </c:spPr>
          <c:marker>
            <c:symbol val="none"/>
          </c:marker>
          <c:cat>
            <c:numRef>
              <c:f>Sheet1!$A$4:$A$19</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Sheet1!$D$4:$D$19</c:f>
              <c:numCache>
                <c:formatCode>General</c:formatCode>
                <c:ptCount val="16"/>
                <c:pt idx="0">
                  <c:v>3.3898305080000002</c:v>
                </c:pt>
                <c:pt idx="1">
                  <c:v>3.2520325200000002</c:v>
                </c:pt>
                <c:pt idx="2">
                  <c:v>3.4782608700000002</c:v>
                </c:pt>
                <c:pt idx="3">
                  <c:v>4.3572984750000003</c:v>
                </c:pt>
                <c:pt idx="4">
                  <c:v>4.1152263370000002</c:v>
                </c:pt>
                <c:pt idx="5">
                  <c:v>3.8167938929999998</c:v>
                </c:pt>
                <c:pt idx="6">
                  <c:v>3.703703704</c:v>
                </c:pt>
                <c:pt idx="7">
                  <c:v>3.154574132</c:v>
                </c:pt>
                <c:pt idx="8">
                  <c:v>2.9806259310000001</c:v>
                </c:pt>
                <c:pt idx="9">
                  <c:v>3.4722222220000001</c:v>
                </c:pt>
                <c:pt idx="10">
                  <c:v>4.301075269</c:v>
                </c:pt>
                <c:pt idx="11">
                  <c:v>4.8309178739999998</c:v>
                </c:pt>
                <c:pt idx="12">
                  <c:v>5.1282051280000003</c:v>
                </c:pt>
                <c:pt idx="13">
                  <c:v>5.2356020939999999</c:v>
                </c:pt>
                <c:pt idx="14">
                  <c:v>5.5096418729999996</c:v>
                </c:pt>
                <c:pt idx="15">
                  <c:v>5.5555555559999998</c:v>
                </c:pt>
              </c:numCache>
            </c:numRef>
          </c:val>
          <c:smooth val="0"/>
          <c:extLst>
            <c:ext xmlns:c16="http://schemas.microsoft.com/office/drawing/2014/chart" uri="{C3380CC4-5D6E-409C-BE32-E72D297353CC}">
              <c16:uniqueId val="{00000002-45DA-4788-9B4C-DD1BDA767F6A}"/>
            </c:ext>
          </c:extLst>
        </c:ser>
        <c:dLbls>
          <c:showLegendKey val="0"/>
          <c:showVal val="0"/>
          <c:showCatName val="0"/>
          <c:showSerName val="0"/>
          <c:showPercent val="0"/>
          <c:showBubbleSize val="0"/>
        </c:dLbls>
        <c:smooth val="0"/>
        <c:axId val="1324572832"/>
        <c:axId val="1324574080"/>
      </c:lineChart>
      <c:catAx>
        <c:axId val="1324572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4574080"/>
        <c:crosses val="autoZero"/>
        <c:auto val="1"/>
        <c:lblAlgn val="ctr"/>
        <c:lblOffset val="100"/>
        <c:noMultiLvlLbl val="0"/>
      </c:catAx>
      <c:valAx>
        <c:axId val="1324574080"/>
        <c:scaling>
          <c:orientation val="minMax"/>
          <c:max val="5"/>
          <c:min val="2"/>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4572832"/>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0" i="0" u="none" strike="noStrike" kern="1200" spc="0" baseline="0">
                <a:solidFill>
                  <a:sysClr val="windowText" lastClr="000000"/>
                </a:solidFill>
                <a:effectLst/>
                <a:latin typeface="Times New Roman" panose="02020603050405020304" pitchFamily="18" charset="0"/>
                <a:ea typeface="+mn-ea"/>
                <a:cs typeface="Times New Roman" panose="02020603050405020304" pitchFamily="18" charset="0"/>
              </a:rPr>
              <a:t>Fig. 3</a:t>
            </a:r>
            <a:endParaRPr lang="en-GB" sz="12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Sheet1!$B$24</c:f>
              <c:strCache>
                <c:ptCount val="1"/>
                <c:pt idx="0">
                  <c:v>ESG</c:v>
                </c:pt>
              </c:strCache>
            </c:strRef>
          </c:tx>
          <c:spPr>
            <a:ln w="28575" cap="rnd">
              <a:solidFill>
                <a:schemeClr val="accent1"/>
              </a:solidFill>
              <a:prstDash val="sysDot"/>
              <a:round/>
            </a:ln>
            <a:effectLst/>
          </c:spPr>
          <c:marker>
            <c:symbol val="none"/>
          </c:marker>
          <c:cat>
            <c:numRef>
              <c:f>Sheet1!$A$25:$A$40</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Sheet1!$B$25:$B$40</c:f>
              <c:numCache>
                <c:formatCode>General</c:formatCode>
                <c:ptCount val="16"/>
                <c:pt idx="8">
                  <c:v>0.29429261289999997</c:v>
                </c:pt>
                <c:pt idx="9">
                  <c:v>0.27413558469999999</c:v>
                </c:pt>
                <c:pt idx="10">
                  <c:v>0.27717309810000001</c:v>
                </c:pt>
                <c:pt idx="11">
                  <c:v>0.27717309810000001</c:v>
                </c:pt>
                <c:pt idx="12">
                  <c:v>0.27301361089999998</c:v>
                </c:pt>
                <c:pt idx="13">
                  <c:v>0.26611566060000003</c:v>
                </c:pt>
                <c:pt idx="14">
                  <c:v>0.2654097836</c:v>
                </c:pt>
                <c:pt idx="15">
                  <c:v>0.2565627908</c:v>
                </c:pt>
              </c:numCache>
            </c:numRef>
          </c:val>
          <c:smooth val="0"/>
          <c:extLst>
            <c:ext xmlns:c16="http://schemas.microsoft.com/office/drawing/2014/chart" uri="{C3380CC4-5D6E-409C-BE32-E72D297353CC}">
              <c16:uniqueId val="{00000000-7283-4A47-A105-78888849AB9E}"/>
            </c:ext>
          </c:extLst>
        </c:ser>
        <c:ser>
          <c:idx val="1"/>
          <c:order val="1"/>
          <c:tx>
            <c:strRef>
              <c:f>Sheet1!$C$24</c:f>
              <c:strCache>
                <c:ptCount val="1"/>
                <c:pt idx="0">
                  <c:v>Healthcare</c:v>
                </c:pt>
              </c:strCache>
            </c:strRef>
          </c:tx>
          <c:spPr>
            <a:ln w="28575" cap="rnd">
              <a:solidFill>
                <a:schemeClr val="accent2"/>
              </a:solidFill>
              <a:prstDash val="dash"/>
              <a:round/>
            </a:ln>
            <a:effectLst/>
          </c:spPr>
          <c:marker>
            <c:symbol val="none"/>
          </c:marker>
          <c:cat>
            <c:numRef>
              <c:f>Sheet1!$A$25:$A$40</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Sheet1!$C$25:$C$40</c:f>
              <c:numCache>
                <c:formatCode>General</c:formatCode>
                <c:ptCount val="16"/>
                <c:pt idx="0">
                  <c:v>0.28466426290000002</c:v>
                </c:pt>
                <c:pt idx="1">
                  <c:v>0.26970212510000002</c:v>
                </c:pt>
                <c:pt idx="2">
                  <c:v>0.26331444320000003</c:v>
                </c:pt>
                <c:pt idx="3">
                  <c:v>0.27602617489999998</c:v>
                </c:pt>
                <c:pt idx="4">
                  <c:v>0.27988668080000001</c:v>
                </c:pt>
                <c:pt idx="5">
                  <c:v>0.26753873900000003</c:v>
                </c:pt>
                <c:pt idx="6">
                  <c:v>0.25203901359999997</c:v>
                </c:pt>
                <c:pt idx="7">
                  <c:v>0.2485950022</c:v>
                </c:pt>
                <c:pt idx="8">
                  <c:v>0.24227479029999999</c:v>
                </c:pt>
                <c:pt idx="9">
                  <c:v>0.23880546159999999</c:v>
                </c:pt>
                <c:pt idx="10">
                  <c:v>0.246148803</c:v>
                </c:pt>
                <c:pt idx="11">
                  <c:v>0.246148803</c:v>
                </c:pt>
                <c:pt idx="12">
                  <c:v>0.26366136600000001</c:v>
                </c:pt>
                <c:pt idx="13">
                  <c:v>0.32225278070000002</c:v>
                </c:pt>
                <c:pt idx="14">
                  <c:v>0.35232214229999997</c:v>
                </c:pt>
                <c:pt idx="15">
                  <c:v>0.35232214229999997</c:v>
                </c:pt>
              </c:numCache>
            </c:numRef>
          </c:val>
          <c:smooth val="0"/>
          <c:extLst>
            <c:ext xmlns:c16="http://schemas.microsoft.com/office/drawing/2014/chart" uri="{C3380CC4-5D6E-409C-BE32-E72D297353CC}">
              <c16:uniqueId val="{00000001-7283-4A47-A105-78888849AB9E}"/>
            </c:ext>
          </c:extLst>
        </c:ser>
        <c:ser>
          <c:idx val="2"/>
          <c:order val="2"/>
          <c:tx>
            <c:strRef>
              <c:f>Sheet1!$D$24</c:f>
              <c:strCache>
                <c:ptCount val="1"/>
                <c:pt idx="0">
                  <c:v>Finance</c:v>
                </c:pt>
              </c:strCache>
            </c:strRef>
          </c:tx>
          <c:spPr>
            <a:ln w="28575" cap="rnd">
              <a:solidFill>
                <a:schemeClr val="accent3"/>
              </a:solidFill>
              <a:prstDash val="lgDashDotDot"/>
              <a:round/>
            </a:ln>
            <a:effectLst/>
          </c:spPr>
          <c:marker>
            <c:symbol val="none"/>
          </c:marker>
          <c:cat>
            <c:numRef>
              <c:f>Sheet1!$A$25:$A$40</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Sheet1!$D$25:$D$40</c:f>
              <c:numCache>
                <c:formatCode>General</c:formatCode>
                <c:ptCount val="16"/>
                <c:pt idx="0">
                  <c:v>0.29472603359999999</c:v>
                </c:pt>
                <c:pt idx="1">
                  <c:v>0.29472603359999999</c:v>
                </c:pt>
                <c:pt idx="2">
                  <c:v>0.30505941590000002</c:v>
                </c:pt>
                <c:pt idx="3">
                  <c:v>0.37196835839999998</c:v>
                </c:pt>
                <c:pt idx="4">
                  <c:v>0.34924777800000001</c:v>
                </c:pt>
                <c:pt idx="5">
                  <c:v>0.31026197950000001</c:v>
                </c:pt>
                <c:pt idx="6">
                  <c:v>0.29647255820000001</c:v>
                </c:pt>
                <c:pt idx="7">
                  <c:v>0.28225525639999999</c:v>
                </c:pt>
                <c:pt idx="8">
                  <c:v>0.27190078369999998</c:v>
                </c:pt>
                <c:pt idx="9">
                  <c:v>0.25855164959999999</c:v>
                </c:pt>
                <c:pt idx="10">
                  <c:v>0.25888612779999998</c:v>
                </c:pt>
                <c:pt idx="11">
                  <c:v>0.28960778120000003</c:v>
                </c:pt>
                <c:pt idx="12">
                  <c:v>0.34622660350000001</c:v>
                </c:pt>
                <c:pt idx="13">
                  <c:v>0.39706146190000002</c:v>
                </c:pt>
                <c:pt idx="14">
                  <c:v>0.45793816199999998</c:v>
                </c:pt>
                <c:pt idx="15">
                  <c:v>0.48221440189999998</c:v>
                </c:pt>
              </c:numCache>
            </c:numRef>
          </c:val>
          <c:smooth val="0"/>
          <c:extLst>
            <c:ext xmlns:c16="http://schemas.microsoft.com/office/drawing/2014/chart" uri="{C3380CC4-5D6E-409C-BE32-E72D297353CC}">
              <c16:uniqueId val="{00000002-7283-4A47-A105-78888849AB9E}"/>
            </c:ext>
          </c:extLst>
        </c:ser>
        <c:dLbls>
          <c:showLegendKey val="0"/>
          <c:showVal val="0"/>
          <c:showCatName val="0"/>
          <c:showSerName val="0"/>
          <c:showPercent val="0"/>
          <c:showBubbleSize val="0"/>
        </c:dLbls>
        <c:smooth val="0"/>
        <c:axId val="1602925696"/>
        <c:axId val="1602928608"/>
      </c:lineChart>
      <c:catAx>
        <c:axId val="1602925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2928608"/>
        <c:crosses val="autoZero"/>
        <c:auto val="1"/>
        <c:lblAlgn val="ctr"/>
        <c:lblOffset val="100"/>
        <c:noMultiLvlLbl val="0"/>
      </c:catAx>
      <c:valAx>
        <c:axId val="1602928608"/>
        <c:scaling>
          <c:orientation val="minMax"/>
          <c:max val="0.5"/>
          <c:min val="0.2"/>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2925696"/>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0" i="0" u="none" strike="noStrike" kern="1200" spc="0" baseline="0">
                <a:solidFill>
                  <a:sysClr val="windowText" lastClr="000000">
                    <a:lumMod val="65000"/>
                    <a:lumOff val="35000"/>
                  </a:sysClr>
                </a:solidFill>
                <a:effectLst/>
                <a:latin typeface="Times New Roman" panose="02020603050405020304" pitchFamily="18" charset="0"/>
                <a:ea typeface="+mn-ea"/>
                <a:cs typeface="Times New Roman" panose="02020603050405020304" pitchFamily="18" charset="0"/>
              </a:rPr>
              <a:t>Fig. 1</a:t>
            </a:r>
            <a:r>
              <a:rPr lang="en-GB" sz="1200" b="0" i="0" baseline="0">
                <a:effectLst/>
                <a:latin typeface="Times New Roman" panose="02020603050405020304" pitchFamily="18" charset="0"/>
                <a:cs typeface="Times New Roman" panose="02020603050405020304" pitchFamily="18" charset="0"/>
              </a:rPr>
              <a:t>.2 Rolling Tail Quantile of ESG, Healthcare and Financial ETFs</a:t>
            </a:r>
            <a:endParaRPr lang="en-GB" sz="12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Sheet1!$B$17</c:f>
              <c:strCache>
                <c:ptCount val="1"/>
                <c:pt idx="0">
                  <c:v>ESG</c:v>
                </c:pt>
              </c:strCache>
            </c:strRef>
          </c:tx>
          <c:spPr>
            <a:ln w="28575" cap="rnd">
              <a:solidFill>
                <a:schemeClr val="accent1"/>
              </a:solidFill>
              <a:prstDash val="sysDot"/>
              <a:round/>
            </a:ln>
            <a:effectLst/>
          </c:spPr>
          <c:marker>
            <c:symbol val="none"/>
          </c:marker>
          <c:cat>
            <c:numRef>
              <c:f>Sheet1!$A$18:$A$33</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Sheet1!$B$18:$B$33</c:f>
              <c:numCache>
                <c:formatCode>General</c:formatCode>
                <c:ptCount val="16"/>
                <c:pt idx="8">
                  <c:v>0.21358198492706851</c:v>
                </c:pt>
                <c:pt idx="9">
                  <c:v>0.25088510296060884</c:v>
                </c:pt>
                <c:pt idx="10">
                  <c:v>0.15455418299725626</c:v>
                </c:pt>
                <c:pt idx="11">
                  <c:v>0.14683580766484489</c:v>
                </c:pt>
                <c:pt idx="12">
                  <c:v>0.14916780020747158</c:v>
                </c:pt>
                <c:pt idx="13">
                  <c:v>0.13857960615968209</c:v>
                </c:pt>
                <c:pt idx="14">
                  <c:v>0.17666947763168678</c:v>
                </c:pt>
                <c:pt idx="15">
                  <c:v>0.20369080794291533</c:v>
                </c:pt>
              </c:numCache>
            </c:numRef>
          </c:val>
          <c:smooth val="0"/>
          <c:extLst>
            <c:ext xmlns:c16="http://schemas.microsoft.com/office/drawing/2014/chart" uri="{C3380CC4-5D6E-409C-BE32-E72D297353CC}">
              <c16:uniqueId val="{00000000-F91C-4330-A902-614CA85DEB9B}"/>
            </c:ext>
          </c:extLst>
        </c:ser>
        <c:ser>
          <c:idx val="1"/>
          <c:order val="1"/>
          <c:tx>
            <c:strRef>
              <c:f>Sheet1!$C$17</c:f>
              <c:strCache>
                <c:ptCount val="1"/>
                <c:pt idx="0">
                  <c:v>Healthcare</c:v>
                </c:pt>
              </c:strCache>
            </c:strRef>
          </c:tx>
          <c:spPr>
            <a:ln w="28575" cap="rnd">
              <a:solidFill>
                <a:schemeClr val="accent2"/>
              </a:solidFill>
              <a:prstDash val="dash"/>
              <a:round/>
            </a:ln>
            <a:effectLst/>
          </c:spPr>
          <c:marker>
            <c:symbol val="none"/>
          </c:marker>
          <c:cat>
            <c:numRef>
              <c:f>Sheet1!$A$18:$A$33</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Sheet1!$C$18:$C$33</c:f>
              <c:numCache>
                <c:formatCode>General</c:formatCode>
                <c:ptCount val="16"/>
                <c:pt idx="0">
                  <c:v>0.1228307481019759</c:v>
                </c:pt>
                <c:pt idx="1">
                  <c:v>0.11851316171418197</c:v>
                </c:pt>
                <c:pt idx="2">
                  <c:v>0.12062311284744692</c:v>
                </c:pt>
                <c:pt idx="3">
                  <c:v>0.1248145402173486</c:v>
                </c:pt>
                <c:pt idx="4">
                  <c:v>0.11889874101147009</c:v>
                </c:pt>
                <c:pt idx="5">
                  <c:v>0.13272297663865235</c:v>
                </c:pt>
                <c:pt idx="6">
                  <c:v>0.14955302186346181</c:v>
                </c:pt>
                <c:pt idx="7">
                  <c:v>0.16644195549597596</c:v>
                </c:pt>
                <c:pt idx="8">
                  <c:v>0.17414577198884373</c:v>
                </c:pt>
                <c:pt idx="9">
                  <c:v>0.15228132658686949</c:v>
                </c:pt>
                <c:pt idx="10">
                  <c:v>0.14614927728682534</c:v>
                </c:pt>
                <c:pt idx="11">
                  <c:v>0.13954366424581885</c:v>
                </c:pt>
                <c:pt idx="12">
                  <c:v>0.120877266384885</c:v>
                </c:pt>
                <c:pt idx="13">
                  <c:v>0.13107609479549243</c:v>
                </c:pt>
                <c:pt idx="14">
                  <c:v>0.1407808665460826</c:v>
                </c:pt>
                <c:pt idx="15">
                  <c:v>0.14048970784547563</c:v>
                </c:pt>
              </c:numCache>
            </c:numRef>
          </c:val>
          <c:smooth val="0"/>
          <c:extLst>
            <c:ext xmlns:c16="http://schemas.microsoft.com/office/drawing/2014/chart" uri="{C3380CC4-5D6E-409C-BE32-E72D297353CC}">
              <c16:uniqueId val="{00000001-F91C-4330-A902-614CA85DEB9B}"/>
            </c:ext>
          </c:extLst>
        </c:ser>
        <c:ser>
          <c:idx val="2"/>
          <c:order val="2"/>
          <c:tx>
            <c:strRef>
              <c:f>Sheet1!$D$17</c:f>
              <c:strCache>
                <c:ptCount val="1"/>
                <c:pt idx="0">
                  <c:v>Finance</c:v>
                </c:pt>
              </c:strCache>
            </c:strRef>
          </c:tx>
          <c:spPr>
            <a:ln w="28575" cap="rnd">
              <a:solidFill>
                <a:schemeClr val="accent3"/>
              </a:solidFill>
              <a:prstDash val="lgDashDotDot"/>
              <a:round/>
            </a:ln>
            <a:effectLst/>
          </c:spPr>
          <c:marker>
            <c:symbol val="none"/>
          </c:marker>
          <c:cat>
            <c:numRef>
              <c:f>Sheet1!$A$18:$A$33</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Sheet1!$D$18:$D$33</c:f>
              <c:numCache>
                <c:formatCode>General</c:formatCode>
                <c:ptCount val="16"/>
                <c:pt idx="0">
                  <c:v>0.13710299528280967</c:v>
                </c:pt>
                <c:pt idx="1">
                  <c:v>0.12892688754460571</c:v>
                </c:pt>
                <c:pt idx="2">
                  <c:v>0.14951756854499762</c:v>
                </c:pt>
                <c:pt idx="3">
                  <c:v>0.39270444078496269</c:v>
                </c:pt>
                <c:pt idx="4">
                  <c:v>0.45942250043911076</c:v>
                </c:pt>
                <c:pt idx="5">
                  <c:v>0.39967931503358367</c:v>
                </c:pt>
                <c:pt idx="6">
                  <c:v>0.34986496540005996</c:v>
                </c:pt>
                <c:pt idx="7">
                  <c:v>0.32715006631365923</c:v>
                </c:pt>
                <c:pt idx="8">
                  <c:v>0.34174366394297367</c:v>
                </c:pt>
                <c:pt idx="9">
                  <c:v>0.32040441339876685</c:v>
                </c:pt>
                <c:pt idx="10">
                  <c:v>0.15722698666580473</c:v>
                </c:pt>
                <c:pt idx="11">
                  <c:v>0.133832174320303</c:v>
                </c:pt>
                <c:pt idx="12">
                  <c:v>0.11015050201194679</c:v>
                </c:pt>
                <c:pt idx="13">
                  <c:v>0.11294133773651699</c:v>
                </c:pt>
                <c:pt idx="14">
                  <c:v>0.1923949041139274</c:v>
                </c:pt>
                <c:pt idx="15">
                  <c:v>0.19454710873898068</c:v>
                </c:pt>
              </c:numCache>
            </c:numRef>
          </c:val>
          <c:smooth val="0"/>
          <c:extLst>
            <c:ext xmlns:c16="http://schemas.microsoft.com/office/drawing/2014/chart" uri="{C3380CC4-5D6E-409C-BE32-E72D297353CC}">
              <c16:uniqueId val="{00000002-F91C-4330-A902-614CA85DEB9B}"/>
            </c:ext>
          </c:extLst>
        </c:ser>
        <c:dLbls>
          <c:showLegendKey val="0"/>
          <c:showVal val="0"/>
          <c:showCatName val="0"/>
          <c:showSerName val="0"/>
          <c:showPercent val="0"/>
          <c:showBubbleSize val="0"/>
        </c:dLbls>
        <c:smooth val="0"/>
        <c:axId val="869374528"/>
        <c:axId val="876033808"/>
      </c:lineChart>
      <c:catAx>
        <c:axId val="869374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6033808"/>
        <c:crosses val="autoZero"/>
        <c:auto val="1"/>
        <c:lblAlgn val="ctr"/>
        <c:lblOffset val="100"/>
        <c:noMultiLvlLbl val="0"/>
      </c:catAx>
      <c:valAx>
        <c:axId val="87603380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9374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0" i="0" u="none" strike="noStrike" kern="1200" spc="0" baseline="0">
                <a:solidFill>
                  <a:sysClr val="windowText" lastClr="000000">
                    <a:lumMod val="65000"/>
                    <a:lumOff val="35000"/>
                  </a:sysClr>
                </a:solidFill>
                <a:effectLst/>
                <a:latin typeface="Times New Roman" panose="02020603050405020304" pitchFamily="18" charset="0"/>
                <a:ea typeface="+mn-ea"/>
                <a:cs typeface="Times New Roman" panose="02020603050405020304" pitchFamily="18" charset="0"/>
              </a:rPr>
              <a:t>Fig. 1</a:t>
            </a:r>
            <a:r>
              <a:rPr lang="en-GB" sz="1200" b="0" i="0" baseline="0">
                <a:effectLst/>
                <a:latin typeface="Times New Roman" panose="02020603050405020304" pitchFamily="18" charset="0"/>
                <a:cs typeface="Times New Roman" panose="02020603050405020304" pitchFamily="18" charset="0"/>
              </a:rPr>
              <a:t>.3 Rolling Expected Shortfall of ESG, Healthcare and Financial ETFs</a:t>
            </a:r>
            <a:endParaRPr lang="en-GB" sz="12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4271666961875163E-2"/>
          <c:y val="0.21532038359789188"/>
          <c:w val="0.8984618027041098"/>
          <c:h val="0.60157627365803013"/>
        </c:manualLayout>
      </c:layout>
      <c:lineChart>
        <c:grouping val="standard"/>
        <c:varyColors val="0"/>
        <c:ser>
          <c:idx val="0"/>
          <c:order val="0"/>
          <c:tx>
            <c:strRef>
              <c:f>Sheet1!$B$17</c:f>
              <c:strCache>
                <c:ptCount val="1"/>
                <c:pt idx="0">
                  <c:v>ESG</c:v>
                </c:pt>
              </c:strCache>
            </c:strRef>
          </c:tx>
          <c:spPr>
            <a:ln w="28575" cap="rnd">
              <a:solidFill>
                <a:schemeClr val="accent1"/>
              </a:solidFill>
              <a:prstDash val="sysDot"/>
              <a:round/>
            </a:ln>
            <a:effectLst/>
          </c:spPr>
          <c:marker>
            <c:symbol val="none"/>
          </c:marker>
          <c:cat>
            <c:numRef>
              <c:f>Sheet1!$A$18:$A$33</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Sheet1!$B$18:$B$33</c:f>
              <c:numCache>
                <c:formatCode>General</c:formatCode>
                <c:ptCount val="16"/>
                <c:pt idx="8">
                  <c:v>0.40408052693730118</c:v>
                </c:pt>
                <c:pt idx="9">
                  <c:v>0.48547714593888297</c:v>
                </c:pt>
                <c:pt idx="10">
                  <c:v>0.21560079630514029</c:v>
                </c:pt>
                <c:pt idx="11">
                  <c:v>0.20244636462815171</c:v>
                </c:pt>
                <c:pt idx="12">
                  <c:v>0.22776801651814188</c:v>
                </c:pt>
                <c:pt idx="13">
                  <c:v>0.21566203951108096</c:v>
                </c:pt>
                <c:pt idx="14">
                  <c:v>0.36318024784479719</c:v>
                </c:pt>
                <c:pt idx="15">
                  <c:v>0.46662522788996236</c:v>
                </c:pt>
              </c:numCache>
            </c:numRef>
          </c:val>
          <c:smooth val="0"/>
          <c:extLst>
            <c:ext xmlns:c16="http://schemas.microsoft.com/office/drawing/2014/chart" uri="{C3380CC4-5D6E-409C-BE32-E72D297353CC}">
              <c16:uniqueId val="{00000000-0E7C-4F36-9EF9-95E4E00A9A42}"/>
            </c:ext>
          </c:extLst>
        </c:ser>
        <c:ser>
          <c:idx val="1"/>
          <c:order val="1"/>
          <c:tx>
            <c:strRef>
              <c:f>Sheet1!$C$17</c:f>
              <c:strCache>
                <c:ptCount val="1"/>
                <c:pt idx="0">
                  <c:v>Healthcare</c:v>
                </c:pt>
              </c:strCache>
            </c:strRef>
          </c:tx>
          <c:spPr>
            <a:ln w="28575" cap="rnd">
              <a:solidFill>
                <a:schemeClr val="accent2"/>
              </a:solidFill>
              <a:prstDash val="dash"/>
              <a:round/>
            </a:ln>
            <a:effectLst/>
          </c:spPr>
          <c:marker>
            <c:symbol val="none"/>
          </c:marker>
          <c:cat>
            <c:numRef>
              <c:f>Sheet1!$A$18:$A$33</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Sheet1!$C$18:$C$33</c:f>
              <c:numCache>
                <c:formatCode>General</c:formatCode>
                <c:ptCount val="16"/>
                <c:pt idx="0">
                  <c:v>0.17157105992455562</c:v>
                </c:pt>
                <c:pt idx="1">
                  <c:v>0.18393214769161573</c:v>
                </c:pt>
                <c:pt idx="2">
                  <c:v>0.16157755237418339</c:v>
                </c:pt>
                <c:pt idx="3">
                  <c:v>0.18015891782504556</c:v>
                </c:pt>
                <c:pt idx="4">
                  <c:v>0.18159277149077097</c:v>
                </c:pt>
                <c:pt idx="5">
                  <c:v>0.23980203094915034</c:v>
                </c:pt>
                <c:pt idx="6">
                  <c:v>0.28639494837440171</c:v>
                </c:pt>
                <c:pt idx="7">
                  <c:v>0.32252713292621965</c:v>
                </c:pt>
                <c:pt idx="8">
                  <c:v>0.3494090646948762</c:v>
                </c:pt>
                <c:pt idx="9">
                  <c:v>0.28398851390593921</c:v>
                </c:pt>
                <c:pt idx="10">
                  <c:v>0.25741183002877743</c:v>
                </c:pt>
                <c:pt idx="11">
                  <c:v>0.24081877727937226</c:v>
                </c:pt>
                <c:pt idx="12">
                  <c:v>0.18948203132653801</c:v>
                </c:pt>
                <c:pt idx="13">
                  <c:v>0.21135960522073288</c:v>
                </c:pt>
                <c:pt idx="14">
                  <c:v>0.23515029590300335</c:v>
                </c:pt>
                <c:pt idx="15">
                  <c:v>0.24027023454538543</c:v>
                </c:pt>
              </c:numCache>
            </c:numRef>
          </c:val>
          <c:smooth val="0"/>
          <c:extLst>
            <c:ext xmlns:c16="http://schemas.microsoft.com/office/drawing/2014/chart" uri="{C3380CC4-5D6E-409C-BE32-E72D297353CC}">
              <c16:uniqueId val="{00000001-0E7C-4F36-9EF9-95E4E00A9A42}"/>
            </c:ext>
          </c:extLst>
        </c:ser>
        <c:ser>
          <c:idx val="2"/>
          <c:order val="2"/>
          <c:tx>
            <c:strRef>
              <c:f>Sheet1!$D$17</c:f>
              <c:strCache>
                <c:ptCount val="1"/>
                <c:pt idx="0">
                  <c:v>Finance</c:v>
                </c:pt>
              </c:strCache>
            </c:strRef>
          </c:tx>
          <c:spPr>
            <a:ln w="28575" cap="rnd">
              <a:solidFill>
                <a:schemeClr val="accent3"/>
              </a:solidFill>
              <a:prstDash val="lgDashDotDot"/>
              <a:round/>
            </a:ln>
            <a:effectLst/>
          </c:spPr>
          <c:marker>
            <c:symbol val="none"/>
          </c:marker>
          <c:cat>
            <c:numRef>
              <c:f>Sheet1!$A$18:$A$33</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Sheet1!$D$18:$D$33</c:f>
              <c:numCache>
                <c:formatCode>General</c:formatCode>
                <c:ptCount val="16"/>
                <c:pt idx="0">
                  <c:v>0.17493678662330212</c:v>
                </c:pt>
                <c:pt idx="1">
                  <c:v>0.19247947741139249</c:v>
                </c:pt>
                <c:pt idx="2">
                  <c:v>0.24883701775603476</c:v>
                </c:pt>
                <c:pt idx="3">
                  <c:v>1.5608469377258321</c:v>
                </c:pt>
                <c:pt idx="4">
                  <c:v>2.4227018447793713</c:v>
                </c:pt>
                <c:pt idx="5">
                  <c:v>1.4413614400164829</c:v>
                </c:pt>
                <c:pt idx="6">
                  <c:v>0.86318469437660994</c:v>
                </c:pt>
                <c:pt idx="7">
                  <c:v>0.69447316829439154</c:v>
                </c:pt>
                <c:pt idx="8">
                  <c:v>0.78801895289051227</c:v>
                </c:pt>
                <c:pt idx="9">
                  <c:v>0.98597479076885941</c:v>
                </c:pt>
                <c:pt idx="10">
                  <c:v>0.26754651659931655</c:v>
                </c:pt>
                <c:pt idx="11">
                  <c:v>0.21361850144915978</c:v>
                </c:pt>
                <c:pt idx="12">
                  <c:v>0.15487325753687817</c:v>
                </c:pt>
                <c:pt idx="13">
                  <c:v>0.16323251981597287</c:v>
                </c:pt>
                <c:pt idx="14">
                  <c:v>0.43826543407297852</c:v>
                </c:pt>
                <c:pt idx="15">
                  <c:v>0.42186773247633724</c:v>
                </c:pt>
              </c:numCache>
            </c:numRef>
          </c:val>
          <c:smooth val="0"/>
          <c:extLst>
            <c:ext xmlns:c16="http://schemas.microsoft.com/office/drawing/2014/chart" uri="{C3380CC4-5D6E-409C-BE32-E72D297353CC}">
              <c16:uniqueId val="{00000002-0E7C-4F36-9EF9-95E4E00A9A42}"/>
            </c:ext>
          </c:extLst>
        </c:ser>
        <c:dLbls>
          <c:showLegendKey val="0"/>
          <c:showVal val="0"/>
          <c:showCatName val="0"/>
          <c:showSerName val="0"/>
          <c:showPercent val="0"/>
          <c:showBubbleSize val="0"/>
        </c:dLbls>
        <c:smooth val="0"/>
        <c:axId val="869374528"/>
        <c:axId val="876033808"/>
      </c:lineChart>
      <c:catAx>
        <c:axId val="869374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6033808"/>
        <c:crosses val="autoZero"/>
        <c:auto val="1"/>
        <c:lblAlgn val="ctr"/>
        <c:lblOffset val="100"/>
        <c:noMultiLvlLbl val="0"/>
      </c:catAx>
      <c:valAx>
        <c:axId val="87603380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9374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b="0" i="0" u="none" strike="noStrike" kern="1200" spc="0" baseline="0">
                <a:solidFill>
                  <a:sysClr val="windowText" lastClr="000000">
                    <a:lumMod val="65000"/>
                    <a:lumOff val="35000"/>
                  </a:sysClr>
                </a:solidFill>
                <a:effectLst/>
                <a:latin typeface="Times New Roman" panose="02020603050405020304" pitchFamily="18" charset="0"/>
                <a:ea typeface="+mn-ea"/>
                <a:cs typeface="Times New Roman" panose="02020603050405020304" pitchFamily="18" charset="0"/>
              </a:rPr>
              <a:t>Fig. 1</a:t>
            </a:r>
            <a:r>
              <a:rPr lang="en-GB" sz="1100" b="0" i="0" u="none" strike="noStrike" baseline="0">
                <a:effectLst/>
                <a:latin typeface="Times New Roman" panose="02020603050405020304" pitchFamily="18" charset="0"/>
                <a:cs typeface="Times New Roman" panose="02020603050405020304" pitchFamily="18" charset="0"/>
              </a:rPr>
              <a:t>.4 </a:t>
            </a:r>
            <a:r>
              <a:rPr lang="en-GB" sz="1100" b="0" i="0" baseline="0">
                <a:effectLst/>
                <a:latin typeface="Times New Roman" panose="02020603050405020304" pitchFamily="18" charset="0"/>
                <a:cs typeface="Times New Roman" panose="02020603050405020304" pitchFamily="18" charset="0"/>
              </a:rPr>
              <a:t>Rolling Expected Shortfall Conditional Upon 25% threshold of ESG, Healthcare and Financial ETFs</a:t>
            </a:r>
            <a:endParaRPr lang="en-GB" sz="11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4271666961875163E-2"/>
          <c:y val="0.21532038359789188"/>
          <c:w val="0.8984618027041098"/>
          <c:h val="0.60157627365803013"/>
        </c:manualLayout>
      </c:layout>
      <c:lineChart>
        <c:grouping val="standard"/>
        <c:varyColors val="0"/>
        <c:ser>
          <c:idx val="0"/>
          <c:order val="0"/>
          <c:tx>
            <c:strRef>
              <c:f>Sheet1!$B$17</c:f>
              <c:strCache>
                <c:ptCount val="1"/>
                <c:pt idx="0">
                  <c:v>ESG</c:v>
                </c:pt>
              </c:strCache>
            </c:strRef>
          </c:tx>
          <c:spPr>
            <a:ln w="28575" cap="rnd">
              <a:solidFill>
                <a:schemeClr val="accent1"/>
              </a:solidFill>
              <a:prstDash val="sysDot"/>
              <a:round/>
            </a:ln>
            <a:effectLst/>
          </c:spPr>
          <c:marker>
            <c:symbol val="none"/>
          </c:marker>
          <c:cat>
            <c:numRef>
              <c:f>Sheet1!$A$18:$A$33</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Sheet1!$B$18:$B$33</c:f>
              <c:numCache>
                <c:formatCode>General</c:formatCode>
                <c:ptCount val="16"/>
                <c:pt idx="8">
                  <c:v>0.48615389210522064</c:v>
                </c:pt>
                <c:pt idx="9">
                  <c:v>0.5055448917178309</c:v>
                </c:pt>
                <c:pt idx="10">
                  <c:v>0.36405346379867387</c:v>
                </c:pt>
                <c:pt idx="11">
                  <c:v>0.36357673690353753</c:v>
                </c:pt>
                <c:pt idx="12">
                  <c:v>0.40410409593352209</c:v>
                </c:pt>
                <c:pt idx="13">
                  <c:v>0.40763138716963149</c:v>
                </c:pt>
                <c:pt idx="14">
                  <c:v>0.52580102378633542</c:v>
                </c:pt>
                <c:pt idx="15">
                  <c:v>0.5848315553886525</c:v>
                </c:pt>
              </c:numCache>
            </c:numRef>
          </c:val>
          <c:smooth val="0"/>
          <c:extLst>
            <c:ext xmlns:c16="http://schemas.microsoft.com/office/drawing/2014/chart" uri="{C3380CC4-5D6E-409C-BE32-E72D297353CC}">
              <c16:uniqueId val="{00000000-6EE1-4E2C-A8A7-C1C28E3DBC06}"/>
            </c:ext>
          </c:extLst>
        </c:ser>
        <c:ser>
          <c:idx val="1"/>
          <c:order val="1"/>
          <c:tx>
            <c:strRef>
              <c:f>Sheet1!$C$17</c:f>
              <c:strCache>
                <c:ptCount val="1"/>
                <c:pt idx="0">
                  <c:v>Healthcare</c:v>
                </c:pt>
              </c:strCache>
            </c:strRef>
          </c:tx>
          <c:spPr>
            <a:ln w="28575" cap="rnd">
              <a:solidFill>
                <a:schemeClr val="accent2"/>
              </a:solidFill>
              <a:prstDash val="dash"/>
              <a:round/>
            </a:ln>
            <a:effectLst/>
          </c:spPr>
          <c:marker>
            <c:symbol val="none"/>
          </c:marker>
          <c:cat>
            <c:numRef>
              <c:f>Sheet1!$A$18:$A$33</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Sheet1!$C$18:$C$33</c:f>
              <c:numCache>
                <c:formatCode>General</c:formatCode>
                <c:ptCount val="16"/>
                <c:pt idx="0">
                  <c:v>0.34920217977935536</c:v>
                </c:pt>
                <c:pt idx="1">
                  <c:v>0.37986778288589207</c:v>
                </c:pt>
                <c:pt idx="2">
                  <c:v>0.33419484818354461</c:v>
                </c:pt>
                <c:pt idx="3">
                  <c:v>0.36178560531915793</c:v>
                </c:pt>
                <c:pt idx="4">
                  <c:v>0.38083274235406978</c:v>
                </c:pt>
                <c:pt idx="5">
                  <c:v>0.45168397312015235</c:v>
                </c:pt>
                <c:pt idx="6">
                  <c:v>0.48010997995621479</c:v>
                </c:pt>
                <c:pt idx="7">
                  <c:v>0.48551770419251983</c:v>
                </c:pt>
                <c:pt idx="8">
                  <c:v>0.49991082108205204</c:v>
                </c:pt>
                <c:pt idx="9">
                  <c:v>0.46779059874808332</c:v>
                </c:pt>
                <c:pt idx="10">
                  <c:v>0.43979133045801688</c:v>
                </c:pt>
                <c:pt idx="11">
                  <c:v>0.43462167297193521</c:v>
                </c:pt>
                <c:pt idx="12">
                  <c:v>0.39614248565408849</c:v>
                </c:pt>
                <c:pt idx="13">
                  <c:v>0.40791432682459994</c:v>
                </c:pt>
                <c:pt idx="14">
                  <c:v>0.4179486991264903</c:v>
                </c:pt>
                <c:pt idx="15">
                  <c:v>0.42688145724679888</c:v>
                </c:pt>
              </c:numCache>
            </c:numRef>
          </c:val>
          <c:smooth val="0"/>
          <c:extLst>
            <c:ext xmlns:c16="http://schemas.microsoft.com/office/drawing/2014/chart" uri="{C3380CC4-5D6E-409C-BE32-E72D297353CC}">
              <c16:uniqueId val="{00000001-6EE1-4E2C-A8A7-C1C28E3DBC06}"/>
            </c:ext>
          </c:extLst>
        </c:ser>
        <c:ser>
          <c:idx val="2"/>
          <c:order val="2"/>
          <c:tx>
            <c:strRef>
              <c:f>Sheet1!$D$17</c:f>
              <c:strCache>
                <c:ptCount val="1"/>
                <c:pt idx="0">
                  <c:v>Finance</c:v>
                </c:pt>
              </c:strCache>
            </c:strRef>
          </c:tx>
          <c:spPr>
            <a:ln w="28575" cap="rnd">
              <a:solidFill>
                <a:schemeClr val="accent3"/>
              </a:solidFill>
              <a:round/>
            </a:ln>
            <a:effectLst/>
          </c:spPr>
          <c:marker>
            <c:symbol val="none"/>
          </c:marker>
          <c:cat>
            <c:numRef>
              <c:f>Sheet1!$A$18:$A$33</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Sheet1!$D$18:$D$33</c:f>
              <c:numCache>
                <c:formatCode>General</c:formatCode>
                <c:ptCount val="16"/>
                <c:pt idx="0">
                  <c:v>0.3189879007793569</c:v>
                </c:pt>
                <c:pt idx="1">
                  <c:v>0.37294309695587979</c:v>
                </c:pt>
                <c:pt idx="2">
                  <c:v>0.41553033777325549</c:v>
                </c:pt>
                <c:pt idx="3">
                  <c:v>0.98997163212371875</c:v>
                </c:pt>
                <c:pt idx="4">
                  <c:v>1.2939318645511229</c:v>
                </c:pt>
                <c:pt idx="5">
                  <c:v>0.8987874861165609</c:v>
                </c:pt>
                <c:pt idx="6">
                  <c:v>0.61480225856088211</c:v>
                </c:pt>
                <c:pt idx="7">
                  <c:v>0.53042648622249489</c:v>
                </c:pt>
                <c:pt idx="8">
                  <c:v>0.57511484022628334</c:v>
                </c:pt>
                <c:pt idx="9">
                  <c:v>0.76033265867562883</c:v>
                </c:pt>
                <c:pt idx="10">
                  <c:v>0.42505083678807259</c:v>
                </c:pt>
                <c:pt idx="11">
                  <c:v>0.39978971332286445</c:v>
                </c:pt>
                <c:pt idx="12">
                  <c:v>0.34999998928503251</c:v>
                </c:pt>
                <c:pt idx="13">
                  <c:v>0.36125438752947125</c:v>
                </c:pt>
                <c:pt idx="14">
                  <c:v>0.56487127815030791</c:v>
                </c:pt>
                <c:pt idx="15">
                  <c:v>0.53767269284686914</c:v>
                </c:pt>
              </c:numCache>
            </c:numRef>
          </c:val>
          <c:smooth val="0"/>
          <c:extLst>
            <c:ext xmlns:c16="http://schemas.microsoft.com/office/drawing/2014/chart" uri="{C3380CC4-5D6E-409C-BE32-E72D297353CC}">
              <c16:uniqueId val="{00000002-6EE1-4E2C-A8A7-C1C28E3DBC06}"/>
            </c:ext>
          </c:extLst>
        </c:ser>
        <c:dLbls>
          <c:showLegendKey val="0"/>
          <c:showVal val="0"/>
          <c:showCatName val="0"/>
          <c:showSerName val="0"/>
          <c:showPercent val="0"/>
          <c:showBubbleSize val="0"/>
        </c:dLbls>
        <c:smooth val="0"/>
        <c:axId val="869374528"/>
        <c:axId val="876033808"/>
      </c:lineChart>
      <c:catAx>
        <c:axId val="869374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6033808"/>
        <c:crosses val="autoZero"/>
        <c:auto val="1"/>
        <c:lblAlgn val="ctr"/>
        <c:lblOffset val="100"/>
        <c:noMultiLvlLbl val="0"/>
      </c:catAx>
      <c:valAx>
        <c:axId val="87603380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9374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Fig. 2</a:t>
            </a:r>
            <a:r>
              <a:rPr lang="en-GB" sz="1200">
                <a:latin typeface="Times New Roman" panose="02020603050405020304" pitchFamily="18" charset="0"/>
                <a:cs typeface="Times New Roman" panose="02020603050405020304" pitchFamily="18" charset="0"/>
              </a:rPr>
              <a:t>.1a Rolling Tail Betas of</a:t>
            </a:r>
            <a:r>
              <a:rPr lang="en-GB" sz="1200" baseline="0">
                <a:latin typeface="Times New Roman" panose="02020603050405020304" pitchFamily="18" charset="0"/>
                <a:cs typeface="Times New Roman" panose="02020603050405020304" pitchFamily="18" charset="0"/>
              </a:rPr>
              <a:t> ESG ETFs Conditional Upon Certain Country Level ETFs</a:t>
            </a:r>
            <a:endParaRPr lang="en-GB"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Sheet1!$B$3</c:f>
              <c:strCache>
                <c:ptCount val="1"/>
                <c:pt idx="0">
                  <c:v>FTSE All-World ETF</c:v>
                </c:pt>
              </c:strCache>
            </c:strRef>
          </c:tx>
          <c:spPr>
            <a:ln w="28575" cap="rnd">
              <a:solidFill>
                <a:schemeClr val="accent1"/>
              </a:solidFill>
              <a:prstDash val="sysDot"/>
              <a:round/>
            </a:ln>
            <a:effectLst/>
          </c:spPr>
          <c:marker>
            <c:symbol val="none"/>
          </c:marker>
          <c:cat>
            <c:numRef>
              <c:f>Sheet1!$A$4:$A$11</c:f>
              <c:numCache>
                <c:formatCode>General</c:formatCode>
                <c:ptCount val="8"/>
                <c:pt idx="0">
                  <c:v>2015</c:v>
                </c:pt>
                <c:pt idx="1">
                  <c:v>2016</c:v>
                </c:pt>
                <c:pt idx="2">
                  <c:v>2017</c:v>
                </c:pt>
                <c:pt idx="3">
                  <c:v>2018</c:v>
                </c:pt>
                <c:pt idx="4">
                  <c:v>2019</c:v>
                </c:pt>
                <c:pt idx="5">
                  <c:v>2020</c:v>
                </c:pt>
                <c:pt idx="6">
                  <c:v>2021</c:v>
                </c:pt>
                <c:pt idx="7">
                  <c:v>2022</c:v>
                </c:pt>
              </c:numCache>
            </c:numRef>
          </c:cat>
          <c:val>
            <c:numRef>
              <c:f>Sheet1!$B$4:$B$11</c:f>
              <c:numCache>
                <c:formatCode>General</c:formatCode>
                <c:ptCount val="8"/>
                <c:pt idx="0">
                  <c:v>0.54299239628238238</c:v>
                </c:pt>
                <c:pt idx="1">
                  <c:v>0.39108680586473249</c:v>
                </c:pt>
                <c:pt idx="2">
                  <c:v>0.26724112397459598</c:v>
                </c:pt>
                <c:pt idx="3">
                  <c:v>0.26340895857474333</c:v>
                </c:pt>
                <c:pt idx="4">
                  <c:v>0.3348896430585509</c:v>
                </c:pt>
                <c:pt idx="5">
                  <c:v>0.27049976282987381</c:v>
                </c:pt>
                <c:pt idx="6">
                  <c:v>0.23717202832420892</c:v>
                </c:pt>
                <c:pt idx="7">
                  <c:v>0.309765400631549</c:v>
                </c:pt>
              </c:numCache>
            </c:numRef>
          </c:val>
          <c:smooth val="0"/>
          <c:extLst>
            <c:ext xmlns:c16="http://schemas.microsoft.com/office/drawing/2014/chart" uri="{C3380CC4-5D6E-409C-BE32-E72D297353CC}">
              <c16:uniqueId val="{00000000-CD88-47E6-A6F2-FC1F010E8474}"/>
            </c:ext>
          </c:extLst>
        </c:ser>
        <c:ser>
          <c:idx val="1"/>
          <c:order val="1"/>
          <c:tx>
            <c:strRef>
              <c:f>Sheet1!$C$3</c:f>
              <c:strCache>
                <c:ptCount val="1"/>
                <c:pt idx="0">
                  <c:v>EZU iShares MSCI Eurozone ETF</c:v>
                </c:pt>
              </c:strCache>
            </c:strRef>
          </c:tx>
          <c:spPr>
            <a:ln w="28575" cap="rnd">
              <a:solidFill>
                <a:schemeClr val="accent2"/>
              </a:solidFill>
              <a:prstDash val="sysDash"/>
              <a:round/>
            </a:ln>
            <a:effectLst/>
          </c:spPr>
          <c:marker>
            <c:symbol val="none"/>
          </c:marker>
          <c:cat>
            <c:numRef>
              <c:f>Sheet1!$A$4:$A$11</c:f>
              <c:numCache>
                <c:formatCode>General</c:formatCode>
                <c:ptCount val="8"/>
                <c:pt idx="0">
                  <c:v>2015</c:v>
                </c:pt>
                <c:pt idx="1">
                  <c:v>2016</c:v>
                </c:pt>
                <c:pt idx="2">
                  <c:v>2017</c:v>
                </c:pt>
                <c:pt idx="3">
                  <c:v>2018</c:v>
                </c:pt>
                <c:pt idx="4">
                  <c:v>2019</c:v>
                </c:pt>
                <c:pt idx="5">
                  <c:v>2020</c:v>
                </c:pt>
                <c:pt idx="6">
                  <c:v>2021</c:v>
                </c:pt>
                <c:pt idx="7">
                  <c:v>2022</c:v>
                </c:pt>
              </c:numCache>
            </c:numRef>
          </c:cat>
          <c:val>
            <c:numRef>
              <c:f>Sheet1!$C$4:$C$11</c:f>
              <c:numCache>
                <c:formatCode>General</c:formatCode>
                <c:ptCount val="8"/>
                <c:pt idx="0">
                  <c:v>0.55852139261433897</c:v>
                </c:pt>
                <c:pt idx="1">
                  <c:v>0.40687885068874952</c:v>
                </c:pt>
                <c:pt idx="2">
                  <c:v>0.25942506020140066</c:v>
                </c:pt>
                <c:pt idx="3">
                  <c:v>0.28815615704302283</c:v>
                </c:pt>
                <c:pt idx="4">
                  <c:v>0.37876220990971549</c:v>
                </c:pt>
                <c:pt idx="5">
                  <c:v>0.35202988242802646</c:v>
                </c:pt>
                <c:pt idx="6">
                  <c:v>0.25903401437051821</c:v>
                </c:pt>
                <c:pt idx="7">
                  <c:v>0.29625117701667342</c:v>
                </c:pt>
              </c:numCache>
            </c:numRef>
          </c:val>
          <c:smooth val="0"/>
          <c:extLst>
            <c:ext xmlns:c16="http://schemas.microsoft.com/office/drawing/2014/chart" uri="{C3380CC4-5D6E-409C-BE32-E72D297353CC}">
              <c16:uniqueId val="{00000001-CD88-47E6-A6F2-FC1F010E8474}"/>
            </c:ext>
          </c:extLst>
        </c:ser>
        <c:ser>
          <c:idx val="2"/>
          <c:order val="2"/>
          <c:tx>
            <c:strRef>
              <c:f>Sheet1!$D$3</c:f>
              <c:strCache>
                <c:ptCount val="1"/>
                <c:pt idx="0">
                  <c:v>MCHI iShares MSCI China ETF</c:v>
                </c:pt>
              </c:strCache>
            </c:strRef>
          </c:tx>
          <c:spPr>
            <a:ln w="50800" cap="rnd">
              <a:solidFill>
                <a:schemeClr val="accent3"/>
              </a:solidFill>
              <a:round/>
            </a:ln>
            <a:effectLst/>
          </c:spPr>
          <c:marker>
            <c:symbol val="none"/>
          </c:marker>
          <c:cat>
            <c:numRef>
              <c:f>Sheet1!$A$4:$A$11</c:f>
              <c:numCache>
                <c:formatCode>General</c:formatCode>
                <c:ptCount val="8"/>
                <c:pt idx="0">
                  <c:v>2015</c:v>
                </c:pt>
                <c:pt idx="1">
                  <c:v>2016</c:v>
                </c:pt>
                <c:pt idx="2">
                  <c:v>2017</c:v>
                </c:pt>
                <c:pt idx="3">
                  <c:v>2018</c:v>
                </c:pt>
                <c:pt idx="4">
                  <c:v>2019</c:v>
                </c:pt>
                <c:pt idx="5">
                  <c:v>2020</c:v>
                </c:pt>
                <c:pt idx="6">
                  <c:v>2021</c:v>
                </c:pt>
                <c:pt idx="7">
                  <c:v>2022</c:v>
                </c:pt>
              </c:numCache>
            </c:numRef>
          </c:cat>
          <c:val>
            <c:numRef>
              <c:f>Sheet1!$D$4:$D$11</c:f>
              <c:numCache>
                <c:formatCode>General</c:formatCode>
                <c:ptCount val="8"/>
                <c:pt idx="0">
                  <c:v>0.44528080445377055</c:v>
                </c:pt>
                <c:pt idx="1">
                  <c:v>0.37722108641795848</c:v>
                </c:pt>
                <c:pt idx="2">
                  <c:v>0.28405293716634133</c:v>
                </c:pt>
                <c:pt idx="3">
                  <c:v>0.29930276609079132</c:v>
                </c:pt>
                <c:pt idx="4">
                  <c:v>0.38641398214254863</c:v>
                </c:pt>
                <c:pt idx="5">
                  <c:v>0.58614211130256144</c:v>
                </c:pt>
                <c:pt idx="6">
                  <c:v>0.24206072273228613</c:v>
                </c:pt>
                <c:pt idx="7">
                  <c:v>0.28287982475644607</c:v>
                </c:pt>
              </c:numCache>
            </c:numRef>
          </c:val>
          <c:smooth val="0"/>
          <c:extLst>
            <c:ext xmlns:c16="http://schemas.microsoft.com/office/drawing/2014/chart" uri="{C3380CC4-5D6E-409C-BE32-E72D297353CC}">
              <c16:uniqueId val="{00000002-CD88-47E6-A6F2-FC1F010E8474}"/>
            </c:ext>
          </c:extLst>
        </c:ser>
        <c:ser>
          <c:idx val="3"/>
          <c:order val="3"/>
          <c:tx>
            <c:strRef>
              <c:f>Sheet1!$E$3</c:f>
              <c:strCache>
                <c:ptCount val="1"/>
                <c:pt idx="0">
                  <c:v>VOO Vanguard S&amp;P 500 ETF</c:v>
                </c:pt>
              </c:strCache>
            </c:strRef>
          </c:tx>
          <c:spPr>
            <a:ln w="28575" cap="rnd">
              <a:solidFill>
                <a:schemeClr val="accent4"/>
              </a:solidFill>
              <a:prstDash val="lgDashDotDot"/>
              <a:round/>
            </a:ln>
            <a:effectLst/>
          </c:spPr>
          <c:marker>
            <c:symbol val="none"/>
          </c:marker>
          <c:cat>
            <c:numRef>
              <c:f>Sheet1!$A$4:$A$11</c:f>
              <c:numCache>
                <c:formatCode>General</c:formatCode>
                <c:ptCount val="8"/>
                <c:pt idx="0">
                  <c:v>2015</c:v>
                </c:pt>
                <c:pt idx="1">
                  <c:v>2016</c:v>
                </c:pt>
                <c:pt idx="2">
                  <c:v>2017</c:v>
                </c:pt>
                <c:pt idx="3">
                  <c:v>2018</c:v>
                </c:pt>
                <c:pt idx="4">
                  <c:v>2019</c:v>
                </c:pt>
                <c:pt idx="5">
                  <c:v>2020</c:v>
                </c:pt>
                <c:pt idx="6">
                  <c:v>2021</c:v>
                </c:pt>
                <c:pt idx="7">
                  <c:v>2022</c:v>
                </c:pt>
              </c:numCache>
            </c:numRef>
          </c:cat>
          <c:val>
            <c:numRef>
              <c:f>Sheet1!$E$4:$E$11</c:f>
              <c:numCache>
                <c:formatCode>General</c:formatCode>
                <c:ptCount val="8"/>
                <c:pt idx="0">
                  <c:v>0.18581528383573498</c:v>
                </c:pt>
                <c:pt idx="1">
                  <c:v>0.26181840692580149</c:v>
                </c:pt>
                <c:pt idx="2">
                  <c:v>0.24974305932607024</c:v>
                </c:pt>
                <c:pt idx="3">
                  <c:v>0.24701424036261352</c:v>
                </c:pt>
                <c:pt idx="4">
                  <c:v>0.31015914099008185</c:v>
                </c:pt>
                <c:pt idx="5">
                  <c:v>0.24083575211371153</c:v>
                </c:pt>
                <c:pt idx="6">
                  <c:v>0.26187417184241152</c:v>
                </c:pt>
                <c:pt idx="7">
                  <c:v>0.33302048789459465</c:v>
                </c:pt>
              </c:numCache>
            </c:numRef>
          </c:val>
          <c:smooth val="0"/>
          <c:extLst>
            <c:ext xmlns:c16="http://schemas.microsoft.com/office/drawing/2014/chart" uri="{C3380CC4-5D6E-409C-BE32-E72D297353CC}">
              <c16:uniqueId val="{00000003-CD88-47E6-A6F2-FC1F010E8474}"/>
            </c:ext>
          </c:extLst>
        </c:ser>
        <c:dLbls>
          <c:showLegendKey val="0"/>
          <c:showVal val="0"/>
          <c:showCatName val="0"/>
          <c:showSerName val="0"/>
          <c:showPercent val="0"/>
          <c:showBubbleSize val="0"/>
        </c:dLbls>
        <c:smooth val="0"/>
        <c:axId val="1407066400"/>
        <c:axId val="1407078048"/>
      </c:lineChart>
      <c:catAx>
        <c:axId val="140706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7078048"/>
        <c:crosses val="autoZero"/>
        <c:auto val="1"/>
        <c:lblAlgn val="ctr"/>
        <c:lblOffset val="100"/>
        <c:noMultiLvlLbl val="0"/>
      </c:catAx>
      <c:valAx>
        <c:axId val="1407078048"/>
        <c:scaling>
          <c:orientation val="minMax"/>
          <c:max val="0.60000000000000009"/>
          <c:min val="0.1"/>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7066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u="none" strike="noStrike" kern="1200" spc="0" baseline="0">
                <a:solidFill>
                  <a:sysClr val="windowText" lastClr="000000">
                    <a:lumMod val="65000"/>
                    <a:lumOff val="35000"/>
                  </a:sysClr>
                </a:solidFill>
                <a:effectLst/>
                <a:latin typeface="Times New Roman" panose="02020603050405020304" pitchFamily="18" charset="0"/>
                <a:ea typeface="+mn-ea"/>
                <a:cs typeface="Times New Roman" panose="02020603050405020304" pitchFamily="18" charset="0"/>
              </a:rPr>
              <a:t>Fig. 2</a:t>
            </a:r>
            <a:r>
              <a:rPr lang="en-US" sz="1200" b="0" i="0" u="none" strike="noStrike" baseline="0">
                <a:effectLst/>
                <a:latin typeface="Times New Roman" panose="02020603050405020304" pitchFamily="18" charset="0"/>
                <a:cs typeface="Times New Roman" panose="02020603050405020304" pitchFamily="18" charset="0"/>
              </a:rPr>
              <a:t>.1b </a:t>
            </a:r>
            <a:r>
              <a:rPr lang="en-GB" sz="1200" b="0" i="0" baseline="0">
                <a:effectLst/>
                <a:latin typeface="Times New Roman" panose="02020603050405020304" pitchFamily="18" charset="0"/>
                <a:cs typeface="Times New Roman" panose="02020603050405020304" pitchFamily="18" charset="0"/>
              </a:rPr>
              <a:t>Rolling Tail Betas of ESG ETFs Conditional Upon Certain ETFs</a:t>
            </a:r>
            <a:endParaRPr lang="en-GB" sz="12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Sheet1!$F$3</c:f>
              <c:strCache>
                <c:ptCount val="1"/>
                <c:pt idx="0">
                  <c:v>VTI Vanguard Total Stock Market ETF</c:v>
                </c:pt>
              </c:strCache>
            </c:strRef>
          </c:tx>
          <c:spPr>
            <a:ln w="28575" cap="rnd">
              <a:solidFill>
                <a:schemeClr val="accent1"/>
              </a:solidFill>
              <a:prstDash val="sysDot"/>
              <a:round/>
            </a:ln>
            <a:effectLst/>
          </c:spPr>
          <c:marker>
            <c:symbol val="none"/>
          </c:marker>
          <c:cat>
            <c:numRef>
              <c:f>Sheet1!$A$4:$A$11</c:f>
              <c:numCache>
                <c:formatCode>General</c:formatCode>
                <c:ptCount val="8"/>
                <c:pt idx="0">
                  <c:v>2015</c:v>
                </c:pt>
                <c:pt idx="1">
                  <c:v>2016</c:v>
                </c:pt>
                <c:pt idx="2">
                  <c:v>2017</c:v>
                </c:pt>
                <c:pt idx="3">
                  <c:v>2018</c:v>
                </c:pt>
                <c:pt idx="4">
                  <c:v>2019</c:v>
                </c:pt>
                <c:pt idx="5">
                  <c:v>2020</c:v>
                </c:pt>
                <c:pt idx="6">
                  <c:v>2021</c:v>
                </c:pt>
                <c:pt idx="7">
                  <c:v>2022</c:v>
                </c:pt>
              </c:numCache>
            </c:numRef>
          </c:cat>
          <c:val>
            <c:numRef>
              <c:f>Sheet1!$F$4:$F$11</c:f>
              <c:numCache>
                <c:formatCode>General</c:formatCode>
                <c:ptCount val="8"/>
                <c:pt idx="0">
                  <c:v>0.13201927552981821</c:v>
                </c:pt>
                <c:pt idx="1">
                  <c:v>0.14209470314023184</c:v>
                </c:pt>
                <c:pt idx="2">
                  <c:v>0.16420204516967299</c:v>
                </c:pt>
                <c:pt idx="3">
                  <c:v>0.31584277624136192</c:v>
                </c:pt>
                <c:pt idx="4">
                  <c:v>0.45820220993606969</c:v>
                </c:pt>
                <c:pt idx="5">
                  <c:v>0.65197163337691533</c:v>
                </c:pt>
                <c:pt idx="6">
                  <c:v>0.38717197834212114</c:v>
                </c:pt>
                <c:pt idx="7">
                  <c:v>0.36112051253241162</c:v>
                </c:pt>
              </c:numCache>
            </c:numRef>
          </c:val>
          <c:smooth val="0"/>
          <c:extLst>
            <c:ext xmlns:c16="http://schemas.microsoft.com/office/drawing/2014/chart" uri="{C3380CC4-5D6E-409C-BE32-E72D297353CC}">
              <c16:uniqueId val="{00000000-47D9-4E0C-A451-844A8B6F2CBF}"/>
            </c:ext>
          </c:extLst>
        </c:ser>
        <c:ser>
          <c:idx val="1"/>
          <c:order val="1"/>
          <c:tx>
            <c:strRef>
              <c:f>Sheet1!$G$3</c:f>
              <c:strCache>
                <c:ptCount val="1"/>
                <c:pt idx="0">
                  <c:v>Energy Select Sector SPDR Fund</c:v>
                </c:pt>
              </c:strCache>
            </c:strRef>
          </c:tx>
          <c:spPr>
            <a:ln w="28575" cap="rnd">
              <a:solidFill>
                <a:schemeClr val="accent2"/>
              </a:solidFill>
              <a:prstDash val="dash"/>
              <a:round/>
            </a:ln>
            <a:effectLst/>
          </c:spPr>
          <c:marker>
            <c:symbol val="none"/>
          </c:marker>
          <c:cat>
            <c:numRef>
              <c:f>Sheet1!$A$4:$A$11</c:f>
              <c:numCache>
                <c:formatCode>General</c:formatCode>
                <c:ptCount val="8"/>
                <c:pt idx="0">
                  <c:v>2015</c:v>
                </c:pt>
                <c:pt idx="1">
                  <c:v>2016</c:v>
                </c:pt>
                <c:pt idx="2">
                  <c:v>2017</c:v>
                </c:pt>
                <c:pt idx="3">
                  <c:v>2018</c:v>
                </c:pt>
                <c:pt idx="4">
                  <c:v>2019</c:v>
                </c:pt>
                <c:pt idx="5">
                  <c:v>2020</c:v>
                </c:pt>
                <c:pt idx="6">
                  <c:v>2021</c:v>
                </c:pt>
                <c:pt idx="7">
                  <c:v>2022</c:v>
                </c:pt>
              </c:numCache>
            </c:numRef>
          </c:cat>
          <c:val>
            <c:numRef>
              <c:f>Sheet1!$G$4:$G$11</c:f>
              <c:numCache>
                <c:formatCode>General</c:formatCode>
                <c:ptCount val="8"/>
                <c:pt idx="0">
                  <c:v>0.43130383339830397</c:v>
                </c:pt>
                <c:pt idx="1">
                  <c:v>0.29683064022809907</c:v>
                </c:pt>
                <c:pt idx="2">
                  <c:v>0.33482395051753838</c:v>
                </c:pt>
                <c:pt idx="3">
                  <c:v>0.31247829189586895</c:v>
                </c:pt>
                <c:pt idx="4">
                  <c:v>0.20432802689337087</c:v>
                </c:pt>
                <c:pt idx="5">
                  <c:v>0.1377750319506581</c:v>
                </c:pt>
                <c:pt idx="6">
                  <c:v>0.15060956429088806</c:v>
                </c:pt>
                <c:pt idx="7">
                  <c:v>0.11135131397069413</c:v>
                </c:pt>
              </c:numCache>
            </c:numRef>
          </c:val>
          <c:smooth val="0"/>
          <c:extLst>
            <c:ext xmlns:c16="http://schemas.microsoft.com/office/drawing/2014/chart" uri="{C3380CC4-5D6E-409C-BE32-E72D297353CC}">
              <c16:uniqueId val="{00000001-47D9-4E0C-A451-844A8B6F2CBF}"/>
            </c:ext>
          </c:extLst>
        </c:ser>
        <c:ser>
          <c:idx val="2"/>
          <c:order val="2"/>
          <c:tx>
            <c:strRef>
              <c:f>Sheet1!$H$3</c:f>
              <c:strCache>
                <c:ptCount val="1"/>
                <c:pt idx="0">
                  <c:v>Green energy First Trust NASDAQ</c:v>
                </c:pt>
              </c:strCache>
            </c:strRef>
          </c:tx>
          <c:spPr>
            <a:ln w="50800" cap="rnd">
              <a:solidFill>
                <a:schemeClr val="accent3"/>
              </a:solidFill>
              <a:round/>
            </a:ln>
            <a:effectLst/>
          </c:spPr>
          <c:marker>
            <c:symbol val="none"/>
          </c:marker>
          <c:cat>
            <c:numRef>
              <c:f>Sheet1!$A$4:$A$11</c:f>
              <c:numCache>
                <c:formatCode>General</c:formatCode>
                <c:ptCount val="8"/>
                <c:pt idx="0">
                  <c:v>2015</c:v>
                </c:pt>
                <c:pt idx="1">
                  <c:v>2016</c:v>
                </c:pt>
                <c:pt idx="2">
                  <c:v>2017</c:v>
                </c:pt>
                <c:pt idx="3">
                  <c:v>2018</c:v>
                </c:pt>
                <c:pt idx="4">
                  <c:v>2019</c:v>
                </c:pt>
                <c:pt idx="5">
                  <c:v>2020</c:v>
                </c:pt>
                <c:pt idx="6">
                  <c:v>2021</c:v>
                </c:pt>
                <c:pt idx="7">
                  <c:v>2022</c:v>
                </c:pt>
              </c:numCache>
            </c:numRef>
          </c:cat>
          <c:val>
            <c:numRef>
              <c:f>Sheet1!$H$4:$H$11</c:f>
              <c:numCache>
                <c:formatCode>General</c:formatCode>
                <c:ptCount val="8"/>
                <c:pt idx="0">
                  <c:v>0.33489234248281868</c:v>
                </c:pt>
                <c:pt idx="1">
                  <c:v>0.42976058673931694</c:v>
                </c:pt>
                <c:pt idx="2">
                  <c:v>0.40228559246287593</c:v>
                </c:pt>
                <c:pt idx="3">
                  <c:v>0.35293283259553709</c:v>
                </c:pt>
                <c:pt idx="4">
                  <c:v>0.40355687531537854</c:v>
                </c:pt>
                <c:pt idx="5">
                  <c:v>0.63702896259669362</c:v>
                </c:pt>
                <c:pt idx="6">
                  <c:v>0.25717949401620305</c:v>
                </c:pt>
                <c:pt idx="7">
                  <c:v>0.32095078095743607</c:v>
                </c:pt>
              </c:numCache>
            </c:numRef>
          </c:val>
          <c:smooth val="0"/>
          <c:extLst>
            <c:ext xmlns:c16="http://schemas.microsoft.com/office/drawing/2014/chart" uri="{C3380CC4-5D6E-409C-BE32-E72D297353CC}">
              <c16:uniqueId val="{00000002-47D9-4E0C-A451-844A8B6F2CBF}"/>
            </c:ext>
          </c:extLst>
        </c:ser>
        <c:ser>
          <c:idx val="3"/>
          <c:order val="3"/>
          <c:tx>
            <c:strRef>
              <c:f>Sheet1!$I$3</c:f>
              <c:strCache>
                <c:ptCount val="1"/>
                <c:pt idx="0">
                  <c:v>iShares Core U S  Aggregate Bon</c:v>
                </c:pt>
              </c:strCache>
            </c:strRef>
          </c:tx>
          <c:spPr>
            <a:ln w="28575" cap="rnd">
              <a:solidFill>
                <a:schemeClr val="accent4"/>
              </a:solidFill>
              <a:prstDash val="lgDashDotDot"/>
              <a:round/>
            </a:ln>
            <a:effectLst/>
          </c:spPr>
          <c:marker>
            <c:symbol val="none"/>
          </c:marker>
          <c:cat>
            <c:numRef>
              <c:f>Sheet1!$A$4:$A$11</c:f>
              <c:numCache>
                <c:formatCode>General</c:formatCode>
                <c:ptCount val="8"/>
                <c:pt idx="0">
                  <c:v>2015</c:v>
                </c:pt>
                <c:pt idx="1">
                  <c:v>2016</c:v>
                </c:pt>
                <c:pt idx="2">
                  <c:v>2017</c:v>
                </c:pt>
                <c:pt idx="3">
                  <c:v>2018</c:v>
                </c:pt>
                <c:pt idx="4">
                  <c:v>2019</c:v>
                </c:pt>
                <c:pt idx="5">
                  <c:v>2020</c:v>
                </c:pt>
                <c:pt idx="6">
                  <c:v>2021</c:v>
                </c:pt>
                <c:pt idx="7">
                  <c:v>2022</c:v>
                </c:pt>
              </c:numCache>
            </c:numRef>
          </c:cat>
          <c:val>
            <c:numRef>
              <c:f>Sheet1!$I$4:$I$11</c:f>
              <c:numCache>
                <c:formatCode>General</c:formatCode>
                <c:ptCount val="8"/>
                <c:pt idx="0">
                  <c:v>0.23315276705431756</c:v>
                </c:pt>
                <c:pt idx="1">
                  <c:v>0.23279965959316398</c:v>
                </c:pt>
                <c:pt idx="2">
                  <c:v>0.26298061099341175</c:v>
                </c:pt>
                <c:pt idx="3">
                  <c:v>0.16005480055250235</c:v>
                </c:pt>
                <c:pt idx="4">
                  <c:v>0.14626195690830213</c:v>
                </c:pt>
                <c:pt idx="5">
                  <c:v>0.15474359375770552</c:v>
                </c:pt>
                <c:pt idx="6">
                  <c:v>0.19501075240954924</c:v>
                </c:pt>
                <c:pt idx="7">
                  <c:v>0.17702276863099756</c:v>
                </c:pt>
              </c:numCache>
            </c:numRef>
          </c:val>
          <c:smooth val="0"/>
          <c:extLst>
            <c:ext xmlns:c16="http://schemas.microsoft.com/office/drawing/2014/chart" uri="{C3380CC4-5D6E-409C-BE32-E72D297353CC}">
              <c16:uniqueId val="{00000003-47D9-4E0C-A451-844A8B6F2CBF}"/>
            </c:ext>
          </c:extLst>
        </c:ser>
        <c:dLbls>
          <c:showLegendKey val="0"/>
          <c:showVal val="0"/>
          <c:showCatName val="0"/>
          <c:showSerName val="0"/>
          <c:showPercent val="0"/>
          <c:showBubbleSize val="0"/>
        </c:dLbls>
        <c:smooth val="0"/>
        <c:axId val="874207568"/>
        <c:axId val="874200496"/>
      </c:lineChart>
      <c:catAx>
        <c:axId val="874207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4200496"/>
        <c:crosses val="autoZero"/>
        <c:auto val="1"/>
        <c:lblAlgn val="ctr"/>
        <c:lblOffset val="100"/>
        <c:noMultiLvlLbl val="0"/>
      </c:catAx>
      <c:valAx>
        <c:axId val="87420049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4207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u="none" strike="noStrike" kern="1200" spc="0" baseline="0">
                <a:solidFill>
                  <a:sysClr val="windowText" lastClr="000000">
                    <a:lumMod val="65000"/>
                    <a:lumOff val="35000"/>
                  </a:sysClr>
                </a:solidFill>
                <a:effectLst/>
                <a:latin typeface="Times New Roman" panose="02020603050405020304" pitchFamily="18" charset="0"/>
                <a:ea typeface="+mn-ea"/>
                <a:cs typeface="Times New Roman" panose="02020603050405020304" pitchFamily="18" charset="0"/>
              </a:rPr>
              <a:t>Fig. 2</a:t>
            </a:r>
            <a:r>
              <a:rPr lang="en-US" sz="1200" b="0" i="0" u="none" strike="noStrike" baseline="0">
                <a:effectLst/>
                <a:latin typeface="Times New Roman" panose="02020603050405020304" pitchFamily="18" charset="0"/>
                <a:cs typeface="Times New Roman" panose="02020603050405020304" pitchFamily="18" charset="0"/>
              </a:rPr>
              <a:t>.2a </a:t>
            </a:r>
            <a:r>
              <a:rPr lang="en-GB" sz="1200">
                <a:latin typeface="Times New Roman" panose="02020603050405020304" pitchFamily="18" charset="0"/>
                <a:cs typeface="Times New Roman" panose="02020603050405020304" pitchFamily="18" charset="0"/>
              </a:rPr>
              <a:t>Rolling Tail Betas</a:t>
            </a:r>
            <a:r>
              <a:rPr lang="en-GB" sz="1200" baseline="0">
                <a:latin typeface="Times New Roman" panose="02020603050405020304" pitchFamily="18" charset="0"/>
                <a:cs typeface="Times New Roman" panose="02020603050405020304" pitchFamily="18" charset="0"/>
              </a:rPr>
              <a:t> of Healthcare ETFs Conditional Upon Certain Country Level ETFs </a:t>
            </a:r>
            <a:endParaRPr lang="en-GB"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FTSE All-World ETF</c:v>
                </c:pt>
              </c:strCache>
            </c:strRef>
          </c:tx>
          <c:spPr>
            <a:ln w="28575" cap="rnd">
              <a:solidFill>
                <a:schemeClr val="accent1"/>
              </a:solidFill>
              <a:prstDash val="sysDot"/>
              <a:round/>
            </a:ln>
            <a:effectLst/>
          </c:spPr>
          <c:marker>
            <c:symbol val="none"/>
          </c:marker>
          <c:cat>
            <c:numRef>
              <c:f>Sheet1!$A$2:$A$17</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Sheet1!$B$2:$B$17</c:f>
              <c:numCache>
                <c:formatCode>General</c:formatCode>
                <c:ptCount val="16"/>
                <c:pt idx="0">
                  <c:v>9.6675800031018971E-2</c:v>
                </c:pt>
                <c:pt idx="1">
                  <c:v>9.358033005119662E-2</c:v>
                </c:pt>
                <c:pt idx="2">
                  <c:v>8.0201726553785491E-2</c:v>
                </c:pt>
                <c:pt idx="3">
                  <c:v>0.31410175746766389</c:v>
                </c:pt>
                <c:pt idx="4">
                  <c:v>0.47263038664971913</c:v>
                </c:pt>
                <c:pt idx="5">
                  <c:v>0.49206982106157282</c:v>
                </c:pt>
                <c:pt idx="6">
                  <c:v>0.51283580848684585</c:v>
                </c:pt>
                <c:pt idx="7">
                  <c:v>0.51902552175357619</c:v>
                </c:pt>
                <c:pt idx="8">
                  <c:v>0.52602084300186913</c:v>
                </c:pt>
                <c:pt idx="9">
                  <c:v>0.57569010981640867</c:v>
                </c:pt>
                <c:pt idx="10">
                  <c:v>0.26011409326105095</c:v>
                </c:pt>
                <c:pt idx="11">
                  <c:v>0.33190792313004691</c:v>
                </c:pt>
                <c:pt idx="12">
                  <c:v>0.44697080188259741</c:v>
                </c:pt>
                <c:pt idx="13">
                  <c:v>0.14020467402767892</c:v>
                </c:pt>
                <c:pt idx="14">
                  <c:v>0.21421374547930783</c:v>
                </c:pt>
                <c:pt idx="15">
                  <c:v>0.37744327201716499</c:v>
                </c:pt>
              </c:numCache>
            </c:numRef>
          </c:val>
          <c:smooth val="0"/>
          <c:extLst>
            <c:ext xmlns:c16="http://schemas.microsoft.com/office/drawing/2014/chart" uri="{C3380CC4-5D6E-409C-BE32-E72D297353CC}">
              <c16:uniqueId val="{00000000-7193-4069-93CA-C5C30DE2CA63}"/>
            </c:ext>
          </c:extLst>
        </c:ser>
        <c:ser>
          <c:idx val="1"/>
          <c:order val="1"/>
          <c:tx>
            <c:strRef>
              <c:f>Sheet1!$C$1</c:f>
              <c:strCache>
                <c:ptCount val="1"/>
                <c:pt idx="0">
                  <c:v>EZU iShares MSCI Eurozone ETF</c:v>
                </c:pt>
              </c:strCache>
            </c:strRef>
          </c:tx>
          <c:spPr>
            <a:ln w="28575" cap="rnd">
              <a:solidFill>
                <a:schemeClr val="accent2"/>
              </a:solidFill>
              <a:prstDash val="dash"/>
              <a:round/>
            </a:ln>
            <a:effectLst/>
          </c:spPr>
          <c:marker>
            <c:symbol val="none"/>
          </c:marker>
          <c:cat>
            <c:numRef>
              <c:f>Sheet1!$A$2:$A$17</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Sheet1!$C$2:$C$17</c:f>
              <c:numCache>
                <c:formatCode>General</c:formatCode>
                <c:ptCount val="16"/>
                <c:pt idx="0">
                  <c:v>0.41120323163878614</c:v>
                </c:pt>
                <c:pt idx="1">
                  <c:v>0.52979198713327924</c:v>
                </c:pt>
                <c:pt idx="2">
                  <c:v>0.57643543305521394</c:v>
                </c:pt>
                <c:pt idx="3">
                  <c:v>0.58749170972061082</c:v>
                </c:pt>
                <c:pt idx="4">
                  <c:v>0.38178150458360555</c:v>
                </c:pt>
                <c:pt idx="5">
                  <c:v>0.46177881744608201</c:v>
                </c:pt>
                <c:pt idx="6">
                  <c:v>0.39561670951278188</c:v>
                </c:pt>
                <c:pt idx="7">
                  <c:v>0.38001640867807834</c:v>
                </c:pt>
                <c:pt idx="8">
                  <c:v>0.38790620572090645</c:v>
                </c:pt>
                <c:pt idx="9">
                  <c:v>0.39969275402324644</c:v>
                </c:pt>
                <c:pt idx="10">
                  <c:v>0.19994420585108591</c:v>
                </c:pt>
                <c:pt idx="11">
                  <c:v>0.35033819973638985</c:v>
                </c:pt>
                <c:pt idx="12">
                  <c:v>0.53517367345222455</c:v>
                </c:pt>
                <c:pt idx="13">
                  <c:v>0.32806378043312995</c:v>
                </c:pt>
                <c:pt idx="14">
                  <c:v>0.20561262132384198</c:v>
                </c:pt>
                <c:pt idx="15">
                  <c:v>0.35339079438796578</c:v>
                </c:pt>
              </c:numCache>
            </c:numRef>
          </c:val>
          <c:smooth val="0"/>
          <c:extLst>
            <c:ext xmlns:c16="http://schemas.microsoft.com/office/drawing/2014/chart" uri="{C3380CC4-5D6E-409C-BE32-E72D297353CC}">
              <c16:uniqueId val="{00000001-7193-4069-93CA-C5C30DE2CA63}"/>
            </c:ext>
          </c:extLst>
        </c:ser>
        <c:ser>
          <c:idx val="2"/>
          <c:order val="2"/>
          <c:tx>
            <c:strRef>
              <c:f>Sheet1!$D$1</c:f>
              <c:strCache>
                <c:ptCount val="1"/>
                <c:pt idx="0">
                  <c:v>MCHI iShares MSCI China ETF</c:v>
                </c:pt>
              </c:strCache>
            </c:strRef>
          </c:tx>
          <c:spPr>
            <a:ln w="50800" cap="rnd">
              <a:solidFill>
                <a:schemeClr val="accent3"/>
              </a:solidFill>
              <a:round/>
            </a:ln>
            <a:effectLst/>
          </c:spPr>
          <c:marker>
            <c:symbol val="none"/>
          </c:marker>
          <c:cat>
            <c:numRef>
              <c:f>Sheet1!$A$2:$A$17</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Sheet1!$D$2:$D$17</c:f>
              <c:numCache>
                <c:formatCode>General</c:formatCode>
                <c:ptCount val="16"/>
                <c:pt idx="0">
                  <c:v>9.6675800031018971E-2</c:v>
                </c:pt>
                <c:pt idx="1">
                  <c:v>9.3450494840006143E-2</c:v>
                </c:pt>
                <c:pt idx="2">
                  <c:v>8.0199831880612069E-2</c:v>
                </c:pt>
                <c:pt idx="3">
                  <c:v>0.33439500200317623</c:v>
                </c:pt>
                <c:pt idx="4">
                  <c:v>0.22943894561781464</c:v>
                </c:pt>
                <c:pt idx="5">
                  <c:v>0.14199682705017513</c:v>
                </c:pt>
                <c:pt idx="6">
                  <c:v>0.11835385077032219</c:v>
                </c:pt>
                <c:pt idx="7">
                  <c:v>8.7574853795175947E-2</c:v>
                </c:pt>
                <c:pt idx="8">
                  <c:v>7.4559801617917518E-2</c:v>
                </c:pt>
                <c:pt idx="9">
                  <c:v>9.3320744360543079E-2</c:v>
                </c:pt>
                <c:pt idx="10">
                  <c:v>0.15137373188049918</c:v>
                </c:pt>
                <c:pt idx="11">
                  <c:v>0.27174508731395647</c:v>
                </c:pt>
                <c:pt idx="12">
                  <c:v>0.36802735592037805</c:v>
                </c:pt>
                <c:pt idx="13">
                  <c:v>0.23423861923535744</c:v>
                </c:pt>
                <c:pt idx="14">
                  <c:v>0.27646138578410634</c:v>
                </c:pt>
                <c:pt idx="15">
                  <c:v>0.49028411423933693</c:v>
                </c:pt>
              </c:numCache>
            </c:numRef>
          </c:val>
          <c:smooth val="0"/>
          <c:extLst>
            <c:ext xmlns:c16="http://schemas.microsoft.com/office/drawing/2014/chart" uri="{C3380CC4-5D6E-409C-BE32-E72D297353CC}">
              <c16:uniqueId val="{00000002-7193-4069-93CA-C5C30DE2CA63}"/>
            </c:ext>
          </c:extLst>
        </c:ser>
        <c:ser>
          <c:idx val="3"/>
          <c:order val="3"/>
          <c:tx>
            <c:strRef>
              <c:f>Sheet1!$E$1</c:f>
              <c:strCache>
                <c:ptCount val="1"/>
                <c:pt idx="0">
                  <c:v>VOO Vanguard S&amp;P 500 ETF</c:v>
                </c:pt>
              </c:strCache>
            </c:strRef>
          </c:tx>
          <c:spPr>
            <a:ln w="28575" cap="rnd">
              <a:solidFill>
                <a:schemeClr val="accent4"/>
              </a:solidFill>
              <a:prstDash val="lgDashDotDot"/>
              <a:round/>
            </a:ln>
            <a:effectLst/>
          </c:spPr>
          <c:marker>
            <c:symbol val="none"/>
          </c:marker>
          <c:cat>
            <c:numRef>
              <c:f>Sheet1!$A$2:$A$17</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Sheet1!$E$2:$E$17</c:f>
              <c:numCache>
                <c:formatCode>General</c:formatCode>
                <c:ptCount val="16"/>
                <c:pt idx="0">
                  <c:v>9.6675800031018971E-2</c:v>
                </c:pt>
                <c:pt idx="1">
                  <c:v>9.3450494840006143E-2</c:v>
                </c:pt>
                <c:pt idx="2">
                  <c:v>8.0199831880612069E-2</c:v>
                </c:pt>
                <c:pt idx="3">
                  <c:v>0.33439500200317623</c:v>
                </c:pt>
                <c:pt idx="4">
                  <c:v>0.22943894561781464</c:v>
                </c:pt>
                <c:pt idx="5">
                  <c:v>0.14199682705017513</c:v>
                </c:pt>
                <c:pt idx="6">
                  <c:v>0.11809447727015117</c:v>
                </c:pt>
                <c:pt idx="7">
                  <c:v>0.10268616049001035</c:v>
                </c:pt>
                <c:pt idx="8">
                  <c:v>0.10970630841810623</c:v>
                </c:pt>
                <c:pt idx="9">
                  <c:v>0.13410089939612108</c:v>
                </c:pt>
                <c:pt idx="10">
                  <c:v>0.32086775239332704</c:v>
                </c:pt>
                <c:pt idx="11">
                  <c:v>0.5399872877411287</c:v>
                </c:pt>
                <c:pt idx="12">
                  <c:v>0.62716296241514835</c:v>
                </c:pt>
                <c:pt idx="13">
                  <c:v>0.90510393892549046</c:v>
                </c:pt>
                <c:pt idx="14">
                  <c:v>0.61799369493264633</c:v>
                </c:pt>
                <c:pt idx="15">
                  <c:v>0.39672919216538338</c:v>
                </c:pt>
              </c:numCache>
            </c:numRef>
          </c:val>
          <c:smooth val="0"/>
          <c:extLst>
            <c:ext xmlns:c16="http://schemas.microsoft.com/office/drawing/2014/chart" uri="{C3380CC4-5D6E-409C-BE32-E72D297353CC}">
              <c16:uniqueId val="{00000003-7193-4069-93CA-C5C30DE2CA63}"/>
            </c:ext>
          </c:extLst>
        </c:ser>
        <c:dLbls>
          <c:showLegendKey val="0"/>
          <c:showVal val="0"/>
          <c:showCatName val="0"/>
          <c:showSerName val="0"/>
          <c:showPercent val="0"/>
          <c:showBubbleSize val="0"/>
        </c:dLbls>
        <c:smooth val="0"/>
        <c:axId val="1329993904"/>
        <c:axId val="1330000976"/>
      </c:lineChart>
      <c:catAx>
        <c:axId val="1329993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0000976"/>
        <c:crosses val="autoZero"/>
        <c:auto val="1"/>
        <c:lblAlgn val="ctr"/>
        <c:lblOffset val="100"/>
        <c:noMultiLvlLbl val="0"/>
      </c:catAx>
      <c:valAx>
        <c:axId val="1330000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9993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u="none" strike="noStrike" kern="1200" spc="0" baseline="0">
                <a:solidFill>
                  <a:sysClr val="windowText" lastClr="000000">
                    <a:lumMod val="65000"/>
                    <a:lumOff val="35000"/>
                  </a:sysClr>
                </a:solidFill>
                <a:effectLst/>
                <a:latin typeface="Times New Roman" panose="02020603050405020304" pitchFamily="18" charset="0"/>
                <a:ea typeface="+mn-ea"/>
                <a:cs typeface="Times New Roman" panose="02020603050405020304" pitchFamily="18" charset="0"/>
              </a:rPr>
              <a:t>Fig. 2</a:t>
            </a:r>
            <a:r>
              <a:rPr lang="en-US" sz="1200" b="0" i="0" u="none" strike="noStrike" baseline="0">
                <a:effectLst/>
                <a:latin typeface="Times New Roman" panose="02020603050405020304" pitchFamily="18" charset="0"/>
                <a:cs typeface="Times New Roman" panose="02020603050405020304" pitchFamily="18" charset="0"/>
              </a:rPr>
              <a:t>.2b </a:t>
            </a:r>
            <a:r>
              <a:rPr lang="en-GB" sz="1200">
                <a:latin typeface="Times New Roman" panose="02020603050405020304" pitchFamily="18" charset="0"/>
                <a:cs typeface="Times New Roman" panose="02020603050405020304" pitchFamily="18" charset="0"/>
              </a:rPr>
              <a:t>Rolling Tail Betas of Healthcare ETFs Conditional Upon Certain</a:t>
            </a:r>
            <a:r>
              <a:rPr lang="en-GB" sz="1200" baseline="0">
                <a:latin typeface="Times New Roman" panose="02020603050405020304" pitchFamily="18" charset="0"/>
                <a:cs typeface="Times New Roman" panose="02020603050405020304" pitchFamily="18" charset="0"/>
              </a:rPr>
              <a:t> ETFs</a:t>
            </a:r>
            <a:endParaRPr lang="en-GB"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Sheet1!$F$1</c:f>
              <c:strCache>
                <c:ptCount val="1"/>
                <c:pt idx="0">
                  <c:v>VTI Vanguard Total Stock Market ETF</c:v>
                </c:pt>
              </c:strCache>
            </c:strRef>
          </c:tx>
          <c:spPr>
            <a:ln w="28575" cap="rnd">
              <a:solidFill>
                <a:schemeClr val="accent1"/>
              </a:solidFill>
              <a:prstDash val="sysDot"/>
              <a:round/>
            </a:ln>
            <a:effectLst/>
          </c:spPr>
          <c:marker>
            <c:symbol val="none"/>
          </c:marker>
          <c:cat>
            <c:numRef>
              <c:f>Sheet1!$A$2:$A$17</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Sheet1!$F$2:$F$17</c:f>
              <c:numCache>
                <c:formatCode>General</c:formatCode>
                <c:ptCount val="16"/>
                <c:pt idx="0">
                  <c:v>0.28054052251991957</c:v>
                </c:pt>
                <c:pt idx="1">
                  <c:v>0.39413662596792431</c:v>
                </c:pt>
                <c:pt idx="2">
                  <c:v>0.40888371793447953</c:v>
                </c:pt>
                <c:pt idx="3">
                  <c:v>0.44857930571182908</c:v>
                </c:pt>
                <c:pt idx="4">
                  <c:v>0.48836506935809137</c:v>
                </c:pt>
                <c:pt idx="5">
                  <c:v>0.50416453210910439</c:v>
                </c:pt>
                <c:pt idx="6">
                  <c:v>0.52992545179165118</c:v>
                </c:pt>
                <c:pt idx="7">
                  <c:v>0.53590296514997326</c:v>
                </c:pt>
                <c:pt idx="8">
                  <c:v>0.5455825695063129</c:v>
                </c:pt>
                <c:pt idx="9">
                  <c:v>0.57665300704573963</c:v>
                </c:pt>
                <c:pt idx="10">
                  <c:v>0.56635067568368958</c:v>
                </c:pt>
                <c:pt idx="11">
                  <c:v>0.52712398723271148</c:v>
                </c:pt>
                <c:pt idx="12">
                  <c:v>0.61619041046858702</c:v>
                </c:pt>
                <c:pt idx="13">
                  <c:v>0.90510393892549046</c:v>
                </c:pt>
                <c:pt idx="14">
                  <c:v>0.56690743956986234</c:v>
                </c:pt>
                <c:pt idx="15">
                  <c:v>0.42344558735390625</c:v>
                </c:pt>
              </c:numCache>
            </c:numRef>
          </c:val>
          <c:smooth val="0"/>
          <c:extLst>
            <c:ext xmlns:c16="http://schemas.microsoft.com/office/drawing/2014/chart" uri="{C3380CC4-5D6E-409C-BE32-E72D297353CC}">
              <c16:uniqueId val="{00000000-FDEF-41BE-B9CB-53D5518065B8}"/>
            </c:ext>
          </c:extLst>
        </c:ser>
        <c:ser>
          <c:idx val="1"/>
          <c:order val="1"/>
          <c:tx>
            <c:strRef>
              <c:f>Sheet1!$G$1</c:f>
              <c:strCache>
                <c:ptCount val="1"/>
                <c:pt idx="0">
                  <c:v>Energy Select Sector SPDR Fund</c:v>
                </c:pt>
              </c:strCache>
            </c:strRef>
          </c:tx>
          <c:spPr>
            <a:ln w="28575" cap="rnd">
              <a:solidFill>
                <a:schemeClr val="accent2"/>
              </a:solidFill>
              <a:prstDash val="dash"/>
              <a:round/>
            </a:ln>
            <a:effectLst/>
          </c:spPr>
          <c:marker>
            <c:symbol val="none"/>
          </c:marker>
          <c:cat>
            <c:numRef>
              <c:f>Sheet1!$A$2:$A$17</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Sheet1!$G$2:$G$17</c:f>
              <c:numCache>
                <c:formatCode>General</c:formatCode>
                <c:ptCount val="16"/>
                <c:pt idx="0">
                  <c:v>0.42882622728044845</c:v>
                </c:pt>
                <c:pt idx="1">
                  <c:v>0.52857051718366654</c:v>
                </c:pt>
                <c:pt idx="2">
                  <c:v>0.54157139230916795</c:v>
                </c:pt>
                <c:pt idx="3">
                  <c:v>0.51889045670081479</c:v>
                </c:pt>
                <c:pt idx="4">
                  <c:v>0.21863062677155126</c:v>
                </c:pt>
                <c:pt idx="5">
                  <c:v>0.28048489350247485</c:v>
                </c:pt>
                <c:pt idx="6">
                  <c:v>0.65999094446102868</c:v>
                </c:pt>
                <c:pt idx="7">
                  <c:v>0.64128856051901106</c:v>
                </c:pt>
                <c:pt idx="8">
                  <c:v>0.66033045382538103</c:v>
                </c:pt>
                <c:pt idx="9">
                  <c:v>0.67513658316003844</c:v>
                </c:pt>
                <c:pt idx="10">
                  <c:v>0.74184847091488038</c:v>
                </c:pt>
                <c:pt idx="11">
                  <c:v>0.22190823700136356</c:v>
                </c:pt>
                <c:pt idx="12">
                  <c:v>0.13165717504224295</c:v>
                </c:pt>
                <c:pt idx="13">
                  <c:v>0.11076716426098131</c:v>
                </c:pt>
                <c:pt idx="14">
                  <c:v>0.1474481975668902</c:v>
                </c:pt>
                <c:pt idx="15">
                  <c:v>0.10468816419039853</c:v>
                </c:pt>
              </c:numCache>
            </c:numRef>
          </c:val>
          <c:smooth val="0"/>
          <c:extLst>
            <c:ext xmlns:c16="http://schemas.microsoft.com/office/drawing/2014/chart" uri="{C3380CC4-5D6E-409C-BE32-E72D297353CC}">
              <c16:uniqueId val="{00000001-FDEF-41BE-B9CB-53D5518065B8}"/>
            </c:ext>
          </c:extLst>
        </c:ser>
        <c:ser>
          <c:idx val="2"/>
          <c:order val="2"/>
          <c:tx>
            <c:strRef>
              <c:f>Sheet1!$H$1</c:f>
              <c:strCache>
                <c:ptCount val="1"/>
                <c:pt idx="0">
                  <c:v>Green energy First Trust NASDAQ</c:v>
                </c:pt>
              </c:strCache>
            </c:strRef>
          </c:tx>
          <c:spPr>
            <a:ln w="50800" cap="rnd">
              <a:solidFill>
                <a:schemeClr val="accent3"/>
              </a:solidFill>
              <a:round/>
            </a:ln>
            <a:effectLst/>
          </c:spPr>
          <c:marker>
            <c:symbol val="none"/>
          </c:marker>
          <c:cat>
            <c:numRef>
              <c:f>Sheet1!$A$2:$A$17</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Sheet1!$H$2:$H$17</c:f>
              <c:numCache>
                <c:formatCode>General</c:formatCode>
                <c:ptCount val="16"/>
                <c:pt idx="0">
                  <c:v>9.6675800031018971E-2</c:v>
                </c:pt>
                <c:pt idx="1">
                  <c:v>9.358033005119662E-2</c:v>
                </c:pt>
                <c:pt idx="2">
                  <c:v>8.0201726553785491E-2</c:v>
                </c:pt>
                <c:pt idx="3">
                  <c:v>0.34276182278298206</c:v>
                </c:pt>
                <c:pt idx="4">
                  <c:v>0.55620500798158268</c:v>
                </c:pt>
                <c:pt idx="5">
                  <c:v>0.57876981927332471</c:v>
                </c:pt>
                <c:pt idx="6">
                  <c:v>0.3563382102052422</c:v>
                </c:pt>
                <c:pt idx="7">
                  <c:v>0.17290590210844792</c:v>
                </c:pt>
                <c:pt idx="8">
                  <c:v>0.17605768861953891</c:v>
                </c:pt>
                <c:pt idx="9">
                  <c:v>0.17605768861953891</c:v>
                </c:pt>
                <c:pt idx="10">
                  <c:v>0.14807630567846919</c:v>
                </c:pt>
                <c:pt idx="11">
                  <c:v>0.22707297393139428</c:v>
                </c:pt>
                <c:pt idx="12">
                  <c:v>0.39704931794683818</c:v>
                </c:pt>
                <c:pt idx="13">
                  <c:v>0.87364104254945529</c:v>
                </c:pt>
                <c:pt idx="14">
                  <c:v>0.22601157887783835</c:v>
                </c:pt>
                <c:pt idx="15">
                  <c:v>0.55357301964162686</c:v>
                </c:pt>
              </c:numCache>
            </c:numRef>
          </c:val>
          <c:smooth val="0"/>
          <c:extLst>
            <c:ext xmlns:c16="http://schemas.microsoft.com/office/drawing/2014/chart" uri="{C3380CC4-5D6E-409C-BE32-E72D297353CC}">
              <c16:uniqueId val="{00000002-FDEF-41BE-B9CB-53D5518065B8}"/>
            </c:ext>
          </c:extLst>
        </c:ser>
        <c:ser>
          <c:idx val="3"/>
          <c:order val="3"/>
          <c:tx>
            <c:strRef>
              <c:f>Sheet1!$I$1</c:f>
              <c:strCache>
                <c:ptCount val="1"/>
                <c:pt idx="0">
                  <c:v>iShares Core U S  Aggregate Bon</c:v>
                </c:pt>
              </c:strCache>
            </c:strRef>
          </c:tx>
          <c:spPr>
            <a:ln w="28575" cap="rnd">
              <a:solidFill>
                <a:schemeClr val="accent4"/>
              </a:solidFill>
              <a:prstDash val="lgDashDotDot"/>
              <a:round/>
            </a:ln>
            <a:effectLst/>
          </c:spPr>
          <c:marker>
            <c:symbol val="none"/>
          </c:marker>
          <c:cat>
            <c:numRef>
              <c:f>Sheet1!$A$2:$A$17</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Sheet1!$I$2:$I$17</c:f>
              <c:numCache>
                <c:formatCode>General</c:formatCode>
                <c:ptCount val="16"/>
                <c:pt idx="0">
                  <c:v>9.6675800031018971E-2</c:v>
                </c:pt>
                <c:pt idx="1">
                  <c:v>0.10029710815166865</c:v>
                </c:pt>
                <c:pt idx="2">
                  <c:v>9.1137524571924908E-2</c:v>
                </c:pt>
                <c:pt idx="3">
                  <c:v>0.10429712384558175</c:v>
                </c:pt>
                <c:pt idx="4">
                  <c:v>0.1255170571926785</c:v>
                </c:pt>
                <c:pt idx="5">
                  <c:v>0.13524896598589889</c:v>
                </c:pt>
                <c:pt idx="6">
                  <c:v>0.18844506569497704</c:v>
                </c:pt>
                <c:pt idx="7">
                  <c:v>0.20509752888487381</c:v>
                </c:pt>
                <c:pt idx="8">
                  <c:v>0.37432027549656627</c:v>
                </c:pt>
                <c:pt idx="9">
                  <c:v>0.65974755671531105</c:v>
                </c:pt>
                <c:pt idx="10">
                  <c:v>0.34349470588657494</c:v>
                </c:pt>
                <c:pt idx="11">
                  <c:v>0.46995474048461311</c:v>
                </c:pt>
                <c:pt idx="12">
                  <c:v>0.1361353102477614</c:v>
                </c:pt>
                <c:pt idx="13">
                  <c:v>0.20500187869992301</c:v>
                </c:pt>
                <c:pt idx="14">
                  <c:v>0.15850383905033844</c:v>
                </c:pt>
                <c:pt idx="15">
                  <c:v>0.15433908033600996</c:v>
                </c:pt>
              </c:numCache>
            </c:numRef>
          </c:val>
          <c:smooth val="0"/>
          <c:extLst>
            <c:ext xmlns:c16="http://schemas.microsoft.com/office/drawing/2014/chart" uri="{C3380CC4-5D6E-409C-BE32-E72D297353CC}">
              <c16:uniqueId val="{00000003-FDEF-41BE-B9CB-53D5518065B8}"/>
            </c:ext>
          </c:extLst>
        </c:ser>
        <c:dLbls>
          <c:showLegendKey val="0"/>
          <c:showVal val="0"/>
          <c:showCatName val="0"/>
          <c:showSerName val="0"/>
          <c:showPercent val="0"/>
          <c:showBubbleSize val="0"/>
        </c:dLbls>
        <c:smooth val="0"/>
        <c:axId val="696806368"/>
        <c:axId val="696804704"/>
      </c:lineChart>
      <c:catAx>
        <c:axId val="696806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6804704"/>
        <c:crosses val="autoZero"/>
        <c:auto val="1"/>
        <c:lblAlgn val="ctr"/>
        <c:lblOffset val="100"/>
        <c:noMultiLvlLbl val="0"/>
      </c:catAx>
      <c:valAx>
        <c:axId val="696804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6806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0" i="0" u="none" strike="noStrike" kern="1200" spc="0" baseline="0">
                <a:solidFill>
                  <a:sysClr val="windowText" lastClr="000000"/>
                </a:solidFill>
                <a:effectLst/>
                <a:latin typeface="Times New Roman" panose="02020603050405020304" pitchFamily="18" charset="0"/>
                <a:ea typeface="+mn-ea"/>
                <a:cs typeface="Times New Roman" panose="02020603050405020304" pitchFamily="18" charset="0"/>
              </a:rPr>
              <a:t>Fig. 2</a:t>
            </a:r>
            <a:r>
              <a:rPr lang="en-GB" sz="1200" b="0" i="0" baseline="0">
                <a:solidFill>
                  <a:sysClr val="windowText" lastClr="000000"/>
                </a:solidFill>
                <a:effectLst/>
                <a:latin typeface="Times New Roman" panose="02020603050405020304" pitchFamily="18" charset="0"/>
                <a:cs typeface="Times New Roman" panose="02020603050405020304" pitchFamily="18" charset="0"/>
              </a:rPr>
              <a:t>.3a Rolling </a:t>
            </a:r>
            <a:r>
              <a:rPr lang="en-GB" sz="1200" b="0" i="0" baseline="0">
                <a:effectLst/>
                <a:latin typeface="Times New Roman" panose="02020603050405020304" pitchFamily="18" charset="0"/>
                <a:cs typeface="Times New Roman" panose="02020603050405020304" pitchFamily="18" charset="0"/>
              </a:rPr>
              <a:t>Tail Betas of Finance ETFs Conditional Upon Certain Country Level ETFs</a:t>
            </a:r>
            <a:endParaRPr lang="en-GB" sz="12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Sheet1!$B$6</c:f>
              <c:strCache>
                <c:ptCount val="1"/>
                <c:pt idx="0">
                  <c:v>FTSE All-World ETF</c:v>
                </c:pt>
              </c:strCache>
            </c:strRef>
          </c:tx>
          <c:spPr>
            <a:ln w="28575" cap="rnd">
              <a:solidFill>
                <a:schemeClr val="accent1"/>
              </a:solidFill>
              <a:prstDash val="sysDot"/>
              <a:round/>
            </a:ln>
            <a:effectLst/>
          </c:spPr>
          <c:marker>
            <c:symbol val="none"/>
          </c:marker>
          <c:cat>
            <c:numRef>
              <c:f>Sheet1!$A$7:$A$22</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Sheet1!$B$7:$B$22</c:f>
              <c:numCache>
                <c:formatCode>General</c:formatCode>
                <c:ptCount val="16"/>
                <c:pt idx="0">
                  <c:v>8.8158108398330076E-2</c:v>
                </c:pt>
                <c:pt idx="1">
                  <c:v>7.1710643849979216E-2</c:v>
                </c:pt>
                <c:pt idx="2">
                  <c:v>8.441401638986222E-2</c:v>
                </c:pt>
                <c:pt idx="3">
                  <c:v>0.67205974695720716</c:v>
                </c:pt>
                <c:pt idx="4">
                  <c:v>0.59292993047515086</c:v>
                </c:pt>
                <c:pt idx="5">
                  <c:v>0.58496770911632301</c:v>
                </c:pt>
                <c:pt idx="6">
                  <c:v>0.56933005402367642</c:v>
                </c:pt>
                <c:pt idx="7">
                  <c:v>0.52073072812457388</c:v>
                </c:pt>
                <c:pt idx="8">
                  <c:v>0.5203518011646705</c:v>
                </c:pt>
                <c:pt idx="9">
                  <c:v>0.59216701289452345</c:v>
                </c:pt>
                <c:pt idx="10">
                  <c:v>0.32306616555613726</c:v>
                </c:pt>
                <c:pt idx="11">
                  <c:v>0.43165511781655125</c:v>
                </c:pt>
                <c:pt idx="12">
                  <c:v>0.448319182250765</c:v>
                </c:pt>
                <c:pt idx="13">
                  <c:v>0.20677452983757399</c:v>
                </c:pt>
                <c:pt idx="14">
                  <c:v>0.31633920109185631</c:v>
                </c:pt>
                <c:pt idx="15">
                  <c:v>0.42142376855146307</c:v>
                </c:pt>
              </c:numCache>
            </c:numRef>
          </c:val>
          <c:smooth val="0"/>
          <c:extLst>
            <c:ext xmlns:c16="http://schemas.microsoft.com/office/drawing/2014/chart" uri="{C3380CC4-5D6E-409C-BE32-E72D297353CC}">
              <c16:uniqueId val="{00000000-4357-4705-BE83-C4C505F0F2E5}"/>
            </c:ext>
          </c:extLst>
        </c:ser>
        <c:ser>
          <c:idx val="1"/>
          <c:order val="1"/>
          <c:tx>
            <c:strRef>
              <c:f>Sheet1!$C$6</c:f>
              <c:strCache>
                <c:ptCount val="1"/>
                <c:pt idx="0">
                  <c:v>EZU iShares MSCI Eurozone ETF</c:v>
                </c:pt>
              </c:strCache>
            </c:strRef>
          </c:tx>
          <c:spPr>
            <a:ln w="28575" cap="rnd">
              <a:solidFill>
                <a:schemeClr val="accent2"/>
              </a:solidFill>
              <a:prstDash val="dash"/>
              <a:round/>
            </a:ln>
            <a:effectLst/>
          </c:spPr>
          <c:marker>
            <c:symbol val="none"/>
          </c:marker>
          <c:cat>
            <c:numRef>
              <c:f>Sheet1!$A$7:$A$22</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Sheet1!$C$7:$C$22</c:f>
              <c:numCache>
                <c:formatCode>General</c:formatCode>
                <c:ptCount val="16"/>
                <c:pt idx="0">
                  <c:v>0.52204932016750238</c:v>
                </c:pt>
                <c:pt idx="1">
                  <c:v>0.61286414982164084</c:v>
                </c:pt>
                <c:pt idx="2">
                  <c:v>0.61071640903686086</c:v>
                </c:pt>
                <c:pt idx="3">
                  <c:v>0.29163322047211254</c:v>
                </c:pt>
                <c:pt idx="4">
                  <c:v>0.52951091773415271</c:v>
                </c:pt>
                <c:pt idx="5">
                  <c:v>0.65324119278882131</c:v>
                </c:pt>
                <c:pt idx="6">
                  <c:v>0.50281735851494636</c:v>
                </c:pt>
                <c:pt idx="7">
                  <c:v>0.41800786097640708</c:v>
                </c:pt>
                <c:pt idx="8">
                  <c:v>0.41774872015740749</c:v>
                </c:pt>
                <c:pt idx="9">
                  <c:v>0.43159892548305751</c:v>
                </c:pt>
                <c:pt idx="10">
                  <c:v>0.3929731588022749</c:v>
                </c:pt>
                <c:pt idx="11">
                  <c:v>0.47472319344746422</c:v>
                </c:pt>
                <c:pt idx="12">
                  <c:v>0.59080374175571093</c:v>
                </c:pt>
                <c:pt idx="13">
                  <c:v>0.3581971403771062</c:v>
                </c:pt>
                <c:pt idx="14">
                  <c:v>0.3124359791933391</c:v>
                </c:pt>
                <c:pt idx="15">
                  <c:v>0.4033158350144565</c:v>
                </c:pt>
              </c:numCache>
            </c:numRef>
          </c:val>
          <c:smooth val="0"/>
          <c:extLst>
            <c:ext xmlns:c16="http://schemas.microsoft.com/office/drawing/2014/chart" uri="{C3380CC4-5D6E-409C-BE32-E72D297353CC}">
              <c16:uniqueId val="{00000001-4357-4705-BE83-C4C505F0F2E5}"/>
            </c:ext>
          </c:extLst>
        </c:ser>
        <c:ser>
          <c:idx val="2"/>
          <c:order val="2"/>
          <c:tx>
            <c:strRef>
              <c:f>Sheet1!$D$6</c:f>
              <c:strCache>
                <c:ptCount val="1"/>
                <c:pt idx="0">
                  <c:v>MCHI iShares MSCI China ETF</c:v>
                </c:pt>
              </c:strCache>
            </c:strRef>
          </c:tx>
          <c:spPr>
            <a:ln w="50800" cap="rnd">
              <a:solidFill>
                <a:schemeClr val="accent3"/>
              </a:solidFill>
              <a:round/>
            </a:ln>
            <a:effectLst/>
          </c:spPr>
          <c:marker>
            <c:symbol val="none"/>
          </c:marker>
          <c:cat>
            <c:numRef>
              <c:f>Sheet1!$A$7:$A$22</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Sheet1!$D$7:$D$22</c:f>
              <c:numCache>
                <c:formatCode>General</c:formatCode>
                <c:ptCount val="16"/>
                <c:pt idx="0">
                  <c:v>8.8158108398330076E-2</c:v>
                </c:pt>
                <c:pt idx="1">
                  <c:v>7.1710643849979216E-2</c:v>
                </c:pt>
                <c:pt idx="2">
                  <c:v>8.5125686918832086E-2</c:v>
                </c:pt>
                <c:pt idx="3">
                  <c:v>0.90510586189149367</c:v>
                </c:pt>
                <c:pt idx="4">
                  <c:v>0.27413929837203149</c:v>
                </c:pt>
                <c:pt idx="5">
                  <c:v>0.19951862447356836</c:v>
                </c:pt>
                <c:pt idx="6">
                  <c:v>0.27341990608056022</c:v>
                </c:pt>
                <c:pt idx="7">
                  <c:v>0.24628020612293819</c:v>
                </c:pt>
                <c:pt idx="8">
                  <c:v>0.23868018692545592</c:v>
                </c:pt>
                <c:pt idx="9">
                  <c:v>0.23970096860819198</c:v>
                </c:pt>
                <c:pt idx="10">
                  <c:v>0.30247986436728252</c:v>
                </c:pt>
                <c:pt idx="11">
                  <c:v>0.36630933604163152</c:v>
                </c:pt>
                <c:pt idx="12">
                  <c:v>0.38553383959085108</c:v>
                </c:pt>
                <c:pt idx="13">
                  <c:v>0.29021679562005737</c:v>
                </c:pt>
                <c:pt idx="14">
                  <c:v>0.36247380374650734</c:v>
                </c:pt>
                <c:pt idx="15">
                  <c:v>0.45456854802331115</c:v>
                </c:pt>
              </c:numCache>
            </c:numRef>
          </c:val>
          <c:smooth val="0"/>
          <c:extLst>
            <c:ext xmlns:c16="http://schemas.microsoft.com/office/drawing/2014/chart" uri="{C3380CC4-5D6E-409C-BE32-E72D297353CC}">
              <c16:uniqueId val="{00000002-4357-4705-BE83-C4C505F0F2E5}"/>
            </c:ext>
          </c:extLst>
        </c:ser>
        <c:ser>
          <c:idx val="3"/>
          <c:order val="3"/>
          <c:tx>
            <c:strRef>
              <c:f>Sheet1!$E$6</c:f>
              <c:strCache>
                <c:ptCount val="1"/>
                <c:pt idx="0">
                  <c:v>VOO Vanguard S&amp;P 500 ETF</c:v>
                </c:pt>
              </c:strCache>
            </c:strRef>
          </c:tx>
          <c:spPr>
            <a:ln w="28575" cap="rnd">
              <a:solidFill>
                <a:schemeClr val="accent4"/>
              </a:solidFill>
              <a:prstDash val="lgDashDotDot"/>
              <a:round/>
            </a:ln>
            <a:effectLst/>
          </c:spPr>
          <c:marker>
            <c:symbol val="none"/>
          </c:marker>
          <c:cat>
            <c:numRef>
              <c:f>Sheet1!$A$7:$A$22</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Sheet1!$E$7:$E$22</c:f>
              <c:numCache>
                <c:formatCode>General</c:formatCode>
                <c:ptCount val="16"/>
                <c:pt idx="0">
                  <c:v>8.8158108398330076E-2</c:v>
                </c:pt>
                <c:pt idx="1">
                  <c:v>7.1710643849979216E-2</c:v>
                </c:pt>
                <c:pt idx="2">
                  <c:v>8.5125686918832086E-2</c:v>
                </c:pt>
                <c:pt idx="3">
                  <c:v>0.90510586189149367</c:v>
                </c:pt>
                <c:pt idx="4">
                  <c:v>0.27413929837203149</c:v>
                </c:pt>
                <c:pt idx="5">
                  <c:v>0.19951862447356836</c:v>
                </c:pt>
                <c:pt idx="6">
                  <c:v>0.26591193611512964</c:v>
                </c:pt>
                <c:pt idx="7">
                  <c:v>0.26346082106338803</c:v>
                </c:pt>
                <c:pt idx="8">
                  <c:v>0.26346082106338803</c:v>
                </c:pt>
                <c:pt idx="9">
                  <c:v>0.26372035925223331</c:v>
                </c:pt>
                <c:pt idx="10">
                  <c:v>0.44056562837186508</c:v>
                </c:pt>
                <c:pt idx="11">
                  <c:v>0.67719583634241975</c:v>
                </c:pt>
                <c:pt idx="12">
                  <c:v>0.67431208241668517</c:v>
                </c:pt>
                <c:pt idx="13">
                  <c:v>0.74877204087204929</c:v>
                </c:pt>
                <c:pt idx="14">
                  <c:v>0.4078726074649362</c:v>
                </c:pt>
                <c:pt idx="15">
                  <c:v>0.40377466483528612</c:v>
                </c:pt>
              </c:numCache>
            </c:numRef>
          </c:val>
          <c:smooth val="0"/>
          <c:extLst>
            <c:ext xmlns:c16="http://schemas.microsoft.com/office/drawing/2014/chart" uri="{C3380CC4-5D6E-409C-BE32-E72D297353CC}">
              <c16:uniqueId val="{00000003-4357-4705-BE83-C4C505F0F2E5}"/>
            </c:ext>
          </c:extLst>
        </c:ser>
        <c:dLbls>
          <c:showLegendKey val="0"/>
          <c:showVal val="0"/>
          <c:showCatName val="0"/>
          <c:showSerName val="0"/>
          <c:showPercent val="0"/>
          <c:showBubbleSize val="0"/>
        </c:dLbls>
        <c:smooth val="0"/>
        <c:axId val="874205072"/>
        <c:axId val="874201744"/>
      </c:lineChart>
      <c:catAx>
        <c:axId val="874205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4201744"/>
        <c:crosses val="autoZero"/>
        <c:auto val="1"/>
        <c:lblAlgn val="ctr"/>
        <c:lblOffset val="100"/>
        <c:noMultiLvlLbl val="0"/>
      </c:catAx>
      <c:valAx>
        <c:axId val="8742017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4205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72C35-0BDD-4CB5-8FF3-1307E7DE3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13775</Words>
  <Characters>78519</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Rizwan Ahmed</dc:creator>
  <cp:keywords/>
  <dc:description/>
  <cp:lastModifiedBy>Chen, Xihui</cp:lastModifiedBy>
  <cp:revision>3</cp:revision>
  <dcterms:created xsi:type="dcterms:W3CDTF">2023-07-04T11:40:00Z</dcterms:created>
  <dcterms:modified xsi:type="dcterms:W3CDTF">2023-07-04T11:40:00Z</dcterms:modified>
</cp:coreProperties>
</file>