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083006" w:rsidRPr="00CC0F64" w:rsidRDefault="0080383E">
      <w:pPr>
        <w:jc w:val="center"/>
        <w:rPr>
          <w:b/>
        </w:rPr>
      </w:pPr>
      <w:r w:rsidRPr="00CC0F64">
        <w:rPr>
          <w:b/>
        </w:rPr>
        <w:t xml:space="preserve">Inflation, Oil Prices, and Economic Activity in Recent Crisis: </w:t>
      </w:r>
    </w:p>
    <w:p w14:paraId="00000002" w14:textId="77777777" w:rsidR="00083006" w:rsidRPr="00CC0F64" w:rsidRDefault="0080383E">
      <w:pPr>
        <w:jc w:val="center"/>
        <w:rPr>
          <w:b/>
        </w:rPr>
      </w:pPr>
      <w:r w:rsidRPr="00CC0F64">
        <w:rPr>
          <w:b/>
        </w:rPr>
        <w:t>Evidence from the UK</w:t>
      </w:r>
    </w:p>
    <w:p w14:paraId="00000003" w14:textId="77777777" w:rsidR="00083006" w:rsidRPr="00CC0F64" w:rsidRDefault="00083006">
      <w:pPr>
        <w:jc w:val="center"/>
        <w:rPr>
          <w:b/>
        </w:rPr>
      </w:pPr>
    </w:p>
    <w:p w14:paraId="00000004" w14:textId="77777777" w:rsidR="00083006" w:rsidRPr="00CC0F64" w:rsidRDefault="0080383E">
      <w:pPr>
        <w:jc w:val="center"/>
        <w:rPr>
          <w:b/>
        </w:rPr>
      </w:pPr>
      <w:r w:rsidRPr="00CC0F64">
        <w:rPr>
          <w:b/>
        </w:rPr>
        <w:t>Rizwan Ahmed</w:t>
      </w:r>
    </w:p>
    <w:p w14:paraId="00000005" w14:textId="77777777" w:rsidR="00083006" w:rsidRPr="00CC0F64" w:rsidRDefault="0080383E">
      <w:pPr>
        <w:jc w:val="center"/>
      </w:pPr>
      <w:r w:rsidRPr="00CC0F64">
        <w:t>Kent Business School, University of Kent</w:t>
      </w:r>
    </w:p>
    <w:p w14:paraId="00000006" w14:textId="77777777" w:rsidR="00083006" w:rsidRPr="00CC0F64" w:rsidRDefault="0080383E">
      <w:pPr>
        <w:jc w:val="center"/>
      </w:pPr>
      <w:r w:rsidRPr="00CC0F64">
        <w:t xml:space="preserve">Email: </w:t>
      </w:r>
      <w:hyperlink r:id="rId9">
        <w:r w:rsidRPr="00CC0F64">
          <w:rPr>
            <w:u w:val="single"/>
          </w:rPr>
          <w:t>r.ahmed@kent.ac.uk</w:t>
        </w:r>
      </w:hyperlink>
      <w:r w:rsidRPr="00CC0F64">
        <w:t xml:space="preserve"> </w:t>
      </w:r>
    </w:p>
    <w:p w14:paraId="00000007" w14:textId="77777777" w:rsidR="00083006" w:rsidRPr="00CC0F64" w:rsidRDefault="00083006">
      <w:pPr>
        <w:jc w:val="center"/>
      </w:pPr>
    </w:p>
    <w:p w14:paraId="00000008" w14:textId="77777777" w:rsidR="00083006" w:rsidRPr="00CC0F64" w:rsidRDefault="0080383E">
      <w:pPr>
        <w:jc w:val="center"/>
        <w:rPr>
          <w:b/>
        </w:rPr>
      </w:pPr>
      <w:r w:rsidRPr="00CC0F64">
        <w:rPr>
          <w:b/>
        </w:rPr>
        <w:t>Xihui Haviour Chen</w:t>
      </w:r>
    </w:p>
    <w:p w14:paraId="00000009" w14:textId="77777777" w:rsidR="00083006" w:rsidRPr="00CC0F64" w:rsidRDefault="0080383E">
      <w:pPr>
        <w:jc w:val="center"/>
      </w:pPr>
      <w:r w:rsidRPr="00CC0F64">
        <w:t xml:space="preserve">Edinburgh Business School, The Centre for Social and Economic Data Analytics (CSEDA), </w:t>
      </w:r>
    </w:p>
    <w:p w14:paraId="0000000A" w14:textId="77777777" w:rsidR="00083006" w:rsidRPr="00CC0F64" w:rsidRDefault="0080383E">
      <w:pPr>
        <w:jc w:val="center"/>
      </w:pPr>
      <w:r w:rsidRPr="00CC0F64">
        <w:t>Heriot-Watt University, Edinburgh, UK</w:t>
      </w:r>
    </w:p>
    <w:p w14:paraId="0000000B" w14:textId="77777777" w:rsidR="00083006" w:rsidRPr="00CC0F64" w:rsidRDefault="0080383E">
      <w:pPr>
        <w:jc w:val="center"/>
      </w:pPr>
      <w:r w:rsidRPr="00CC0F64">
        <w:t xml:space="preserve">Email: </w:t>
      </w:r>
      <w:hyperlink r:id="rId10">
        <w:r w:rsidRPr="00CC0F64">
          <w:rPr>
            <w:u w:val="single"/>
          </w:rPr>
          <w:t>Xihui.chen@hw.ac.uk</w:t>
        </w:r>
      </w:hyperlink>
      <w:r w:rsidRPr="00CC0F64">
        <w:t xml:space="preserve"> </w:t>
      </w:r>
    </w:p>
    <w:p w14:paraId="0000000C" w14:textId="77777777" w:rsidR="00083006" w:rsidRPr="00CC0F64" w:rsidRDefault="00083006">
      <w:pPr>
        <w:jc w:val="center"/>
      </w:pPr>
    </w:p>
    <w:p w14:paraId="0000000D" w14:textId="77777777" w:rsidR="00083006" w:rsidRPr="00CC0F64" w:rsidRDefault="0080383E">
      <w:pPr>
        <w:jc w:val="center"/>
        <w:rPr>
          <w:b/>
        </w:rPr>
      </w:pPr>
      <w:r w:rsidRPr="00CC0F64">
        <w:rPr>
          <w:b/>
        </w:rPr>
        <w:t>Chamaiporn Kumpamool</w:t>
      </w:r>
    </w:p>
    <w:p w14:paraId="0000000E" w14:textId="77777777" w:rsidR="00083006" w:rsidRPr="00CC0F64" w:rsidRDefault="0080383E">
      <w:pPr>
        <w:jc w:val="center"/>
      </w:pPr>
      <w:r w:rsidRPr="00CC0F64">
        <w:t>Faculty of Business Administration and Accountancy,</w:t>
      </w:r>
    </w:p>
    <w:p w14:paraId="0000000F" w14:textId="77777777" w:rsidR="00083006" w:rsidRPr="00CC0F64" w:rsidRDefault="0080383E">
      <w:pPr>
        <w:jc w:val="center"/>
      </w:pPr>
      <w:proofErr w:type="spellStart"/>
      <w:r w:rsidRPr="00CC0F64">
        <w:t>Khon</w:t>
      </w:r>
      <w:proofErr w:type="spellEnd"/>
      <w:r w:rsidRPr="00CC0F64">
        <w:t xml:space="preserve"> </w:t>
      </w:r>
      <w:proofErr w:type="spellStart"/>
      <w:r w:rsidRPr="00CC0F64">
        <w:t>Kaen</w:t>
      </w:r>
      <w:proofErr w:type="spellEnd"/>
      <w:r w:rsidRPr="00CC0F64">
        <w:t xml:space="preserve"> University, </w:t>
      </w:r>
      <w:proofErr w:type="spellStart"/>
      <w:r w:rsidRPr="00CC0F64">
        <w:t>Khon</w:t>
      </w:r>
      <w:proofErr w:type="spellEnd"/>
      <w:r w:rsidRPr="00CC0F64">
        <w:t xml:space="preserve"> </w:t>
      </w:r>
      <w:proofErr w:type="spellStart"/>
      <w:r w:rsidRPr="00CC0F64">
        <w:t>Kaen</w:t>
      </w:r>
      <w:proofErr w:type="spellEnd"/>
      <w:r w:rsidRPr="00CC0F64">
        <w:t>, Thailand</w:t>
      </w:r>
    </w:p>
    <w:p w14:paraId="00000010" w14:textId="77777777" w:rsidR="00083006" w:rsidRPr="00CC0F64" w:rsidRDefault="0080383E">
      <w:pPr>
        <w:jc w:val="center"/>
      </w:pPr>
      <w:r w:rsidRPr="00CC0F64">
        <w:t xml:space="preserve">Email: </w:t>
      </w:r>
      <w:hyperlink r:id="rId11">
        <w:r w:rsidRPr="00CC0F64">
          <w:rPr>
            <w:u w:val="single"/>
          </w:rPr>
          <w:t>chamaiporn@kku.ac.th</w:t>
        </w:r>
      </w:hyperlink>
      <w:r w:rsidRPr="00CC0F64">
        <w:t xml:space="preserve">  </w:t>
      </w:r>
    </w:p>
    <w:p w14:paraId="00000011" w14:textId="77777777" w:rsidR="00083006" w:rsidRPr="00CC0F64" w:rsidRDefault="00083006">
      <w:pPr>
        <w:jc w:val="center"/>
      </w:pPr>
    </w:p>
    <w:p w14:paraId="00000012" w14:textId="77777777" w:rsidR="00083006" w:rsidRPr="00CC0F64" w:rsidRDefault="0080383E">
      <w:pPr>
        <w:jc w:val="center"/>
        <w:rPr>
          <w:b/>
        </w:rPr>
      </w:pPr>
      <w:r w:rsidRPr="00CC0F64">
        <w:rPr>
          <w:b/>
        </w:rPr>
        <w:t>Dung T.K. Nguyen</w:t>
      </w:r>
    </w:p>
    <w:p w14:paraId="00000013" w14:textId="77777777" w:rsidR="00083006" w:rsidRPr="008D2F1C" w:rsidRDefault="0080383E">
      <w:pPr>
        <w:jc w:val="center"/>
        <w:rPr>
          <w:bCs/>
        </w:rPr>
      </w:pPr>
      <w:r w:rsidRPr="008D2F1C">
        <w:rPr>
          <w:bCs/>
        </w:rPr>
        <w:t>School of Banking and Finance,</w:t>
      </w:r>
    </w:p>
    <w:p w14:paraId="00000014" w14:textId="77777777" w:rsidR="00083006" w:rsidRPr="008D2F1C" w:rsidRDefault="0080383E">
      <w:pPr>
        <w:jc w:val="center"/>
        <w:rPr>
          <w:bCs/>
        </w:rPr>
      </w:pPr>
      <w:r w:rsidRPr="008D2F1C">
        <w:rPr>
          <w:bCs/>
        </w:rPr>
        <w:t>National Economics University, Hanoi, Vietnam</w:t>
      </w:r>
    </w:p>
    <w:p w14:paraId="00000015" w14:textId="77777777" w:rsidR="00083006" w:rsidRPr="00CC0F64" w:rsidRDefault="0080383E">
      <w:pPr>
        <w:jc w:val="center"/>
      </w:pPr>
      <w:r w:rsidRPr="00CC0F64">
        <w:t xml:space="preserve">Email: </w:t>
      </w:r>
      <w:hyperlink r:id="rId12">
        <w:r w:rsidRPr="00CC0F64">
          <w:rPr>
            <w:u w:val="single"/>
          </w:rPr>
          <w:t>dungntk@neu.edu.vn</w:t>
        </w:r>
      </w:hyperlink>
    </w:p>
    <w:p w14:paraId="00000016" w14:textId="77777777" w:rsidR="00083006" w:rsidRPr="00CC0F64" w:rsidRDefault="00083006">
      <w:pPr>
        <w:jc w:val="center"/>
      </w:pPr>
    </w:p>
    <w:p w14:paraId="00000017" w14:textId="77777777" w:rsidR="00083006" w:rsidRPr="00CC0F64" w:rsidRDefault="00083006">
      <w:pPr>
        <w:jc w:val="center"/>
        <w:rPr>
          <w:b/>
        </w:rPr>
      </w:pPr>
    </w:p>
    <w:p w14:paraId="00000018" w14:textId="77777777" w:rsidR="00083006" w:rsidRPr="00CC0F64" w:rsidRDefault="0080383E">
      <w:r w:rsidRPr="00CC0F64">
        <w:br w:type="page"/>
      </w:r>
    </w:p>
    <w:p w14:paraId="00000019" w14:textId="77777777" w:rsidR="00083006" w:rsidRPr="00A50985" w:rsidRDefault="0080383E">
      <w:pPr>
        <w:pStyle w:val="Heading1"/>
        <w:rPr>
          <w:b/>
          <w:bCs/>
        </w:rPr>
      </w:pPr>
      <w:r w:rsidRPr="00A50985">
        <w:rPr>
          <w:b/>
          <w:bCs/>
        </w:rPr>
        <w:lastRenderedPageBreak/>
        <w:t>Abstract</w:t>
      </w:r>
    </w:p>
    <w:p w14:paraId="22471F47" w14:textId="4273E79A" w:rsidR="00A90F7A" w:rsidRDefault="0080383E" w:rsidP="00A90F7A">
      <w:pPr>
        <w:jc w:val="both"/>
        <w:rPr>
          <w:iCs/>
          <w:color w:val="7030A0"/>
        </w:rPr>
      </w:pPr>
      <w:bookmarkStart w:id="0" w:name="_heading=h.gjdgxs" w:colFirst="0" w:colLast="0"/>
      <w:bookmarkEnd w:id="0"/>
      <w:r w:rsidRPr="00553B6E">
        <w:rPr>
          <w:iCs/>
        </w:rPr>
        <w:t xml:space="preserve">This study examines the </w:t>
      </w:r>
      <w:r w:rsidR="002931B3" w:rsidRPr="002931B3">
        <w:rPr>
          <w:iCs/>
          <w:color w:val="7030A0"/>
        </w:rPr>
        <w:t>link</w:t>
      </w:r>
      <w:r w:rsidRPr="00553B6E">
        <w:rPr>
          <w:iCs/>
        </w:rPr>
        <w:t xml:space="preserve"> between inflation and macroeconomy </w:t>
      </w:r>
      <w:r w:rsidR="002931B3" w:rsidRPr="002931B3">
        <w:rPr>
          <w:iCs/>
          <w:color w:val="7030A0"/>
        </w:rPr>
        <w:t xml:space="preserve">such as </w:t>
      </w:r>
      <w:r w:rsidRPr="00553B6E">
        <w:rPr>
          <w:iCs/>
        </w:rPr>
        <w:t xml:space="preserve">output, trade balance, unemployment through the transmission channel of crude oil price. Using the UK monthly data from January 2010 to June 2022, we apply a combination of three analyses including VAR model, time-varying VAR analysis, and time-varying panel model with robustness. </w:t>
      </w:r>
      <w:r w:rsidR="009572A1" w:rsidRPr="008A2F28">
        <w:rPr>
          <w:iCs/>
          <w:color w:val="7030A0"/>
        </w:rPr>
        <w:t xml:space="preserve">The results reveal that in the event of inflation shocks, the </w:t>
      </w:r>
      <w:r w:rsidR="00821424">
        <w:rPr>
          <w:iCs/>
          <w:color w:val="7030A0"/>
        </w:rPr>
        <w:t>other economic indicators</w:t>
      </w:r>
      <w:r w:rsidR="009572A1" w:rsidRPr="008A2F28">
        <w:rPr>
          <w:iCs/>
          <w:color w:val="7030A0"/>
        </w:rPr>
        <w:t xml:space="preserve"> tend to decrease initially</w:t>
      </w:r>
      <w:r w:rsidR="009572A1">
        <w:rPr>
          <w:iCs/>
          <w:color w:val="7030A0"/>
        </w:rPr>
        <w:t>. However,</w:t>
      </w:r>
      <w:r w:rsidR="009572A1" w:rsidRPr="00CA2721">
        <w:rPr>
          <w:iCs/>
          <w:color w:val="7030A0"/>
        </w:rPr>
        <w:t xml:space="preserve"> Brent crude oil shocks are the quickest</w:t>
      </w:r>
      <w:r w:rsidR="00AC2F77">
        <w:rPr>
          <w:iCs/>
          <w:color w:val="7030A0"/>
        </w:rPr>
        <w:t xml:space="preserve"> </w:t>
      </w:r>
      <w:r w:rsidR="009572A1" w:rsidRPr="00CA2721">
        <w:rPr>
          <w:iCs/>
          <w:color w:val="7030A0"/>
        </w:rPr>
        <w:t>respond</w:t>
      </w:r>
      <w:r w:rsidR="00AC2F77">
        <w:rPr>
          <w:iCs/>
          <w:color w:val="7030A0"/>
        </w:rPr>
        <w:t>ing</w:t>
      </w:r>
      <w:r w:rsidR="009572A1" w:rsidRPr="00CA2721">
        <w:rPr>
          <w:iCs/>
          <w:color w:val="7030A0"/>
        </w:rPr>
        <w:t xml:space="preserve"> to surging inflation</w:t>
      </w:r>
      <w:r w:rsidR="004F25E4">
        <w:rPr>
          <w:iCs/>
          <w:color w:val="7030A0"/>
        </w:rPr>
        <w:t xml:space="preserve"> </w:t>
      </w:r>
      <w:r w:rsidR="004F25E4" w:rsidRPr="00CA2721">
        <w:rPr>
          <w:iCs/>
          <w:color w:val="7030A0"/>
        </w:rPr>
        <w:t>compared to other proxies</w:t>
      </w:r>
      <w:r w:rsidR="009572A1" w:rsidRPr="00CA2721">
        <w:rPr>
          <w:iCs/>
          <w:color w:val="7030A0"/>
        </w:rPr>
        <w:t>, rebounding to a positive level in only one month</w:t>
      </w:r>
      <w:r w:rsidR="009572A1" w:rsidRPr="008A2F28">
        <w:rPr>
          <w:iCs/>
          <w:color w:val="7030A0"/>
        </w:rPr>
        <w:t>. Furthermore, the impact of inflation shocks is strong in the first quarter, but it diminishes in the long run.</w:t>
      </w:r>
      <w:r w:rsidRPr="00553B6E">
        <w:rPr>
          <w:iCs/>
        </w:rPr>
        <w:t xml:space="preserve"> </w:t>
      </w:r>
      <w:r w:rsidR="00A90F7A" w:rsidRPr="002C6544">
        <w:rPr>
          <w:iCs/>
          <w:color w:val="7030A0"/>
        </w:rPr>
        <w:t>This information can be used</w:t>
      </w:r>
      <w:r w:rsidR="00E8759D">
        <w:rPr>
          <w:iCs/>
          <w:color w:val="7030A0"/>
        </w:rPr>
        <w:t xml:space="preserve"> by researchers</w:t>
      </w:r>
      <w:r w:rsidR="00A90F7A" w:rsidRPr="002C6544">
        <w:rPr>
          <w:iCs/>
          <w:color w:val="7030A0"/>
        </w:rPr>
        <w:t xml:space="preserve"> to inform</w:t>
      </w:r>
      <w:r w:rsidR="003E03B7">
        <w:rPr>
          <w:iCs/>
          <w:color w:val="7030A0"/>
        </w:rPr>
        <w:t xml:space="preserve"> and assist</w:t>
      </w:r>
      <w:r w:rsidR="00A90F7A" w:rsidRPr="002C6544">
        <w:rPr>
          <w:iCs/>
          <w:color w:val="7030A0"/>
        </w:rPr>
        <w:t xml:space="preserve"> policymakers to develop policies that mitigate the negative effects of inflation in the short run. Our findings also have important implications for</w:t>
      </w:r>
      <w:r w:rsidR="00DC5E1E">
        <w:rPr>
          <w:iCs/>
          <w:color w:val="7030A0"/>
        </w:rPr>
        <w:t xml:space="preserve"> </w:t>
      </w:r>
      <w:r w:rsidR="008B715A" w:rsidRPr="00AF3F0E">
        <w:rPr>
          <w:color w:val="7030A0"/>
        </w:rPr>
        <w:t>businesses operating in the UK</w:t>
      </w:r>
      <w:r w:rsidR="008B715A">
        <w:rPr>
          <w:color w:val="7030A0"/>
        </w:rPr>
        <w:t xml:space="preserve"> in </w:t>
      </w:r>
      <w:r w:rsidR="008B715A" w:rsidRPr="00AF3F0E">
        <w:rPr>
          <w:color w:val="7030A0"/>
        </w:rPr>
        <w:t>making strategic decisions</w:t>
      </w:r>
      <w:r w:rsidR="00A90F7A" w:rsidRPr="002C6544">
        <w:rPr>
          <w:iCs/>
          <w:color w:val="7030A0"/>
        </w:rPr>
        <w:t>.</w:t>
      </w:r>
    </w:p>
    <w:p w14:paraId="0EC339F5" w14:textId="77777777" w:rsidR="00A90F7A" w:rsidRPr="00CC0F64" w:rsidRDefault="00A90F7A" w:rsidP="00A90F7A"/>
    <w:p w14:paraId="0000001B" w14:textId="52BB2F6B" w:rsidR="00083006" w:rsidRDefault="0080383E" w:rsidP="00A90F7A">
      <w:pPr>
        <w:rPr>
          <w:iCs/>
        </w:rPr>
      </w:pPr>
      <w:r w:rsidRPr="00553B6E">
        <w:rPr>
          <w:b/>
          <w:iCs/>
        </w:rPr>
        <w:t xml:space="preserve">Key words: </w:t>
      </w:r>
      <w:r w:rsidRPr="00553B6E">
        <w:rPr>
          <w:iCs/>
        </w:rPr>
        <w:t>Inflation, Oil price, Energy consumption, Unemployment, Trade balance, Economic growth, UK economy</w:t>
      </w:r>
    </w:p>
    <w:p w14:paraId="78191F0D" w14:textId="77777777" w:rsidR="00A90F7A" w:rsidRDefault="00A90F7A" w:rsidP="00A90F7A">
      <w:pPr>
        <w:rPr>
          <w:iCs/>
        </w:rPr>
      </w:pPr>
    </w:p>
    <w:p w14:paraId="1DED7074" w14:textId="77777777" w:rsidR="00A90F7A" w:rsidRDefault="00A90F7A" w:rsidP="00A90F7A">
      <w:pPr>
        <w:rPr>
          <w:iCs/>
        </w:rPr>
      </w:pPr>
    </w:p>
    <w:p w14:paraId="49D6B2D8" w14:textId="77777777" w:rsidR="00A90F7A" w:rsidRDefault="00A90F7A" w:rsidP="00A90F7A">
      <w:pPr>
        <w:rPr>
          <w:iCs/>
        </w:rPr>
      </w:pPr>
    </w:p>
    <w:p w14:paraId="78285582" w14:textId="77777777" w:rsidR="00A90F7A" w:rsidRDefault="00A90F7A" w:rsidP="00A90F7A">
      <w:pPr>
        <w:rPr>
          <w:iCs/>
        </w:rPr>
      </w:pPr>
    </w:p>
    <w:p w14:paraId="50F10135" w14:textId="77777777" w:rsidR="00A90F7A" w:rsidRDefault="00A90F7A" w:rsidP="00A90F7A">
      <w:pPr>
        <w:rPr>
          <w:iCs/>
        </w:rPr>
      </w:pPr>
    </w:p>
    <w:p w14:paraId="440437E1" w14:textId="77777777" w:rsidR="00A90F7A" w:rsidRDefault="00A90F7A" w:rsidP="00A90F7A">
      <w:pPr>
        <w:rPr>
          <w:iCs/>
        </w:rPr>
      </w:pPr>
    </w:p>
    <w:p w14:paraId="714CFDA2" w14:textId="77777777" w:rsidR="00A90F7A" w:rsidRDefault="00A90F7A" w:rsidP="00A90F7A">
      <w:pPr>
        <w:rPr>
          <w:iCs/>
        </w:rPr>
      </w:pPr>
    </w:p>
    <w:p w14:paraId="07DB12B5" w14:textId="77777777" w:rsidR="00A90F7A" w:rsidRPr="00A90F7A" w:rsidRDefault="00A90F7A" w:rsidP="00A90F7A">
      <w:pPr>
        <w:rPr>
          <w:b/>
        </w:rPr>
      </w:pPr>
    </w:p>
    <w:p w14:paraId="0000001E" w14:textId="2E96A7B2" w:rsidR="00083006" w:rsidRPr="00CC0F64" w:rsidRDefault="00000000">
      <w:pPr>
        <w:pStyle w:val="Heading1"/>
        <w:rPr>
          <w:b/>
        </w:rPr>
      </w:pPr>
      <w:sdt>
        <w:sdtPr>
          <w:tag w:val="goog_rdk_1"/>
          <w:id w:val="604855458"/>
        </w:sdtPr>
        <w:sdtContent/>
      </w:sdt>
      <w:r w:rsidR="0080383E" w:rsidRPr="00CC0F64">
        <w:rPr>
          <w:b/>
        </w:rPr>
        <w:t>Highlights:</w:t>
      </w:r>
    </w:p>
    <w:p w14:paraId="5F426465" w14:textId="4C598FD6" w:rsidR="0035707C" w:rsidRPr="00060A9A" w:rsidRDefault="00067AD6">
      <w:pPr>
        <w:numPr>
          <w:ilvl w:val="0"/>
          <w:numId w:val="1"/>
        </w:numPr>
        <w:pBdr>
          <w:top w:val="nil"/>
          <w:left w:val="nil"/>
          <w:bottom w:val="nil"/>
          <w:right w:val="nil"/>
          <w:between w:val="nil"/>
        </w:pBdr>
        <w:rPr>
          <w:color w:val="00B050"/>
        </w:rPr>
      </w:pPr>
      <w:r w:rsidRPr="00060A9A">
        <w:rPr>
          <w:color w:val="00B050"/>
        </w:rPr>
        <w:t xml:space="preserve">Analyses UK monthly </w:t>
      </w:r>
      <w:r w:rsidR="00060A9A" w:rsidRPr="00060A9A">
        <w:rPr>
          <w:color w:val="00B050"/>
        </w:rPr>
        <w:t>data (Jan</w:t>
      </w:r>
      <w:r w:rsidR="00246197">
        <w:rPr>
          <w:color w:val="00B050"/>
        </w:rPr>
        <w:t>uary</w:t>
      </w:r>
      <w:r w:rsidR="00060A9A" w:rsidRPr="00060A9A">
        <w:rPr>
          <w:color w:val="00B050"/>
        </w:rPr>
        <w:t xml:space="preserve"> 20</w:t>
      </w:r>
      <w:r w:rsidR="00246197">
        <w:rPr>
          <w:color w:val="00B050"/>
        </w:rPr>
        <w:t>1</w:t>
      </w:r>
      <w:r w:rsidR="00060A9A" w:rsidRPr="00060A9A">
        <w:rPr>
          <w:color w:val="00B050"/>
        </w:rPr>
        <w:t>0 – Jun</w:t>
      </w:r>
      <w:r w:rsidR="00246197">
        <w:rPr>
          <w:color w:val="00B050"/>
        </w:rPr>
        <w:t>e</w:t>
      </w:r>
      <w:r w:rsidR="00060A9A" w:rsidRPr="00060A9A">
        <w:rPr>
          <w:color w:val="00B050"/>
        </w:rPr>
        <w:t xml:space="preserve"> 202</w:t>
      </w:r>
      <w:r w:rsidR="005F51AC">
        <w:rPr>
          <w:color w:val="00B050"/>
        </w:rPr>
        <w:t>2)</w:t>
      </w:r>
      <w:r w:rsidR="00060A9A" w:rsidRPr="00060A9A">
        <w:rPr>
          <w:color w:val="00B050"/>
        </w:rPr>
        <w:t xml:space="preserve"> to examine the relationship between inflation and macroeconomy via crude oil price transmission</w:t>
      </w:r>
      <w:r w:rsidR="00895F19">
        <w:rPr>
          <w:color w:val="00B050"/>
        </w:rPr>
        <w:t>.</w:t>
      </w:r>
    </w:p>
    <w:p w14:paraId="0000001F" w14:textId="27048275" w:rsidR="00083006" w:rsidRPr="00060A9A" w:rsidRDefault="00895F19">
      <w:pPr>
        <w:numPr>
          <w:ilvl w:val="0"/>
          <w:numId w:val="1"/>
        </w:numPr>
        <w:pBdr>
          <w:top w:val="nil"/>
          <w:left w:val="nil"/>
          <w:bottom w:val="nil"/>
          <w:right w:val="nil"/>
          <w:between w:val="nil"/>
        </w:pBdr>
        <w:rPr>
          <w:color w:val="00B050"/>
        </w:rPr>
      </w:pPr>
      <w:r>
        <w:rPr>
          <w:color w:val="00B050"/>
        </w:rPr>
        <w:t>Employs</w:t>
      </w:r>
      <w:r w:rsidRPr="00060A9A">
        <w:rPr>
          <w:color w:val="00B050"/>
        </w:rPr>
        <w:t xml:space="preserve"> </w:t>
      </w:r>
      <w:r w:rsidR="008B2B82">
        <w:rPr>
          <w:color w:val="00B050"/>
        </w:rPr>
        <w:t>three robust analytical methods including</w:t>
      </w:r>
      <w:r w:rsidRPr="00060A9A">
        <w:rPr>
          <w:color w:val="00B050"/>
        </w:rPr>
        <w:t xml:space="preserve"> </w:t>
      </w:r>
      <w:r w:rsidRPr="008B2B82">
        <w:t xml:space="preserve">VAR model, time-varying VAR analysis, and time-varying panel model. </w:t>
      </w:r>
    </w:p>
    <w:p w14:paraId="00000020" w14:textId="262868BA" w:rsidR="00083006" w:rsidRPr="00060A9A" w:rsidRDefault="000B2550">
      <w:pPr>
        <w:numPr>
          <w:ilvl w:val="0"/>
          <w:numId w:val="1"/>
        </w:numPr>
        <w:pBdr>
          <w:top w:val="nil"/>
          <w:left w:val="nil"/>
          <w:bottom w:val="nil"/>
          <w:right w:val="nil"/>
          <w:between w:val="nil"/>
        </w:pBdr>
        <w:rPr>
          <w:color w:val="00B050"/>
        </w:rPr>
      </w:pPr>
      <w:r>
        <w:rPr>
          <w:color w:val="00B050"/>
        </w:rPr>
        <w:t xml:space="preserve">Initial </w:t>
      </w:r>
      <w:r w:rsidRPr="00060A9A">
        <w:rPr>
          <w:color w:val="00B050"/>
        </w:rPr>
        <w:t>inflation</w:t>
      </w:r>
      <w:r>
        <w:rPr>
          <w:color w:val="00B050"/>
        </w:rPr>
        <w:t xml:space="preserve"> shocks lead to a decrease in</w:t>
      </w:r>
      <w:r w:rsidRPr="00060A9A">
        <w:rPr>
          <w:color w:val="00B050"/>
        </w:rPr>
        <w:t xml:space="preserve"> </w:t>
      </w:r>
      <w:r w:rsidRPr="008033EA">
        <w:t xml:space="preserve">GDP, trade balance, unemployment, and </w:t>
      </w:r>
      <w:r w:rsidRPr="00060A9A">
        <w:rPr>
          <w:color w:val="00B050"/>
        </w:rPr>
        <w:t xml:space="preserve">Brent crude oil </w:t>
      </w:r>
      <w:r w:rsidR="006B4506">
        <w:rPr>
          <w:color w:val="00B050"/>
        </w:rPr>
        <w:t>prices</w:t>
      </w:r>
      <w:r w:rsidRPr="00060A9A">
        <w:rPr>
          <w:color w:val="00B050"/>
        </w:rPr>
        <w:t>.</w:t>
      </w:r>
    </w:p>
    <w:p w14:paraId="00000021" w14:textId="30A06135" w:rsidR="00083006" w:rsidRPr="00060A9A" w:rsidRDefault="0080383E">
      <w:pPr>
        <w:numPr>
          <w:ilvl w:val="0"/>
          <w:numId w:val="1"/>
        </w:numPr>
        <w:pBdr>
          <w:top w:val="nil"/>
          <w:left w:val="nil"/>
          <w:bottom w:val="nil"/>
          <w:right w:val="nil"/>
          <w:between w:val="nil"/>
        </w:pBdr>
        <w:rPr>
          <w:color w:val="00B050"/>
        </w:rPr>
      </w:pPr>
      <w:r w:rsidRPr="00B64877">
        <w:t xml:space="preserve">Brent crude oil shocks </w:t>
      </w:r>
      <w:r w:rsidR="00750F39">
        <w:rPr>
          <w:color w:val="00B050"/>
        </w:rPr>
        <w:t>demonstrate the quickest adjustment to inflation shocks, rebounding to positive levels within</w:t>
      </w:r>
      <w:r w:rsidR="00733C4F">
        <w:rPr>
          <w:color w:val="00B050"/>
        </w:rPr>
        <w:t xml:space="preserve"> a month</w:t>
      </w:r>
      <w:r w:rsidR="00B64877">
        <w:rPr>
          <w:color w:val="00B050"/>
        </w:rPr>
        <w:t>.</w:t>
      </w:r>
    </w:p>
    <w:p w14:paraId="00000022" w14:textId="6820E510" w:rsidR="00083006" w:rsidRPr="00060A9A" w:rsidRDefault="007512C3">
      <w:pPr>
        <w:numPr>
          <w:ilvl w:val="0"/>
          <w:numId w:val="1"/>
        </w:numPr>
        <w:pBdr>
          <w:top w:val="nil"/>
          <w:left w:val="nil"/>
          <w:bottom w:val="nil"/>
          <w:right w:val="nil"/>
          <w:between w:val="nil"/>
        </w:pBdr>
        <w:rPr>
          <w:color w:val="00B050"/>
        </w:rPr>
      </w:pPr>
      <w:r>
        <w:rPr>
          <w:color w:val="00B050"/>
        </w:rPr>
        <w:t>Short-term</w:t>
      </w:r>
      <w:r w:rsidRPr="00060A9A">
        <w:rPr>
          <w:color w:val="00B050"/>
        </w:rPr>
        <w:t xml:space="preserve"> impact</w:t>
      </w:r>
      <w:r>
        <w:rPr>
          <w:color w:val="00B050"/>
        </w:rPr>
        <w:t>s</w:t>
      </w:r>
      <w:r w:rsidRPr="00060A9A">
        <w:rPr>
          <w:color w:val="00B050"/>
        </w:rPr>
        <w:t xml:space="preserve"> </w:t>
      </w:r>
      <w:r w:rsidRPr="007512C3">
        <w:t xml:space="preserve">of inflation on Brent crude oil </w:t>
      </w:r>
      <w:r w:rsidRPr="007512C3">
        <w:rPr>
          <w:color w:val="00B050"/>
        </w:rPr>
        <w:t>are</w:t>
      </w:r>
      <w:r>
        <w:rPr>
          <w:color w:val="00B050"/>
        </w:rPr>
        <w:t xml:space="preserve"> significant, while long-term effects dissipate over time</w:t>
      </w:r>
      <w:r w:rsidRPr="00060A9A">
        <w:rPr>
          <w:color w:val="00B050"/>
        </w:rPr>
        <w:t>.</w:t>
      </w:r>
    </w:p>
    <w:p w14:paraId="00000023" w14:textId="77777777" w:rsidR="00083006" w:rsidRPr="00CC0F64" w:rsidRDefault="0080383E">
      <w:pPr>
        <w:rPr>
          <w:b/>
        </w:rPr>
      </w:pPr>
      <w:r w:rsidRPr="00CC0F64">
        <w:br w:type="page"/>
      </w:r>
    </w:p>
    <w:p w14:paraId="00000024" w14:textId="77777777" w:rsidR="00083006" w:rsidRPr="00CC0F64" w:rsidRDefault="0080383E">
      <w:pPr>
        <w:pStyle w:val="Heading1"/>
        <w:rPr>
          <w:b/>
        </w:rPr>
      </w:pPr>
      <w:r w:rsidRPr="00CC0F64">
        <w:rPr>
          <w:b/>
        </w:rPr>
        <w:lastRenderedPageBreak/>
        <w:t>1. Introduction</w:t>
      </w:r>
    </w:p>
    <w:p w14:paraId="00000025" w14:textId="77777777" w:rsidR="00083006" w:rsidRPr="00CC0F64" w:rsidRDefault="0080383E">
      <w:pPr>
        <w:spacing w:before="240"/>
        <w:ind w:firstLine="720"/>
        <w:jc w:val="both"/>
      </w:pPr>
      <w:r w:rsidRPr="00CC0F64">
        <w:t>Inflation has always been one of the concerns of economists. Economic agents make most of their decisions based on expectations of inflation as inflation has impacts on both economic and social development (</w:t>
      </w:r>
      <w:proofErr w:type="spellStart"/>
      <w:r w:rsidRPr="00CC0F64">
        <w:t>Bernoth</w:t>
      </w:r>
      <w:proofErr w:type="spellEnd"/>
      <w:r w:rsidRPr="00CC0F64">
        <w:t xml:space="preserve"> and </w:t>
      </w:r>
      <w:proofErr w:type="spellStart"/>
      <w:r w:rsidRPr="00CC0F64">
        <w:t>Ider</w:t>
      </w:r>
      <w:proofErr w:type="spellEnd"/>
      <w:r w:rsidRPr="00CC0F64">
        <w:t>, 2021; Salisu et al., 2017). Especially during the coronavirus pandemic recently, there are various factors might be linked with the level of inflation such as GDP, oil price, exchange rate, interest rates, taxes, trade balance and unemployment rate (Blot et al., 2022).</w:t>
      </w:r>
    </w:p>
    <w:p w14:paraId="00000026" w14:textId="77777777" w:rsidR="00083006" w:rsidRPr="00CC0F64" w:rsidRDefault="0080383E">
      <w:pPr>
        <w:spacing w:before="240"/>
        <w:ind w:firstLine="720"/>
        <w:jc w:val="both"/>
      </w:pPr>
      <w:r w:rsidRPr="00CC0F64">
        <w:t xml:space="preserve">The outbreak of Covid -19 has made governments impose restrictions on economic activities all over the world. Western countries are not exceptional. </w:t>
      </w:r>
      <w:proofErr w:type="gramStart"/>
      <w:r w:rsidRPr="00CC0F64">
        <w:t>In order to</w:t>
      </w:r>
      <w:proofErr w:type="gramEnd"/>
      <w:r w:rsidRPr="00CC0F64">
        <w:t xml:space="preserve"> minimize the spread and the risk of contagion among people, reducing mobility was applied that leads to a sharp decline in personal consumption in 2020: - 12.7% for the euro area, -20% in Spain and -12% in Italy and France (Blot et al., 2022). As a result, gross domestic product (GDP) fell by 6.7% in the euro area in 2020. It also states that inflation reached 3% in </w:t>
      </w:r>
      <w:proofErr w:type="gramStart"/>
      <w:r w:rsidRPr="00CC0F64">
        <w:t>August,</w:t>
      </w:r>
      <w:proofErr w:type="gramEnd"/>
      <w:r w:rsidRPr="00CC0F64">
        <w:t xml:space="preserve"> 2021 while it was -0.3% at the end of 2020 and that level has been the highest one since the end of 2011. It is found that the rise in inflation is partly related to energy prices (see </w:t>
      </w:r>
      <w:proofErr w:type="spellStart"/>
      <w:r w:rsidRPr="00CC0F64">
        <w:t>Ivrendi</w:t>
      </w:r>
      <w:proofErr w:type="spellEnd"/>
      <w:r w:rsidRPr="00CC0F64">
        <w:t xml:space="preserve"> and </w:t>
      </w:r>
      <w:proofErr w:type="spellStart"/>
      <w:r w:rsidRPr="00CC0F64">
        <w:t>Guloglu</w:t>
      </w:r>
      <w:proofErr w:type="spellEnd"/>
      <w:r w:rsidRPr="00CC0F64">
        <w:t xml:space="preserve">, 2010; </w:t>
      </w:r>
      <w:proofErr w:type="spellStart"/>
      <w:r w:rsidRPr="00CC0F64">
        <w:t>Millick</w:t>
      </w:r>
      <w:proofErr w:type="spellEnd"/>
      <w:r w:rsidRPr="00CC0F64">
        <w:t xml:space="preserve"> and Mohsin, 2016; Salisu et al., 2017; Talha et al., 2021), particularly the increase in oil price in 2021 (Blot et al., 2022). In another research, </w:t>
      </w:r>
      <w:proofErr w:type="spellStart"/>
      <w:r w:rsidRPr="00CC0F64">
        <w:t>Bernoth</w:t>
      </w:r>
      <w:proofErr w:type="spellEnd"/>
      <w:r w:rsidRPr="00CC0F64">
        <w:t xml:space="preserve"> and </w:t>
      </w:r>
      <w:proofErr w:type="spellStart"/>
      <w:r w:rsidRPr="00CC0F64">
        <w:t>Ider</w:t>
      </w:r>
      <w:proofErr w:type="spellEnd"/>
      <w:r w:rsidRPr="00CC0F64">
        <w:t xml:space="preserve"> (2021) also point out the same views. They emphasized that the current rise in inflation is result from the recovery of energy prices after their collapse and the reversal of VAT reductions in several European countries. </w:t>
      </w:r>
    </w:p>
    <w:p w14:paraId="00000027" w14:textId="77777777" w:rsidR="00083006" w:rsidRPr="00CC0F64" w:rsidRDefault="0080383E">
      <w:pPr>
        <w:spacing w:before="240"/>
        <w:ind w:firstLine="720"/>
        <w:jc w:val="both"/>
      </w:pPr>
      <w:r w:rsidRPr="00CC0F64">
        <w:t>One of the factors that is often discussed a lot when it comes to inflation is unemployment. However, the correlation between unemployment rates and inflation in the Euro area is very low, so it is impossible to make a clear statement, especially in the time of Covid - 19 (</w:t>
      </w:r>
      <w:proofErr w:type="spellStart"/>
      <w:r w:rsidRPr="00CC0F64">
        <w:t>Bernoth</w:t>
      </w:r>
      <w:proofErr w:type="spellEnd"/>
      <w:r w:rsidRPr="00CC0F64">
        <w:t xml:space="preserve"> and </w:t>
      </w:r>
      <w:proofErr w:type="spellStart"/>
      <w:r w:rsidRPr="00CC0F64">
        <w:t>Ider</w:t>
      </w:r>
      <w:proofErr w:type="spellEnd"/>
      <w:r w:rsidRPr="00CC0F64">
        <w:t xml:space="preserve">, 2021). When conducting research on inflation in the US, the </w:t>
      </w:r>
      <w:r w:rsidRPr="00CC0F64">
        <w:lastRenderedPageBreak/>
        <w:t>failure rate of SMEs during the Covid crisis was significantly higher than that of other types of businesses. Therefore, a decrease in supply from small and medium enterprises would contribute to a decrease in world exports, which would have contributed to an increase in inflation in the US (</w:t>
      </w:r>
      <w:proofErr w:type="spellStart"/>
      <w:r w:rsidRPr="00CC0F64">
        <w:t>Kalemli-Ozcan</w:t>
      </w:r>
      <w:proofErr w:type="spellEnd"/>
      <w:r w:rsidRPr="00CC0F64">
        <w:t xml:space="preserve"> et al., 2020). </w:t>
      </w:r>
    </w:p>
    <w:p w14:paraId="00000028" w14:textId="64D8DDAD" w:rsidR="00083006" w:rsidRDefault="0080383E">
      <w:pPr>
        <w:ind w:firstLine="720"/>
        <w:jc w:val="both"/>
      </w:pPr>
      <w:r w:rsidRPr="00CC0F64">
        <w:t>Considering the facts above, it is vital to investigate the linkages between inflation and macroeconomy through the oil price channel during the recent crises (e.g., COVID-19 supply disruptions). Meanwhile, UK inflation has hit a 41-year high causing the economy to be at risk of expecting the longest recession in its history. Therefore, this paper examines the influence of inflation on the aforementioned factors, including gross domestic product (GDP), trade balance, unemployment, and brent crude oil in the UK. Our work represents novel contributions in various ways compared to the prior literature. First, our paper applies a combination of three analyses under the framework of vector autoregressive model (VAR) including VAR model, time-varying VAR analysis, and a time-varying panel model with robustness. Further, V</w:t>
      </w:r>
      <w:r w:rsidR="009433C4" w:rsidRPr="009433C4">
        <w:rPr>
          <w:color w:val="7030A0"/>
        </w:rPr>
        <w:t>A</w:t>
      </w:r>
      <w:r w:rsidRPr="00CC0F64">
        <w:t>R as a relevant measure of risk, either by regulation or by choice, is a natural approach given that V</w:t>
      </w:r>
      <w:r w:rsidR="009433C4" w:rsidRPr="009433C4">
        <w:rPr>
          <w:color w:val="7030A0"/>
        </w:rPr>
        <w:t>A</w:t>
      </w:r>
      <w:r w:rsidRPr="00CC0F64">
        <w:t xml:space="preserve">R has become a common instrument for assessing and controlling risk in practice. Second, our results show that in response to a shock of inflation, the percentage change in GDP, trade balance, unemployment, and the price of Brent crude oil tend to decrease at the beginning period of this shock. However, it seems that the Brent crude oil shocks appear to be the fastest to adjust to spiking inflation because they take only one month to rebound to a positive level as opposed to other </w:t>
      </w:r>
      <w:sdt>
        <w:sdtPr>
          <w:tag w:val="goog_rdk_2"/>
          <w:id w:val="-1911604344"/>
        </w:sdtPr>
        <w:sdtContent/>
      </w:sdt>
      <w:r w:rsidRPr="00CC0F64">
        <w:t xml:space="preserve">proxies. Third, it is surprising that from 2010 to 2020, </w:t>
      </w:r>
      <w:proofErr w:type="gramStart"/>
      <w:r w:rsidRPr="00CC0F64">
        <w:t>with the exception of</w:t>
      </w:r>
      <w:proofErr w:type="gramEnd"/>
      <w:r w:rsidRPr="00CC0F64">
        <w:t xml:space="preserve"> the periods of the European sovereign financial crisis in 2012 and the second wave of the Covid-19 epidemic, the percentage change in unemployment declined consistently. Finally, results from the simulations of orthogonalized impulse response function (IRF) and time-varying impulse response function (IRF) of our four proxies; including the percentage change in GDP, trade balance, unemployment, and Brent </w:t>
      </w:r>
      <w:r w:rsidRPr="00CC0F64">
        <w:lastRenderedPageBreak/>
        <w:t>crude oil, to the inflation shock indicate that GDP, trade balance, unemployment, and the price of Brent crude oil all decreased in percentage terms during the early stages of the shock. After that, it dies out in the long term. Therefore, our study provides crucial implications for practitioners and policymakers who need to understand the effects of inflation shocks on important macroeconomic factors. This is particularly relevant for the short-term economic activities (e.g., business investment, consumer spending, and employment rates).</w:t>
      </w:r>
    </w:p>
    <w:p w14:paraId="35171EFB" w14:textId="3CB6DFD5" w:rsidR="00451057" w:rsidRPr="00451057" w:rsidRDefault="00451057" w:rsidP="00451057">
      <w:pPr>
        <w:ind w:firstLine="720"/>
        <w:jc w:val="both"/>
        <w:rPr>
          <w:highlight w:val="yellow"/>
        </w:rPr>
      </w:pPr>
      <w:bookmarkStart w:id="1" w:name="_Hlk133264865"/>
      <w:proofErr w:type="gramStart"/>
      <w:r w:rsidRPr="00451057">
        <w:rPr>
          <w:highlight w:val="yellow"/>
        </w:rPr>
        <w:t>Moreover</w:t>
      </w:r>
      <w:proofErr w:type="gramEnd"/>
      <w:r w:rsidRPr="00451057">
        <w:rPr>
          <w:highlight w:val="yellow"/>
        </w:rPr>
        <w:t xml:space="preserve"> from </w:t>
      </w:r>
      <w:proofErr w:type="gramStart"/>
      <w:r w:rsidRPr="00451057">
        <w:rPr>
          <w:highlight w:val="yellow"/>
        </w:rPr>
        <w:t>policy</w:t>
      </w:r>
      <w:proofErr w:type="gramEnd"/>
      <w:r w:rsidRPr="00451057">
        <w:rPr>
          <w:highlight w:val="yellow"/>
        </w:rPr>
        <w:t xml:space="preserve"> perspective, our paper highlights several main contributions to understand the role that oil prices play in driving inflation. Changes in oil prices may have a substantial impact on the cost of various products and services since oil is a crucial component in the manufacture of many goods and services. As a result, by examining the connection between oil prices and inflation, the experts may provide policymakers crucial information on how to control inflation.</w:t>
      </w:r>
    </w:p>
    <w:p w14:paraId="183A9051" w14:textId="77777777" w:rsidR="00451057" w:rsidRPr="00451057" w:rsidRDefault="00451057" w:rsidP="00451057">
      <w:pPr>
        <w:ind w:firstLine="720"/>
        <w:jc w:val="both"/>
        <w:rPr>
          <w:highlight w:val="yellow"/>
        </w:rPr>
      </w:pPr>
      <w:r w:rsidRPr="00451057">
        <w:rPr>
          <w:highlight w:val="yellow"/>
        </w:rPr>
        <w:t>The understanding of the effects of oil price shocks on other economic variables, such as GDP growth, trade balances, and exchange rates, is another significant contribution to the research. Researchers may provide light on the possible implications of oil price shocks for different economic sectors by examining the dynamics of these linkages and assist policymakers in creating ways that reduce these effects.</w:t>
      </w:r>
    </w:p>
    <w:p w14:paraId="706F6296" w14:textId="57A2C24D" w:rsidR="00451057" w:rsidRPr="00CC0F64" w:rsidRDefault="00451057" w:rsidP="00451057">
      <w:pPr>
        <w:ind w:firstLine="720"/>
        <w:jc w:val="both"/>
      </w:pPr>
      <w:r w:rsidRPr="00451057">
        <w:rPr>
          <w:highlight w:val="yellow"/>
        </w:rPr>
        <w:t>Finally, research on inflation, oil prices, and other economic factors has also helped to construct macroeconomic models that can be used to study how the world economy behaves. These models may be used to simulate various economic situations and suggest appropriate policy responses. They include a variety of economic factors, such as oil prices, inflation, and GDP growth</w:t>
      </w:r>
      <w:r>
        <w:t>.</w:t>
      </w:r>
    </w:p>
    <w:bookmarkEnd w:id="1"/>
    <w:p w14:paraId="00000029" w14:textId="77777777" w:rsidR="00083006" w:rsidRPr="00CC0F64" w:rsidRDefault="0080383E">
      <w:pPr>
        <w:spacing w:before="240"/>
        <w:ind w:firstLine="720"/>
        <w:jc w:val="both"/>
      </w:pPr>
      <w:r w:rsidRPr="00CC0F64">
        <w:t xml:space="preserve">The remainder of the paper is structured whereby the second section presents the literature review on the linkages between inflation and economic activity as well as oil prices. The third section describes data and details the methodology used in the study. Section four </w:t>
      </w:r>
      <w:r w:rsidRPr="00CC0F64">
        <w:lastRenderedPageBreak/>
        <w:t>reports the empirical findings and the fifth section concludes this study and suggests policy implications.</w:t>
      </w:r>
    </w:p>
    <w:p w14:paraId="0000002A" w14:textId="0E84D8FB" w:rsidR="00083006" w:rsidRDefault="0080383E">
      <w:pPr>
        <w:pStyle w:val="Heading1"/>
        <w:rPr>
          <w:b/>
        </w:rPr>
      </w:pPr>
      <w:r w:rsidRPr="00CC0F64">
        <w:rPr>
          <w:b/>
        </w:rPr>
        <w:t>2. Literature Review</w:t>
      </w:r>
    </w:p>
    <w:p w14:paraId="1906CB0E" w14:textId="483A2DEE" w:rsidR="00091BE3" w:rsidRPr="008F1421" w:rsidRDefault="00091BE3" w:rsidP="00091BE3">
      <w:pPr>
        <w:pStyle w:val="Heading2"/>
        <w:rPr>
          <w:color w:val="00B050"/>
        </w:rPr>
      </w:pPr>
      <w:r w:rsidRPr="008F1421">
        <w:rPr>
          <w:color w:val="00B050"/>
        </w:rPr>
        <w:t>2.1 Theoretical underpinnings</w:t>
      </w:r>
      <w:r w:rsidR="008F1421" w:rsidRPr="008F1421">
        <w:rPr>
          <w:color w:val="00B050"/>
        </w:rPr>
        <w:t xml:space="preserve"> and research background</w:t>
      </w:r>
    </w:p>
    <w:p w14:paraId="1D323463" w14:textId="3F8F73E3" w:rsidR="000939EB" w:rsidRPr="000939EB" w:rsidRDefault="00906178" w:rsidP="000939EB">
      <w:pPr>
        <w:spacing w:before="240"/>
        <w:ind w:firstLine="720"/>
        <w:jc w:val="both"/>
        <w:rPr>
          <w:color w:val="00B050"/>
        </w:rPr>
      </w:pPr>
      <w:r>
        <w:rPr>
          <w:color w:val="00B050"/>
        </w:rPr>
        <w:t xml:space="preserve">There are </w:t>
      </w:r>
      <w:r w:rsidRPr="00906178">
        <w:rPr>
          <w:color w:val="00B050"/>
        </w:rPr>
        <w:t xml:space="preserve">several theories </w:t>
      </w:r>
      <w:r w:rsidR="001D0793">
        <w:rPr>
          <w:color w:val="00B050"/>
        </w:rPr>
        <w:t xml:space="preserve">(e.g., the Phillips </w:t>
      </w:r>
      <w:r w:rsidR="005215AB">
        <w:rPr>
          <w:color w:val="00B050"/>
        </w:rPr>
        <w:t>c</w:t>
      </w:r>
      <w:r w:rsidR="001D0793">
        <w:rPr>
          <w:color w:val="00B050"/>
        </w:rPr>
        <w:t>urve</w:t>
      </w:r>
      <w:r w:rsidR="005D32EC">
        <w:rPr>
          <w:color w:val="00B050"/>
        </w:rPr>
        <w:t xml:space="preserve"> economic theory</w:t>
      </w:r>
      <w:r w:rsidR="001D0793">
        <w:rPr>
          <w:color w:val="00B050"/>
        </w:rPr>
        <w:t xml:space="preserve">, </w:t>
      </w:r>
      <w:r w:rsidR="005215AB">
        <w:rPr>
          <w:color w:val="00B050"/>
        </w:rPr>
        <w:t>a</w:t>
      </w:r>
      <w:r w:rsidR="001D0793">
        <w:rPr>
          <w:color w:val="00B050"/>
        </w:rPr>
        <w:t xml:space="preserve">ggregate </w:t>
      </w:r>
      <w:r w:rsidR="005215AB">
        <w:rPr>
          <w:color w:val="00B050"/>
        </w:rPr>
        <w:t>d</w:t>
      </w:r>
      <w:r w:rsidR="001D0793">
        <w:rPr>
          <w:color w:val="00B050"/>
        </w:rPr>
        <w:t>emand-</w:t>
      </w:r>
      <w:r w:rsidR="005215AB">
        <w:rPr>
          <w:color w:val="00B050"/>
        </w:rPr>
        <w:t>a</w:t>
      </w:r>
      <w:r w:rsidR="001D0793">
        <w:rPr>
          <w:color w:val="00B050"/>
        </w:rPr>
        <w:t xml:space="preserve">ggregate </w:t>
      </w:r>
      <w:r w:rsidR="005215AB">
        <w:rPr>
          <w:color w:val="00B050"/>
        </w:rPr>
        <w:t>s</w:t>
      </w:r>
      <w:r w:rsidR="001D0793">
        <w:rPr>
          <w:color w:val="00B050"/>
        </w:rPr>
        <w:t>upply model</w:t>
      </w:r>
      <w:r w:rsidR="005D32EC">
        <w:rPr>
          <w:color w:val="00B050"/>
        </w:rPr>
        <w:t>, the theory of rational expectations</w:t>
      </w:r>
      <w:r w:rsidR="00543638">
        <w:rPr>
          <w:color w:val="00B050"/>
        </w:rPr>
        <w:t>, and the quantity theory of money</w:t>
      </w:r>
      <w:r w:rsidR="005D32EC">
        <w:rPr>
          <w:color w:val="00B050"/>
        </w:rPr>
        <w:t xml:space="preserve">) </w:t>
      </w:r>
      <w:r w:rsidRPr="00906178">
        <w:rPr>
          <w:color w:val="00B050"/>
        </w:rPr>
        <w:t xml:space="preserve">in macroeconomics provide a basis for </w:t>
      </w:r>
      <w:r w:rsidR="00543638">
        <w:rPr>
          <w:color w:val="00B050"/>
        </w:rPr>
        <w:t>investigating</w:t>
      </w:r>
      <w:r w:rsidRPr="00906178">
        <w:rPr>
          <w:color w:val="00B050"/>
        </w:rPr>
        <w:t xml:space="preserve"> the relationship between energy consumption, inflation, and economic growth. </w:t>
      </w:r>
      <w:r w:rsidR="001D0793" w:rsidRPr="001D0793">
        <w:rPr>
          <w:color w:val="00B050"/>
        </w:rPr>
        <w:t>These theories are vital in shaping the understanding of the impacts of macroeconomic factors on energy consumption and inflation.</w:t>
      </w:r>
    </w:p>
    <w:p w14:paraId="2AF0156C" w14:textId="52B70E3A" w:rsidR="004D1FEE" w:rsidRPr="004D1FEE" w:rsidRDefault="000939EB" w:rsidP="000939EB">
      <w:pPr>
        <w:spacing w:before="240"/>
        <w:ind w:firstLine="720"/>
        <w:jc w:val="both"/>
        <w:rPr>
          <w:color w:val="00B050"/>
        </w:rPr>
      </w:pPr>
      <w:r w:rsidRPr="000939EB">
        <w:rPr>
          <w:color w:val="00B050"/>
        </w:rPr>
        <w:t xml:space="preserve">One such theory is the Phillips </w:t>
      </w:r>
      <w:r w:rsidR="00923E8C">
        <w:rPr>
          <w:color w:val="00B050"/>
        </w:rPr>
        <w:t>c</w:t>
      </w:r>
      <w:r w:rsidRPr="000939EB">
        <w:rPr>
          <w:color w:val="00B050"/>
        </w:rPr>
        <w:t>urve</w:t>
      </w:r>
      <w:r w:rsidR="00923E8C">
        <w:rPr>
          <w:color w:val="00B050"/>
        </w:rPr>
        <w:t xml:space="preserve"> economic theory</w:t>
      </w:r>
      <w:r w:rsidRPr="000939EB">
        <w:rPr>
          <w:color w:val="00B050"/>
        </w:rPr>
        <w:t>, which posits an inverse relationship between inflation and unemployment rates. According to this theory, a decrease in unemployment leads to an increase in inflation, and vice versa (Phillips, 1958). This implies that changes in the labor market, such as employment levels and wage rates, can significantly affect inflation</w:t>
      </w:r>
      <w:r w:rsidR="00C622B7">
        <w:rPr>
          <w:color w:val="00B050"/>
        </w:rPr>
        <w:t xml:space="preserve"> (Salisu et al., 2018)</w:t>
      </w:r>
      <w:r w:rsidRPr="000939EB">
        <w:rPr>
          <w:color w:val="00B050"/>
        </w:rPr>
        <w:t>.</w:t>
      </w:r>
      <w:r w:rsidR="006312FF">
        <w:rPr>
          <w:color w:val="00B050"/>
        </w:rPr>
        <w:t xml:space="preserve"> </w:t>
      </w:r>
      <w:r w:rsidRPr="000939EB">
        <w:rPr>
          <w:color w:val="00B050"/>
        </w:rPr>
        <w:t xml:space="preserve">Another relevant theory is the </w:t>
      </w:r>
      <w:r w:rsidR="00923E8C">
        <w:rPr>
          <w:color w:val="00B050"/>
        </w:rPr>
        <w:t>a</w:t>
      </w:r>
      <w:r w:rsidRPr="000939EB">
        <w:rPr>
          <w:color w:val="00B050"/>
        </w:rPr>
        <w:t xml:space="preserve">ggregate </w:t>
      </w:r>
      <w:r w:rsidR="00923E8C">
        <w:rPr>
          <w:color w:val="00B050"/>
        </w:rPr>
        <w:t>d</w:t>
      </w:r>
      <w:r w:rsidRPr="000939EB">
        <w:rPr>
          <w:color w:val="00B050"/>
        </w:rPr>
        <w:t>emand-</w:t>
      </w:r>
      <w:r w:rsidR="00923E8C">
        <w:rPr>
          <w:color w:val="00B050"/>
        </w:rPr>
        <w:t>a</w:t>
      </w:r>
      <w:r w:rsidRPr="000939EB">
        <w:rPr>
          <w:color w:val="00B050"/>
        </w:rPr>
        <w:t xml:space="preserve">ggregate </w:t>
      </w:r>
      <w:r w:rsidR="00923E8C">
        <w:rPr>
          <w:color w:val="00B050"/>
        </w:rPr>
        <w:t>s</w:t>
      </w:r>
      <w:r w:rsidRPr="000939EB">
        <w:rPr>
          <w:color w:val="00B050"/>
        </w:rPr>
        <w:t>upply (AD-AS) model, which explains the relationship between the overall demand and supply of goods and services in an economy. An increase in aggregate demand or a decrease in aggregate supply can lead to higher inflation levels due to excess demand and scarcity of resources. This model highlights the importance of managing the balance between demand and supply to maintain price stability and economic growth (Mankiw, 2014).</w:t>
      </w:r>
      <w:r w:rsidR="00C150A1">
        <w:rPr>
          <w:color w:val="00B050"/>
        </w:rPr>
        <w:t xml:space="preserve"> </w:t>
      </w:r>
      <w:r w:rsidRPr="000939EB">
        <w:rPr>
          <w:color w:val="00B050"/>
        </w:rPr>
        <w:t xml:space="preserve">Furthermore, the theory of </w:t>
      </w:r>
      <w:r w:rsidR="00C150A1">
        <w:rPr>
          <w:color w:val="00B050"/>
        </w:rPr>
        <w:t>r</w:t>
      </w:r>
      <w:r w:rsidRPr="000939EB">
        <w:rPr>
          <w:color w:val="00B050"/>
        </w:rPr>
        <w:t xml:space="preserve">ational </w:t>
      </w:r>
      <w:r w:rsidR="00C150A1">
        <w:rPr>
          <w:color w:val="00B050"/>
        </w:rPr>
        <w:t>e</w:t>
      </w:r>
      <w:r w:rsidRPr="000939EB">
        <w:rPr>
          <w:color w:val="00B050"/>
        </w:rPr>
        <w:t>xpectations suggests that individuals and businesses form their expectations about future inflation rates based on available information (</w:t>
      </w:r>
      <w:proofErr w:type="spellStart"/>
      <w:r w:rsidRPr="000939EB">
        <w:rPr>
          <w:color w:val="00B050"/>
        </w:rPr>
        <w:t>Muth</w:t>
      </w:r>
      <w:proofErr w:type="spellEnd"/>
      <w:r w:rsidRPr="000939EB">
        <w:rPr>
          <w:color w:val="00B050"/>
        </w:rPr>
        <w:t>, 1961). This theory implies that changes in energy prices, as well as other macroeconomic variables, can impact inflation expectations</w:t>
      </w:r>
      <w:r w:rsidR="009A51CA">
        <w:rPr>
          <w:color w:val="00B050"/>
        </w:rPr>
        <w:t xml:space="preserve"> (Goetz et al., 2021)</w:t>
      </w:r>
      <w:r w:rsidRPr="000939EB">
        <w:rPr>
          <w:color w:val="00B050"/>
        </w:rPr>
        <w:t>, which in turn influence actual inflation rates</w:t>
      </w:r>
      <w:r w:rsidR="0042199F">
        <w:rPr>
          <w:color w:val="00B050"/>
        </w:rPr>
        <w:t xml:space="preserve"> (</w:t>
      </w:r>
      <w:proofErr w:type="spellStart"/>
      <w:r w:rsidR="0042199F">
        <w:rPr>
          <w:color w:val="00B050"/>
        </w:rPr>
        <w:t>Alstadheim</w:t>
      </w:r>
      <w:proofErr w:type="spellEnd"/>
      <w:r w:rsidR="0042199F">
        <w:rPr>
          <w:color w:val="00B050"/>
        </w:rPr>
        <w:t xml:space="preserve"> et al., 2021)</w:t>
      </w:r>
      <w:r w:rsidRPr="000939EB">
        <w:rPr>
          <w:color w:val="00B050"/>
        </w:rPr>
        <w:t>.</w:t>
      </w:r>
      <w:r w:rsidR="008A3D96">
        <w:rPr>
          <w:color w:val="00B050"/>
        </w:rPr>
        <w:t xml:space="preserve"> </w:t>
      </w:r>
      <w:r w:rsidRPr="000939EB">
        <w:rPr>
          <w:color w:val="00B050"/>
        </w:rPr>
        <w:t xml:space="preserve">Lastly, the </w:t>
      </w:r>
      <w:r w:rsidR="008A3D96">
        <w:rPr>
          <w:color w:val="00B050"/>
        </w:rPr>
        <w:t>q</w:t>
      </w:r>
      <w:r w:rsidRPr="000939EB">
        <w:rPr>
          <w:color w:val="00B050"/>
        </w:rPr>
        <w:t xml:space="preserve">uantity </w:t>
      </w:r>
      <w:r w:rsidR="008A3D96">
        <w:rPr>
          <w:color w:val="00B050"/>
        </w:rPr>
        <w:t>t</w:t>
      </w:r>
      <w:r w:rsidRPr="000939EB">
        <w:rPr>
          <w:color w:val="00B050"/>
        </w:rPr>
        <w:t xml:space="preserve">heory of </w:t>
      </w:r>
      <w:r w:rsidR="008A3D96">
        <w:rPr>
          <w:color w:val="00B050"/>
        </w:rPr>
        <w:t>m</w:t>
      </w:r>
      <w:r w:rsidRPr="000939EB">
        <w:rPr>
          <w:color w:val="00B050"/>
        </w:rPr>
        <w:t xml:space="preserve">oney emphasizes the relationship between the money </w:t>
      </w:r>
      <w:r w:rsidRPr="000939EB">
        <w:rPr>
          <w:color w:val="00B050"/>
        </w:rPr>
        <w:lastRenderedPageBreak/>
        <w:t>supply, inflation, and economic growth (Friedman, 1963). According to this theory, an increase in the money supply can lead to higher inflation, as more money chases the same quantity of goods and services</w:t>
      </w:r>
      <w:r w:rsidR="00B956AD">
        <w:rPr>
          <w:color w:val="00B050"/>
        </w:rPr>
        <w:t xml:space="preserve"> (Wei and Guo, 2016)</w:t>
      </w:r>
      <w:r w:rsidRPr="000939EB">
        <w:rPr>
          <w:color w:val="00B050"/>
        </w:rPr>
        <w:t>. This theory underscores the importance of monetary policy in managing inflation and maintaining economic stability</w:t>
      </w:r>
      <w:r w:rsidR="00B8044E">
        <w:rPr>
          <w:color w:val="00B050"/>
        </w:rPr>
        <w:t xml:space="preserve"> (</w:t>
      </w:r>
      <w:proofErr w:type="spellStart"/>
      <w:r w:rsidR="00B8044E" w:rsidRPr="009F4DB7">
        <w:rPr>
          <w:rFonts w:ascii="Arial" w:hAnsi="Arial" w:cs="Arial"/>
          <w:color w:val="00B050"/>
          <w:sz w:val="20"/>
          <w:szCs w:val="20"/>
          <w:shd w:val="clear" w:color="auto" w:fill="FFFFFF"/>
        </w:rPr>
        <w:t>Jareño</w:t>
      </w:r>
      <w:proofErr w:type="spellEnd"/>
      <w:r w:rsidR="00B8044E">
        <w:rPr>
          <w:rFonts w:ascii="Arial" w:hAnsi="Arial" w:cs="Arial"/>
          <w:color w:val="00B050"/>
          <w:sz w:val="20"/>
          <w:szCs w:val="20"/>
          <w:shd w:val="clear" w:color="auto" w:fill="FFFFFF"/>
        </w:rPr>
        <w:t xml:space="preserve"> et al., 2022</w:t>
      </w:r>
      <w:r w:rsidR="00FC20E3">
        <w:rPr>
          <w:rFonts w:ascii="Arial" w:hAnsi="Arial" w:cs="Arial"/>
          <w:color w:val="00B050"/>
          <w:sz w:val="20"/>
          <w:szCs w:val="20"/>
          <w:shd w:val="clear" w:color="auto" w:fill="FFFFFF"/>
        </w:rPr>
        <w:t>; Nasir et al., 2023</w:t>
      </w:r>
      <w:r w:rsidR="00B8044E">
        <w:rPr>
          <w:rFonts w:ascii="Arial" w:hAnsi="Arial" w:cs="Arial"/>
          <w:color w:val="00B050"/>
          <w:sz w:val="20"/>
          <w:szCs w:val="20"/>
          <w:shd w:val="clear" w:color="auto" w:fill="FFFFFF"/>
        </w:rPr>
        <w:t>)</w:t>
      </w:r>
      <w:r w:rsidRPr="000939EB">
        <w:rPr>
          <w:color w:val="00B050"/>
        </w:rPr>
        <w:t>.</w:t>
      </w:r>
    </w:p>
    <w:p w14:paraId="44F08917" w14:textId="03030290" w:rsidR="00FB194C" w:rsidRDefault="00FB194C" w:rsidP="00FB194C">
      <w:pPr>
        <w:spacing w:before="240"/>
        <w:ind w:firstLine="720"/>
        <w:jc w:val="both"/>
        <w:rPr>
          <w:color w:val="00B050"/>
        </w:rPr>
      </w:pPr>
      <w:r w:rsidRPr="00FB194C">
        <w:rPr>
          <w:color w:val="00B050"/>
        </w:rPr>
        <w:t xml:space="preserve">Building on the </w:t>
      </w:r>
      <w:proofErr w:type="gramStart"/>
      <w:r w:rsidRPr="00FB194C">
        <w:rPr>
          <w:color w:val="00B050"/>
        </w:rPr>
        <w:t>aforementioned theoretical</w:t>
      </w:r>
      <w:proofErr w:type="gramEnd"/>
      <w:r w:rsidRPr="00FB194C">
        <w:rPr>
          <w:color w:val="00B050"/>
        </w:rPr>
        <w:t xml:space="preserve"> foundations, the empirical literature has delved into various aspects of the relationship between economic activities, energy consumption, and inflation. A plethora of studies (Nasreen et al., 2018; Mohsin et al., 2021; Munir et al., 2020; Ouyang &amp; Li, 2018) have investigated the intricate interplay between these factors. According to the literature (Buhari et al., 2020; </w:t>
      </w:r>
      <w:proofErr w:type="spellStart"/>
      <w:r w:rsidRPr="00FB194C">
        <w:rPr>
          <w:color w:val="00B050"/>
        </w:rPr>
        <w:t>Magazzino</w:t>
      </w:r>
      <w:proofErr w:type="spellEnd"/>
      <w:r w:rsidRPr="00FB194C">
        <w:rPr>
          <w:color w:val="00B050"/>
        </w:rPr>
        <w:t xml:space="preserve"> et al., 2021; Nasir et al., 2018; Nguyen &amp; Nasir, 2021; Ouyang &amp; Li, 2018; Wu et al., 2018), a combination of stable inflation and energy consumption is crucial for fostering economic growth across countries</w:t>
      </w:r>
      <w:r w:rsidR="000A44D0">
        <w:rPr>
          <w:color w:val="00B050"/>
        </w:rPr>
        <w:t xml:space="preserve"> (e.g.,</w:t>
      </w:r>
      <w:r w:rsidR="008875E3">
        <w:rPr>
          <w:color w:val="00B050"/>
        </w:rPr>
        <w:t xml:space="preserve"> UK)</w:t>
      </w:r>
      <w:r w:rsidR="00F93EE2">
        <w:rPr>
          <w:color w:val="00B050"/>
        </w:rPr>
        <w:t xml:space="preserve">, </w:t>
      </w:r>
      <w:proofErr w:type="gramStart"/>
      <w:r w:rsidR="00F93EE2">
        <w:rPr>
          <w:color w:val="00B050"/>
        </w:rPr>
        <w:t>taking in</w:t>
      </w:r>
      <w:r w:rsidR="008C7382">
        <w:rPr>
          <w:color w:val="00B050"/>
        </w:rPr>
        <w:t>to account</w:t>
      </w:r>
      <w:proofErr w:type="gramEnd"/>
      <w:r w:rsidR="008C7382">
        <w:rPr>
          <w:color w:val="00B050"/>
        </w:rPr>
        <w:t xml:space="preserve"> the theoretical underpinnings</w:t>
      </w:r>
      <w:r w:rsidRPr="00FB194C">
        <w:rPr>
          <w:color w:val="00B050"/>
        </w:rPr>
        <w:t>.</w:t>
      </w:r>
      <w:r w:rsidR="007A6FC9">
        <w:rPr>
          <w:color w:val="00B050"/>
        </w:rPr>
        <w:t xml:space="preserve"> </w:t>
      </w:r>
      <w:r w:rsidRPr="00FB194C">
        <w:rPr>
          <w:color w:val="00B050"/>
        </w:rPr>
        <w:t xml:space="preserve">For instance, Ouyang and Li (2018) discover a significant and positive relationship between energy consumption and financial development in China, irrespective of geographic locations. However, it is essential to consider the environmental implications of energy consumption. </w:t>
      </w:r>
      <w:proofErr w:type="gramStart"/>
      <w:r w:rsidRPr="00FB194C">
        <w:rPr>
          <w:color w:val="00B050"/>
        </w:rPr>
        <w:t>As a consequence of</w:t>
      </w:r>
      <w:proofErr w:type="gramEnd"/>
      <w:r w:rsidRPr="00FB194C">
        <w:rPr>
          <w:color w:val="00B050"/>
        </w:rPr>
        <w:t xml:space="preserve"> increased energy use, CO2 emissions rise, adversely affecting the sustainability of the economy (Buhari et al., 2020</w:t>
      </w:r>
      <w:r w:rsidR="00951AAE">
        <w:rPr>
          <w:color w:val="00B050"/>
        </w:rPr>
        <w:t>; Tang et al., 2023</w:t>
      </w:r>
      <w:r w:rsidR="00B26C6D">
        <w:rPr>
          <w:color w:val="00B050"/>
        </w:rPr>
        <w:t>; Zhang et al., 2023</w:t>
      </w:r>
      <w:r w:rsidRPr="00FB194C">
        <w:rPr>
          <w:color w:val="00B050"/>
        </w:rPr>
        <w:t>).</w:t>
      </w:r>
      <w:r w:rsidR="007A6FC9">
        <w:rPr>
          <w:color w:val="00B050"/>
        </w:rPr>
        <w:t xml:space="preserve"> </w:t>
      </w:r>
      <w:r w:rsidRPr="00FB194C">
        <w:rPr>
          <w:color w:val="00B050"/>
        </w:rPr>
        <w:t>Additionally, Talha et al. (2021)</w:t>
      </w:r>
      <w:r w:rsidR="008609B5">
        <w:rPr>
          <w:color w:val="00B050"/>
        </w:rPr>
        <w:t xml:space="preserve"> find</w:t>
      </w:r>
      <w:r w:rsidRPr="00FB194C">
        <w:rPr>
          <w:color w:val="00B050"/>
        </w:rPr>
        <w:t xml:space="preserve"> that energy consumption, oil prices, and economic development positively and significantly impact inflation rates in Malaysia. The heavy reliance on oil and fossil fuels for energy consumption in many countries (Shahbaz et al., 2018a, 2018b) further complicates matters. Factors such as pent-up demand for oil and services, the base effects on annual inflation growth rates, and the disruption of supply chains due to COVID-19 have led to expectations of increasing inflation rates.</w:t>
      </w:r>
    </w:p>
    <w:p w14:paraId="361956FB" w14:textId="5F4B61C4" w:rsidR="00430012" w:rsidRPr="00FB194C" w:rsidRDefault="00430012" w:rsidP="00430012">
      <w:pPr>
        <w:spacing w:before="240"/>
        <w:ind w:firstLine="720"/>
        <w:jc w:val="both"/>
        <w:rPr>
          <w:color w:val="00B050"/>
        </w:rPr>
      </w:pPr>
      <w:r w:rsidRPr="00430012">
        <w:rPr>
          <w:color w:val="00B050"/>
        </w:rPr>
        <w:lastRenderedPageBreak/>
        <w:t>In the UK, energy consumption and inflation have a critical role in shaping the economy. For instance, energy policies and investments in renewable energy sources can impact the overall inflation rate and economic growth (Ofgem, 202</w:t>
      </w:r>
      <w:r w:rsidR="00690CF7">
        <w:rPr>
          <w:color w:val="00B050"/>
        </w:rPr>
        <w:t>2</w:t>
      </w:r>
      <w:r w:rsidRPr="00430012">
        <w:rPr>
          <w:color w:val="00B050"/>
        </w:rPr>
        <w:t>). The UK's transition towards a low-carbon economy has brought about new challenges and opportunities, with implications for inflation and economic activity</w:t>
      </w:r>
      <w:r w:rsidR="00CC130B">
        <w:rPr>
          <w:color w:val="00B050"/>
        </w:rPr>
        <w:t xml:space="preserve"> (Nasir et al., 2020</w:t>
      </w:r>
      <w:r w:rsidR="00FB1CAF">
        <w:rPr>
          <w:color w:val="00B050"/>
        </w:rPr>
        <w:t>;</w:t>
      </w:r>
      <w:r w:rsidR="00CC130B">
        <w:rPr>
          <w:color w:val="00B050"/>
        </w:rPr>
        <w:t xml:space="preserve"> Rehman et al., 2020)</w:t>
      </w:r>
      <w:r w:rsidRPr="00430012">
        <w:rPr>
          <w:color w:val="00B050"/>
        </w:rPr>
        <w:t>.</w:t>
      </w:r>
      <w:r w:rsidR="000F74C7">
        <w:rPr>
          <w:color w:val="00B050"/>
        </w:rPr>
        <w:t xml:space="preserve"> </w:t>
      </w:r>
      <w:r w:rsidRPr="00430012">
        <w:rPr>
          <w:color w:val="00B050"/>
        </w:rPr>
        <w:t>Moreover, the heavy reliance on oil and fossil fuels for energy consumption in many countries, including the UK, further complicates matters. Factors such as pent-up demand for oil and services, the base effects on annual inflation growth rates, and the disruption of supply chains due to COVID-19 have led to expectations of increasing inflation rates</w:t>
      </w:r>
      <w:r w:rsidR="00440188">
        <w:rPr>
          <w:color w:val="00B050"/>
        </w:rPr>
        <w:t xml:space="preserve"> (</w:t>
      </w:r>
      <w:proofErr w:type="spellStart"/>
      <w:r w:rsidR="000F2BB8" w:rsidRPr="009F4DB7">
        <w:rPr>
          <w:rFonts w:ascii="Arial" w:hAnsi="Arial" w:cs="Arial"/>
          <w:color w:val="00B050"/>
          <w:sz w:val="20"/>
          <w:szCs w:val="20"/>
          <w:shd w:val="clear" w:color="auto" w:fill="FFFFFF"/>
        </w:rPr>
        <w:t>Jareño</w:t>
      </w:r>
      <w:proofErr w:type="spellEnd"/>
      <w:r w:rsidR="000F2BB8">
        <w:rPr>
          <w:rFonts w:ascii="Arial" w:hAnsi="Arial" w:cs="Arial"/>
          <w:color w:val="00B050"/>
          <w:sz w:val="20"/>
          <w:szCs w:val="20"/>
          <w:shd w:val="clear" w:color="auto" w:fill="FFFFFF"/>
        </w:rPr>
        <w:t xml:space="preserve"> et al., 2022</w:t>
      </w:r>
      <w:r w:rsidR="00FC20E3">
        <w:rPr>
          <w:rFonts w:ascii="Arial" w:hAnsi="Arial" w:cs="Arial"/>
          <w:color w:val="00B050"/>
          <w:sz w:val="20"/>
          <w:szCs w:val="20"/>
          <w:shd w:val="clear" w:color="auto" w:fill="FFFFFF"/>
        </w:rPr>
        <w:t>; Nasir et al., 2023</w:t>
      </w:r>
      <w:r w:rsidR="000F2BB8">
        <w:rPr>
          <w:rFonts w:ascii="Arial" w:hAnsi="Arial" w:cs="Arial"/>
          <w:color w:val="00B050"/>
          <w:sz w:val="20"/>
          <w:szCs w:val="20"/>
          <w:shd w:val="clear" w:color="auto" w:fill="FFFFFF"/>
        </w:rPr>
        <w:t>)</w:t>
      </w:r>
      <w:r w:rsidRPr="00430012">
        <w:rPr>
          <w:color w:val="00B050"/>
        </w:rPr>
        <w:t>. In the UK context, Brexit has added an additional layer of complexity, with implications for trade, energy prices, and inflation (Bank of England, 2021).</w:t>
      </w:r>
    </w:p>
    <w:p w14:paraId="0FA7F8D7" w14:textId="665886CD" w:rsidR="00E55DD6" w:rsidRPr="001D49DD" w:rsidRDefault="00FB194C" w:rsidP="00773679">
      <w:pPr>
        <w:spacing w:before="240"/>
        <w:ind w:firstLine="720"/>
        <w:jc w:val="both"/>
        <w:rPr>
          <w:color w:val="00B050"/>
        </w:rPr>
      </w:pPr>
      <w:r w:rsidRPr="00FB194C">
        <w:rPr>
          <w:color w:val="00B050"/>
        </w:rPr>
        <w:t>Policymakers face the daunting task of determining the best course of action to achieve sustainable economic development while mitigating inflation (</w:t>
      </w:r>
      <w:proofErr w:type="spellStart"/>
      <w:r w:rsidRPr="00FB194C">
        <w:rPr>
          <w:color w:val="00B050"/>
        </w:rPr>
        <w:t>Bernoth</w:t>
      </w:r>
      <w:proofErr w:type="spellEnd"/>
      <w:r w:rsidRPr="00FB194C">
        <w:rPr>
          <w:color w:val="00B050"/>
        </w:rPr>
        <w:t xml:space="preserve"> &amp; </w:t>
      </w:r>
      <w:proofErr w:type="spellStart"/>
      <w:r w:rsidRPr="00FB194C">
        <w:rPr>
          <w:color w:val="00B050"/>
        </w:rPr>
        <w:t>Ider</w:t>
      </w:r>
      <w:proofErr w:type="spellEnd"/>
      <w:r w:rsidRPr="00FB194C">
        <w:rPr>
          <w:color w:val="00B050"/>
        </w:rPr>
        <w:t>, 2021; Blot et al., 2022</w:t>
      </w:r>
      <w:r w:rsidR="00C624BF">
        <w:rPr>
          <w:color w:val="00B050"/>
        </w:rPr>
        <w:t>; Tang et al., 2</w:t>
      </w:r>
      <w:r w:rsidR="00082ABA">
        <w:rPr>
          <w:color w:val="00B050"/>
        </w:rPr>
        <w:t>0</w:t>
      </w:r>
      <w:r w:rsidR="00C624BF">
        <w:rPr>
          <w:color w:val="00B050"/>
        </w:rPr>
        <w:t>23</w:t>
      </w:r>
      <w:r w:rsidR="00082ABA">
        <w:rPr>
          <w:color w:val="00B050"/>
        </w:rPr>
        <w:t>; Zhang et al., 2023</w:t>
      </w:r>
      <w:r w:rsidRPr="00FB194C">
        <w:rPr>
          <w:color w:val="00B050"/>
        </w:rPr>
        <w:t xml:space="preserve">). Environmental degradation, manifested through increased energy consumption and a scarcity of energy resources, contributes to rising energy prices and an escalating cost of living. This highlights the need for a more critical examination of the interdependencies between economic activities, energy consumption, and inflation </w:t>
      </w:r>
      <w:proofErr w:type="gramStart"/>
      <w:r w:rsidRPr="00FB194C">
        <w:rPr>
          <w:color w:val="00B050"/>
        </w:rPr>
        <w:t>in order to</w:t>
      </w:r>
      <w:proofErr w:type="gramEnd"/>
      <w:r w:rsidRPr="00FB194C">
        <w:rPr>
          <w:color w:val="00B050"/>
        </w:rPr>
        <w:t xml:space="preserve"> develop informed policy decisions that account for both economic growth and environmental sustainability.</w:t>
      </w:r>
      <w:r w:rsidR="00773679">
        <w:rPr>
          <w:color w:val="00B050"/>
        </w:rPr>
        <w:t xml:space="preserve"> T</w:t>
      </w:r>
      <w:r w:rsidR="00E55DD6" w:rsidRPr="00E55DD6">
        <w:rPr>
          <w:color w:val="00B050"/>
        </w:rPr>
        <w:t xml:space="preserve">o better understand the complex relationships among these factors and to inform policy decisions, this study develops a conceptual framework </w:t>
      </w:r>
      <w:r w:rsidR="00773679">
        <w:rPr>
          <w:color w:val="00B050"/>
        </w:rPr>
        <w:t xml:space="preserve">(See Figure 1) </w:t>
      </w:r>
      <w:r w:rsidR="00E55DD6" w:rsidRPr="00E55DD6">
        <w:rPr>
          <w:color w:val="00B050"/>
        </w:rPr>
        <w:t xml:space="preserve">that integrates the key variables and their interdependencies. The framework is grounded in the theoretical underpinnings discussed above and is informed by the empirical findings from the existing literature. The framework highlights the role of inflation shocks, their immediate impacts on macroeconomic variables such as GDP, trade balance, unemployment, and Brent crude oil prices, and the subsequent adjustments and implications for economic growth. By </w:t>
      </w:r>
      <w:r w:rsidR="00E55DD6" w:rsidRPr="00E55DD6">
        <w:rPr>
          <w:color w:val="00B050"/>
        </w:rPr>
        <w:lastRenderedPageBreak/>
        <w:t xml:space="preserve">examining the UK monthly data and employing robust analytical methods, this study aims to provide insights into the short-term and long-term impacts of inflation on the UK economy, specifically through the transmission channel of crude oil </w:t>
      </w:r>
      <w:r w:rsidR="00E55DD6" w:rsidRPr="001D49DD">
        <w:rPr>
          <w:color w:val="00B050"/>
        </w:rPr>
        <w:t>prices. This conceptual framework serves as a foundation for the subsequent analysis and discussion in this paper.</w:t>
      </w:r>
    </w:p>
    <w:p w14:paraId="123FC2D9" w14:textId="7B83FD87" w:rsidR="00773679" w:rsidRPr="001D49DD" w:rsidRDefault="00773679" w:rsidP="00773679">
      <w:pPr>
        <w:pStyle w:val="Caption"/>
        <w:rPr>
          <w:color w:val="00B050"/>
        </w:rPr>
      </w:pPr>
      <w:r w:rsidRPr="001D49DD">
        <w:rPr>
          <w:color w:val="00B050"/>
        </w:rPr>
        <w:t xml:space="preserve">Figure </w:t>
      </w:r>
      <w:r w:rsidRPr="001D49DD">
        <w:rPr>
          <w:color w:val="00B050"/>
        </w:rPr>
        <w:fldChar w:fldCharType="begin"/>
      </w:r>
      <w:r w:rsidRPr="001D49DD">
        <w:rPr>
          <w:color w:val="00B050"/>
        </w:rPr>
        <w:instrText xml:space="preserve"> SEQ Figure \* ARABIC </w:instrText>
      </w:r>
      <w:r w:rsidRPr="001D49DD">
        <w:rPr>
          <w:color w:val="00B050"/>
        </w:rPr>
        <w:fldChar w:fldCharType="separate"/>
      </w:r>
      <w:r w:rsidR="004E2D14">
        <w:rPr>
          <w:noProof/>
          <w:color w:val="00B050"/>
        </w:rPr>
        <w:t>1</w:t>
      </w:r>
      <w:r w:rsidRPr="001D49DD">
        <w:rPr>
          <w:color w:val="00B050"/>
        </w:rPr>
        <w:fldChar w:fldCharType="end"/>
      </w:r>
      <w:r w:rsidRPr="001D49DD">
        <w:rPr>
          <w:color w:val="00B050"/>
        </w:rPr>
        <w:t xml:space="preserve"> Conceptual Framework</w:t>
      </w:r>
    </w:p>
    <w:p w14:paraId="275556D9" w14:textId="11E728DB" w:rsidR="00BA3612" w:rsidRDefault="00BA3612" w:rsidP="00BA3612">
      <w:pPr>
        <w:spacing w:before="240"/>
        <w:jc w:val="both"/>
        <w:rPr>
          <w:color w:val="00B050"/>
        </w:rPr>
      </w:pPr>
      <w:r>
        <w:rPr>
          <w:noProof/>
          <w:color w:val="00B050"/>
        </w:rPr>
        <w:drawing>
          <wp:inline distT="0" distB="0" distL="0" distR="0" wp14:anchorId="316F44C9" wp14:editId="20E31278">
            <wp:extent cx="5724733" cy="2975212"/>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75671" cy="3001685"/>
                    </a:xfrm>
                    <a:prstGeom prst="rect">
                      <a:avLst/>
                    </a:prstGeom>
                    <a:noFill/>
                  </pic:spPr>
                </pic:pic>
              </a:graphicData>
            </a:graphic>
          </wp:inline>
        </w:drawing>
      </w:r>
    </w:p>
    <w:p w14:paraId="0000002C" w14:textId="78E4EB8C" w:rsidR="00083006" w:rsidRPr="00CC0F64" w:rsidRDefault="0080383E">
      <w:pPr>
        <w:pStyle w:val="Heading2"/>
      </w:pPr>
      <w:r w:rsidRPr="00CC0F64">
        <w:t>2.</w:t>
      </w:r>
      <w:r w:rsidR="00091BE3">
        <w:t>2</w:t>
      </w:r>
      <w:r w:rsidRPr="00CC0F64">
        <w:t xml:space="preserve"> Energy consumption, inflation, and economic growth</w:t>
      </w:r>
    </w:p>
    <w:p w14:paraId="0000002D" w14:textId="77777777" w:rsidR="00083006" w:rsidRPr="00CC0F64" w:rsidRDefault="0080383E">
      <w:pPr>
        <w:ind w:firstLine="720"/>
        <w:jc w:val="both"/>
      </w:pPr>
      <w:r w:rsidRPr="00CC0F64">
        <w:t xml:space="preserve">As such, research on energy consumption and economic growth may help policymakers formulate appropriate policies according to the characteristics of the country to moderate inflation. For example, Wang et al. (2019) find that energy prices, energy consumption, GDP, and urbanization are interdependent with a long-term effect in 186 countries. Furthermore, urbanization has the greatest impact on the consumption of energy among the other variables. Wang et al., (2019) recommend that upper-middle income countries (e.g., Albania, Brazil, Cuba, and Malaysia) with a growing urban population need to be aware that their high energy consumption may result in tightening monetary conditions, rising global inflation, and slowing economic growth. </w:t>
      </w:r>
      <w:proofErr w:type="spellStart"/>
      <w:r w:rsidRPr="00CC0F64">
        <w:t>Galadima</w:t>
      </w:r>
      <w:proofErr w:type="spellEnd"/>
      <w:r w:rsidRPr="00CC0F64">
        <w:t xml:space="preserve"> and Aminu (2019) report that changes in real GDP and the money supply affect natural gas consumption both in the short- and long-run, whereas changes in </w:t>
      </w:r>
      <w:r w:rsidRPr="00CC0F64">
        <w:lastRenderedPageBreak/>
        <w:t>inflation affect it more in the short term. To meet the increasing energy consumption demand and the already high inflation, Nigerian regulators are advised to adjust the tools of monetary policy to regulate the money supply and maintain inflation at a stable level (</w:t>
      </w:r>
      <w:proofErr w:type="spellStart"/>
      <w:r w:rsidRPr="00CC0F64">
        <w:t>Galadima</w:t>
      </w:r>
      <w:proofErr w:type="spellEnd"/>
      <w:r w:rsidRPr="00CC0F64">
        <w:t xml:space="preserve"> and Aminu, 2019; </w:t>
      </w:r>
      <w:proofErr w:type="spellStart"/>
      <w:r w:rsidRPr="00CC0F64">
        <w:t>Iyke</w:t>
      </w:r>
      <w:proofErr w:type="spellEnd"/>
      <w:r w:rsidRPr="00CC0F64">
        <w:t xml:space="preserve">, 2015). In Nigeria, </w:t>
      </w:r>
      <w:proofErr w:type="spellStart"/>
      <w:r w:rsidRPr="00CC0F64">
        <w:t>Iyke</w:t>
      </w:r>
      <w:proofErr w:type="spellEnd"/>
      <w:r w:rsidRPr="00CC0F64">
        <w:t xml:space="preserve"> (2015) finds that inflation has a negative and significant impact on economic growth, as well as a positive and significant impact on energy prices. Interestingly, </w:t>
      </w:r>
      <w:proofErr w:type="spellStart"/>
      <w:r w:rsidRPr="00CC0F64">
        <w:t>Magazzino</w:t>
      </w:r>
      <w:proofErr w:type="spellEnd"/>
      <w:r w:rsidRPr="00CC0F64">
        <w:t xml:space="preserve"> et al., (2021) cannot find long-term relationships between energy consumption and economic development in Italy (a less energy-dependent economy) when using </w:t>
      </w:r>
      <w:proofErr w:type="spellStart"/>
      <w:r w:rsidRPr="00CC0F64">
        <w:t>Waverlet</w:t>
      </w:r>
      <w:proofErr w:type="spellEnd"/>
      <w:r w:rsidRPr="00CC0F64">
        <w:t xml:space="preserve"> analysis. Their results suggesting that the Italian energy policies that aim to improve energy efficiency may not cause an economic recession.</w:t>
      </w:r>
    </w:p>
    <w:p w14:paraId="0000002E" w14:textId="480CFA82" w:rsidR="00083006" w:rsidRPr="00CC0F64" w:rsidRDefault="0080383E">
      <w:pPr>
        <w:ind w:firstLine="720"/>
        <w:jc w:val="both"/>
      </w:pPr>
      <w:r w:rsidRPr="00CC0F64">
        <w:t>Studies have also examined the impact of renewable energy consumption on economic activities (see Talha et al., 2021; Lawal, 2020; He, 2020</w:t>
      </w:r>
      <w:r w:rsidR="008257B8">
        <w:t>; Tang et al., 2023</w:t>
      </w:r>
      <w:r w:rsidRPr="00CC0F64">
        <w:t xml:space="preserve">). High inflation has many costs, including low investment levels, slow economic growth, depreciation of consumer savings, and a high cost of living. Scholars (e.g., Acheampong et al., 2022; </w:t>
      </w:r>
      <w:proofErr w:type="spellStart"/>
      <w:r w:rsidRPr="00CC0F64">
        <w:t>Lorusso</w:t>
      </w:r>
      <w:proofErr w:type="spellEnd"/>
      <w:r w:rsidRPr="00CC0F64">
        <w:t xml:space="preserve"> and </w:t>
      </w:r>
      <w:proofErr w:type="spellStart"/>
      <w:r w:rsidRPr="00CC0F64">
        <w:t>Pieroni</w:t>
      </w:r>
      <w:proofErr w:type="spellEnd"/>
      <w:r w:rsidRPr="00CC0F64">
        <w:t xml:space="preserve">, 2018; Wu et al., 2018) argue that energy security can be improved by replacing traditional energy sources (e.g., fossil fuels) with renewable or green energy sources, which can help reverse a soaring inflation rate. As an example, Mohsin et al., (2021) find that renewable energy consumption is associated with positive effects on GDP growth and results in a reduction of carbon emissions by 0.193% among Asian developing economies when renewable energy consumption increases by 1%. In Pakistan, </w:t>
      </w:r>
      <w:proofErr w:type="spellStart"/>
      <w:r w:rsidRPr="00CC0F64">
        <w:t>Luqman</w:t>
      </w:r>
      <w:proofErr w:type="spellEnd"/>
      <w:r w:rsidRPr="00CC0F64">
        <w:t xml:space="preserve"> et al. (2019) conclude that renewable energy variables contribute positively to economic growth and nuclear energy variables negatively. Aside from that, Pakistan does not experience a significant impact on its nuclear and renewable energy consumption from fluctuations in oil prices. </w:t>
      </w:r>
      <w:proofErr w:type="spellStart"/>
      <w:r w:rsidRPr="00CC0F64">
        <w:t>Luqman</w:t>
      </w:r>
      <w:proofErr w:type="spellEnd"/>
      <w:r w:rsidRPr="00CC0F64">
        <w:t xml:space="preserve"> et al. (2019) argue that policy makers should encourage the adoption of renewable energy technologies </w:t>
      </w:r>
      <w:proofErr w:type="gramStart"/>
      <w:r w:rsidRPr="00CC0F64">
        <w:t>in order to</w:t>
      </w:r>
      <w:proofErr w:type="gramEnd"/>
      <w:r w:rsidRPr="00CC0F64">
        <w:t xml:space="preserve"> address energy shortages, which will alleviate inflationary pressures. In African economies, Lawal et al. (2020) use stimulus policies and conclude that economic growth and electricity </w:t>
      </w:r>
      <w:r w:rsidRPr="00CC0F64">
        <w:lastRenderedPageBreak/>
        <w:t>consumption are significantly related. He (2020) finds similar results using data from Guangzhou in China. It is important to keep in mind, however, that the inflationary surge in electricity may be related to the rise in oil and gas prices, as gas comprises 22% of electricity production (</w:t>
      </w:r>
      <w:proofErr w:type="spellStart"/>
      <w:r w:rsidRPr="00CC0F64">
        <w:t>Wark</w:t>
      </w:r>
      <w:proofErr w:type="spellEnd"/>
      <w:r w:rsidRPr="00CC0F64">
        <w:t>, 2022).</w:t>
      </w:r>
    </w:p>
    <w:p w14:paraId="0000002F" w14:textId="098BDD08" w:rsidR="00083006" w:rsidRDefault="0080383E">
      <w:pPr>
        <w:ind w:firstLine="720"/>
        <w:jc w:val="both"/>
      </w:pPr>
      <w:r w:rsidRPr="00CC0F64">
        <w:t>Some studies have estimated causality between variables using methods, such as Granger causality (e.g., Nasreen et al., 2020; Ouyang and Li, 2018), which is based on prediction. Also, the DAG (</w:t>
      </w:r>
      <w:proofErr w:type="spellStart"/>
      <w:r w:rsidRPr="00CC0F64">
        <w:t>Deirected</w:t>
      </w:r>
      <w:proofErr w:type="spellEnd"/>
      <w:r w:rsidRPr="00CC0F64">
        <w:t xml:space="preserve"> Acyclic Graph) method is used in some studies (e.g., </w:t>
      </w:r>
      <w:proofErr w:type="spellStart"/>
      <w:r w:rsidRPr="00CC0F64">
        <w:t>Esmaeili</w:t>
      </w:r>
      <w:proofErr w:type="spellEnd"/>
      <w:r w:rsidRPr="00CC0F64">
        <w:t xml:space="preserve"> and </w:t>
      </w:r>
      <w:proofErr w:type="spellStart"/>
      <w:r w:rsidRPr="00CC0F64">
        <w:t>Rafei</w:t>
      </w:r>
      <w:proofErr w:type="spellEnd"/>
      <w:r w:rsidRPr="00CC0F64">
        <w:t xml:space="preserve">, 2021) to visualize the simultaneous relationships between variables by using econometric structures, data, and existing research results. A point that has been overlooked in existing studies is that different economic conditions have not been considered when investigating the influence of energy consumption and inflation on economic growth. </w:t>
      </w:r>
      <w:proofErr w:type="gramStart"/>
      <w:r w:rsidRPr="00CC0F64">
        <w:t>In order to</w:t>
      </w:r>
      <w:proofErr w:type="gramEnd"/>
      <w:r w:rsidRPr="00CC0F64">
        <w:t xml:space="preserve"> account for the country's political and economic realities, the Markov switching model is employed to identify various economic conditions. To the best of our knowledge, this study has never been conducted before. It is therefore possible to present more reliable results and policies by demonstrating the impact of fluctuations in variables on inflation and energy consumption with specific economic characteristics.</w:t>
      </w:r>
    </w:p>
    <w:p w14:paraId="55AB30A8" w14:textId="63CA991F" w:rsidR="00A958E8" w:rsidRPr="00A958E8" w:rsidRDefault="00A958E8" w:rsidP="00A958E8">
      <w:pPr>
        <w:ind w:firstLine="720"/>
        <w:jc w:val="both"/>
        <w:rPr>
          <w:color w:val="00B050"/>
        </w:rPr>
      </w:pPr>
      <w:r>
        <w:rPr>
          <w:color w:val="00B050"/>
        </w:rPr>
        <w:t>This section</w:t>
      </w:r>
      <w:r w:rsidRPr="00A958E8">
        <w:rPr>
          <w:color w:val="00B050"/>
        </w:rPr>
        <w:t xml:space="preserve"> highlights </w:t>
      </w:r>
      <w:r>
        <w:rPr>
          <w:color w:val="00B050"/>
        </w:rPr>
        <w:t>that</w:t>
      </w:r>
      <w:r w:rsidRPr="00A958E8">
        <w:rPr>
          <w:color w:val="00B050"/>
        </w:rPr>
        <w:t xml:space="preserve"> energy consumption and inflation are interrelated, and both have significant implications for economic growth. The impact of energy consumption on inflation and economic growth varies depending on the country's characteristics, such as income levels and urbanization</w:t>
      </w:r>
      <w:r w:rsidR="00523B19">
        <w:rPr>
          <w:color w:val="00B050"/>
        </w:rPr>
        <w:t xml:space="preserve"> (</w:t>
      </w:r>
      <w:r w:rsidR="00096107">
        <w:rPr>
          <w:color w:val="00B050"/>
        </w:rPr>
        <w:t xml:space="preserve">He, 2020; </w:t>
      </w:r>
      <w:r w:rsidR="00523B19">
        <w:rPr>
          <w:color w:val="00B050"/>
        </w:rPr>
        <w:t>Nguyen and Nasir, 2021</w:t>
      </w:r>
      <w:r w:rsidR="00AF0EB9">
        <w:rPr>
          <w:color w:val="00B050"/>
        </w:rPr>
        <w:t>; Wang et al., 2019</w:t>
      </w:r>
      <w:r w:rsidR="00523B19">
        <w:rPr>
          <w:color w:val="00B050"/>
        </w:rPr>
        <w:t>)</w:t>
      </w:r>
      <w:r w:rsidRPr="00A958E8">
        <w:rPr>
          <w:color w:val="00B050"/>
        </w:rPr>
        <w:t>. Secondly, renewable energy consumption is increasingly recognized as a key factor for achieving economic growth while mitigating inflationary pressures and reducing carbon emissions</w:t>
      </w:r>
      <w:r w:rsidR="00D174E0">
        <w:rPr>
          <w:color w:val="00B050"/>
        </w:rPr>
        <w:t xml:space="preserve"> (</w:t>
      </w:r>
      <w:proofErr w:type="spellStart"/>
      <w:r w:rsidR="00D174E0">
        <w:rPr>
          <w:color w:val="00B050"/>
        </w:rPr>
        <w:t>Luqman</w:t>
      </w:r>
      <w:proofErr w:type="spellEnd"/>
      <w:r w:rsidR="00D174E0">
        <w:rPr>
          <w:color w:val="00B050"/>
        </w:rPr>
        <w:t xml:space="preserve"> et al., 2019</w:t>
      </w:r>
      <w:r w:rsidR="00B60CF7">
        <w:rPr>
          <w:color w:val="00B050"/>
        </w:rPr>
        <w:t xml:space="preserve">; </w:t>
      </w:r>
      <w:proofErr w:type="spellStart"/>
      <w:r w:rsidR="0041413D">
        <w:rPr>
          <w:color w:val="00B050"/>
        </w:rPr>
        <w:t>Mohsim</w:t>
      </w:r>
      <w:proofErr w:type="spellEnd"/>
      <w:r w:rsidR="0041413D">
        <w:rPr>
          <w:color w:val="00B050"/>
        </w:rPr>
        <w:t xml:space="preserve"> et al., 2021; </w:t>
      </w:r>
      <w:proofErr w:type="spellStart"/>
      <w:r w:rsidR="00B60CF7">
        <w:rPr>
          <w:color w:val="00B050"/>
        </w:rPr>
        <w:t>Raggad</w:t>
      </w:r>
      <w:proofErr w:type="spellEnd"/>
      <w:r w:rsidR="00B60CF7">
        <w:rPr>
          <w:color w:val="00B050"/>
        </w:rPr>
        <w:t>, 2021</w:t>
      </w:r>
      <w:r w:rsidR="0041413D">
        <w:rPr>
          <w:color w:val="00B050"/>
        </w:rPr>
        <w:t>)</w:t>
      </w:r>
      <w:r w:rsidRPr="00A958E8">
        <w:rPr>
          <w:color w:val="00B050"/>
        </w:rPr>
        <w:t>. However, the transition to renewable energy sources is not without challenges, and careful policy formulation is required to ensure energy security and economic stability.</w:t>
      </w:r>
      <w:r w:rsidR="00B130BE">
        <w:rPr>
          <w:color w:val="00B050"/>
        </w:rPr>
        <w:t xml:space="preserve"> </w:t>
      </w:r>
      <w:r w:rsidRPr="00A958E8">
        <w:rPr>
          <w:color w:val="00B050"/>
        </w:rPr>
        <w:t xml:space="preserve">Thirdly, the literature employs a </w:t>
      </w:r>
      <w:r w:rsidRPr="00A958E8">
        <w:rPr>
          <w:color w:val="00B050"/>
        </w:rPr>
        <w:lastRenderedPageBreak/>
        <w:t xml:space="preserve">diverse range of methodological approaches, such as Granger causality and Directed Acyclic Graphs, to investigate the relationships between energy consumption, inflation, and economic growth. However, most studies have overlooked the importance of considering different economic conditions in their analyses, which is an area that warrants further exploration. Finally, the literature suggests that policymakers should adopt tailored strategies that consider the unique characteristics of each country </w:t>
      </w:r>
      <w:proofErr w:type="gramStart"/>
      <w:r w:rsidRPr="00A958E8">
        <w:rPr>
          <w:color w:val="00B050"/>
        </w:rPr>
        <w:t>in order to</w:t>
      </w:r>
      <w:proofErr w:type="gramEnd"/>
      <w:r w:rsidRPr="00A958E8">
        <w:rPr>
          <w:color w:val="00B050"/>
        </w:rPr>
        <w:t xml:space="preserve"> effectively manage energy consumption, inflation, and economic growth</w:t>
      </w:r>
      <w:r w:rsidR="00B337AF">
        <w:rPr>
          <w:color w:val="00B050"/>
        </w:rPr>
        <w:t xml:space="preserve"> (Buhari et al., 2020;</w:t>
      </w:r>
      <w:r w:rsidR="00AB3E66">
        <w:rPr>
          <w:color w:val="00B050"/>
        </w:rPr>
        <w:t xml:space="preserve"> </w:t>
      </w:r>
      <w:proofErr w:type="spellStart"/>
      <w:r w:rsidR="00AB3E66">
        <w:rPr>
          <w:color w:val="00B050"/>
        </w:rPr>
        <w:t>Cukrowski</w:t>
      </w:r>
      <w:proofErr w:type="spellEnd"/>
      <w:r w:rsidR="00AB3E66">
        <w:rPr>
          <w:color w:val="00B050"/>
        </w:rPr>
        <w:t>, 2004</w:t>
      </w:r>
      <w:r w:rsidR="00F6676C">
        <w:rPr>
          <w:color w:val="00B050"/>
        </w:rPr>
        <w:t xml:space="preserve">; </w:t>
      </w:r>
      <w:r w:rsidR="009D0F7B">
        <w:rPr>
          <w:color w:val="00B050"/>
        </w:rPr>
        <w:t xml:space="preserve">Herrera et al., 2019; </w:t>
      </w:r>
      <w:proofErr w:type="spellStart"/>
      <w:r w:rsidR="00CF497B">
        <w:rPr>
          <w:color w:val="00B050"/>
        </w:rPr>
        <w:t>Lorusso</w:t>
      </w:r>
      <w:proofErr w:type="spellEnd"/>
      <w:r w:rsidR="00CF497B">
        <w:rPr>
          <w:color w:val="00B050"/>
        </w:rPr>
        <w:t xml:space="preserve"> and </w:t>
      </w:r>
      <w:proofErr w:type="spellStart"/>
      <w:r w:rsidR="00CF497B">
        <w:rPr>
          <w:color w:val="00B050"/>
        </w:rPr>
        <w:t>Pieroni</w:t>
      </w:r>
      <w:proofErr w:type="spellEnd"/>
      <w:r w:rsidR="00CF497B">
        <w:rPr>
          <w:color w:val="00B050"/>
        </w:rPr>
        <w:t xml:space="preserve">, 2018; </w:t>
      </w:r>
      <w:r w:rsidR="009D0F7B">
        <w:rPr>
          <w:color w:val="00B050"/>
        </w:rPr>
        <w:t>Nasir et al., 2023</w:t>
      </w:r>
      <w:r w:rsidR="00B337AF">
        <w:rPr>
          <w:color w:val="00B050"/>
        </w:rPr>
        <w:t>)</w:t>
      </w:r>
      <w:r w:rsidRPr="00A958E8">
        <w:rPr>
          <w:color w:val="00B050"/>
        </w:rPr>
        <w:t>. By addressing these themes and building on the existing literature, our study aims to provide a more comprehensive understanding of the interdependencies between these</w:t>
      </w:r>
      <w:r w:rsidR="00B130BE">
        <w:rPr>
          <w:color w:val="00B050"/>
        </w:rPr>
        <w:t xml:space="preserve"> macroeconomic factors </w:t>
      </w:r>
      <w:r w:rsidRPr="00A958E8">
        <w:rPr>
          <w:color w:val="00B050"/>
        </w:rPr>
        <w:t>in the context of the UK economy.</w:t>
      </w:r>
    </w:p>
    <w:p w14:paraId="00000030" w14:textId="44BC7FEF" w:rsidR="00083006" w:rsidRPr="00CC0F64" w:rsidRDefault="0080383E">
      <w:pPr>
        <w:pStyle w:val="Heading2"/>
      </w:pPr>
      <w:r w:rsidRPr="00CC0F64">
        <w:t>2.</w:t>
      </w:r>
      <w:r w:rsidR="00091BE3">
        <w:t>3</w:t>
      </w:r>
      <w:r w:rsidRPr="00CC0F64">
        <w:t xml:space="preserve"> The impact of oil price on economic growth</w:t>
      </w:r>
    </w:p>
    <w:p w14:paraId="00000031" w14:textId="426B6F3D" w:rsidR="00083006" w:rsidRPr="00CC0F64" w:rsidRDefault="0080383E">
      <w:pPr>
        <w:ind w:firstLine="720"/>
        <w:jc w:val="both"/>
      </w:pPr>
      <w:r w:rsidRPr="00CC0F64">
        <w:t xml:space="preserve">Oil price fluctuations have been investigated extensively in economic studies conducted in both industrialized and emerging economies. </w:t>
      </w:r>
      <w:proofErr w:type="gramStart"/>
      <w:r w:rsidRPr="00CC0F64">
        <w:t>The majority of</w:t>
      </w:r>
      <w:proofErr w:type="gramEnd"/>
      <w:r w:rsidRPr="00CC0F64">
        <w:t xml:space="preserve"> these research (</w:t>
      </w:r>
      <w:proofErr w:type="spellStart"/>
      <w:r w:rsidRPr="00CC0F64">
        <w:t>Koray</w:t>
      </w:r>
      <w:proofErr w:type="spellEnd"/>
      <w:r w:rsidRPr="00CC0F64">
        <w:t xml:space="preserve">, 2006; Nasreen et al., 2019; Shahbaz et al., 2018; Wang et al., 2019) examine the effects of oil prices on current account balances, exchange rates, economic growth, inflation dynamics, and investment. Since the 1970s oil crisis, economists have tried to forecast the impacts of oil price volatility on oil-importing and oil-exporting countries. In general, the results are inconclusive regardless of whether it is an oil exporting or an oil importing countries. </w:t>
      </w:r>
      <w:proofErr w:type="gramStart"/>
      <w:r w:rsidRPr="00CC0F64">
        <w:t>A majority of</w:t>
      </w:r>
      <w:proofErr w:type="gramEnd"/>
      <w:r w:rsidRPr="00CC0F64">
        <w:t xml:space="preserve"> the existing literature (see Baek and Yoon, 2022; </w:t>
      </w:r>
      <w:proofErr w:type="spellStart"/>
      <w:r w:rsidRPr="00CC0F64">
        <w:t>Charfeddine</w:t>
      </w:r>
      <w:proofErr w:type="spellEnd"/>
      <w:r w:rsidRPr="00CC0F64">
        <w:t xml:space="preserve"> and Barkat, 2020; </w:t>
      </w:r>
      <w:proofErr w:type="spellStart"/>
      <w:r w:rsidRPr="00CC0F64">
        <w:t>Farzanegan</w:t>
      </w:r>
      <w:proofErr w:type="spellEnd"/>
      <w:r w:rsidRPr="00CC0F64">
        <w:t xml:space="preserve"> and </w:t>
      </w:r>
      <w:proofErr w:type="spellStart"/>
      <w:r w:rsidRPr="00CC0F64">
        <w:t>Markwardt</w:t>
      </w:r>
      <w:proofErr w:type="spellEnd"/>
      <w:r w:rsidRPr="00CC0F64">
        <w:t>, 2009; Herrera et al., 2019</w:t>
      </w:r>
      <w:r w:rsidR="00FB1CAF">
        <w:t xml:space="preserve">; </w:t>
      </w:r>
      <w:r w:rsidR="00FB1CAF">
        <w:rPr>
          <w:color w:val="00B050"/>
        </w:rPr>
        <w:t>Huynh et al.</w:t>
      </w:r>
      <w:r w:rsidR="00B27E3A">
        <w:rPr>
          <w:color w:val="00B050"/>
        </w:rPr>
        <w:t>,</w:t>
      </w:r>
      <w:r w:rsidR="00FB1CAF">
        <w:rPr>
          <w:color w:val="00B050"/>
        </w:rPr>
        <w:t xml:space="preserve"> 2022</w:t>
      </w:r>
      <w:r w:rsidRPr="00CC0F64">
        <w:t xml:space="preserve">) has been concerned with the phenomenon of high oil prices, since they have been on the rise for most of the last decade. </w:t>
      </w:r>
    </w:p>
    <w:p w14:paraId="00000032" w14:textId="77777777" w:rsidR="00083006" w:rsidRPr="00CC0F64" w:rsidRDefault="0080383E">
      <w:pPr>
        <w:ind w:firstLine="720"/>
        <w:jc w:val="both"/>
      </w:pPr>
      <w:r w:rsidRPr="00CC0F64">
        <w:t xml:space="preserve">Compared to large oil importing countries, small importers are price takers. </w:t>
      </w:r>
      <w:proofErr w:type="gramStart"/>
      <w:r w:rsidRPr="00CC0F64">
        <w:t>Due to the fact that</w:t>
      </w:r>
      <w:proofErr w:type="gramEnd"/>
      <w:r w:rsidRPr="00CC0F64">
        <w:t xml:space="preserve"> there is not a great deal of demand for oil, they are not able to have much influence over the global market (Mohsin et al., 2021; Seers, 1962; Wu eta l., 2018). Therefore, they accept the oil price as a given. There is no doubt that high oil prices are linked to low economic </w:t>
      </w:r>
      <w:r w:rsidRPr="00CC0F64">
        <w:lastRenderedPageBreak/>
        <w:t xml:space="preserve">growth in these countries. Because of the rise in energy prices, consumer spending is adversely affected through lower disposable income, resulting in higher production costs and lower profits, which, in turn, reduces the growth rate of the economy (see, e.g., Lawal et al., 2020; </w:t>
      </w:r>
      <w:proofErr w:type="spellStart"/>
      <w:r w:rsidRPr="00CC0F64">
        <w:t>Luqman</w:t>
      </w:r>
      <w:proofErr w:type="spellEnd"/>
      <w:r w:rsidRPr="00CC0F64">
        <w:t xml:space="preserve"> et al., 2019; Shahbaz et al., 2018b; Wu et al., 2018). For example, according to Nasir et al. (2018), high oil prices result in a reduction in production, </w:t>
      </w:r>
      <w:proofErr w:type="gramStart"/>
      <w:r w:rsidRPr="00CC0F64">
        <w:t>consumption</w:t>
      </w:r>
      <w:proofErr w:type="gramEnd"/>
      <w:r w:rsidRPr="00CC0F64">
        <w:t xml:space="preserve"> and investment in BRICS countries (Brazil, Russia, India, China and South Africa). Also, Indonesia is an example of an oil-importing economy struggling to generate sufficient savings and a lack of contingency plans, both of which are essential for ensuring healthy investment levels and sustained economic growth (Baek and Yoon, 2022). Economies with high current account deficits are destabilized by energy imports. Moreover, as oil prices increase, money demand also increases, resulting in a rise in inflation and a decline in investments (Acheampong et al., 2022; Shahbaz et al., 2018a).</w:t>
      </w:r>
    </w:p>
    <w:p w14:paraId="00000033" w14:textId="77777777" w:rsidR="00083006" w:rsidRPr="00CC0F64" w:rsidRDefault="0080383E">
      <w:pPr>
        <w:ind w:firstLine="720"/>
        <w:jc w:val="both"/>
      </w:pPr>
      <w:r w:rsidRPr="00CC0F64">
        <w:t>In contrast to small oil importing countries, large countries - those with the power to influence world oil markets - are less susceptible to oil price shocks. Although there is still a negative influence of oil price fluctuations on large oil importing economies (e.g., China, Europe, India, and the U.S., Europe), the effects are relatively minor when compared with small oil importing countries (</w:t>
      </w:r>
      <w:proofErr w:type="spellStart"/>
      <w:r w:rsidRPr="00CC0F64">
        <w:t>Raggad</w:t>
      </w:r>
      <w:proofErr w:type="spellEnd"/>
      <w:r w:rsidRPr="00CC0F64">
        <w:t xml:space="preserve">, 2021; Wu et al., 2018). There is no doubt that any change in oil prices causes substantial revisions to the national budgets of these countries. However, As </w:t>
      </w:r>
      <w:proofErr w:type="spellStart"/>
      <w:r w:rsidRPr="00CC0F64">
        <w:t>Tuzova</w:t>
      </w:r>
      <w:proofErr w:type="spellEnd"/>
      <w:r w:rsidRPr="00CC0F64">
        <w:t xml:space="preserve"> and Qayum (2016) indicate, there may not be a severe negative impact if strong foreign capital inflows and investment that can compensate for high oil prices may mitigate the adverse effects.</w:t>
      </w:r>
    </w:p>
    <w:p w14:paraId="00000034" w14:textId="77777777" w:rsidR="00083006" w:rsidRPr="00CC0F64" w:rsidRDefault="0080383E">
      <w:pPr>
        <w:ind w:firstLine="720"/>
        <w:jc w:val="both"/>
      </w:pPr>
      <w:r w:rsidRPr="00CC0F64">
        <w:t>In contrast, oil exporting countries, such as Canada, Norway, OPEC countries, and Russia, benefit from high oil prices to generate high profits (</w:t>
      </w:r>
      <w:proofErr w:type="spellStart"/>
      <w:r w:rsidRPr="00CC0F64">
        <w:t>Tuzova</w:t>
      </w:r>
      <w:proofErr w:type="spellEnd"/>
      <w:r w:rsidRPr="00CC0F64">
        <w:t xml:space="preserve"> and Qayum, 2016). The Norwegian economy has been shown to benefit from oil price volatility in the past by Vatsa and Basnet (2020). </w:t>
      </w:r>
      <w:proofErr w:type="spellStart"/>
      <w:r w:rsidRPr="00CC0F64">
        <w:t>Tuzova</w:t>
      </w:r>
      <w:proofErr w:type="spellEnd"/>
      <w:r w:rsidRPr="00CC0F64">
        <w:t xml:space="preserve"> and Qayum (2016) conclude that although the oil price affects the </w:t>
      </w:r>
      <w:r w:rsidRPr="00CC0F64">
        <w:lastRenderedPageBreak/>
        <w:t xml:space="preserve">Russian economy positively, political sanctions impose a new set of challenges on its economy. Ito (2010) found that an increase in oil prices of 1 percent leads to Russia's GDP grew by 0.46 percent. </w:t>
      </w:r>
      <w:proofErr w:type="spellStart"/>
      <w:r w:rsidRPr="00CC0F64">
        <w:t>Cukrowski</w:t>
      </w:r>
      <w:proofErr w:type="spellEnd"/>
      <w:r w:rsidRPr="00CC0F64">
        <w:t xml:space="preserve"> (2004) argues, however, that low oil prices can destabilize the overall economy </w:t>
      </w:r>
      <w:proofErr w:type="gramStart"/>
      <w:r w:rsidRPr="00CC0F64">
        <w:t>as a result of</w:t>
      </w:r>
      <w:proofErr w:type="gramEnd"/>
      <w:r w:rsidRPr="00CC0F64">
        <w:t xml:space="preserve"> a reduction in output and revenue. Additionally, </w:t>
      </w:r>
      <w:proofErr w:type="spellStart"/>
      <w:r w:rsidRPr="00CC0F64">
        <w:t>Charfeddine</w:t>
      </w:r>
      <w:proofErr w:type="spellEnd"/>
      <w:r w:rsidRPr="00CC0F64">
        <w:t xml:space="preserve"> and Barkat (2020) found that oil revenue shocks affect output in heavily oil-dependent countries (e.g., Qatar) asymmetrically. In other words, the positive impact of oil shocks on economic growth is limited, while the adverse impact of oil shocks is vast. Similarly, Herrera et al. (2019) reported that oil price shocks in the United States are asymmetrically related to industrial production.</w:t>
      </w:r>
    </w:p>
    <w:p w14:paraId="00000035" w14:textId="77777777" w:rsidR="00083006" w:rsidRPr="00CC0F64" w:rsidRDefault="0080383E">
      <w:pPr>
        <w:ind w:firstLine="720"/>
        <w:jc w:val="both"/>
      </w:pPr>
      <w:r w:rsidRPr="00CC0F64">
        <w:t xml:space="preserve">In some studies (Akram, 2004; </w:t>
      </w:r>
      <w:proofErr w:type="spellStart"/>
      <w:r w:rsidRPr="00CC0F64">
        <w:t>Charfeddine</w:t>
      </w:r>
      <w:proofErr w:type="spellEnd"/>
      <w:r w:rsidRPr="00CC0F64">
        <w:t xml:space="preserve"> and Barkat, 2020), it has been found that oil prices have a significant effect on exchange rates. For example, according to Akram (2004), an increase in oil prices has been related to an appreciation of exchange rates in oil exporting countries (e.g., Russia). However, in Qatar, as oil and gas revenues increase, the real exchange rate declines (</w:t>
      </w:r>
      <w:proofErr w:type="spellStart"/>
      <w:r w:rsidRPr="00CC0F64">
        <w:t>Charfedine</w:t>
      </w:r>
      <w:proofErr w:type="spellEnd"/>
      <w:r w:rsidRPr="00CC0F64">
        <w:t xml:space="preserve"> and Barkat, 2020). As an oil importing country, the UK experiences a drop in GDP growth </w:t>
      </w:r>
      <w:proofErr w:type="gramStart"/>
      <w:r w:rsidRPr="00CC0F64">
        <w:t>as a result of</w:t>
      </w:r>
      <w:proofErr w:type="gramEnd"/>
      <w:r w:rsidRPr="00CC0F64">
        <w:t xml:space="preserve"> shortfalls in crude oil supplies. </w:t>
      </w:r>
      <w:proofErr w:type="spellStart"/>
      <w:r w:rsidRPr="00CC0F64">
        <w:t>Lorusso</w:t>
      </w:r>
      <w:proofErr w:type="spellEnd"/>
      <w:r w:rsidRPr="00CC0F64">
        <w:t xml:space="preserve"> and </w:t>
      </w:r>
      <w:proofErr w:type="spellStart"/>
      <w:r w:rsidRPr="00CC0F64">
        <w:t>Pieroni</w:t>
      </w:r>
      <w:proofErr w:type="spellEnd"/>
      <w:r w:rsidRPr="00CC0F64">
        <w:t xml:space="preserve"> (2018) find that UK inflation increases after an increase in the real oil price. For small open economies (e.g., the Dominican Republic), Méndez-</w:t>
      </w:r>
      <w:proofErr w:type="spellStart"/>
      <w:r w:rsidRPr="00CC0F64">
        <w:t>Carbajo</w:t>
      </w:r>
      <w:proofErr w:type="spellEnd"/>
      <w:r w:rsidRPr="00CC0F64">
        <w:t xml:space="preserve"> (2011) find that rising oil prices caused local currencies to depreciate. On the other hand, </w:t>
      </w:r>
      <w:proofErr w:type="spellStart"/>
      <w:r w:rsidRPr="00CC0F64">
        <w:t>Charfeddine</w:t>
      </w:r>
      <w:proofErr w:type="spellEnd"/>
      <w:r w:rsidRPr="00CC0F64">
        <w:t xml:space="preserve"> and Barkat (2020) report that the Qatari currency appreciate throughout the period of an increase in oil prices.</w:t>
      </w:r>
    </w:p>
    <w:p w14:paraId="00000036" w14:textId="77777777" w:rsidR="00083006" w:rsidRPr="00CC0F64" w:rsidRDefault="0080383E">
      <w:pPr>
        <w:ind w:firstLine="720"/>
        <w:jc w:val="both"/>
      </w:pPr>
      <w:r w:rsidRPr="00CC0F64">
        <w:t xml:space="preserve">Oil price shocks have been studied from perspectives of both oil exporters and oil importers in several economic studies (e.g., Baek and Yoon, 2022; Lawal et al., 2020; Mohsin et al., 2021; Nasir et al., 2018; Nguyen and Nasir, 2021; Wang et al., 2019; Wu et al., 2018). As an example, a high oil price lowers aggregate incomes in countries that import oil and reduces foreign demand for the oil produced in those nations that export oil. The consumption </w:t>
      </w:r>
      <w:r w:rsidRPr="00CC0F64">
        <w:lastRenderedPageBreak/>
        <w:t>of domestic oil by households and companies increases at the same time, helping local producers increase earnings (</w:t>
      </w:r>
      <w:proofErr w:type="spellStart"/>
      <w:r w:rsidRPr="00CC0F64">
        <w:t>Lorusso</w:t>
      </w:r>
      <w:proofErr w:type="spellEnd"/>
      <w:r w:rsidRPr="00CC0F64">
        <w:t xml:space="preserve"> and </w:t>
      </w:r>
      <w:proofErr w:type="spellStart"/>
      <w:r w:rsidRPr="00CC0F64">
        <w:t>Pieroni</w:t>
      </w:r>
      <w:proofErr w:type="spellEnd"/>
      <w:r w:rsidRPr="00CC0F64">
        <w:t>, 2018).</w:t>
      </w:r>
    </w:p>
    <w:p w14:paraId="00000037" w14:textId="73AD4022" w:rsidR="00083006" w:rsidRDefault="0080383E">
      <w:pPr>
        <w:ind w:firstLine="720"/>
        <w:jc w:val="both"/>
      </w:pPr>
      <w:r w:rsidRPr="00CC0F64">
        <w:t xml:space="preserve">In addition to being closely related to Ouyang and Li (2018), </w:t>
      </w:r>
      <w:proofErr w:type="spellStart"/>
      <w:r w:rsidRPr="00CC0F64">
        <w:t>Lorusso</w:t>
      </w:r>
      <w:proofErr w:type="spellEnd"/>
      <w:r w:rsidRPr="00CC0F64">
        <w:t xml:space="preserve"> and </w:t>
      </w:r>
      <w:proofErr w:type="spellStart"/>
      <w:r w:rsidRPr="00CC0F64">
        <w:t>Pieroni</w:t>
      </w:r>
      <w:proofErr w:type="spellEnd"/>
      <w:r w:rsidRPr="00CC0F64">
        <w:t xml:space="preserve"> (2018), our analysis contains several innovations. For example, based on data from 30 Chinese provinces spanning 1996 Q1 through 2015 Q4, Ouyang and Li (2018) </w:t>
      </w:r>
      <w:proofErr w:type="spellStart"/>
      <w:r w:rsidRPr="00CC0F64">
        <w:t>analyse</w:t>
      </w:r>
      <w:proofErr w:type="spellEnd"/>
      <w:r w:rsidRPr="00CC0F64">
        <w:t xml:space="preserve"> the impacts of energy consumption on financial development by employing a VAR model in a GMM estimation (credit, foreign direct investment, </w:t>
      </w:r>
      <w:proofErr w:type="gramStart"/>
      <w:r w:rsidRPr="00CC0F64">
        <w:t>money</w:t>
      </w:r>
      <w:proofErr w:type="gramEnd"/>
      <w:r w:rsidRPr="00CC0F64">
        <w:t xml:space="preserve"> and quasi-money per capita, insurance industry revenues, and stock market value). They consider financial development variables to be exogenous variables. The causality of oil price shocks is captured by </w:t>
      </w:r>
      <w:proofErr w:type="spellStart"/>
      <w:r w:rsidRPr="00CC0F64">
        <w:t>Lorusso</w:t>
      </w:r>
      <w:proofErr w:type="spellEnd"/>
      <w:r w:rsidRPr="00CC0F64">
        <w:t xml:space="preserve"> and </w:t>
      </w:r>
      <w:proofErr w:type="spellStart"/>
      <w:r w:rsidRPr="00CC0F64">
        <w:t>Pieroni</w:t>
      </w:r>
      <w:proofErr w:type="spellEnd"/>
      <w:r w:rsidRPr="00CC0F64">
        <w:t xml:space="preserve"> (2018) using a two-state approach. As a first step, they utilized a structural VAR (SVAR) framework </w:t>
      </w:r>
      <w:proofErr w:type="gramStart"/>
      <w:r w:rsidRPr="00CC0F64">
        <w:t>in order to</w:t>
      </w:r>
      <w:proofErr w:type="gramEnd"/>
      <w:r w:rsidRPr="00CC0F64">
        <w:t xml:space="preserve"> calculate supply and demand in the oil market. A range of UK macroeconomic aggregates is then incorporated (e.g., CPI inflation, real GDP growth, the nominal interest rate, and unemployment rate) with data spanning from 1976 Q1 to 2014 Q2. </w:t>
      </w:r>
      <w:sdt>
        <w:sdtPr>
          <w:tag w:val="goog_rdk_3"/>
          <w:id w:val="-868222462"/>
        </w:sdtPr>
        <w:sdtContent/>
      </w:sdt>
      <w:r w:rsidRPr="00CC0F64">
        <w:t xml:space="preserve">In comparison with </w:t>
      </w:r>
      <w:r w:rsidR="00055D4B" w:rsidRPr="00CC0F64">
        <w:t>earlier</w:t>
      </w:r>
      <w:r w:rsidRPr="00CC0F64">
        <w:t xml:space="preserve"> research conducted in the </w:t>
      </w:r>
      <w:r w:rsidR="00055D4B" w:rsidRPr="00CC0F64">
        <w:t xml:space="preserve">context of </w:t>
      </w:r>
      <w:r w:rsidRPr="00CC0F64">
        <w:t xml:space="preserve">UK (e.g., </w:t>
      </w:r>
      <w:proofErr w:type="spellStart"/>
      <w:r w:rsidRPr="00CC0F64">
        <w:t>Lorusso</w:t>
      </w:r>
      <w:proofErr w:type="spellEnd"/>
      <w:r w:rsidRPr="00CC0F64">
        <w:t xml:space="preserve"> and </w:t>
      </w:r>
      <w:proofErr w:type="spellStart"/>
      <w:r w:rsidRPr="00CC0F64">
        <w:t>Pieroni</w:t>
      </w:r>
      <w:proofErr w:type="spellEnd"/>
      <w:r w:rsidRPr="00CC0F64">
        <w:t xml:space="preserve">, 2018), our analysis covers the period from January 2010 to June 2022. To model the first difference, we use monthly data on the trade balance and Brent crude oil. GDP, </w:t>
      </w:r>
      <w:proofErr w:type="gramStart"/>
      <w:r w:rsidRPr="00CC0F64">
        <w:t>CPI</w:t>
      </w:r>
      <w:proofErr w:type="gramEnd"/>
      <w:r w:rsidRPr="00CC0F64">
        <w:t xml:space="preserve"> and unemployment are </w:t>
      </w:r>
      <w:proofErr w:type="gramStart"/>
      <w:r w:rsidRPr="00CC0F64">
        <w:t>stationery</w:t>
      </w:r>
      <w:proofErr w:type="gramEnd"/>
      <w:r w:rsidRPr="00CC0F64">
        <w:t xml:space="preserve"> at second difference. Our model treats international oil prices as an endogenous variable. Several factors contribute to the selection of these variables, including the fact that they are the </w:t>
      </w:r>
      <w:proofErr w:type="gramStart"/>
      <w:r w:rsidRPr="00CC0F64">
        <w:t>most commonly used</w:t>
      </w:r>
      <w:proofErr w:type="gramEnd"/>
      <w:r w:rsidRPr="00CC0F64">
        <w:t xml:space="preserve"> in business cycle theory and literature.</w:t>
      </w:r>
    </w:p>
    <w:p w14:paraId="5882601F" w14:textId="4484F943" w:rsidR="00092F04" w:rsidRDefault="00DB6F07" w:rsidP="00092F04">
      <w:pPr>
        <w:ind w:firstLine="720"/>
        <w:jc w:val="both"/>
        <w:rPr>
          <w:color w:val="00B050"/>
        </w:rPr>
      </w:pPr>
      <w:r>
        <w:rPr>
          <w:color w:val="00B050"/>
        </w:rPr>
        <w:t>This section highlights</w:t>
      </w:r>
      <w:r w:rsidR="00092F04" w:rsidRPr="00092F04">
        <w:rPr>
          <w:color w:val="00B050"/>
        </w:rPr>
        <w:t xml:space="preserve"> the consequences of oil price fluctuations on economic growth vary significantly between oil-importing and oil-exporting countries</w:t>
      </w:r>
      <w:r w:rsidR="00960DD6">
        <w:rPr>
          <w:color w:val="00B050"/>
        </w:rPr>
        <w:t xml:space="preserve"> (</w:t>
      </w:r>
      <w:proofErr w:type="spellStart"/>
      <w:r w:rsidR="007C30FD">
        <w:rPr>
          <w:color w:val="00B050"/>
        </w:rPr>
        <w:t>Charfeddine</w:t>
      </w:r>
      <w:proofErr w:type="spellEnd"/>
      <w:r w:rsidR="007C30FD">
        <w:rPr>
          <w:color w:val="00B050"/>
        </w:rPr>
        <w:t xml:space="preserve"> and Barkat, 2020; </w:t>
      </w:r>
      <w:r w:rsidR="00960DD6" w:rsidRPr="00960DD6">
        <w:rPr>
          <w:color w:val="00B050"/>
        </w:rPr>
        <w:t>Méndez-</w:t>
      </w:r>
      <w:proofErr w:type="spellStart"/>
      <w:r w:rsidR="00960DD6" w:rsidRPr="00960DD6">
        <w:rPr>
          <w:color w:val="00B050"/>
        </w:rPr>
        <w:t>Carbajo</w:t>
      </w:r>
      <w:proofErr w:type="spellEnd"/>
      <w:r w:rsidR="00960DD6">
        <w:rPr>
          <w:color w:val="00B050"/>
        </w:rPr>
        <w:t>, 2010)</w:t>
      </w:r>
      <w:r w:rsidR="00092F04" w:rsidRPr="00092F04">
        <w:rPr>
          <w:color w:val="00B050"/>
        </w:rPr>
        <w:t xml:space="preserve">. While small oil-importing countries typically experience lower economic growth </w:t>
      </w:r>
      <w:proofErr w:type="gramStart"/>
      <w:r w:rsidR="00092F04" w:rsidRPr="00092F04">
        <w:rPr>
          <w:color w:val="00B050"/>
        </w:rPr>
        <w:t>as a result of</w:t>
      </w:r>
      <w:proofErr w:type="gramEnd"/>
      <w:r w:rsidR="00092F04" w:rsidRPr="00092F04">
        <w:rPr>
          <w:color w:val="00B050"/>
        </w:rPr>
        <w:t xml:space="preserve"> high oil prices, large oil-importing countries and oil-exporting countries are often less affected or may even benefit from these fluctuations.</w:t>
      </w:r>
      <w:r>
        <w:rPr>
          <w:color w:val="00B050"/>
        </w:rPr>
        <w:t xml:space="preserve"> </w:t>
      </w:r>
      <w:r w:rsidR="00092F04" w:rsidRPr="00092F04">
        <w:rPr>
          <w:color w:val="00B050"/>
        </w:rPr>
        <w:t xml:space="preserve">Secondly, the relationship between oil prices and other macroeconomic variables, such as exchange rates, is </w:t>
      </w:r>
      <w:r w:rsidR="00092F04" w:rsidRPr="00092F04">
        <w:rPr>
          <w:color w:val="00B050"/>
        </w:rPr>
        <w:lastRenderedPageBreak/>
        <w:t xml:space="preserve">complex and often </w:t>
      </w:r>
      <w:r w:rsidR="00232A5F" w:rsidRPr="00092F04">
        <w:rPr>
          <w:color w:val="00B050"/>
        </w:rPr>
        <w:t>country specific</w:t>
      </w:r>
      <w:r w:rsidR="00CF497B">
        <w:rPr>
          <w:color w:val="00B050"/>
        </w:rPr>
        <w:t xml:space="preserve"> (</w:t>
      </w:r>
      <w:r w:rsidR="00D03CC9">
        <w:rPr>
          <w:color w:val="00B050"/>
        </w:rPr>
        <w:t xml:space="preserve">Lawal et al., 2020; </w:t>
      </w:r>
      <w:proofErr w:type="spellStart"/>
      <w:r w:rsidR="00D03CC9">
        <w:rPr>
          <w:color w:val="00B050"/>
        </w:rPr>
        <w:t>Magazzino</w:t>
      </w:r>
      <w:proofErr w:type="spellEnd"/>
      <w:r w:rsidR="00D03CC9">
        <w:rPr>
          <w:color w:val="00B050"/>
        </w:rPr>
        <w:t xml:space="preserve"> et al., 2021</w:t>
      </w:r>
      <w:r w:rsidR="00232A5F">
        <w:rPr>
          <w:color w:val="00B050"/>
        </w:rPr>
        <w:t>; Nasir et al., 2018</w:t>
      </w:r>
      <w:r w:rsidR="00CF497B">
        <w:rPr>
          <w:color w:val="00B050"/>
        </w:rPr>
        <w:t>)</w:t>
      </w:r>
      <w:r w:rsidR="00092F04" w:rsidRPr="00092F04">
        <w:rPr>
          <w:color w:val="00B050"/>
        </w:rPr>
        <w:t>. In some cases, higher oil prices have been associated with currency appreciation in oil-exporting countries and depreciation in oil-importing countries. However, these relationships are not universally observed and may differ depending on a country's unique economic conditions.</w:t>
      </w:r>
      <w:r w:rsidR="008C704F">
        <w:rPr>
          <w:color w:val="00B050"/>
        </w:rPr>
        <w:t xml:space="preserve"> </w:t>
      </w:r>
      <w:r w:rsidR="00092F04" w:rsidRPr="00092F04">
        <w:rPr>
          <w:color w:val="00B050"/>
        </w:rPr>
        <w:t>Lastly, the literature employs various methodological approaches to explore the impacts of oil prices on economic growth and other macroeconomic variables. While some studies utilize vector autoregression (VAR) models or structural VAR (SVAR) frameworks</w:t>
      </w:r>
      <w:r w:rsidR="00CD1A07">
        <w:rPr>
          <w:color w:val="00B050"/>
        </w:rPr>
        <w:t xml:space="preserve"> (</w:t>
      </w:r>
      <w:proofErr w:type="spellStart"/>
      <w:r w:rsidR="00CD1A07">
        <w:rPr>
          <w:color w:val="00B050"/>
        </w:rPr>
        <w:t>Esmae</w:t>
      </w:r>
      <w:r w:rsidR="00B60DBC">
        <w:rPr>
          <w:color w:val="00B050"/>
        </w:rPr>
        <w:t>ili</w:t>
      </w:r>
      <w:proofErr w:type="spellEnd"/>
      <w:r w:rsidR="00B60DBC">
        <w:rPr>
          <w:color w:val="00B050"/>
        </w:rPr>
        <w:t xml:space="preserve"> and </w:t>
      </w:r>
      <w:proofErr w:type="spellStart"/>
      <w:r w:rsidR="00B60DBC">
        <w:rPr>
          <w:color w:val="00B050"/>
        </w:rPr>
        <w:t>Rafei</w:t>
      </w:r>
      <w:proofErr w:type="spellEnd"/>
      <w:r w:rsidR="00B60DBC">
        <w:rPr>
          <w:color w:val="00B050"/>
        </w:rPr>
        <w:t xml:space="preserve">, 2021; </w:t>
      </w:r>
      <w:proofErr w:type="spellStart"/>
      <w:r w:rsidR="00B60DBC">
        <w:rPr>
          <w:color w:val="00B050"/>
        </w:rPr>
        <w:t>Galadima</w:t>
      </w:r>
      <w:proofErr w:type="spellEnd"/>
      <w:r w:rsidR="00B60DBC">
        <w:rPr>
          <w:color w:val="00B050"/>
        </w:rPr>
        <w:t xml:space="preserve"> and Aminu, 2019)</w:t>
      </w:r>
      <w:r w:rsidR="00092F04" w:rsidRPr="00092F04">
        <w:rPr>
          <w:color w:val="00B050"/>
        </w:rPr>
        <w:t>, others rely on Granger causality or two-state approaches. Despite these diverse methodologies, the findings remain inconclusive, indicating that the relationship between oil prices and economic growth is intricate and multifaceted.</w:t>
      </w:r>
      <w:r w:rsidR="008C704F">
        <w:rPr>
          <w:color w:val="00B050"/>
        </w:rPr>
        <w:t xml:space="preserve"> Our</w:t>
      </w:r>
      <w:r w:rsidR="00092F04" w:rsidRPr="00092F04">
        <w:rPr>
          <w:color w:val="00B050"/>
        </w:rPr>
        <w:t xml:space="preserve"> review </w:t>
      </w:r>
      <w:r w:rsidR="008C704F">
        <w:rPr>
          <w:color w:val="00B050"/>
        </w:rPr>
        <w:t xml:space="preserve">of the literature </w:t>
      </w:r>
      <w:r w:rsidR="00092F04" w:rsidRPr="00092F04">
        <w:rPr>
          <w:color w:val="00B050"/>
        </w:rPr>
        <w:t>underscores the importance of examining the specific context and characteristics of each country when studying the impact of oil prices on economic growth. Building on the existing literature, our study aims to provide a more comprehensive understanding of these relationships in the context of the UK economy by using an updated dataset and treating international oil prices as an endogenous variable.</w:t>
      </w:r>
    </w:p>
    <w:p w14:paraId="5517B26B" w14:textId="77777777" w:rsidR="008C704F" w:rsidRPr="00092F04" w:rsidRDefault="008C704F" w:rsidP="00092F04">
      <w:pPr>
        <w:ind w:firstLine="720"/>
        <w:jc w:val="both"/>
        <w:rPr>
          <w:color w:val="00B050"/>
        </w:rPr>
      </w:pPr>
    </w:p>
    <w:p w14:paraId="00000038" w14:textId="77777777" w:rsidR="00083006" w:rsidRPr="00CC0F64" w:rsidRDefault="0080383E">
      <w:pPr>
        <w:pStyle w:val="Heading1"/>
        <w:rPr>
          <w:b/>
        </w:rPr>
      </w:pPr>
      <w:r w:rsidRPr="00CC0F64">
        <w:rPr>
          <w:b/>
        </w:rPr>
        <w:t>3. Data and methodology</w:t>
      </w:r>
    </w:p>
    <w:p w14:paraId="00000039" w14:textId="77777777" w:rsidR="00083006" w:rsidRPr="00CC0F64" w:rsidRDefault="0080383E">
      <w:pPr>
        <w:pStyle w:val="Heading2"/>
      </w:pPr>
      <w:r w:rsidRPr="00CC0F64">
        <w:t>3.1 Data</w:t>
      </w:r>
    </w:p>
    <w:p w14:paraId="0000003A" w14:textId="77777777" w:rsidR="00083006" w:rsidRPr="00CC0F64" w:rsidRDefault="0080383E">
      <w:pPr>
        <w:spacing w:before="240"/>
        <w:ind w:firstLine="720"/>
        <w:jc w:val="both"/>
        <w:rPr>
          <w:b/>
        </w:rPr>
      </w:pPr>
      <w:r w:rsidRPr="00CC0F64">
        <w:t xml:space="preserve">The data sets of our variables are based on the monthly percentage change in gross domestic product (GDP), consumer price index (CPI), trade balance, unemployment rate, and brent crude oil in United Kingdom (UK). The data were collected from Thomson Reuters </w:t>
      </w:r>
      <w:proofErr w:type="spellStart"/>
      <w:r w:rsidRPr="00CC0F64">
        <w:t>Datastream</w:t>
      </w:r>
      <w:proofErr w:type="spellEnd"/>
      <w:r w:rsidRPr="00CC0F64">
        <w:t xml:space="preserve"> with the long time series of monthly data from January 2010 to June 2022. Moreover, the natural logarithmic forms of GDP, trade balance, unemployment and brent crude oil except CPI are used to estimate our variables. </w:t>
      </w:r>
    </w:p>
    <w:p w14:paraId="0000003B" w14:textId="77777777" w:rsidR="00083006" w:rsidRPr="00CC0F64" w:rsidRDefault="0080383E">
      <w:pPr>
        <w:pStyle w:val="Heading2"/>
      </w:pPr>
      <w:r w:rsidRPr="00CC0F64">
        <w:lastRenderedPageBreak/>
        <w:t>3.2 Method</w:t>
      </w:r>
    </w:p>
    <w:p w14:paraId="0000003C" w14:textId="55A73DE4" w:rsidR="00083006" w:rsidRDefault="0080383E">
      <w:pPr>
        <w:spacing w:before="240"/>
        <w:ind w:firstLine="720"/>
        <w:jc w:val="both"/>
      </w:pPr>
      <w:bookmarkStart w:id="2" w:name="_heading=h.30j0zll" w:colFirst="0" w:colLast="0"/>
      <w:bookmarkEnd w:id="2"/>
      <w:r w:rsidRPr="00CC0F64">
        <w:t xml:space="preserve">We consider three analyses under the framework of vector autoregressive model (VAR) including VAR model, time-varying VAR analysis, and time-varying panel model with robustness test.  The VAR models normally are universal autoregressive models by allowing multivariate time series. In addition, the VAR models provide a coherent and creditable method to data description, structural inference, forecasting, and policy analysis (Stock and Watson, 2001). Furthermore, the VAR method can be extended to the vector error correction model and co-integrated VAR analysis (Engle and Granger, 1987; Granger, 1983; Granger and Weiss, 1983; </w:t>
      </w:r>
      <w:proofErr w:type="spellStart"/>
      <w:r w:rsidRPr="00CC0F64">
        <w:t>Juselius</w:t>
      </w:r>
      <w:proofErr w:type="spellEnd"/>
      <w:r w:rsidRPr="00CC0F64">
        <w:t>, 2006). Specially, the time-varying coefficient linear models can be expressed in state space form, which assumes that the coefficients change over time as a Brownian motion and their estimation using kernel smoothing techniques (Casas and Fernandez-</w:t>
      </w:r>
      <w:proofErr w:type="spellStart"/>
      <w:r w:rsidRPr="00CC0F64">
        <w:t>Casal</w:t>
      </w:r>
      <w:proofErr w:type="spellEnd"/>
      <w:r w:rsidRPr="00CC0F64">
        <w:t xml:space="preserve">, 2019). Thus, the time-varying coefficient VAR models allow continuous smooth changes to coefficients and their assumption may match with real economics (Sims, 1980). </w:t>
      </w:r>
      <w:r w:rsidRPr="00A34D0E">
        <w:rPr>
          <w:color w:val="00B050"/>
        </w:rPr>
        <w:t>The model</w:t>
      </w:r>
      <w:r w:rsidR="00A34D0E" w:rsidRPr="00A34D0E">
        <w:rPr>
          <w:color w:val="00B050"/>
        </w:rPr>
        <w:t>s are</w:t>
      </w:r>
      <w:r w:rsidRPr="00A34D0E">
        <w:rPr>
          <w:color w:val="00B050"/>
        </w:rPr>
        <w:t xml:space="preserve"> provided as follows</w:t>
      </w:r>
      <w:r w:rsidR="00A34D0E" w:rsidRPr="00A34D0E">
        <w:rPr>
          <w:color w:val="00B050"/>
        </w:rPr>
        <w:t xml:space="preserve"> (see Equations (1) to (5))</w:t>
      </w:r>
      <w:r w:rsidRPr="00A34D0E">
        <w:rPr>
          <w:color w:val="00B050"/>
        </w:rPr>
        <w:t>.</w:t>
      </w:r>
    </w:p>
    <w:p w14:paraId="52D96B40" w14:textId="79F46511" w:rsidR="003669A2" w:rsidRDefault="003669A2">
      <w:pPr>
        <w:spacing w:before="240"/>
        <w:ind w:firstLine="720"/>
        <w:jc w:val="both"/>
      </w:pPr>
    </w:p>
    <w:p w14:paraId="48F73C91" w14:textId="5A635167" w:rsidR="003669A2" w:rsidRPr="003669A2" w:rsidRDefault="00000000" w:rsidP="003669A2">
      <w:pPr>
        <w:jc w:val="thaiDistribute"/>
        <w:rPr>
          <w:rFonts w:ascii="Cambria Math" w:eastAsia="Cambria Math" w:hAnsi="Cambria Math" w:cs="Cambria Math"/>
          <w:sz w:val="20"/>
          <w:szCs w:val="20"/>
        </w:rPr>
      </w:pPr>
      <m:oMathPara>
        <m:oMathParaPr>
          <m:jc m:val="left"/>
        </m:oMathParaPr>
        <m:oMath>
          <m:sSub>
            <m:sSubPr>
              <m:ctrlPr>
                <w:rPr>
                  <w:rFonts w:ascii="Cambria Math" w:eastAsia="Cambria Math" w:hAnsi="Cambria Math" w:cs="Cambria Math"/>
                  <w:sz w:val="20"/>
                  <w:szCs w:val="20"/>
                </w:rPr>
              </m:ctrlPr>
            </m:sSubPr>
            <m:e>
              <m:r>
                <w:rPr>
                  <w:rFonts w:ascii="Cambria Math" w:eastAsia="Cambria Math" w:hAnsi="Cambria Math" w:cs="Cambria Math"/>
                  <w:sz w:val="20"/>
                  <w:szCs w:val="20"/>
                </w:rPr>
                <m:t>GDP</m:t>
              </m:r>
            </m:e>
            <m:sub>
              <m:r>
                <w:rPr>
                  <w:rFonts w:ascii="Cambria Math" w:eastAsia="Cambria Math" w:hAnsi="Cambria Math" w:cs="Cambria Math"/>
                  <w:sz w:val="20"/>
                  <w:szCs w:val="20"/>
                </w:rPr>
                <m:t>t</m:t>
              </m:r>
            </m:sub>
          </m:sSub>
          <m:r>
            <w:rPr>
              <w:rFonts w:ascii="Cambria Math" w:eastAsia="Cambria Math" w:hAnsi="Cambria Math" w:cs="Cambria Math"/>
              <w:sz w:val="20"/>
              <w:szCs w:val="20"/>
            </w:rPr>
            <m:t>=</m:t>
          </m:r>
          <m:sSubSup>
            <m:sSubSupPr>
              <m:ctrlPr>
                <w:rPr>
                  <w:rFonts w:ascii="Cambria Math" w:eastAsia="Cambria Math" w:hAnsi="Cambria Math" w:cs="Cambria Math"/>
                  <w:sz w:val="20"/>
                  <w:szCs w:val="20"/>
                </w:rPr>
              </m:ctrlPr>
            </m:sSubSupPr>
            <m:e>
              <m:r>
                <w:rPr>
                  <w:rFonts w:ascii="Cambria Math" w:eastAsia="Cambria Math" w:hAnsi="Cambria Math" w:cs="Cambria Math"/>
                  <w:sz w:val="20"/>
                  <w:szCs w:val="20"/>
                </w:rPr>
                <m:t>a</m:t>
              </m:r>
            </m:e>
            <m:sub>
              <m:r>
                <w:rPr>
                  <w:rFonts w:ascii="Cambria Math" w:eastAsia="Cambria Math" w:hAnsi="Cambria Math" w:cs="Cambria Math"/>
                  <w:sz w:val="20"/>
                  <w:szCs w:val="20"/>
                </w:rPr>
                <m:t>t</m:t>
              </m:r>
            </m:sub>
            <m:sup>
              <m:r>
                <w:rPr>
                  <w:rFonts w:ascii="Cambria Math" w:eastAsia="Cambria Math" w:hAnsi="Cambria Math" w:cs="Cambria Math"/>
                  <w:sz w:val="20"/>
                  <w:szCs w:val="20"/>
                </w:rPr>
                <m:t>1</m:t>
              </m:r>
            </m:sup>
          </m:sSubSup>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b</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1</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GDP</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c</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1</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CPI</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d</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1</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TB</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e</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1</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UEM</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f</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1</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BCO</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sSubSup>
            <m:sSubSupPr>
              <m:ctrlPr>
                <w:rPr>
                  <w:rFonts w:ascii="Cambria Math" w:eastAsia="Cambria Math" w:hAnsi="Cambria Math" w:cs="Cambria Math"/>
                  <w:sz w:val="20"/>
                  <w:szCs w:val="20"/>
                </w:rPr>
              </m:ctrlPr>
            </m:sSubSupPr>
            <m:e>
              <m:r>
                <w:rPr>
                  <w:rFonts w:ascii="Cambria Math" w:eastAsia="Cambria Math" w:hAnsi="Cambria Math" w:cs="Cambria Math"/>
                  <w:sz w:val="20"/>
                  <w:szCs w:val="20"/>
                </w:rPr>
                <m:t>u</m:t>
              </m:r>
            </m:e>
            <m:sub>
              <m:r>
                <w:rPr>
                  <w:rFonts w:ascii="Cambria Math" w:eastAsia="Cambria Math" w:hAnsi="Cambria Math" w:cs="Cambria Math"/>
                  <w:sz w:val="20"/>
                  <w:szCs w:val="20"/>
                </w:rPr>
                <m:t>t</m:t>
              </m:r>
            </m:sub>
            <m:sup>
              <m:r>
                <w:rPr>
                  <w:rFonts w:ascii="Cambria Math" w:eastAsia="Cambria Math" w:hAnsi="Cambria Math" w:cs="Cambria Math"/>
                  <w:sz w:val="20"/>
                  <w:szCs w:val="20"/>
                </w:rPr>
                <m:t>1</m:t>
              </m:r>
            </m:sup>
          </m:sSubSup>
        </m:oMath>
      </m:oMathPara>
    </w:p>
    <w:p w14:paraId="2F36B030" w14:textId="45E2FA77" w:rsidR="003669A2" w:rsidRPr="003669A2" w:rsidRDefault="003669A2" w:rsidP="003669A2">
      <w:pPr>
        <w:jc w:val="right"/>
        <w:rPr>
          <w:rFonts w:ascii="Cambria Math" w:eastAsia="Cambria Math" w:hAnsi="Cambria Math" w:cs="Cambria Math"/>
          <w:color w:val="FF0000"/>
          <w:sz w:val="20"/>
          <w:szCs w:val="20"/>
        </w:rPr>
      </w:pPr>
      <w:r w:rsidRPr="003669A2">
        <w:rPr>
          <w:rFonts w:ascii="Cambria Math" w:eastAsia="Cambria Math" w:hAnsi="Cambria Math" w:cs="Cambria Math"/>
          <w:color w:val="FF0000"/>
          <w:sz w:val="20"/>
          <w:szCs w:val="20"/>
        </w:rPr>
        <w:t>(1)</w:t>
      </w:r>
    </w:p>
    <w:p w14:paraId="4FDB5593" w14:textId="2FAF83B1" w:rsidR="003669A2" w:rsidRPr="003669A2" w:rsidRDefault="00000000" w:rsidP="003669A2">
      <w:pPr>
        <w:rPr>
          <w:rFonts w:ascii="Cambria Math" w:eastAsia="Cambria Math" w:hAnsi="Cambria Math" w:cs="Cambria Math"/>
          <w:sz w:val="20"/>
          <w:szCs w:val="20"/>
        </w:rPr>
      </w:pPr>
      <m:oMathPara>
        <m:oMathParaPr>
          <m:jc m:val="left"/>
        </m:oMathParaPr>
        <m:oMath>
          <m:sSub>
            <m:sSubPr>
              <m:ctrlPr>
                <w:rPr>
                  <w:rFonts w:ascii="Cambria Math" w:eastAsia="Cambria Math" w:hAnsi="Cambria Math" w:cs="Cambria Math"/>
                  <w:sz w:val="20"/>
                  <w:szCs w:val="20"/>
                </w:rPr>
              </m:ctrlPr>
            </m:sSubPr>
            <m:e>
              <m:r>
                <w:rPr>
                  <w:rFonts w:ascii="Cambria Math" w:eastAsia="Cambria Math" w:hAnsi="Cambria Math" w:cs="Cambria Math"/>
                  <w:sz w:val="20"/>
                  <w:szCs w:val="20"/>
                </w:rPr>
                <m:t>CPI</m:t>
              </m:r>
            </m:e>
            <m:sub>
              <m:r>
                <w:rPr>
                  <w:rFonts w:ascii="Cambria Math" w:eastAsia="Cambria Math" w:hAnsi="Cambria Math" w:cs="Cambria Math"/>
                  <w:sz w:val="20"/>
                  <w:szCs w:val="20"/>
                </w:rPr>
                <m:t>t</m:t>
              </m:r>
            </m:sub>
          </m:sSub>
          <m:r>
            <w:rPr>
              <w:rFonts w:ascii="Cambria Math" w:eastAsia="Cambria Math" w:hAnsi="Cambria Math" w:cs="Cambria Math"/>
              <w:sz w:val="20"/>
              <w:szCs w:val="20"/>
            </w:rPr>
            <m:t>=</m:t>
          </m:r>
          <m:sSubSup>
            <m:sSubSupPr>
              <m:ctrlPr>
                <w:rPr>
                  <w:rFonts w:ascii="Cambria Math" w:eastAsia="Cambria Math" w:hAnsi="Cambria Math" w:cs="Cambria Math"/>
                  <w:sz w:val="20"/>
                  <w:szCs w:val="20"/>
                </w:rPr>
              </m:ctrlPr>
            </m:sSubSupPr>
            <m:e>
              <m:r>
                <w:rPr>
                  <w:rFonts w:ascii="Cambria Math" w:eastAsia="Cambria Math" w:hAnsi="Cambria Math" w:cs="Cambria Math"/>
                  <w:sz w:val="20"/>
                  <w:szCs w:val="20"/>
                </w:rPr>
                <m:t>a</m:t>
              </m:r>
            </m:e>
            <m:sub>
              <m:r>
                <w:rPr>
                  <w:rFonts w:ascii="Cambria Math" w:eastAsia="Cambria Math" w:hAnsi="Cambria Math" w:cs="Cambria Math"/>
                  <w:sz w:val="20"/>
                  <w:szCs w:val="20"/>
                </w:rPr>
                <m:t>t</m:t>
              </m:r>
            </m:sub>
            <m:sup>
              <m:r>
                <w:rPr>
                  <w:rFonts w:ascii="Cambria Math" w:eastAsia="Cambria Math" w:hAnsi="Cambria Math" w:cs="Cambria Math"/>
                  <w:sz w:val="20"/>
                  <w:szCs w:val="20"/>
                </w:rPr>
                <m:t>2</m:t>
              </m:r>
            </m:sup>
          </m:sSubSup>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b</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2</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GDP</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c</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2</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CPI</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d</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2</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TB</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e</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2</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UEM</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f</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2</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BCO</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sSubSup>
            <m:sSubSupPr>
              <m:ctrlPr>
                <w:rPr>
                  <w:rFonts w:ascii="Cambria Math" w:eastAsia="Cambria Math" w:hAnsi="Cambria Math" w:cs="Cambria Math"/>
                  <w:sz w:val="20"/>
                  <w:szCs w:val="20"/>
                </w:rPr>
              </m:ctrlPr>
            </m:sSubSupPr>
            <m:e>
              <m:r>
                <w:rPr>
                  <w:rFonts w:ascii="Cambria Math" w:eastAsia="Cambria Math" w:hAnsi="Cambria Math" w:cs="Cambria Math"/>
                  <w:sz w:val="20"/>
                  <w:szCs w:val="20"/>
                </w:rPr>
                <m:t>u</m:t>
              </m:r>
            </m:e>
            <m:sub>
              <m:r>
                <w:rPr>
                  <w:rFonts w:ascii="Cambria Math" w:eastAsia="Cambria Math" w:hAnsi="Cambria Math" w:cs="Cambria Math"/>
                  <w:sz w:val="20"/>
                  <w:szCs w:val="20"/>
                </w:rPr>
                <m:t>t</m:t>
              </m:r>
            </m:sub>
            <m:sup>
              <m:r>
                <w:rPr>
                  <w:rFonts w:ascii="Cambria Math" w:eastAsia="Cambria Math" w:hAnsi="Cambria Math" w:cs="Cambria Math"/>
                  <w:sz w:val="20"/>
                  <w:szCs w:val="20"/>
                </w:rPr>
                <m:t>2</m:t>
              </m:r>
            </m:sup>
          </m:sSubSup>
        </m:oMath>
      </m:oMathPara>
    </w:p>
    <w:p w14:paraId="7B5BFCAE" w14:textId="6EC85E4E" w:rsidR="003669A2" w:rsidRPr="003669A2" w:rsidRDefault="003669A2" w:rsidP="003669A2">
      <w:pPr>
        <w:jc w:val="right"/>
        <w:rPr>
          <w:rFonts w:ascii="Cambria Math" w:eastAsia="Cambria Math" w:hAnsi="Cambria Math" w:cs="Cambria Math"/>
          <w:color w:val="FF0000"/>
          <w:sz w:val="20"/>
          <w:szCs w:val="20"/>
        </w:rPr>
      </w:pPr>
      <w:r w:rsidRPr="003669A2">
        <w:rPr>
          <w:rFonts w:ascii="Cambria Math" w:eastAsia="Cambria Math" w:hAnsi="Cambria Math" w:cs="Cambria Math"/>
          <w:color w:val="FF0000"/>
          <w:sz w:val="20"/>
          <w:szCs w:val="20"/>
        </w:rPr>
        <w:t>(2)</w:t>
      </w:r>
    </w:p>
    <w:p w14:paraId="2C6ECC82" w14:textId="17D6D066" w:rsidR="003669A2" w:rsidRPr="003669A2" w:rsidRDefault="003669A2" w:rsidP="003669A2">
      <w:pPr>
        <w:rPr>
          <w:rFonts w:ascii="Cambria Math" w:eastAsia="Cambria Math" w:hAnsi="Cambria Math" w:cs="Cambria Math"/>
          <w:sz w:val="20"/>
          <w:szCs w:val="20"/>
        </w:rPr>
      </w:pPr>
      <m:oMathPara>
        <m:oMathParaPr>
          <m:jc m:val="left"/>
        </m:oMathParaPr>
        <m:oMath>
          <m:r>
            <w:rPr>
              <w:rFonts w:ascii="Cambria Math" w:eastAsia="Cambria Math" w:hAnsi="Cambria Math" w:cs="Cambria Math"/>
              <w:sz w:val="20"/>
              <w:szCs w:val="20"/>
            </w:rPr>
            <m:t>T</m:t>
          </m:r>
          <m:sSub>
            <m:sSubPr>
              <m:ctrlPr>
                <w:rPr>
                  <w:rFonts w:ascii="Cambria Math" w:eastAsia="Cambria Math" w:hAnsi="Cambria Math" w:cs="Cambria Math"/>
                  <w:sz w:val="20"/>
                  <w:szCs w:val="20"/>
                </w:rPr>
              </m:ctrlPr>
            </m:sSubPr>
            <m:e>
              <m:r>
                <w:rPr>
                  <w:rFonts w:ascii="Cambria Math" w:eastAsia="Cambria Math" w:hAnsi="Cambria Math" w:cs="Cambria Math"/>
                  <w:sz w:val="20"/>
                  <w:szCs w:val="20"/>
                </w:rPr>
                <m:t>B</m:t>
              </m:r>
            </m:e>
            <m:sub>
              <m:r>
                <w:rPr>
                  <w:rFonts w:ascii="Cambria Math" w:eastAsia="Cambria Math" w:hAnsi="Cambria Math" w:cs="Cambria Math"/>
                  <w:sz w:val="20"/>
                  <w:szCs w:val="20"/>
                </w:rPr>
                <m:t>t</m:t>
              </m:r>
            </m:sub>
          </m:sSub>
          <m:r>
            <w:rPr>
              <w:rFonts w:ascii="Cambria Math" w:eastAsia="Cambria Math" w:hAnsi="Cambria Math" w:cs="Cambria Math"/>
              <w:sz w:val="20"/>
              <w:szCs w:val="20"/>
            </w:rPr>
            <m:t>=</m:t>
          </m:r>
          <m:sSubSup>
            <m:sSubSupPr>
              <m:ctrlPr>
                <w:rPr>
                  <w:rFonts w:ascii="Cambria Math" w:eastAsia="Cambria Math" w:hAnsi="Cambria Math" w:cs="Cambria Math"/>
                  <w:sz w:val="20"/>
                  <w:szCs w:val="20"/>
                </w:rPr>
              </m:ctrlPr>
            </m:sSubSupPr>
            <m:e>
              <m:r>
                <w:rPr>
                  <w:rFonts w:ascii="Cambria Math" w:eastAsia="Cambria Math" w:hAnsi="Cambria Math" w:cs="Cambria Math"/>
                  <w:sz w:val="20"/>
                  <w:szCs w:val="20"/>
                </w:rPr>
                <m:t>a</m:t>
              </m:r>
            </m:e>
            <m:sub>
              <m:r>
                <w:rPr>
                  <w:rFonts w:ascii="Cambria Math" w:eastAsia="Cambria Math" w:hAnsi="Cambria Math" w:cs="Cambria Math"/>
                  <w:sz w:val="20"/>
                  <w:szCs w:val="20"/>
                </w:rPr>
                <m:t>t</m:t>
              </m:r>
            </m:sub>
            <m:sup>
              <m:r>
                <w:rPr>
                  <w:rFonts w:ascii="Cambria Math" w:eastAsia="Cambria Math" w:hAnsi="Cambria Math" w:cs="Cambria Math"/>
                  <w:sz w:val="20"/>
                  <w:szCs w:val="20"/>
                </w:rPr>
                <m:t>3</m:t>
              </m:r>
            </m:sup>
          </m:sSubSup>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b</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3</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GDP</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c</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3</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CPI</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d</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3</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TB</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e</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3</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UEM</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f</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3</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BCO</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sSubSup>
            <m:sSubSupPr>
              <m:ctrlPr>
                <w:rPr>
                  <w:rFonts w:ascii="Cambria Math" w:eastAsia="Cambria Math" w:hAnsi="Cambria Math" w:cs="Cambria Math"/>
                  <w:sz w:val="20"/>
                  <w:szCs w:val="20"/>
                </w:rPr>
              </m:ctrlPr>
            </m:sSubSupPr>
            <m:e>
              <m:r>
                <w:rPr>
                  <w:rFonts w:ascii="Cambria Math" w:eastAsia="Cambria Math" w:hAnsi="Cambria Math" w:cs="Cambria Math"/>
                  <w:sz w:val="20"/>
                  <w:szCs w:val="20"/>
                </w:rPr>
                <m:t>u</m:t>
              </m:r>
            </m:e>
            <m:sub>
              <m:r>
                <w:rPr>
                  <w:rFonts w:ascii="Cambria Math" w:eastAsia="Cambria Math" w:hAnsi="Cambria Math" w:cs="Cambria Math"/>
                  <w:sz w:val="20"/>
                  <w:szCs w:val="20"/>
                </w:rPr>
                <m:t>t</m:t>
              </m:r>
            </m:sub>
            <m:sup>
              <m:r>
                <w:rPr>
                  <w:rFonts w:ascii="Cambria Math" w:eastAsia="Cambria Math" w:hAnsi="Cambria Math" w:cs="Cambria Math"/>
                  <w:sz w:val="20"/>
                  <w:szCs w:val="20"/>
                </w:rPr>
                <m:t>3</m:t>
              </m:r>
            </m:sup>
          </m:sSubSup>
        </m:oMath>
      </m:oMathPara>
    </w:p>
    <w:p w14:paraId="2705887C" w14:textId="71124F4E" w:rsidR="003669A2" w:rsidRPr="003669A2" w:rsidRDefault="003669A2" w:rsidP="003669A2">
      <w:pPr>
        <w:jc w:val="right"/>
        <w:rPr>
          <w:rFonts w:ascii="Cambria Math" w:eastAsia="Cambria Math" w:hAnsi="Cambria Math" w:cs="Cambria Math"/>
          <w:color w:val="FF0000"/>
          <w:sz w:val="20"/>
          <w:szCs w:val="20"/>
        </w:rPr>
      </w:pPr>
      <w:r w:rsidRPr="003669A2">
        <w:rPr>
          <w:rFonts w:ascii="Cambria Math" w:eastAsia="Cambria Math" w:hAnsi="Cambria Math" w:cs="Cambria Math"/>
          <w:color w:val="FF0000"/>
          <w:sz w:val="20"/>
          <w:szCs w:val="20"/>
        </w:rPr>
        <w:t>(3)</w:t>
      </w:r>
    </w:p>
    <w:p w14:paraId="31A8647B" w14:textId="667953CD" w:rsidR="003669A2" w:rsidRPr="003669A2" w:rsidRDefault="003669A2" w:rsidP="003669A2">
      <w:pPr>
        <w:rPr>
          <w:rFonts w:ascii="Cambria Math" w:eastAsia="Cambria Math" w:hAnsi="Cambria Math" w:cs="Cambria Math"/>
          <w:sz w:val="20"/>
          <w:szCs w:val="20"/>
        </w:rPr>
      </w:pPr>
      <m:oMathPara>
        <m:oMathParaPr>
          <m:jc m:val="left"/>
        </m:oMathParaPr>
        <m:oMath>
          <m:r>
            <w:rPr>
              <w:rFonts w:ascii="Cambria Math" w:eastAsia="Cambria Math" w:hAnsi="Cambria Math" w:cs="Cambria Math"/>
              <w:sz w:val="20"/>
              <w:szCs w:val="20"/>
            </w:rPr>
            <m:t>UE</m:t>
          </m:r>
          <m:sSub>
            <m:sSubPr>
              <m:ctrlPr>
                <w:rPr>
                  <w:rFonts w:ascii="Cambria Math" w:eastAsia="Cambria Math" w:hAnsi="Cambria Math" w:cs="Cambria Math"/>
                  <w:sz w:val="20"/>
                  <w:szCs w:val="20"/>
                </w:rPr>
              </m:ctrlPr>
            </m:sSubPr>
            <m:e>
              <m:r>
                <w:rPr>
                  <w:rFonts w:ascii="Cambria Math" w:eastAsia="Cambria Math" w:hAnsi="Cambria Math" w:cs="Cambria Math"/>
                  <w:sz w:val="20"/>
                  <w:szCs w:val="20"/>
                </w:rPr>
                <m:t>M</m:t>
              </m:r>
            </m:e>
            <m:sub>
              <m:r>
                <w:rPr>
                  <w:rFonts w:ascii="Cambria Math" w:eastAsia="Cambria Math" w:hAnsi="Cambria Math" w:cs="Cambria Math"/>
                  <w:sz w:val="20"/>
                  <w:szCs w:val="20"/>
                </w:rPr>
                <m:t>t</m:t>
              </m:r>
            </m:sub>
          </m:sSub>
          <m:r>
            <w:rPr>
              <w:rFonts w:ascii="Cambria Math" w:eastAsia="Cambria Math" w:hAnsi="Cambria Math" w:cs="Cambria Math"/>
              <w:sz w:val="20"/>
              <w:szCs w:val="20"/>
            </w:rPr>
            <m:t>=</m:t>
          </m:r>
          <m:sSubSup>
            <m:sSubSupPr>
              <m:ctrlPr>
                <w:rPr>
                  <w:rFonts w:ascii="Cambria Math" w:eastAsia="Cambria Math" w:hAnsi="Cambria Math" w:cs="Cambria Math"/>
                  <w:sz w:val="20"/>
                  <w:szCs w:val="20"/>
                </w:rPr>
              </m:ctrlPr>
            </m:sSubSupPr>
            <m:e>
              <m:r>
                <w:rPr>
                  <w:rFonts w:ascii="Cambria Math" w:eastAsia="Cambria Math" w:hAnsi="Cambria Math" w:cs="Cambria Math"/>
                  <w:sz w:val="20"/>
                  <w:szCs w:val="20"/>
                </w:rPr>
                <m:t>a</m:t>
              </m:r>
            </m:e>
            <m:sub>
              <m:r>
                <w:rPr>
                  <w:rFonts w:ascii="Cambria Math" w:eastAsia="Cambria Math" w:hAnsi="Cambria Math" w:cs="Cambria Math"/>
                  <w:sz w:val="20"/>
                  <w:szCs w:val="20"/>
                </w:rPr>
                <m:t>t</m:t>
              </m:r>
            </m:sub>
            <m:sup>
              <m:r>
                <w:rPr>
                  <w:rFonts w:ascii="Cambria Math" w:eastAsia="Cambria Math" w:hAnsi="Cambria Math" w:cs="Cambria Math"/>
                  <w:sz w:val="20"/>
                  <w:szCs w:val="20"/>
                </w:rPr>
                <m:t>4</m:t>
              </m:r>
            </m:sup>
          </m:sSubSup>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b</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4</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GDP</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c</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4</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CPI</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d</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4</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TB</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e</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4</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UEM</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f</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4</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BCO</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sSubSup>
            <m:sSubSupPr>
              <m:ctrlPr>
                <w:rPr>
                  <w:rFonts w:ascii="Cambria Math" w:eastAsia="Cambria Math" w:hAnsi="Cambria Math" w:cs="Cambria Math"/>
                  <w:sz w:val="20"/>
                  <w:szCs w:val="20"/>
                </w:rPr>
              </m:ctrlPr>
            </m:sSubSupPr>
            <m:e>
              <m:r>
                <w:rPr>
                  <w:rFonts w:ascii="Cambria Math" w:eastAsia="Cambria Math" w:hAnsi="Cambria Math" w:cs="Cambria Math"/>
                  <w:sz w:val="20"/>
                  <w:szCs w:val="20"/>
                </w:rPr>
                <m:t>u</m:t>
              </m:r>
            </m:e>
            <m:sub>
              <m:r>
                <w:rPr>
                  <w:rFonts w:ascii="Cambria Math" w:eastAsia="Cambria Math" w:hAnsi="Cambria Math" w:cs="Cambria Math"/>
                  <w:sz w:val="20"/>
                  <w:szCs w:val="20"/>
                </w:rPr>
                <m:t>t</m:t>
              </m:r>
            </m:sub>
            <m:sup>
              <m:r>
                <w:rPr>
                  <w:rFonts w:ascii="Cambria Math" w:eastAsia="Cambria Math" w:hAnsi="Cambria Math" w:cs="Cambria Math"/>
                  <w:sz w:val="20"/>
                  <w:szCs w:val="20"/>
                </w:rPr>
                <m:t>4</m:t>
              </m:r>
            </m:sup>
          </m:sSubSup>
        </m:oMath>
      </m:oMathPara>
    </w:p>
    <w:p w14:paraId="5790D209" w14:textId="5A16BD13" w:rsidR="003669A2" w:rsidRPr="003669A2" w:rsidRDefault="003669A2" w:rsidP="003669A2">
      <w:pPr>
        <w:jc w:val="right"/>
        <w:rPr>
          <w:rFonts w:ascii="Cambria Math" w:eastAsia="Cambria Math" w:hAnsi="Cambria Math" w:cs="Cambria Math"/>
          <w:color w:val="FF0000"/>
          <w:sz w:val="20"/>
          <w:szCs w:val="20"/>
        </w:rPr>
      </w:pPr>
      <w:r w:rsidRPr="003669A2">
        <w:rPr>
          <w:rFonts w:ascii="Cambria Math" w:eastAsia="Cambria Math" w:hAnsi="Cambria Math" w:cs="Cambria Math"/>
          <w:color w:val="FF0000"/>
          <w:sz w:val="20"/>
          <w:szCs w:val="20"/>
        </w:rPr>
        <w:lastRenderedPageBreak/>
        <w:t>(4)</w:t>
      </w:r>
    </w:p>
    <w:p w14:paraId="00000042" w14:textId="356068C8" w:rsidR="00083006" w:rsidRPr="003669A2" w:rsidRDefault="003669A2" w:rsidP="003669A2">
      <w:pPr>
        <w:rPr>
          <w:rFonts w:ascii="Cambria Math" w:eastAsia="Cambria Math" w:hAnsi="Cambria Math" w:cs="Cambria Math"/>
          <w:sz w:val="20"/>
          <w:szCs w:val="20"/>
        </w:rPr>
      </w:pPr>
      <m:oMathPara>
        <m:oMathParaPr>
          <m:jc m:val="left"/>
        </m:oMathParaPr>
        <m:oMath>
          <m:r>
            <w:rPr>
              <w:rFonts w:ascii="Cambria Math" w:eastAsia="Cambria Math" w:hAnsi="Cambria Math" w:cs="Cambria Math"/>
              <w:sz w:val="20"/>
              <w:szCs w:val="20"/>
            </w:rPr>
            <m:t>BC</m:t>
          </m:r>
          <m:sSub>
            <m:sSubPr>
              <m:ctrlPr>
                <w:rPr>
                  <w:rFonts w:ascii="Cambria Math" w:eastAsia="Cambria Math" w:hAnsi="Cambria Math" w:cs="Cambria Math"/>
                  <w:sz w:val="20"/>
                  <w:szCs w:val="20"/>
                </w:rPr>
              </m:ctrlPr>
            </m:sSubPr>
            <m:e>
              <m:r>
                <w:rPr>
                  <w:rFonts w:ascii="Cambria Math" w:eastAsia="Cambria Math" w:hAnsi="Cambria Math" w:cs="Cambria Math"/>
                  <w:sz w:val="20"/>
                  <w:szCs w:val="20"/>
                </w:rPr>
                <m:t>O</m:t>
              </m:r>
            </m:e>
            <m:sub>
              <m:r>
                <w:rPr>
                  <w:rFonts w:ascii="Cambria Math" w:eastAsia="Cambria Math" w:hAnsi="Cambria Math" w:cs="Cambria Math"/>
                  <w:sz w:val="20"/>
                  <w:szCs w:val="20"/>
                </w:rPr>
                <m:t>t</m:t>
              </m:r>
            </m:sub>
          </m:sSub>
          <m:r>
            <w:rPr>
              <w:rFonts w:ascii="Cambria Math" w:eastAsia="Cambria Math" w:hAnsi="Cambria Math" w:cs="Cambria Math"/>
              <w:sz w:val="20"/>
              <w:szCs w:val="20"/>
            </w:rPr>
            <m:t>=</m:t>
          </m:r>
          <m:sSubSup>
            <m:sSubSupPr>
              <m:ctrlPr>
                <w:rPr>
                  <w:rFonts w:ascii="Cambria Math" w:eastAsia="Cambria Math" w:hAnsi="Cambria Math" w:cs="Cambria Math"/>
                  <w:sz w:val="20"/>
                  <w:szCs w:val="20"/>
                </w:rPr>
              </m:ctrlPr>
            </m:sSubSupPr>
            <m:e>
              <m:r>
                <w:rPr>
                  <w:rFonts w:ascii="Cambria Math" w:eastAsia="Cambria Math" w:hAnsi="Cambria Math" w:cs="Cambria Math"/>
                  <w:sz w:val="20"/>
                  <w:szCs w:val="20"/>
                </w:rPr>
                <m:t>a</m:t>
              </m:r>
            </m:e>
            <m:sub>
              <m:r>
                <w:rPr>
                  <w:rFonts w:ascii="Cambria Math" w:eastAsia="Cambria Math" w:hAnsi="Cambria Math" w:cs="Cambria Math"/>
                  <w:sz w:val="20"/>
                  <w:szCs w:val="20"/>
                </w:rPr>
                <m:t>t</m:t>
              </m:r>
            </m:sub>
            <m:sup>
              <m:r>
                <w:rPr>
                  <w:rFonts w:ascii="Cambria Math" w:eastAsia="Cambria Math" w:hAnsi="Cambria Math" w:cs="Cambria Math"/>
                  <w:sz w:val="20"/>
                  <w:szCs w:val="20"/>
                </w:rPr>
                <m:t>5</m:t>
              </m:r>
            </m:sup>
          </m:sSubSup>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b</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5</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GDP</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c</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5</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CPI</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 xml:space="preserve">+ </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d</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5</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TB</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e</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5</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UEM</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nary>
            <m:naryPr>
              <m:chr m:val="∑"/>
              <m:ctrlPr>
                <w:rPr>
                  <w:rFonts w:ascii="Cambria Math" w:eastAsia="Cambria Math" w:hAnsi="Cambria Math" w:cs="Cambria Math"/>
                  <w:sz w:val="20"/>
                  <w:szCs w:val="20"/>
                </w:rPr>
              </m:ctrlPr>
            </m:naryPr>
            <m:sub>
              <m:r>
                <w:rPr>
                  <w:rFonts w:ascii="Cambria Math" w:eastAsia="Cambria Math" w:hAnsi="Cambria Math" w:cs="Cambria Math"/>
                  <w:sz w:val="20"/>
                  <w:szCs w:val="20"/>
                </w:rPr>
                <m:t>i=1</m:t>
              </m:r>
            </m:sub>
            <m:sup>
              <m:r>
                <w:rPr>
                  <w:rFonts w:ascii="Cambria Math" w:eastAsia="Cambria Math" w:hAnsi="Cambria Math" w:cs="Cambria Math"/>
                  <w:sz w:val="20"/>
                  <w:szCs w:val="20"/>
                </w:rPr>
                <m:t>2</m:t>
              </m:r>
            </m:sup>
            <m:e>
              <m:sSubSup>
                <m:sSubSupPr>
                  <m:ctrlPr>
                    <w:rPr>
                      <w:rFonts w:ascii="Cambria Math" w:eastAsia="Cambria Math" w:hAnsi="Cambria Math" w:cs="Cambria Math"/>
                      <w:color w:val="FF3399"/>
                      <w:sz w:val="20"/>
                      <w:szCs w:val="20"/>
                    </w:rPr>
                  </m:ctrlPr>
                </m:sSubSupPr>
                <m:e>
                  <m:r>
                    <w:rPr>
                      <w:rFonts w:ascii="Cambria Math" w:eastAsia="Cambria Math" w:hAnsi="Cambria Math" w:cs="Cambria Math"/>
                      <w:color w:val="FF3399"/>
                      <w:sz w:val="20"/>
                      <w:szCs w:val="20"/>
                    </w:rPr>
                    <m:t>f</m:t>
                  </m:r>
                </m:e>
                <m:sub>
                  <m:r>
                    <w:rPr>
                      <w:rFonts w:ascii="Cambria Math" w:eastAsia="Cambria Math" w:hAnsi="Cambria Math" w:cs="Cambria Math"/>
                      <w:color w:val="FF3399"/>
                      <w:sz w:val="20"/>
                      <w:szCs w:val="20"/>
                    </w:rPr>
                    <m:t>it</m:t>
                  </m:r>
                </m:sub>
                <m:sup>
                  <m:r>
                    <w:rPr>
                      <w:rFonts w:ascii="Cambria Math" w:eastAsia="Cambria Math" w:hAnsi="Cambria Math" w:cs="Cambria Math"/>
                      <w:color w:val="FF3399"/>
                      <w:sz w:val="20"/>
                      <w:szCs w:val="20"/>
                    </w:rPr>
                    <m:t>5</m:t>
                  </m:r>
                </m:sup>
              </m:sSubSup>
              <m:sSub>
                <m:sSubPr>
                  <m:ctrlPr>
                    <w:rPr>
                      <w:rFonts w:ascii="Cambria Math" w:eastAsia="Cambria Math" w:hAnsi="Cambria Math" w:cs="Cambria Math"/>
                      <w:color w:val="FF3399"/>
                      <w:sz w:val="20"/>
                      <w:szCs w:val="20"/>
                    </w:rPr>
                  </m:ctrlPr>
                </m:sSubPr>
                <m:e>
                  <m:r>
                    <w:rPr>
                      <w:rFonts w:ascii="Cambria Math" w:eastAsia="Cambria Math" w:hAnsi="Cambria Math" w:cs="Cambria Math"/>
                      <w:color w:val="FF3399"/>
                      <w:sz w:val="20"/>
                      <w:szCs w:val="20"/>
                    </w:rPr>
                    <m:t>BCO</m:t>
                  </m:r>
                </m:e>
                <m:sub>
                  <m:r>
                    <w:rPr>
                      <w:rFonts w:ascii="Cambria Math" w:eastAsia="Cambria Math" w:hAnsi="Cambria Math" w:cs="Cambria Math"/>
                      <w:color w:val="FF3399"/>
                      <w:sz w:val="20"/>
                      <w:szCs w:val="20"/>
                    </w:rPr>
                    <m:t>t-i</m:t>
                  </m:r>
                </m:sub>
              </m:sSub>
            </m:e>
          </m:nary>
          <m:r>
            <w:rPr>
              <w:rFonts w:ascii="Cambria Math" w:eastAsia="Cambria Math" w:hAnsi="Cambria Math" w:cs="Cambria Math"/>
              <w:sz w:val="20"/>
              <w:szCs w:val="20"/>
            </w:rPr>
            <m:t>+</m:t>
          </m:r>
          <m:sSubSup>
            <m:sSubSupPr>
              <m:ctrlPr>
                <w:rPr>
                  <w:rFonts w:ascii="Cambria Math" w:eastAsia="Cambria Math" w:hAnsi="Cambria Math" w:cs="Cambria Math"/>
                  <w:sz w:val="20"/>
                  <w:szCs w:val="20"/>
                </w:rPr>
              </m:ctrlPr>
            </m:sSubSupPr>
            <m:e>
              <m:r>
                <w:rPr>
                  <w:rFonts w:ascii="Cambria Math" w:eastAsia="Cambria Math" w:hAnsi="Cambria Math" w:cs="Cambria Math"/>
                  <w:sz w:val="20"/>
                  <w:szCs w:val="20"/>
                </w:rPr>
                <m:t>u</m:t>
              </m:r>
            </m:e>
            <m:sub>
              <m:r>
                <w:rPr>
                  <w:rFonts w:ascii="Cambria Math" w:eastAsia="Cambria Math" w:hAnsi="Cambria Math" w:cs="Cambria Math"/>
                  <w:sz w:val="20"/>
                  <w:szCs w:val="20"/>
                </w:rPr>
                <m:t>t</m:t>
              </m:r>
            </m:sub>
            <m:sup>
              <m:r>
                <w:rPr>
                  <w:rFonts w:ascii="Cambria Math" w:eastAsia="Cambria Math" w:hAnsi="Cambria Math" w:cs="Cambria Math"/>
                  <w:sz w:val="20"/>
                  <w:szCs w:val="20"/>
                </w:rPr>
                <m:t>5</m:t>
              </m:r>
            </m:sup>
          </m:sSubSup>
        </m:oMath>
      </m:oMathPara>
    </w:p>
    <w:p w14:paraId="4EA08331" w14:textId="20FB092C" w:rsidR="003669A2" w:rsidRPr="003669A2" w:rsidRDefault="003669A2" w:rsidP="003669A2">
      <w:pPr>
        <w:jc w:val="right"/>
        <w:rPr>
          <w:rFonts w:ascii="Cambria Math" w:eastAsia="Cambria Math" w:hAnsi="Cambria Math" w:cs="Cambria Math"/>
          <w:color w:val="FF0000"/>
          <w:sz w:val="20"/>
          <w:szCs w:val="20"/>
        </w:rPr>
      </w:pPr>
      <w:r w:rsidRPr="003669A2">
        <w:rPr>
          <w:rFonts w:ascii="Cambria Math" w:eastAsia="Cambria Math" w:hAnsi="Cambria Math" w:cs="Cambria Math"/>
          <w:color w:val="FF0000"/>
          <w:sz w:val="20"/>
          <w:szCs w:val="20"/>
        </w:rPr>
        <w:t>(5)</w:t>
      </w:r>
    </w:p>
    <w:p w14:paraId="00000043" w14:textId="0E2BD330" w:rsidR="00083006" w:rsidRDefault="0080383E">
      <w:pPr>
        <w:jc w:val="both"/>
      </w:pPr>
      <w:bookmarkStart w:id="3" w:name="_heading=h.1fob9te" w:colFirst="0" w:colLast="0"/>
      <w:bookmarkEnd w:id="3"/>
      <w:r w:rsidRPr="00CC0F64">
        <w:t xml:space="preserve">Where, </w:t>
      </w:r>
      <m:oMath>
        <m:r>
          <w:rPr>
            <w:rFonts w:ascii="Cambria Math" w:eastAsia="Cambria Math" w:hAnsi="Cambria Math" w:cs="Cambria Math"/>
          </w:rPr>
          <m:t>GDP</m:t>
        </m:r>
      </m:oMath>
      <w:r w:rsidRPr="00CC0F64">
        <w:t xml:space="preserve"> is the natural logarithm of percentage change in GDP in UK, </w:t>
      </w:r>
      <m:oMath>
        <m:r>
          <w:rPr>
            <w:rFonts w:ascii="Cambria Math" w:eastAsia="Cambria Math" w:hAnsi="Cambria Math" w:cs="Cambria Math"/>
          </w:rPr>
          <m:t>CPI</m:t>
        </m:r>
      </m:oMath>
      <w:r w:rsidRPr="00CC0F64">
        <w:t xml:space="preserve"> is the inflation in UK, </w:t>
      </w:r>
      <m:oMath>
        <m:r>
          <w:rPr>
            <w:rFonts w:ascii="Cambria Math" w:eastAsia="Cambria Math" w:hAnsi="Cambria Math" w:cs="Cambria Math"/>
          </w:rPr>
          <m:t>TB</m:t>
        </m:r>
      </m:oMath>
      <w:r w:rsidRPr="00CC0F64">
        <w:t xml:space="preserve"> is the natural logarithm of percentage change in trade balance in UK, </w:t>
      </w:r>
      <w:r w:rsidRPr="00CC0F64">
        <w:rPr>
          <w:i/>
        </w:rPr>
        <w:t xml:space="preserve"> </w:t>
      </w:r>
      <m:oMath>
        <m:r>
          <w:rPr>
            <w:rFonts w:ascii="Cambria Math" w:eastAsia="Cambria Math" w:hAnsi="Cambria Math" w:cs="Cambria Math"/>
          </w:rPr>
          <m:t>UEM</m:t>
        </m:r>
      </m:oMath>
      <w:r w:rsidRPr="00CC0F64">
        <w:t xml:space="preserve"> is the natural logarithm of percentage change in unemployment in UK, and </w:t>
      </w:r>
      <m:oMath>
        <m:r>
          <w:rPr>
            <w:rFonts w:ascii="Cambria Math" w:eastAsia="Cambria Math" w:hAnsi="Cambria Math" w:cs="Cambria Math"/>
          </w:rPr>
          <m:t>BCO</m:t>
        </m:r>
      </m:oMath>
      <w:r w:rsidRPr="00CC0F64">
        <w:t xml:space="preserve"> is the natural logarithm of percentage change in Brent crude oil in UK.</w:t>
      </w:r>
      <w:r w:rsidRPr="00CC0F64">
        <w:rPr>
          <w:i/>
        </w:rPr>
        <w:t xml:space="preserve"> </w:t>
      </w:r>
      <m:oMath>
        <m:sSubSup>
          <m:sSubSupPr>
            <m:ctrlPr>
              <w:rPr>
                <w:rFonts w:ascii="Cambria Math" w:eastAsia="Cambria Math" w:hAnsi="Cambria Math" w:cs="Cambria Math"/>
              </w:rPr>
            </m:ctrlPr>
          </m:sSubSupPr>
          <m:e>
            <m:r>
              <w:rPr>
                <w:rFonts w:ascii="Cambria Math" w:eastAsia="Cambria Math" w:hAnsi="Cambria Math" w:cs="Cambria Math"/>
              </w:rPr>
              <m:t>u</m:t>
            </m:r>
          </m:e>
          <m:sub>
            <m:r>
              <w:rPr>
                <w:rFonts w:ascii="Cambria Math" w:eastAsia="Cambria Math" w:hAnsi="Cambria Math" w:cs="Cambria Math"/>
              </w:rPr>
              <m:t>t</m:t>
            </m:r>
          </m:sub>
          <m:sup>
            <m:r>
              <w:rPr>
                <w:rFonts w:ascii="Cambria Math" w:eastAsia="Cambria Math" w:hAnsi="Cambria Math" w:cs="Cambria Math"/>
              </w:rPr>
              <m:t>1</m:t>
            </m:r>
          </m:sup>
        </m:sSubSup>
      </m:oMath>
      <w:r w:rsidRPr="00CC0F64">
        <w:rPr>
          <w:i/>
        </w:rPr>
        <w:t xml:space="preserve">, </w:t>
      </w:r>
      <m:oMath>
        <m:sSubSup>
          <m:sSubSupPr>
            <m:ctrlPr>
              <w:rPr>
                <w:rFonts w:ascii="Cambria Math" w:eastAsia="Cambria Math" w:hAnsi="Cambria Math" w:cs="Cambria Math"/>
              </w:rPr>
            </m:ctrlPr>
          </m:sSubSupPr>
          <m:e>
            <m:r>
              <w:rPr>
                <w:rFonts w:ascii="Cambria Math" w:eastAsia="Cambria Math" w:hAnsi="Cambria Math" w:cs="Cambria Math"/>
              </w:rPr>
              <m:t>u</m:t>
            </m:r>
          </m:e>
          <m:sub>
            <m:r>
              <w:rPr>
                <w:rFonts w:ascii="Cambria Math" w:eastAsia="Cambria Math" w:hAnsi="Cambria Math" w:cs="Cambria Math"/>
              </w:rPr>
              <m:t>t</m:t>
            </m:r>
          </m:sub>
          <m:sup>
            <m:r>
              <w:rPr>
                <w:rFonts w:ascii="Cambria Math" w:eastAsia="Cambria Math" w:hAnsi="Cambria Math" w:cs="Cambria Math"/>
              </w:rPr>
              <m:t>2</m:t>
            </m:r>
          </m:sup>
        </m:sSubSup>
      </m:oMath>
      <w:r w:rsidRPr="00CC0F64">
        <w:rPr>
          <w:i/>
        </w:rPr>
        <w:t xml:space="preserve">, </w:t>
      </w:r>
      <m:oMath>
        <m:sSubSup>
          <m:sSubSupPr>
            <m:ctrlPr>
              <w:rPr>
                <w:rFonts w:ascii="Cambria Math" w:eastAsia="Cambria Math" w:hAnsi="Cambria Math" w:cs="Cambria Math"/>
              </w:rPr>
            </m:ctrlPr>
          </m:sSubSupPr>
          <m:e>
            <m:r>
              <w:rPr>
                <w:rFonts w:ascii="Cambria Math" w:eastAsia="Cambria Math" w:hAnsi="Cambria Math" w:cs="Cambria Math"/>
              </w:rPr>
              <m:t>u</m:t>
            </m:r>
          </m:e>
          <m:sub>
            <m:r>
              <w:rPr>
                <w:rFonts w:ascii="Cambria Math" w:eastAsia="Cambria Math" w:hAnsi="Cambria Math" w:cs="Cambria Math"/>
              </w:rPr>
              <m:t>t</m:t>
            </m:r>
          </m:sub>
          <m:sup>
            <m:r>
              <w:rPr>
                <w:rFonts w:ascii="Cambria Math" w:eastAsia="Cambria Math" w:hAnsi="Cambria Math" w:cs="Cambria Math"/>
              </w:rPr>
              <m:t>3</m:t>
            </m:r>
          </m:sup>
        </m:sSubSup>
      </m:oMath>
      <w:r w:rsidRPr="00CC0F64">
        <w:rPr>
          <w:i/>
        </w:rPr>
        <w:t xml:space="preserve">, </w:t>
      </w:r>
      <m:oMath>
        <m:sSubSup>
          <m:sSubSupPr>
            <m:ctrlPr>
              <w:rPr>
                <w:rFonts w:ascii="Cambria Math" w:eastAsia="Cambria Math" w:hAnsi="Cambria Math" w:cs="Cambria Math"/>
              </w:rPr>
            </m:ctrlPr>
          </m:sSubSupPr>
          <m:e>
            <m:r>
              <w:rPr>
                <w:rFonts w:ascii="Cambria Math" w:eastAsia="Cambria Math" w:hAnsi="Cambria Math" w:cs="Cambria Math"/>
              </w:rPr>
              <m:t>u</m:t>
            </m:r>
          </m:e>
          <m:sub>
            <m:r>
              <w:rPr>
                <w:rFonts w:ascii="Cambria Math" w:eastAsia="Cambria Math" w:hAnsi="Cambria Math" w:cs="Cambria Math"/>
              </w:rPr>
              <m:t>t</m:t>
            </m:r>
          </m:sub>
          <m:sup>
            <m:r>
              <w:rPr>
                <w:rFonts w:ascii="Cambria Math" w:eastAsia="Cambria Math" w:hAnsi="Cambria Math" w:cs="Cambria Math"/>
              </w:rPr>
              <m:t>4</m:t>
            </m:r>
          </m:sup>
        </m:sSubSup>
      </m:oMath>
      <w:r w:rsidRPr="00CC0F64">
        <w:rPr>
          <w:i/>
        </w:rPr>
        <w:t xml:space="preserve">, </w:t>
      </w:r>
      <w:r w:rsidRPr="00CC0F64">
        <w:t>and</w:t>
      </w:r>
      <w:r w:rsidRPr="00CC0F64">
        <w:rPr>
          <w:i/>
        </w:rPr>
        <w:t xml:space="preserve"> </w:t>
      </w:r>
      <m:oMath>
        <m:sSubSup>
          <m:sSubSupPr>
            <m:ctrlPr>
              <w:rPr>
                <w:rFonts w:ascii="Cambria Math" w:eastAsia="Cambria Math" w:hAnsi="Cambria Math" w:cs="Cambria Math"/>
              </w:rPr>
            </m:ctrlPr>
          </m:sSubSupPr>
          <m:e>
            <m:r>
              <w:rPr>
                <w:rFonts w:ascii="Cambria Math" w:eastAsia="Cambria Math" w:hAnsi="Cambria Math" w:cs="Cambria Math"/>
              </w:rPr>
              <m:t>u</m:t>
            </m:r>
          </m:e>
          <m:sub>
            <m:r>
              <w:rPr>
                <w:rFonts w:ascii="Cambria Math" w:eastAsia="Cambria Math" w:hAnsi="Cambria Math" w:cs="Cambria Math"/>
              </w:rPr>
              <m:t>t</m:t>
            </m:r>
          </m:sub>
          <m:sup>
            <m:r>
              <w:rPr>
                <w:rFonts w:ascii="Cambria Math" w:eastAsia="Cambria Math" w:hAnsi="Cambria Math" w:cs="Cambria Math"/>
              </w:rPr>
              <m:t>5</m:t>
            </m:r>
          </m:sup>
        </m:sSubSup>
      </m:oMath>
      <w:r w:rsidRPr="00CC0F64">
        <w:t xml:space="preserve"> are white noise disturbance or shock terms.</w:t>
      </w:r>
    </w:p>
    <w:p w14:paraId="4C57AE5A" w14:textId="77777777" w:rsidR="003669A2" w:rsidRPr="00490087" w:rsidRDefault="003669A2" w:rsidP="003669A2">
      <w:pPr>
        <w:jc w:val="thaiDistribute"/>
        <w:rPr>
          <w:color w:val="FF3399"/>
        </w:rPr>
      </w:pPr>
      <w:r w:rsidRPr="00490087">
        <w:rPr>
          <w:color w:val="FF3399"/>
        </w:rPr>
        <w:t xml:space="preserve">In addition, the issue of endogeneity </w:t>
      </w:r>
      <w:r w:rsidRPr="00490087">
        <w:rPr>
          <w:rFonts w:cstheme="minorBidi"/>
          <w:color w:val="FF3399"/>
          <w:szCs w:val="30"/>
          <w:lang w:bidi="th-TH"/>
        </w:rPr>
        <w:t>has been frequently found in the general econometric models (</w:t>
      </w:r>
      <w:r w:rsidRPr="00490087">
        <w:rPr>
          <w:color w:val="FF3399"/>
        </w:rPr>
        <w:t xml:space="preserve">Xu and Lin, 2017). Therefore, several academic researchers have increased the intention to deal with this issue (Ullah et al., 2020). The main reason is that a bias with the endogenous problem impacts </w:t>
      </w:r>
      <w:r w:rsidRPr="00490087">
        <w:rPr>
          <w:color w:val="FF3399"/>
          <w:shd w:val="clear" w:color="auto" w:fill="FFFFFF"/>
        </w:rPr>
        <w:t xml:space="preserve">incompatible estimation and wrong </w:t>
      </w:r>
      <w:r w:rsidRPr="00490087">
        <w:rPr>
          <w:color w:val="FF3399"/>
        </w:rPr>
        <w:t xml:space="preserve">inferences, which leads to misinterpretation and </w:t>
      </w:r>
      <w:r w:rsidRPr="00490087">
        <w:rPr>
          <w:rFonts w:cstheme="minorBidi"/>
          <w:color w:val="FF3399"/>
          <w:szCs w:val="30"/>
          <w:lang w:bidi="th-TH"/>
        </w:rPr>
        <w:t>inappropriate summary (</w:t>
      </w:r>
      <w:r w:rsidRPr="00490087">
        <w:rPr>
          <w:color w:val="FF3399"/>
        </w:rPr>
        <w:t xml:space="preserve">Ullah et al., 2018). Moreover, there are three kinds of causes of endogenous issue, including unobserved heterogeneity, simultaneity, and dynamic endogeneity regarding Ullah et al. (2018). </w:t>
      </w:r>
      <w:r w:rsidRPr="00490087">
        <w:rPr>
          <w:rFonts w:cstheme="minorBidi"/>
          <w:color w:val="FF3399"/>
          <w:szCs w:val="30"/>
          <w:lang w:bidi="th-TH"/>
        </w:rPr>
        <w:t xml:space="preserve">As a result, the </w:t>
      </w:r>
      <w:r w:rsidRPr="00490087">
        <w:rPr>
          <w:color w:val="FF3399"/>
        </w:rPr>
        <w:t>VAR model</w:t>
      </w:r>
      <w:r w:rsidRPr="00490087">
        <w:rPr>
          <w:rFonts w:cstheme="minorBidi"/>
          <w:color w:val="FF3399"/>
          <w:szCs w:val="30"/>
          <w:lang w:bidi="th-TH"/>
        </w:rPr>
        <w:t xml:space="preserve"> can help to reduce and prevent from </w:t>
      </w:r>
      <w:r w:rsidRPr="00490087">
        <w:rPr>
          <w:color w:val="FF3399"/>
        </w:rPr>
        <w:t xml:space="preserve">the chance of endogenous issues as this method takes to explain the lags of the dependent variable. This can help the random disturbance term to abstain from </w:t>
      </w:r>
      <w:bookmarkStart w:id="4" w:name="_Hlk132210767"/>
      <w:r w:rsidRPr="00490087">
        <w:rPr>
          <w:color w:val="FF3399"/>
        </w:rPr>
        <w:t>containing the lags as much as is feasible (</w:t>
      </w:r>
      <w:proofErr w:type="spellStart"/>
      <w:r w:rsidRPr="00490087">
        <w:rPr>
          <w:color w:val="FF3399"/>
        </w:rPr>
        <w:t>Lütkepohl</w:t>
      </w:r>
      <w:proofErr w:type="spellEnd"/>
      <w:r w:rsidRPr="00490087">
        <w:rPr>
          <w:color w:val="FF3399"/>
        </w:rPr>
        <w:t>, 1990). Thus, the main advantage of t</w:t>
      </w:r>
      <w:r w:rsidRPr="00490087">
        <w:rPr>
          <w:rFonts w:cstheme="minorBidi"/>
          <w:color w:val="FF3399"/>
          <w:szCs w:val="30"/>
          <w:lang w:bidi="th-TH"/>
        </w:rPr>
        <w:t xml:space="preserve">he </w:t>
      </w:r>
      <w:r w:rsidRPr="00490087">
        <w:rPr>
          <w:color w:val="FF3399"/>
        </w:rPr>
        <w:t xml:space="preserve">VAR method is the efficient instrument for giving a more potential treatment of policy endogeneity and it also provides the dynamic nexuses between economic variables in </w:t>
      </w:r>
      <w:r w:rsidRPr="00490087">
        <w:rPr>
          <w:color w:val="FF3399"/>
          <w:shd w:val="clear" w:color="auto" w:fill="FFFFFF"/>
        </w:rPr>
        <w:t>time-series data</w:t>
      </w:r>
      <w:r w:rsidRPr="00490087">
        <w:rPr>
          <w:color w:val="FF3399"/>
        </w:rPr>
        <w:t xml:space="preserve"> (</w:t>
      </w:r>
      <w:proofErr w:type="spellStart"/>
      <w:r w:rsidRPr="00490087">
        <w:rPr>
          <w:color w:val="FF3399"/>
        </w:rPr>
        <w:t>Freema</w:t>
      </w:r>
      <w:proofErr w:type="spellEnd"/>
      <w:r w:rsidRPr="00490087">
        <w:rPr>
          <w:color w:val="FF3399"/>
        </w:rPr>
        <w:t xml:space="preserve"> et al., 1989; Xu and Lin, 2017). Particularly, Impulse Response Function (IRF) analysis based on the VAR model allows one to completely investigate the effect of one endogenous variable on the other endogenous variable in the system (Enders, 1995).  Therefore, we use t</w:t>
      </w:r>
      <w:r w:rsidRPr="00490087">
        <w:rPr>
          <w:rFonts w:cstheme="minorBidi"/>
          <w:color w:val="FF3399"/>
          <w:szCs w:val="30"/>
          <w:lang w:bidi="th-TH"/>
        </w:rPr>
        <w:t xml:space="preserve">he </w:t>
      </w:r>
      <w:r w:rsidRPr="00490087">
        <w:rPr>
          <w:color w:val="FF3399"/>
        </w:rPr>
        <w:t>VAR models in this study.</w:t>
      </w:r>
    </w:p>
    <w:p w14:paraId="5AC8A050" w14:textId="77777777" w:rsidR="003669A2" w:rsidRPr="00490087" w:rsidRDefault="003669A2" w:rsidP="003669A2">
      <w:pPr>
        <w:jc w:val="thaiDistribute"/>
        <w:rPr>
          <w:color w:val="FF3399"/>
        </w:rPr>
      </w:pPr>
      <w:r w:rsidRPr="00490087">
        <w:rPr>
          <w:color w:val="FF3399"/>
        </w:rPr>
        <w:lastRenderedPageBreak/>
        <w:tab/>
        <w:t xml:space="preserve">However, there are both the advantages and disadvantages of the VAR method. The VAR model has several </w:t>
      </w:r>
      <w:r w:rsidRPr="00490087">
        <w:rPr>
          <w:rStyle w:val="normaltextrun"/>
          <w:color w:val="FF3399"/>
          <w:lang w:val="en-GB"/>
        </w:rPr>
        <w:t xml:space="preserve">strengths than other methods. </w:t>
      </w:r>
      <w:r w:rsidRPr="00490087">
        <w:rPr>
          <w:rStyle w:val="normaltextrun"/>
          <w:i/>
          <w:iCs/>
          <w:color w:val="FF3399"/>
          <w:lang w:val="en-GB"/>
        </w:rPr>
        <w:t>First,</w:t>
      </w:r>
      <w:r w:rsidRPr="00490087">
        <w:rPr>
          <w:rStyle w:val="normaltextrun"/>
          <w:color w:val="FF3399"/>
          <w:lang w:val="en-GB"/>
        </w:rPr>
        <w:t xml:space="preserve"> </w:t>
      </w:r>
      <w:r w:rsidRPr="00490087">
        <w:rPr>
          <w:color w:val="FF3399"/>
        </w:rPr>
        <w:t>this method is useful because it can be utilized only one model to explain and forecast multiple time-series variables (Chandra and Al-</w:t>
      </w:r>
      <w:proofErr w:type="spellStart"/>
      <w:r w:rsidRPr="00490087">
        <w:rPr>
          <w:color w:val="FF3399"/>
        </w:rPr>
        <w:t>Deek</w:t>
      </w:r>
      <w:proofErr w:type="spellEnd"/>
      <w:r w:rsidRPr="00490087">
        <w:rPr>
          <w:color w:val="FF3399"/>
        </w:rPr>
        <w:t xml:space="preserve">, 2014). </w:t>
      </w:r>
      <w:r w:rsidRPr="00490087">
        <w:rPr>
          <w:i/>
          <w:iCs/>
          <w:color w:val="FF3399"/>
        </w:rPr>
        <w:t>Second,</w:t>
      </w:r>
      <w:r w:rsidRPr="00490087">
        <w:rPr>
          <w:color w:val="FF3399"/>
        </w:rPr>
        <w:t xml:space="preserve"> the forecasting estimation of this method is </w:t>
      </w:r>
      <w:proofErr w:type="gramStart"/>
      <w:r w:rsidRPr="00490087">
        <w:rPr>
          <w:color w:val="FF3399"/>
        </w:rPr>
        <w:t>pretty flexible</w:t>
      </w:r>
      <w:proofErr w:type="gramEnd"/>
      <w:r w:rsidRPr="00490087">
        <w:rPr>
          <w:color w:val="FF3399"/>
        </w:rPr>
        <w:t xml:space="preserve"> as a condition on the possible future paths of specific proxies can be </w:t>
      </w:r>
      <w:r w:rsidRPr="00490087">
        <w:rPr>
          <w:rFonts w:cstheme="minorBidi"/>
          <w:color w:val="FF3399"/>
          <w:szCs w:val="30"/>
          <w:lang w:bidi="th-TH"/>
        </w:rPr>
        <w:t>determined in the model (</w:t>
      </w:r>
      <w:proofErr w:type="spellStart"/>
      <w:r w:rsidRPr="00490087">
        <w:rPr>
          <w:rFonts w:cstheme="minorBidi"/>
          <w:color w:val="FF3399"/>
          <w:szCs w:val="30"/>
          <w:lang w:bidi="th-TH"/>
        </w:rPr>
        <w:t>Zivot</w:t>
      </w:r>
      <w:proofErr w:type="spellEnd"/>
      <w:r w:rsidRPr="00490087">
        <w:rPr>
          <w:rFonts w:cstheme="minorBidi"/>
          <w:color w:val="FF3399"/>
          <w:szCs w:val="30"/>
          <w:lang w:bidi="th-TH"/>
        </w:rPr>
        <w:t xml:space="preserve"> and Wang, 2006). </w:t>
      </w:r>
      <w:r w:rsidRPr="00490087">
        <w:rPr>
          <w:rFonts w:cstheme="minorBidi"/>
          <w:i/>
          <w:iCs/>
          <w:color w:val="FF3399"/>
          <w:szCs w:val="30"/>
          <w:lang w:bidi="th-TH"/>
        </w:rPr>
        <w:t>Third</w:t>
      </w:r>
      <w:bookmarkEnd w:id="4"/>
      <w:r w:rsidRPr="00490087">
        <w:rPr>
          <w:rFonts w:cstheme="minorBidi"/>
          <w:i/>
          <w:iCs/>
          <w:color w:val="FF3399"/>
          <w:szCs w:val="30"/>
          <w:lang w:bidi="th-TH"/>
        </w:rPr>
        <w:t>,</w:t>
      </w:r>
      <w:r w:rsidRPr="00490087">
        <w:rPr>
          <w:color w:val="FF3399"/>
        </w:rPr>
        <w:t xml:space="preserve"> this method also produces the dynamic relationships between economic variables in </w:t>
      </w:r>
      <w:r w:rsidRPr="00490087">
        <w:rPr>
          <w:color w:val="FF3399"/>
          <w:shd w:val="clear" w:color="auto" w:fill="FFFFFF"/>
        </w:rPr>
        <w:t>time-series data</w:t>
      </w:r>
      <w:r w:rsidRPr="00490087">
        <w:rPr>
          <w:color w:val="FF3399"/>
        </w:rPr>
        <w:t xml:space="preserve"> (</w:t>
      </w:r>
      <w:proofErr w:type="spellStart"/>
      <w:r w:rsidRPr="00490087">
        <w:rPr>
          <w:color w:val="FF3399"/>
        </w:rPr>
        <w:t>Freema</w:t>
      </w:r>
      <w:proofErr w:type="spellEnd"/>
      <w:r w:rsidRPr="00490087">
        <w:rPr>
          <w:color w:val="FF3399"/>
        </w:rPr>
        <w:t xml:space="preserve"> et al., 1989; Xu and Lin, 2017). </w:t>
      </w:r>
      <w:r w:rsidRPr="00490087">
        <w:rPr>
          <w:i/>
          <w:iCs/>
          <w:color w:val="FF3399"/>
        </w:rPr>
        <w:t>Fourth</w:t>
      </w:r>
      <w:r w:rsidRPr="00490087">
        <w:rPr>
          <w:color w:val="FF3399"/>
        </w:rPr>
        <w:t xml:space="preserve">, all proxies in the model are allowed to be endogenous (Adedeji et al. 2021). On the other hand, there are the limitations. For example, this model cannot simply </w:t>
      </w:r>
      <w:r w:rsidRPr="00490087">
        <w:rPr>
          <w:rFonts w:cs="Angsana New"/>
          <w:color w:val="FF3399"/>
          <w:szCs w:val="30"/>
          <w:lang w:bidi="th-TH"/>
        </w:rPr>
        <w:t xml:space="preserve">consolidate </w:t>
      </w:r>
      <w:r w:rsidRPr="00490087">
        <w:rPr>
          <w:color w:val="FF3399"/>
        </w:rPr>
        <w:t>multiplicative and non-linear nexus compared to structural equation modelling (SEQ) method (</w:t>
      </w:r>
      <w:proofErr w:type="spellStart"/>
      <w:r w:rsidRPr="00490087">
        <w:rPr>
          <w:color w:val="FF3399"/>
        </w:rPr>
        <w:t>Freema</w:t>
      </w:r>
      <w:proofErr w:type="spellEnd"/>
      <w:r w:rsidRPr="00490087">
        <w:rPr>
          <w:color w:val="FF3399"/>
        </w:rPr>
        <w:t xml:space="preserve"> et al., 1989). Moreover, there is no economical interpretation for each equation identified based on the model; however, this issue can be solved by producing an impulse response function (IRF) and forecasting error variance decomposition (FEVD) approach (Adedeji et al. 2021).</w:t>
      </w:r>
    </w:p>
    <w:p w14:paraId="5DBB134C" w14:textId="77777777" w:rsidR="003669A2" w:rsidRPr="00490087" w:rsidRDefault="003669A2" w:rsidP="003669A2">
      <w:pPr>
        <w:jc w:val="thaiDistribute"/>
        <w:rPr>
          <w:rFonts w:cstheme="minorBidi"/>
          <w:color w:val="FF3399"/>
          <w:szCs w:val="30"/>
          <w:cs/>
          <w:lang w:bidi="th-TH"/>
        </w:rPr>
      </w:pPr>
      <w:r w:rsidRPr="00490087">
        <w:rPr>
          <w:color w:val="FF3399"/>
        </w:rPr>
        <w:tab/>
      </w:r>
      <w:r>
        <w:rPr>
          <w:rFonts w:cs="Angsana New"/>
          <w:color w:val="FF3399"/>
          <w:szCs w:val="30"/>
          <w:lang w:bidi="th-TH"/>
        </w:rPr>
        <w:t>Nonetheless</w:t>
      </w:r>
      <w:r w:rsidRPr="00490087">
        <w:rPr>
          <w:color w:val="FF3399"/>
        </w:rPr>
        <w:t>, it seems that there are several the advantages of the VAR model, even if there are some limitations. Thus, we use this model to examine in this study and an impulse response function (IRF) is also produced to interpret the dynamic relationships for our five proxies.</w:t>
      </w:r>
    </w:p>
    <w:p w14:paraId="00000044" w14:textId="77777777" w:rsidR="00083006" w:rsidRPr="00CC0F64" w:rsidRDefault="0080383E">
      <w:pPr>
        <w:pStyle w:val="Heading2"/>
      </w:pPr>
      <w:r w:rsidRPr="00CC0F64">
        <w:t>3.3 Descriptive statistics</w:t>
      </w:r>
    </w:p>
    <w:p w14:paraId="00000045" w14:textId="77777777" w:rsidR="00083006" w:rsidRPr="00CC0F64" w:rsidRDefault="0080383E">
      <w:pPr>
        <w:spacing w:before="240"/>
        <w:jc w:val="both"/>
      </w:pPr>
      <w:r w:rsidRPr="00CC0F64">
        <w:rPr>
          <w:b/>
        </w:rPr>
        <w:tab/>
      </w:r>
      <w:r w:rsidRPr="00CC0F64">
        <w:t>Table 1 shows the descriptive statistics of the variables in this study. The average of the percentage change in GDP in UK was 2.99%, while the average of the inflation was 4.62% over the period of January 2010 to June 2022. This indicates that the inflation was averagely higher the percentage change in GDP in UK more than 2 decades. Table also reports that the average of the percentage change in trade balance, unemployment, and Brent crude oil were 9.38%, 5.70%, and 4.26%, respectively.</w:t>
      </w:r>
    </w:p>
    <w:p w14:paraId="00000046" w14:textId="77777777" w:rsidR="00083006" w:rsidRPr="00CC0F64" w:rsidRDefault="0080383E">
      <w:pPr>
        <w:spacing w:before="240"/>
        <w:jc w:val="both"/>
      </w:pPr>
      <w:r w:rsidRPr="00CC0F64">
        <w:lastRenderedPageBreak/>
        <w:tab/>
        <w:t xml:space="preserve">By comparing among all variables, we can see that the standard deviation of 1.65 in the percentage change in UK unemployment was much larger than others. This highlights the instability of employment in UK. In addition, the percentage change in UK GDP and in trade balance series were left skewed and leptokurtic, which indicate the fat-tailed distribution of these two series. </w:t>
      </w:r>
    </w:p>
    <w:p w14:paraId="00000047" w14:textId="475E4166" w:rsidR="00083006" w:rsidRPr="00CC0F64" w:rsidRDefault="0080383E">
      <w:pPr>
        <w:jc w:val="both"/>
      </w:pPr>
      <w:r w:rsidRPr="00CC0F64">
        <w:rPr>
          <w:b/>
        </w:rPr>
        <w:tab/>
      </w:r>
      <w:r w:rsidRPr="00CC0F64">
        <w:t xml:space="preserve">Moreover, </w:t>
      </w:r>
      <w:r w:rsidR="00424DC4">
        <w:rPr>
          <w:color w:val="00B050"/>
        </w:rPr>
        <w:t xml:space="preserve">Figure 2 </w:t>
      </w:r>
      <w:r w:rsidRPr="00CC0F64">
        <w:t>presents descriptive graphs for all variables used in this study. The figure shows that the growth of GDP in UK was quite stable before and after Covid-19 pandemic crises; however, there was a sharp drop during the period of the Covid-19 pandemic crisis on the left top raw of graph.</w:t>
      </w:r>
      <w:r w:rsidR="003669A2" w:rsidRPr="003669A2">
        <w:rPr>
          <w:color w:val="FF3399"/>
        </w:rPr>
        <w:t xml:space="preserve"> </w:t>
      </w:r>
      <w:r w:rsidR="003669A2" w:rsidRPr="0064729D">
        <w:rPr>
          <w:color w:val="FF3399"/>
        </w:rPr>
        <w:t>This is consistent with Flynn et al. (2020) that found that there is a significant loss in GDP between 9% and 25% in UK due to the lockdown resulted the Covid-19 pandemic.</w:t>
      </w:r>
      <w:r w:rsidR="003669A2">
        <w:rPr>
          <w:color w:val="FF3399"/>
        </w:rPr>
        <w:t xml:space="preserve"> </w:t>
      </w:r>
      <w:r w:rsidRPr="00CC0F64">
        <w:t xml:space="preserve">Similarly, the percentage change in trade balance in UK was </w:t>
      </w:r>
      <w:proofErr w:type="gramStart"/>
      <w:r w:rsidRPr="00CC0F64">
        <w:t>pretty constant</w:t>
      </w:r>
      <w:proofErr w:type="gramEnd"/>
      <w:r w:rsidRPr="00CC0F64">
        <w:t xml:space="preserve"> before the Covid-19 pandemic crisis from 2010 to 2019, while it became to be a slight volatility during the Covid-19 pandemic crisis. More specially, there was a considerable fluctuation in 2022, which this may be resulted from the effect of Russia-Ukraine war and economic recession. </w:t>
      </w:r>
    </w:p>
    <w:p w14:paraId="00000048" w14:textId="77777777" w:rsidR="00083006" w:rsidRPr="00CC0F64" w:rsidRDefault="0080383E">
      <w:pPr>
        <w:ind w:firstLine="720"/>
        <w:jc w:val="both"/>
      </w:pPr>
      <w:r w:rsidRPr="00CC0F64">
        <w:t>However, it is quite clear that the inflation in UK continuously increased from January 2010 to June 2022, which the slope of graph was significantly steep since the period of Covid-19 pandemic on the right top raw of graph. On the other hand, it is surprising that the percentage change in unemployment continuously decreased from 2010 to 2020 even during the first wave of Covid-19 outbreak, except only the period of European sovereign debt crisis in 2012 and the second wave of Covid-19 outbreak. Over time, Brent crude oil prices have been significantly volatile, but they reached rock bottom during the period of 2020, which was the second wave of the Covid-19 pandemic crisis.</w:t>
      </w:r>
    </w:p>
    <w:p w14:paraId="00000049" w14:textId="77777777" w:rsidR="00083006" w:rsidRPr="00CC0F64" w:rsidRDefault="0080383E">
      <w:pPr>
        <w:pStyle w:val="Heading2"/>
      </w:pPr>
      <w:r w:rsidRPr="00CC0F64">
        <w:lastRenderedPageBreak/>
        <w:t>3.4 Correlation matrix</w:t>
      </w:r>
    </w:p>
    <w:p w14:paraId="0000004A" w14:textId="77777777" w:rsidR="00083006" w:rsidRPr="00CC0F64" w:rsidRDefault="0080383E">
      <w:pPr>
        <w:spacing w:before="240"/>
        <w:jc w:val="both"/>
      </w:pPr>
      <w:r w:rsidRPr="00CC0F64">
        <w:rPr>
          <w:b/>
        </w:rPr>
        <w:tab/>
      </w:r>
      <w:r w:rsidRPr="00CC0F64">
        <w:t xml:space="preserve">Table 2 reports the Pearson correlation between each pair of all variables in this study. We find that the correlations of all variable series are not higher than 0.9. However, CPI and unemployment rate are moderately correlated -0.8548, which this implies that higher inflation reduce the unemployment rate. </w:t>
      </w:r>
    </w:p>
    <w:p w14:paraId="0000004B" w14:textId="77777777" w:rsidR="00083006" w:rsidRPr="00CC0F64" w:rsidRDefault="0080383E">
      <w:pPr>
        <w:pStyle w:val="Heading2"/>
      </w:pPr>
      <w:r w:rsidRPr="00CC0F64">
        <w:t xml:space="preserve">3.5 Stationary test </w:t>
      </w:r>
    </w:p>
    <w:p w14:paraId="0000004C" w14:textId="77777777" w:rsidR="00083006" w:rsidRPr="00CC0F64" w:rsidRDefault="0080383E">
      <w:pPr>
        <w:spacing w:before="240"/>
        <w:jc w:val="both"/>
      </w:pPr>
      <w:r w:rsidRPr="00CC0F64">
        <w:rPr>
          <w:b/>
        </w:rPr>
        <w:tab/>
      </w:r>
      <w:r w:rsidRPr="00CC0F64">
        <w:t xml:space="preserve">Table 3 reports the results of the Augmented Dickey Fuller (ADF) unit root test on the series at the level, first difference, and second difference as the consideration of optimal lag is the first stage to measure VAR models. The results show that all variables except GDP are not stationarity at the level. However, these variables except CPI are stationary at the first difference, while CPI is stable at the second difference. Thus, we should use variables in the form of the second difference and the estimation of our Var models is stable. </w:t>
      </w:r>
    </w:p>
    <w:p w14:paraId="0000004D" w14:textId="77777777" w:rsidR="00083006" w:rsidRPr="00CC0F64" w:rsidRDefault="0080383E">
      <w:pPr>
        <w:pStyle w:val="Heading1"/>
        <w:rPr>
          <w:b/>
        </w:rPr>
      </w:pPr>
      <w:r w:rsidRPr="00CC0F64">
        <w:rPr>
          <w:b/>
        </w:rPr>
        <w:t>4. Empirical results</w:t>
      </w:r>
    </w:p>
    <w:p w14:paraId="0000004E" w14:textId="77777777" w:rsidR="00083006" w:rsidRPr="00CC0F64" w:rsidRDefault="0080383E">
      <w:pPr>
        <w:pStyle w:val="Heading2"/>
      </w:pPr>
      <w:r w:rsidRPr="00CC0F64">
        <w:t>4.1 VAR model</w:t>
      </w:r>
    </w:p>
    <w:p w14:paraId="0955D39F" w14:textId="77777777" w:rsidR="003669A2" w:rsidRDefault="0080383E">
      <w:pPr>
        <w:spacing w:before="240"/>
        <w:jc w:val="both"/>
        <w:rPr>
          <w:color w:val="FF3399"/>
        </w:rPr>
      </w:pPr>
      <w:bookmarkStart w:id="5" w:name="_heading=h.3znysh7" w:colFirst="0" w:colLast="0"/>
      <w:bookmarkEnd w:id="5"/>
      <w:r w:rsidRPr="00CC0F64">
        <w:rPr>
          <w:b/>
        </w:rPr>
        <w:tab/>
      </w:r>
      <w:r w:rsidRPr="00CC0F64">
        <w:t xml:space="preserve">Table 4 reports the results of multivariate time series with the VAR models for the percentage change in GDP, CPI, trade balance, unemployment, and Brent crude oil. The results show that Brent Crude Oil.l1 and GDP.l2 are significantly and positively related to GDP, while CPI.l1 and Brent Crude Oil.l2 are significantly and negatively related to GDP. </w:t>
      </w:r>
      <w:r w:rsidR="003669A2" w:rsidRPr="00E23BCD">
        <w:rPr>
          <w:color w:val="FF3399"/>
        </w:rPr>
        <w:t>This is consistent with</w:t>
      </w:r>
      <w:r w:rsidR="003669A2">
        <w:rPr>
          <w:color w:val="FF3399"/>
        </w:rPr>
        <w:t xml:space="preserve"> </w:t>
      </w:r>
      <w:proofErr w:type="spellStart"/>
      <w:r w:rsidR="003669A2" w:rsidRPr="00E23BCD">
        <w:rPr>
          <w:color w:val="FF3399"/>
        </w:rPr>
        <w:t>Jime´nez-Rodrı´guez</w:t>
      </w:r>
      <w:proofErr w:type="spellEnd"/>
      <w:r w:rsidR="003669A2" w:rsidRPr="00E23BCD">
        <w:rPr>
          <w:color w:val="FF3399"/>
        </w:rPr>
        <w:t xml:space="preserve"> </w:t>
      </w:r>
      <w:r w:rsidR="003669A2" w:rsidRPr="003669A2">
        <w:rPr>
          <w:color w:val="FF3399"/>
        </w:rPr>
        <w:t xml:space="preserve">and </w:t>
      </w:r>
      <w:proofErr w:type="spellStart"/>
      <w:r w:rsidR="003669A2" w:rsidRPr="003669A2">
        <w:rPr>
          <w:color w:val="FF3399"/>
        </w:rPr>
        <w:t>Sa´nchez</w:t>
      </w:r>
      <w:proofErr w:type="spellEnd"/>
      <w:r w:rsidR="003669A2" w:rsidRPr="003669A2">
        <w:rPr>
          <w:color w:val="FF3399"/>
        </w:rPr>
        <w:t xml:space="preserve"> (2005) that an increase in oil price impacts an increase in GDP growth. On the other hand, CPI.l1 and Brent Crude Oil.l2 are significantly and negatively related to GDP. This is in the same line with </w:t>
      </w:r>
      <w:proofErr w:type="spellStart"/>
      <w:r w:rsidR="003669A2" w:rsidRPr="003669A2">
        <w:rPr>
          <w:color w:val="FF3399"/>
        </w:rPr>
        <w:t>Balcilar</w:t>
      </w:r>
      <w:proofErr w:type="spellEnd"/>
      <w:r w:rsidR="003669A2" w:rsidRPr="003669A2">
        <w:rPr>
          <w:color w:val="FF3399"/>
        </w:rPr>
        <w:t xml:space="preserve"> et al. (2017) that higher inflation reduces economic growth.</w:t>
      </w:r>
      <w:r w:rsidR="003669A2" w:rsidRPr="003669A2">
        <w:rPr>
          <w:color w:val="FF0000"/>
        </w:rPr>
        <w:t xml:space="preserve"> </w:t>
      </w:r>
    </w:p>
    <w:p w14:paraId="0000004F" w14:textId="37B77E82" w:rsidR="00083006" w:rsidRPr="003669A2" w:rsidRDefault="003669A2">
      <w:pPr>
        <w:spacing w:before="240"/>
        <w:jc w:val="both"/>
        <w:rPr>
          <w:color w:val="FF3399"/>
        </w:rPr>
      </w:pPr>
      <w:r w:rsidRPr="00CC0F64">
        <w:rPr>
          <w:b/>
        </w:rPr>
        <w:tab/>
      </w:r>
      <w:r w:rsidRPr="00CC0F64">
        <w:t xml:space="preserve">However, CPI.l1 and Brent Crude Oil.l1 are significantly and positively respective with CPI but Trade Balance.l1 is significantly and negatively respective with CPI. </w:t>
      </w:r>
      <w:r w:rsidRPr="00A443B1">
        <w:rPr>
          <w:color w:val="FF3399"/>
        </w:rPr>
        <w:t xml:space="preserve">This is in the </w:t>
      </w:r>
      <w:r w:rsidRPr="00A443B1">
        <w:rPr>
          <w:color w:val="FF3399"/>
        </w:rPr>
        <w:lastRenderedPageBreak/>
        <w:t>same line with Sek et al. (2015)</w:t>
      </w:r>
      <w:r>
        <w:rPr>
          <w:color w:val="FF3399"/>
        </w:rPr>
        <w:t xml:space="preserve"> that higher crude oil price directly impacts an increase in domestic inflation.</w:t>
      </w:r>
      <w:r w:rsidRPr="00A443B1">
        <w:rPr>
          <w:color w:val="FF3399"/>
        </w:rPr>
        <w:t xml:space="preserve"> </w:t>
      </w:r>
      <w:r w:rsidR="0080383E" w:rsidRPr="00CC0F64">
        <w:t xml:space="preserve">On the other hand, Trade Balance.l1 and Trade Balance.l2 have a significantly positive effect on Trade Balance. Moreover, Unemployment.l1 is significantly and positively respective with Unemployment, while Unemployment.l2 is significantly and negatively respective with Unemployment. Similarly, Brent Crude Oil.l1 has significantly positive effect on Brent Crude Oil but GDP.l1 has a significantly negative effect on Brent Crude Oil.  </w:t>
      </w:r>
    </w:p>
    <w:p w14:paraId="00000050" w14:textId="77777777" w:rsidR="00083006" w:rsidRPr="00CC0F64" w:rsidRDefault="0080383E">
      <w:pPr>
        <w:spacing w:before="240"/>
        <w:jc w:val="both"/>
      </w:pPr>
      <w:r w:rsidRPr="00CC0F64">
        <w:tab/>
        <w:t>In addition, Figs. 2 and 3 provide the diagram of the residuals of all equations have a mean close to zero and the fitted values are fitting the data points closely for the VAR models and time-varying VAR models, respectively. For time-varying VAR models, bandwidths are quite large with the values of 20, 1.4277, 20, and 20 for the equation of GDP, CPI, trade balance, unemployment, and Brent crude oil, respectively in Table 5.</w:t>
      </w:r>
    </w:p>
    <w:p w14:paraId="00000051" w14:textId="77777777" w:rsidR="00083006" w:rsidRPr="00CC0F64" w:rsidRDefault="0080383E">
      <w:pPr>
        <w:pStyle w:val="Heading2"/>
      </w:pPr>
      <w:r w:rsidRPr="00CC0F64">
        <w:t>4.2 Impulse–response functions</w:t>
      </w:r>
    </w:p>
    <w:p w14:paraId="00000052" w14:textId="4584D161" w:rsidR="00083006" w:rsidRPr="00CC0F64" w:rsidRDefault="0080383E">
      <w:pPr>
        <w:spacing w:before="240"/>
        <w:jc w:val="both"/>
      </w:pPr>
      <w:bookmarkStart w:id="6" w:name="_heading=h.2et92p0" w:colFirst="0" w:colLast="0"/>
      <w:bookmarkEnd w:id="6"/>
      <w:r w:rsidRPr="00CC0F64">
        <w:rPr>
          <w:b/>
        </w:rPr>
        <w:t xml:space="preserve"> </w:t>
      </w:r>
      <w:r w:rsidRPr="00CC0F64">
        <w:rPr>
          <w:b/>
        </w:rPr>
        <w:tab/>
      </w:r>
      <w:r w:rsidRPr="00CC0F64">
        <w:t xml:space="preserve">The results from the simulations of orthogonalized impulse response function (IRF) are provided in </w:t>
      </w:r>
      <w:r w:rsidR="00424DC4">
        <w:rPr>
          <w:color w:val="00B050"/>
        </w:rPr>
        <w:t>Figure 5</w:t>
      </w:r>
      <w:r w:rsidRPr="00424DC4">
        <w:rPr>
          <w:color w:val="00B050"/>
        </w:rPr>
        <w:t xml:space="preserve"> </w:t>
      </w:r>
      <w:r w:rsidRPr="00CC0F64">
        <w:t>for horizon 1 to 20 months on the horizontal axis. As the impulse response is plotted, the two dotted lines are based on a Monte Carlo simulation with 1,000 repetitions to estimate 5th and 95th percentile bounds.</w:t>
      </w:r>
    </w:p>
    <w:p w14:paraId="00000053" w14:textId="77777777" w:rsidR="00083006" w:rsidRPr="00CC0F64" w:rsidRDefault="0080383E">
      <w:pPr>
        <w:spacing w:before="240"/>
        <w:jc w:val="both"/>
      </w:pPr>
      <w:r w:rsidRPr="00CC0F64">
        <w:tab/>
        <w:t xml:space="preserve">The results show that a shock of one unit in inflation (CPI) produces a fluctuated effect on the growth of GDP during the first six or seven months and then a slightly positive effect during the first eight or nine months. After that, the growth of GDP reacts steadily and negatively to a shock of inflation on the left graph. This is consistent with Mallick and Mohsin (2016) that a shock from the inflation can explain the variability of GDP in US, UK, and Canada about 20% for 40 quarter horizons; however, it is terminated in the long term. This </w:t>
      </w:r>
      <w:r w:rsidRPr="00CC0F64">
        <w:lastRenderedPageBreak/>
        <w:t xml:space="preserve">indicates that the inflation shocks affect to increase the volatility of GDP in only the short </w:t>
      </w:r>
      <w:proofErr w:type="gramStart"/>
      <w:r w:rsidRPr="00CC0F64">
        <w:t>term</w:t>
      </w:r>
      <w:proofErr w:type="gramEnd"/>
      <w:r w:rsidRPr="00CC0F64">
        <w:t xml:space="preserve"> but it dies out in the long term. </w:t>
      </w:r>
    </w:p>
    <w:p w14:paraId="00000054" w14:textId="77777777" w:rsidR="00083006" w:rsidRPr="00CC0F64" w:rsidRDefault="0080383E">
      <w:pPr>
        <w:spacing w:before="240"/>
        <w:ind w:firstLine="720"/>
        <w:jc w:val="both"/>
      </w:pPr>
      <w:r w:rsidRPr="00CC0F64">
        <w:t xml:space="preserve">The next graph presents that a shock of one unit in inflation (CPI) impacts to decrease trade balance during the first one to four months. This is consistent with </w:t>
      </w:r>
      <w:proofErr w:type="spellStart"/>
      <w:r w:rsidRPr="00CC0F64">
        <w:t>Gylfason</w:t>
      </w:r>
      <w:proofErr w:type="spellEnd"/>
      <w:r w:rsidRPr="00CC0F64">
        <w:t xml:space="preserve"> (1999) that high inflation is related to low export. This may be resulted that an increase </w:t>
      </w:r>
      <w:proofErr w:type="gramStart"/>
      <w:r w:rsidRPr="00CC0F64">
        <w:t>of</w:t>
      </w:r>
      <w:proofErr w:type="gramEnd"/>
      <w:r w:rsidRPr="00CC0F64">
        <w:t xml:space="preserve"> inflation activates the costs of export (Seers, 1962); thus, it affects to reduce export in the beginning </w:t>
      </w:r>
      <w:proofErr w:type="gramStart"/>
      <w:r w:rsidRPr="00CC0F64">
        <w:t>period</w:t>
      </w:r>
      <w:proofErr w:type="gramEnd"/>
      <w:r w:rsidRPr="00CC0F64">
        <w:t xml:space="preserve"> and this also affects to decrease of trade balance. Then, the increase of one unit in inflation shock increases the percentage change in trade balance with a slight volatility until the tenth month. Later, the shock of inflation exerts no impact on trade balance. This is consistent with </w:t>
      </w:r>
      <w:proofErr w:type="spellStart"/>
      <w:r w:rsidRPr="00CC0F64">
        <w:t>Koray</w:t>
      </w:r>
      <w:proofErr w:type="spellEnd"/>
      <w:r w:rsidRPr="00CC0F64">
        <w:t xml:space="preserve"> (2006) that the trade balance positively responds to a shock of inflation in only the short </w:t>
      </w:r>
      <w:proofErr w:type="gramStart"/>
      <w:r w:rsidRPr="00CC0F64">
        <w:t>run</w:t>
      </w:r>
      <w:proofErr w:type="gramEnd"/>
      <w:r w:rsidRPr="00CC0F64">
        <w:t xml:space="preserve"> but it dies out in the long run, which this is also in the same line with both Keynesian and monetarist approaches (</w:t>
      </w:r>
      <w:proofErr w:type="spellStart"/>
      <w:r w:rsidRPr="00CC0F64">
        <w:t>Ivrendi</w:t>
      </w:r>
      <w:proofErr w:type="spellEnd"/>
      <w:r w:rsidRPr="00CC0F64">
        <w:t xml:space="preserve"> and </w:t>
      </w:r>
      <w:proofErr w:type="spellStart"/>
      <w:r w:rsidRPr="00CC0F64">
        <w:t>Guloglu</w:t>
      </w:r>
      <w:proofErr w:type="spellEnd"/>
      <w:r w:rsidRPr="00CC0F64">
        <w:t>, 2010).</w:t>
      </w:r>
    </w:p>
    <w:p w14:paraId="00000055" w14:textId="77777777" w:rsidR="00083006" w:rsidRPr="00CC0F64" w:rsidRDefault="0080383E">
      <w:pPr>
        <w:spacing w:before="240"/>
        <w:ind w:firstLine="720"/>
        <w:jc w:val="both"/>
      </w:pPr>
      <w:r w:rsidRPr="00CC0F64">
        <w:t xml:space="preserve">Our next focus is on the linkage between inflation and unemployment. Surprisingly, the results report that the unemployment reacts negatively to a shock of inflation during the first two to four months and then positively to a shock of inflation during the first five to eight months. Afterwards, the positive shock of one unit in the inflation results in a steady decrease until the twentieth months. However, this is consistent with </w:t>
      </w:r>
      <w:proofErr w:type="spellStart"/>
      <w:r w:rsidRPr="00CC0F64">
        <w:t>Rocheteau</w:t>
      </w:r>
      <w:proofErr w:type="spellEnd"/>
      <w:r w:rsidRPr="00CC0F64">
        <w:t xml:space="preserve"> et al. (2007) that the linkages between inflation and unemployment can be both positive and negative, hinging on the utility faction based on the Phillips curve slopes. Moreover, this is also in the same line with Greenwood and Huffman (1987) that there is a negative relationship between inflation and unemployment. This may be resulted that a shock of inflation drives the returns to working, which helps to decrease unemployment and to increase output and given sufficient endogeneity in the money supply.</w:t>
      </w:r>
    </w:p>
    <w:p w14:paraId="00000056" w14:textId="3A7BFB29" w:rsidR="00083006" w:rsidRPr="00CC0F64" w:rsidRDefault="0080383E">
      <w:pPr>
        <w:spacing w:before="240"/>
        <w:ind w:firstLine="720"/>
        <w:jc w:val="both"/>
      </w:pPr>
      <w:r w:rsidRPr="00CC0F64">
        <w:lastRenderedPageBreak/>
        <w:t xml:space="preserve">Focusing on the right graph, the results show that a shock of inflation exerts a significantly negative effect on the Brent crude oil price in the first one or two months and then a gradually positive effect until the first ten month. Eventually, the shock of one unit in inflation produces a steady and slight drop in the Brent crude oil price. This is consistent with </w:t>
      </w:r>
      <w:proofErr w:type="spellStart"/>
      <w:r w:rsidRPr="00CC0F64">
        <w:t>Farzanegan</w:t>
      </w:r>
      <w:proofErr w:type="spellEnd"/>
      <w:r w:rsidRPr="00CC0F64">
        <w:t xml:space="preserve"> and </w:t>
      </w:r>
      <w:proofErr w:type="spellStart"/>
      <w:r w:rsidRPr="00CC0F64">
        <w:t>Markwardt</w:t>
      </w:r>
      <w:proofErr w:type="spellEnd"/>
      <w:r w:rsidRPr="00CC0F64">
        <w:t xml:space="preserve"> (2009) and Salisu et al. (2017) that there is a positive linkage between inflation and oil price in the long term but there is a mixed linkage between these proxies in the short term. </w:t>
      </w:r>
      <w:r w:rsidR="003669A2" w:rsidRPr="00690D14">
        <w:rPr>
          <w:color w:val="FF3399"/>
        </w:rPr>
        <w:t>Moreover, this is in the same line with</w:t>
      </w:r>
      <w:r w:rsidR="003669A2">
        <w:rPr>
          <w:color w:val="FF3399"/>
        </w:rPr>
        <w:t xml:space="preserve"> </w:t>
      </w:r>
      <w:r w:rsidR="003669A2" w:rsidRPr="008A7492">
        <w:rPr>
          <w:color w:val="FF3399"/>
          <w:shd w:val="clear" w:color="auto" w:fill="FFFFFF"/>
        </w:rPr>
        <w:t>Kilian and Zhou (2022) that</w:t>
      </w:r>
      <w:r w:rsidR="003669A2">
        <w:rPr>
          <w:color w:val="FF3399"/>
          <w:shd w:val="clear" w:color="auto" w:fill="FFFFFF"/>
        </w:rPr>
        <w:t xml:space="preserve"> there is no relationship </w:t>
      </w:r>
      <w:r w:rsidR="003669A2" w:rsidRPr="008A7492">
        <w:rPr>
          <w:color w:val="FF3399"/>
          <w:shd w:val="clear" w:color="auto" w:fill="FFFFFF"/>
        </w:rPr>
        <w:t xml:space="preserve">between </w:t>
      </w:r>
      <w:r w:rsidR="003669A2" w:rsidRPr="008A7492">
        <w:rPr>
          <w:color w:val="FF3399"/>
        </w:rPr>
        <w:t>household inflation and gasoline price shocks</w:t>
      </w:r>
      <w:r w:rsidR="003669A2" w:rsidRPr="008A7492">
        <w:rPr>
          <w:color w:val="FF3399"/>
          <w:shd w:val="clear" w:color="auto" w:fill="FFFFFF"/>
        </w:rPr>
        <w:t xml:space="preserve"> in the long term.</w:t>
      </w:r>
      <w:r w:rsidR="003669A2" w:rsidRPr="008A7492">
        <w:rPr>
          <w:color w:val="FF3399"/>
        </w:rPr>
        <w:t xml:space="preserve"> </w:t>
      </w:r>
      <w:r w:rsidRPr="00CC0F64">
        <w:t xml:space="preserve">This indicates that when the percentage change of Brent crude oil increases to respond to the inflation shocks in the short term. </w:t>
      </w:r>
    </w:p>
    <w:p w14:paraId="00000057" w14:textId="0AA1DAE8" w:rsidR="00083006" w:rsidRPr="00CC0F64" w:rsidRDefault="0080383E">
      <w:pPr>
        <w:spacing w:before="240"/>
        <w:jc w:val="both"/>
      </w:pPr>
      <w:bookmarkStart w:id="7" w:name="_heading=h.tyjcwt" w:colFirst="0" w:colLast="0"/>
      <w:bookmarkEnd w:id="7"/>
      <w:r w:rsidRPr="00CC0F64">
        <w:rPr>
          <w:b/>
        </w:rPr>
        <w:tab/>
      </w:r>
      <w:r w:rsidRPr="00CC0F64">
        <w:t xml:space="preserve">Similarly, we examine time-varying impulse response function (IRF) of our four </w:t>
      </w:r>
      <w:proofErr w:type="gramStart"/>
      <w:r w:rsidRPr="00CC0F64">
        <w:t>proxies;</w:t>
      </w:r>
      <w:proofErr w:type="gramEnd"/>
      <w:r w:rsidRPr="00CC0F64">
        <w:t xml:space="preserve"> including the percentage change in GDP, trade balance, unemployment and Brent crude oil, to the inflation shock. The response results in </w:t>
      </w:r>
      <w:r w:rsidR="00424DC4">
        <w:rPr>
          <w:color w:val="00B050"/>
        </w:rPr>
        <w:t>Figure 6</w:t>
      </w:r>
      <w:r w:rsidRPr="00424DC4">
        <w:rPr>
          <w:color w:val="00B050"/>
        </w:rPr>
        <w:t xml:space="preserve"> </w:t>
      </w:r>
      <w:r w:rsidRPr="00CC0F64">
        <w:t xml:space="preserve">shows that the movements of time-varying impulse response function of our four proxies to the inflation shock are the same line with the orthogonalized IRF </w:t>
      </w:r>
      <w:proofErr w:type="gramStart"/>
      <w:r w:rsidRPr="00CC0F64">
        <w:t xml:space="preserve">in </w:t>
      </w:r>
      <w:r w:rsidR="00424DC4">
        <w:rPr>
          <w:color w:val="00B050"/>
        </w:rPr>
        <w:t xml:space="preserve"> Figure</w:t>
      </w:r>
      <w:proofErr w:type="gramEnd"/>
      <w:r w:rsidR="00424DC4">
        <w:rPr>
          <w:color w:val="00B050"/>
        </w:rPr>
        <w:t xml:space="preserve"> 5.</w:t>
      </w:r>
      <w:r w:rsidRPr="00424DC4">
        <w:rPr>
          <w:color w:val="00B050"/>
        </w:rPr>
        <w:t xml:space="preserve"> </w:t>
      </w:r>
    </w:p>
    <w:p w14:paraId="00000058" w14:textId="77777777" w:rsidR="00083006" w:rsidRPr="00CC0F64" w:rsidRDefault="0080383E">
      <w:pPr>
        <w:spacing w:before="240"/>
        <w:ind w:firstLine="720"/>
        <w:jc w:val="both"/>
      </w:pPr>
      <w:r w:rsidRPr="00CC0F64">
        <w:t xml:space="preserve">Overall, </w:t>
      </w:r>
      <w:proofErr w:type="gramStart"/>
      <w:r w:rsidRPr="00CC0F64">
        <w:t>it is clear that there</w:t>
      </w:r>
      <w:proofErr w:type="gramEnd"/>
      <w:r w:rsidRPr="00CC0F64">
        <w:t xml:space="preserve"> is a decrease in the percentage change in GDP, trade balance, unemployment and the price of Brent crude oil to response to a shock of inflation in the beginning period of this shock. However, it seems that the Brent crude oil shocks appear to be the fastest to adjust to spiking inflation because they take only one month to rebound to a positive level compared to other </w:t>
      </w:r>
      <w:sdt>
        <w:sdtPr>
          <w:tag w:val="goog_rdk_5"/>
          <w:id w:val="1826171333"/>
        </w:sdtPr>
        <w:sdtContent/>
      </w:sdt>
      <w:r w:rsidRPr="00CC0F64">
        <w:t xml:space="preserve">proxies. One the other hand, the proportion of trade balance is most impacted from the inflation shock in terms of a huge amount of decrease in this proxy. Moreover, it has the slowest speed to adjust for dealing with the inflation shock as it takes around three months to change to be positive effect from this shock compared to other proxies. Interestingly, the trend of the response of all our proxies declines in the long term but the </w:t>
      </w:r>
      <w:r w:rsidRPr="00CC0F64">
        <w:lastRenderedPageBreak/>
        <w:t xml:space="preserve">percentage change in unemployment </w:t>
      </w:r>
      <w:proofErr w:type="gramStart"/>
      <w:r w:rsidRPr="00CC0F64">
        <w:t>has a tendency to</w:t>
      </w:r>
      <w:proofErr w:type="gramEnd"/>
      <w:r w:rsidRPr="00CC0F64">
        <w:t xml:space="preserve"> most decrease in the long term compared to other proxies.</w:t>
      </w:r>
    </w:p>
    <w:p w14:paraId="00000059" w14:textId="77777777" w:rsidR="00083006" w:rsidRPr="00CC0F64" w:rsidRDefault="0080383E">
      <w:pPr>
        <w:pStyle w:val="Heading2"/>
      </w:pPr>
      <w:r w:rsidRPr="00CC0F64">
        <w:t>4.3 Variance-covariance analysis</w:t>
      </w:r>
    </w:p>
    <w:p w14:paraId="3CCAA843" w14:textId="77777777" w:rsidR="003669A2" w:rsidRDefault="0080383E">
      <w:pPr>
        <w:spacing w:before="240"/>
        <w:ind w:firstLine="720"/>
        <w:jc w:val="both"/>
        <w:rPr>
          <w:color w:val="FF3399"/>
        </w:rPr>
      </w:pPr>
      <w:r w:rsidRPr="00CC0F64">
        <w:t xml:space="preserve">We also investigate time-varying variance-covariance matrix of the error term of our four </w:t>
      </w:r>
      <w:proofErr w:type="gramStart"/>
      <w:r w:rsidRPr="00CC0F64">
        <w:t>proxies;</w:t>
      </w:r>
      <w:proofErr w:type="gramEnd"/>
      <w:r w:rsidRPr="00CC0F64">
        <w:t xml:space="preserve"> including the percentage change in GDP, trade balance, unemployment and Brent crude oil price, and the inflation. </w:t>
      </w:r>
      <w:r w:rsidR="00424DC4">
        <w:rPr>
          <w:color w:val="00B050"/>
        </w:rPr>
        <w:t>Figure 7</w:t>
      </w:r>
      <w:r w:rsidRPr="00424DC4">
        <w:rPr>
          <w:color w:val="00B050"/>
        </w:rPr>
        <w:t xml:space="preserve"> </w:t>
      </w:r>
      <w:r w:rsidRPr="00CC0F64">
        <w:t xml:space="preserve">reports the estimated dynamic correlation between the percentage change in GDP, trade balance, unemployment, and Brent crude oil, and the inflation from the left to right graphs. The results display that the co-movement of variance-covariance matrix of the error term of the growth of GDP and the inflation considerably fluctuates at the values between -0.3 and 0.3 during the early four months. Then, its value is stabilized to be close to zero in the long run. </w:t>
      </w:r>
      <w:r w:rsidR="003669A2" w:rsidRPr="003E76FF">
        <w:rPr>
          <w:color w:val="FF3399"/>
        </w:rPr>
        <w:t>This is also consistent with Mallick and Mohsin (2016) that the variation of economic growth can be explained by a shock from the inflation only in the short term. Moreover, these results are also in the same line with the results of impulse response</w:t>
      </w:r>
      <w:r w:rsidR="003669A2" w:rsidRPr="00D20600">
        <w:rPr>
          <w:color w:val="FF3399"/>
        </w:rPr>
        <w:t xml:space="preserve"> function (IRF)</w:t>
      </w:r>
      <w:r w:rsidR="003669A2" w:rsidRPr="00BE145F">
        <w:rPr>
          <w:color w:val="FF3399"/>
        </w:rPr>
        <w:t xml:space="preserve">. </w:t>
      </w:r>
      <w:proofErr w:type="gramStart"/>
      <w:r w:rsidR="003669A2" w:rsidRPr="00CC0F64">
        <w:t>While,</w:t>
      </w:r>
      <w:proofErr w:type="gramEnd"/>
      <w:r w:rsidR="003669A2" w:rsidRPr="00CC0F64">
        <w:t xml:space="preserve"> the dynamic correlation between the percentage change in trade balance and the inflation is negative during the early three months </w:t>
      </w:r>
      <w:proofErr w:type="gramStart"/>
      <w:r w:rsidR="003669A2" w:rsidRPr="00CC0F64">
        <w:t>until at</w:t>
      </w:r>
      <w:proofErr w:type="gramEnd"/>
      <w:r w:rsidR="003669A2" w:rsidRPr="00CC0F64">
        <w:t xml:space="preserve"> -0.09.</w:t>
      </w:r>
      <w:r w:rsidR="003669A2">
        <w:t xml:space="preserve"> </w:t>
      </w:r>
      <w:r w:rsidR="003669A2" w:rsidRPr="003E76FF">
        <w:rPr>
          <w:color w:val="FF3399"/>
        </w:rPr>
        <w:t xml:space="preserve">This is also in the line with </w:t>
      </w:r>
      <w:proofErr w:type="spellStart"/>
      <w:r w:rsidR="003669A2" w:rsidRPr="003E76FF">
        <w:rPr>
          <w:color w:val="FF3399"/>
        </w:rPr>
        <w:t>Gylfason</w:t>
      </w:r>
      <w:proofErr w:type="spellEnd"/>
      <w:r w:rsidR="003669A2" w:rsidRPr="003E76FF">
        <w:rPr>
          <w:color w:val="FF3399"/>
        </w:rPr>
        <w:t xml:space="preserve"> (1999) and the results of impulse response function (IRF). </w:t>
      </w:r>
      <w:r w:rsidR="003669A2" w:rsidRPr="00CC0F64">
        <w:t xml:space="preserve">After that, its correlation gradually increases during the middle period of the </w:t>
      </w:r>
      <w:proofErr w:type="gramStart"/>
      <w:r w:rsidR="003669A2" w:rsidRPr="00CC0F64">
        <w:t>samples</w:t>
      </w:r>
      <w:proofErr w:type="gramEnd"/>
      <w:r w:rsidR="003669A2" w:rsidRPr="00CC0F64">
        <w:t xml:space="preserve"> but it is still negative number and then it is stable at -0.05 at the end of period. </w:t>
      </w:r>
      <w:r w:rsidR="003669A2" w:rsidRPr="000767DE">
        <w:rPr>
          <w:color w:val="FF3399"/>
        </w:rPr>
        <w:t xml:space="preserve">This is consistent with </w:t>
      </w:r>
      <w:proofErr w:type="spellStart"/>
      <w:r w:rsidR="003669A2" w:rsidRPr="000767DE">
        <w:rPr>
          <w:color w:val="FF3399"/>
        </w:rPr>
        <w:t>Koray</w:t>
      </w:r>
      <w:proofErr w:type="spellEnd"/>
      <w:r w:rsidR="003669A2" w:rsidRPr="000767DE">
        <w:rPr>
          <w:color w:val="FF3399"/>
        </w:rPr>
        <w:t xml:space="preserve"> (2006)</w:t>
      </w:r>
      <w:r w:rsidR="003669A2">
        <w:rPr>
          <w:color w:val="FF3399"/>
        </w:rPr>
        <w:t xml:space="preserve"> that trade balance is positively reacted to a shock from inflation only in the short term. In addition, these results are also consistent with </w:t>
      </w:r>
      <w:r w:rsidR="003669A2" w:rsidRPr="00D20600">
        <w:rPr>
          <w:color w:val="FF3399"/>
        </w:rPr>
        <w:t xml:space="preserve">the </w:t>
      </w:r>
      <w:r w:rsidR="003669A2" w:rsidRPr="000D175A">
        <w:rPr>
          <w:color w:val="FF3399"/>
        </w:rPr>
        <w:t>results</w:t>
      </w:r>
      <w:r w:rsidR="003669A2" w:rsidRPr="00D20600">
        <w:rPr>
          <w:color w:val="FF3399"/>
        </w:rPr>
        <w:t xml:space="preserve"> of impulse response function (IRF)</w:t>
      </w:r>
      <w:r w:rsidR="003669A2" w:rsidRPr="00BE145F">
        <w:rPr>
          <w:color w:val="FF3399"/>
        </w:rPr>
        <w:t xml:space="preserve">. </w:t>
      </w:r>
      <w:r w:rsidR="003669A2">
        <w:rPr>
          <w:color w:val="FF3399"/>
        </w:rPr>
        <w:t xml:space="preserve"> </w:t>
      </w:r>
    </w:p>
    <w:p w14:paraId="0000005B" w14:textId="7F3EAAD5" w:rsidR="00083006" w:rsidRPr="00CC0F64" w:rsidRDefault="0080383E">
      <w:pPr>
        <w:spacing w:before="240"/>
        <w:ind w:firstLine="720"/>
        <w:jc w:val="both"/>
      </w:pPr>
      <w:r w:rsidRPr="00CC0F64">
        <w:t xml:space="preserve">However, the dynamic correlation between the percentage change in unemployment and the inflation is close to zero during the early eight months, and then it decreases to be negative number in the long term until -0.07 at the end. </w:t>
      </w:r>
      <w:r w:rsidR="003669A2" w:rsidRPr="000D175A">
        <w:rPr>
          <w:color w:val="FF3399"/>
        </w:rPr>
        <w:t xml:space="preserve">This is in the same line with </w:t>
      </w:r>
      <w:bookmarkStart w:id="8" w:name="_Hlk132282891"/>
      <w:r w:rsidR="003669A2" w:rsidRPr="000D175A">
        <w:rPr>
          <w:rStyle w:val="normaltextrun"/>
          <w:color w:val="FF3399"/>
        </w:rPr>
        <w:t xml:space="preserve">the Phillips </w:t>
      </w:r>
      <w:r w:rsidR="003669A2" w:rsidRPr="000D175A">
        <w:rPr>
          <w:rStyle w:val="normaltextrun"/>
          <w:color w:val="FF3399"/>
        </w:rPr>
        <w:lastRenderedPageBreak/>
        <w:t>curve economic theory</w:t>
      </w:r>
      <w:bookmarkEnd w:id="8"/>
      <w:r w:rsidR="003669A2" w:rsidRPr="000D175A">
        <w:rPr>
          <w:color w:val="FF3399"/>
        </w:rPr>
        <w:t xml:space="preserve"> that </w:t>
      </w:r>
      <w:r w:rsidR="003669A2" w:rsidRPr="000D175A">
        <w:rPr>
          <w:rStyle w:val="normaltextrun"/>
          <w:color w:val="FF3399"/>
        </w:rPr>
        <w:t>unemployment</w:t>
      </w:r>
      <w:r w:rsidR="003669A2" w:rsidRPr="000D175A">
        <w:rPr>
          <w:color w:val="FF3399"/>
        </w:rPr>
        <w:t xml:space="preserve"> </w:t>
      </w:r>
      <w:r w:rsidR="003669A2">
        <w:rPr>
          <w:color w:val="FF3399"/>
        </w:rPr>
        <w:t>negatively</w:t>
      </w:r>
      <w:r w:rsidR="003669A2" w:rsidRPr="000D175A">
        <w:rPr>
          <w:color w:val="00B050"/>
        </w:rPr>
        <w:t xml:space="preserve"> </w:t>
      </w:r>
      <w:r w:rsidR="003669A2" w:rsidRPr="000D175A">
        <w:rPr>
          <w:rStyle w:val="normaltextrun"/>
          <w:color w:val="FF3399"/>
        </w:rPr>
        <w:t>impact</w:t>
      </w:r>
      <w:r w:rsidR="003669A2">
        <w:rPr>
          <w:rStyle w:val="normaltextrun"/>
          <w:color w:val="FF3399"/>
        </w:rPr>
        <w:t>s inflation rates due to an increase in labor market.</w:t>
      </w:r>
      <w:r w:rsidR="003669A2">
        <w:rPr>
          <w:color w:val="FF3399"/>
        </w:rPr>
        <w:t xml:space="preserve"> Moreover, these results are also consistent with </w:t>
      </w:r>
      <w:r w:rsidR="003669A2" w:rsidRPr="00D20600">
        <w:rPr>
          <w:color w:val="FF3399"/>
        </w:rPr>
        <w:t xml:space="preserve">the </w:t>
      </w:r>
      <w:r w:rsidR="003669A2" w:rsidRPr="000D175A">
        <w:rPr>
          <w:color w:val="FF3399"/>
        </w:rPr>
        <w:t>results</w:t>
      </w:r>
      <w:r w:rsidR="003669A2" w:rsidRPr="00D20600">
        <w:rPr>
          <w:color w:val="FF3399"/>
        </w:rPr>
        <w:t xml:space="preserve"> of impulse response function (IRF)</w:t>
      </w:r>
      <w:r w:rsidR="003669A2" w:rsidRPr="00BE145F">
        <w:rPr>
          <w:color w:val="FF3399"/>
        </w:rPr>
        <w:t xml:space="preserve">. </w:t>
      </w:r>
      <w:r w:rsidRPr="00CC0F64">
        <w:t xml:space="preserve">On the other hand, the dynamic correlation between Brent crude oil shocks and inflation is slightly negative only in the early two months and then it increases to be positive in the middle period. Eventually, it is stable in the nineth month and the long term at 0.3. Interestingly, the co-movement of variance-covariance matrix of the error term of our four proxies and the inflation shock are the same line with the orthogonalized IRF in </w:t>
      </w:r>
      <w:r w:rsidR="00424DC4">
        <w:rPr>
          <w:color w:val="00B050"/>
        </w:rPr>
        <w:t>Figure 5</w:t>
      </w:r>
      <w:r w:rsidRPr="00CC0F64">
        <w:t xml:space="preserve">. and the </w:t>
      </w:r>
      <w:proofErr w:type="gramStart"/>
      <w:r w:rsidRPr="00CC0F64">
        <w:t>time-varying</w:t>
      </w:r>
      <w:proofErr w:type="gramEnd"/>
      <w:r w:rsidRPr="00CC0F64">
        <w:t xml:space="preserve"> IRF in </w:t>
      </w:r>
      <w:r w:rsidR="00424DC4">
        <w:rPr>
          <w:color w:val="00B050"/>
        </w:rPr>
        <w:t>Figure 6.</w:t>
      </w:r>
    </w:p>
    <w:p w14:paraId="0000005C" w14:textId="77777777" w:rsidR="00083006" w:rsidRPr="00CC0F64" w:rsidRDefault="0080383E">
      <w:pPr>
        <w:pStyle w:val="Heading2"/>
      </w:pPr>
      <w:r w:rsidRPr="00CC0F64">
        <w:t>4.4 Time-varying panel analysis</w:t>
      </w:r>
    </w:p>
    <w:p w14:paraId="57D1DA49" w14:textId="77777777" w:rsidR="00ED10CD" w:rsidRPr="006A5475" w:rsidRDefault="0080383E" w:rsidP="00ED10CD">
      <w:pPr>
        <w:spacing w:before="240"/>
        <w:jc w:val="both"/>
        <w:rPr>
          <w:rFonts w:cs="Angsana New"/>
          <w:color w:val="FF3399"/>
          <w:szCs w:val="30"/>
          <w:lang w:bidi="th-TH"/>
        </w:rPr>
      </w:pPr>
      <w:r w:rsidRPr="00CC0F64">
        <w:rPr>
          <w:b/>
        </w:rPr>
        <w:tab/>
      </w:r>
      <w:r w:rsidRPr="00CC0F64">
        <w:t xml:space="preserve">Table 6 shows the empirical results of time-varying random fixed effects method for the linkages between the percentage change in GDP, trade balance, unemployment, and the Brent crude oil price, and the inflation (CPI). The results present that the percentage change in GDP, trade balance and unemployment are significantly and negatively related to the inflation. This indicates that when the percentage change in GDP, trade balance and unemployment increases, this affects to decrease in the inflation. </w:t>
      </w:r>
      <w:r w:rsidR="00ED10CD">
        <w:rPr>
          <w:rStyle w:val="normaltextrun"/>
          <w:color w:val="FF3399"/>
        </w:rPr>
        <w:t xml:space="preserve">The results of </w:t>
      </w:r>
      <w:r w:rsidR="00ED10CD" w:rsidRPr="00325941">
        <w:rPr>
          <w:color w:val="FF3399"/>
        </w:rPr>
        <w:t>unemployment</w:t>
      </w:r>
      <w:r w:rsidR="00ED10CD" w:rsidRPr="00CC0F64">
        <w:t xml:space="preserve"> </w:t>
      </w:r>
      <w:r w:rsidR="00ED10CD">
        <w:rPr>
          <w:color w:val="FF3399"/>
        </w:rPr>
        <w:t>are</w:t>
      </w:r>
      <w:r w:rsidR="00ED10CD" w:rsidRPr="004F4E8A">
        <w:rPr>
          <w:color w:val="FF3399"/>
        </w:rPr>
        <w:t xml:space="preserve"> consistent with </w:t>
      </w:r>
      <w:r w:rsidR="00ED10CD" w:rsidRPr="004F4E8A">
        <w:rPr>
          <w:rStyle w:val="normaltextrun"/>
          <w:color w:val="FF3399"/>
        </w:rPr>
        <w:t>the Phillips curve economic theory</w:t>
      </w:r>
      <w:r w:rsidR="00ED10CD">
        <w:rPr>
          <w:rStyle w:val="normaltextrun"/>
          <w:color w:val="FF3399"/>
        </w:rPr>
        <w:t xml:space="preserve"> </w:t>
      </w:r>
      <w:r w:rsidR="00ED10CD" w:rsidRPr="004F4E8A">
        <w:rPr>
          <w:rStyle w:val="normaltextrun"/>
          <w:color w:val="FF3399"/>
        </w:rPr>
        <w:t>that a decrease in unemployment impacts an increase in inflation, which indicates an inverse relationship between inflation and unemployment rates (Phillips, 1958).</w:t>
      </w:r>
      <w:r w:rsidR="00ED10CD">
        <w:rPr>
          <w:rStyle w:val="normaltextrun"/>
          <w:color w:val="FF3399"/>
        </w:rPr>
        <w:t xml:space="preserve"> </w:t>
      </w:r>
      <w:r w:rsidR="00ED10CD" w:rsidRPr="003045B6">
        <w:rPr>
          <w:rStyle w:val="normaltextrun"/>
          <w:color w:val="FF3399"/>
        </w:rPr>
        <w:t xml:space="preserve">This implies that inflation is significantly impacted by changes in the labor market, such as employment levels and wage rates (Salisu et al., 2018). </w:t>
      </w:r>
      <w:r w:rsidR="00ED10CD">
        <w:rPr>
          <w:rStyle w:val="normaltextrun"/>
          <w:color w:val="FF3399"/>
        </w:rPr>
        <w:t xml:space="preserve">However, the results </w:t>
      </w:r>
      <w:r w:rsidR="00ED10CD" w:rsidRPr="006433E4">
        <w:rPr>
          <w:rStyle w:val="normaltextrun"/>
          <w:color w:val="FF3399"/>
        </w:rPr>
        <w:t>of</w:t>
      </w:r>
      <w:r w:rsidR="00ED10CD" w:rsidRPr="006433E4">
        <w:rPr>
          <w:color w:val="FF3399"/>
        </w:rPr>
        <w:t xml:space="preserve"> trade balance are consistent with </w:t>
      </w:r>
      <w:r w:rsidR="00ED10CD" w:rsidRPr="006433E4">
        <w:rPr>
          <w:rStyle w:val="normaltextrun"/>
          <w:color w:val="FF3399"/>
        </w:rPr>
        <w:t xml:space="preserve">the aggregate demand-aggregate supply (AD-AS) model that changes in the overall demand and supply of goods and services with an increase in aggregate demand or a decrease in aggregate supply can increase inflation levels because of there is customer surplus and </w:t>
      </w:r>
      <w:r w:rsidR="00ED10CD" w:rsidRPr="006433E4">
        <w:rPr>
          <w:rStyle w:val="normaltextrun"/>
          <w:rFonts w:cs="Angsana New"/>
          <w:color w:val="FF3399"/>
          <w:szCs w:val="30"/>
          <w:lang w:bidi="th-TH"/>
        </w:rPr>
        <w:t>deficiency</w:t>
      </w:r>
      <w:r w:rsidR="00ED10CD" w:rsidRPr="006433E4">
        <w:rPr>
          <w:rStyle w:val="normaltextrun"/>
          <w:color w:val="FF3399"/>
        </w:rPr>
        <w:t xml:space="preserve"> of resources (Mankiw, 2014).</w:t>
      </w:r>
      <w:r w:rsidR="00ED10CD">
        <w:rPr>
          <w:rStyle w:val="normaltextrun"/>
          <w:color w:val="FF3399"/>
        </w:rPr>
        <w:t xml:space="preserve"> Moreover, the results of</w:t>
      </w:r>
      <w:r w:rsidR="00ED10CD" w:rsidRPr="006433E4">
        <w:rPr>
          <w:rStyle w:val="normaltextrun"/>
          <w:color w:val="FF3399"/>
        </w:rPr>
        <w:t xml:space="preserve"> </w:t>
      </w:r>
      <w:r w:rsidR="00ED10CD" w:rsidRPr="006433E4">
        <w:rPr>
          <w:color w:val="FF3399"/>
        </w:rPr>
        <w:t>GDP</w:t>
      </w:r>
      <w:r w:rsidR="00ED10CD" w:rsidRPr="006433E4">
        <w:rPr>
          <w:rStyle w:val="normaltextrun"/>
          <w:color w:val="FF3399"/>
        </w:rPr>
        <w:t xml:space="preserve"> </w:t>
      </w:r>
      <w:r w:rsidR="00ED10CD">
        <w:rPr>
          <w:rStyle w:val="normaltextrun"/>
          <w:color w:val="FF3399"/>
        </w:rPr>
        <w:t xml:space="preserve">are consistent with </w:t>
      </w:r>
      <w:proofErr w:type="spellStart"/>
      <w:r w:rsidR="00ED10CD" w:rsidRPr="003045B6">
        <w:rPr>
          <w:rStyle w:val="normaltextrun"/>
          <w:color w:val="FF3399"/>
        </w:rPr>
        <w:t>Iyke</w:t>
      </w:r>
      <w:proofErr w:type="spellEnd"/>
      <w:r w:rsidR="00ED10CD" w:rsidRPr="003045B6">
        <w:rPr>
          <w:rStyle w:val="normaltextrun"/>
          <w:color w:val="FF3399"/>
        </w:rPr>
        <w:t xml:space="preserve"> (2015) that there is a negative relationship between economic growth and inflation in </w:t>
      </w:r>
      <w:proofErr w:type="spellStart"/>
      <w:r w:rsidR="00ED10CD" w:rsidRPr="003045B6">
        <w:rPr>
          <w:rStyle w:val="normaltextrun"/>
          <w:color w:val="FF3399"/>
        </w:rPr>
        <w:t>Negeria</w:t>
      </w:r>
      <w:proofErr w:type="spellEnd"/>
      <w:r w:rsidR="00ED10CD" w:rsidRPr="003045B6">
        <w:rPr>
          <w:rStyle w:val="normaltextrun"/>
          <w:color w:val="FF3399"/>
        </w:rPr>
        <w:t>.</w:t>
      </w:r>
      <w:r w:rsidR="00ED10CD">
        <w:rPr>
          <w:rStyle w:val="normaltextrun"/>
          <w:color w:val="FF3399"/>
        </w:rPr>
        <w:t xml:space="preserve"> This implies that a decrease in inflation leads to lower price </w:t>
      </w:r>
      <w:r w:rsidR="00ED10CD">
        <w:rPr>
          <w:rStyle w:val="normaltextrun"/>
          <w:color w:val="FF3399"/>
        </w:rPr>
        <w:lastRenderedPageBreak/>
        <w:t xml:space="preserve">levels for </w:t>
      </w:r>
      <w:r w:rsidR="00ED10CD" w:rsidRPr="006433E4">
        <w:rPr>
          <w:rStyle w:val="normaltextrun"/>
          <w:color w:val="FF3399"/>
        </w:rPr>
        <w:t>goods and services</w:t>
      </w:r>
      <w:r w:rsidR="00ED10CD">
        <w:rPr>
          <w:rStyle w:val="normaltextrun"/>
          <w:color w:val="FF3399"/>
        </w:rPr>
        <w:t xml:space="preserve"> in a market; thus, this </w:t>
      </w:r>
      <w:r w:rsidR="00ED10CD">
        <w:rPr>
          <w:rStyle w:val="normaltextrun"/>
          <w:rFonts w:cs="Angsana New"/>
          <w:color w:val="FF3399"/>
          <w:szCs w:val="30"/>
          <w:lang w:bidi="th-TH"/>
        </w:rPr>
        <w:t xml:space="preserve">promotes the growth of economy. </w:t>
      </w:r>
      <w:r w:rsidR="00ED10CD" w:rsidRPr="00CC0F64">
        <w:t>On the other hand, Brent crude oil price is significantly and positively related to the inflation. Accordingly, when the Brent crude oil price increases, so does inflation.</w:t>
      </w:r>
      <w:r w:rsidR="00ED10CD">
        <w:t xml:space="preserve"> </w:t>
      </w:r>
      <w:r w:rsidR="00ED10CD" w:rsidRPr="00972CB6">
        <w:rPr>
          <w:color w:val="FF3399"/>
        </w:rPr>
        <w:t>This a</w:t>
      </w:r>
      <w:r w:rsidR="00ED10CD" w:rsidRPr="006A5475">
        <w:rPr>
          <w:color w:val="FF3399"/>
        </w:rPr>
        <w:t xml:space="preserve">lso consistent with </w:t>
      </w:r>
      <w:r w:rsidR="00ED10CD" w:rsidRPr="006A5475">
        <w:rPr>
          <w:rStyle w:val="normaltextrun"/>
          <w:color w:val="FF3399"/>
        </w:rPr>
        <w:t>Talha et al. (2021)</w:t>
      </w:r>
      <w:r w:rsidR="00ED10CD">
        <w:rPr>
          <w:rStyle w:val="normaltextrun"/>
          <w:color w:val="FF3399"/>
        </w:rPr>
        <w:t xml:space="preserve"> and </w:t>
      </w:r>
      <w:r w:rsidR="00ED10CD" w:rsidRPr="00CE26C3">
        <w:rPr>
          <w:rStyle w:val="normaltextrun"/>
          <w:color w:val="FF3399"/>
        </w:rPr>
        <w:t>Wang et al., (2019) that a</w:t>
      </w:r>
      <w:r w:rsidR="00ED10CD" w:rsidRPr="006A5475">
        <w:rPr>
          <w:rStyle w:val="normaltextrun"/>
          <w:color w:val="FF3399"/>
        </w:rPr>
        <w:t>n increase in energy consumption or oil prices impacts an increase in inflation</w:t>
      </w:r>
      <w:r w:rsidR="00ED10CD">
        <w:rPr>
          <w:rStyle w:val="normaltextrun"/>
          <w:color w:val="FF3399"/>
        </w:rPr>
        <w:t xml:space="preserve">. </w:t>
      </w:r>
    </w:p>
    <w:p w14:paraId="0000005E" w14:textId="28B00C05" w:rsidR="00083006" w:rsidRPr="00CC0F64" w:rsidRDefault="0080383E">
      <w:pPr>
        <w:spacing w:before="240"/>
        <w:jc w:val="both"/>
      </w:pPr>
      <w:r w:rsidRPr="00CC0F64">
        <w:tab/>
      </w:r>
      <w:r w:rsidR="00424DC4">
        <w:rPr>
          <w:color w:val="00B050"/>
        </w:rPr>
        <w:t>Figure 8</w:t>
      </w:r>
      <w:r w:rsidRPr="00424DC4">
        <w:rPr>
          <w:color w:val="00B050"/>
        </w:rPr>
        <w:t xml:space="preserve"> </w:t>
      </w:r>
      <w:r w:rsidRPr="00CC0F64">
        <w:t xml:space="preserve">displays the elasticity estimates using time-varying random fixed effects method. The results from time-varying coefficient models of the percentage change in GDP, trade balance and unemployment are plotted with a black line within 95% confidence intervals in grey from the left to the right graphs, respectively. The time-varying coefficients models suggest that the growth of GDP is a value under 1.0. This indicates that the growth of GDP in UK is slower than the increase of inflation. Moreover, the value of elasticity estimates for GDP continuously decreases in the long term. In addition, the confidence intervals are large around the early period of the </w:t>
      </w:r>
      <w:proofErr w:type="gramStart"/>
      <w:r w:rsidRPr="00CC0F64">
        <w:t>samples</w:t>
      </w:r>
      <w:proofErr w:type="gramEnd"/>
      <w:r w:rsidRPr="00CC0F64">
        <w:t xml:space="preserve"> but they decrease in the middle and long periods of the samples. This suggests that the variability in the elasticity between our two proxies decreases during the middle and long terms. </w:t>
      </w:r>
    </w:p>
    <w:p w14:paraId="0000005F" w14:textId="77777777" w:rsidR="00083006" w:rsidRPr="00CC0F64" w:rsidRDefault="0080383E">
      <w:pPr>
        <w:spacing w:before="240"/>
        <w:jc w:val="both"/>
      </w:pPr>
      <w:r w:rsidRPr="00CC0F64">
        <w:tab/>
        <w:t xml:space="preserve">Focusing on the time-varying coefficients models for the percentage change in trade balance, the results show that it is a value under 0.5. This suggests that the percentage change in inflation is faster than the percentage change in trade balance. On the other hand, the value of elasticity estimates for the percentage change in trade balance increases in the beginning stage of the samples but it decreases in the long-run period of the samples, which it peaks at 0.4 during the middle period of the samples. Moreover, the confidence intervals are large around the early period of the samples. This indicates that the variability in the elasticity between our two proxies is high in this period. </w:t>
      </w:r>
    </w:p>
    <w:p w14:paraId="00000060" w14:textId="77777777" w:rsidR="00083006" w:rsidRPr="00CC0F64" w:rsidRDefault="0080383E">
      <w:pPr>
        <w:spacing w:before="240"/>
        <w:jc w:val="both"/>
      </w:pPr>
      <w:r w:rsidRPr="00CC0F64">
        <w:lastRenderedPageBreak/>
        <w:tab/>
        <w:t xml:space="preserve">Next, the results of the time-varying coefficients models for the percentage change in unemployment display that there is a value under 0.3. This suggests that the percentage change in unemployment is slower than the percentage change in inflation. Furthermore, the value of elasticity estimates for unemployment is under 0 in the early period of the samples. While its value increases in the long-run period but the confidence intervals also increase. This indicates that the variability in the elasticity between our two proxies is higher during the long term. </w:t>
      </w:r>
    </w:p>
    <w:p w14:paraId="00000061" w14:textId="0DA5B71C" w:rsidR="00083006" w:rsidRDefault="0080383E">
      <w:pPr>
        <w:spacing w:before="240"/>
        <w:jc w:val="both"/>
      </w:pPr>
      <w:r w:rsidRPr="00CC0F64">
        <w:tab/>
        <w:t>Lastly, the results of the time-varying coefficients models for the percentage change in Brent crude oil show that there is a value under 0.6. This suggests that the percentage change in inflation is faster than the percentage change in Brent crude oil price. Moreover, even if the value slightly decreases during the beginning stage, it continuously increases in the long term. Moreover, the confidence intervals are gradually larger in the long-run period. This indicates that the variability in the elasticity between our two proxies is gradually higher during the long term.</w:t>
      </w:r>
      <w:r w:rsidR="00721D53">
        <w:t xml:space="preserve"> </w:t>
      </w:r>
      <w:r w:rsidR="008E5448" w:rsidRPr="00BD4D42">
        <w:rPr>
          <w:color w:val="00B050"/>
        </w:rPr>
        <w:t>Figure 9 illustrates the integration of our data findings within the conceptual framework, providing a clearer understanding of the short-term and long-term effects of inflation on the UK economy.</w:t>
      </w:r>
    </w:p>
    <w:p w14:paraId="266DFEA6" w14:textId="77777777" w:rsidR="004E2D14" w:rsidRPr="00B00A81" w:rsidRDefault="004E2D14" w:rsidP="004E2D14">
      <w:pPr>
        <w:pStyle w:val="Caption"/>
        <w:rPr>
          <w:color w:val="00B050"/>
        </w:rPr>
      </w:pPr>
      <w:r w:rsidRPr="00B00A81">
        <w:rPr>
          <w:color w:val="00B050"/>
        </w:rPr>
        <w:t xml:space="preserve">Figure </w:t>
      </w:r>
      <w:r w:rsidRPr="00B00A81">
        <w:rPr>
          <w:color w:val="00B050"/>
        </w:rPr>
        <w:fldChar w:fldCharType="begin"/>
      </w:r>
      <w:r w:rsidRPr="00B00A81">
        <w:rPr>
          <w:color w:val="00B050"/>
        </w:rPr>
        <w:instrText xml:space="preserve"> SEQ Figure \* ARABIC </w:instrText>
      </w:r>
      <w:r w:rsidRPr="00B00A81">
        <w:rPr>
          <w:color w:val="00B050"/>
        </w:rPr>
        <w:fldChar w:fldCharType="separate"/>
      </w:r>
      <w:r w:rsidRPr="00B00A81">
        <w:rPr>
          <w:noProof/>
          <w:color w:val="00B050"/>
        </w:rPr>
        <w:t>9</w:t>
      </w:r>
      <w:r w:rsidRPr="00B00A81">
        <w:rPr>
          <w:color w:val="00B050"/>
        </w:rPr>
        <w:fldChar w:fldCharType="end"/>
      </w:r>
      <w:r w:rsidRPr="00B00A81">
        <w:rPr>
          <w:color w:val="00B050"/>
        </w:rPr>
        <w:t xml:space="preserve"> Conceptual framework with data results</w:t>
      </w:r>
    </w:p>
    <w:p w14:paraId="12537DDF" w14:textId="5B6A0D67" w:rsidR="00681A5A" w:rsidRPr="00CC0F64" w:rsidRDefault="00B00A81">
      <w:pPr>
        <w:spacing w:before="240"/>
        <w:jc w:val="both"/>
      </w:pPr>
      <w:r>
        <w:rPr>
          <w:noProof/>
        </w:rPr>
        <w:drawing>
          <wp:inline distT="0" distB="0" distL="0" distR="0" wp14:anchorId="0B880F83" wp14:editId="3C0821B2">
            <wp:extent cx="5947164" cy="2850302"/>
            <wp:effectExtent l="0" t="0" r="0" b="762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81104" cy="2866568"/>
                    </a:xfrm>
                    <a:prstGeom prst="rect">
                      <a:avLst/>
                    </a:prstGeom>
                    <a:noFill/>
                  </pic:spPr>
                </pic:pic>
              </a:graphicData>
            </a:graphic>
          </wp:inline>
        </w:drawing>
      </w:r>
    </w:p>
    <w:p w14:paraId="00000062" w14:textId="77777777" w:rsidR="00083006" w:rsidRPr="00CC0F64" w:rsidRDefault="0080383E">
      <w:pPr>
        <w:pStyle w:val="Heading1"/>
        <w:rPr>
          <w:b/>
        </w:rPr>
      </w:pPr>
      <w:r w:rsidRPr="00CC0F64">
        <w:rPr>
          <w:b/>
        </w:rPr>
        <w:lastRenderedPageBreak/>
        <w:t>5. Conclusion</w:t>
      </w:r>
    </w:p>
    <w:p w14:paraId="6070A381" w14:textId="7FAADC7D" w:rsidR="006C25B0" w:rsidRPr="00E11398" w:rsidRDefault="0080383E" w:rsidP="00E11398">
      <w:pPr>
        <w:spacing w:before="240"/>
        <w:ind w:firstLine="720"/>
        <w:jc w:val="both"/>
      </w:pPr>
      <w:r w:rsidRPr="00CC0F64">
        <w:t>In conclusion, this paper discusses three analyses under the framework of vector autoregressive model (VAR) including VAR model, time-varying VAR analysis, and time-varying panel model with robustness test. Based on Impulse–response functions</w:t>
      </w:r>
      <w:r w:rsidR="00C25829">
        <w:t xml:space="preserve"> </w:t>
      </w:r>
      <w:r w:rsidR="00C25829" w:rsidRPr="00301B09">
        <w:rPr>
          <w:color w:val="7030A0"/>
        </w:rPr>
        <w:t>and variance-covariance analysis</w:t>
      </w:r>
      <w:r w:rsidR="00D068BE">
        <w:t xml:space="preserve">, </w:t>
      </w:r>
      <w:r w:rsidR="00D068BE" w:rsidRPr="00D068BE">
        <w:rPr>
          <w:color w:val="7030A0"/>
        </w:rPr>
        <w:t>it</w:t>
      </w:r>
      <w:r w:rsidR="006C25B0" w:rsidRPr="006C25B0">
        <w:rPr>
          <w:color w:val="7030A0"/>
        </w:rPr>
        <w:t xml:space="preserve"> is evident that there has been a decline in the percentage change of GDP, trade balance, unemployment, and Brent crude oil prices in response to an inflation shock at the</w:t>
      </w:r>
      <w:r w:rsidR="00627572">
        <w:rPr>
          <w:color w:val="7030A0"/>
        </w:rPr>
        <w:t xml:space="preserve"> initially</w:t>
      </w:r>
      <w:r w:rsidR="006C25B0" w:rsidRPr="006C25B0">
        <w:rPr>
          <w:color w:val="7030A0"/>
        </w:rPr>
        <w:t xml:space="preserve">. However, among these proxies, Brent crude oil appears to be the quickest to rebound from the inflation shock, taking only a month to return to a positive level. </w:t>
      </w:r>
      <w:r w:rsidR="00186FCB">
        <w:rPr>
          <w:color w:val="7030A0"/>
        </w:rPr>
        <w:t>Interestingly</w:t>
      </w:r>
      <w:r w:rsidR="006C25B0" w:rsidRPr="006C25B0">
        <w:rPr>
          <w:color w:val="7030A0"/>
        </w:rPr>
        <w:t>, the trade balance is the most affected by the inflation shock, experiencing a significant decrease, and taking around three months to adjust to the shock compared to other proxies.</w:t>
      </w:r>
      <w:r w:rsidR="00EF1F68">
        <w:rPr>
          <w:color w:val="7030A0"/>
        </w:rPr>
        <w:t xml:space="preserve"> </w:t>
      </w:r>
      <w:r w:rsidR="0042219C">
        <w:rPr>
          <w:color w:val="7030A0"/>
        </w:rPr>
        <w:t>In general</w:t>
      </w:r>
      <w:r w:rsidR="006C25B0">
        <w:t xml:space="preserve">, </w:t>
      </w:r>
      <w:r w:rsidR="006C25B0" w:rsidRPr="00775ED0">
        <w:rPr>
          <w:color w:val="7030A0"/>
        </w:rPr>
        <w:t>all the proxies show a declining trend in their response over the long term, but unemployment experiences the most substantial decrease in percentage change compared to other proxies</w:t>
      </w:r>
      <w:r w:rsidR="00582ABF">
        <w:rPr>
          <w:color w:val="7030A0"/>
        </w:rPr>
        <w:t xml:space="preserve"> though it</w:t>
      </w:r>
      <w:r w:rsidR="00953A11">
        <w:rPr>
          <w:color w:val="7030A0"/>
        </w:rPr>
        <w:t xml:space="preserve"> </w:t>
      </w:r>
      <w:r w:rsidR="00582ABF">
        <w:rPr>
          <w:color w:val="7030A0"/>
        </w:rPr>
        <w:t xml:space="preserve">positively </w:t>
      </w:r>
      <w:r w:rsidR="00D624D0">
        <w:rPr>
          <w:color w:val="7030A0"/>
        </w:rPr>
        <w:t>responds</w:t>
      </w:r>
      <w:r w:rsidR="00953A11">
        <w:rPr>
          <w:color w:val="7030A0"/>
        </w:rPr>
        <w:t xml:space="preserve"> to </w:t>
      </w:r>
      <w:r w:rsidR="00330E95">
        <w:rPr>
          <w:color w:val="7030A0"/>
        </w:rPr>
        <w:t xml:space="preserve">a </w:t>
      </w:r>
      <w:r w:rsidR="00330E95" w:rsidRPr="00330E95">
        <w:rPr>
          <w:color w:val="7030A0"/>
        </w:rPr>
        <w:t>shock of inflation during the first five to eight months</w:t>
      </w:r>
      <w:r w:rsidR="00330E95">
        <w:rPr>
          <w:color w:val="7030A0"/>
        </w:rPr>
        <w:t>.</w:t>
      </w:r>
    </w:p>
    <w:p w14:paraId="00000064" w14:textId="35CC9699" w:rsidR="00083006" w:rsidRDefault="006062FB">
      <w:pPr>
        <w:spacing w:before="240"/>
        <w:ind w:firstLine="720"/>
        <w:jc w:val="both"/>
      </w:pPr>
      <w:r w:rsidRPr="006062FB">
        <w:rPr>
          <w:color w:val="7030A0"/>
        </w:rPr>
        <w:t xml:space="preserve">The findings from </w:t>
      </w:r>
      <w:r>
        <w:rPr>
          <w:color w:val="7030A0"/>
        </w:rPr>
        <w:t>t</w:t>
      </w:r>
      <w:r w:rsidRPr="006062FB">
        <w:rPr>
          <w:color w:val="7030A0"/>
        </w:rPr>
        <w:t xml:space="preserve">he time-varying panel analysis reveal </w:t>
      </w:r>
      <w:r>
        <w:t xml:space="preserve">that </w:t>
      </w:r>
      <w:r w:rsidR="0080383E" w:rsidRPr="00CC0F64">
        <w:t xml:space="preserve">the percentage change in GDP, trade balance and unemployment are significantly and negatively related to </w:t>
      </w:r>
      <w:r w:rsidR="000D733B" w:rsidRPr="00CC0F64">
        <w:t>inflation</w:t>
      </w:r>
      <w:r w:rsidR="0080383E" w:rsidRPr="00CC0F64">
        <w:t>. Conversely,</w:t>
      </w:r>
      <w:r w:rsidR="00BE4C0D">
        <w:t xml:space="preserve"> </w:t>
      </w:r>
      <w:r w:rsidR="00BE4C0D" w:rsidRPr="00BE4C0D">
        <w:t>there is a significant positive correlation between inflation and Brent crude oil prices.</w:t>
      </w:r>
      <w:r w:rsidR="0080383E" w:rsidRPr="00CC0F64">
        <w:t xml:space="preserve"> On the other hand, the </w:t>
      </w:r>
      <w:r w:rsidR="0052739F">
        <w:t>rate of</w:t>
      </w:r>
      <w:r w:rsidR="0080383E" w:rsidRPr="00CC0F64">
        <w:t xml:space="preserve"> change</w:t>
      </w:r>
      <w:r w:rsidR="00F0524F">
        <w:t>s</w:t>
      </w:r>
      <w:r w:rsidR="0080383E" w:rsidRPr="00CC0F64">
        <w:t xml:space="preserve"> in GDP, trade balance, unemployment, Brent crude oil is slower than </w:t>
      </w:r>
      <w:r w:rsidR="0080383E" w:rsidRPr="006867D1">
        <w:rPr>
          <w:color w:val="7030A0"/>
        </w:rPr>
        <w:t>t</w:t>
      </w:r>
      <w:r w:rsidR="006867D1" w:rsidRPr="006867D1">
        <w:rPr>
          <w:color w:val="7030A0"/>
        </w:rPr>
        <w:t xml:space="preserve">hat of </w:t>
      </w:r>
      <w:r w:rsidR="0080383E" w:rsidRPr="00CC0F64">
        <w:t xml:space="preserve">inflation. </w:t>
      </w:r>
      <w:r w:rsidR="0080383E" w:rsidRPr="00750AC0">
        <w:rPr>
          <w:color w:val="7030A0"/>
        </w:rPr>
        <w:t xml:space="preserve">Interestingly, while </w:t>
      </w:r>
      <w:r w:rsidR="00941A26" w:rsidRPr="00750AC0">
        <w:rPr>
          <w:color w:val="7030A0"/>
        </w:rPr>
        <w:t>the elasticity between inflation and GDP becomes less variable over the middle and long terms</w:t>
      </w:r>
      <w:r w:rsidR="0080383E" w:rsidRPr="00CC0F64">
        <w:t xml:space="preserve">, the variability in the elasticity between inflation and other proxies </w:t>
      </w:r>
      <w:r w:rsidR="00750AC0" w:rsidRPr="00750AC0">
        <w:rPr>
          <w:color w:val="7030A0"/>
        </w:rPr>
        <w:t xml:space="preserve">increases gradually </w:t>
      </w:r>
      <w:r w:rsidR="0080383E" w:rsidRPr="00CC0F64">
        <w:t>during the long term.</w:t>
      </w:r>
    </w:p>
    <w:p w14:paraId="00000065" w14:textId="36EDD62B" w:rsidR="00083006" w:rsidRPr="00CC0F64" w:rsidRDefault="0080383E">
      <w:pPr>
        <w:spacing w:before="240"/>
        <w:ind w:firstLine="720"/>
        <w:jc w:val="both"/>
      </w:pPr>
      <w:r w:rsidRPr="00CC0F64">
        <w:t xml:space="preserve">In summary, </w:t>
      </w:r>
      <w:proofErr w:type="gramStart"/>
      <w:r w:rsidRPr="00CC0F64">
        <w:t>on the basis of</w:t>
      </w:r>
      <w:proofErr w:type="gramEnd"/>
      <w:r w:rsidRPr="00CC0F64">
        <w:t xml:space="preserve"> analyzing relationships between inflation</w:t>
      </w:r>
      <w:r w:rsidR="009D0C73">
        <w:t xml:space="preserve"> and other</w:t>
      </w:r>
      <w:r w:rsidR="00182244">
        <w:t xml:space="preserve"> macroeconomic</w:t>
      </w:r>
      <w:r w:rsidR="009D0C73">
        <w:t xml:space="preserve"> variables </w:t>
      </w:r>
      <w:r w:rsidR="009C4EC9">
        <w:t>including</w:t>
      </w:r>
      <w:r w:rsidRPr="00CC0F64">
        <w:t xml:space="preserve"> GDP, unemployment, oil price and trade balance, the study seeks to examine the correlation between the above-mentioned variables in both the short and </w:t>
      </w:r>
      <w:r w:rsidRPr="00CC0F64">
        <w:lastRenderedPageBreak/>
        <w:t>long term as well as the percentage change in these proxies. These variables are significantly linked with rate of inflation. The results may have provided an overview of current inflation level in the UK, and then researchers may have considered these proxies in predicting the future trend of inflation. As a result, the government can use these research findings to determine economic and social development policies under the current circumstance.</w:t>
      </w:r>
    </w:p>
    <w:p w14:paraId="00000066" w14:textId="1F79750E" w:rsidR="00083006" w:rsidRDefault="0080383E">
      <w:pPr>
        <w:spacing w:before="240"/>
        <w:ind w:firstLine="720"/>
        <w:jc w:val="both"/>
      </w:pPr>
      <w:r w:rsidRPr="00CC0F64">
        <w:t xml:space="preserve">In terms of policy implications, energy shocks have significant effects on society and the macroeconomy, particularly in terms of economic expansion, inflation, and the environment. Government initiatives, tax laws, and interest rates are all affected by </w:t>
      </w:r>
      <w:r w:rsidR="007966F9" w:rsidRPr="00CC0F64">
        <w:t>inflation, through</w:t>
      </w:r>
      <w:r w:rsidR="00F25397" w:rsidRPr="007966F9">
        <w:rPr>
          <w:color w:val="7030A0"/>
        </w:rPr>
        <w:t xml:space="preserve"> </w:t>
      </w:r>
      <w:r w:rsidR="007966F9" w:rsidRPr="007966F9">
        <w:rPr>
          <w:color w:val="7030A0"/>
        </w:rPr>
        <w:t>channels</w:t>
      </w:r>
      <w:r w:rsidR="00F25397" w:rsidRPr="007966F9">
        <w:rPr>
          <w:color w:val="7030A0"/>
        </w:rPr>
        <w:t xml:space="preserve"> </w:t>
      </w:r>
      <w:r w:rsidR="007966F9" w:rsidRPr="007966F9">
        <w:rPr>
          <w:color w:val="7030A0"/>
        </w:rPr>
        <w:t xml:space="preserve">such as </w:t>
      </w:r>
      <w:r w:rsidRPr="00CC0F64">
        <w:t>consumer spending, company investment, and employment rates. Since inflation reduces the return on investment, understanding inflation is crucial for successful investing. Our findings have important implications for short-term speculators, long-term investors, and policymakers considering the co-movement between inflation and economic activity moderated by crude oil price.</w:t>
      </w:r>
    </w:p>
    <w:p w14:paraId="4B8C5BBB" w14:textId="297EC2A7" w:rsidR="00AF3F0E" w:rsidRDefault="00CE25B5" w:rsidP="00822BBB">
      <w:pPr>
        <w:spacing w:before="240"/>
        <w:ind w:firstLine="720"/>
        <w:jc w:val="both"/>
        <w:rPr>
          <w:color w:val="7030A0"/>
        </w:rPr>
      </w:pPr>
      <w:r w:rsidRPr="00CE25B5">
        <w:rPr>
          <w:color w:val="7030A0"/>
        </w:rPr>
        <w:t>The results of this study have important implications for both researchers and policymakers</w:t>
      </w:r>
      <w:r w:rsidR="003D5B1F">
        <w:rPr>
          <w:color w:val="7030A0"/>
        </w:rPr>
        <w:t xml:space="preserve"> as well as other stakeholders</w:t>
      </w:r>
      <w:r w:rsidRPr="00CE25B5">
        <w:rPr>
          <w:color w:val="7030A0"/>
        </w:rPr>
        <w:t xml:space="preserve">. The study provides new insights into how </w:t>
      </w:r>
      <w:r w:rsidR="00701984">
        <w:rPr>
          <w:color w:val="7030A0"/>
        </w:rPr>
        <w:t xml:space="preserve">inflation shock </w:t>
      </w:r>
      <w:r w:rsidR="009D55AE">
        <w:rPr>
          <w:color w:val="7030A0"/>
        </w:rPr>
        <w:t>affects</w:t>
      </w:r>
      <w:r w:rsidR="00701984">
        <w:rPr>
          <w:color w:val="7030A0"/>
        </w:rPr>
        <w:t xml:space="preserve"> </w:t>
      </w:r>
      <w:r w:rsidRPr="00CE25B5">
        <w:rPr>
          <w:color w:val="7030A0"/>
        </w:rPr>
        <w:t>the economy. This information can be used to inform future research and to develop more accurate economic models.</w:t>
      </w:r>
      <w:r w:rsidR="00F60CF5">
        <w:rPr>
          <w:color w:val="7030A0"/>
        </w:rPr>
        <w:t xml:space="preserve"> Additionally, p</w:t>
      </w:r>
      <w:r w:rsidR="00B2409A" w:rsidRPr="00B2409A">
        <w:rPr>
          <w:color w:val="7030A0"/>
        </w:rPr>
        <w:t>olicymakers can also use the findings to inform their decision-making processes. For example, the study suggests that a shock to inflation can have a negative impact on the growth of GDP, and that trade balance responds positively to inflation in the short term. Policymakers can use this information to develop policies that mitigate the negative effects of inflation on economic growth, and to take advantage of short-term opportunities presented by inflation</w:t>
      </w:r>
      <w:r w:rsidR="00F15BD9">
        <w:rPr>
          <w:color w:val="7030A0"/>
        </w:rPr>
        <w:t xml:space="preserve"> to trade balance</w:t>
      </w:r>
      <w:r w:rsidR="00B2409A" w:rsidRPr="00B2409A">
        <w:rPr>
          <w:color w:val="7030A0"/>
        </w:rPr>
        <w:t>. The study also highlights the importance of Brent crude oil price in coping with spiking inflation, which can inform energy policy decisions.</w:t>
      </w:r>
      <w:r w:rsidR="00822BBB">
        <w:rPr>
          <w:color w:val="7030A0"/>
        </w:rPr>
        <w:t xml:space="preserve"> </w:t>
      </w:r>
      <w:r w:rsidR="00AF3F0E" w:rsidRPr="00AF3F0E">
        <w:rPr>
          <w:color w:val="7030A0"/>
        </w:rPr>
        <w:t xml:space="preserve">Finally, the findings may have important implications for </w:t>
      </w:r>
      <w:r w:rsidR="00AF3F0E" w:rsidRPr="00AF3F0E">
        <w:rPr>
          <w:color w:val="7030A0"/>
        </w:rPr>
        <w:lastRenderedPageBreak/>
        <w:t xml:space="preserve">businesses operating in the UK. Businesses may need to </w:t>
      </w:r>
      <w:proofErr w:type="gramStart"/>
      <w:r w:rsidR="00AF3F0E" w:rsidRPr="00AF3F0E">
        <w:rPr>
          <w:color w:val="7030A0"/>
        </w:rPr>
        <w:t>take into account</w:t>
      </w:r>
      <w:proofErr w:type="gramEnd"/>
      <w:r w:rsidR="00AF3F0E" w:rsidRPr="00AF3F0E">
        <w:rPr>
          <w:color w:val="7030A0"/>
        </w:rPr>
        <w:t xml:space="preserve"> the relationship between inflation and other economic indicators when making strategic decisions</w:t>
      </w:r>
      <w:r w:rsidR="00501802">
        <w:rPr>
          <w:color w:val="7030A0"/>
        </w:rPr>
        <w:t xml:space="preserve">. </w:t>
      </w:r>
      <w:r w:rsidR="005164F0">
        <w:rPr>
          <w:color w:val="7030A0"/>
        </w:rPr>
        <w:t xml:space="preserve">In </w:t>
      </w:r>
      <w:r w:rsidR="007F29B3">
        <w:rPr>
          <w:color w:val="7030A0"/>
        </w:rPr>
        <w:t>the long</w:t>
      </w:r>
      <w:r w:rsidR="005164F0">
        <w:rPr>
          <w:color w:val="7030A0"/>
        </w:rPr>
        <w:t xml:space="preserve"> term</w:t>
      </w:r>
      <w:r w:rsidR="00FC27E6">
        <w:rPr>
          <w:color w:val="7030A0"/>
        </w:rPr>
        <w:t xml:space="preserve">, in response to inflation shock, </w:t>
      </w:r>
      <w:r w:rsidR="005164F0">
        <w:rPr>
          <w:color w:val="7030A0"/>
        </w:rPr>
        <w:t>t</w:t>
      </w:r>
      <w:r w:rsidR="00501802">
        <w:rPr>
          <w:color w:val="7030A0"/>
        </w:rPr>
        <w:t xml:space="preserve">hey might </w:t>
      </w:r>
      <w:r w:rsidR="005164F0">
        <w:rPr>
          <w:color w:val="7030A0"/>
        </w:rPr>
        <w:t>d</w:t>
      </w:r>
      <w:r w:rsidR="005164F0" w:rsidRPr="005164F0">
        <w:rPr>
          <w:color w:val="7030A0"/>
        </w:rPr>
        <w:t>iversify supply chains</w:t>
      </w:r>
      <w:r w:rsidR="005164F0">
        <w:rPr>
          <w:color w:val="7030A0"/>
        </w:rPr>
        <w:t xml:space="preserve"> </w:t>
      </w:r>
      <w:r w:rsidR="005164F0" w:rsidRPr="005164F0">
        <w:rPr>
          <w:color w:val="7030A0"/>
        </w:rPr>
        <w:t xml:space="preserve">to reduce their reliance on suppliers </w:t>
      </w:r>
      <w:r w:rsidR="00FC27E6">
        <w:rPr>
          <w:color w:val="7030A0"/>
        </w:rPr>
        <w:t>within the country</w:t>
      </w:r>
      <w:r w:rsidR="005A20DB">
        <w:rPr>
          <w:color w:val="7030A0"/>
        </w:rPr>
        <w:t xml:space="preserve"> or </w:t>
      </w:r>
      <w:r w:rsidR="00702C7B">
        <w:rPr>
          <w:color w:val="7030A0"/>
        </w:rPr>
        <w:t>use</w:t>
      </w:r>
      <w:r w:rsidR="008A3139">
        <w:rPr>
          <w:color w:val="7030A0"/>
        </w:rPr>
        <w:t xml:space="preserve"> </w:t>
      </w:r>
      <w:r w:rsidR="005A20DB" w:rsidRPr="005A20DB">
        <w:rPr>
          <w:color w:val="7030A0"/>
        </w:rPr>
        <w:t>financial instruments such as futures or options to hedge against inflation risk</w:t>
      </w:r>
      <w:r w:rsidR="008A3139">
        <w:rPr>
          <w:color w:val="7030A0"/>
        </w:rPr>
        <w:t>.</w:t>
      </w:r>
    </w:p>
    <w:p w14:paraId="1503C099" w14:textId="69F2F13B" w:rsidR="009F1FC2" w:rsidRPr="009F1FC2" w:rsidRDefault="00AE1C13" w:rsidP="002375E9">
      <w:pPr>
        <w:spacing w:before="240"/>
        <w:ind w:firstLine="720"/>
        <w:jc w:val="both"/>
        <w:rPr>
          <w:color w:val="7030A0"/>
        </w:rPr>
      </w:pPr>
      <w:r w:rsidRPr="00AE1C13">
        <w:rPr>
          <w:color w:val="7030A0"/>
        </w:rPr>
        <w:t>It bears mentioning that</w:t>
      </w:r>
      <w:r>
        <w:rPr>
          <w:color w:val="7030A0"/>
        </w:rPr>
        <w:t xml:space="preserve"> o</w:t>
      </w:r>
      <w:r w:rsidRPr="009F1FC2">
        <w:rPr>
          <w:color w:val="7030A0"/>
        </w:rPr>
        <w:t>ur analyses have been limited to VAR models, and exploring other methodologies such as extreme value theory or spillover methods may provide alternative insights.</w:t>
      </w:r>
      <w:r w:rsidR="002375E9">
        <w:rPr>
          <w:color w:val="7030A0"/>
        </w:rPr>
        <w:t xml:space="preserve"> In addition, s</w:t>
      </w:r>
      <w:r w:rsidR="009F1FC2" w:rsidRPr="009F1FC2">
        <w:rPr>
          <w:color w:val="7030A0"/>
        </w:rPr>
        <w:t xml:space="preserve">ince we have only studied one country, it is important to note that the findings may not be </w:t>
      </w:r>
      <w:r w:rsidR="00CD7EF4">
        <w:rPr>
          <w:color w:val="7030A0"/>
        </w:rPr>
        <w:t>generalizable</w:t>
      </w:r>
      <w:r w:rsidR="009F1FC2" w:rsidRPr="009F1FC2">
        <w:rPr>
          <w:color w:val="7030A0"/>
        </w:rPr>
        <w:t xml:space="preserve"> to other countries or regions, and further research may be necessary to validate the results in other contexts.</w:t>
      </w:r>
      <w:r w:rsidR="006163CC">
        <w:rPr>
          <w:color w:val="7030A0"/>
        </w:rPr>
        <w:t xml:space="preserve"> Also</w:t>
      </w:r>
      <w:r w:rsidR="007E6580">
        <w:rPr>
          <w:color w:val="7030A0"/>
        </w:rPr>
        <w:t>,</w:t>
      </w:r>
      <w:r w:rsidR="006163CC">
        <w:rPr>
          <w:color w:val="7030A0"/>
        </w:rPr>
        <w:t xml:space="preserve"> </w:t>
      </w:r>
      <w:r w:rsidR="007E6580">
        <w:rPr>
          <w:color w:val="7030A0"/>
        </w:rPr>
        <w:t>t</w:t>
      </w:r>
      <w:r w:rsidR="006163CC" w:rsidRPr="009F1FC2">
        <w:rPr>
          <w:color w:val="7030A0"/>
        </w:rPr>
        <w:t xml:space="preserve">he findings in our study are based solely on data from 2010 to 2022, which represents a limited time frame, and caution should be exercised when interpreting the results in the context of different time frames. </w:t>
      </w:r>
      <w:r w:rsidR="00347839" w:rsidRPr="00347839">
        <w:rPr>
          <w:color w:val="7030A0"/>
        </w:rPr>
        <w:t>To establish the consistency of the results over an extended period, additional research is required.</w:t>
      </w:r>
    </w:p>
    <w:p w14:paraId="4C0060C2" w14:textId="77777777" w:rsidR="009F1FC2" w:rsidRPr="009F1FC2" w:rsidRDefault="009F1FC2" w:rsidP="009F1FC2">
      <w:pPr>
        <w:spacing w:before="240"/>
        <w:ind w:firstLine="720"/>
        <w:jc w:val="both"/>
        <w:rPr>
          <w:color w:val="7030A0"/>
        </w:rPr>
      </w:pPr>
    </w:p>
    <w:p w14:paraId="35D4FD1C" w14:textId="77777777" w:rsidR="00B2409A" w:rsidRPr="00B2409A" w:rsidRDefault="00B2409A" w:rsidP="00B2409A">
      <w:pPr>
        <w:spacing w:before="240"/>
        <w:ind w:firstLine="720"/>
        <w:jc w:val="both"/>
        <w:rPr>
          <w:color w:val="7030A0"/>
        </w:rPr>
      </w:pPr>
    </w:p>
    <w:p w14:paraId="46FEF71C" w14:textId="77777777" w:rsidR="00B2409A" w:rsidRPr="00B2409A" w:rsidRDefault="00B2409A" w:rsidP="00B2409A">
      <w:pPr>
        <w:spacing w:before="240"/>
        <w:ind w:firstLine="720"/>
        <w:jc w:val="both"/>
        <w:rPr>
          <w:color w:val="7030A0"/>
        </w:rPr>
      </w:pPr>
    </w:p>
    <w:p w14:paraId="3E5AC224" w14:textId="77777777" w:rsidR="00B2409A" w:rsidRPr="00B2409A" w:rsidRDefault="00B2409A" w:rsidP="00B2409A">
      <w:pPr>
        <w:spacing w:before="240"/>
        <w:ind w:firstLine="720"/>
        <w:jc w:val="both"/>
        <w:rPr>
          <w:color w:val="7030A0"/>
        </w:rPr>
      </w:pPr>
    </w:p>
    <w:p w14:paraId="3AD6B82B" w14:textId="77777777" w:rsidR="00B2409A" w:rsidRDefault="00B2409A" w:rsidP="00B2409A">
      <w:pPr>
        <w:spacing w:before="240"/>
        <w:ind w:firstLine="720"/>
        <w:jc w:val="both"/>
        <w:rPr>
          <w:color w:val="7030A0"/>
        </w:rPr>
      </w:pPr>
    </w:p>
    <w:p w14:paraId="1736C05C" w14:textId="77777777" w:rsidR="00536C07" w:rsidRDefault="00536C07" w:rsidP="00B2409A">
      <w:pPr>
        <w:spacing w:before="240"/>
        <w:ind w:firstLine="720"/>
        <w:jc w:val="both"/>
        <w:rPr>
          <w:color w:val="7030A0"/>
        </w:rPr>
      </w:pPr>
    </w:p>
    <w:p w14:paraId="47C2376D" w14:textId="77777777" w:rsidR="00536C07" w:rsidRDefault="00536C07" w:rsidP="00B2409A">
      <w:pPr>
        <w:spacing w:before="240"/>
        <w:ind w:firstLine="720"/>
        <w:jc w:val="both"/>
        <w:rPr>
          <w:color w:val="7030A0"/>
        </w:rPr>
      </w:pPr>
    </w:p>
    <w:p w14:paraId="0BB8C8A6" w14:textId="77777777" w:rsidR="00536C07" w:rsidRDefault="00536C07" w:rsidP="00B2409A">
      <w:pPr>
        <w:spacing w:before="240"/>
        <w:ind w:firstLine="720"/>
        <w:jc w:val="both"/>
        <w:rPr>
          <w:color w:val="7030A0"/>
        </w:rPr>
      </w:pPr>
    </w:p>
    <w:p w14:paraId="015C5F1B" w14:textId="77777777" w:rsidR="00524A6A" w:rsidRPr="00B2409A" w:rsidRDefault="00524A6A" w:rsidP="00B2409A">
      <w:pPr>
        <w:spacing w:before="240"/>
        <w:ind w:firstLine="720"/>
        <w:jc w:val="both"/>
        <w:rPr>
          <w:color w:val="7030A0"/>
        </w:rPr>
      </w:pPr>
    </w:p>
    <w:p w14:paraId="0079B6F7" w14:textId="77777777" w:rsidR="000A3F5B" w:rsidRDefault="000A3F5B">
      <w:pPr>
        <w:rPr>
          <w:rFonts w:eastAsiaTheme="majorEastAsia" w:cstheme="majorBidi"/>
          <w:b/>
          <w:szCs w:val="40"/>
        </w:rPr>
      </w:pPr>
      <w:r>
        <w:rPr>
          <w:b/>
        </w:rPr>
        <w:br w:type="page"/>
      </w:r>
    </w:p>
    <w:p w14:paraId="0000006B" w14:textId="42F307A9" w:rsidR="00083006" w:rsidRPr="00CC0F64" w:rsidRDefault="0080383E">
      <w:pPr>
        <w:pStyle w:val="Heading1"/>
        <w:spacing w:after="240"/>
        <w:rPr>
          <w:b/>
        </w:rPr>
      </w:pPr>
      <w:r w:rsidRPr="00CC0F64">
        <w:rPr>
          <w:b/>
        </w:rPr>
        <w:lastRenderedPageBreak/>
        <w:t>References</w:t>
      </w:r>
    </w:p>
    <w:p w14:paraId="0000006C" w14:textId="77777777" w:rsidR="00083006" w:rsidRPr="0080383E" w:rsidRDefault="0080383E">
      <w:pPr>
        <w:widowControl w:val="0"/>
        <w:ind w:left="720" w:hanging="720"/>
      </w:pPr>
      <w:bookmarkStart w:id="9" w:name="_heading=h.3dy6vkm" w:colFirst="0" w:colLast="0"/>
      <w:bookmarkEnd w:id="9"/>
      <w:r w:rsidRPr="0080383E">
        <w:t xml:space="preserve">Acheampong, A.O., </w:t>
      </w:r>
      <w:proofErr w:type="spellStart"/>
      <w:r w:rsidRPr="0080383E">
        <w:t>Dzator</w:t>
      </w:r>
      <w:proofErr w:type="spellEnd"/>
      <w:r w:rsidRPr="0080383E">
        <w:t xml:space="preserve">, J., </w:t>
      </w:r>
      <w:proofErr w:type="spellStart"/>
      <w:r w:rsidRPr="0080383E">
        <w:t>Dzator</w:t>
      </w:r>
      <w:proofErr w:type="spellEnd"/>
      <w:r w:rsidRPr="0080383E">
        <w:t xml:space="preserve">, M. and Salim, R. (2022). Unveiling the effect of transport infrastructure and technological innovation on economic growth, energy consumption and CO2 emissions. </w:t>
      </w:r>
      <w:r w:rsidRPr="0080383E">
        <w:rPr>
          <w:i/>
        </w:rPr>
        <w:t>Technological Forecasting and Social Change</w:t>
      </w:r>
      <w:r w:rsidRPr="0080383E">
        <w:t>, 182, p.121843. doi:</w:t>
      </w:r>
      <w:hyperlink r:id="rId15">
        <w:r w:rsidRPr="0080383E">
          <w:t>10.1016/j.techfore.2022.121843</w:t>
        </w:r>
      </w:hyperlink>
      <w:r w:rsidRPr="0080383E">
        <w:t>.</w:t>
      </w:r>
    </w:p>
    <w:p w14:paraId="3855BE77" w14:textId="77777777" w:rsidR="002F3164" w:rsidRPr="00451057" w:rsidRDefault="002F3164" w:rsidP="002F3164">
      <w:pPr>
        <w:widowControl w:val="0"/>
        <w:ind w:left="720" w:hanging="720"/>
        <w:rPr>
          <w:color w:val="FF3399"/>
          <w:lang w:val="de-DE"/>
        </w:rPr>
      </w:pPr>
      <w:r w:rsidRPr="00490087">
        <w:rPr>
          <w:color w:val="FF3399"/>
        </w:rPr>
        <w:t xml:space="preserve">Adedeji, A. M., Ahmed, F. F. and Adam, S. U. (2021). Examining the dynamic effect of COVID-19 pandemic on dwindling oil prices using structural vector autoregressive model. </w:t>
      </w:r>
      <w:r w:rsidRPr="00451057">
        <w:rPr>
          <w:i/>
          <w:iCs/>
          <w:color w:val="FF3399"/>
          <w:lang w:val="de-DE"/>
        </w:rPr>
        <w:t xml:space="preserve">Energy, </w:t>
      </w:r>
      <w:r w:rsidRPr="00451057">
        <w:rPr>
          <w:color w:val="FF3399"/>
          <w:lang w:val="de-DE"/>
        </w:rPr>
        <w:t>230, p.120813.</w:t>
      </w:r>
    </w:p>
    <w:p w14:paraId="66096CB5" w14:textId="0E79BEF1" w:rsidR="00322BC0" w:rsidRPr="0080383E" w:rsidRDefault="00322BC0">
      <w:pPr>
        <w:widowControl w:val="0"/>
        <w:ind w:left="720" w:hanging="720"/>
        <w:rPr>
          <w:color w:val="00B050"/>
        </w:rPr>
      </w:pPr>
      <w:r w:rsidRPr="00451057">
        <w:rPr>
          <w:color w:val="00B050"/>
          <w:shd w:val="clear" w:color="auto" w:fill="FFFFFF"/>
          <w:lang w:val="de-DE"/>
        </w:rPr>
        <w:t xml:space="preserve">Alstadheim, R., Bjørnland, H.C. and Maih, J., 2021. </w:t>
      </w:r>
      <w:r w:rsidRPr="0080383E">
        <w:rPr>
          <w:color w:val="00B050"/>
          <w:shd w:val="clear" w:color="auto" w:fill="FFFFFF"/>
        </w:rPr>
        <w:t>Do central banks respond to exchange rate movements? A Markov-switching structural investigation of commodity exporters and importers. </w:t>
      </w:r>
      <w:r w:rsidRPr="0080383E">
        <w:rPr>
          <w:i/>
          <w:iCs/>
          <w:color w:val="00B050"/>
          <w:shd w:val="clear" w:color="auto" w:fill="FFFFFF"/>
        </w:rPr>
        <w:t>Energy Economics</w:t>
      </w:r>
      <w:r w:rsidRPr="0080383E">
        <w:rPr>
          <w:color w:val="00B050"/>
          <w:shd w:val="clear" w:color="auto" w:fill="FFFFFF"/>
        </w:rPr>
        <w:t>, </w:t>
      </w:r>
      <w:r w:rsidRPr="0080383E">
        <w:rPr>
          <w:i/>
          <w:iCs/>
          <w:color w:val="00B050"/>
          <w:shd w:val="clear" w:color="auto" w:fill="FFFFFF"/>
        </w:rPr>
        <w:t>96</w:t>
      </w:r>
      <w:r w:rsidRPr="0080383E">
        <w:rPr>
          <w:color w:val="00B050"/>
          <w:shd w:val="clear" w:color="auto" w:fill="FFFFFF"/>
        </w:rPr>
        <w:t>, p.105138.</w:t>
      </w:r>
    </w:p>
    <w:p w14:paraId="0000006D" w14:textId="2BE75DE2" w:rsidR="00083006" w:rsidRPr="0080383E" w:rsidRDefault="0080383E">
      <w:pPr>
        <w:widowControl w:val="0"/>
        <w:ind w:left="720" w:hanging="720"/>
      </w:pPr>
      <w:r w:rsidRPr="0080383E">
        <w:t xml:space="preserve">Baek, J. and Yoon, J.H. (2022). Do macroeconomic activities respond differently to oil price shocks? New evidence from Indonesia. </w:t>
      </w:r>
      <w:r w:rsidRPr="0080383E">
        <w:rPr>
          <w:i/>
        </w:rPr>
        <w:t>Economic Analysis and Policy</w:t>
      </w:r>
      <w:r w:rsidRPr="0080383E">
        <w:t>, 76, pp.852–862. doi:</w:t>
      </w:r>
      <w:hyperlink r:id="rId16">
        <w:r w:rsidRPr="0080383E">
          <w:t>10.1016/j.eap.2022.09.023</w:t>
        </w:r>
      </w:hyperlink>
      <w:r w:rsidRPr="0080383E">
        <w:t>.</w:t>
      </w:r>
    </w:p>
    <w:p w14:paraId="2CFD31A8" w14:textId="77777777" w:rsidR="002F3164" w:rsidRPr="00C210B1" w:rsidRDefault="002F3164" w:rsidP="002F3164">
      <w:pPr>
        <w:widowControl w:val="0"/>
        <w:ind w:left="720" w:hanging="720"/>
        <w:rPr>
          <w:color w:val="FF3399"/>
        </w:rPr>
      </w:pPr>
      <w:proofErr w:type="spellStart"/>
      <w:r w:rsidRPr="00C210B1">
        <w:rPr>
          <w:color w:val="FF3399"/>
        </w:rPr>
        <w:t>Balcilar</w:t>
      </w:r>
      <w:proofErr w:type="spellEnd"/>
      <w:r w:rsidRPr="00C210B1">
        <w:rPr>
          <w:color w:val="FF3399"/>
        </w:rPr>
        <w:t xml:space="preserve">, M., Gupta, R. and Jooste, C. (2017). The growth-inflation nexus for the U.S. from 1801 to 2013: A semiparametric approach. </w:t>
      </w:r>
      <w:r w:rsidRPr="00C210B1">
        <w:rPr>
          <w:i/>
          <w:iCs/>
          <w:color w:val="FF3399"/>
        </w:rPr>
        <w:t xml:space="preserve">Journal of Applied Economics, </w:t>
      </w:r>
      <w:r w:rsidRPr="00C210B1">
        <w:rPr>
          <w:color w:val="FF3399"/>
        </w:rPr>
        <w:t>20(1), pp. 105-120.</w:t>
      </w:r>
    </w:p>
    <w:p w14:paraId="2CB7B21A" w14:textId="1AB92E66" w:rsidR="00D44820" w:rsidRPr="0080383E" w:rsidRDefault="00D44820">
      <w:pPr>
        <w:pBdr>
          <w:top w:val="nil"/>
          <w:left w:val="nil"/>
          <w:bottom w:val="nil"/>
          <w:right w:val="nil"/>
          <w:between w:val="nil"/>
        </w:pBdr>
        <w:ind w:left="720" w:hanging="720"/>
        <w:jc w:val="both"/>
        <w:rPr>
          <w:color w:val="00B050"/>
        </w:rPr>
      </w:pPr>
      <w:r w:rsidRPr="0080383E">
        <w:rPr>
          <w:color w:val="00B050"/>
        </w:rPr>
        <w:t xml:space="preserve">Bank of England. (2021). Monetary Policy Report - August 2021. </w:t>
      </w:r>
      <w:r w:rsidR="00DF4199" w:rsidRPr="0080383E">
        <w:rPr>
          <w:i/>
          <w:iCs/>
          <w:color w:val="00B050"/>
        </w:rPr>
        <w:t xml:space="preserve">Bank of England – Monetary Policy Committee. </w:t>
      </w:r>
      <w:r w:rsidR="00DF4199" w:rsidRPr="0080383E">
        <w:rPr>
          <w:color w:val="00B050"/>
        </w:rPr>
        <w:t>Available online:</w:t>
      </w:r>
      <w:r w:rsidRPr="0080383E">
        <w:rPr>
          <w:color w:val="00B050"/>
        </w:rPr>
        <w:t xml:space="preserve"> </w:t>
      </w:r>
      <w:hyperlink r:id="rId17" w:history="1">
        <w:r w:rsidR="00DF4199" w:rsidRPr="0080383E">
          <w:rPr>
            <w:rStyle w:val="Hyperlink"/>
            <w:color w:val="00B050"/>
          </w:rPr>
          <w:t>https://www.bankofengland.co.uk/-/media/boe/files/monetary-policy-report/2021/august/monetary-policy-report-august-2021</w:t>
        </w:r>
      </w:hyperlink>
      <w:r w:rsidR="00DF4199" w:rsidRPr="0080383E">
        <w:rPr>
          <w:color w:val="00B050"/>
        </w:rPr>
        <w:t xml:space="preserve"> </w:t>
      </w:r>
    </w:p>
    <w:p w14:paraId="0000006E" w14:textId="2BA9D0B0" w:rsidR="00083006" w:rsidRPr="0080383E" w:rsidRDefault="0080383E">
      <w:pPr>
        <w:pBdr>
          <w:top w:val="nil"/>
          <w:left w:val="nil"/>
          <w:bottom w:val="nil"/>
          <w:right w:val="nil"/>
          <w:between w:val="nil"/>
        </w:pBdr>
        <w:ind w:left="720" w:hanging="720"/>
        <w:jc w:val="both"/>
      </w:pPr>
      <w:proofErr w:type="spellStart"/>
      <w:r w:rsidRPr="0080383E">
        <w:t>Bernoth</w:t>
      </w:r>
      <w:proofErr w:type="spellEnd"/>
      <w:r w:rsidRPr="0080383E">
        <w:t xml:space="preserve">, K. and </w:t>
      </w:r>
      <w:proofErr w:type="spellStart"/>
      <w:r w:rsidRPr="0080383E">
        <w:t>Ider</w:t>
      </w:r>
      <w:proofErr w:type="spellEnd"/>
      <w:r w:rsidRPr="0080383E">
        <w:t xml:space="preserve">, G., (2021). Inflation in the euro area: Factors mostly have only a temporary effect, but risk of prolonged elevated inflation remains. </w:t>
      </w:r>
      <w:r w:rsidRPr="0080383E">
        <w:rPr>
          <w:i/>
        </w:rPr>
        <w:t>DIW Weekly Report,</w:t>
      </w:r>
      <w:r w:rsidRPr="0080383E">
        <w:t xml:space="preserve"> 11(41/42), pp.315-323.</w:t>
      </w:r>
    </w:p>
    <w:p w14:paraId="0000006F" w14:textId="77777777" w:rsidR="00083006" w:rsidRPr="0080383E" w:rsidRDefault="0080383E">
      <w:pPr>
        <w:widowControl w:val="0"/>
        <w:ind w:left="720" w:hanging="720"/>
      </w:pPr>
      <w:r w:rsidRPr="0080383E">
        <w:t xml:space="preserve">Buhari, D.O.Ğ.A.N., Lorente, D.B. and Ali Nasir, M. (2020). European commitment to </w:t>
      </w:r>
      <w:r w:rsidRPr="0080383E">
        <w:lastRenderedPageBreak/>
        <w:t xml:space="preserve">COP21 and the role of energy consumption, FDI, trade and economic complexity in sustaining economic growth. </w:t>
      </w:r>
      <w:r w:rsidRPr="0080383E">
        <w:rPr>
          <w:i/>
        </w:rPr>
        <w:t>Journal of Environmental Management</w:t>
      </w:r>
      <w:r w:rsidRPr="0080383E">
        <w:t>, [online] 273, p.111146. doi:</w:t>
      </w:r>
      <w:hyperlink r:id="rId18">
        <w:r w:rsidRPr="0080383E">
          <w:t>10.1016/j.jenvman.2020.111146</w:t>
        </w:r>
      </w:hyperlink>
      <w:r w:rsidRPr="0080383E">
        <w:t>.</w:t>
      </w:r>
    </w:p>
    <w:p w14:paraId="60E09029" w14:textId="77777777" w:rsidR="002F3164" w:rsidRPr="0080383E" w:rsidRDefault="002F3164" w:rsidP="002F3164">
      <w:pPr>
        <w:pBdr>
          <w:top w:val="nil"/>
          <w:left w:val="nil"/>
          <w:bottom w:val="nil"/>
          <w:right w:val="nil"/>
          <w:between w:val="nil"/>
        </w:pBdr>
        <w:ind w:left="720" w:hanging="720"/>
        <w:jc w:val="both"/>
      </w:pPr>
      <w:r w:rsidRPr="0080383E">
        <w:t xml:space="preserve">Blot, C., </w:t>
      </w:r>
      <w:proofErr w:type="spellStart"/>
      <w:r w:rsidRPr="0080383E">
        <w:t>Bozou</w:t>
      </w:r>
      <w:proofErr w:type="spellEnd"/>
      <w:r w:rsidRPr="0080383E">
        <w:t>, C. and Creel, J., (2022). Inflation expectations in the euro area: trends and policy considerations. Retrieved from</w:t>
      </w:r>
    </w:p>
    <w:p w14:paraId="220770FA" w14:textId="77777777" w:rsidR="002F3164" w:rsidRPr="0080383E" w:rsidRDefault="002F3164" w:rsidP="002F3164">
      <w:pPr>
        <w:pBdr>
          <w:top w:val="nil"/>
          <w:left w:val="nil"/>
          <w:bottom w:val="nil"/>
          <w:right w:val="nil"/>
          <w:between w:val="nil"/>
        </w:pBdr>
        <w:ind w:left="720" w:hanging="720"/>
        <w:jc w:val="both"/>
      </w:pPr>
      <w:r w:rsidRPr="0080383E">
        <w:t xml:space="preserve"> https://www.europarl.europa.eu/thinktank/en/document/IPOL_IDA(2022)703341 (accessed 18 December 2022).</w:t>
      </w:r>
    </w:p>
    <w:p w14:paraId="00000070" w14:textId="77777777" w:rsidR="00083006" w:rsidRPr="0080383E" w:rsidRDefault="0080383E">
      <w:pPr>
        <w:widowControl w:val="0"/>
        <w:ind w:left="720" w:hanging="720"/>
      </w:pPr>
      <w:r w:rsidRPr="0080383E">
        <w:t>Casas, I., Fernandez-</w:t>
      </w:r>
      <w:proofErr w:type="spellStart"/>
      <w:r w:rsidRPr="0080383E">
        <w:t>Casal</w:t>
      </w:r>
      <w:proofErr w:type="spellEnd"/>
      <w:r w:rsidRPr="0080383E">
        <w:t xml:space="preserve">, R., (2019). </w:t>
      </w:r>
      <w:proofErr w:type="spellStart"/>
      <w:r w:rsidRPr="0080383E">
        <w:t>tvReg</w:t>
      </w:r>
      <w:proofErr w:type="spellEnd"/>
      <w:r w:rsidRPr="0080383E">
        <w:t xml:space="preserve">: Time-varying coefficient linear regression for single and multi-equations in R. Retrieved from </w:t>
      </w:r>
      <w:hyperlink r:id="rId19">
        <w:r w:rsidRPr="0080383E">
          <w:rPr>
            <w:u w:val="single"/>
          </w:rPr>
          <w:t>https://ssrn.com/abstract=3363526</w:t>
        </w:r>
      </w:hyperlink>
      <w:r w:rsidRPr="0080383E">
        <w:t xml:space="preserve"> (accessed 6 November 2022).</w:t>
      </w:r>
    </w:p>
    <w:p w14:paraId="6727C764" w14:textId="77777777" w:rsidR="002F3164" w:rsidRPr="00490087" w:rsidRDefault="002F3164" w:rsidP="002F3164">
      <w:pPr>
        <w:pBdr>
          <w:top w:val="nil"/>
          <w:left w:val="nil"/>
          <w:bottom w:val="nil"/>
          <w:right w:val="nil"/>
          <w:between w:val="nil"/>
        </w:pBdr>
        <w:ind w:left="720" w:hanging="720"/>
        <w:jc w:val="both"/>
        <w:rPr>
          <w:color w:val="FF3399"/>
        </w:rPr>
      </w:pPr>
      <w:bookmarkStart w:id="10" w:name="_heading=h.4d34og8" w:colFirst="0" w:colLast="0"/>
      <w:bookmarkEnd w:id="10"/>
      <w:r w:rsidRPr="00490087">
        <w:rPr>
          <w:color w:val="FF3399"/>
        </w:rPr>
        <w:t>Chandra, S. R. and Al-</w:t>
      </w:r>
      <w:proofErr w:type="spellStart"/>
      <w:r w:rsidRPr="00490087">
        <w:rPr>
          <w:color w:val="FF3399"/>
        </w:rPr>
        <w:t>Deek</w:t>
      </w:r>
      <w:proofErr w:type="spellEnd"/>
      <w:r w:rsidRPr="00490087">
        <w:rPr>
          <w:color w:val="FF3399"/>
        </w:rPr>
        <w:t xml:space="preserve">, H. (2014). Predictions of freeway traffic speeds and volumes using vector autoregressive models. </w:t>
      </w:r>
      <w:r w:rsidRPr="00490087">
        <w:rPr>
          <w:i/>
          <w:iCs/>
          <w:color w:val="FF3399"/>
        </w:rPr>
        <w:t>Journal of Intelligent Transportation Systems</w:t>
      </w:r>
      <w:r w:rsidRPr="00490087">
        <w:rPr>
          <w:color w:val="FF3399"/>
        </w:rPr>
        <w:t>, 13(2), pp. 53–72.</w:t>
      </w:r>
    </w:p>
    <w:p w14:paraId="00000073" w14:textId="77777777" w:rsidR="00083006" w:rsidRPr="0080383E" w:rsidRDefault="0080383E">
      <w:pPr>
        <w:widowControl w:val="0"/>
        <w:ind w:left="720" w:hanging="720"/>
      </w:pPr>
      <w:proofErr w:type="spellStart"/>
      <w:r w:rsidRPr="0080383E">
        <w:t>Charfeddine</w:t>
      </w:r>
      <w:proofErr w:type="spellEnd"/>
      <w:r w:rsidRPr="0080383E">
        <w:t xml:space="preserve">, L. and Barkat, K. (2020). Short- and long-run asymmetric effect of oil prices and oil and gas revenues on the real GDP and economic diversification in oil-dependent economy. </w:t>
      </w:r>
      <w:r w:rsidRPr="0080383E">
        <w:rPr>
          <w:i/>
        </w:rPr>
        <w:t>Energy Economics</w:t>
      </w:r>
      <w:r w:rsidRPr="0080383E">
        <w:t>, 86, p.104680. doi:</w:t>
      </w:r>
      <w:hyperlink r:id="rId20">
        <w:r w:rsidRPr="0080383E">
          <w:t>10.1016/j.eneco.2020.104680</w:t>
        </w:r>
      </w:hyperlink>
      <w:r w:rsidRPr="0080383E">
        <w:t>.</w:t>
      </w:r>
    </w:p>
    <w:p w14:paraId="00000074" w14:textId="77777777" w:rsidR="00083006" w:rsidRPr="00451057" w:rsidRDefault="0080383E">
      <w:pPr>
        <w:widowControl w:val="0"/>
        <w:ind w:left="720" w:hanging="720"/>
        <w:rPr>
          <w:lang w:val="en-GB"/>
        </w:rPr>
      </w:pPr>
      <w:proofErr w:type="spellStart"/>
      <w:r w:rsidRPr="0080383E">
        <w:t>Cukrowski</w:t>
      </w:r>
      <w:proofErr w:type="spellEnd"/>
      <w:r w:rsidRPr="0080383E">
        <w:t xml:space="preserve">, J. (2004). Russian oil: the role of the sector in Russia’s economy. </w:t>
      </w:r>
      <w:r w:rsidRPr="00451057">
        <w:rPr>
          <w:i/>
          <w:lang w:val="en-GB"/>
        </w:rPr>
        <w:t>Post-Communist Economies</w:t>
      </w:r>
      <w:r w:rsidRPr="00451057">
        <w:rPr>
          <w:lang w:val="en-GB"/>
        </w:rPr>
        <w:t>, 16(3), pp.285–296. doi:</w:t>
      </w:r>
      <w:hyperlink r:id="rId21">
        <w:r w:rsidRPr="00451057">
          <w:rPr>
            <w:lang w:val="en-GB"/>
          </w:rPr>
          <w:t>10.1080/1463137042000257528</w:t>
        </w:r>
      </w:hyperlink>
      <w:r w:rsidRPr="00451057">
        <w:rPr>
          <w:lang w:val="en-GB"/>
        </w:rPr>
        <w:t>.</w:t>
      </w:r>
    </w:p>
    <w:p w14:paraId="38A93284" w14:textId="77777777" w:rsidR="002F3164" w:rsidRPr="00451057" w:rsidRDefault="002F3164" w:rsidP="002F3164">
      <w:pPr>
        <w:widowControl w:val="0"/>
        <w:ind w:left="720" w:hanging="720"/>
        <w:jc w:val="thaiDistribute"/>
        <w:rPr>
          <w:color w:val="FF3399"/>
          <w:lang w:val="en-GB"/>
        </w:rPr>
      </w:pPr>
      <w:r w:rsidRPr="00490087">
        <w:rPr>
          <w:color w:val="FF3399"/>
        </w:rPr>
        <w:t>Enders, W. (1995). Applied time series econometrics. New York, NY: John Wiley and Sons.</w:t>
      </w:r>
    </w:p>
    <w:p w14:paraId="00000075" w14:textId="77777777" w:rsidR="00083006" w:rsidRPr="0080383E" w:rsidRDefault="0080383E">
      <w:pPr>
        <w:pBdr>
          <w:top w:val="nil"/>
          <w:left w:val="nil"/>
          <w:bottom w:val="nil"/>
          <w:right w:val="nil"/>
          <w:between w:val="nil"/>
        </w:pBdr>
        <w:ind w:left="720" w:hanging="720"/>
        <w:jc w:val="both"/>
      </w:pPr>
      <w:r w:rsidRPr="00451057">
        <w:rPr>
          <w:lang w:val="en-GB"/>
        </w:rPr>
        <w:t xml:space="preserve">Engle, R. F., Granger, C. W., (1987). </w:t>
      </w:r>
      <w:r w:rsidRPr="0080383E">
        <w:t xml:space="preserve">Co-integration and error correction: Representation, estimation, and testing. </w:t>
      </w:r>
      <w:proofErr w:type="spellStart"/>
      <w:r w:rsidRPr="0080383E">
        <w:t>Econometrica</w:t>
      </w:r>
      <w:proofErr w:type="spellEnd"/>
      <w:r w:rsidRPr="0080383E">
        <w:t xml:space="preserve">: </w:t>
      </w:r>
      <w:r w:rsidRPr="0080383E">
        <w:rPr>
          <w:i/>
        </w:rPr>
        <w:t xml:space="preserve">Journal of the Econometric Society. </w:t>
      </w:r>
      <w:r w:rsidRPr="0080383E">
        <w:t xml:space="preserve">55(2), 251-276. </w:t>
      </w:r>
    </w:p>
    <w:p w14:paraId="00000076" w14:textId="77777777" w:rsidR="00083006" w:rsidRPr="0080383E" w:rsidRDefault="0080383E">
      <w:pPr>
        <w:widowControl w:val="0"/>
        <w:ind w:left="720" w:hanging="720"/>
      </w:pPr>
      <w:proofErr w:type="spellStart"/>
      <w:r w:rsidRPr="0080383E">
        <w:t>Esmaeili</w:t>
      </w:r>
      <w:proofErr w:type="spellEnd"/>
      <w:r w:rsidRPr="0080383E">
        <w:t xml:space="preserve">, P. and </w:t>
      </w:r>
      <w:proofErr w:type="spellStart"/>
      <w:r w:rsidRPr="0080383E">
        <w:t>Rafei</w:t>
      </w:r>
      <w:proofErr w:type="spellEnd"/>
      <w:r w:rsidRPr="0080383E">
        <w:t xml:space="preserve">, M. (2021). Dynamics analysis of factors affecting electricity consumption fluctuations based on economic conditions: Application of SVAR and </w:t>
      </w:r>
      <w:r w:rsidRPr="0080383E">
        <w:lastRenderedPageBreak/>
        <w:t xml:space="preserve">TVP-VAR models. </w:t>
      </w:r>
      <w:r w:rsidRPr="0080383E">
        <w:rPr>
          <w:i/>
        </w:rPr>
        <w:t>Energy</w:t>
      </w:r>
      <w:r w:rsidRPr="0080383E">
        <w:t>, 226, p.120340. doi:</w:t>
      </w:r>
      <w:hyperlink r:id="rId22">
        <w:r w:rsidRPr="0080383E">
          <w:t>10.1016/j.energy.2021.120340</w:t>
        </w:r>
      </w:hyperlink>
      <w:r w:rsidRPr="0080383E">
        <w:t>.</w:t>
      </w:r>
    </w:p>
    <w:p w14:paraId="00000077" w14:textId="3074C730" w:rsidR="00083006" w:rsidRPr="0080383E" w:rsidRDefault="0080383E">
      <w:pPr>
        <w:pBdr>
          <w:top w:val="nil"/>
          <w:left w:val="nil"/>
          <w:bottom w:val="nil"/>
          <w:right w:val="nil"/>
          <w:between w:val="nil"/>
        </w:pBdr>
        <w:ind w:left="720" w:hanging="720"/>
        <w:jc w:val="both"/>
      </w:pPr>
      <w:proofErr w:type="spellStart"/>
      <w:r w:rsidRPr="0080383E">
        <w:t>Farzanegan</w:t>
      </w:r>
      <w:proofErr w:type="spellEnd"/>
      <w:r w:rsidRPr="0080383E">
        <w:t xml:space="preserve">, M. R., </w:t>
      </w:r>
      <w:proofErr w:type="spellStart"/>
      <w:r w:rsidRPr="0080383E">
        <w:t>Markwardt</w:t>
      </w:r>
      <w:proofErr w:type="spellEnd"/>
      <w:r w:rsidRPr="0080383E">
        <w:t xml:space="preserve">, G., (2009). The effects of oil price shocks on the Iranian economy. </w:t>
      </w:r>
      <w:r w:rsidRPr="0080383E">
        <w:rPr>
          <w:i/>
        </w:rPr>
        <w:t>Energy Economics.</w:t>
      </w:r>
      <w:r w:rsidRPr="0080383E">
        <w:t xml:space="preserve"> 31(1), 134-151.</w:t>
      </w:r>
    </w:p>
    <w:p w14:paraId="7945D414" w14:textId="77777777" w:rsidR="002F3164" w:rsidRPr="00744447" w:rsidRDefault="002F3164" w:rsidP="002F3164">
      <w:pPr>
        <w:pBdr>
          <w:top w:val="nil"/>
          <w:left w:val="nil"/>
          <w:bottom w:val="nil"/>
          <w:right w:val="nil"/>
          <w:between w:val="nil"/>
        </w:pBdr>
        <w:ind w:left="720" w:hanging="720"/>
        <w:jc w:val="both"/>
        <w:rPr>
          <w:color w:val="FF3399"/>
        </w:rPr>
      </w:pPr>
      <w:r w:rsidRPr="00744447">
        <w:rPr>
          <w:color w:val="FF3399"/>
        </w:rPr>
        <w:t xml:space="preserve">Flynn, D., Moloney, E., Bhattarai, N., Scott, J., </w:t>
      </w:r>
      <w:proofErr w:type="spellStart"/>
      <w:r w:rsidRPr="00744447">
        <w:rPr>
          <w:color w:val="FF3399"/>
        </w:rPr>
        <w:t>Breckons</w:t>
      </w:r>
      <w:proofErr w:type="spellEnd"/>
      <w:r w:rsidRPr="00744447">
        <w:rPr>
          <w:color w:val="FF3399"/>
        </w:rPr>
        <w:t>, M., Avery, L. and Moy, N. (2020)</w:t>
      </w:r>
      <w:r>
        <w:rPr>
          <w:color w:val="FF3399"/>
        </w:rPr>
        <w:t xml:space="preserve">. </w:t>
      </w:r>
      <w:r w:rsidRPr="00744447">
        <w:rPr>
          <w:color w:val="FF3399"/>
        </w:rPr>
        <w:t>COVID-19 pandemic in the United Kingdom</w:t>
      </w:r>
      <w:r>
        <w:rPr>
          <w:color w:val="FF3399"/>
        </w:rPr>
        <w:t xml:space="preserve">. </w:t>
      </w:r>
      <w:r w:rsidRPr="00744447">
        <w:rPr>
          <w:i/>
          <w:iCs/>
          <w:color w:val="FF3399"/>
        </w:rPr>
        <w:t>Health Policy and Technology</w:t>
      </w:r>
      <w:r>
        <w:rPr>
          <w:i/>
          <w:iCs/>
          <w:color w:val="FF3399"/>
        </w:rPr>
        <w:t xml:space="preserve">, </w:t>
      </w:r>
      <w:r w:rsidRPr="00744447">
        <w:rPr>
          <w:color w:val="FF3399"/>
        </w:rPr>
        <w:t>9</w:t>
      </w:r>
      <w:r>
        <w:rPr>
          <w:color w:val="FF3399"/>
        </w:rPr>
        <w:t>, pp. 673-691.</w:t>
      </w:r>
    </w:p>
    <w:p w14:paraId="6EA2BFA6" w14:textId="77777777" w:rsidR="002F3164" w:rsidRDefault="002F3164" w:rsidP="002F3164">
      <w:pPr>
        <w:pBdr>
          <w:top w:val="nil"/>
          <w:left w:val="nil"/>
          <w:bottom w:val="nil"/>
          <w:right w:val="nil"/>
          <w:between w:val="nil"/>
        </w:pBdr>
        <w:ind w:left="720" w:hanging="720"/>
        <w:jc w:val="both"/>
        <w:rPr>
          <w:color w:val="FF3399"/>
        </w:rPr>
      </w:pPr>
      <w:proofErr w:type="spellStart"/>
      <w:r w:rsidRPr="00490087">
        <w:rPr>
          <w:color w:val="FF3399"/>
        </w:rPr>
        <w:t>Freema</w:t>
      </w:r>
      <w:proofErr w:type="spellEnd"/>
      <w:r w:rsidRPr="00490087">
        <w:rPr>
          <w:color w:val="FF3399"/>
        </w:rPr>
        <w:t xml:space="preserve">, J. R., William, J. T. and Lin, T-m. (1989). Vector autoregression and </w:t>
      </w:r>
    </w:p>
    <w:p w14:paraId="0B0A395C" w14:textId="017B34BC" w:rsidR="00E26897" w:rsidRPr="0080383E" w:rsidRDefault="00E26897" w:rsidP="002F3164">
      <w:pPr>
        <w:pBdr>
          <w:top w:val="nil"/>
          <w:left w:val="nil"/>
          <w:bottom w:val="nil"/>
          <w:right w:val="nil"/>
          <w:between w:val="nil"/>
        </w:pBdr>
        <w:ind w:left="720" w:hanging="720"/>
        <w:jc w:val="both"/>
        <w:rPr>
          <w:color w:val="00B050"/>
        </w:rPr>
      </w:pPr>
      <w:r w:rsidRPr="0080383E">
        <w:rPr>
          <w:color w:val="00B050"/>
          <w:shd w:val="clear" w:color="auto" w:fill="FFFFFF"/>
        </w:rPr>
        <w:t>Friedman, M., 1963. </w:t>
      </w:r>
      <w:r w:rsidRPr="0080383E">
        <w:rPr>
          <w:i/>
          <w:iCs/>
          <w:color w:val="00B050"/>
          <w:shd w:val="clear" w:color="auto" w:fill="FFFFFF"/>
        </w:rPr>
        <w:t>Inflation: Causes and consequences</w:t>
      </w:r>
      <w:r w:rsidRPr="0080383E">
        <w:rPr>
          <w:color w:val="00B050"/>
          <w:shd w:val="clear" w:color="auto" w:fill="FFFFFF"/>
        </w:rPr>
        <w:t>. Asia Publishing House.</w:t>
      </w:r>
    </w:p>
    <w:p w14:paraId="00000078" w14:textId="32DCF323" w:rsidR="00083006" w:rsidRPr="0080383E" w:rsidRDefault="0080383E">
      <w:pPr>
        <w:widowControl w:val="0"/>
        <w:ind w:left="720" w:hanging="720"/>
      </w:pPr>
      <w:proofErr w:type="spellStart"/>
      <w:r w:rsidRPr="0080383E">
        <w:t>Galadima</w:t>
      </w:r>
      <w:proofErr w:type="spellEnd"/>
      <w:r w:rsidRPr="0080383E">
        <w:t xml:space="preserve">, M.D. and Aminu, A.W. (2019). Shocks effects of macroeconomic variables on natural gas consumption in Nigeria: Structural VAR with sign restrictions. </w:t>
      </w:r>
      <w:r w:rsidRPr="0080383E">
        <w:rPr>
          <w:i/>
        </w:rPr>
        <w:t>Energy Policy</w:t>
      </w:r>
      <w:r w:rsidRPr="0080383E">
        <w:t>, 125, pp.135–144. doi:</w:t>
      </w:r>
      <w:hyperlink r:id="rId23">
        <w:r w:rsidRPr="0080383E">
          <w:t>10.1016/j.enpol.2018.10.021</w:t>
        </w:r>
      </w:hyperlink>
      <w:r w:rsidRPr="0080383E">
        <w:t>.</w:t>
      </w:r>
    </w:p>
    <w:p w14:paraId="6168463A" w14:textId="4B54592F" w:rsidR="001A2C03" w:rsidRPr="0080383E" w:rsidRDefault="001A2C03">
      <w:pPr>
        <w:widowControl w:val="0"/>
        <w:ind w:left="720" w:hanging="720"/>
        <w:rPr>
          <w:color w:val="00B050"/>
        </w:rPr>
      </w:pPr>
      <w:r w:rsidRPr="0080383E">
        <w:rPr>
          <w:color w:val="00B050"/>
          <w:shd w:val="clear" w:color="auto" w:fill="FFFFFF"/>
        </w:rPr>
        <w:t xml:space="preserve">Goetz, C., </w:t>
      </w:r>
      <w:proofErr w:type="spellStart"/>
      <w:r w:rsidRPr="0080383E">
        <w:rPr>
          <w:color w:val="00B050"/>
          <w:shd w:val="clear" w:color="auto" w:fill="FFFFFF"/>
        </w:rPr>
        <w:t>Miljkovic</w:t>
      </w:r>
      <w:proofErr w:type="spellEnd"/>
      <w:r w:rsidRPr="0080383E">
        <w:rPr>
          <w:color w:val="00B050"/>
          <w:shd w:val="clear" w:color="auto" w:fill="FFFFFF"/>
        </w:rPr>
        <w:t xml:space="preserve">, D. and </w:t>
      </w:r>
      <w:proofErr w:type="spellStart"/>
      <w:r w:rsidRPr="0080383E">
        <w:rPr>
          <w:color w:val="00B050"/>
          <w:shd w:val="clear" w:color="auto" w:fill="FFFFFF"/>
        </w:rPr>
        <w:t>Barabanov</w:t>
      </w:r>
      <w:proofErr w:type="spellEnd"/>
      <w:r w:rsidRPr="0080383E">
        <w:rPr>
          <w:color w:val="00B050"/>
          <w:shd w:val="clear" w:color="auto" w:fill="FFFFFF"/>
        </w:rPr>
        <w:t>, N., 2021. New empirical evidence in support of the theory of price volatility of storable commodities under rational expectations in spot and futures markets. </w:t>
      </w:r>
      <w:r w:rsidRPr="0080383E">
        <w:rPr>
          <w:i/>
          <w:iCs/>
          <w:color w:val="00B050"/>
          <w:shd w:val="clear" w:color="auto" w:fill="FFFFFF"/>
        </w:rPr>
        <w:t>Energy Economics</w:t>
      </w:r>
      <w:r w:rsidRPr="0080383E">
        <w:rPr>
          <w:color w:val="00B050"/>
          <w:shd w:val="clear" w:color="auto" w:fill="FFFFFF"/>
        </w:rPr>
        <w:t>, </w:t>
      </w:r>
      <w:r w:rsidRPr="0080383E">
        <w:rPr>
          <w:i/>
          <w:iCs/>
          <w:color w:val="00B050"/>
          <w:shd w:val="clear" w:color="auto" w:fill="FFFFFF"/>
        </w:rPr>
        <w:t>100</w:t>
      </w:r>
      <w:r w:rsidRPr="0080383E">
        <w:rPr>
          <w:color w:val="00B050"/>
          <w:shd w:val="clear" w:color="auto" w:fill="FFFFFF"/>
        </w:rPr>
        <w:t>, p.105375.</w:t>
      </w:r>
    </w:p>
    <w:p w14:paraId="00000079" w14:textId="77777777" w:rsidR="00083006" w:rsidRPr="0080383E" w:rsidRDefault="0080383E">
      <w:pPr>
        <w:pBdr>
          <w:top w:val="nil"/>
          <w:left w:val="nil"/>
          <w:bottom w:val="nil"/>
          <w:right w:val="nil"/>
          <w:between w:val="nil"/>
        </w:pBdr>
        <w:ind w:left="720" w:hanging="720"/>
        <w:jc w:val="both"/>
      </w:pPr>
      <w:r w:rsidRPr="0080383E">
        <w:t xml:space="preserve">Granger, C. W., (1983). Co-integrated variables and error-correcting models. Discussion Paper 83-13. Department of Economics, University of </w:t>
      </w:r>
      <w:proofErr w:type="gramStart"/>
      <w:r w:rsidRPr="0080383E">
        <w:t>California ,</w:t>
      </w:r>
      <w:proofErr w:type="gramEnd"/>
      <w:r w:rsidRPr="0080383E">
        <w:t xml:space="preserve"> San Diego, CA. </w:t>
      </w:r>
    </w:p>
    <w:p w14:paraId="0000007A" w14:textId="77777777" w:rsidR="00083006" w:rsidRPr="0080383E" w:rsidRDefault="0080383E">
      <w:pPr>
        <w:pBdr>
          <w:top w:val="nil"/>
          <w:left w:val="nil"/>
          <w:bottom w:val="nil"/>
          <w:right w:val="nil"/>
          <w:between w:val="nil"/>
        </w:pBdr>
        <w:ind w:left="720" w:hanging="720"/>
        <w:jc w:val="both"/>
      </w:pPr>
      <w:r w:rsidRPr="0080383E">
        <w:rPr>
          <w:lang w:val="de-DE"/>
        </w:rPr>
        <w:t xml:space="preserve">Granger, C. W., Weiss, A. A., (1983). </w:t>
      </w:r>
      <w:r w:rsidRPr="0080383E">
        <w:t>Time series analysis of error-correction models. In Studies in econometrics, time series, and multivariate statistics (pp. 255-278): Elsevier.</w:t>
      </w:r>
    </w:p>
    <w:p w14:paraId="0000007B" w14:textId="77777777" w:rsidR="00083006" w:rsidRPr="0080383E" w:rsidRDefault="0080383E">
      <w:pPr>
        <w:pBdr>
          <w:top w:val="nil"/>
          <w:left w:val="nil"/>
          <w:bottom w:val="nil"/>
          <w:right w:val="nil"/>
          <w:between w:val="nil"/>
        </w:pBdr>
        <w:ind w:left="720" w:hanging="720"/>
        <w:jc w:val="both"/>
      </w:pPr>
      <w:bookmarkStart w:id="11" w:name="_heading=h.2s8eyo1" w:colFirst="0" w:colLast="0"/>
      <w:bookmarkEnd w:id="11"/>
      <w:r w:rsidRPr="0080383E">
        <w:t xml:space="preserve">Greenwood, J., Huffman, G. W., (1987). A dynamic equilibrium model of inflation and unemployment. </w:t>
      </w:r>
      <w:r w:rsidRPr="0080383E">
        <w:rPr>
          <w:i/>
        </w:rPr>
        <w:t>Journal of Monetary Economics.</w:t>
      </w:r>
      <w:r w:rsidRPr="0080383E">
        <w:t xml:space="preserve"> 19, 203-228.</w:t>
      </w:r>
    </w:p>
    <w:p w14:paraId="0000007C" w14:textId="77777777" w:rsidR="00083006" w:rsidRPr="0080383E" w:rsidRDefault="0080383E">
      <w:pPr>
        <w:pBdr>
          <w:top w:val="nil"/>
          <w:left w:val="nil"/>
          <w:bottom w:val="nil"/>
          <w:right w:val="nil"/>
          <w:between w:val="nil"/>
        </w:pBdr>
        <w:ind w:left="720" w:hanging="720"/>
        <w:jc w:val="both"/>
      </w:pPr>
      <w:proofErr w:type="spellStart"/>
      <w:r w:rsidRPr="0080383E">
        <w:t>Gylfason</w:t>
      </w:r>
      <w:proofErr w:type="spellEnd"/>
      <w:r w:rsidRPr="0080383E">
        <w:t xml:space="preserve">, T., (1999). Exports, </w:t>
      </w:r>
      <w:proofErr w:type="gramStart"/>
      <w:r w:rsidRPr="0080383E">
        <w:t>inflation</w:t>
      </w:r>
      <w:proofErr w:type="gramEnd"/>
      <w:r w:rsidRPr="0080383E">
        <w:t xml:space="preserve"> and growth. World Development. 27(6), 1031-1057.</w:t>
      </w:r>
    </w:p>
    <w:p w14:paraId="0000007D" w14:textId="77777777" w:rsidR="00083006" w:rsidRPr="0080383E" w:rsidRDefault="0080383E">
      <w:pPr>
        <w:widowControl w:val="0"/>
        <w:ind w:left="720" w:hanging="720"/>
      </w:pPr>
      <w:r w:rsidRPr="0080383E">
        <w:t xml:space="preserve">He, Y. (2020). Agricultural population urbanization, long-run economic growth, and metropolitan electricity consumption: An empirical dynamic general equilibrium model. </w:t>
      </w:r>
      <w:r w:rsidRPr="0080383E">
        <w:rPr>
          <w:i/>
        </w:rPr>
        <w:t>Energy Strategy Reviews</w:t>
      </w:r>
      <w:r w:rsidRPr="0080383E">
        <w:t>, 30, p.100498. doi:</w:t>
      </w:r>
      <w:hyperlink r:id="rId24">
        <w:r w:rsidRPr="0080383E">
          <w:t>10.1016/j.esr.2020.100498</w:t>
        </w:r>
      </w:hyperlink>
      <w:r w:rsidRPr="0080383E">
        <w:t>.</w:t>
      </w:r>
    </w:p>
    <w:p w14:paraId="0000007E" w14:textId="474386C2" w:rsidR="00083006" w:rsidRPr="0080383E" w:rsidRDefault="0080383E">
      <w:pPr>
        <w:widowControl w:val="0"/>
        <w:ind w:left="720" w:hanging="720"/>
      </w:pPr>
      <w:r w:rsidRPr="0080383E">
        <w:t xml:space="preserve">Herrera, A.M., </w:t>
      </w:r>
      <w:proofErr w:type="spellStart"/>
      <w:r w:rsidRPr="0080383E">
        <w:t>Karaki</w:t>
      </w:r>
      <w:proofErr w:type="spellEnd"/>
      <w:r w:rsidRPr="0080383E">
        <w:t xml:space="preserve">, M.B. and </w:t>
      </w:r>
      <w:proofErr w:type="spellStart"/>
      <w:r w:rsidRPr="0080383E">
        <w:t>Rangaraju</w:t>
      </w:r>
      <w:proofErr w:type="spellEnd"/>
      <w:r w:rsidRPr="0080383E">
        <w:t xml:space="preserve">, S.K. (2019). Oil price shocks and U.S. economic </w:t>
      </w:r>
      <w:r w:rsidRPr="0080383E">
        <w:lastRenderedPageBreak/>
        <w:t xml:space="preserve">activity. </w:t>
      </w:r>
      <w:r w:rsidRPr="0080383E">
        <w:rPr>
          <w:i/>
        </w:rPr>
        <w:t>Energy Policy</w:t>
      </w:r>
      <w:r w:rsidRPr="0080383E">
        <w:t>, 129, pp.89–99. doi:</w:t>
      </w:r>
      <w:hyperlink r:id="rId25">
        <w:r w:rsidRPr="0080383E">
          <w:t>10.1016/j.enpol.2019.02.011</w:t>
        </w:r>
      </w:hyperlink>
      <w:r w:rsidRPr="0080383E">
        <w:t>.</w:t>
      </w:r>
    </w:p>
    <w:p w14:paraId="0495A03E" w14:textId="6BE2DACB" w:rsidR="00925C46" w:rsidRPr="0080383E" w:rsidRDefault="00925C46">
      <w:pPr>
        <w:widowControl w:val="0"/>
        <w:ind w:left="720" w:hanging="720"/>
        <w:rPr>
          <w:color w:val="00B050"/>
        </w:rPr>
      </w:pPr>
      <w:r w:rsidRPr="0080383E">
        <w:rPr>
          <w:color w:val="00B050"/>
          <w:shd w:val="clear" w:color="auto" w:fill="FFFFFF"/>
        </w:rPr>
        <w:t xml:space="preserve">Huynh, T.L., Hoang, K. and </w:t>
      </w:r>
      <w:proofErr w:type="spellStart"/>
      <w:r w:rsidRPr="0080383E">
        <w:rPr>
          <w:color w:val="00B050"/>
          <w:shd w:val="clear" w:color="auto" w:fill="FFFFFF"/>
        </w:rPr>
        <w:t>Ongena</w:t>
      </w:r>
      <w:proofErr w:type="spellEnd"/>
      <w:r w:rsidRPr="0080383E">
        <w:rPr>
          <w:color w:val="00B050"/>
          <w:shd w:val="clear" w:color="auto" w:fill="FFFFFF"/>
        </w:rPr>
        <w:t>, S., 2022. The Impact of Foreign Sanctions on Firm Performance in Russia.</w:t>
      </w:r>
      <w:r w:rsidR="00203264" w:rsidRPr="0080383E">
        <w:rPr>
          <w:color w:val="00B050"/>
        </w:rPr>
        <w:t xml:space="preserve"> CEPR Press Discussion Paper No. 17415. cepr.org/publications/dp17415</w:t>
      </w:r>
    </w:p>
    <w:p w14:paraId="0000007F" w14:textId="77777777" w:rsidR="00083006" w:rsidRPr="0080383E" w:rsidRDefault="0080383E">
      <w:pPr>
        <w:pBdr>
          <w:top w:val="nil"/>
          <w:left w:val="nil"/>
          <w:bottom w:val="nil"/>
          <w:right w:val="nil"/>
          <w:between w:val="nil"/>
        </w:pBdr>
        <w:ind w:left="720" w:hanging="720"/>
        <w:jc w:val="both"/>
      </w:pPr>
      <w:bookmarkStart w:id="12" w:name="_heading=h.17dp8vu" w:colFirst="0" w:colLast="0"/>
      <w:bookmarkEnd w:id="12"/>
      <w:proofErr w:type="spellStart"/>
      <w:r w:rsidRPr="0080383E">
        <w:t>Ivrendi</w:t>
      </w:r>
      <w:proofErr w:type="spellEnd"/>
      <w:r w:rsidRPr="0080383E">
        <w:t xml:space="preserve">, M., </w:t>
      </w:r>
      <w:proofErr w:type="spellStart"/>
      <w:r w:rsidRPr="0080383E">
        <w:t>Guloglu</w:t>
      </w:r>
      <w:proofErr w:type="spellEnd"/>
      <w:r w:rsidRPr="0080383E">
        <w:t xml:space="preserve">, B., (2010). Monetary shocks, exchange rates and trade balances: Evidence from inflation targeting countries. </w:t>
      </w:r>
      <w:r w:rsidRPr="0080383E">
        <w:rPr>
          <w:i/>
        </w:rPr>
        <w:t xml:space="preserve">Economic Modelling. </w:t>
      </w:r>
      <w:r w:rsidRPr="0080383E">
        <w:t>27, 1144–1155.</w:t>
      </w:r>
    </w:p>
    <w:p w14:paraId="7B1A75C3" w14:textId="77777777" w:rsidR="00B350BA" w:rsidRPr="0080383E" w:rsidRDefault="0080383E" w:rsidP="00B350BA">
      <w:pPr>
        <w:pBdr>
          <w:top w:val="nil"/>
          <w:left w:val="nil"/>
          <w:bottom w:val="nil"/>
          <w:right w:val="nil"/>
          <w:between w:val="nil"/>
        </w:pBdr>
        <w:ind w:left="720" w:hanging="720"/>
        <w:jc w:val="both"/>
      </w:pPr>
      <w:proofErr w:type="spellStart"/>
      <w:r w:rsidRPr="0080383E">
        <w:t>Iyke</w:t>
      </w:r>
      <w:proofErr w:type="spellEnd"/>
      <w:r w:rsidRPr="0080383E">
        <w:t xml:space="preserve">, B.N. (2015). Electricity consumption and economic growth in Nigeria: A revisit of the energy-growth debate. </w:t>
      </w:r>
      <w:r w:rsidRPr="0080383E">
        <w:rPr>
          <w:i/>
        </w:rPr>
        <w:t>Energy Economics</w:t>
      </w:r>
      <w:r w:rsidRPr="0080383E">
        <w:t xml:space="preserve">, 51, pp.166–176. </w:t>
      </w:r>
      <w:proofErr w:type="gramStart"/>
      <w:r w:rsidRPr="0080383E">
        <w:t>doi:10.1016/j.eneco</w:t>
      </w:r>
      <w:proofErr w:type="gramEnd"/>
      <w:r w:rsidRPr="0080383E">
        <w:t>.2015.05.024.</w:t>
      </w:r>
    </w:p>
    <w:p w14:paraId="4F79BAF0" w14:textId="77777777" w:rsidR="009F4DB7" w:rsidRPr="0080383E" w:rsidRDefault="009F4DB7">
      <w:pPr>
        <w:pBdr>
          <w:top w:val="nil"/>
          <w:left w:val="nil"/>
          <w:bottom w:val="nil"/>
          <w:right w:val="nil"/>
          <w:between w:val="nil"/>
        </w:pBdr>
        <w:ind w:left="720" w:hanging="720"/>
        <w:jc w:val="both"/>
        <w:rPr>
          <w:color w:val="00B050"/>
          <w:shd w:val="clear" w:color="auto" w:fill="FFFFFF"/>
        </w:rPr>
      </w:pPr>
      <w:proofErr w:type="spellStart"/>
      <w:r w:rsidRPr="0080383E">
        <w:rPr>
          <w:color w:val="00B050"/>
          <w:shd w:val="clear" w:color="auto" w:fill="FFFFFF"/>
        </w:rPr>
        <w:t>Jareño</w:t>
      </w:r>
      <w:proofErr w:type="spellEnd"/>
      <w:r w:rsidRPr="0080383E">
        <w:rPr>
          <w:color w:val="00B050"/>
          <w:shd w:val="clear" w:color="auto" w:fill="FFFFFF"/>
        </w:rPr>
        <w:t xml:space="preserve">, F., Martínez-Serna, M.I. and </w:t>
      </w:r>
      <w:proofErr w:type="spellStart"/>
      <w:r w:rsidRPr="0080383E">
        <w:rPr>
          <w:color w:val="00B050"/>
          <w:shd w:val="clear" w:color="auto" w:fill="FFFFFF"/>
        </w:rPr>
        <w:t>Chicharro</w:t>
      </w:r>
      <w:proofErr w:type="spellEnd"/>
      <w:r w:rsidRPr="0080383E">
        <w:rPr>
          <w:color w:val="00B050"/>
          <w:shd w:val="clear" w:color="auto" w:fill="FFFFFF"/>
        </w:rPr>
        <w:t>, M., 2022. Government Bonds and COVID-19. An International Evaluation Under Different Market States. </w:t>
      </w:r>
      <w:r w:rsidRPr="0080383E">
        <w:rPr>
          <w:i/>
          <w:iCs/>
          <w:color w:val="00B050"/>
          <w:shd w:val="clear" w:color="auto" w:fill="FFFFFF"/>
        </w:rPr>
        <w:t>Evaluation Review</w:t>
      </w:r>
      <w:r w:rsidRPr="0080383E">
        <w:rPr>
          <w:color w:val="00B050"/>
          <w:shd w:val="clear" w:color="auto" w:fill="FFFFFF"/>
        </w:rPr>
        <w:t>, p.0193841X221143680.</w:t>
      </w:r>
    </w:p>
    <w:p w14:paraId="0D186E63" w14:textId="77777777" w:rsidR="00043BE0" w:rsidRPr="00CF5F26" w:rsidRDefault="00043BE0" w:rsidP="00043BE0">
      <w:pPr>
        <w:pBdr>
          <w:top w:val="nil"/>
          <w:left w:val="nil"/>
          <w:bottom w:val="nil"/>
          <w:right w:val="nil"/>
          <w:between w:val="nil"/>
        </w:pBdr>
        <w:ind w:left="720" w:hanging="720"/>
        <w:jc w:val="both"/>
        <w:rPr>
          <w:color w:val="FF3399"/>
        </w:rPr>
      </w:pPr>
      <w:proofErr w:type="spellStart"/>
      <w:r w:rsidRPr="00CF5F26">
        <w:rPr>
          <w:color w:val="FF3399"/>
        </w:rPr>
        <w:t>Jime´nez-Rodrı´guez</w:t>
      </w:r>
      <w:proofErr w:type="spellEnd"/>
      <w:r w:rsidRPr="00CF5F26">
        <w:rPr>
          <w:color w:val="FF3399"/>
        </w:rPr>
        <w:t xml:space="preserve">, R. and </w:t>
      </w:r>
      <w:proofErr w:type="spellStart"/>
      <w:r w:rsidRPr="00CF5F26">
        <w:rPr>
          <w:color w:val="FF3399"/>
        </w:rPr>
        <w:t>Sa´nchez</w:t>
      </w:r>
      <w:proofErr w:type="spellEnd"/>
      <w:r w:rsidRPr="00CF5F26">
        <w:rPr>
          <w:color w:val="FF3399"/>
        </w:rPr>
        <w:t xml:space="preserve">, M. (2005). Oil price shocks and real GDP growth: empirical evidence for some OECD countries. </w:t>
      </w:r>
      <w:r w:rsidRPr="00CF5F26">
        <w:rPr>
          <w:i/>
          <w:iCs/>
          <w:color w:val="FF3399"/>
        </w:rPr>
        <w:t>Applied Economics</w:t>
      </w:r>
      <w:r w:rsidRPr="00CF5F26">
        <w:rPr>
          <w:color w:val="FF3399"/>
        </w:rPr>
        <w:t>, 37, pp. 201–228.</w:t>
      </w:r>
    </w:p>
    <w:p w14:paraId="00000081" w14:textId="31601E5E" w:rsidR="00083006" w:rsidRPr="0080383E" w:rsidRDefault="0080383E">
      <w:pPr>
        <w:pBdr>
          <w:top w:val="nil"/>
          <w:left w:val="nil"/>
          <w:bottom w:val="nil"/>
          <w:right w:val="nil"/>
          <w:between w:val="nil"/>
        </w:pBdr>
        <w:ind w:left="720" w:hanging="720"/>
        <w:jc w:val="both"/>
      </w:pPr>
      <w:proofErr w:type="spellStart"/>
      <w:r w:rsidRPr="0080383E">
        <w:t>Juselius</w:t>
      </w:r>
      <w:proofErr w:type="spellEnd"/>
      <w:r w:rsidRPr="0080383E">
        <w:t>, K., (2006). The cointegrated VAR model: methodology and applications. Oxford University Press.</w:t>
      </w:r>
    </w:p>
    <w:p w14:paraId="00000082" w14:textId="77777777" w:rsidR="00083006" w:rsidRPr="0080383E" w:rsidRDefault="0080383E">
      <w:pPr>
        <w:pBdr>
          <w:top w:val="nil"/>
          <w:left w:val="nil"/>
          <w:bottom w:val="nil"/>
          <w:right w:val="nil"/>
          <w:between w:val="nil"/>
        </w:pBdr>
        <w:ind w:left="720" w:hanging="720"/>
        <w:jc w:val="both"/>
      </w:pPr>
      <w:proofErr w:type="spellStart"/>
      <w:r w:rsidRPr="0080383E">
        <w:t>Koray</w:t>
      </w:r>
      <w:proofErr w:type="spellEnd"/>
      <w:r w:rsidRPr="0080383E">
        <w:t xml:space="preserve">, F., (2006). Inflation variability and the Turkish economy. </w:t>
      </w:r>
      <w:r w:rsidRPr="0080383E">
        <w:rPr>
          <w:i/>
        </w:rPr>
        <w:t xml:space="preserve">Applied Economics. </w:t>
      </w:r>
      <w:r w:rsidRPr="0080383E">
        <w:t>25(6), 787-793.</w:t>
      </w:r>
    </w:p>
    <w:p w14:paraId="00000083" w14:textId="77777777" w:rsidR="00083006" w:rsidRPr="0080383E" w:rsidRDefault="0080383E">
      <w:pPr>
        <w:pBdr>
          <w:top w:val="nil"/>
          <w:left w:val="nil"/>
          <w:bottom w:val="nil"/>
          <w:right w:val="nil"/>
          <w:between w:val="nil"/>
        </w:pBdr>
        <w:ind w:left="720" w:hanging="720"/>
        <w:jc w:val="both"/>
      </w:pPr>
      <w:proofErr w:type="spellStart"/>
      <w:r w:rsidRPr="0080383E">
        <w:t>Kalemli-Ozcan</w:t>
      </w:r>
      <w:proofErr w:type="spellEnd"/>
      <w:r w:rsidRPr="0080383E">
        <w:t xml:space="preserve">, S., </w:t>
      </w:r>
      <w:proofErr w:type="spellStart"/>
      <w:r w:rsidRPr="0080383E">
        <w:t>Gourinchas</w:t>
      </w:r>
      <w:proofErr w:type="spellEnd"/>
      <w:r w:rsidRPr="0080383E">
        <w:t xml:space="preserve">, P.-O., &amp; </w:t>
      </w:r>
      <w:proofErr w:type="spellStart"/>
      <w:proofErr w:type="gramStart"/>
      <w:r w:rsidRPr="0080383E">
        <w:t>Penciakova,V</w:t>
      </w:r>
      <w:proofErr w:type="spellEnd"/>
      <w:r w:rsidRPr="0080383E">
        <w:t>.</w:t>
      </w:r>
      <w:proofErr w:type="gramEnd"/>
      <w:r w:rsidRPr="0080383E">
        <w:t xml:space="preserve"> (2020). COVID-19 and SME Failures. Washington, D.C: International Monetary Fund.</w:t>
      </w:r>
    </w:p>
    <w:p w14:paraId="00000084" w14:textId="77777777" w:rsidR="00083006" w:rsidRPr="0080383E" w:rsidRDefault="0080383E">
      <w:pPr>
        <w:pBdr>
          <w:top w:val="nil"/>
          <w:left w:val="nil"/>
          <w:bottom w:val="nil"/>
          <w:right w:val="nil"/>
          <w:between w:val="nil"/>
        </w:pBdr>
        <w:ind w:left="720"/>
        <w:jc w:val="both"/>
      </w:pPr>
      <w:r w:rsidRPr="0080383E">
        <w:t xml:space="preserve"> https://doi.org/10.5089/9781513557748.001</w:t>
      </w:r>
    </w:p>
    <w:p w14:paraId="7FE6B2D1" w14:textId="77777777" w:rsidR="00043BE0" w:rsidRPr="00502963" w:rsidRDefault="00043BE0" w:rsidP="00043BE0">
      <w:pPr>
        <w:widowControl w:val="0"/>
        <w:ind w:left="720" w:hanging="720"/>
        <w:rPr>
          <w:color w:val="FF3399"/>
        </w:rPr>
      </w:pPr>
      <w:r w:rsidRPr="00502963">
        <w:rPr>
          <w:color w:val="FF3399"/>
          <w:shd w:val="clear" w:color="auto" w:fill="FFFFFF"/>
        </w:rPr>
        <w:t xml:space="preserve">Kilian, L. and Zhou, X. (2022). </w:t>
      </w:r>
      <w:r w:rsidRPr="00502963">
        <w:rPr>
          <w:color w:val="FF3399"/>
        </w:rPr>
        <w:t xml:space="preserve">The impact of rising oil prices on U.S. inflation and inflation expectations in 2020–23. </w:t>
      </w:r>
      <w:r w:rsidRPr="00502963">
        <w:rPr>
          <w:i/>
          <w:iCs/>
          <w:color w:val="FF3399"/>
        </w:rPr>
        <w:t>Energy Economics</w:t>
      </w:r>
      <w:r w:rsidRPr="00502963">
        <w:rPr>
          <w:color w:val="FF3399"/>
        </w:rPr>
        <w:t>, 113, p. 106228.</w:t>
      </w:r>
    </w:p>
    <w:p w14:paraId="00000085" w14:textId="77777777" w:rsidR="00083006" w:rsidRPr="0080383E" w:rsidRDefault="0080383E">
      <w:pPr>
        <w:widowControl w:val="0"/>
        <w:ind w:left="720" w:hanging="720"/>
      </w:pPr>
      <w:r w:rsidRPr="0080383E">
        <w:t xml:space="preserve">Lawal, A.I., Ozturk, I., </w:t>
      </w:r>
      <w:proofErr w:type="spellStart"/>
      <w:r w:rsidRPr="0080383E">
        <w:t>Olanipekun</w:t>
      </w:r>
      <w:proofErr w:type="spellEnd"/>
      <w:r w:rsidRPr="0080383E">
        <w:t xml:space="preserve">, I.O. and </w:t>
      </w:r>
      <w:proofErr w:type="spellStart"/>
      <w:r w:rsidRPr="0080383E">
        <w:t>Asaleye</w:t>
      </w:r>
      <w:proofErr w:type="spellEnd"/>
      <w:r w:rsidRPr="0080383E">
        <w:t xml:space="preserve">, A.J. (2020). Examining the linkages between electricity consumption and economic growth in African economies. </w:t>
      </w:r>
      <w:r w:rsidRPr="0080383E">
        <w:rPr>
          <w:i/>
        </w:rPr>
        <w:t>Energy</w:t>
      </w:r>
      <w:r w:rsidRPr="0080383E">
        <w:t xml:space="preserve">, </w:t>
      </w:r>
      <w:r w:rsidRPr="0080383E">
        <w:lastRenderedPageBreak/>
        <w:t>208, p.118363. doi:</w:t>
      </w:r>
      <w:hyperlink r:id="rId26">
        <w:r w:rsidRPr="0080383E">
          <w:t>10.1016/j.energy.2020.118363</w:t>
        </w:r>
      </w:hyperlink>
      <w:r w:rsidRPr="0080383E">
        <w:t>.</w:t>
      </w:r>
    </w:p>
    <w:p w14:paraId="00000086" w14:textId="77777777" w:rsidR="00083006" w:rsidRPr="0080383E" w:rsidRDefault="0080383E">
      <w:pPr>
        <w:widowControl w:val="0"/>
        <w:ind w:left="720" w:hanging="720"/>
      </w:pPr>
      <w:proofErr w:type="spellStart"/>
      <w:r w:rsidRPr="0080383E">
        <w:t>Lorusso</w:t>
      </w:r>
      <w:proofErr w:type="spellEnd"/>
      <w:r w:rsidRPr="0080383E">
        <w:t xml:space="preserve">, M. and </w:t>
      </w:r>
      <w:proofErr w:type="spellStart"/>
      <w:r w:rsidRPr="0080383E">
        <w:t>Pieroni</w:t>
      </w:r>
      <w:proofErr w:type="spellEnd"/>
      <w:r w:rsidRPr="0080383E">
        <w:t xml:space="preserve">, L. (2018). Causes and consequences of oil price shocks on the UK economy. </w:t>
      </w:r>
      <w:r w:rsidRPr="0080383E">
        <w:rPr>
          <w:i/>
        </w:rPr>
        <w:t>Economic Modelling</w:t>
      </w:r>
      <w:r w:rsidRPr="0080383E">
        <w:t>, 72, pp.223–236. doi:</w:t>
      </w:r>
      <w:hyperlink r:id="rId27">
        <w:r w:rsidRPr="0080383E">
          <w:t>10.1016/j.econmod.2018.01.018</w:t>
        </w:r>
      </w:hyperlink>
      <w:r w:rsidRPr="0080383E">
        <w:t>.</w:t>
      </w:r>
    </w:p>
    <w:p w14:paraId="00000087" w14:textId="77777777" w:rsidR="00083006" w:rsidRPr="0080383E" w:rsidRDefault="0080383E">
      <w:pPr>
        <w:widowControl w:val="0"/>
        <w:ind w:left="720" w:hanging="720"/>
      </w:pPr>
      <w:proofErr w:type="spellStart"/>
      <w:r w:rsidRPr="0080383E">
        <w:t>Luqman</w:t>
      </w:r>
      <w:proofErr w:type="spellEnd"/>
      <w:r w:rsidRPr="0080383E">
        <w:t xml:space="preserve">, M., Ahmad, N. and Bakhsh, K. (2019). Nuclear energy, renewable </w:t>
      </w:r>
      <w:proofErr w:type="gramStart"/>
      <w:r w:rsidRPr="0080383E">
        <w:t>energy</w:t>
      </w:r>
      <w:proofErr w:type="gramEnd"/>
      <w:r w:rsidRPr="0080383E">
        <w:t xml:space="preserve"> and economic growth in Pakistan: Evidence from non-linear autoregressive distributed lag model. </w:t>
      </w:r>
      <w:r w:rsidRPr="0080383E">
        <w:rPr>
          <w:i/>
        </w:rPr>
        <w:t>Renewable Energy</w:t>
      </w:r>
      <w:r w:rsidRPr="0080383E">
        <w:t>, 139, pp.1299–1309. doi:</w:t>
      </w:r>
      <w:hyperlink r:id="rId28">
        <w:r w:rsidRPr="0080383E">
          <w:t>10.1016/j.renene.2019.03.008</w:t>
        </w:r>
      </w:hyperlink>
      <w:r w:rsidRPr="0080383E">
        <w:t>.</w:t>
      </w:r>
    </w:p>
    <w:p w14:paraId="2878E225" w14:textId="77777777" w:rsidR="00043BE0" w:rsidRPr="00490087" w:rsidRDefault="00043BE0" w:rsidP="00043BE0">
      <w:pPr>
        <w:widowControl w:val="0"/>
        <w:ind w:left="720" w:hanging="720"/>
        <w:rPr>
          <w:color w:val="FF3399"/>
        </w:rPr>
      </w:pPr>
      <w:proofErr w:type="spellStart"/>
      <w:r w:rsidRPr="00490087">
        <w:rPr>
          <w:color w:val="FF3399"/>
        </w:rPr>
        <w:t>Lütkepohl</w:t>
      </w:r>
      <w:proofErr w:type="spellEnd"/>
      <w:r w:rsidRPr="00490087">
        <w:rPr>
          <w:color w:val="FF3399"/>
        </w:rPr>
        <w:t>, H. (2006). Structural vector autoregressive analysis for cointegrated variables. In: Modern Economic Analysis. Springer, Berlin Heidelberg, pp.73-86.</w:t>
      </w:r>
    </w:p>
    <w:p w14:paraId="00000088" w14:textId="77777777" w:rsidR="00083006" w:rsidRPr="0080383E" w:rsidRDefault="0080383E">
      <w:pPr>
        <w:widowControl w:val="0"/>
        <w:ind w:left="720" w:hanging="720"/>
      </w:pPr>
      <w:proofErr w:type="spellStart"/>
      <w:r w:rsidRPr="0080383E">
        <w:t>Magazzino</w:t>
      </w:r>
      <w:proofErr w:type="spellEnd"/>
      <w:r w:rsidRPr="0080383E">
        <w:t xml:space="preserve">, C., </w:t>
      </w:r>
      <w:proofErr w:type="spellStart"/>
      <w:r w:rsidRPr="0080383E">
        <w:t>Mutascu</w:t>
      </w:r>
      <w:proofErr w:type="spellEnd"/>
      <w:r w:rsidRPr="0080383E">
        <w:t xml:space="preserve">, M., Mele, M. and Sarkodie, S.A. (2021). Energy consumption and economic growth in Italy: A wavelet analysis. </w:t>
      </w:r>
      <w:r w:rsidRPr="0080383E">
        <w:rPr>
          <w:i/>
        </w:rPr>
        <w:t>Energy Reports</w:t>
      </w:r>
      <w:r w:rsidRPr="0080383E">
        <w:t>, 7, pp.1520–1528. doi:</w:t>
      </w:r>
      <w:hyperlink r:id="rId29">
        <w:r w:rsidRPr="0080383E">
          <w:t>10.1016/j.egyr.2021.03.005</w:t>
        </w:r>
      </w:hyperlink>
      <w:r w:rsidRPr="0080383E">
        <w:t>.</w:t>
      </w:r>
    </w:p>
    <w:p w14:paraId="00000089" w14:textId="77777777" w:rsidR="00083006" w:rsidRPr="0080383E" w:rsidRDefault="0080383E">
      <w:pPr>
        <w:pBdr>
          <w:top w:val="nil"/>
          <w:left w:val="nil"/>
          <w:bottom w:val="nil"/>
          <w:right w:val="nil"/>
          <w:between w:val="nil"/>
        </w:pBdr>
        <w:ind w:left="720" w:hanging="720"/>
        <w:jc w:val="both"/>
      </w:pPr>
      <w:bookmarkStart w:id="13" w:name="_heading=h.3rdcrjn" w:colFirst="0" w:colLast="0"/>
      <w:bookmarkEnd w:id="13"/>
      <w:r w:rsidRPr="0080383E">
        <w:t xml:space="preserve">Mallick, S. K., Mohsin, M., (2016). Macroeconomic effects of inflationary shocks with durable and non-durable consumption. </w:t>
      </w:r>
      <w:r w:rsidRPr="0080383E">
        <w:rPr>
          <w:i/>
        </w:rPr>
        <w:t xml:space="preserve">Open Economics Review. </w:t>
      </w:r>
      <w:r w:rsidRPr="0080383E">
        <w:t>27, 895–921.</w:t>
      </w:r>
    </w:p>
    <w:p w14:paraId="6A956D83" w14:textId="77777777" w:rsidR="00F604B0" w:rsidRPr="0080383E" w:rsidRDefault="00F604B0">
      <w:pPr>
        <w:widowControl w:val="0"/>
        <w:ind w:left="720" w:hanging="720"/>
        <w:rPr>
          <w:color w:val="00B050"/>
          <w:shd w:val="clear" w:color="auto" w:fill="FFFFFF"/>
        </w:rPr>
      </w:pPr>
      <w:r w:rsidRPr="0080383E">
        <w:rPr>
          <w:color w:val="00B050"/>
          <w:shd w:val="clear" w:color="auto" w:fill="FFFFFF"/>
        </w:rPr>
        <w:t>Mankiw, N.G., 2014. </w:t>
      </w:r>
      <w:r w:rsidRPr="0080383E">
        <w:rPr>
          <w:i/>
          <w:iCs/>
          <w:color w:val="00B050"/>
          <w:shd w:val="clear" w:color="auto" w:fill="FFFFFF"/>
        </w:rPr>
        <w:t>Principles of economics</w:t>
      </w:r>
      <w:r w:rsidRPr="0080383E">
        <w:rPr>
          <w:color w:val="00B050"/>
          <w:shd w:val="clear" w:color="auto" w:fill="FFFFFF"/>
        </w:rPr>
        <w:t>. Cengage Learning.</w:t>
      </w:r>
    </w:p>
    <w:p w14:paraId="0000008A" w14:textId="7F61EB86" w:rsidR="00083006" w:rsidRPr="0080383E" w:rsidRDefault="0080383E">
      <w:pPr>
        <w:widowControl w:val="0"/>
        <w:ind w:left="720" w:hanging="720"/>
      </w:pPr>
      <w:r w:rsidRPr="0080383E">
        <w:t>Méndez-</w:t>
      </w:r>
      <w:proofErr w:type="spellStart"/>
      <w:r w:rsidRPr="0080383E">
        <w:t>Carbajo</w:t>
      </w:r>
      <w:proofErr w:type="spellEnd"/>
      <w:r w:rsidRPr="0080383E">
        <w:t xml:space="preserve">, D. (2010). Energy dependence, oil prices and exchange rates: the Dominican economy since 1990. </w:t>
      </w:r>
      <w:r w:rsidRPr="0080383E">
        <w:rPr>
          <w:i/>
        </w:rPr>
        <w:t>Empirical Economics</w:t>
      </w:r>
      <w:r w:rsidRPr="0080383E">
        <w:t>, 40(2), pp.509–520. doi:</w:t>
      </w:r>
      <w:hyperlink r:id="rId30">
        <w:r w:rsidRPr="0080383E">
          <w:t>10.1007/s00181-010-0340-4</w:t>
        </w:r>
      </w:hyperlink>
      <w:r w:rsidRPr="0080383E">
        <w:t>.</w:t>
      </w:r>
    </w:p>
    <w:p w14:paraId="0000008B" w14:textId="77777777" w:rsidR="00083006" w:rsidRPr="0080383E" w:rsidRDefault="0080383E">
      <w:pPr>
        <w:widowControl w:val="0"/>
        <w:ind w:left="720" w:hanging="720"/>
      </w:pPr>
      <w:r w:rsidRPr="0080383E">
        <w:t xml:space="preserve">Mohsin, M., Kamran, H.W., Atif Nawaz, M., Sajjad Hussain, M. and </w:t>
      </w:r>
      <w:proofErr w:type="spellStart"/>
      <w:r w:rsidRPr="0080383E">
        <w:t>Dahri</w:t>
      </w:r>
      <w:proofErr w:type="spellEnd"/>
      <w:r w:rsidRPr="0080383E">
        <w:t xml:space="preserve">, A.S. (2021). Assessing the impact of transition from nonrenewable to renewable energy consumption on economic growth-environmental nexus from developing Asian economies. </w:t>
      </w:r>
      <w:r w:rsidRPr="0080383E">
        <w:rPr>
          <w:i/>
        </w:rPr>
        <w:t>Journal of Environmental Management</w:t>
      </w:r>
      <w:r w:rsidRPr="0080383E">
        <w:t>, 284, p.111999. doi:</w:t>
      </w:r>
      <w:hyperlink r:id="rId31">
        <w:r w:rsidRPr="0080383E">
          <w:t>10.1016/j.jenvman.2021.111999</w:t>
        </w:r>
      </w:hyperlink>
      <w:r w:rsidRPr="0080383E">
        <w:t>.</w:t>
      </w:r>
    </w:p>
    <w:p w14:paraId="0000008C" w14:textId="31067744" w:rsidR="00083006" w:rsidRPr="0080383E" w:rsidRDefault="0080383E">
      <w:pPr>
        <w:widowControl w:val="0"/>
        <w:ind w:left="720" w:hanging="720"/>
      </w:pPr>
      <w:r w:rsidRPr="0080383E">
        <w:t xml:space="preserve">Munir, Q., Lean, H.H. and Smyth, R. (2019). CO2 emissions, energy consumption and economic growth in the ASEAN-5 countries: A cross-sectional dependence approach. </w:t>
      </w:r>
      <w:r w:rsidRPr="0080383E">
        <w:rPr>
          <w:i/>
        </w:rPr>
        <w:t>Energy Economics</w:t>
      </w:r>
      <w:r w:rsidRPr="0080383E">
        <w:t>, 85, p.104571. doi:</w:t>
      </w:r>
      <w:hyperlink r:id="rId32">
        <w:r w:rsidRPr="0080383E">
          <w:t>10.1016/j.eneco.2019.104571</w:t>
        </w:r>
      </w:hyperlink>
      <w:r w:rsidRPr="0080383E">
        <w:t>.</w:t>
      </w:r>
    </w:p>
    <w:p w14:paraId="601A301C" w14:textId="325AD6A6" w:rsidR="00E26897" w:rsidRPr="0080383E" w:rsidRDefault="00E26897">
      <w:pPr>
        <w:widowControl w:val="0"/>
        <w:ind w:left="720" w:hanging="720"/>
        <w:rPr>
          <w:color w:val="00B050"/>
          <w:shd w:val="clear" w:color="auto" w:fill="FFFFFF"/>
        </w:rPr>
      </w:pPr>
      <w:proofErr w:type="spellStart"/>
      <w:r w:rsidRPr="0080383E">
        <w:rPr>
          <w:color w:val="00B050"/>
          <w:shd w:val="clear" w:color="auto" w:fill="FFFFFF"/>
        </w:rPr>
        <w:lastRenderedPageBreak/>
        <w:t>Muth</w:t>
      </w:r>
      <w:proofErr w:type="spellEnd"/>
      <w:r w:rsidRPr="0080383E">
        <w:rPr>
          <w:color w:val="00B050"/>
          <w:shd w:val="clear" w:color="auto" w:fill="FFFFFF"/>
        </w:rPr>
        <w:t>, J.F., 1961. Rational expectations and the theory of price movements. </w:t>
      </w:r>
      <w:proofErr w:type="spellStart"/>
      <w:r w:rsidRPr="0080383E">
        <w:rPr>
          <w:i/>
          <w:iCs/>
          <w:color w:val="00B050"/>
          <w:shd w:val="clear" w:color="auto" w:fill="FFFFFF"/>
        </w:rPr>
        <w:t>Econometrica</w:t>
      </w:r>
      <w:proofErr w:type="spellEnd"/>
      <w:r w:rsidRPr="0080383E">
        <w:rPr>
          <w:i/>
          <w:iCs/>
          <w:color w:val="00B050"/>
          <w:shd w:val="clear" w:color="auto" w:fill="FFFFFF"/>
        </w:rPr>
        <w:t>: Journal of the Econometric Society</w:t>
      </w:r>
      <w:r w:rsidRPr="0080383E">
        <w:rPr>
          <w:color w:val="00B050"/>
          <w:shd w:val="clear" w:color="auto" w:fill="FFFFFF"/>
        </w:rPr>
        <w:t>, pp.315-335.</w:t>
      </w:r>
    </w:p>
    <w:p w14:paraId="61E966E9" w14:textId="76243B1F" w:rsidR="00B765CB" w:rsidRPr="0080383E" w:rsidRDefault="00B765CB">
      <w:pPr>
        <w:widowControl w:val="0"/>
        <w:ind w:left="720" w:hanging="720"/>
        <w:rPr>
          <w:color w:val="00B050"/>
          <w:shd w:val="clear" w:color="auto" w:fill="FFFFFF"/>
        </w:rPr>
      </w:pPr>
      <w:r w:rsidRPr="0080383E">
        <w:rPr>
          <w:color w:val="00B050"/>
          <w:shd w:val="clear" w:color="auto" w:fill="FFFFFF"/>
        </w:rPr>
        <w:t>Nasir, M.A., Huynh, T.L.D. and Vo, X.V., 2020. Exchange rate pass-through &amp; management of inflation expectations in a small open inflation targeting economy. </w:t>
      </w:r>
      <w:r w:rsidRPr="0080383E">
        <w:rPr>
          <w:i/>
          <w:iCs/>
          <w:color w:val="00B050"/>
          <w:shd w:val="clear" w:color="auto" w:fill="FFFFFF"/>
        </w:rPr>
        <w:t>International Review of Economics &amp; Finance</w:t>
      </w:r>
      <w:r w:rsidRPr="0080383E">
        <w:rPr>
          <w:color w:val="00B050"/>
          <w:shd w:val="clear" w:color="auto" w:fill="FFFFFF"/>
        </w:rPr>
        <w:t>, </w:t>
      </w:r>
      <w:r w:rsidRPr="0080383E">
        <w:rPr>
          <w:i/>
          <w:iCs/>
          <w:color w:val="00B050"/>
          <w:shd w:val="clear" w:color="auto" w:fill="FFFFFF"/>
        </w:rPr>
        <w:t>69</w:t>
      </w:r>
      <w:r w:rsidRPr="0080383E">
        <w:rPr>
          <w:color w:val="00B050"/>
          <w:shd w:val="clear" w:color="auto" w:fill="FFFFFF"/>
        </w:rPr>
        <w:t>, pp.178-188.</w:t>
      </w:r>
    </w:p>
    <w:p w14:paraId="66FD06FA" w14:textId="0ECCDEF9" w:rsidR="00023A4B" w:rsidRPr="0080383E" w:rsidRDefault="00023A4B">
      <w:pPr>
        <w:widowControl w:val="0"/>
        <w:ind w:left="720" w:hanging="720"/>
        <w:rPr>
          <w:color w:val="00B050"/>
        </w:rPr>
      </w:pPr>
      <w:r w:rsidRPr="0080383E">
        <w:rPr>
          <w:color w:val="00B050"/>
          <w:shd w:val="clear" w:color="auto" w:fill="FFFFFF"/>
        </w:rPr>
        <w:t xml:space="preserve">Nasir, M.A., Le, T.N.L., </w:t>
      </w:r>
      <w:proofErr w:type="spellStart"/>
      <w:r w:rsidRPr="0080383E">
        <w:rPr>
          <w:color w:val="00B050"/>
          <w:shd w:val="clear" w:color="auto" w:fill="FFFFFF"/>
        </w:rPr>
        <w:t>Ghabri</w:t>
      </w:r>
      <w:proofErr w:type="spellEnd"/>
      <w:r w:rsidRPr="0080383E">
        <w:rPr>
          <w:color w:val="00B050"/>
          <w:shd w:val="clear" w:color="auto" w:fill="FFFFFF"/>
        </w:rPr>
        <w:t>, Y. and Huynh, L.D.T., 2023. Sovereign bonds and flight to safety: Implications of the COVID-19 crisis for sovereign debt markets in the G-7 and E-7 economies. </w:t>
      </w:r>
      <w:r w:rsidRPr="0080383E">
        <w:rPr>
          <w:i/>
          <w:iCs/>
          <w:color w:val="00B050"/>
          <w:shd w:val="clear" w:color="auto" w:fill="FFFFFF"/>
        </w:rPr>
        <w:t>International Review of Financial Analysis</w:t>
      </w:r>
      <w:r w:rsidRPr="0080383E">
        <w:rPr>
          <w:color w:val="00B050"/>
          <w:shd w:val="clear" w:color="auto" w:fill="FFFFFF"/>
        </w:rPr>
        <w:t>, </w:t>
      </w:r>
      <w:r w:rsidRPr="0080383E">
        <w:rPr>
          <w:i/>
          <w:iCs/>
          <w:color w:val="00B050"/>
          <w:shd w:val="clear" w:color="auto" w:fill="FFFFFF"/>
        </w:rPr>
        <w:t>86</w:t>
      </w:r>
      <w:r w:rsidRPr="0080383E">
        <w:rPr>
          <w:color w:val="00B050"/>
          <w:shd w:val="clear" w:color="auto" w:fill="FFFFFF"/>
        </w:rPr>
        <w:t>, p.102548.</w:t>
      </w:r>
    </w:p>
    <w:p w14:paraId="0000008D" w14:textId="77777777" w:rsidR="00083006" w:rsidRPr="0080383E" w:rsidRDefault="0080383E">
      <w:pPr>
        <w:widowControl w:val="0"/>
        <w:ind w:left="720" w:hanging="720"/>
      </w:pPr>
      <w:r w:rsidRPr="0080383E">
        <w:t xml:space="preserve">Nasir, M.A., Naidoo, L., Shahbaz, M. and </w:t>
      </w:r>
      <w:proofErr w:type="spellStart"/>
      <w:r w:rsidRPr="0080383E">
        <w:t>Amoo</w:t>
      </w:r>
      <w:proofErr w:type="spellEnd"/>
      <w:r w:rsidRPr="0080383E">
        <w:t xml:space="preserve">, N. (2018). Implications of oil prices shocks for the major emerging economies: A comparative analysis of BRICS. </w:t>
      </w:r>
      <w:r w:rsidRPr="0080383E">
        <w:rPr>
          <w:i/>
        </w:rPr>
        <w:t>Energy Economics</w:t>
      </w:r>
      <w:r w:rsidRPr="0080383E">
        <w:t>, 76, pp.76–88. doi:</w:t>
      </w:r>
      <w:hyperlink r:id="rId33">
        <w:r w:rsidRPr="0080383E">
          <w:t>10.1016/j.eneco.2018.09.023</w:t>
        </w:r>
      </w:hyperlink>
      <w:r w:rsidRPr="0080383E">
        <w:t>.</w:t>
      </w:r>
    </w:p>
    <w:p w14:paraId="0000008E" w14:textId="77777777" w:rsidR="00083006" w:rsidRPr="0080383E" w:rsidRDefault="0080383E">
      <w:pPr>
        <w:widowControl w:val="0"/>
        <w:ind w:left="720" w:hanging="720"/>
      </w:pPr>
      <w:r w:rsidRPr="0080383E">
        <w:t xml:space="preserve">Nasreen, S., </w:t>
      </w:r>
      <w:proofErr w:type="spellStart"/>
      <w:r w:rsidRPr="0080383E">
        <w:t>Mbarek</w:t>
      </w:r>
      <w:proofErr w:type="spellEnd"/>
      <w:r w:rsidRPr="0080383E">
        <w:t>, M.B. and Atiq-</w:t>
      </w:r>
      <w:proofErr w:type="spellStart"/>
      <w:r w:rsidRPr="0080383E">
        <w:t>ur</w:t>
      </w:r>
      <w:proofErr w:type="spellEnd"/>
      <w:r w:rsidRPr="0080383E">
        <w:t xml:space="preserve">-Rehman, M. (2019). Long-run causal relationship between economic growth, transport energy consumption and environmental quality in Asian countries: Evidence from heterogeneous panel methods. </w:t>
      </w:r>
      <w:r w:rsidRPr="0080383E">
        <w:rPr>
          <w:i/>
        </w:rPr>
        <w:t>Energy</w:t>
      </w:r>
      <w:r w:rsidRPr="0080383E">
        <w:t>, 192, p.116628. doi:</w:t>
      </w:r>
      <w:hyperlink r:id="rId34">
        <w:r w:rsidRPr="0080383E">
          <w:t>10.1016/j.energy.2019.116628</w:t>
        </w:r>
      </w:hyperlink>
      <w:r w:rsidRPr="0080383E">
        <w:t>.</w:t>
      </w:r>
    </w:p>
    <w:p w14:paraId="0000008F" w14:textId="6AB0E7F2" w:rsidR="00083006" w:rsidRPr="0080383E" w:rsidRDefault="0080383E">
      <w:pPr>
        <w:widowControl w:val="0"/>
        <w:ind w:left="720" w:hanging="720"/>
      </w:pPr>
      <w:r w:rsidRPr="0080383E">
        <w:t xml:space="preserve">Nguyen, C.P. and Nasir, M.A. (2021). An inquiry into the nexus between energy poverty and income inequality in the light of global evidence. </w:t>
      </w:r>
      <w:r w:rsidRPr="0080383E">
        <w:rPr>
          <w:i/>
        </w:rPr>
        <w:t>Energy Economics</w:t>
      </w:r>
      <w:r w:rsidRPr="0080383E">
        <w:t>, 99, p.105289. doi:</w:t>
      </w:r>
      <w:hyperlink r:id="rId35">
        <w:r w:rsidRPr="0080383E">
          <w:t>10.1016/j.eneco.2021.105289</w:t>
        </w:r>
      </w:hyperlink>
      <w:r w:rsidRPr="0080383E">
        <w:t>.</w:t>
      </w:r>
    </w:p>
    <w:p w14:paraId="1FBF2467" w14:textId="7519E32F" w:rsidR="00B42739" w:rsidRPr="0080383E" w:rsidRDefault="00B42739">
      <w:pPr>
        <w:widowControl w:val="0"/>
        <w:ind w:left="720" w:hanging="720"/>
        <w:rPr>
          <w:color w:val="00B050"/>
        </w:rPr>
      </w:pPr>
      <w:r w:rsidRPr="0080383E">
        <w:rPr>
          <w:color w:val="00B050"/>
        </w:rPr>
        <w:t>Ofgem (2021). Ofgem annual report and accounts 2021-2022</w:t>
      </w:r>
      <w:r w:rsidR="002E2AA6" w:rsidRPr="0080383E">
        <w:rPr>
          <w:color w:val="00B050"/>
        </w:rPr>
        <w:t xml:space="preserve">. </w:t>
      </w:r>
      <w:r w:rsidR="002E2AA6" w:rsidRPr="0080383E">
        <w:rPr>
          <w:i/>
          <w:iCs/>
          <w:color w:val="00B050"/>
        </w:rPr>
        <w:t xml:space="preserve">Ofgem. </w:t>
      </w:r>
      <w:r w:rsidR="002E2AA6" w:rsidRPr="0080383E">
        <w:rPr>
          <w:color w:val="00B050"/>
        </w:rPr>
        <w:t>Available online:</w:t>
      </w:r>
      <w:r w:rsidR="002E2AA6" w:rsidRPr="0080383E">
        <w:rPr>
          <w:b/>
          <w:bCs/>
          <w:color w:val="00B050"/>
        </w:rPr>
        <w:t xml:space="preserve"> </w:t>
      </w:r>
      <w:hyperlink r:id="rId36" w:history="1">
        <w:r w:rsidR="002E2AA6" w:rsidRPr="0080383E">
          <w:rPr>
            <w:rStyle w:val="Hyperlink"/>
            <w:color w:val="00B050"/>
          </w:rPr>
          <w:t>https://www.ofgem.gov.uk/publications/ofgem-annual-report-and-accounts-2021-22</w:t>
        </w:r>
      </w:hyperlink>
      <w:r w:rsidRPr="0080383E">
        <w:rPr>
          <w:color w:val="00B050"/>
        </w:rPr>
        <w:t xml:space="preserve"> </w:t>
      </w:r>
    </w:p>
    <w:p w14:paraId="00000090" w14:textId="77777777" w:rsidR="00083006" w:rsidRPr="0080383E" w:rsidRDefault="0080383E">
      <w:pPr>
        <w:widowControl w:val="0"/>
        <w:ind w:left="720" w:hanging="720"/>
      </w:pPr>
      <w:r w:rsidRPr="0080383E">
        <w:t xml:space="preserve">Ouyang, Y. and Li, P. (2018). On the nexus of financial development, economic growth, and energy consumption in China: New perspective from a GMM panel VAR approach. </w:t>
      </w:r>
      <w:r w:rsidRPr="0080383E">
        <w:rPr>
          <w:i/>
        </w:rPr>
        <w:t>Energy Economics</w:t>
      </w:r>
      <w:r w:rsidRPr="0080383E">
        <w:t>, 71, pp.238–252. doi:</w:t>
      </w:r>
      <w:hyperlink r:id="rId37">
        <w:r w:rsidRPr="0080383E">
          <w:t>10.1016/j.eneco.2018.02.015</w:t>
        </w:r>
      </w:hyperlink>
      <w:r w:rsidRPr="0080383E">
        <w:t>.</w:t>
      </w:r>
    </w:p>
    <w:p w14:paraId="0E92E873" w14:textId="6D794CE7" w:rsidR="00F7689A" w:rsidRPr="0080383E" w:rsidRDefault="00F7689A">
      <w:pPr>
        <w:widowControl w:val="0"/>
        <w:ind w:left="720" w:hanging="720"/>
        <w:rPr>
          <w:color w:val="00B050"/>
        </w:rPr>
      </w:pPr>
      <w:r w:rsidRPr="0080383E">
        <w:rPr>
          <w:color w:val="00B050"/>
          <w:shd w:val="clear" w:color="auto" w:fill="FFFFFF"/>
        </w:rPr>
        <w:t>Phillips, A.W., 1958. The relation between unemployment and the rate of change of money wage rates in the United Kingdom, 1861-1957. </w:t>
      </w:r>
      <w:proofErr w:type="spellStart"/>
      <w:r w:rsidRPr="0080383E">
        <w:rPr>
          <w:i/>
          <w:iCs/>
          <w:color w:val="00B050"/>
          <w:shd w:val="clear" w:color="auto" w:fill="FFFFFF"/>
        </w:rPr>
        <w:t>economica</w:t>
      </w:r>
      <w:proofErr w:type="spellEnd"/>
      <w:r w:rsidRPr="0080383E">
        <w:rPr>
          <w:color w:val="00B050"/>
          <w:shd w:val="clear" w:color="auto" w:fill="FFFFFF"/>
        </w:rPr>
        <w:t>, </w:t>
      </w:r>
      <w:r w:rsidRPr="0080383E">
        <w:rPr>
          <w:i/>
          <w:iCs/>
          <w:color w:val="00B050"/>
          <w:shd w:val="clear" w:color="auto" w:fill="FFFFFF"/>
        </w:rPr>
        <w:t>25</w:t>
      </w:r>
      <w:r w:rsidRPr="0080383E">
        <w:rPr>
          <w:color w:val="00B050"/>
          <w:shd w:val="clear" w:color="auto" w:fill="FFFFFF"/>
        </w:rPr>
        <w:t>(100), pp.283-299.</w:t>
      </w:r>
    </w:p>
    <w:p w14:paraId="00000091" w14:textId="78758D74" w:rsidR="00083006" w:rsidRPr="0080383E" w:rsidRDefault="0080383E">
      <w:pPr>
        <w:widowControl w:val="0"/>
        <w:ind w:left="720" w:hanging="720"/>
      </w:pPr>
      <w:proofErr w:type="spellStart"/>
      <w:r w:rsidRPr="0080383E">
        <w:lastRenderedPageBreak/>
        <w:t>Raggad</w:t>
      </w:r>
      <w:proofErr w:type="spellEnd"/>
      <w:r w:rsidRPr="0080383E">
        <w:t xml:space="preserve">, B. (2021). Time varying causal relationship between renewable energy consumption, oil prices and economic activity: </w:t>
      </w:r>
      <w:proofErr w:type="gramStart"/>
      <w:r w:rsidRPr="0080383E">
        <w:t>New</w:t>
      </w:r>
      <w:proofErr w:type="gramEnd"/>
      <w:r w:rsidRPr="0080383E">
        <w:t xml:space="preserve"> evidence from the United States. </w:t>
      </w:r>
      <w:r w:rsidRPr="0080383E">
        <w:rPr>
          <w:i/>
        </w:rPr>
        <w:t>Resources Policy</w:t>
      </w:r>
      <w:r w:rsidRPr="0080383E">
        <w:t>, 74, p.102422. doi:</w:t>
      </w:r>
      <w:hyperlink r:id="rId38">
        <w:r w:rsidRPr="0080383E">
          <w:t>10.1016/j.resourpol.2021.102422</w:t>
        </w:r>
      </w:hyperlink>
      <w:r w:rsidRPr="0080383E">
        <w:t>.</w:t>
      </w:r>
    </w:p>
    <w:p w14:paraId="50C088AF" w14:textId="219A41F4" w:rsidR="00E12531" w:rsidRPr="0080383E" w:rsidRDefault="00E12531">
      <w:pPr>
        <w:widowControl w:val="0"/>
        <w:ind w:left="720" w:hanging="720"/>
        <w:rPr>
          <w:color w:val="00B050"/>
        </w:rPr>
      </w:pPr>
      <w:r w:rsidRPr="0080383E">
        <w:rPr>
          <w:color w:val="00B050"/>
          <w:shd w:val="clear" w:color="auto" w:fill="FFFFFF"/>
        </w:rPr>
        <w:t xml:space="preserve">Rehman, M.U., Ali, </w:t>
      </w:r>
      <w:proofErr w:type="gramStart"/>
      <w:r w:rsidRPr="0080383E">
        <w:rPr>
          <w:color w:val="00B050"/>
          <w:shd w:val="clear" w:color="auto" w:fill="FFFFFF"/>
        </w:rPr>
        <w:t>S.</w:t>
      </w:r>
      <w:proofErr w:type="gramEnd"/>
      <w:r w:rsidRPr="0080383E">
        <w:rPr>
          <w:color w:val="00B050"/>
          <w:shd w:val="clear" w:color="auto" w:fill="FFFFFF"/>
        </w:rPr>
        <w:t xml:space="preserve"> and Shahzad, S.J.H., 2020. Asymmetric nonlinear impact of oil prices and inflation on residential property prices: a case of US, </w:t>
      </w:r>
      <w:proofErr w:type="gramStart"/>
      <w:r w:rsidRPr="0080383E">
        <w:rPr>
          <w:color w:val="00B050"/>
          <w:shd w:val="clear" w:color="auto" w:fill="FFFFFF"/>
        </w:rPr>
        <w:t>UK</w:t>
      </w:r>
      <w:proofErr w:type="gramEnd"/>
      <w:r w:rsidRPr="0080383E">
        <w:rPr>
          <w:color w:val="00B050"/>
          <w:shd w:val="clear" w:color="auto" w:fill="FFFFFF"/>
        </w:rPr>
        <w:t xml:space="preserve"> and Canada. </w:t>
      </w:r>
      <w:r w:rsidRPr="0080383E">
        <w:rPr>
          <w:i/>
          <w:iCs/>
          <w:color w:val="00B050"/>
          <w:shd w:val="clear" w:color="auto" w:fill="FFFFFF"/>
        </w:rPr>
        <w:t>The Journal of Real Estate Finance and Economics</w:t>
      </w:r>
      <w:r w:rsidRPr="0080383E">
        <w:rPr>
          <w:color w:val="00B050"/>
          <w:shd w:val="clear" w:color="auto" w:fill="FFFFFF"/>
        </w:rPr>
        <w:t>, </w:t>
      </w:r>
      <w:r w:rsidRPr="0080383E">
        <w:rPr>
          <w:i/>
          <w:iCs/>
          <w:color w:val="00B050"/>
          <w:shd w:val="clear" w:color="auto" w:fill="FFFFFF"/>
        </w:rPr>
        <w:t>61</w:t>
      </w:r>
      <w:r w:rsidRPr="0080383E">
        <w:rPr>
          <w:color w:val="00B050"/>
          <w:shd w:val="clear" w:color="auto" w:fill="FFFFFF"/>
        </w:rPr>
        <w:t>, pp.39-54.</w:t>
      </w:r>
    </w:p>
    <w:p w14:paraId="00000092" w14:textId="77777777" w:rsidR="00083006" w:rsidRPr="0080383E" w:rsidRDefault="0080383E">
      <w:pPr>
        <w:pBdr>
          <w:top w:val="nil"/>
          <w:left w:val="nil"/>
          <w:bottom w:val="nil"/>
          <w:right w:val="nil"/>
          <w:between w:val="nil"/>
        </w:pBdr>
        <w:ind w:left="720" w:hanging="720"/>
        <w:jc w:val="both"/>
      </w:pPr>
      <w:bookmarkStart w:id="14" w:name="_heading=h.26in1rg" w:colFirst="0" w:colLast="0"/>
      <w:bookmarkEnd w:id="14"/>
      <w:proofErr w:type="spellStart"/>
      <w:r w:rsidRPr="0080383E">
        <w:t>Rocheteau</w:t>
      </w:r>
      <w:proofErr w:type="spellEnd"/>
      <w:r w:rsidRPr="0080383E">
        <w:t xml:space="preserve">, G., Rupert, P., Wright, R., (2007). Inflation and unemployment in general equilibrium. </w:t>
      </w:r>
      <w:r w:rsidRPr="0080383E">
        <w:rPr>
          <w:i/>
        </w:rPr>
        <w:t>The Scandinavian Journal of Economics.</w:t>
      </w:r>
      <w:r w:rsidRPr="0080383E">
        <w:t xml:space="preserve"> 109(24), 837-855.</w:t>
      </w:r>
    </w:p>
    <w:p w14:paraId="15B4CB6E" w14:textId="34D3E973" w:rsidR="00B03F36" w:rsidRPr="0080383E" w:rsidRDefault="00B03F36">
      <w:pPr>
        <w:pBdr>
          <w:top w:val="nil"/>
          <w:left w:val="nil"/>
          <w:bottom w:val="nil"/>
          <w:right w:val="nil"/>
          <w:between w:val="nil"/>
        </w:pBdr>
        <w:ind w:left="720" w:hanging="720"/>
        <w:jc w:val="both"/>
        <w:rPr>
          <w:color w:val="00B050"/>
        </w:rPr>
      </w:pPr>
      <w:r w:rsidRPr="0080383E">
        <w:rPr>
          <w:color w:val="00B050"/>
          <w:shd w:val="clear" w:color="auto" w:fill="FFFFFF"/>
        </w:rPr>
        <w:t xml:space="preserve">Salisu, A.A., </w:t>
      </w:r>
      <w:proofErr w:type="spellStart"/>
      <w:r w:rsidRPr="0080383E">
        <w:rPr>
          <w:color w:val="00B050"/>
          <w:shd w:val="clear" w:color="auto" w:fill="FFFFFF"/>
        </w:rPr>
        <w:t>Ademuyiwa</w:t>
      </w:r>
      <w:proofErr w:type="spellEnd"/>
      <w:r w:rsidRPr="0080383E">
        <w:rPr>
          <w:color w:val="00B050"/>
          <w:shd w:val="clear" w:color="auto" w:fill="FFFFFF"/>
        </w:rPr>
        <w:t xml:space="preserve">, I. and </w:t>
      </w:r>
      <w:proofErr w:type="spellStart"/>
      <w:r w:rsidRPr="0080383E">
        <w:rPr>
          <w:color w:val="00B050"/>
          <w:shd w:val="clear" w:color="auto" w:fill="FFFFFF"/>
        </w:rPr>
        <w:t>Isah</w:t>
      </w:r>
      <w:proofErr w:type="spellEnd"/>
      <w:r w:rsidRPr="0080383E">
        <w:rPr>
          <w:color w:val="00B050"/>
          <w:shd w:val="clear" w:color="auto" w:fill="FFFFFF"/>
        </w:rPr>
        <w:t>, K.O., 2018. Revisiting the forecasting accuracy of Phillips curve: the role of oil price. </w:t>
      </w:r>
      <w:r w:rsidRPr="0080383E">
        <w:rPr>
          <w:i/>
          <w:iCs/>
          <w:color w:val="00B050"/>
          <w:shd w:val="clear" w:color="auto" w:fill="FFFFFF"/>
        </w:rPr>
        <w:t>Energy Economics</w:t>
      </w:r>
      <w:r w:rsidRPr="0080383E">
        <w:rPr>
          <w:color w:val="00B050"/>
          <w:shd w:val="clear" w:color="auto" w:fill="FFFFFF"/>
        </w:rPr>
        <w:t>, </w:t>
      </w:r>
      <w:r w:rsidRPr="0080383E">
        <w:rPr>
          <w:i/>
          <w:iCs/>
          <w:color w:val="00B050"/>
          <w:shd w:val="clear" w:color="auto" w:fill="FFFFFF"/>
        </w:rPr>
        <w:t>70</w:t>
      </w:r>
      <w:r w:rsidRPr="0080383E">
        <w:rPr>
          <w:color w:val="00B050"/>
          <w:shd w:val="clear" w:color="auto" w:fill="FFFFFF"/>
        </w:rPr>
        <w:t>, pp.334-356.</w:t>
      </w:r>
    </w:p>
    <w:p w14:paraId="00000093" w14:textId="16ECCE58" w:rsidR="00083006" w:rsidRPr="0080383E" w:rsidRDefault="0080383E">
      <w:pPr>
        <w:pBdr>
          <w:top w:val="nil"/>
          <w:left w:val="nil"/>
          <w:bottom w:val="nil"/>
          <w:right w:val="nil"/>
          <w:between w:val="nil"/>
        </w:pBdr>
        <w:ind w:left="720" w:hanging="720"/>
        <w:jc w:val="both"/>
      </w:pPr>
      <w:r w:rsidRPr="0080383E">
        <w:t xml:space="preserve">Salisu, A. A., </w:t>
      </w:r>
      <w:proofErr w:type="spellStart"/>
      <w:r w:rsidRPr="0080383E">
        <w:t>Isah</w:t>
      </w:r>
      <w:proofErr w:type="spellEnd"/>
      <w:r w:rsidRPr="0080383E">
        <w:t xml:space="preserve">, K. O., </w:t>
      </w:r>
      <w:proofErr w:type="spellStart"/>
      <w:r w:rsidRPr="0080383E">
        <w:t>Oyewole</w:t>
      </w:r>
      <w:proofErr w:type="spellEnd"/>
      <w:r w:rsidRPr="0080383E">
        <w:t xml:space="preserve">, O. J., </w:t>
      </w:r>
      <w:proofErr w:type="spellStart"/>
      <w:r w:rsidRPr="0080383E">
        <w:t>Akanni</w:t>
      </w:r>
      <w:proofErr w:type="spellEnd"/>
      <w:r w:rsidRPr="0080383E">
        <w:t xml:space="preserve">, L. O., (2017). Modelling oil price-inflation nexus: The role of asymmetries. </w:t>
      </w:r>
      <w:r w:rsidRPr="0080383E">
        <w:rPr>
          <w:i/>
        </w:rPr>
        <w:t>Energy.</w:t>
      </w:r>
      <w:r w:rsidRPr="0080383E">
        <w:t xml:space="preserve"> 125, 97-106.</w:t>
      </w:r>
    </w:p>
    <w:p w14:paraId="00000094" w14:textId="77777777" w:rsidR="00083006" w:rsidRPr="0080383E" w:rsidRDefault="0080383E">
      <w:pPr>
        <w:pBdr>
          <w:top w:val="nil"/>
          <w:left w:val="nil"/>
          <w:bottom w:val="nil"/>
          <w:right w:val="nil"/>
          <w:between w:val="nil"/>
        </w:pBdr>
        <w:ind w:left="720" w:hanging="720"/>
        <w:jc w:val="both"/>
      </w:pPr>
      <w:r w:rsidRPr="0080383E">
        <w:t xml:space="preserve">Seers, D., (1962). A theory </w:t>
      </w:r>
      <w:proofErr w:type="spellStart"/>
      <w:r w:rsidRPr="0080383E">
        <w:t>op</w:t>
      </w:r>
      <w:proofErr w:type="spellEnd"/>
      <w:r w:rsidRPr="0080383E">
        <w:t xml:space="preserve"> inflation and growth in under-developed economies based on the experience of Latin America. Oxford Economic Papers. 14(2), 173-195.</w:t>
      </w:r>
    </w:p>
    <w:p w14:paraId="1B129E3E" w14:textId="77777777" w:rsidR="00043BE0" w:rsidRPr="00CF5F26" w:rsidRDefault="00043BE0" w:rsidP="00043BE0">
      <w:pPr>
        <w:pBdr>
          <w:top w:val="nil"/>
          <w:left w:val="nil"/>
          <w:bottom w:val="nil"/>
          <w:right w:val="nil"/>
          <w:between w:val="nil"/>
        </w:pBdr>
        <w:ind w:left="720" w:hanging="720"/>
        <w:jc w:val="both"/>
        <w:rPr>
          <w:color w:val="FF3399"/>
        </w:rPr>
      </w:pPr>
      <w:r w:rsidRPr="00CF5F26">
        <w:rPr>
          <w:color w:val="FF3399"/>
        </w:rPr>
        <w:t xml:space="preserve">Sek, S. K., Teo, X. Q. and Wong, Y. N. (2015). A comparative study on the effects of oil price changes on inflation. </w:t>
      </w:r>
      <w:r w:rsidRPr="00CF5F26">
        <w:rPr>
          <w:i/>
          <w:iCs/>
          <w:color w:val="FF3399"/>
        </w:rPr>
        <w:t>Procedia Economics and Finance</w:t>
      </w:r>
      <w:r w:rsidRPr="00CF5F26">
        <w:rPr>
          <w:color w:val="FF3399"/>
        </w:rPr>
        <w:t>, 26, pp. 630 – 636.</w:t>
      </w:r>
    </w:p>
    <w:p w14:paraId="00000095" w14:textId="77777777" w:rsidR="00083006" w:rsidRPr="0080383E" w:rsidRDefault="0080383E">
      <w:pPr>
        <w:widowControl w:val="0"/>
        <w:ind w:left="720" w:hanging="720"/>
      </w:pPr>
      <w:r w:rsidRPr="0080383E">
        <w:t xml:space="preserve">Shahbaz, M., Nasir, M.A. and </w:t>
      </w:r>
      <w:proofErr w:type="spellStart"/>
      <w:r w:rsidRPr="0080383E">
        <w:t>Roubaud</w:t>
      </w:r>
      <w:proofErr w:type="spellEnd"/>
      <w:r w:rsidRPr="0080383E">
        <w:t xml:space="preserve">, D. (2018). Environmental degradation in France: The effects of FDI, financial development, and energy innovations. </w:t>
      </w:r>
      <w:r w:rsidRPr="0080383E">
        <w:rPr>
          <w:i/>
        </w:rPr>
        <w:t>Energy Economics</w:t>
      </w:r>
      <w:r w:rsidRPr="0080383E">
        <w:t>, [online] 74, pp.843–857. doi:</w:t>
      </w:r>
      <w:hyperlink r:id="rId39">
        <w:r w:rsidRPr="0080383E">
          <w:t>10.1016/j.eneco.2018.07.020</w:t>
        </w:r>
      </w:hyperlink>
      <w:r w:rsidRPr="0080383E">
        <w:t>.</w:t>
      </w:r>
    </w:p>
    <w:p w14:paraId="00000096" w14:textId="77777777" w:rsidR="00083006" w:rsidRPr="0080383E" w:rsidRDefault="0080383E">
      <w:pPr>
        <w:widowControl w:val="0"/>
        <w:ind w:left="720" w:hanging="720"/>
      </w:pPr>
      <w:r w:rsidRPr="0080383E">
        <w:t xml:space="preserve">Shahbaz, M., Zakaria, M., Shahzad, S.J.H. and </w:t>
      </w:r>
      <w:proofErr w:type="spellStart"/>
      <w:r w:rsidRPr="0080383E">
        <w:t>Mahalik</w:t>
      </w:r>
      <w:proofErr w:type="spellEnd"/>
      <w:r w:rsidRPr="0080383E">
        <w:t xml:space="preserve">, M.K. (2018). The energy consumption and economic growth nexus in top ten energy-consuming countries: Fresh evidence from using the quantile-on-quantile approach. </w:t>
      </w:r>
      <w:r w:rsidRPr="0080383E">
        <w:rPr>
          <w:i/>
        </w:rPr>
        <w:t>Energy Economics</w:t>
      </w:r>
      <w:r w:rsidRPr="0080383E">
        <w:t>, 71, pp.282–301. doi:</w:t>
      </w:r>
      <w:hyperlink r:id="rId40">
        <w:r w:rsidRPr="0080383E">
          <w:t>10.1016/j.eneco.2018.02.023</w:t>
        </w:r>
      </w:hyperlink>
      <w:r w:rsidRPr="0080383E">
        <w:t>.</w:t>
      </w:r>
    </w:p>
    <w:p w14:paraId="00000097" w14:textId="77777777" w:rsidR="00083006" w:rsidRPr="0080383E" w:rsidRDefault="0080383E">
      <w:pPr>
        <w:pBdr>
          <w:top w:val="nil"/>
          <w:left w:val="nil"/>
          <w:bottom w:val="nil"/>
          <w:right w:val="nil"/>
          <w:between w:val="nil"/>
        </w:pBdr>
        <w:ind w:left="720" w:hanging="720"/>
        <w:jc w:val="both"/>
      </w:pPr>
      <w:r w:rsidRPr="0080383E">
        <w:t xml:space="preserve">Sims, C. A., (1980). Macroeconomics and reality. </w:t>
      </w:r>
      <w:proofErr w:type="spellStart"/>
      <w:r w:rsidRPr="0080383E">
        <w:t>Econometrica</w:t>
      </w:r>
      <w:proofErr w:type="spellEnd"/>
      <w:r w:rsidRPr="0080383E">
        <w:t>:</w:t>
      </w:r>
      <w:r w:rsidRPr="0080383E">
        <w:rPr>
          <w:i/>
        </w:rPr>
        <w:t xml:space="preserve"> Journal of the Econometric Society. </w:t>
      </w:r>
      <w:r w:rsidRPr="0080383E">
        <w:t xml:space="preserve">48(1), 1-48. </w:t>
      </w:r>
    </w:p>
    <w:p w14:paraId="00000098" w14:textId="77777777" w:rsidR="00083006" w:rsidRPr="0080383E" w:rsidRDefault="0080383E">
      <w:pPr>
        <w:pBdr>
          <w:top w:val="nil"/>
          <w:left w:val="nil"/>
          <w:bottom w:val="nil"/>
          <w:right w:val="nil"/>
          <w:between w:val="nil"/>
        </w:pBdr>
        <w:ind w:left="720" w:hanging="720"/>
        <w:jc w:val="both"/>
      </w:pPr>
      <w:r w:rsidRPr="0080383E">
        <w:lastRenderedPageBreak/>
        <w:t xml:space="preserve">Stock, J. H., Watson, M. W., (2001). Vector autoregressions. </w:t>
      </w:r>
      <w:r w:rsidRPr="0080383E">
        <w:rPr>
          <w:i/>
        </w:rPr>
        <w:t xml:space="preserve">Journal of Economic Perspectives. </w:t>
      </w:r>
      <w:r w:rsidRPr="0080383E">
        <w:t xml:space="preserve">15(4), 101-115. </w:t>
      </w:r>
    </w:p>
    <w:p w14:paraId="00000099" w14:textId="4D602790" w:rsidR="00083006" w:rsidRDefault="0080383E">
      <w:pPr>
        <w:widowControl w:val="0"/>
        <w:ind w:left="720" w:hanging="720"/>
      </w:pPr>
      <w:bookmarkStart w:id="15" w:name="_heading=h.lnxbz9" w:colFirst="0" w:colLast="0"/>
      <w:bookmarkEnd w:id="15"/>
      <w:r w:rsidRPr="0080383E">
        <w:t xml:space="preserve">Talha, M., Sohail, M., Tariq, </w:t>
      </w:r>
      <w:proofErr w:type="gramStart"/>
      <w:r w:rsidRPr="0080383E">
        <w:t>R.</w:t>
      </w:r>
      <w:proofErr w:type="gramEnd"/>
      <w:r w:rsidRPr="0080383E">
        <w:t xml:space="preserve"> and Ahmad, M.T. (2021). Impact of oil prices, energy consumption and economic growth on the inflation rate in Malaysia. </w:t>
      </w:r>
      <w:proofErr w:type="spellStart"/>
      <w:r w:rsidRPr="0080383E">
        <w:rPr>
          <w:i/>
        </w:rPr>
        <w:t>Cuadernos</w:t>
      </w:r>
      <w:proofErr w:type="spellEnd"/>
      <w:r w:rsidRPr="0080383E">
        <w:rPr>
          <w:i/>
        </w:rPr>
        <w:t xml:space="preserve"> de Economía, </w:t>
      </w:r>
      <w:r w:rsidRPr="0080383E">
        <w:t>44(124), pp.26–32.</w:t>
      </w:r>
    </w:p>
    <w:p w14:paraId="7CDAA7D6" w14:textId="12D92BEA" w:rsidR="009F67E9" w:rsidRPr="009F67E9" w:rsidRDefault="009F67E9" w:rsidP="009F67E9">
      <w:pPr>
        <w:rPr>
          <w:color w:val="00B050"/>
          <w:shd w:val="clear" w:color="auto" w:fill="FFFFFF"/>
        </w:rPr>
      </w:pPr>
      <w:r w:rsidRPr="009F67E9">
        <w:rPr>
          <w:color w:val="00B050"/>
          <w:shd w:val="clear" w:color="auto" w:fill="FFFFFF"/>
        </w:rPr>
        <w:t xml:space="preserve">Tang, Y., Chen, X.H., </w:t>
      </w:r>
      <w:proofErr w:type="spellStart"/>
      <w:r w:rsidRPr="009F67E9">
        <w:rPr>
          <w:color w:val="00B050"/>
          <w:shd w:val="clear" w:color="auto" w:fill="FFFFFF"/>
        </w:rPr>
        <w:t>Sarker</w:t>
      </w:r>
      <w:proofErr w:type="spellEnd"/>
      <w:r w:rsidRPr="009F67E9">
        <w:rPr>
          <w:color w:val="00B050"/>
          <w:shd w:val="clear" w:color="auto" w:fill="FFFFFF"/>
        </w:rPr>
        <w:t>, P.K. and Baroudi, S., 2023. Asymmetric effects of geopolitical risks and uncertainties on green bond markets. </w:t>
      </w:r>
      <w:r w:rsidRPr="009F67E9">
        <w:rPr>
          <w:i/>
          <w:iCs/>
          <w:color w:val="00B050"/>
          <w:shd w:val="clear" w:color="auto" w:fill="FFFFFF"/>
        </w:rPr>
        <w:t>Technological Forecasting and Social Change</w:t>
      </w:r>
      <w:r w:rsidRPr="009F67E9">
        <w:rPr>
          <w:color w:val="00B050"/>
          <w:shd w:val="clear" w:color="auto" w:fill="FFFFFF"/>
        </w:rPr>
        <w:t>, </w:t>
      </w:r>
      <w:r w:rsidRPr="009F67E9">
        <w:rPr>
          <w:i/>
          <w:iCs/>
          <w:color w:val="00B050"/>
          <w:shd w:val="clear" w:color="auto" w:fill="FFFFFF"/>
        </w:rPr>
        <w:t>189</w:t>
      </w:r>
      <w:r w:rsidRPr="009F67E9">
        <w:rPr>
          <w:color w:val="00B050"/>
          <w:shd w:val="clear" w:color="auto" w:fill="FFFFFF"/>
        </w:rPr>
        <w:t>, p.122348.</w:t>
      </w:r>
    </w:p>
    <w:p w14:paraId="0000009A" w14:textId="77777777" w:rsidR="00083006" w:rsidRPr="0080383E" w:rsidRDefault="0080383E">
      <w:pPr>
        <w:widowControl w:val="0"/>
        <w:ind w:left="720" w:hanging="720"/>
      </w:pPr>
      <w:proofErr w:type="spellStart"/>
      <w:r w:rsidRPr="0080383E">
        <w:t>Tuzova</w:t>
      </w:r>
      <w:proofErr w:type="spellEnd"/>
      <w:r w:rsidRPr="0080383E">
        <w:t xml:space="preserve">, Y. and Qayum, F. (2016). Global oil glut and sanctions: The impact on Putin’s Russia. </w:t>
      </w:r>
      <w:r w:rsidRPr="0080383E">
        <w:rPr>
          <w:i/>
        </w:rPr>
        <w:t>Energy Policy</w:t>
      </w:r>
      <w:r w:rsidRPr="0080383E">
        <w:t>, 90, pp.140–151. doi:</w:t>
      </w:r>
      <w:hyperlink r:id="rId41">
        <w:r w:rsidRPr="0080383E">
          <w:t>10.1016/j.enpol.2015.12.008</w:t>
        </w:r>
      </w:hyperlink>
      <w:r w:rsidRPr="0080383E">
        <w:t>.</w:t>
      </w:r>
    </w:p>
    <w:p w14:paraId="6951FDFC" w14:textId="77777777" w:rsidR="00043BE0" w:rsidRPr="00490087" w:rsidRDefault="00043BE0" w:rsidP="00043BE0">
      <w:pPr>
        <w:widowControl w:val="0"/>
        <w:ind w:left="720" w:hanging="720"/>
        <w:jc w:val="thaiDistribute"/>
        <w:rPr>
          <w:color w:val="FF3399"/>
        </w:rPr>
      </w:pPr>
      <w:r w:rsidRPr="00490087">
        <w:rPr>
          <w:color w:val="FF3399"/>
        </w:rPr>
        <w:t xml:space="preserve">Ullah, S., Akhtar, P. and </w:t>
      </w:r>
      <w:proofErr w:type="spellStart"/>
      <w:r w:rsidRPr="00490087">
        <w:rPr>
          <w:color w:val="FF3399"/>
          <w:shd w:val="clear" w:color="auto" w:fill="FFFFFF"/>
        </w:rPr>
        <w:t>Zaefarian</w:t>
      </w:r>
      <w:proofErr w:type="spellEnd"/>
      <w:r w:rsidRPr="00490087">
        <w:rPr>
          <w:color w:val="FF3399"/>
          <w:shd w:val="clear" w:color="auto" w:fill="FFFFFF"/>
        </w:rPr>
        <w:t xml:space="preserve">, G. (2018). </w:t>
      </w:r>
      <w:r w:rsidRPr="00490087">
        <w:rPr>
          <w:color w:val="FF3399"/>
        </w:rPr>
        <w:t>Dealing with endogeneity bias: The generalized method of moments (GMM) for panel data.</w:t>
      </w:r>
      <w:r w:rsidRPr="00490087">
        <w:rPr>
          <w:i/>
          <w:iCs/>
          <w:color w:val="FF3399"/>
        </w:rPr>
        <w:t xml:space="preserve"> Industrial Marketing Management, </w:t>
      </w:r>
      <w:r w:rsidRPr="00490087">
        <w:rPr>
          <w:color w:val="FF3399"/>
        </w:rPr>
        <w:t>71, pp. 69-78.</w:t>
      </w:r>
    </w:p>
    <w:p w14:paraId="09898AF6" w14:textId="77777777" w:rsidR="00043BE0" w:rsidRPr="00490087" w:rsidRDefault="00043BE0" w:rsidP="00043BE0">
      <w:pPr>
        <w:widowControl w:val="0"/>
        <w:ind w:left="720" w:hanging="720"/>
        <w:jc w:val="thaiDistribute"/>
        <w:rPr>
          <w:color w:val="FF3399"/>
        </w:rPr>
      </w:pPr>
      <w:r w:rsidRPr="00490087">
        <w:rPr>
          <w:color w:val="FF3399"/>
        </w:rPr>
        <w:t xml:space="preserve">Ullah, S., </w:t>
      </w:r>
      <w:proofErr w:type="spellStart"/>
      <w:r w:rsidRPr="00490087">
        <w:rPr>
          <w:color w:val="FF3399"/>
          <w:shd w:val="clear" w:color="auto" w:fill="FFFFFF"/>
        </w:rPr>
        <w:t>Zaefarian</w:t>
      </w:r>
      <w:proofErr w:type="spellEnd"/>
      <w:r w:rsidRPr="00490087">
        <w:rPr>
          <w:color w:val="FF3399"/>
          <w:shd w:val="clear" w:color="auto" w:fill="FFFFFF"/>
        </w:rPr>
        <w:t xml:space="preserve">, G. and Ullah, F. (2021). </w:t>
      </w:r>
      <w:r w:rsidRPr="00490087">
        <w:rPr>
          <w:color w:val="FF3399"/>
        </w:rPr>
        <w:t xml:space="preserve">How to use instrumental variables in addressing endogeneity? A step-by-step procedure for non-specialists. </w:t>
      </w:r>
      <w:r w:rsidRPr="00490087">
        <w:rPr>
          <w:i/>
          <w:iCs/>
          <w:color w:val="FF3399"/>
        </w:rPr>
        <w:t xml:space="preserve">Industrial Marketing Management, </w:t>
      </w:r>
      <w:r w:rsidRPr="00490087">
        <w:rPr>
          <w:color w:val="FF3399"/>
        </w:rPr>
        <w:t>96, pp. A1-A6.</w:t>
      </w:r>
    </w:p>
    <w:p w14:paraId="0000009B" w14:textId="77777777" w:rsidR="00083006" w:rsidRPr="0080383E" w:rsidRDefault="0080383E">
      <w:pPr>
        <w:widowControl w:val="0"/>
        <w:ind w:left="720" w:hanging="720"/>
      </w:pPr>
      <w:r w:rsidRPr="0080383E">
        <w:t xml:space="preserve">Vatsa, </w:t>
      </w:r>
      <w:proofErr w:type="gramStart"/>
      <w:r w:rsidRPr="0080383E">
        <w:t>P.</w:t>
      </w:r>
      <w:proofErr w:type="gramEnd"/>
      <w:r w:rsidRPr="0080383E">
        <w:t xml:space="preserve"> and Basnet, H.C. (2020). The dynamics of energy prices and the Norwegian economy: A common trends and common cycles analysis. </w:t>
      </w:r>
      <w:r w:rsidRPr="0080383E">
        <w:rPr>
          <w:i/>
        </w:rPr>
        <w:t>Resources Policy</w:t>
      </w:r>
      <w:r w:rsidRPr="0080383E">
        <w:t>, 68, p.101791. doi:</w:t>
      </w:r>
      <w:hyperlink r:id="rId42">
        <w:r w:rsidRPr="0080383E">
          <w:t>10.1016/j.resourpol.2020.101791</w:t>
        </w:r>
      </w:hyperlink>
      <w:r w:rsidRPr="0080383E">
        <w:t>.</w:t>
      </w:r>
    </w:p>
    <w:p w14:paraId="0000009C" w14:textId="75843906" w:rsidR="00083006" w:rsidRPr="0080383E" w:rsidRDefault="0080383E">
      <w:pPr>
        <w:widowControl w:val="0"/>
        <w:ind w:left="720" w:hanging="720"/>
      </w:pPr>
      <w:r w:rsidRPr="0080383E">
        <w:t xml:space="preserve">Wang, Q., </w:t>
      </w:r>
      <w:proofErr w:type="spellStart"/>
      <w:r w:rsidRPr="0080383E">
        <w:t>Su</w:t>
      </w:r>
      <w:proofErr w:type="spellEnd"/>
      <w:r w:rsidRPr="0080383E">
        <w:t xml:space="preserve">, M., Li, R. and Ponce, P. (2019). The effects of energy prices, </w:t>
      </w:r>
      <w:proofErr w:type="gramStart"/>
      <w:r w:rsidRPr="0080383E">
        <w:t>urbanization</w:t>
      </w:r>
      <w:proofErr w:type="gramEnd"/>
      <w:r w:rsidRPr="0080383E">
        <w:t xml:space="preserve"> and economic growth on energy consumption per capita in 186 countries. </w:t>
      </w:r>
      <w:r w:rsidRPr="0080383E">
        <w:rPr>
          <w:i/>
        </w:rPr>
        <w:t>Journal of Cleaner Production</w:t>
      </w:r>
      <w:r w:rsidRPr="0080383E">
        <w:t>, 225, pp.1017–1032. doi:</w:t>
      </w:r>
      <w:hyperlink r:id="rId43">
        <w:r w:rsidRPr="0080383E">
          <w:t>10.1016/j.jclepro.2019.04.008</w:t>
        </w:r>
      </w:hyperlink>
      <w:r w:rsidRPr="0080383E">
        <w:t>.</w:t>
      </w:r>
    </w:p>
    <w:p w14:paraId="6C8CA3D9" w14:textId="61070B6C" w:rsidR="002D3694" w:rsidRPr="0080383E" w:rsidRDefault="002D3694">
      <w:pPr>
        <w:widowControl w:val="0"/>
        <w:ind w:left="720" w:hanging="720"/>
        <w:rPr>
          <w:color w:val="00B050"/>
        </w:rPr>
      </w:pPr>
      <w:r w:rsidRPr="0080383E">
        <w:rPr>
          <w:color w:val="00B050"/>
          <w:shd w:val="clear" w:color="auto" w:fill="FFFFFF"/>
        </w:rPr>
        <w:t>Wei, Y. and Guo, X., 2016. An empirical analysis of the relationship between oil prices and the Chinese macro-economy. </w:t>
      </w:r>
      <w:r w:rsidRPr="0080383E">
        <w:rPr>
          <w:i/>
          <w:iCs/>
          <w:color w:val="00B050"/>
          <w:shd w:val="clear" w:color="auto" w:fill="FFFFFF"/>
        </w:rPr>
        <w:t>Energy Economics</w:t>
      </w:r>
      <w:r w:rsidRPr="0080383E">
        <w:rPr>
          <w:color w:val="00B050"/>
          <w:shd w:val="clear" w:color="auto" w:fill="FFFFFF"/>
        </w:rPr>
        <w:t>, </w:t>
      </w:r>
      <w:r w:rsidRPr="0080383E">
        <w:rPr>
          <w:i/>
          <w:iCs/>
          <w:color w:val="00B050"/>
          <w:shd w:val="clear" w:color="auto" w:fill="FFFFFF"/>
        </w:rPr>
        <w:t>56</w:t>
      </w:r>
      <w:r w:rsidRPr="0080383E">
        <w:rPr>
          <w:color w:val="00B050"/>
          <w:shd w:val="clear" w:color="auto" w:fill="FFFFFF"/>
        </w:rPr>
        <w:t>, pp.88-100.</w:t>
      </w:r>
    </w:p>
    <w:p w14:paraId="788F4714" w14:textId="265F8F06" w:rsidR="009F67E9" w:rsidRPr="009F67E9" w:rsidRDefault="0080383E" w:rsidP="009F67E9">
      <w:pPr>
        <w:widowControl w:val="0"/>
        <w:ind w:left="720" w:hanging="720"/>
      </w:pPr>
      <w:r w:rsidRPr="0080383E">
        <w:t xml:space="preserve">Wu, Y., Zhu, Q. and Zhu, B. (2018). Comparisons of decoupling trends of global economic </w:t>
      </w:r>
      <w:r w:rsidRPr="0080383E">
        <w:lastRenderedPageBreak/>
        <w:t xml:space="preserve">growth and energy consumption between developed and developing countries. </w:t>
      </w:r>
      <w:r w:rsidRPr="0080383E">
        <w:rPr>
          <w:i/>
        </w:rPr>
        <w:t>Energy Policy</w:t>
      </w:r>
      <w:r w:rsidRPr="0080383E">
        <w:t>, 116, pp.30–38. doi:</w:t>
      </w:r>
      <w:hyperlink r:id="rId44">
        <w:r w:rsidRPr="0080383E">
          <w:t>10.1016/j.enpol.2018.01.047</w:t>
        </w:r>
      </w:hyperlink>
      <w:r w:rsidRPr="0080383E">
        <w:t>.</w:t>
      </w:r>
    </w:p>
    <w:p w14:paraId="534E066A" w14:textId="77777777" w:rsidR="00043BE0" w:rsidRDefault="00043BE0" w:rsidP="00043BE0">
      <w:pPr>
        <w:widowControl w:val="0"/>
        <w:ind w:left="720" w:hanging="720"/>
        <w:jc w:val="thaiDistribute"/>
        <w:rPr>
          <w:color w:val="FF3399"/>
        </w:rPr>
      </w:pPr>
      <w:r w:rsidRPr="00490087">
        <w:rPr>
          <w:color w:val="FF3399"/>
        </w:rPr>
        <w:t xml:space="preserve">Xu, B. and Lin, B. (2017). What cause a surge in China's CO2 emissions? A dynamic vector autoregression analysis. </w:t>
      </w:r>
      <w:r w:rsidRPr="00490087">
        <w:rPr>
          <w:i/>
          <w:iCs/>
          <w:color w:val="FF3399"/>
        </w:rPr>
        <w:t>Journal of Cleaner Production</w:t>
      </w:r>
      <w:r w:rsidRPr="00490087">
        <w:rPr>
          <w:color w:val="FF3399"/>
        </w:rPr>
        <w:t>, 143, pp. 17-26.</w:t>
      </w:r>
    </w:p>
    <w:p w14:paraId="2BA6B3C4" w14:textId="103B7040" w:rsidR="009F67E9" w:rsidRPr="00043BE0" w:rsidRDefault="009F67E9" w:rsidP="00043BE0">
      <w:pPr>
        <w:widowControl w:val="0"/>
        <w:ind w:left="720" w:hanging="720"/>
        <w:jc w:val="thaiDistribute"/>
        <w:rPr>
          <w:color w:val="FF3399"/>
        </w:rPr>
      </w:pPr>
      <w:r w:rsidRPr="009F67E9">
        <w:rPr>
          <w:color w:val="00B050"/>
          <w:shd w:val="clear" w:color="auto" w:fill="FFFFFF"/>
        </w:rPr>
        <w:t>Zhang, D., Chen, X.H., Lau, C.K.M. and Xu, B., 2023. Implications of cryptocurrency energy usage on climate change. </w:t>
      </w:r>
      <w:r w:rsidRPr="009F67E9">
        <w:rPr>
          <w:i/>
          <w:iCs/>
          <w:color w:val="00B050"/>
          <w:shd w:val="clear" w:color="auto" w:fill="FFFFFF"/>
        </w:rPr>
        <w:t>Technological Forecasting and Social Change</w:t>
      </w:r>
      <w:r w:rsidRPr="009F67E9">
        <w:rPr>
          <w:color w:val="00B050"/>
          <w:shd w:val="clear" w:color="auto" w:fill="FFFFFF"/>
        </w:rPr>
        <w:t>, </w:t>
      </w:r>
      <w:r w:rsidRPr="009F67E9">
        <w:rPr>
          <w:i/>
          <w:iCs/>
          <w:color w:val="00B050"/>
          <w:shd w:val="clear" w:color="auto" w:fill="FFFFFF"/>
        </w:rPr>
        <w:t>187</w:t>
      </w:r>
      <w:r w:rsidRPr="009F67E9">
        <w:rPr>
          <w:color w:val="00B050"/>
          <w:shd w:val="clear" w:color="auto" w:fill="FFFFFF"/>
        </w:rPr>
        <w:t>, p.122219.</w:t>
      </w:r>
    </w:p>
    <w:p w14:paraId="05D3E68B" w14:textId="77777777" w:rsidR="00043BE0" w:rsidRPr="00490087" w:rsidRDefault="00043BE0" w:rsidP="00043BE0">
      <w:pPr>
        <w:widowControl w:val="0"/>
        <w:ind w:left="720" w:hanging="720"/>
        <w:jc w:val="thaiDistribute"/>
        <w:rPr>
          <w:color w:val="FF3399"/>
        </w:rPr>
      </w:pPr>
      <w:proofErr w:type="spellStart"/>
      <w:r w:rsidRPr="00490087">
        <w:rPr>
          <w:color w:val="FF3399"/>
          <w:szCs w:val="30"/>
          <w:lang w:bidi="th-TH"/>
        </w:rPr>
        <w:t>Zivot</w:t>
      </w:r>
      <w:proofErr w:type="spellEnd"/>
      <w:r w:rsidRPr="00490087">
        <w:rPr>
          <w:color w:val="FF3399"/>
          <w:szCs w:val="30"/>
          <w:lang w:bidi="th-TH"/>
        </w:rPr>
        <w:t xml:space="preserve">, E. and Wang, J. (2006). </w:t>
      </w:r>
      <w:r w:rsidRPr="00490087">
        <w:rPr>
          <w:color w:val="FF3399"/>
        </w:rPr>
        <w:t>Vector autoregressive models for multivariate time series.</w:t>
      </w:r>
      <w:r w:rsidRPr="00490087">
        <w:rPr>
          <w:color w:val="FF3399"/>
          <w:szCs w:val="30"/>
          <w:lang w:bidi="th-TH"/>
        </w:rPr>
        <w:t xml:space="preserve"> In: </w:t>
      </w:r>
      <w:r w:rsidRPr="00490087">
        <w:rPr>
          <w:color w:val="FF3399"/>
        </w:rPr>
        <w:t>Modeling Financial Time Series with S-PLUS®. Springer, pp.</w:t>
      </w:r>
      <w:r w:rsidRPr="00490087">
        <w:rPr>
          <w:color w:val="FF3399"/>
          <w:shd w:val="clear" w:color="auto" w:fill="FFFFFF"/>
        </w:rPr>
        <w:t xml:space="preserve"> 385–429</w:t>
      </w:r>
      <w:r w:rsidRPr="00490087">
        <w:rPr>
          <w:color w:val="FF3399"/>
        </w:rPr>
        <w:t>.</w:t>
      </w:r>
    </w:p>
    <w:p w14:paraId="3F8FAC5B" w14:textId="77777777" w:rsidR="00043BE0" w:rsidRPr="009F67E9" w:rsidRDefault="00043BE0" w:rsidP="009F67E9">
      <w:pPr>
        <w:rPr>
          <w:color w:val="00B050"/>
        </w:rPr>
      </w:pPr>
    </w:p>
    <w:p w14:paraId="0DD67D3D" w14:textId="77777777" w:rsidR="009F67E9" w:rsidRPr="0080383E" w:rsidRDefault="009F67E9">
      <w:pPr>
        <w:widowControl w:val="0"/>
        <w:ind w:left="720" w:hanging="720"/>
      </w:pPr>
    </w:p>
    <w:p w14:paraId="0000009E" w14:textId="77777777" w:rsidR="00083006" w:rsidRPr="00CC0F64" w:rsidRDefault="00083006">
      <w:pPr>
        <w:pBdr>
          <w:top w:val="nil"/>
          <w:left w:val="nil"/>
          <w:bottom w:val="nil"/>
          <w:right w:val="nil"/>
          <w:between w:val="nil"/>
        </w:pBdr>
        <w:ind w:left="720" w:hanging="720"/>
        <w:jc w:val="both"/>
      </w:pPr>
    </w:p>
    <w:p w14:paraId="0000009F" w14:textId="77777777" w:rsidR="00083006" w:rsidRPr="00CC0F64" w:rsidRDefault="00083006">
      <w:pPr>
        <w:pBdr>
          <w:top w:val="nil"/>
          <w:left w:val="nil"/>
          <w:bottom w:val="nil"/>
          <w:right w:val="nil"/>
          <w:between w:val="nil"/>
        </w:pBdr>
        <w:ind w:left="720" w:hanging="720"/>
        <w:jc w:val="both"/>
      </w:pPr>
    </w:p>
    <w:p w14:paraId="000000A0" w14:textId="77777777" w:rsidR="00083006" w:rsidRPr="00CC0F64" w:rsidRDefault="00083006">
      <w:pPr>
        <w:pBdr>
          <w:top w:val="nil"/>
          <w:left w:val="nil"/>
          <w:bottom w:val="nil"/>
          <w:right w:val="nil"/>
          <w:between w:val="nil"/>
        </w:pBdr>
        <w:ind w:left="720" w:hanging="720"/>
        <w:jc w:val="both"/>
      </w:pPr>
    </w:p>
    <w:p w14:paraId="000000A1" w14:textId="77777777" w:rsidR="00083006" w:rsidRPr="00CC0F64" w:rsidRDefault="0080383E">
      <w:pPr>
        <w:rPr>
          <w:b/>
        </w:rPr>
        <w:sectPr w:rsidR="00083006" w:rsidRPr="00CC0F64">
          <w:footerReference w:type="default" r:id="rId45"/>
          <w:pgSz w:w="11906" w:h="16838"/>
          <w:pgMar w:top="1440" w:right="1440" w:bottom="1440" w:left="1440" w:header="720" w:footer="720" w:gutter="0"/>
          <w:pgNumType w:start="1"/>
          <w:cols w:space="720"/>
        </w:sectPr>
      </w:pPr>
      <w:r w:rsidRPr="00CC0F64">
        <w:br w:type="page"/>
      </w:r>
    </w:p>
    <w:p w14:paraId="000000A2" w14:textId="77777777" w:rsidR="00083006" w:rsidRPr="00CC0F64" w:rsidRDefault="0080383E">
      <w:pPr>
        <w:spacing w:line="240" w:lineRule="auto"/>
        <w:rPr>
          <w:b/>
          <w:sz w:val="20"/>
          <w:szCs w:val="20"/>
        </w:rPr>
      </w:pPr>
      <w:r w:rsidRPr="00CC0F64">
        <w:rPr>
          <w:b/>
          <w:sz w:val="20"/>
          <w:szCs w:val="20"/>
        </w:rPr>
        <w:lastRenderedPageBreak/>
        <w:t>Table 1. Descriptive statistics.</w:t>
      </w:r>
    </w:p>
    <w:tbl>
      <w:tblPr>
        <w:tblStyle w:val="a"/>
        <w:tblW w:w="13746" w:type="dxa"/>
        <w:jc w:val="center"/>
        <w:tblLayout w:type="fixed"/>
        <w:tblLook w:val="0400" w:firstRow="0" w:lastRow="0" w:firstColumn="0" w:lastColumn="0" w:noHBand="0" w:noVBand="1"/>
      </w:tblPr>
      <w:tblGrid>
        <w:gridCol w:w="1780"/>
        <w:gridCol w:w="1300"/>
        <w:gridCol w:w="960"/>
        <w:gridCol w:w="960"/>
        <w:gridCol w:w="960"/>
        <w:gridCol w:w="961"/>
        <w:gridCol w:w="960"/>
        <w:gridCol w:w="960"/>
        <w:gridCol w:w="960"/>
        <w:gridCol w:w="960"/>
        <w:gridCol w:w="960"/>
        <w:gridCol w:w="894"/>
        <w:gridCol w:w="1131"/>
      </w:tblGrid>
      <w:tr w:rsidR="007E3981" w:rsidRPr="00CC0F64" w14:paraId="1DC46641" w14:textId="77777777">
        <w:trPr>
          <w:trHeight w:val="290"/>
          <w:jc w:val="center"/>
        </w:trPr>
        <w:tc>
          <w:tcPr>
            <w:tcW w:w="1780" w:type="dxa"/>
            <w:tcBorders>
              <w:top w:val="single" w:sz="4" w:space="0" w:color="000000"/>
              <w:bottom w:val="single" w:sz="4" w:space="0" w:color="000000"/>
            </w:tcBorders>
            <w:shd w:val="clear" w:color="auto" w:fill="auto"/>
            <w:vAlign w:val="center"/>
          </w:tcPr>
          <w:p w14:paraId="000000A3" w14:textId="77777777" w:rsidR="00083006" w:rsidRPr="00CC0F64" w:rsidRDefault="0080383E">
            <w:pPr>
              <w:spacing w:line="240" w:lineRule="auto"/>
              <w:jc w:val="center"/>
              <w:rPr>
                <w:sz w:val="20"/>
                <w:szCs w:val="20"/>
              </w:rPr>
            </w:pPr>
            <w:r w:rsidRPr="00CC0F64">
              <w:rPr>
                <w:sz w:val="20"/>
                <w:szCs w:val="20"/>
              </w:rPr>
              <w:t>Variables</w:t>
            </w:r>
          </w:p>
        </w:tc>
        <w:tc>
          <w:tcPr>
            <w:tcW w:w="1300" w:type="dxa"/>
            <w:tcBorders>
              <w:top w:val="single" w:sz="4" w:space="0" w:color="000000"/>
              <w:bottom w:val="single" w:sz="4" w:space="0" w:color="000000"/>
            </w:tcBorders>
            <w:shd w:val="clear" w:color="auto" w:fill="auto"/>
            <w:vAlign w:val="center"/>
          </w:tcPr>
          <w:p w14:paraId="000000A4" w14:textId="77777777" w:rsidR="00083006" w:rsidRPr="00CC0F64" w:rsidRDefault="0080383E">
            <w:pPr>
              <w:spacing w:line="240" w:lineRule="auto"/>
              <w:jc w:val="center"/>
              <w:rPr>
                <w:sz w:val="20"/>
                <w:szCs w:val="20"/>
              </w:rPr>
            </w:pPr>
            <w:r w:rsidRPr="00CC0F64">
              <w:rPr>
                <w:sz w:val="20"/>
                <w:szCs w:val="20"/>
              </w:rPr>
              <w:t>N</w:t>
            </w:r>
          </w:p>
        </w:tc>
        <w:tc>
          <w:tcPr>
            <w:tcW w:w="960" w:type="dxa"/>
            <w:tcBorders>
              <w:top w:val="single" w:sz="4" w:space="0" w:color="000000"/>
              <w:bottom w:val="single" w:sz="4" w:space="0" w:color="000000"/>
            </w:tcBorders>
            <w:shd w:val="clear" w:color="auto" w:fill="auto"/>
            <w:vAlign w:val="center"/>
          </w:tcPr>
          <w:p w14:paraId="000000A5" w14:textId="77777777" w:rsidR="00083006" w:rsidRPr="00CC0F64" w:rsidRDefault="0080383E">
            <w:pPr>
              <w:spacing w:line="240" w:lineRule="auto"/>
              <w:jc w:val="center"/>
              <w:rPr>
                <w:sz w:val="20"/>
                <w:szCs w:val="20"/>
              </w:rPr>
            </w:pPr>
            <w:r w:rsidRPr="00CC0F64">
              <w:rPr>
                <w:sz w:val="20"/>
                <w:szCs w:val="20"/>
              </w:rPr>
              <w:t xml:space="preserve"> Mean</w:t>
            </w:r>
          </w:p>
        </w:tc>
        <w:tc>
          <w:tcPr>
            <w:tcW w:w="960" w:type="dxa"/>
            <w:tcBorders>
              <w:top w:val="single" w:sz="4" w:space="0" w:color="000000"/>
              <w:bottom w:val="single" w:sz="4" w:space="0" w:color="000000"/>
            </w:tcBorders>
            <w:shd w:val="clear" w:color="auto" w:fill="auto"/>
            <w:vAlign w:val="center"/>
          </w:tcPr>
          <w:p w14:paraId="000000A6" w14:textId="77777777" w:rsidR="00083006" w:rsidRPr="00CC0F64" w:rsidRDefault="0080383E">
            <w:pPr>
              <w:spacing w:line="240" w:lineRule="auto"/>
              <w:jc w:val="center"/>
              <w:rPr>
                <w:sz w:val="20"/>
                <w:szCs w:val="20"/>
              </w:rPr>
            </w:pPr>
            <w:r w:rsidRPr="00CC0F64">
              <w:rPr>
                <w:sz w:val="20"/>
                <w:szCs w:val="20"/>
              </w:rPr>
              <w:t>Std. dev.</w:t>
            </w:r>
          </w:p>
        </w:tc>
        <w:tc>
          <w:tcPr>
            <w:tcW w:w="960" w:type="dxa"/>
            <w:tcBorders>
              <w:top w:val="single" w:sz="4" w:space="0" w:color="000000"/>
              <w:bottom w:val="single" w:sz="4" w:space="0" w:color="000000"/>
            </w:tcBorders>
            <w:shd w:val="clear" w:color="auto" w:fill="auto"/>
            <w:vAlign w:val="center"/>
          </w:tcPr>
          <w:p w14:paraId="000000A7" w14:textId="77777777" w:rsidR="00083006" w:rsidRPr="00CC0F64" w:rsidRDefault="0080383E">
            <w:pPr>
              <w:spacing w:line="240" w:lineRule="auto"/>
              <w:jc w:val="center"/>
              <w:rPr>
                <w:sz w:val="20"/>
                <w:szCs w:val="20"/>
              </w:rPr>
            </w:pPr>
            <w:r w:rsidRPr="00CC0F64">
              <w:rPr>
                <w:sz w:val="20"/>
                <w:szCs w:val="20"/>
              </w:rPr>
              <w:t>Median</w:t>
            </w:r>
          </w:p>
        </w:tc>
        <w:tc>
          <w:tcPr>
            <w:tcW w:w="961" w:type="dxa"/>
            <w:tcBorders>
              <w:top w:val="single" w:sz="4" w:space="0" w:color="000000"/>
              <w:bottom w:val="single" w:sz="4" w:space="0" w:color="000000"/>
            </w:tcBorders>
            <w:shd w:val="clear" w:color="auto" w:fill="auto"/>
            <w:vAlign w:val="center"/>
          </w:tcPr>
          <w:p w14:paraId="000000A8" w14:textId="77777777" w:rsidR="00083006" w:rsidRPr="00CC0F64" w:rsidRDefault="0080383E">
            <w:pPr>
              <w:spacing w:line="240" w:lineRule="auto"/>
              <w:jc w:val="center"/>
              <w:rPr>
                <w:sz w:val="20"/>
                <w:szCs w:val="20"/>
              </w:rPr>
            </w:pPr>
            <w:r w:rsidRPr="00CC0F64">
              <w:rPr>
                <w:sz w:val="20"/>
                <w:szCs w:val="20"/>
              </w:rPr>
              <w:t>Trimmed</w:t>
            </w:r>
          </w:p>
        </w:tc>
        <w:tc>
          <w:tcPr>
            <w:tcW w:w="960" w:type="dxa"/>
            <w:tcBorders>
              <w:top w:val="single" w:sz="4" w:space="0" w:color="000000"/>
              <w:bottom w:val="single" w:sz="4" w:space="0" w:color="000000"/>
            </w:tcBorders>
            <w:shd w:val="clear" w:color="auto" w:fill="auto"/>
            <w:vAlign w:val="center"/>
          </w:tcPr>
          <w:p w14:paraId="000000A9" w14:textId="77777777" w:rsidR="00083006" w:rsidRPr="00CC0F64" w:rsidRDefault="0080383E">
            <w:pPr>
              <w:spacing w:line="240" w:lineRule="auto"/>
              <w:jc w:val="center"/>
              <w:rPr>
                <w:sz w:val="20"/>
                <w:szCs w:val="20"/>
              </w:rPr>
            </w:pPr>
            <w:r w:rsidRPr="00CC0F64">
              <w:rPr>
                <w:sz w:val="20"/>
                <w:szCs w:val="20"/>
              </w:rPr>
              <w:t xml:space="preserve">Mad </w:t>
            </w:r>
          </w:p>
        </w:tc>
        <w:tc>
          <w:tcPr>
            <w:tcW w:w="960" w:type="dxa"/>
            <w:tcBorders>
              <w:top w:val="single" w:sz="4" w:space="0" w:color="000000"/>
              <w:bottom w:val="single" w:sz="4" w:space="0" w:color="000000"/>
            </w:tcBorders>
            <w:shd w:val="clear" w:color="auto" w:fill="auto"/>
            <w:vAlign w:val="center"/>
          </w:tcPr>
          <w:p w14:paraId="000000AA" w14:textId="77777777" w:rsidR="00083006" w:rsidRPr="00CC0F64" w:rsidRDefault="0080383E">
            <w:pPr>
              <w:spacing w:line="240" w:lineRule="auto"/>
              <w:jc w:val="center"/>
              <w:rPr>
                <w:sz w:val="20"/>
                <w:szCs w:val="20"/>
              </w:rPr>
            </w:pPr>
            <w:r w:rsidRPr="00CC0F64">
              <w:rPr>
                <w:sz w:val="20"/>
                <w:szCs w:val="20"/>
              </w:rPr>
              <w:t xml:space="preserve"> Min</w:t>
            </w:r>
          </w:p>
        </w:tc>
        <w:tc>
          <w:tcPr>
            <w:tcW w:w="960" w:type="dxa"/>
            <w:tcBorders>
              <w:top w:val="single" w:sz="4" w:space="0" w:color="000000"/>
              <w:bottom w:val="single" w:sz="4" w:space="0" w:color="000000"/>
            </w:tcBorders>
            <w:shd w:val="clear" w:color="auto" w:fill="auto"/>
            <w:vAlign w:val="center"/>
          </w:tcPr>
          <w:p w14:paraId="000000AB" w14:textId="77777777" w:rsidR="00083006" w:rsidRPr="00CC0F64" w:rsidRDefault="0080383E">
            <w:pPr>
              <w:spacing w:line="240" w:lineRule="auto"/>
              <w:jc w:val="center"/>
              <w:rPr>
                <w:sz w:val="20"/>
                <w:szCs w:val="20"/>
              </w:rPr>
            </w:pPr>
            <w:r w:rsidRPr="00CC0F64">
              <w:rPr>
                <w:sz w:val="20"/>
                <w:szCs w:val="20"/>
              </w:rPr>
              <w:t xml:space="preserve"> Max</w:t>
            </w:r>
          </w:p>
        </w:tc>
        <w:tc>
          <w:tcPr>
            <w:tcW w:w="960" w:type="dxa"/>
            <w:tcBorders>
              <w:top w:val="single" w:sz="4" w:space="0" w:color="000000"/>
              <w:bottom w:val="single" w:sz="4" w:space="0" w:color="000000"/>
            </w:tcBorders>
            <w:shd w:val="clear" w:color="auto" w:fill="auto"/>
            <w:vAlign w:val="center"/>
          </w:tcPr>
          <w:p w14:paraId="000000AC" w14:textId="77777777" w:rsidR="00083006" w:rsidRPr="00CC0F64" w:rsidRDefault="0080383E">
            <w:pPr>
              <w:spacing w:line="240" w:lineRule="auto"/>
              <w:jc w:val="center"/>
              <w:rPr>
                <w:sz w:val="20"/>
                <w:szCs w:val="20"/>
              </w:rPr>
            </w:pPr>
            <w:r w:rsidRPr="00CC0F64">
              <w:rPr>
                <w:sz w:val="20"/>
                <w:szCs w:val="20"/>
              </w:rPr>
              <w:t xml:space="preserve">Range </w:t>
            </w:r>
          </w:p>
        </w:tc>
        <w:tc>
          <w:tcPr>
            <w:tcW w:w="960" w:type="dxa"/>
            <w:tcBorders>
              <w:top w:val="single" w:sz="4" w:space="0" w:color="000000"/>
              <w:bottom w:val="single" w:sz="4" w:space="0" w:color="000000"/>
            </w:tcBorders>
            <w:shd w:val="clear" w:color="auto" w:fill="auto"/>
            <w:vAlign w:val="center"/>
          </w:tcPr>
          <w:p w14:paraId="000000AD" w14:textId="77777777" w:rsidR="00083006" w:rsidRPr="00CC0F64" w:rsidRDefault="0080383E">
            <w:pPr>
              <w:spacing w:line="240" w:lineRule="auto"/>
              <w:jc w:val="center"/>
              <w:rPr>
                <w:sz w:val="20"/>
                <w:szCs w:val="20"/>
              </w:rPr>
            </w:pPr>
            <w:r w:rsidRPr="00CC0F64">
              <w:rPr>
                <w:sz w:val="20"/>
                <w:szCs w:val="20"/>
              </w:rPr>
              <w:t>Skew</w:t>
            </w:r>
          </w:p>
        </w:tc>
        <w:tc>
          <w:tcPr>
            <w:tcW w:w="894" w:type="dxa"/>
            <w:tcBorders>
              <w:top w:val="single" w:sz="4" w:space="0" w:color="000000"/>
              <w:bottom w:val="single" w:sz="4" w:space="0" w:color="000000"/>
            </w:tcBorders>
            <w:shd w:val="clear" w:color="auto" w:fill="auto"/>
            <w:vAlign w:val="center"/>
          </w:tcPr>
          <w:p w14:paraId="000000AE" w14:textId="77777777" w:rsidR="00083006" w:rsidRPr="00CC0F64" w:rsidRDefault="0080383E">
            <w:pPr>
              <w:spacing w:line="240" w:lineRule="auto"/>
              <w:jc w:val="center"/>
              <w:rPr>
                <w:sz w:val="20"/>
                <w:szCs w:val="20"/>
              </w:rPr>
            </w:pPr>
            <w:r w:rsidRPr="00CC0F64">
              <w:rPr>
                <w:sz w:val="20"/>
                <w:szCs w:val="20"/>
              </w:rPr>
              <w:t>Kurtosis</w:t>
            </w:r>
          </w:p>
        </w:tc>
        <w:tc>
          <w:tcPr>
            <w:tcW w:w="1131" w:type="dxa"/>
            <w:tcBorders>
              <w:top w:val="single" w:sz="4" w:space="0" w:color="000000"/>
              <w:bottom w:val="single" w:sz="4" w:space="0" w:color="000000"/>
            </w:tcBorders>
            <w:shd w:val="clear" w:color="auto" w:fill="auto"/>
            <w:vAlign w:val="center"/>
          </w:tcPr>
          <w:p w14:paraId="000000AF" w14:textId="77777777" w:rsidR="00083006" w:rsidRPr="00CC0F64" w:rsidRDefault="0080383E">
            <w:pPr>
              <w:spacing w:line="240" w:lineRule="auto"/>
              <w:jc w:val="center"/>
              <w:rPr>
                <w:sz w:val="20"/>
                <w:szCs w:val="20"/>
              </w:rPr>
            </w:pPr>
            <w:r w:rsidRPr="00CC0F64">
              <w:rPr>
                <w:sz w:val="20"/>
                <w:szCs w:val="20"/>
              </w:rPr>
              <w:t>Std. Error</w:t>
            </w:r>
          </w:p>
        </w:tc>
      </w:tr>
      <w:tr w:rsidR="007E3981" w:rsidRPr="00CC0F64" w14:paraId="129381DD" w14:textId="77777777">
        <w:trPr>
          <w:trHeight w:val="290"/>
          <w:jc w:val="center"/>
        </w:trPr>
        <w:tc>
          <w:tcPr>
            <w:tcW w:w="1780" w:type="dxa"/>
            <w:tcBorders>
              <w:top w:val="single" w:sz="4" w:space="0" w:color="000000"/>
            </w:tcBorders>
            <w:shd w:val="clear" w:color="auto" w:fill="auto"/>
            <w:vAlign w:val="center"/>
          </w:tcPr>
          <w:p w14:paraId="000000B0" w14:textId="77777777" w:rsidR="00083006" w:rsidRPr="00CC0F64" w:rsidRDefault="0080383E">
            <w:pPr>
              <w:spacing w:line="240" w:lineRule="auto"/>
              <w:rPr>
                <w:sz w:val="20"/>
                <w:szCs w:val="20"/>
              </w:rPr>
            </w:pPr>
            <w:r w:rsidRPr="00CC0F64">
              <w:rPr>
                <w:sz w:val="20"/>
                <w:szCs w:val="20"/>
              </w:rPr>
              <w:t>GDP</w:t>
            </w:r>
          </w:p>
        </w:tc>
        <w:tc>
          <w:tcPr>
            <w:tcW w:w="1300" w:type="dxa"/>
            <w:tcBorders>
              <w:top w:val="single" w:sz="4" w:space="0" w:color="000000"/>
            </w:tcBorders>
            <w:shd w:val="clear" w:color="auto" w:fill="auto"/>
            <w:vAlign w:val="center"/>
          </w:tcPr>
          <w:p w14:paraId="000000B1" w14:textId="77777777" w:rsidR="00083006" w:rsidRPr="00CC0F64" w:rsidRDefault="0080383E">
            <w:pPr>
              <w:spacing w:line="240" w:lineRule="auto"/>
              <w:jc w:val="center"/>
              <w:rPr>
                <w:sz w:val="20"/>
                <w:szCs w:val="20"/>
              </w:rPr>
            </w:pPr>
            <w:r w:rsidRPr="00CC0F64">
              <w:rPr>
                <w:sz w:val="20"/>
                <w:szCs w:val="20"/>
              </w:rPr>
              <w:t>150</w:t>
            </w:r>
          </w:p>
        </w:tc>
        <w:tc>
          <w:tcPr>
            <w:tcW w:w="960" w:type="dxa"/>
            <w:tcBorders>
              <w:top w:val="single" w:sz="4" w:space="0" w:color="000000"/>
            </w:tcBorders>
            <w:shd w:val="clear" w:color="auto" w:fill="auto"/>
            <w:vAlign w:val="center"/>
          </w:tcPr>
          <w:p w14:paraId="000000B2" w14:textId="77777777" w:rsidR="00083006" w:rsidRPr="00CC0F64" w:rsidRDefault="0080383E">
            <w:pPr>
              <w:spacing w:line="240" w:lineRule="auto"/>
              <w:jc w:val="center"/>
              <w:rPr>
                <w:sz w:val="20"/>
                <w:szCs w:val="20"/>
              </w:rPr>
            </w:pPr>
            <w:r w:rsidRPr="00CC0F64">
              <w:rPr>
                <w:sz w:val="20"/>
                <w:szCs w:val="20"/>
              </w:rPr>
              <w:t>2.99</w:t>
            </w:r>
          </w:p>
        </w:tc>
        <w:tc>
          <w:tcPr>
            <w:tcW w:w="960" w:type="dxa"/>
            <w:tcBorders>
              <w:top w:val="single" w:sz="4" w:space="0" w:color="000000"/>
            </w:tcBorders>
            <w:shd w:val="clear" w:color="auto" w:fill="auto"/>
            <w:vAlign w:val="center"/>
          </w:tcPr>
          <w:p w14:paraId="000000B3" w14:textId="77777777" w:rsidR="00083006" w:rsidRPr="00CC0F64" w:rsidRDefault="0080383E">
            <w:pPr>
              <w:spacing w:line="240" w:lineRule="auto"/>
              <w:jc w:val="center"/>
              <w:rPr>
                <w:sz w:val="20"/>
                <w:szCs w:val="20"/>
              </w:rPr>
            </w:pPr>
            <w:r w:rsidRPr="00CC0F64">
              <w:rPr>
                <w:sz w:val="20"/>
                <w:szCs w:val="20"/>
              </w:rPr>
              <w:t>0.25</w:t>
            </w:r>
          </w:p>
        </w:tc>
        <w:tc>
          <w:tcPr>
            <w:tcW w:w="960" w:type="dxa"/>
            <w:tcBorders>
              <w:top w:val="single" w:sz="4" w:space="0" w:color="000000"/>
            </w:tcBorders>
            <w:shd w:val="clear" w:color="auto" w:fill="auto"/>
            <w:vAlign w:val="center"/>
          </w:tcPr>
          <w:p w14:paraId="000000B4" w14:textId="77777777" w:rsidR="00083006" w:rsidRPr="00CC0F64" w:rsidRDefault="0080383E">
            <w:pPr>
              <w:spacing w:line="240" w:lineRule="auto"/>
              <w:jc w:val="center"/>
              <w:rPr>
                <w:sz w:val="20"/>
                <w:szCs w:val="20"/>
              </w:rPr>
            </w:pPr>
            <w:r w:rsidRPr="00CC0F64">
              <w:rPr>
                <w:sz w:val="20"/>
                <w:szCs w:val="20"/>
              </w:rPr>
              <w:t>3.01</w:t>
            </w:r>
          </w:p>
        </w:tc>
        <w:tc>
          <w:tcPr>
            <w:tcW w:w="961" w:type="dxa"/>
            <w:tcBorders>
              <w:top w:val="single" w:sz="4" w:space="0" w:color="000000"/>
            </w:tcBorders>
            <w:shd w:val="clear" w:color="auto" w:fill="auto"/>
            <w:vAlign w:val="center"/>
          </w:tcPr>
          <w:p w14:paraId="000000B5" w14:textId="77777777" w:rsidR="00083006" w:rsidRPr="00CC0F64" w:rsidRDefault="0080383E">
            <w:pPr>
              <w:spacing w:line="240" w:lineRule="auto"/>
              <w:jc w:val="center"/>
              <w:rPr>
                <w:sz w:val="20"/>
                <w:szCs w:val="20"/>
              </w:rPr>
            </w:pPr>
            <w:r w:rsidRPr="00CC0F64">
              <w:rPr>
                <w:sz w:val="20"/>
                <w:szCs w:val="20"/>
              </w:rPr>
              <w:t>3.01</w:t>
            </w:r>
          </w:p>
        </w:tc>
        <w:tc>
          <w:tcPr>
            <w:tcW w:w="960" w:type="dxa"/>
            <w:tcBorders>
              <w:top w:val="single" w:sz="4" w:space="0" w:color="000000"/>
            </w:tcBorders>
            <w:shd w:val="clear" w:color="auto" w:fill="auto"/>
            <w:vAlign w:val="center"/>
          </w:tcPr>
          <w:p w14:paraId="000000B6" w14:textId="77777777" w:rsidR="00083006" w:rsidRPr="00CC0F64" w:rsidRDefault="0080383E">
            <w:pPr>
              <w:spacing w:line="240" w:lineRule="auto"/>
              <w:jc w:val="center"/>
              <w:rPr>
                <w:sz w:val="20"/>
                <w:szCs w:val="20"/>
              </w:rPr>
            </w:pPr>
            <w:r w:rsidRPr="00CC0F64">
              <w:rPr>
                <w:sz w:val="20"/>
                <w:szCs w:val="20"/>
              </w:rPr>
              <w:t>0.01</w:t>
            </w:r>
          </w:p>
        </w:tc>
        <w:tc>
          <w:tcPr>
            <w:tcW w:w="960" w:type="dxa"/>
            <w:tcBorders>
              <w:top w:val="single" w:sz="4" w:space="0" w:color="000000"/>
            </w:tcBorders>
            <w:shd w:val="clear" w:color="auto" w:fill="auto"/>
            <w:vAlign w:val="center"/>
          </w:tcPr>
          <w:p w14:paraId="000000B7" w14:textId="77777777" w:rsidR="00083006" w:rsidRPr="00CC0F64" w:rsidRDefault="0080383E">
            <w:pPr>
              <w:spacing w:line="240" w:lineRule="auto"/>
              <w:jc w:val="center"/>
              <w:rPr>
                <w:sz w:val="20"/>
                <w:szCs w:val="20"/>
              </w:rPr>
            </w:pPr>
            <w:r w:rsidRPr="00CC0F64">
              <w:rPr>
                <w:sz w:val="20"/>
                <w:szCs w:val="20"/>
              </w:rPr>
              <w:t>0.10</w:t>
            </w:r>
          </w:p>
        </w:tc>
        <w:tc>
          <w:tcPr>
            <w:tcW w:w="960" w:type="dxa"/>
            <w:tcBorders>
              <w:top w:val="single" w:sz="4" w:space="0" w:color="000000"/>
            </w:tcBorders>
            <w:shd w:val="clear" w:color="auto" w:fill="auto"/>
            <w:vAlign w:val="center"/>
          </w:tcPr>
          <w:p w14:paraId="000000B8" w14:textId="77777777" w:rsidR="00083006" w:rsidRPr="00CC0F64" w:rsidRDefault="0080383E">
            <w:pPr>
              <w:spacing w:line="240" w:lineRule="auto"/>
              <w:jc w:val="center"/>
              <w:rPr>
                <w:sz w:val="20"/>
                <w:szCs w:val="20"/>
              </w:rPr>
            </w:pPr>
            <w:r w:rsidRPr="00CC0F64">
              <w:rPr>
                <w:sz w:val="20"/>
                <w:szCs w:val="20"/>
              </w:rPr>
              <w:t>3.38</w:t>
            </w:r>
          </w:p>
        </w:tc>
        <w:tc>
          <w:tcPr>
            <w:tcW w:w="960" w:type="dxa"/>
            <w:tcBorders>
              <w:top w:val="single" w:sz="4" w:space="0" w:color="000000"/>
            </w:tcBorders>
            <w:shd w:val="clear" w:color="auto" w:fill="auto"/>
            <w:vAlign w:val="center"/>
          </w:tcPr>
          <w:p w14:paraId="000000B9" w14:textId="77777777" w:rsidR="00083006" w:rsidRPr="00CC0F64" w:rsidRDefault="0080383E">
            <w:pPr>
              <w:spacing w:line="240" w:lineRule="auto"/>
              <w:jc w:val="center"/>
              <w:rPr>
                <w:sz w:val="20"/>
                <w:szCs w:val="20"/>
              </w:rPr>
            </w:pPr>
            <w:r w:rsidRPr="00CC0F64">
              <w:rPr>
                <w:sz w:val="20"/>
                <w:szCs w:val="20"/>
              </w:rPr>
              <w:t>3.29</w:t>
            </w:r>
          </w:p>
        </w:tc>
        <w:tc>
          <w:tcPr>
            <w:tcW w:w="960" w:type="dxa"/>
            <w:tcBorders>
              <w:top w:val="single" w:sz="4" w:space="0" w:color="000000"/>
            </w:tcBorders>
            <w:shd w:val="clear" w:color="auto" w:fill="auto"/>
            <w:vAlign w:val="center"/>
          </w:tcPr>
          <w:p w14:paraId="000000BA" w14:textId="77777777" w:rsidR="00083006" w:rsidRPr="00CC0F64" w:rsidRDefault="0080383E">
            <w:pPr>
              <w:spacing w:line="240" w:lineRule="auto"/>
              <w:jc w:val="center"/>
              <w:rPr>
                <w:sz w:val="20"/>
                <w:szCs w:val="20"/>
              </w:rPr>
            </w:pPr>
            <w:r w:rsidRPr="00CC0F64">
              <w:rPr>
                <w:sz w:val="20"/>
                <w:szCs w:val="20"/>
              </w:rPr>
              <w:t>-10.74</w:t>
            </w:r>
          </w:p>
        </w:tc>
        <w:tc>
          <w:tcPr>
            <w:tcW w:w="894" w:type="dxa"/>
            <w:tcBorders>
              <w:top w:val="single" w:sz="4" w:space="0" w:color="000000"/>
            </w:tcBorders>
            <w:shd w:val="clear" w:color="auto" w:fill="auto"/>
            <w:vAlign w:val="center"/>
          </w:tcPr>
          <w:p w14:paraId="000000BB" w14:textId="77777777" w:rsidR="00083006" w:rsidRPr="00CC0F64" w:rsidRDefault="0080383E">
            <w:pPr>
              <w:spacing w:line="240" w:lineRule="auto"/>
              <w:jc w:val="center"/>
              <w:rPr>
                <w:sz w:val="20"/>
                <w:szCs w:val="20"/>
              </w:rPr>
            </w:pPr>
            <w:r w:rsidRPr="00CC0F64">
              <w:rPr>
                <w:sz w:val="20"/>
                <w:szCs w:val="20"/>
              </w:rPr>
              <w:t>123.20</w:t>
            </w:r>
          </w:p>
        </w:tc>
        <w:tc>
          <w:tcPr>
            <w:tcW w:w="1131" w:type="dxa"/>
            <w:tcBorders>
              <w:top w:val="single" w:sz="4" w:space="0" w:color="000000"/>
            </w:tcBorders>
            <w:shd w:val="clear" w:color="auto" w:fill="auto"/>
            <w:vAlign w:val="center"/>
          </w:tcPr>
          <w:p w14:paraId="000000BC" w14:textId="77777777" w:rsidR="00083006" w:rsidRPr="00CC0F64" w:rsidRDefault="0080383E">
            <w:pPr>
              <w:spacing w:line="240" w:lineRule="auto"/>
              <w:jc w:val="center"/>
              <w:rPr>
                <w:sz w:val="20"/>
                <w:szCs w:val="20"/>
              </w:rPr>
            </w:pPr>
            <w:r w:rsidRPr="00CC0F64">
              <w:rPr>
                <w:sz w:val="20"/>
                <w:szCs w:val="20"/>
              </w:rPr>
              <w:t>0.02</w:t>
            </w:r>
          </w:p>
        </w:tc>
      </w:tr>
      <w:tr w:rsidR="007E3981" w:rsidRPr="00CC0F64" w14:paraId="3FE9C23E" w14:textId="77777777">
        <w:trPr>
          <w:trHeight w:val="290"/>
          <w:jc w:val="center"/>
        </w:trPr>
        <w:tc>
          <w:tcPr>
            <w:tcW w:w="1780" w:type="dxa"/>
            <w:shd w:val="clear" w:color="auto" w:fill="auto"/>
            <w:vAlign w:val="center"/>
          </w:tcPr>
          <w:p w14:paraId="000000BD" w14:textId="77777777" w:rsidR="00083006" w:rsidRPr="00CC0F64" w:rsidRDefault="0080383E">
            <w:pPr>
              <w:spacing w:line="240" w:lineRule="auto"/>
              <w:rPr>
                <w:sz w:val="20"/>
                <w:szCs w:val="20"/>
              </w:rPr>
            </w:pPr>
            <w:r w:rsidRPr="00CC0F64">
              <w:rPr>
                <w:sz w:val="20"/>
                <w:szCs w:val="20"/>
              </w:rPr>
              <w:t xml:space="preserve">CPI </w:t>
            </w:r>
          </w:p>
        </w:tc>
        <w:tc>
          <w:tcPr>
            <w:tcW w:w="1300" w:type="dxa"/>
            <w:shd w:val="clear" w:color="auto" w:fill="auto"/>
            <w:vAlign w:val="center"/>
          </w:tcPr>
          <w:p w14:paraId="000000BE" w14:textId="77777777" w:rsidR="00083006" w:rsidRPr="00CC0F64" w:rsidRDefault="0080383E">
            <w:pPr>
              <w:spacing w:line="240" w:lineRule="auto"/>
              <w:jc w:val="center"/>
              <w:rPr>
                <w:sz w:val="20"/>
                <w:szCs w:val="20"/>
              </w:rPr>
            </w:pPr>
            <w:r w:rsidRPr="00CC0F64">
              <w:rPr>
                <w:sz w:val="20"/>
                <w:szCs w:val="20"/>
              </w:rPr>
              <w:t>150</w:t>
            </w:r>
          </w:p>
        </w:tc>
        <w:tc>
          <w:tcPr>
            <w:tcW w:w="960" w:type="dxa"/>
            <w:shd w:val="clear" w:color="auto" w:fill="auto"/>
            <w:vAlign w:val="center"/>
          </w:tcPr>
          <w:p w14:paraId="000000BF" w14:textId="77777777" w:rsidR="00083006" w:rsidRPr="00CC0F64" w:rsidRDefault="0080383E">
            <w:pPr>
              <w:spacing w:line="240" w:lineRule="auto"/>
              <w:jc w:val="center"/>
              <w:rPr>
                <w:sz w:val="20"/>
                <w:szCs w:val="20"/>
              </w:rPr>
            </w:pPr>
            <w:r w:rsidRPr="00CC0F64">
              <w:rPr>
                <w:sz w:val="20"/>
                <w:szCs w:val="20"/>
              </w:rPr>
              <w:t>4.62</w:t>
            </w:r>
          </w:p>
        </w:tc>
        <w:tc>
          <w:tcPr>
            <w:tcW w:w="960" w:type="dxa"/>
            <w:shd w:val="clear" w:color="auto" w:fill="auto"/>
            <w:vAlign w:val="center"/>
          </w:tcPr>
          <w:p w14:paraId="000000C0" w14:textId="77777777" w:rsidR="00083006" w:rsidRPr="00CC0F64" w:rsidRDefault="0080383E">
            <w:pPr>
              <w:spacing w:line="240" w:lineRule="auto"/>
              <w:jc w:val="center"/>
              <w:rPr>
                <w:sz w:val="20"/>
                <w:szCs w:val="20"/>
              </w:rPr>
            </w:pPr>
            <w:r w:rsidRPr="00CC0F64">
              <w:rPr>
                <w:sz w:val="20"/>
                <w:szCs w:val="20"/>
              </w:rPr>
              <w:t>0.07</w:t>
            </w:r>
          </w:p>
        </w:tc>
        <w:tc>
          <w:tcPr>
            <w:tcW w:w="960" w:type="dxa"/>
            <w:shd w:val="clear" w:color="auto" w:fill="auto"/>
            <w:vAlign w:val="center"/>
          </w:tcPr>
          <w:p w14:paraId="000000C1" w14:textId="77777777" w:rsidR="00083006" w:rsidRPr="00CC0F64" w:rsidRDefault="0080383E">
            <w:pPr>
              <w:spacing w:line="240" w:lineRule="auto"/>
              <w:jc w:val="center"/>
              <w:rPr>
                <w:sz w:val="20"/>
                <w:szCs w:val="20"/>
              </w:rPr>
            </w:pPr>
            <w:r w:rsidRPr="00CC0F64">
              <w:rPr>
                <w:sz w:val="20"/>
                <w:szCs w:val="20"/>
              </w:rPr>
              <w:t>4.61</w:t>
            </w:r>
          </w:p>
        </w:tc>
        <w:tc>
          <w:tcPr>
            <w:tcW w:w="961" w:type="dxa"/>
            <w:shd w:val="clear" w:color="auto" w:fill="auto"/>
            <w:vAlign w:val="center"/>
          </w:tcPr>
          <w:p w14:paraId="000000C2" w14:textId="77777777" w:rsidR="00083006" w:rsidRPr="00CC0F64" w:rsidRDefault="0080383E">
            <w:pPr>
              <w:spacing w:line="240" w:lineRule="auto"/>
              <w:jc w:val="center"/>
              <w:rPr>
                <w:sz w:val="20"/>
                <w:szCs w:val="20"/>
              </w:rPr>
            </w:pPr>
            <w:r w:rsidRPr="00CC0F64">
              <w:rPr>
                <w:sz w:val="20"/>
                <w:szCs w:val="20"/>
              </w:rPr>
              <w:t>4.62</w:t>
            </w:r>
          </w:p>
        </w:tc>
        <w:tc>
          <w:tcPr>
            <w:tcW w:w="960" w:type="dxa"/>
            <w:shd w:val="clear" w:color="auto" w:fill="auto"/>
            <w:vAlign w:val="center"/>
          </w:tcPr>
          <w:p w14:paraId="000000C3" w14:textId="77777777" w:rsidR="00083006" w:rsidRPr="00CC0F64" w:rsidRDefault="0080383E">
            <w:pPr>
              <w:spacing w:line="240" w:lineRule="auto"/>
              <w:jc w:val="center"/>
              <w:rPr>
                <w:sz w:val="20"/>
                <w:szCs w:val="20"/>
              </w:rPr>
            </w:pPr>
            <w:r w:rsidRPr="00CC0F64">
              <w:rPr>
                <w:sz w:val="20"/>
                <w:szCs w:val="20"/>
              </w:rPr>
              <w:t>0.08</w:t>
            </w:r>
          </w:p>
        </w:tc>
        <w:tc>
          <w:tcPr>
            <w:tcW w:w="960" w:type="dxa"/>
            <w:shd w:val="clear" w:color="auto" w:fill="auto"/>
            <w:vAlign w:val="center"/>
          </w:tcPr>
          <w:p w14:paraId="000000C4" w14:textId="77777777" w:rsidR="00083006" w:rsidRPr="00CC0F64" w:rsidRDefault="0080383E">
            <w:pPr>
              <w:spacing w:line="240" w:lineRule="auto"/>
              <w:jc w:val="center"/>
              <w:rPr>
                <w:sz w:val="20"/>
                <w:szCs w:val="20"/>
              </w:rPr>
            </w:pPr>
            <w:r w:rsidRPr="00CC0F64">
              <w:rPr>
                <w:sz w:val="20"/>
                <w:szCs w:val="20"/>
              </w:rPr>
              <w:t>4.48</w:t>
            </w:r>
          </w:p>
        </w:tc>
        <w:tc>
          <w:tcPr>
            <w:tcW w:w="960" w:type="dxa"/>
            <w:shd w:val="clear" w:color="auto" w:fill="auto"/>
            <w:vAlign w:val="center"/>
          </w:tcPr>
          <w:p w14:paraId="000000C5" w14:textId="77777777" w:rsidR="00083006" w:rsidRPr="00CC0F64" w:rsidRDefault="0080383E">
            <w:pPr>
              <w:spacing w:line="240" w:lineRule="auto"/>
              <w:jc w:val="center"/>
              <w:rPr>
                <w:sz w:val="20"/>
                <w:szCs w:val="20"/>
              </w:rPr>
            </w:pPr>
            <w:r w:rsidRPr="00CC0F64">
              <w:rPr>
                <w:sz w:val="20"/>
                <w:szCs w:val="20"/>
              </w:rPr>
              <w:t>4.80</w:t>
            </w:r>
          </w:p>
        </w:tc>
        <w:tc>
          <w:tcPr>
            <w:tcW w:w="960" w:type="dxa"/>
            <w:shd w:val="clear" w:color="auto" w:fill="auto"/>
            <w:vAlign w:val="center"/>
          </w:tcPr>
          <w:p w14:paraId="000000C6" w14:textId="77777777" w:rsidR="00083006" w:rsidRPr="00CC0F64" w:rsidRDefault="0080383E">
            <w:pPr>
              <w:spacing w:line="240" w:lineRule="auto"/>
              <w:jc w:val="center"/>
              <w:rPr>
                <w:sz w:val="20"/>
                <w:szCs w:val="20"/>
              </w:rPr>
            </w:pPr>
            <w:r w:rsidRPr="00CC0F64">
              <w:rPr>
                <w:sz w:val="20"/>
                <w:szCs w:val="20"/>
              </w:rPr>
              <w:t>0.33</w:t>
            </w:r>
          </w:p>
        </w:tc>
        <w:tc>
          <w:tcPr>
            <w:tcW w:w="960" w:type="dxa"/>
            <w:shd w:val="clear" w:color="auto" w:fill="auto"/>
            <w:vAlign w:val="center"/>
          </w:tcPr>
          <w:p w14:paraId="000000C7" w14:textId="77777777" w:rsidR="00083006" w:rsidRPr="00CC0F64" w:rsidRDefault="0080383E">
            <w:pPr>
              <w:spacing w:line="240" w:lineRule="auto"/>
              <w:jc w:val="center"/>
              <w:rPr>
                <w:sz w:val="20"/>
                <w:szCs w:val="20"/>
              </w:rPr>
            </w:pPr>
            <w:r w:rsidRPr="00CC0F64">
              <w:rPr>
                <w:sz w:val="20"/>
                <w:szCs w:val="20"/>
              </w:rPr>
              <w:t>0.05</w:t>
            </w:r>
          </w:p>
        </w:tc>
        <w:tc>
          <w:tcPr>
            <w:tcW w:w="894" w:type="dxa"/>
            <w:shd w:val="clear" w:color="auto" w:fill="auto"/>
            <w:vAlign w:val="center"/>
          </w:tcPr>
          <w:p w14:paraId="000000C8" w14:textId="77777777" w:rsidR="00083006" w:rsidRPr="00CC0F64" w:rsidRDefault="0080383E">
            <w:pPr>
              <w:spacing w:line="240" w:lineRule="auto"/>
              <w:jc w:val="center"/>
              <w:rPr>
                <w:sz w:val="20"/>
                <w:szCs w:val="20"/>
              </w:rPr>
            </w:pPr>
            <w:r w:rsidRPr="00CC0F64">
              <w:rPr>
                <w:sz w:val="20"/>
                <w:szCs w:val="20"/>
              </w:rPr>
              <w:t>-0.31</w:t>
            </w:r>
          </w:p>
        </w:tc>
        <w:tc>
          <w:tcPr>
            <w:tcW w:w="1131" w:type="dxa"/>
            <w:shd w:val="clear" w:color="auto" w:fill="auto"/>
            <w:vAlign w:val="center"/>
          </w:tcPr>
          <w:p w14:paraId="000000C9" w14:textId="77777777" w:rsidR="00083006" w:rsidRPr="00CC0F64" w:rsidRDefault="0080383E">
            <w:pPr>
              <w:spacing w:line="240" w:lineRule="auto"/>
              <w:jc w:val="center"/>
              <w:rPr>
                <w:sz w:val="20"/>
                <w:szCs w:val="20"/>
              </w:rPr>
            </w:pPr>
            <w:r w:rsidRPr="00CC0F64">
              <w:rPr>
                <w:sz w:val="20"/>
                <w:szCs w:val="20"/>
              </w:rPr>
              <w:t>0.01</w:t>
            </w:r>
          </w:p>
        </w:tc>
      </w:tr>
      <w:tr w:rsidR="007E3981" w:rsidRPr="00CC0F64" w14:paraId="05CD9EE4" w14:textId="77777777">
        <w:trPr>
          <w:trHeight w:val="290"/>
          <w:jc w:val="center"/>
        </w:trPr>
        <w:tc>
          <w:tcPr>
            <w:tcW w:w="1780" w:type="dxa"/>
            <w:shd w:val="clear" w:color="auto" w:fill="auto"/>
            <w:vAlign w:val="center"/>
          </w:tcPr>
          <w:p w14:paraId="000000CA" w14:textId="77777777" w:rsidR="00083006" w:rsidRPr="00CC0F64" w:rsidRDefault="0080383E">
            <w:pPr>
              <w:spacing w:line="240" w:lineRule="auto"/>
              <w:rPr>
                <w:sz w:val="20"/>
                <w:szCs w:val="20"/>
              </w:rPr>
            </w:pPr>
            <w:r w:rsidRPr="00CC0F64">
              <w:rPr>
                <w:sz w:val="20"/>
                <w:szCs w:val="20"/>
              </w:rPr>
              <w:t>Trade Balance</w:t>
            </w:r>
          </w:p>
        </w:tc>
        <w:tc>
          <w:tcPr>
            <w:tcW w:w="1300" w:type="dxa"/>
            <w:shd w:val="clear" w:color="auto" w:fill="auto"/>
            <w:vAlign w:val="center"/>
          </w:tcPr>
          <w:p w14:paraId="000000CB" w14:textId="77777777" w:rsidR="00083006" w:rsidRPr="00CC0F64" w:rsidRDefault="0080383E">
            <w:pPr>
              <w:spacing w:line="240" w:lineRule="auto"/>
              <w:jc w:val="center"/>
              <w:rPr>
                <w:sz w:val="20"/>
                <w:szCs w:val="20"/>
              </w:rPr>
            </w:pPr>
            <w:r w:rsidRPr="00CC0F64">
              <w:rPr>
                <w:sz w:val="20"/>
                <w:szCs w:val="20"/>
              </w:rPr>
              <w:t>150</w:t>
            </w:r>
          </w:p>
        </w:tc>
        <w:tc>
          <w:tcPr>
            <w:tcW w:w="960" w:type="dxa"/>
            <w:shd w:val="clear" w:color="auto" w:fill="auto"/>
            <w:vAlign w:val="center"/>
          </w:tcPr>
          <w:p w14:paraId="000000CC" w14:textId="77777777" w:rsidR="00083006" w:rsidRPr="00CC0F64" w:rsidRDefault="0080383E">
            <w:pPr>
              <w:spacing w:line="240" w:lineRule="auto"/>
              <w:jc w:val="center"/>
              <w:rPr>
                <w:sz w:val="20"/>
                <w:szCs w:val="20"/>
              </w:rPr>
            </w:pPr>
            <w:r w:rsidRPr="00CC0F64">
              <w:rPr>
                <w:sz w:val="20"/>
                <w:szCs w:val="20"/>
              </w:rPr>
              <w:t>9.38</w:t>
            </w:r>
          </w:p>
        </w:tc>
        <w:tc>
          <w:tcPr>
            <w:tcW w:w="960" w:type="dxa"/>
            <w:shd w:val="clear" w:color="auto" w:fill="auto"/>
            <w:vAlign w:val="center"/>
          </w:tcPr>
          <w:p w14:paraId="000000CD" w14:textId="77777777" w:rsidR="00083006" w:rsidRPr="00CC0F64" w:rsidRDefault="0080383E">
            <w:pPr>
              <w:spacing w:line="240" w:lineRule="auto"/>
              <w:jc w:val="center"/>
              <w:rPr>
                <w:sz w:val="20"/>
                <w:szCs w:val="20"/>
              </w:rPr>
            </w:pPr>
            <w:r w:rsidRPr="00CC0F64">
              <w:rPr>
                <w:sz w:val="20"/>
                <w:szCs w:val="20"/>
              </w:rPr>
              <w:t>0.53</w:t>
            </w:r>
          </w:p>
        </w:tc>
        <w:tc>
          <w:tcPr>
            <w:tcW w:w="960" w:type="dxa"/>
            <w:shd w:val="clear" w:color="auto" w:fill="auto"/>
            <w:vAlign w:val="center"/>
          </w:tcPr>
          <w:p w14:paraId="000000CE" w14:textId="77777777" w:rsidR="00083006" w:rsidRPr="00CC0F64" w:rsidRDefault="0080383E">
            <w:pPr>
              <w:spacing w:line="240" w:lineRule="auto"/>
              <w:jc w:val="center"/>
              <w:rPr>
                <w:sz w:val="20"/>
                <w:szCs w:val="20"/>
              </w:rPr>
            </w:pPr>
            <w:r w:rsidRPr="00CC0F64">
              <w:rPr>
                <w:sz w:val="20"/>
                <w:szCs w:val="20"/>
              </w:rPr>
              <w:t>9.5</w:t>
            </w:r>
          </w:p>
        </w:tc>
        <w:tc>
          <w:tcPr>
            <w:tcW w:w="961" w:type="dxa"/>
            <w:shd w:val="clear" w:color="auto" w:fill="auto"/>
            <w:vAlign w:val="center"/>
          </w:tcPr>
          <w:p w14:paraId="000000CF" w14:textId="77777777" w:rsidR="00083006" w:rsidRPr="00CC0F64" w:rsidRDefault="0080383E">
            <w:pPr>
              <w:spacing w:line="240" w:lineRule="auto"/>
              <w:jc w:val="center"/>
              <w:rPr>
                <w:sz w:val="20"/>
                <w:szCs w:val="20"/>
              </w:rPr>
            </w:pPr>
            <w:r w:rsidRPr="00CC0F64">
              <w:rPr>
                <w:sz w:val="20"/>
                <w:szCs w:val="20"/>
              </w:rPr>
              <w:t>9.48</w:t>
            </w:r>
          </w:p>
        </w:tc>
        <w:tc>
          <w:tcPr>
            <w:tcW w:w="960" w:type="dxa"/>
            <w:shd w:val="clear" w:color="auto" w:fill="auto"/>
            <w:vAlign w:val="center"/>
          </w:tcPr>
          <w:p w14:paraId="000000D0" w14:textId="77777777" w:rsidR="00083006" w:rsidRPr="00CC0F64" w:rsidRDefault="0080383E">
            <w:pPr>
              <w:spacing w:line="240" w:lineRule="auto"/>
              <w:jc w:val="center"/>
              <w:rPr>
                <w:sz w:val="20"/>
                <w:szCs w:val="20"/>
              </w:rPr>
            </w:pPr>
            <w:r w:rsidRPr="00CC0F64">
              <w:rPr>
                <w:sz w:val="20"/>
                <w:szCs w:val="20"/>
              </w:rPr>
              <w:t>0.17</w:t>
            </w:r>
          </w:p>
        </w:tc>
        <w:tc>
          <w:tcPr>
            <w:tcW w:w="960" w:type="dxa"/>
            <w:shd w:val="clear" w:color="auto" w:fill="auto"/>
            <w:vAlign w:val="center"/>
          </w:tcPr>
          <w:p w14:paraId="000000D1" w14:textId="77777777" w:rsidR="00083006" w:rsidRPr="00CC0F64" w:rsidRDefault="0080383E">
            <w:pPr>
              <w:spacing w:line="240" w:lineRule="auto"/>
              <w:jc w:val="center"/>
              <w:rPr>
                <w:sz w:val="20"/>
                <w:szCs w:val="20"/>
              </w:rPr>
            </w:pPr>
            <w:r w:rsidRPr="00CC0F64">
              <w:rPr>
                <w:sz w:val="20"/>
                <w:szCs w:val="20"/>
              </w:rPr>
              <w:t>5.93</w:t>
            </w:r>
          </w:p>
        </w:tc>
        <w:tc>
          <w:tcPr>
            <w:tcW w:w="960" w:type="dxa"/>
            <w:shd w:val="clear" w:color="auto" w:fill="auto"/>
            <w:vAlign w:val="center"/>
          </w:tcPr>
          <w:p w14:paraId="000000D2" w14:textId="77777777" w:rsidR="00083006" w:rsidRPr="00CC0F64" w:rsidRDefault="0080383E">
            <w:pPr>
              <w:spacing w:line="240" w:lineRule="auto"/>
              <w:jc w:val="center"/>
              <w:rPr>
                <w:sz w:val="20"/>
                <w:szCs w:val="20"/>
              </w:rPr>
            </w:pPr>
            <w:r w:rsidRPr="00CC0F64">
              <w:rPr>
                <w:sz w:val="20"/>
                <w:szCs w:val="20"/>
              </w:rPr>
              <w:t>9.99</w:t>
            </w:r>
          </w:p>
        </w:tc>
        <w:tc>
          <w:tcPr>
            <w:tcW w:w="960" w:type="dxa"/>
            <w:shd w:val="clear" w:color="auto" w:fill="auto"/>
            <w:vAlign w:val="center"/>
          </w:tcPr>
          <w:p w14:paraId="000000D3" w14:textId="77777777" w:rsidR="00083006" w:rsidRPr="00CC0F64" w:rsidRDefault="0080383E">
            <w:pPr>
              <w:spacing w:line="240" w:lineRule="auto"/>
              <w:jc w:val="center"/>
              <w:rPr>
                <w:sz w:val="20"/>
                <w:szCs w:val="20"/>
              </w:rPr>
            </w:pPr>
            <w:r w:rsidRPr="00CC0F64">
              <w:rPr>
                <w:sz w:val="20"/>
                <w:szCs w:val="20"/>
              </w:rPr>
              <w:t>4.07</w:t>
            </w:r>
          </w:p>
        </w:tc>
        <w:tc>
          <w:tcPr>
            <w:tcW w:w="960" w:type="dxa"/>
            <w:shd w:val="clear" w:color="auto" w:fill="auto"/>
            <w:vAlign w:val="center"/>
          </w:tcPr>
          <w:p w14:paraId="000000D4" w14:textId="77777777" w:rsidR="00083006" w:rsidRPr="00CC0F64" w:rsidRDefault="0080383E">
            <w:pPr>
              <w:spacing w:line="240" w:lineRule="auto"/>
              <w:jc w:val="center"/>
              <w:rPr>
                <w:sz w:val="20"/>
                <w:szCs w:val="20"/>
              </w:rPr>
            </w:pPr>
            <w:r w:rsidRPr="00CC0F64">
              <w:rPr>
                <w:sz w:val="20"/>
                <w:szCs w:val="20"/>
              </w:rPr>
              <w:t>-4.37</w:t>
            </w:r>
          </w:p>
        </w:tc>
        <w:tc>
          <w:tcPr>
            <w:tcW w:w="894" w:type="dxa"/>
            <w:shd w:val="clear" w:color="auto" w:fill="auto"/>
            <w:vAlign w:val="center"/>
          </w:tcPr>
          <w:p w14:paraId="000000D5" w14:textId="77777777" w:rsidR="00083006" w:rsidRPr="00CC0F64" w:rsidRDefault="0080383E">
            <w:pPr>
              <w:spacing w:line="240" w:lineRule="auto"/>
              <w:jc w:val="center"/>
              <w:rPr>
                <w:sz w:val="20"/>
                <w:szCs w:val="20"/>
              </w:rPr>
            </w:pPr>
            <w:r w:rsidRPr="00CC0F64">
              <w:rPr>
                <w:sz w:val="20"/>
                <w:szCs w:val="20"/>
              </w:rPr>
              <w:t>22.62</w:t>
            </w:r>
          </w:p>
        </w:tc>
        <w:tc>
          <w:tcPr>
            <w:tcW w:w="1131" w:type="dxa"/>
            <w:shd w:val="clear" w:color="auto" w:fill="auto"/>
            <w:vAlign w:val="center"/>
          </w:tcPr>
          <w:p w14:paraId="000000D6" w14:textId="77777777" w:rsidR="00083006" w:rsidRPr="00CC0F64" w:rsidRDefault="0080383E">
            <w:pPr>
              <w:spacing w:line="240" w:lineRule="auto"/>
              <w:jc w:val="center"/>
              <w:rPr>
                <w:sz w:val="20"/>
                <w:szCs w:val="20"/>
              </w:rPr>
            </w:pPr>
            <w:r w:rsidRPr="00CC0F64">
              <w:rPr>
                <w:sz w:val="20"/>
                <w:szCs w:val="20"/>
              </w:rPr>
              <w:t>0.04</w:t>
            </w:r>
          </w:p>
        </w:tc>
      </w:tr>
      <w:tr w:rsidR="007E3981" w:rsidRPr="00CC0F64" w14:paraId="3C55468D" w14:textId="77777777">
        <w:trPr>
          <w:trHeight w:val="290"/>
          <w:jc w:val="center"/>
        </w:trPr>
        <w:tc>
          <w:tcPr>
            <w:tcW w:w="1780" w:type="dxa"/>
            <w:shd w:val="clear" w:color="auto" w:fill="auto"/>
            <w:vAlign w:val="center"/>
          </w:tcPr>
          <w:p w14:paraId="000000D7" w14:textId="77777777" w:rsidR="00083006" w:rsidRPr="00CC0F64" w:rsidRDefault="0080383E">
            <w:pPr>
              <w:spacing w:line="240" w:lineRule="auto"/>
              <w:rPr>
                <w:sz w:val="20"/>
                <w:szCs w:val="20"/>
              </w:rPr>
            </w:pPr>
            <w:r w:rsidRPr="00CC0F64">
              <w:rPr>
                <w:sz w:val="20"/>
                <w:szCs w:val="20"/>
              </w:rPr>
              <w:t>Unemployment</w:t>
            </w:r>
          </w:p>
        </w:tc>
        <w:tc>
          <w:tcPr>
            <w:tcW w:w="1300" w:type="dxa"/>
            <w:shd w:val="clear" w:color="auto" w:fill="auto"/>
            <w:vAlign w:val="center"/>
          </w:tcPr>
          <w:p w14:paraId="000000D8" w14:textId="77777777" w:rsidR="00083006" w:rsidRPr="00CC0F64" w:rsidRDefault="0080383E">
            <w:pPr>
              <w:spacing w:line="240" w:lineRule="auto"/>
              <w:jc w:val="center"/>
              <w:rPr>
                <w:sz w:val="20"/>
                <w:szCs w:val="20"/>
              </w:rPr>
            </w:pPr>
            <w:r w:rsidRPr="00CC0F64">
              <w:rPr>
                <w:sz w:val="20"/>
                <w:szCs w:val="20"/>
              </w:rPr>
              <w:t>150</w:t>
            </w:r>
          </w:p>
        </w:tc>
        <w:tc>
          <w:tcPr>
            <w:tcW w:w="960" w:type="dxa"/>
            <w:shd w:val="clear" w:color="auto" w:fill="auto"/>
            <w:vAlign w:val="center"/>
          </w:tcPr>
          <w:p w14:paraId="000000D9" w14:textId="77777777" w:rsidR="00083006" w:rsidRPr="00CC0F64" w:rsidRDefault="0080383E">
            <w:pPr>
              <w:spacing w:line="240" w:lineRule="auto"/>
              <w:jc w:val="center"/>
              <w:rPr>
                <w:sz w:val="20"/>
                <w:szCs w:val="20"/>
              </w:rPr>
            </w:pPr>
            <w:r w:rsidRPr="00CC0F64">
              <w:rPr>
                <w:sz w:val="20"/>
                <w:szCs w:val="20"/>
              </w:rPr>
              <w:t>5.70</w:t>
            </w:r>
          </w:p>
        </w:tc>
        <w:tc>
          <w:tcPr>
            <w:tcW w:w="960" w:type="dxa"/>
            <w:shd w:val="clear" w:color="auto" w:fill="auto"/>
            <w:vAlign w:val="center"/>
          </w:tcPr>
          <w:p w14:paraId="000000DA" w14:textId="77777777" w:rsidR="00083006" w:rsidRPr="00CC0F64" w:rsidRDefault="0080383E">
            <w:pPr>
              <w:spacing w:line="240" w:lineRule="auto"/>
              <w:jc w:val="center"/>
              <w:rPr>
                <w:sz w:val="20"/>
                <w:szCs w:val="20"/>
              </w:rPr>
            </w:pPr>
            <w:r w:rsidRPr="00CC0F64">
              <w:rPr>
                <w:sz w:val="20"/>
                <w:szCs w:val="20"/>
              </w:rPr>
              <w:t>1.65</w:t>
            </w:r>
          </w:p>
        </w:tc>
        <w:tc>
          <w:tcPr>
            <w:tcW w:w="960" w:type="dxa"/>
            <w:shd w:val="clear" w:color="auto" w:fill="auto"/>
            <w:vAlign w:val="center"/>
          </w:tcPr>
          <w:p w14:paraId="000000DB" w14:textId="77777777" w:rsidR="00083006" w:rsidRPr="00CC0F64" w:rsidRDefault="0080383E">
            <w:pPr>
              <w:spacing w:line="240" w:lineRule="auto"/>
              <w:jc w:val="center"/>
              <w:rPr>
                <w:sz w:val="20"/>
                <w:szCs w:val="20"/>
              </w:rPr>
            </w:pPr>
            <w:r w:rsidRPr="00CC0F64">
              <w:rPr>
                <w:sz w:val="20"/>
                <w:szCs w:val="20"/>
              </w:rPr>
              <w:t>5.10</w:t>
            </w:r>
          </w:p>
        </w:tc>
        <w:tc>
          <w:tcPr>
            <w:tcW w:w="961" w:type="dxa"/>
            <w:shd w:val="clear" w:color="auto" w:fill="auto"/>
            <w:vAlign w:val="center"/>
          </w:tcPr>
          <w:p w14:paraId="000000DC" w14:textId="77777777" w:rsidR="00083006" w:rsidRPr="00CC0F64" w:rsidRDefault="0080383E">
            <w:pPr>
              <w:spacing w:line="240" w:lineRule="auto"/>
              <w:jc w:val="center"/>
              <w:rPr>
                <w:sz w:val="20"/>
                <w:szCs w:val="20"/>
              </w:rPr>
            </w:pPr>
            <w:r w:rsidRPr="00CC0F64">
              <w:rPr>
                <w:sz w:val="20"/>
                <w:szCs w:val="20"/>
              </w:rPr>
              <w:t>5.63</w:t>
            </w:r>
          </w:p>
        </w:tc>
        <w:tc>
          <w:tcPr>
            <w:tcW w:w="960" w:type="dxa"/>
            <w:shd w:val="clear" w:color="auto" w:fill="auto"/>
            <w:vAlign w:val="center"/>
          </w:tcPr>
          <w:p w14:paraId="000000DD" w14:textId="77777777" w:rsidR="00083006" w:rsidRPr="00CC0F64" w:rsidRDefault="0080383E">
            <w:pPr>
              <w:spacing w:line="240" w:lineRule="auto"/>
              <w:jc w:val="center"/>
              <w:rPr>
                <w:sz w:val="20"/>
                <w:szCs w:val="20"/>
              </w:rPr>
            </w:pPr>
            <w:r w:rsidRPr="00CC0F64">
              <w:rPr>
                <w:sz w:val="20"/>
                <w:szCs w:val="20"/>
              </w:rPr>
              <w:t>1.63</w:t>
            </w:r>
          </w:p>
        </w:tc>
        <w:tc>
          <w:tcPr>
            <w:tcW w:w="960" w:type="dxa"/>
            <w:shd w:val="clear" w:color="auto" w:fill="auto"/>
            <w:vAlign w:val="center"/>
          </w:tcPr>
          <w:p w14:paraId="000000DE" w14:textId="77777777" w:rsidR="00083006" w:rsidRPr="00CC0F64" w:rsidRDefault="0080383E">
            <w:pPr>
              <w:spacing w:line="240" w:lineRule="auto"/>
              <w:jc w:val="center"/>
              <w:rPr>
                <w:sz w:val="20"/>
                <w:szCs w:val="20"/>
              </w:rPr>
            </w:pPr>
            <w:r w:rsidRPr="00CC0F64">
              <w:rPr>
                <w:sz w:val="20"/>
                <w:szCs w:val="20"/>
              </w:rPr>
              <w:t>3.60</w:t>
            </w:r>
          </w:p>
        </w:tc>
        <w:tc>
          <w:tcPr>
            <w:tcW w:w="960" w:type="dxa"/>
            <w:shd w:val="clear" w:color="auto" w:fill="auto"/>
            <w:vAlign w:val="center"/>
          </w:tcPr>
          <w:p w14:paraId="000000DF" w14:textId="77777777" w:rsidR="00083006" w:rsidRPr="00CC0F64" w:rsidRDefault="0080383E">
            <w:pPr>
              <w:spacing w:line="240" w:lineRule="auto"/>
              <w:jc w:val="center"/>
              <w:rPr>
                <w:sz w:val="20"/>
                <w:szCs w:val="20"/>
              </w:rPr>
            </w:pPr>
            <w:r w:rsidRPr="00CC0F64">
              <w:rPr>
                <w:sz w:val="20"/>
                <w:szCs w:val="20"/>
              </w:rPr>
              <w:t>8.50</w:t>
            </w:r>
          </w:p>
        </w:tc>
        <w:tc>
          <w:tcPr>
            <w:tcW w:w="960" w:type="dxa"/>
            <w:shd w:val="clear" w:color="auto" w:fill="auto"/>
            <w:vAlign w:val="center"/>
          </w:tcPr>
          <w:p w14:paraId="000000E0" w14:textId="77777777" w:rsidR="00083006" w:rsidRPr="00CC0F64" w:rsidRDefault="0080383E">
            <w:pPr>
              <w:spacing w:line="240" w:lineRule="auto"/>
              <w:jc w:val="center"/>
              <w:rPr>
                <w:sz w:val="20"/>
                <w:szCs w:val="20"/>
              </w:rPr>
            </w:pPr>
            <w:r w:rsidRPr="00CC0F64">
              <w:rPr>
                <w:sz w:val="20"/>
                <w:szCs w:val="20"/>
              </w:rPr>
              <w:t>4.90</w:t>
            </w:r>
          </w:p>
        </w:tc>
        <w:tc>
          <w:tcPr>
            <w:tcW w:w="960" w:type="dxa"/>
            <w:shd w:val="clear" w:color="auto" w:fill="auto"/>
            <w:vAlign w:val="center"/>
          </w:tcPr>
          <w:p w14:paraId="000000E1" w14:textId="77777777" w:rsidR="00083006" w:rsidRPr="00CC0F64" w:rsidRDefault="0080383E">
            <w:pPr>
              <w:spacing w:line="240" w:lineRule="auto"/>
              <w:jc w:val="center"/>
              <w:rPr>
                <w:sz w:val="20"/>
                <w:szCs w:val="20"/>
              </w:rPr>
            </w:pPr>
            <w:r w:rsidRPr="00CC0F64">
              <w:rPr>
                <w:sz w:val="20"/>
                <w:szCs w:val="20"/>
              </w:rPr>
              <w:t>0.40</w:t>
            </w:r>
          </w:p>
        </w:tc>
        <w:tc>
          <w:tcPr>
            <w:tcW w:w="894" w:type="dxa"/>
            <w:shd w:val="clear" w:color="auto" w:fill="auto"/>
            <w:vAlign w:val="center"/>
          </w:tcPr>
          <w:p w14:paraId="000000E2" w14:textId="77777777" w:rsidR="00083006" w:rsidRPr="00CC0F64" w:rsidRDefault="0080383E">
            <w:pPr>
              <w:spacing w:line="240" w:lineRule="auto"/>
              <w:jc w:val="center"/>
              <w:rPr>
                <w:sz w:val="20"/>
                <w:szCs w:val="20"/>
              </w:rPr>
            </w:pPr>
            <w:r w:rsidRPr="00CC0F64">
              <w:rPr>
                <w:sz w:val="20"/>
                <w:szCs w:val="20"/>
              </w:rPr>
              <w:t>-1.49</w:t>
            </w:r>
          </w:p>
        </w:tc>
        <w:tc>
          <w:tcPr>
            <w:tcW w:w="1131" w:type="dxa"/>
            <w:shd w:val="clear" w:color="auto" w:fill="auto"/>
            <w:vAlign w:val="center"/>
          </w:tcPr>
          <w:p w14:paraId="000000E3" w14:textId="77777777" w:rsidR="00083006" w:rsidRPr="00CC0F64" w:rsidRDefault="0080383E">
            <w:pPr>
              <w:spacing w:line="240" w:lineRule="auto"/>
              <w:jc w:val="center"/>
              <w:rPr>
                <w:sz w:val="20"/>
                <w:szCs w:val="20"/>
              </w:rPr>
            </w:pPr>
            <w:r w:rsidRPr="00CC0F64">
              <w:rPr>
                <w:sz w:val="20"/>
                <w:szCs w:val="20"/>
              </w:rPr>
              <w:t>0.13</w:t>
            </w:r>
          </w:p>
        </w:tc>
      </w:tr>
      <w:tr w:rsidR="00083006" w:rsidRPr="00CC0F64" w14:paraId="2E807221" w14:textId="77777777">
        <w:trPr>
          <w:trHeight w:val="290"/>
          <w:jc w:val="center"/>
        </w:trPr>
        <w:tc>
          <w:tcPr>
            <w:tcW w:w="1780" w:type="dxa"/>
            <w:tcBorders>
              <w:bottom w:val="single" w:sz="4" w:space="0" w:color="000000"/>
            </w:tcBorders>
            <w:shd w:val="clear" w:color="auto" w:fill="auto"/>
            <w:vAlign w:val="center"/>
          </w:tcPr>
          <w:p w14:paraId="000000E4" w14:textId="77777777" w:rsidR="00083006" w:rsidRPr="00CC0F64" w:rsidRDefault="0080383E">
            <w:pPr>
              <w:spacing w:line="240" w:lineRule="auto"/>
              <w:rPr>
                <w:sz w:val="20"/>
                <w:szCs w:val="20"/>
              </w:rPr>
            </w:pPr>
            <w:r w:rsidRPr="00CC0F64">
              <w:rPr>
                <w:sz w:val="20"/>
                <w:szCs w:val="20"/>
              </w:rPr>
              <w:t xml:space="preserve">Brent Crude Oil </w:t>
            </w:r>
          </w:p>
        </w:tc>
        <w:tc>
          <w:tcPr>
            <w:tcW w:w="1300" w:type="dxa"/>
            <w:tcBorders>
              <w:bottom w:val="single" w:sz="4" w:space="0" w:color="000000"/>
            </w:tcBorders>
            <w:shd w:val="clear" w:color="auto" w:fill="auto"/>
            <w:vAlign w:val="center"/>
          </w:tcPr>
          <w:p w14:paraId="000000E5" w14:textId="77777777" w:rsidR="00083006" w:rsidRPr="00CC0F64" w:rsidRDefault="0080383E">
            <w:pPr>
              <w:spacing w:line="240" w:lineRule="auto"/>
              <w:jc w:val="center"/>
              <w:rPr>
                <w:sz w:val="20"/>
                <w:szCs w:val="20"/>
              </w:rPr>
            </w:pPr>
            <w:r w:rsidRPr="00CC0F64">
              <w:rPr>
                <w:sz w:val="20"/>
                <w:szCs w:val="20"/>
              </w:rPr>
              <w:t>150</w:t>
            </w:r>
          </w:p>
        </w:tc>
        <w:tc>
          <w:tcPr>
            <w:tcW w:w="960" w:type="dxa"/>
            <w:tcBorders>
              <w:bottom w:val="single" w:sz="4" w:space="0" w:color="000000"/>
            </w:tcBorders>
            <w:shd w:val="clear" w:color="auto" w:fill="auto"/>
            <w:vAlign w:val="center"/>
          </w:tcPr>
          <w:p w14:paraId="000000E6" w14:textId="77777777" w:rsidR="00083006" w:rsidRPr="00CC0F64" w:rsidRDefault="0080383E">
            <w:pPr>
              <w:spacing w:line="240" w:lineRule="auto"/>
              <w:jc w:val="center"/>
              <w:rPr>
                <w:sz w:val="20"/>
                <w:szCs w:val="20"/>
              </w:rPr>
            </w:pPr>
            <w:r w:rsidRPr="00CC0F64">
              <w:rPr>
                <w:sz w:val="20"/>
                <w:szCs w:val="20"/>
              </w:rPr>
              <w:t>4.26</w:t>
            </w:r>
          </w:p>
        </w:tc>
        <w:tc>
          <w:tcPr>
            <w:tcW w:w="960" w:type="dxa"/>
            <w:tcBorders>
              <w:bottom w:val="single" w:sz="4" w:space="0" w:color="000000"/>
            </w:tcBorders>
            <w:shd w:val="clear" w:color="auto" w:fill="auto"/>
            <w:vAlign w:val="center"/>
          </w:tcPr>
          <w:p w14:paraId="000000E7" w14:textId="77777777" w:rsidR="00083006" w:rsidRPr="00CC0F64" w:rsidRDefault="0080383E">
            <w:pPr>
              <w:spacing w:line="240" w:lineRule="auto"/>
              <w:jc w:val="center"/>
              <w:rPr>
                <w:sz w:val="20"/>
                <w:szCs w:val="20"/>
              </w:rPr>
            </w:pPr>
            <w:r w:rsidRPr="00CC0F64">
              <w:rPr>
                <w:sz w:val="20"/>
                <w:szCs w:val="20"/>
              </w:rPr>
              <w:t>0.40</w:t>
            </w:r>
          </w:p>
        </w:tc>
        <w:tc>
          <w:tcPr>
            <w:tcW w:w="960" w:type="dxa"/>
            <w:tcBorders>
              <w:bottom w:val="single" w:sz="4" w:space="0" w:color="000000"/>
            </w:tcBorders>
            <w:shd w:val="clear" w:color="auto" w:fill="auto"/>
            <w:vAlign w:val="center"/>
          </w:tcPr>
          <w:p w14:paraId="000000E8" w14:textId="77777777" w:rsidR="00083006" w:rsidRPr="00CC0F64" w:rsidRDefault="0080383E">
            <w:pPr>
              <w:spacing w:line="240" w:lineRule="auto"/>
              <w:jc w:val="center"/>
              <w:rPr>
                <w:sz w:val="20"/>
                <w:szCs w:val="20"/>
              </w:rPr>
            </w:pPr>
            <w:r w:rsidRPr="00CC0F64">
              <w:rPr>
                <w:sz w:val="20"/>
                <w:szCs w:val="20"/>
              </w:rPr>
              <w:t>4.28</w:t>
            </w:r>
          </w:p>
        </w:tc>
        <w:tc>
          <w:tcPr>
            <w:tcW w:w="961" w:type="dxa"/>
            <w:tcBorders>
              <w:bottom w:val="single" w:sz="4" w:space="0" w:color="000000"/>
            </w:tcBorders>
            <w:shd w:val="clear" w:color="auto" w:fill="auto"/>
            <w:vAlign w:val="center"/>
          </w:tcPr>
          <w:p w14:paraId="000000E9" w14:textId="77777777" w:rsidR="00083006" w:rsidRPr="00CC0F64" w:rsidRDefault="0080383E">
            <w:pPr>
              <w:spacing w:line="240" w:lineRule="auto"/>
              <w:jc w:val="center"/>
              <w:rPr>
                <w:sz w:val="20"/>
                <w:szCs w:val="20"/>
              </w:rPr>
            </w:pPr>
            <w:r w:rsidRPr="00CC0F64">
              <w:rPr>
                <w:sz w:val="20"/>
                <w:szCs w:val="20"/>
              </w:rPr>
              <w:t>4.29</w:t>
            </w:r>
          </w:p>
        </w:tc>
        <w:tc>
          <w:tcPr>
            <w:tcW w:w="960" w:type="dxa"/>
            <w:tcBorders>
              <w:bottom w:val="single" w:sz="4" w:space="0" w:color="000000"/>
            </w:tcBorders>
            <w:shd w:val="clear" w:color="auto" w:fill="auto"/>
            <w:vAlign w:val="center"/>
          </w:tcPr>
          <w:p w14:paraId="000000EA" w14:textId="77777777" w:rsidR="00083006" w:rsidRPr="00CC0F64" w:rsidRDefault="0080383E">
            <w:pPr>
              <w:spacing w:line="240" w:lineRule="auto"/>
              <w:jc w:val="center"/>
              <w:rPr>
                <w:sz w:val="20"/>
                <w:szCs w:val="20"/>
              </w:rPr>
            </w:pPr>
            <w:r w:rsidRPr="00CC0F64">
              <w:rPr>
                <w:sz w:val="20"/>
                <w:szCs w:val="20"/>
              </w:rPr>
              <w:t>0.51</w:t>
            </w:r>
          </w:p>
        </w:tc>
        <w:tc>
          <w:tcPr>
            <w:tcW w:w="960" w:type="dxa"/>
            <w:tcBorders>
              <w:bottom w:val="single" w:sz="4" w:space="0" w:color="000000"/>
            </w:tcBorders>
            <w:shd w:val="clear" w:color="auto" w:fill="auto"/>
            <w:vAlign w:val="center"/>
          </w:tcPr>
          <w:p w14:paraId="000000EB" w14:textId="77777777" w:rsidR="00083006" w:rsidRPr="00CC0F64" w:rsidRDefault="0080383E">
            <w:pPr>
              <w:spacing w:line="240" w:lineRule="auto"/>
              <w:jc w:val="center"/>
              <w:rPr>
                <w:sz w:val="20"/>
                <w:szCs w:val="20"/>
              </w:rPr>
            </w:pPr>
            <w:r w:rsidRPr="00CC0F64">
              <w:rPr>
                <w:sz w:val="20"/>
                <w:szCs w:val="20"/>
              </w:rPr>
              <w:t>2.63</w:t>
            </w:r>
          </w:p>
        </w:tc>
        <w:tc>
          <w:tcPr>
            <w:tcW w:w="960" w:type="dxa"/>
            <w:tcBorders>
              <w:bottom w:val="single" w:sz="4" w:space="0" w:color="000000"/>
            </w:tcBorders>
            <w:shd w:val="clear" w:color="auto" w:fill="auto"/>
            <w:vAlign w:val="center"/>
          </w:tcPr>
          <w:p w14:paraId="000000EC" w14:textId="77777777" w:rsidR="00083006" w:rsidRPr="00CC0F64" w:rsidRDefault="0080383E">
            <w:pPr>
              <w:spacing w:line="240" w:lineRule="auto"/>
              <w:jc w:val="center"/>
              <w:rPr>
                <w:sz w:val="20"/>
                <w:szCs w:val="20"/>
              </w:rPr>
            </w:pPr>
            <w:r w:rsidRPr="00CC0F64">
              <w:rPr>
                <w:sz w:val="20"/>
                <w:szCs w:val="20"/>
              </w:rPr>
              <w:t>4.83</w:t>
            </w:r>
          </w:p>
        </w:tc>
        <w:tc>
          <w:tcPr>
            <w:tcW w:w="960" w:type="dxa"/>
            <w:tcBorders>
              <w:bottom w:val="single" w:sz="4" w:space="0" w:color="000000"/>
            </w:tcBorders>
            <w:shd w:val="clear" w:color="auto" w:fill="auto"/>
            <w:vAlign w:val="center"/>
          </w:tcPr>
          <w:p w14:paraId="000000ED" w14:textId="77777777" w:rsidR="00083006" w:rsidRPr="00CC0F64" w:rsidRDefault="0080383E">
            <w:pPr>
              <w:spacing w:line="240" w:lineRule="auto"/>
              <w:jc w:val="center"/>
              <w:rPr>
                <w:sz w:val="20"/>
                <w:szCs w:val="20"/>
              </w:rPr>
            </w:pPr>
            <w:r w:rsidRPr="00CC0F64">
              <w:rPr>
                <w:sz w:val="20"/>
                <w:szCs w:val="20"/>
              </w:rPr>
              <w:t>2.20</w:t>
            </w:r>
          </w:p>
        </w:tc>
        <w:tc>
          <w:tcPr>
            <w:tcW w:w="960" w:type="dxa"/>
            <w:tcBorders>
              <w:bottom w:val="single" w:sz="4" w:space="0" w:color="000000"/>
            </w:tcBorders>
            <w:shd w:val="clear" w:color="auto" w:fill="auto"/>
            <w:vAlign w:val="center"/>
          </w:tcPr>
          <w:p w14:paraId="000000EE" w14:textId="77777777" w:rsidR="00083006" w:rsidRPr="00CC0F64" w:rsidRDefault="0080383E">
            <w:pPr>
              <w:spacing w:line="240" w:lineRule="auto"/>
              <w:jc w:val="center"/>
              <w:rPr>
                <w:sz w:val="20"/>
                <w:szCs w:val="20"/>
              </w:rPr>
            </w:pPr>
            <w:r w:rsidRPr="00CC0F64">
              <w:rPr>
                <w:sz w:val="20"/>
                <w:szCs w:val="20"/>
              </w:rPr>
              <w:t>-0.80</w:t>
            </w:r>
          </w:p>
        </w:tc>
        <w:tc>
          <w:tcPr>
            <w:tcW w:w="894" w:type="dxa"/>
            <w:tcBorders>
              <w:bottom w:val="single" w:sz="4" w:space="0" w:color="000000"/>
            </w:tcBorders>
            <w:shd w:val="clear" w:color="auto" w:fill="auto"/>
            <w:vAlign w:val="center"/>
          </w:tcPr>
          <w:p w14:paraId="000000EF" w14:textId="77777777" w:rsidR="00083006" w:rsidRPr="00CC0F64" w:rsidRDefault="0080383E">
            <w:pPr>
              <w:spacing w:line="240" w:lineRule="auto"/>
              <w:jc w:val="center"/>
              <w:rPr>
                <w:sz w:val="20"/>
                <w:szCs w:val="20"/>
              </w:rPr>
            </w:pPr>
            <w:r w:rsidRPr="00CC0F64">
              <w:rPr>
                <w:sz w:val="20"/>
                <w:szCs w:val="20"/>
              </w:rPr>
              <w:t>1.19</w:t>
            </w:r>
          </w:p>
        </w:tc>
        <w:tc>
          <w:tcPr>
            <w:tcW w:w="1131" w:type="dxa"/>
            <w:tcBorders>
              <w:bottom w:val="single" w:sz="4" w:space="0" w:color="000000"/>
            </w:tcBorders>
            <w:shd w:val="clear" w:color="auto" w:fill="auto"/>
            <w:vAlign w:val="center"/>
          </w:tcPr>
          <w:p w14:paraId="000000F0" w14:textId="77777777" w:rsidR="00083006" w:rsidRPr="00CC0F64" w:rsidRDefault="0080383E">
            <w:pPr>
              <w:spacing w:line="240" w:lineRule="auto"/>
              <w:jc w:val="center"/>
              <w:rPr>
                <w:sz w:val="20"/>
                <w:szCs w:val="20"/>
              </w:rPr>
            </w:pPr>
            <w:r w:rsidRPr="00CC0F64">
              <w:rPr>
                <w:sz w:val="20"/>
                <w:szCs w:val="20"/>
              </w:rPr>
              <w:t>0.03</w:t>
            </w:r>
          </w:p>
        </w:tc>
      </w:tr>
    </w:tbl>
    <w:p w14:paraId="000000F1" w14:textId="77777777" w:rsidR="00083006" w:rsidRPr="00CC0F64" w:rsidRDefault="00083006">
      <w:pPr>
        <w:jc w:val="center"/>
        <w:rPr>
          <w:b/>
          <w:sz w:val="20"/>
          <w:szCs w:val="20"/>
        </w:rPr>
      </w:pPr>
    </w:p>
    <w:p w14:paraId="03EDA7DB" w14:textId="77777777" w:rsidR="005D0820" w:rsidRDefault="0080383E" w:rsidP="001D49DD">
      <w:pPr>
        <w:keepNext/>
        <w:jc w:val="center"/>
        <w:rPr>
          <w:color w:val="00B050"/>
        </w:rPr>
      </w:pPr>
      <w:r w:rsidRPr="00CC0F64">
        <w:rPr>
          <w:noProof/>
        </w:rPr>
        <w:lastRenderedPageBreak/>
        <w:drawing>
          <wp:inline distT="0" distB="0" distL="0" distR="0" wp14:anchorId="77A3E507" wp14:editId="65963D25">
            <wp:extent cx="5880209" cy="3783127"/>
            <wp:effectExtent l="0" t="0" r="0" b="0"/>
            <wp:docPr id="226" name="image13.png" descr="Diagram, engineer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3.png" descr="Diagram, engineering drawing&#10;&#10;Description automatically generated"/>
                    <pic:cNvPicPr preferRelativeResize="0"/>
                  </pic:nvPicPr>
                  <pic:blipFill>
                    <a:blip r:embed="rId46"/>
                    <a:srcRect/>
                    <a:stretch>
                      <a:fillRect/>
                    </a:stretch>
                  </pic:blipFill>
                  <pic:spPr>
                    <a:xfrm>
                      <a:off x="0" y="0"/>
                      <a:ext cx="5880209" cy="3783127"/>
                    </a:xfrm>
                    <a:prstGeom prst="rect">
                      <a:avLst/>
                    </a:prstGeom>
                    <a:ln/>
                  </pic:spPr>
                </pic:pic>
              </a:graphicData>
            </a:graphic>
          </wp:inline>
        </w:drawing>
      </w:r>
    </w:p>
    <w:p w14:paraId="000000F3" w14:textId="14D849D7" w:rsidR="00083006" w:rsidRPr="001D49DD" w:rsidRDefault="001D49DD" w:rsidP="001D49DD">
      <w:pPr>
        <w:keepNext/>
        <w:jc w:val="center"/>
        <w:rPr>
          <w:color w:val="00B050"/>
          <w:sz w:val="20"/>
          <w:szCs w:val="20"/>
        </w:rPr>
      </w:pPr>
      <w:r w:rsidRPr="001D49DD">
        <w:rPr>
          <w:color w:val="00B050"/>
        </w:rPr>
        <w:t xml:space="preserve">Figure </w:t>
      </w:r>
      <w:r w:rsidRPr="001D49DD">
        <w:rPr>
          <w:color w:val="00B050"/>
        </w:rPr>
        <w:fldChar w:fldCharType="begin"/>
      </w:r>
      <w:r w:rsidRPr="001D49DD">
        <w:rPr>
          <w:color w:val="00B050"/>
        </w:rPr>
        <w:instrText xml:space="preserve"> SEQ Figure \* ARABIC </w:instrText>
      </w:r>
      <w:r w:rsidRPr="001D49DD">
        <w:rPr>
          <w:color w:val="00B050"/>
        </w:rPr>
        <w:fldChar w:fldCharType="separate"/>
      </w:r>
      <w:r w:rsidR="004E2D14">
        <w:rPr>
          <w:noProof/>
          <w:color w:val="00B050"/>
        </w:rPr>
        <w:t>2</w:t>
      </w:r>
      <w:r w:rsidRPr="001D49DD">
        <w:rPr>
          <w:color w:val="00B050"/>
        </w:rPr>
        <w:fldChar w:fldCharType="end"/>
      </w:r>
      <w:r w:rsidRPr="001D49DD">
        <w:rPr>
          <w:color w:val="00B050"/>
        </w:rPr>
        <w:t xml:space="preserve"> </w:t>
      </w:r>
      <w:r w:rsidRPr="001D49DD">
        <w:rPr>
          <w:color w:val="00B050"/>
          <w:sz w:val="20"/>
          <w:szCs w:val="20"/>
        </w:rPr>
        <w:t>Descriptive Graphs for all variables.</w:t>
      </w:r>
    </w:p>
    <w:p w14:paraId="000000F4" w14:textId="77777777" w:rsidR="00083006" w:rsidRPr="00CC0F64" w:rsidRDefault="0080383E">
      <w:pPr>
        <w:spacing w:line="240" w:lineRule="auto"/>
        <w:rPr>
          <w:sz w:val="20"/>
          <w:szCs w:val="20"/>
        </w:rPr>
      </w:pPr>
      <w:r w:rsidRPr="00CC0F64">
        <w:rPr>
          <w:b/>
          <w:sz w:val="20"/>
          <w:szCs w:val="20"/>
        </w:rPr>
        <w:t>Table 2. Correlation matrix.</w:t>
      </w:r>
    </w:p>
    <w:tbl>
      <w:tblPr>
        <w:tblStyle w:val="a0"/>
        <w:tblW w:w="14040" w:type="dxa"/>
        <w:jc w:val="center"/>
        <w:tblBorders>
          <w:top w:val="single" w:sz="4" w:space="0" w:color="000000"/>
          <w:bottom w:val="single" w:sz="4" w:space="0" w:color="000000"/>
        </w:tblBorders>
        <w:tblLayout w:type="fixed"/>
        <w:tblLook w:val="0400" w:firstRow="0" w:lastRow="0" w:firstColumn="0" w:lastColumn="0" w:noHBand="0" w:noVBand="1"/>
      </w:tblPr>
      <w:tblGrid>
        <w:gridCol w:w="2359"/>
        <w:gridCol w:w="2337"/>
        <w:gridCol w:w="2336"/>
        <w:gridCol w:w="2336"/>
        <w:gridCol w:w="2336"/>
        <w:gridCol w:w="2336"/>
      </w:tblGrid>
      <w:tr w:rsidR="007E3981" w:rsidRPr="00CC0F64" w14:paraId="10A72CD7" w14:textId="77777777">
        <w:trPr>
          <w:trHeight w:val="290"/>
          <w:jc w:val="center"/>
        </w:trPr>
        <w:tc>
          <w:tcPr>
            <w:tcW w:w="2359" w:type="dxa"/>
            <w:tcBorders>
              <w:top w:val="single" w:sz="4" w:space="0" w:color="000000"/>
              <w:bottom w:val="single" w:sz="4" w:space="0" w:color="000000"/>
            </w:tcBorders>
            <w:shd w:val="clear" w:color="auto" w:fill="auto"/>
            <w:vAlign w:val="center"/>
          </w:tcPr>
          <w:p w14:paraId="000000F5" w14:textId="77777777" w:rsidR="00083006" w:rsidRPr="00CC0F64" w:rsidRDefault="0080383E">
            <w:pPr>
              <w:spacing w:line="240" w:lineRule="auto"/>
              <w:jc w:val="center"/>
              <w:rPr>
                <w:sz w:val="20"/>
                <w:szCs w:val="20"/>
              </w:rPr>
            </w:pPr>
            <w:r w:rsidRPr="00CC0F64">
              <w:rPr>
                <w:sz w:val="20"/>
                <w:szCs w:val="20"/>
              </w:rPr>
              <w:t>Variables</w:t>
            </w:r>
          </w:p>
        </w:tc>
        <w:tc>
          <w:tcPr>
            <w:tcW w:w="2337" w:type="dxa"/>
            <w:tcBorders>
              <w:top w:val="single" w:sz="4" w:space="0" w:color="000000"/>
              <w:bottom w:val="single" w:sz="4" w:space="0" w:color="000000"/>
            </w:tcBorders>
            <w:shd w:val="clear" w:color="auto" w:fill="auto"/>
            <w:vAlign w:val="center"/>
          </w:tcPr>
          <w:p w14:paraId="000000F6" w14:textId="77777777" w:rsidR="00083006" w:rsidRPr="00CC0F64" w:rsidRDefault="0080383E">
            <w:pPr>
              <w:spacing w:line="240" w:lineRule="auto"/>
              <w:jc w:val="center"/>
              <w:rPr>
                <w:sz w:val="20"/>
                <w:szCs w:val="20"/>
              </w:rPr>
            </w:pPr>
            <w:r w:rsidRPr="00CC0F64">
              <w:rPr>
                <w:sz w:val="20"/>
                <w:szCs w:val="20"/>
              </w:rPr>
              <w:t xml:space="preserve">GDP </w:t>
            </w:r>
          </w:p>
        </w:tc>
        <w:tc>
          <w:tcPr>
            <w:tcW w:w="2336" w:type="dxa"/>
            <w:tcBorders>
              <w:top w:val="single" w:sz="4" w:space="0" w:color="000000"/>
              <w:bottom w:val="single" w:sz="4" w:space="0" w:color="000000"/>
            </w:tcBorders>
            <w:shd w:val="clear" w:color="auto" w:fill="auto"/>
            <w:vAlign w:val="center"/>
          </w:tcPr>
          <w:p w14:paraId="000000F7" w14:textId="77777777" w:rsidR="00083006" w:rsidRPr="00CC0F64" w:rsidRDefault="0080383E">
            <w:pPr>
              <w:spacing w:line="240" w:lineRule="auto"/>
              <w:jc w:val="center"/>
              <w:rPr>
                <w:sz w:val="20"/>
                <w:szCs w:val="20"/>
              </w:rPr>
            </w:pPr>
            <w:r w:rsidRPr="00CC0F64">
              <w:rPr>
                <w:sz w:val="20"/>
                <w:szCs w:val="20"/>
              </w:rPr>
              <w:t xml:space="preserve">CPI </w:t>
            </w:r>
          </w:p>
        </w:tc>
        <w:tc>
          <w:tcPr>
            <w:tcW w:w="2336" w:type="dxa"/>
            <w:tcBorders>
              <w:top w:val="single" w:sz="4" w:space="0" w:color="000000"/>
              <w:bottom w:val="single" w:sz="4" w:space="0" w:color="000000"/>
            </w:tcBorders>
            <w:shd w:val="clear" w:color="auto" w:fill="auto"/>
            <w:vAlign w:val="center"/>
          </w:tcPr>
          <w:p w14:paraId="000000F8" w14:textId="77777777" w:rsidR="00083006" w:rsidRPr="00CC0F64" w:rsidRDefault="0080383E">
            <w:pPr>
              <w:spacing w:line="240" w:lineRule="auto"/>
              <w:jc w:val="center"/>
              <w:rPr>
                <w:sz w:val="20"/>
                <w:szCs w:val="20"/>
              </w:rPr>
            </w:pPr>
            <w:r w:rsidRPr="00CC0F64">
              <w:rPr>
                <w:sz w:val="20"/>
                <w:szCs w:val="20"/>
              </w:rPr>
              <w:t>Trade Balance</w:t>
            </w:r>
          </w:p>
        </w:tc>
        <w:tc>
          <w:tcPr>
            <w:tcW w:w="2336" w:type="dxa"/>
            <w:tcBorders>
              <w:top w:val="single" w:sz="4" w:space="0" w:color="000000"/>
              <w:bottom w:val="single" w:sz="4" w:space="0" w:color="000000"/>
            </w:tcBorders>
            <w:shd w:val="clear" w:color="auto" w:fill="auto"/>
            <w:vAlign w:val="center"/>
          </w:tcPr>
          <w:p w14:paraId="000000F9" w14:textId="77777777" w:rsidR="00083006" w:rsidRPr="00CC0F64" w:rsidRDefault="0080383E">
            <w:pPr>
              <w:spacing w:line="240" w:lineRule="auto"/>
              <w:jc w:val="center"/>
              <w:rPr>
                <w:sz w:val="20"/>
                <w:szCs w:val="20"/>
              </w:rPr>
            </w:pPr>
            <w:r w:rsidRPr="00CC0F64">
              <w:rPr>
                <w:sz w:val="20"/>
                <w:szCs w:val="20"/>
              </w:rPr>
              <w:t>Unemployment Brent</w:t>
            </w:r>
          </w:p>
        </w:tc>
        <w:tc>
          <w:tcPr>
            <w:tcW w:w="2336" w:type="dxa"/>
            <w:tcBorders>
              <w:top w:val="single" w:sz="4" w:space="0" w:color="000000"/>
              <w:bottom w:val="single" w:sz="4" w:space="0" w:color="000000"/>
            </w:tcBorders>
            <w:shd w:val="clear" w:color="auto" w:fill="auto"/>
            <w:vAlign w:val="center"/>
          </w:tcPr>
          <w:p w14:paraId="000000FA" w14:textId="77777777" w:rsidR="00083006" w:rsidRPr="00CC0F64" w:rsidRDefault="0080383E">
            <w:pPr>
              <w:spacing w:line="240" w:lineRule="auto"/>
              <w:jc w:val="center"/>
              <w:rPr>
                <w:sz w:val="20"/>
                <w:szCs w:val="20"/>
              </w:rPr>
            </w:pPr>
            <w:r w:rsidRPr="00CC0F64">
              <w:rPr>
                <w:sz w:val="20"/>
                <w:szCs w:val="20"/>
              </w:rPr>
              <w:t>Crude Oil</w:t>
            </w:r>
          </w:p>
        </w:tc>
      </w:tr>
      <w:tr w:rsidR="007E3981" w:rsidRPr="00CC0F64" w14:paraId="786FE734" w14:textId="77777777">
        <w:trPr>
          <w:trHeight w:val="290"/>
          <w:jc w:val="center"/>
        </w:trPr>
        <w:tc>
          <w:tcPr>
            <w:tcW w:w="2359" w:type="dxa"/>
            <w:tcBorders>
              <w:top w:val="single" w:sz="4" w:space="0" w:color="000000"/>
            </w:tcBorders>
            <w:shd w:val="clear" w:color="auto" w:fill="auto"/>
            <w:vAlign w:val="center"/>
          </w:tcPr>
          <w:p w14:paraId="000000FB" w14:textId="77777777" w:rsidR="00083006" w:rsidRPr="00CC0F64" w:rsidRDefault="0080383E">
            <w:pPr>
              <w:spacing w:line="240" w:lineRule="auto"/>
              <w:rPr>
                <w:sz w:val="20"/>
                <w:szCs w:val="20"/>
              </w:rPr>
            </w:pPr>
            <w:r w:rsidRPr="00CC0F64">
              <w:rPr>
                <w:sz w:val="20"/>
                <w:szCs w:val="20"/>
              </w:rPr>
              <w:t xml:space="preserve">GDP  </w:t>
            </w:r>
          </w:p>
        </w:tc>
        <w:tc>
          <w:tcPr>
            <w:tcW w:w="2337" w:type="dxa"/>
            <w:tcBorders>
              <w:top w:val="single" w:sz="4" w:space="0" w:color="000000"/>
            </w:tcBorders>
            <w:shd w:val="clear" w:color="auto" w:fill="auto"/>
            <w:vAlign w:val="center"/>
          </w:tcPr>
          <w:p w14:paraId="000000FC" w14:textId="77777777" w:rsidR="00083006" w:rsidRPr="00CC0F64" w:rsidRDefault="0080383E">
            <w:pPr>
              <w:spacing w:line="240" w:lineRule="auto"/>
              <w:jc w:val="center"/>
              <w:rPr>
                <w:sz w:val="20"/>
                <w:szCs w:val="20"/>
              </w:rPr>
            </w:pPr>
            <w:r w:rsidRPr="00CC0F64">
              <w:rPr>
                <w:sz w:val="20"/>
                <w:szCs w:val="20"/>
              </w:rPr>
              <w:t>1.0000</w:t>
            </w:r>
          </w:p>
        </w:tc>
        <w:tc>
          <w:tcPr>
            <w:tcW w:w="2336" w:type="dxa"/>
            <w:tcBorders>
              <w:top w:val="single" w:sz="4" w:space="0" w:color="000000"/>
            </w:tcBorders>
            <w:shd w:val="clear" w:color="auto" w:fill="auto"/>
            <w:vAlign w:val="center"/>
          </w:tcPr>
          <w:p w14:paraId="000000FD" w14:textId="77777777" w:rsidR="00083006" w:rsidRPr="00CC0F64" w:rsidRDefault="0080383E">
            <w:pPr>
              <w:spacing w:line="240" w:lineRule="auto"/>
              <w:jc w:val="center"/>
              <w:rPr>
                <w:sz w:val="20"/>
                <w:szCs w:val="20"/>
              </w:rPr>
            </w:pPr>
            <w:r w:rsidRPr="00CC0F64">
              <w:rPr>
                <w:sz w:val="20"/>
                <w:szCs w:val="20"/>
              </w:rPr>
              <w:t>-0.0590</w:t>
            </w:r>
          </w:p>
        </w:tc>
        <w:tc>
          <w:tcPr>
            <w:tcW w:w="2336" w:type="dxa"/>
            <w:tcBorders>
              <w:top w:val="single" w:sz="4" w:space="0" w:color="000000"/>
            </w:tcBorders>
            <w:shd w:val="clear" w:color="auto" w:fill="auto"/>
            <w:vAlign w:val="center"/>
          </w:tcPr>
          <w:p w14:paraId="000000FE" w14:textId="77777777" w:rsidR="00083006" w:rsidRPr="00CC0F64" w:rsidRDefault="0080383E">
            <w:pPr>
              <w:spacing w:line="240" w:lineRule="auto"/>
              <w:jc w:val="center"/>
              <w:rPr>
                <w:sz w:val="20"/>
                <w:szCs w:val="20"/>
              </w:rPr>
            </w:pPr>
            <w:r w:rsidRPr="00CC0F64">
              <w:rPr>
                <w:sz w:val="20"/>
                <w:szCs w:val="20"/>
              </w:rPr>
              <w:t>-0.0628</w:t>
            </w:r>
          </w:p>
        </w:tc>
        <w:tc>
          <w:tcPr>
            <w:tcW w:w="2336" w:type="dxa"/>
            <w:tcBorders>
              <w:top w:val="single" w:sz="4" w:space="0" w:color="000000"/>
            </w:tcBorders>
            <w:shd w:val="clear" w:color="auto" w:fill="auto"/>
            <w:vAlign w:val="center"/>
          </w:tcPr>
          <w:p w14:paraId="000000FF" w14:textId="77777777" w:rsidR="00083006" w:rsidRPr="00CC0F64" w:rsidRDefault="0080383E">
            <w:pPr>
              <w:spacing w:line="240" w:lineRule="auto"/>
              <w:jc w:val="center"/>
              <w:rPr>
                <w:sz w:val="20"/>
                <w:szCs w:val="20"/>
              </w:rPr>
            </w:pPr>
            <w:r w:rsidRPr="00CC0F64">
              <w:rPr>
                <w:sz w:val="20"/>
                <w:szCs w:val="20"/>
              </w:rPr>
              <w:t>0.0697</w:t>
            </w:r>
          </w:p>
        </w:tc>
        <w:tc>
          <w:tcPr>
            <w:tcW w:w="2336" w:type="dxa"/>
            <w:tcBorders>
              <w:top w:val="single" w:sz="4" w:space="0" w:color="000000"/>
            </w:tcBorders>
            <w:shd w:val="clear" w:color="auto" w:fill="auto"/>
            <w:vAlign w:val="center"/>
          </w:tcPr>
          <w:p w14:paraId="00000100" w14:textId="77777777" w:rsidR="00083006" w:rsidRPr="00CC0F64" w:rsidRDefault="0080383E">
            <w:pPr>
              <w:spacing w:line="240" w:lineRule="auto"/>
              <w:jc w:val="center"/>
              <w:rPr>
                <w:sz w:val="20"/>
                <w:szCs w:val="20"/>
              </w:rPr>
            </w:pPr>
            <w:r w:rsidRPr="00CC0F64">
              <w:rPr>
                <w:sz w:val="20"/>
                <w:szCs w:val="20"/>
              </w:rPr>
              <w:t>0.2985</w:t>
            </w:r>
          </w:p>
        </w:tc>
      </w:tr>
      <w:tr w:rsidR="007E3981" w:rsidRPr="00CC0F64" w14:paraId="7805B172" w14:textId="77777777">
        <w:trPr>
          <w:trHeight w:val="290"/>
          <w:jc w:val="center"/>
        </w:trPr>
        <w:tc>
          <w:tcPr>
            <w:tcW w:w="2359" w:type="dxa"/>
            <w:shd w:val="clear" w:color="auto" w:fill="auto"/>
            <w:vAlign w:val="center"/>
          </w:tcPr>
          <w:p w14:paraId="00000101" w14:textId="77777777" w:rsidR="00083006" w:rsidRPr="00CC0F64" w:rsidRDefault="0080383E">
            <w:pPr>
              <w:spacing w:line="240" w:lineRule="auto"/>
              <w:rPr>
                <w:sz w:val="20"/>
                <w:szCs w:val="20"/>
              </w:rPr>
            </w:pPr>
            <w:r w:rsidRPr="00CC0F64">
              <w:rPr>
                <w:sz w:val="20"/>
                <w:szCs w:val="20"/>
              </w:rPr>
              <w:t>CPI</w:t>
            </w:r>
          </w:p>
        </w:tc>
        <w:tc>
          <w:tcPr>
            <w:tcW w:w="2337" w:type="dxa"/>
            <w:shd w:val="clear" w:color="auto" w:fill="auto"/>
            <w:vAlign w:val="center"/>
          </w:tcPr>
          <w:p w14:paraId="00000102" w14:textId="77777777" w:rsidR="00083006" w:rsidRPr="00CC0F64" w:rsidRDefault="0080383E">
            <w:pPr>
              <w:spacing w:line="240" w:lineRule="auto"/>
              <w:jc w:val="center"/>
              <w:rPr>
                <w:sz w:val="20"/>
                <w:szCs w:val="20"/>
              </w:rPr>
            </w:pPr>
            <w:r w:rsidRPr="00CC0F64">
              <w:rPr>
                <w:sz w:val="20"/>
                <w:szCs w:val="20"/>
              </w:rPr>
              <w:t>-0.0590</w:t>
            </w:r>
          </w:p>
        </w:tc>
        <w:tc>
          <w:tcPr>
            <w:tcW w:w="2336" w:type="dxa"/>
            <w:shd w:val="clear" w:color="auto" w:fill="auto"/>
            <w:vAlign w:val="center"/>
          </w:tcPr>
          <w:p w14:paraId="00000103" w14:textId="77777777" w:rsidR="00083006" w:rsidRPr="00CC0F64" w:rsidRDefault="0080383E">
            <w:pPr>
              <w:spacing w:line="240" w:lineRule="auto"/>
              <w:jc w:val="center"/>
              <w:rPr>
                <w:sz w:val="20"/>
                <w:szCs w:val="20"/>
              </w:rPr>
            </w:pPr>
            <w:r w:rsidRPr="00CC0F64">
              <w:rPr>
                <w:sz w:val="20"/>
                <w:szCs w:val="20"/>
              </w:rPr>
              <w:t>1.0000</w:t>
            </w:r>
          </w:p>
        </w:tc>
        <w:tc>
          <w:tcPr>
            <w:tcW w:w="2336" w:type="dxa"/>
            <w:shd w:val="clear" w:color="auto" w:fill="auto"/>
            <w:vAlign w:val="center"/>
          </w:tcPr>
          <w:p w14:paraId="00000104" w14:textId="77777777" w:rsidR="00083006" w:rsidRPr="00CC0F64" w:rsidRDefault="0080383E">
            <w:pPr>
              <w:spacing w:line="240" w:lineRule="auto"/>
              <w:jc w:val="center"/>
              <w:rPr>
                <w:sz w:val="20"/>
                <w:szCs w:val="20"/>
              </w:rPr>
            </w:pPr>
            <w:r w:rsidRPr="00CC0F64">
              <w:rPr>
                <w:sz w:val="20"/>
                <w:szCs w:val="20"/>
              </w:rPr>
              <w:t>-0.5436</w:t>
            </w:r>
          </w:p>
        </w:tc>
        <w:tc>
          <w:tcPr>
            <w:tcW w:w="2336" w:type="dxa"/>
            <w:shd w:val="clear" w:color="auto" w:fill="auto"/>
            <w:vAlign w:val="center"/>
          </w:tcPr>
          <w:p w14:paraId="00000105" w14:textId="77777777" w:rsidR="00083006" w:rsidRPr="00CC0F64" w:rsidRDefault="0080383E">
            <w:pPr>
              <w:spacing w:line="240" w:lineRule="auto"/>
              <w:jc w:val="center"/>
              <w:rPr>
                <w:sz w:val="20"/>
                <w:szCs w:val="20"/>
              </w:rPr>
            </w:pPr>
            <w:r w:rsidRPr="00CC0F64">
              <w:rPr>
                <w:sz w:val="20"/>
                <w:szCs w:val="20"/>
              </w:rPr>
              <w:t>-0.8548</w:t>
            </w:r>
          </w:p>
        </w:tc>
        <w:tc>
          <w:tcPr>
            <w:tcW w:w="2336" w:type="dxa"/>
            <w:shd w:val="clear" w:color="auto" w:fill="auto"/>
            <w:vAlign w:val="center"/>
          </w:tcPr>
          <w:p w14:paraId="00000106" w14:textId="77777777" w:rsidR="00083006" w:rsidRPr="00CC0F64" w:rsidRDefault="0080383E">
            <w:pPr>
              <w:spacing w:line="240" w:lineRule="auto"/>
              <w:jc w:val="center"/>
              <w:rPr>
                <w:sz w:val="20"/>
                <w:szCs w:val="20"/>
              </w:rPr>
            </w:pPr>
            <w:r w:rsidRPr="00CC0F64">
              <w:rPr>
                <w:sz w:val="20"/>
                <w:szCs w:val="20"/>
              </w:rPr>
              <w:t>-0.3022</w:t>
            </w:r>
          </w:p>
        </w:tc>
      </w:tr>
      <w:tr w:rsidR="007E3981" w:rsidRPr="00CC0F64" w14:paraId="0D75507D" w14:textId="77777777">
        <w:trPr>
          <w:trHeight w:val="290"/>
          <w:jc w:val="center"/>
        </w:trPr>
        <w:tc>
          <w:tcPr>
            <w:tcW w:w="2359" w:type="dxa"/>
            <w:shd w:val="clear" w:color="auto" w:fill="auto"/>
            <w:vAlign w:val="center"/>
          </w:tcPr>
          <w:p w14:paraId="00000107" w14:textId="77777777" w:rsidR="00083006" w:rsidRPr="00CC0F64" w:rsidRDefault="0080383E">
            <w:pPr>
              <w:spacing w:line="240" w:lineRule="auto"/>
              <w:rPr>
                <w:sz w:val="20"/>
                <w:szCs w:val="20"/>
              </w:rPr>
            </w:pPr>
            <w:r w:rsidRPr="00CC0F64">
              <w:rPr>
                <w:sz w:val="20"/>
                <w:szCs w:val="20"/>
              </w:rPr>
              <w:t>Trade Balance</w:t>
            </w:r>
          </w:p>
        </w:tc>
        <w:tc>
          <w:tcPr>
            <w:tcW w:w="2337" w:type="dxa"/>
            <w:shd w:val="clear" w:color="auto" w:fill="auto"/>
            <w:vAlign w:val="center"/>
          </w:tcPr>
          <w:p w14:paraId="00000108" w14:textId="77777777" w:rsidR="00083006" w:rsidRPr="00CC0F64" w:rsidRDefault="0080383E">
            <w:pPr>
              <w:spacing w:line="240" w:lineRule="auto"/>
              <w:jc w:val="center"/>
              <w:rPr>
                <w:sz w:val="20"/>
                <w:szCs w:val="20"/>
              </w:rPr>
            </w:pPr>
            <w:r w:rsidRPr="00CC0F64">
              <w:rPr>
                <w:sz w:val="20"/>
                <w:szCs w:val="20"/>
              </w:rPr>
              <w:t>-0.0628</w:t>
            </w:r>
          </w:p>
        </w:tc>
        <w:tc>
          <w:tcPr>
            <w:tcW w:w="2336" w:type="dxa"/>
            <w:shd w:val="clear" w:color="auto" w:fill="auto"/>
            <w:vAlign w:val="center"/>
          </w:tcPr>
          <w:p w14:paraId="00000109" w14:textId="77777777" w:rsidR="00083006" w:rsidRPr="00CC0F64" w:rsidRDefault="0080383E">
            <w:pPr>
              <w:spacing w:line="240" w:lineRule="auto"/>
              <w:jc w:val="center"/>
              <w:rPr>
                <w:sz w:val="20"/>
                <w:szCs w:val="20"/>
              </w:rPr>
            </w:pPr>
            <w:r w:rsidRPr="00CC0F64">
              <w:rPr>
                <w:sz w:val="20"/>
                <w:szCs w:val="20"/>
              </w:rPr>
              <w:t>-0.5436</w:t>
            </w:r>
          </w:p>
        </w:tc>
        <w:tc>
          <w:tcPr>
            <w:tcW w:w="2336" w:type="dxa"/>
            <w:shd w:val="clear" w:color="auto" w:fill="auto"/>
            <w:vAlign w:val="center"/>
          </w:tcPr>
          <w:p w14:paraId="0000010A" w14:textId="77777777" w:rsidR="00083006" w:rsidRPr="00CC0F64" w:rsidRDefault="0080383E">
            <w:pPr>
              <w:spacing w:line="240" w:lineRule="auto"/>
              <w:jc w:val="center"/>
              <w:rPr>
                <w:sz w:val="20"/>
                <w:szCs w:val="20"/>
              </w:rPr>
            </w:pPr>
            <w:r w:rsidRPr="00CC0F64">
              <w:rPr>
                <w:sz w:val="20"/>
                <w:szCs w:val="20"/>
              </w:rPr>
              <w:t>1.0000</w:t>
            </w:r>
          </w:p>
        </w:tc>
        <w:tc>
          <w:tcPr>
            <w:tcW w:w="2336" w:type="dxa"/>
            <w:shd w:val="clear" w:color="auto" w:fill="auto"/>
            <w:vAlign w:val="center"/>
          </w:tcPr>
          <w:p w14:paraId="0000010B" w14:textId="77777777" w:rsidR="00083006" w:rsidRPr="00CC0F64" w:rsidRDefault="0080383E">
            <w:pPr>
              <w:spacing w:line="240" w:lineRule="auto"/>
              <w:jc w:val="center"/>
              <w:rPr>
                <w:sz w:val="20"/>
                <w:szCs w:val="20"/>
              </w:rPr>
            </w:pPr>
            <w:r w:rsidRPr="00CC0F64">
              <w:rPr>
                <w:sz w:val="20"/>
                <w:szCs w:val="20"/>
              </w:rPr>
              <w:t>0.3743</w:t>
            </w:r>
          </w:p>
        </w:tc>
        <w:tc>
          <w:tcPr>
            <w:tcW w:w="2336" w:type="dxa"/>
            <w:shd w:val="clear" w:color="auto" w:fill="auto"/>
            <w:vAlign w:val="center"/>
          </w:tcPr>
          <w:p w14:paraId="0000010C" w14:textId="77777777" w:rsidR="00083006" w:rsidRPr="00CC0F64" w:rsidRDefault="0080383E">
            <w:pPr>
              <w:spacing w:line="240" w:lineRule="auto"/>
              <w:jc w:val="center"/>
              <w:rPr>
                <w:sz w:val="20"/>
                <w:szCs w:val="20"/>
              </w:rPr>
            </w:pPr>
            <w:r w:rsidRPr="00CC0F64">
              <w:rPr>
                <w:sz w:val="20"/>
                <w:szCs w:val="20"/>
              </w:rPr>
              <w:t>-0.0934</w:t>
            </w:r>
          </w:p>
        </w:tc>
      </w:tr>
      <w:tr w:rsidR="007E3981" w:rsidRPr="00CC0F64" w14:paraId="689D7871" w14:textId="77777777">
        <w:trPr>
          <w:trHeight w:val="290"/>
          <w:jc w:val="center"/>
        </w:trPr>
        <w:tc>
          <w:tcPr>
            <w:tcW w:w="2359" w:type="dxa"/>
            <w:shd w:val="clear" w:color="auto" w:fill="auto"/>
            <w:vAlign w:val="center"/>
          </w:tcPr>
          <w:p w14:paraId="0000010D" w14:textId="77777777" w:rsidR="00083006" w:rsidRPr="00CC0F64" w:rsidRDefault="0080383E">
            <w:pPr>
              <w:spacing w:line="240" w:lineRule="auto"/>
              <w:rPr>
                <w:sz w:val="20"/>
                <w:szCs w:val="20"/>
              </w:rPr>
            </w:pPr>
            <w:r w:rsidRPr="00CC0F64">
              <w:rPr>
                <w:sz w:val="20"/>
                <w:szCs w:val="20"/>
              </w:rPr>
              <w:t xml:space="preserve">Unemployment  </w:t>
            </w:r>
          </w:p>
        </w:tc>
        <w:tc>
          <w:tcPr>
            <w:tcW w:w="2337" w:type="dxa"/>
            <w:shd w:val="clear" w:color="auto" w:fill="auto"/>
            <w:vAlign w:val="center"/>
          </w:tcPr>
          <w:p w14:paraId="0000010E" w14:textId="77777777" w:rsidR="00083006" w:rsidRPr="00CC0F64" w:rsidRDefault="0080383E">
            <w:pPr>
              <w:spacing w:line="240" w:lineRule="auto"/>
              <w:jc w:val="center"/>
              <w:rPr>
                <w:sz w:val="20"/>
                <w:szCs w:val="20"/>
              </w:rPr>
            </w:pPr>
            <w:r w:rsidRPr="00CC0F64">
              <w:rPr>
                <w:sz w:val="20"/>
                <w:szCs w:val="20"/>
              </w:rPr>
              <w:t>0.0697</w:t>
            </w:r>
          </w:p>
        </w:tc>
        <w:tc>
          <w:tcPr>
            <w:tcW w:w="2336" w:type="dxa"/>
            <w:shd w:val="clear" w:color="auto" w:fill="auto"/>
            <w:vAlign w:val="center"/>
          </w:tcPr>
          <w:p w14:paraId="0000010F" w14:textId="77777777" w:rsidR="00083006" w:rsidRPr="00CC0F64" w:rsidRDefault="0080383E">
            <w:pPr>
              <w:spacing w:line="240" w:lineRule="auto"/>
              <w:jc w:val="center"/>
              <w:rPr>
                <w:sz w:val="20"/>
                <w:szCs w:val="20"/>
              </w:rPr>
            </w:pPr>
            <w:r w:rsidRPr="00CC0F64">
              <w:rPr>
                <w:sz w:val="20"/>
                <w:szCs w:val="20"/>
              </w:rPr>
              <w:t>-0.8548</w:t>
            </w:r>
          </w:p>
        </w:tc>
        <w:tc>
          <w:tcPr>
            <w:tcW w:w="2336" w:type="dxa"/>
            <w:shd w:val="clear" w:color="auto" w:fill="auto"/>
            <w:vAlign w:val="center"/>
          </w:tcPr>
          <w:p w14:paraId="00000110" w14:textId="77777777" w:rsidR="00083006" w:rsidRPr="00CC0F64" w:rsidRDefault="0080383E">
            <w:pPr>
              <w:spacing w:line="240" w:lineRule="auto"/>
              <w:jc w:val="center"/>
              <w:rPr>
                <w:sz w:val="20"/>
                <w:szCs w:val="20"/>
              </w:rPr>
            </w:pPr>
            <w:r w:rsidRPr="00CC0F64">
              <w:rPr>
                <w:sz w:val="20"/>
                <w:szCs w:val="20"/>
              </w:rPr>
              <w:t>0.3743</w:t>
            </w:r>
          </w:p>
        </w:tc>
        <w:tc>
          <w:tcPr>
            <w:tcW w:w="2336" w:type="dxa"/>
            <w:shd w:val="clear" w:color="auto" w:fill="auto"/>
            <w:vAlign w:val="center"/>
          </w:tcPr>
          <w:p w14:paraId="00000111" w14:textId="77777777" w:rsidR="00083006" w:rsidRPr="00CC0F64" w:rsidRDefault="0080383E">
            <w:pPr>
              <w:spacing w:line="240" w:lineRule="auto"/>
              <w:jc w:val="center"/>
              <w:rPr>
                <w:sz w:val="20"/>
                <w:szCs w:val="20"/>
              </w:rPr>
            </w:pPr>
            <w:r w:rsidRPr="00CC0F64">
              <w:rPr>
                <w:sz w:val="20"/>
                <w:szCs w:val="20"/>
              </w:rPr>
              <w:t>1.0000</w:t>
            </w:r>
          </w:p>
        </w:tc>
        <w:tc>
          <w:tcPr>
            <w:tcW w:w="2336" w:type="dxa"/>
            <w:shd w:val="clear" w:color="auto" w:fill="auto"/>
            <w:vAlign w:val="center"/>
          </w:tcPr>
          <w:p w14:paraId="00000112" w14:textId="77777777" w:rsidR="00083006" w:rsidRPr="00CC0F64" w:rsidRDefault="0080383E">
            <w:pPr>
              <w:spacing w:line="240" w:lineRule="auto"/>
              <w:jc w:val="center"/>
              <w:rPr>
                <w:sz w:val="20"/>
                <w:szCs w:val="20"/>
              </w:rPr>
            </w:pPr>
            <w:r w:rsidRPr="00CC0F64">
              <w:rPr>
                <w:sz w:val="20"/>
                <w:szCs w:val="20"/>
              </w:rPr>
              <w:t>0.5882</w:t>
            </w:r>
          </w:p>
        </w:tc>
      </w:tr>
      <w:tr w:rsidR="00083006" w:rsidRPr="00CC0F64" w14:paraId="7C226741" w14:textId="77777777">
        <w:trPr>
          <w:trHeight w:val="290"/>
          <w:jc w:val="center"/>
        </w:trPr>
        <w:tc>
          <w:tcPr>
            <w:tcW w:w="2359" w:type="dxa"/>
            <w:shd w:val="clear" w:color="auto" w:fill="auto"/>
            <w:vAlign w:val="center"/>
          </w:tcPr>
          <w:p w14:paraId="00000113" w14:textId="77777777" w:rsidR="00083006" w:rsidRPr="00CC0F64" w:rsidRDefault="0080383E">
            <w:pPr>
              <w:spacing w:line="240" w:lineRule="auto"/>
              <w:rPr>
                <w:sz w:val="20"/>
                <w:szCs w:val="20"/>
              </w:rPr>
            </w:pPr>
            <w:r w:rsidRPr="00CC0F64">
              <w:rPr>
                <w:sz w:val="20"/>
                <w:szCs w:val="20"/>
              </w:rPr>
              <w:t xml:space="preserve">Brent Crude Oil </w:t>
            </w:r>
          </w:p>
        </w:tc>
        <w:tc>
          <w:tcPr>
            <w:tcW w:w="2337" w:type="dxa"/>
            <w:shd w:val="clear" w:color="auto" w:fill="auto"/>
            <w:vAlign w:val="center"/>
          </w:tcPr>
          <w:p w14:paraId="00000114" w14:textId="77777777" w:rsidR="00083006" w:rsidRPr="00CC0F64" w:rsidRDefault="0080383E">
            <w:pPr>
              <w:spacing w:line="240" w:lineRule="auto"/>
              <w:jc w:val="center"/>
              <w:rPr>
                <w:sz w:val="20"/>
                <w:szCs w:val="20"/>
              </w:rPr>
            </w:pPr>
            <w:r w:rsidRPr="00CC0F64">
              <w:rPr>
                <w:sz w:val="20"/>
                <w:szCs w:val="20"/>
              </w:rPr>
              <w:t>0.2985</w:t>
            </w:r>
          </w:p>
        </w:tc>
        <w:tc>
          <w:tcPr>
            <w:tcW w:w="2336" w:type="dxa"/>
            <w:shd w:val="clear" w:color="auto" w:fill="auto"/>
            <w:vAlign w:val="center"/>
          </w:tcPr>
          <w:p w14:paraId="00000115" w14:textId="77777777" w:rsidR="00083006" w:rsidRPr="00CC0F64" w:rsidRDefault="0080383E">
            <w:pPr>
              <w:spacing w:line="240" w:lineRule="auto"/>
              <w:jc w:val="center"/>
              <w:rPr>
                <w:sz w:val="20"/>
                <w:szCs w:val="20"/>
              </w:rPr>
            </w:pPr>
            <w:r w:rsidRPr="00CC0F64">
              <w:rPr>
                <w:sz w:val="20"/>
                <w:szCs w:val="20"/>
              </w:rPr>
              <w:t>-0.3022</w:t>
            </w:r>
          </w:p>
        </w:tc>
        <w:tc>
          <w:tcPr>
            <w:tcW w:w="2336" w:type="dxa"/>
            <w:shd w:val="clear" w:color="auto" w:fill="auto"/>
            <w:vAlign w:val="center"/>
          </w:tcPr>
          <w:p w14:paraId="00000116" w14:textId="77777777" w:rsidR="00083006" w:rsidRPr="00CC0F64" w:rsidRDefault="0080383E">
            <w:pPr>
              <w:spacing w:line="240" w:lineRule="auto"/>
              <w:jc w:val="center"/>
              <w:rPr>
                <w:sz w:val="20"/>
                <w:szCs w:val="20"/>
              </w:rPr>
            </w:pPr>
            <w:r w:rsidRPr="00CC0F64">
              <w:rPr>
                <w:sz w:val="20"/>
                <w:szCs w:val="20"/>
              </w:rPr>
              <w:t>-0.0934</w:t>
            </w:r>
          </w:p>
        </w:tc>
        <w:tc>
          <w:tcPr>
            <w:tcW w:w="2336" w:type="dxa"/>
            <w:shd w:val="clear" w:color="auto" w:fill="auto"/>
            <w:vAlign w:val="center"/>
          </w:tcPr>
          <w:p w14:paraId="00000117" w14:textId="77777777" w:rsidR="00083006" w:rsidRPr="00CC0F64" w:rsidRDefault="0080383E">
            <w:pPr>
              <w:spacing w:line="240" w:lineRule="auto"/>
              <w:jc w:val="center"/>
              <w:rPr>
                <w:sz w:val="20"/>
                <w:szCs w:val="20"/>
              </w:rPr>
            </w:pPr>
            <w:r w:rsidRPr="00CC0F64">
              <w:rPr>
                <w:sz w:val="20"/>
                <w:szCs w:val="20"/>
              </w:rPr>
              <w:t>0.5882</w:t>
            </w:r>
          </w:p>
        </w:tc>
        <w:tc>
          <w:tcPr>
            <w:tcW w:w="2336" w:type="dxa"/>
            <w:shd w:val="clear" w:color="auto" w:fill="auto"/>
            <w:vAlign w:val="center"/>
          </w:tcPr>
          <w:p w14:paraId="00000118" w14:textId="77777777" w:rsidR="00083006" w:rsidRPr="00CC0F64" w:rsidRDefault="0080383E">
            <w:pPr>
              <w:spacing w:line="240" w:lineRule="auto"/>
              <w:jc w:val="center"/>
              <w:rPr>
                <w:sz w:val="20"/>
                <w:szCs w:val="20"/>
              </w:rPr>
            </w:pPr>
            <w:r w:rsidRPr="00CC0F64">
              <w:rPr>
                <w:sz w:val="20"/>
                <w:szCs w:val="20"/>
              </w:rPr>
              <w:t>1.0000</w:t>
            </w:r>
          </w:p>
        </w:tc>
      </w:tr>
    </w:tbl>
    <w:p w14:paraId="00000119" w14:textId="77777777" w:rsidR="00083006" w:rsidRPr="00CC0F64" w:rsidRDefault="00083006">
      <w:pPr>
        <w:rPr>
          <w:b/>
          <w:sz w:val="20"/>
          <w:szCs w:val="20"/>
        </w:rPr>
      </w:pPr>
    </w:p>
    <w:p w14:paraId="0000011A" w14:textId="77777777" w:rsidR="00083006" w:rsidRPr="00CC0F64" w:rsidRDefault="0080383E">
      <w:pPr>
        <w:spacing w:line="240" w:lineRule="auto"/>
        <w:rPr>
          <w:sz w:val="20"/>
          <w:szCs w:val="20"/>
        </w:rPr>
      </w:pPr>
      <w:r w:rsidRPr="00CC0F64">
        <w:rPr>
          <w:b/>
          <w:sz w:val="20"/>
          <w:szCs w:val="20"/>
        </w:rPr>
        <w:lastRenderedPageBreak/>
        <w:t>Table 3. ADF unit root tests.</w:t>
      </w:r>
    </w:p>
    <w:tbl>
      <w:tblPr>
        <w:tblStyle w:val="a1"/>
        <w:tblW w:w="14040" w:type="dxa"/>
        <w:jc w:val="center"/>
        <w:tblBorders>
          <w:top w:val="single" w:sz="4" w:space="0" w:color="000000"/>
          <w:bottom w:val="single" w:sz="4" w:space="0" w:color="000000"/>
        </w:tblBorders>
        <w:tblLayout w:type="fixed"/>
        <w:tblLook w:val="0400" w:firstRow="0" w:lastRow="0" w:firstColumn="0" w:lastColumn="0" w:noHBand="0" w:noVBand="1"/>
      </w:tblPr>
      <w:tblGrid>
        <w:gridCol w:w="2110"/>
        <w:gridCol w:w="2363"/>
        <w:gridCol w:w="3189"/>
        <w:gridCol w:w="3189"/>
        <w:gridCol w:w="3189"/>
      </w:tblGrid>
      <w:tr w:rsidR="007E3981" w:rsidRPr="00CC0F64" w14:paraId="4EE03182" w14:textId="77777777">
        <w:trPr>
          <w:trHeight w:val="290"/>
          <w:jc w:val="center"/>
        </w:trPr>
        <w:tc>
          <w:tcPr>
            <w:tcW w:w="2110" w:type="dxa"/>
            <w:tcBorders>
              <w:top w:val="single" w:sz="4" w:space="0" w:color="000000"/>
              <w:bottom w:val="single" w:sz="4" w:space="0" w:color="000000"/>
            </w:tcBorders>
            <w:shd w:val="clear" w:color="auto" w:fill="auto"/>
            <w:vAlign w:val="center"/>
          </w:tcPr>
          <w:p w14:paraId="0000011B" w14:textId="77777777" w:rsidR="00083006" w:rsidRPr="00CC0F64" w:rsidRDefault="0080383E">
            <w:pPr>
              <w:spacing w:line="240" w:lineRule="auto"/>
              <w:jc w:val="center"/>
              <w:rPr>
                <w:sz w:val="20"/>
                <w:szCs w:val="20"/>
              </w:rPr>
            </w:pPr>
            <w:r w:rsidRPr="00CC0F64">
              <w:rPr>
                <w:sz w:val="20"/>
                <w:szCs w:val="20"/>
              </w:rPr>
              <w:t>Variables</w:t>
            </w:r>
          </w:p>
        </w:tc>
        <w:tc>
          <w:tcPr>
            <w:tcW w:w="2363" w:type="dxa"/>
            <w:tcBorders>
              <w:top w:val="single" w:sz="4" w:space="0" w:color="000000"/>
              <w:bottom w:val="single" w:sz="4" w:space="0" w:color="000000"/>
            </w:tcBorders>
            <w:shd w:val="clear" w:color="auto" w:fill="auto"/>
            <w:vAlign w:val="center"/>
          </w:tcPr>
          <w:p w14:paraId="0000011C" w14:textId="77777777" w:rsidR="00083006" w:rsidRPr="00CC0F64" w:rsidRDefault="0080383E">
            <w:pPr>
              <w:spacing w:line="240" w:lineRule="auto"/>
              <w:jc w:val="center"/>
              <w:rPr>
                <w:sz w:val="20"/>
                <w:szCs w:val="20"/>
              </w:rPr>
            </w:pPr>
            <w:r w:rsidRPr="00CC0F64">
              <w:rPr>
                <w:sz w:val="20"/>
                <w:szCs w:val="20"/>
              </w:rPr>
              <w:t> </w:t>
            </w:r>
          </w:p>
        </w:tc>
        <w:tc>
          <w:tcPr>
            <w:tcW w:w="3189" w:type="dxa"/>
            <w:tcBorders>
              <w:top w:val="single" w:sz="4" w:space="0" w:color="000000"/>
              <w:bottom w:val="single" w:sz="4" w:space="0" w:color="000000"/>
            </w:tcBorders>
            <w:shd w:val="clear" w:color="auto" w:fill="auto"/>
            <w:vAlign w:val="center"/>
          </w:tcPr>
          <w:p w14:paraId="0000011D" w14:textId="77777777" w:rsidR="00083006" w:rsidRPr="00CC0F64" w:rsidRDefault="0080383E">
            <w:pPr>
              <w:spacing w:line="240" w:lineRule="auto"/>
              <w:jc w:val="center"/>
              <w:rPr>
                <w:sz w:val="20"/>
                <w:szCs w:val="20"/>
              </w:rPr>
            </w:pPr>
            <w:r w:rsidRPr="00CC0F64">
              <w:rPr>
                <w:sz w:val="20"/>
                <w:szCs w:val="20"/>
              </w:rPr>
              <w:t>Level</w:t>
            </w:r>
          </w:p>
        </w:tc>
        <w:tc>
          <w:tcPr>
            <w:tcW w:w="3189" w:type="dxa"/>
            <w:tcBorders>
              <w:top w:val="single" w:sz="4" w:space="0" w:color="000000"/>
              <w:bottom w:val="single" w:sz="4" w:space="0" w:color="000000"/>
            </w:tcBorders>
            <w:shd w:val="clear" w:color="auto" w:fill="auto"/>
            <w:vAlign w:val="center"/>
          </w:tcPr>
          <w:p w14:paraId="0000011E" w14:textId="77777777" w:rsidR="00083006" w:rsidRPr="00CC0F64" w:rsidRDefault="0080383E">
            <w:pPr>
              <w:spacing w:line="240" w:lineRule="auto"/>
              <w:jc w:val="center"/>
              <w:rPr>
                <w:sz w:val="20"/>
                <w:szCs w:val="20"/>
              </w:rPr>
            </w:pPr>
            <w:r w:rsidRPr="00CC0F64">
              <w:rPr>
                <w:sz w:val="20"/>
                <w:szCs w:val="20"/>
              </w:rPr>
              <w:t>First diff.</w:t>
            </w:r>
          </w:p>
        </w:tc>
        <w:tc>
          <w:tcPr>
            <w:tcW w:w="3189" w:type="dxa"/>
            <w:tcBorders>
              <w:top w:val="single" w:sz="4" w:space="0" w:color="000000"/>
              <w:bottom w:val="single" w:sz="4" w:space="0" w:color="000000"/>
            </w:tcBorders>
            <w:shd w:val="clear" w:color="auto" w:fill="auto"/>
            <w:vAlign w:val="center"/>
          </w:tcPr>
          <w:p w14:paraId="0000011F" w14:textId="77777777" w:rsidR="00083006" w:rsidRPr="00CC0F64" w:rsidRDefault="0080383E">
            <w:pPr>
              <w:spacing w:line="240" w:lineRule="auto"/>
              <w:jc w:val="center"/>
              <w:rPr>
                <w:sz w:val="20"/>
                <w:szCs w:val="20"/>
              </w:rPr>
            </w:pPr>
            <w:r w:rsidRPr="00CC0F64">
              <w:rPr>
                <w:sz w:val="20"/>
                <w:szCs w:val="20"/>
              </w:rPr>
              <w:t>Second diff.</w:t>
            </w:r>
          </w:p>
        </w:tc>
      </w:tr>
      <w:tr w:rsidR="007E3981" w:rsidRPr="00CC0F64" w14:paraId="09D81CAD" w14:textId="77777777">
        <w:trPr>
          <w:trHeight w:val="290"/>
          <w:jc w:val="center"/>
        </w:trPr>
        <w:tc>
          <w:tcPr>
            <w:tcW w:w="2110" w:type="dxa"/>
            <w:tcBorders>
              <w:top w:val="single" w:sz="4" w:space="0" w:color="000000"/>
            </w:tcBorders>
            <w:shd w:val="clear" w:color="auto" w:fill="auto"/>
            <w:vAlign w:val="center"/>
          </w:tcPr>
          <w:p w14:paraId="00000120" w14:textId="77777777" w:rsidR="00083006" w:rsidRPr="00CC0F64" w:rsidRDefault="0080383E">
            <w:pPr>
              <w:spacing w:line="240" w:lineRule="auto"/>
              <w:rPr>
                <w:sz w:val="20"/>
                <w:szCs w:val="20"/>
              </w:rPr>
            </w:pPr>
            <w:r w:rsidRPr="00CC0F64">
              <w:rPr>
                <w:sz w:val="20"/>
                <w:szCs w:val="20"/>
              </w:rPr>
              <w:t>GDP</w:t>
            </w:r>
          </w:p>
        </w:tc>
        <w:tc>
          <w:tcPr>
            <w:tcW w:w="2363" w:type="dxa"/>
            <w:tcBorders>
              <w:top w:val="single" w:sz="4" w:space="0" w:color="000000"/>
            </w:tcBorders>
            <w:shd w:val="clear" w:color="auto" w:fill="auto"/>
            <w:vAlign w:val="center"/>
          </w:tcPr>
          <w:p w14:paraId="00000121" w14:textId="77777777" w:rsidR="00083006" w:rsidRPr="00CC0F64" w:rsidRDefault="0080383E">
            <w:pPr>
              <w:spacing w:line="240" w:lineRule="auto"/>
              <w:jc w:val="center"/>
              <w:rPr>
                <w:sz w:val="20"/>
                <w:szCs w:val="20"/>
              </w:rPr>
            </w:pPr>
            <w:r w:rsidRPr="00CC0F64">
              <w:rPr>
                <w:sz w:val="20"/>
                <w:szCs w:val="20"/>
              </w:rPr>
              <w:t>Trend and intercept</w:t>
            </w:r>
          </w:p>
        </w:tc>
        <w:tc>
          <w:tcPr>
            <w:tcW w:w="3189" w:type="dxa"/>
            <w:tcBorders>
              <w:top w:val="single" w:sz="4" w:space="0" w:color="000000"/>
            </w:tcBorders>
            <w:shd w:val="clear" w:color="auto" w:fill="auto"/>
            <w:vAlign w:val="center"/>
          </w:tcPr>
          <w:p w14:paraId="00000122" w14:textId="77777777" w:rsidR="00083006" w:rsidRPr="00CC0F64" w:rsidRDefault="0080383E">
            <w:pPr>
              <w:spacing w:line="240" w:lineRule="auto"/>
              <w:jc w:val="center"/>
              <w:rPr>
                <w:sz w:val="20"/>
                <w:szCs w:val="20"/>
              </w:rPr>
            </w:pPr>
            <w:r w:rsidRPr="00CC0F64">
              <w:rPr>
                <w:sz w:val="20"/>
                <w:szCs w:val="20"/>
              </w:rPr>
              <w:t>-5.6824***</w:t>
            </w:r>
          </w:p>
        </w:tc>
        <w:tc>
          <w:tcPr>
            <w:tcW w:w="3189" w:type="dxa"/>
            <w:tcBorders>
              <w:top w:val="single" w:sz="4" w:space="0" w:color="000000"/>
            </w:tcBorders>
            <w:shd w:val="clear" w:color="auto" w:fill="auto"/>
            <w:vAlign w:val="center"/>
          </w:tcPr>
          <w:p w14:paraId="00000123" w14:textId="77777777" w:rsidR="00083006" w:rsidRPr="00CC0F64" w:rsidRDefault="0080383E">
            <w:pPr>
              <w:spacing w:line="240" w:lineRule="auto"/>
              <w:jc w:val="center"/>
              <w:rPr>
                <w:sz w:val="20"/>
                <w:szCs w:val="20"/>
              </w:rPr>
            </w:pPr>
            <w:r w:rsidRPr="00CC0F64">
              <w:rPr>
                <w:sz w:val="20"/>
                <w:szCs w:val="20"/>
              </w:rPr>
              <w:t>-</w:t>
            </w:r>
          </w:p>
        </w:tc>
        <w:tc>
          <w:tcPr>
            <w:tcW w:w="3189" w:type="dxa"/>
            <w:tcBorders>
              <w:top w:val="single" w:sz="4" w:space="0" w:color="000000"/>
            </w:tcBorders>
            <w:shd w:val="clear" w:color="auto" w:fill="auto"/>
            <w:vAlign w:val="center"/>
          </w:tcPr>
          <w:p w14:paraId="00000124" w14:textId="77777777" w:rsidR="00083006" w:rsidRPr="00CC0F64" w:rsidRDefault="0080383E">
            <w:pPr>
              <w:spacing w:line="240" w:lineRule="auto"/>
              <w:jc w:val="center"/>
              <w:rPr>
                <w:sz w:val="20"/>
                <w:szCs w:val="20"/>
              </w:rPr>
            </w:pPr>
            <w:r w:rsidRPr="00CC0F64">
              <w:rPr>
                <w:sz w:val="20"/>
                <w:szCs w:val="20"/>
              </w:rPr>
              <w:t>-</w:t>
            </w:r>
          </w:p>
        </w:tc>
      </w:tr>
      <w:tr w:rsidR="007E3981" w:rsidRPr="00CC0F64" w14:paraId="42D0C129" w14:textId="77777777">
        <w:trPr>
          <w:trHeight w:val="290"/>
          <w:jc w:val="center"/>
        </w:trPr>
        <w:tc>
          <w:tcPr>
            <w:tcW w:w="2110" w:type="dxa"/>
            <w:shd w:val="clear" w:color="auto" w:fill="auto"/>
            <w:vAlign w:val="center"/>
          </w:tcPr>
          <w:p w14:paraId="00000125" w14:textId="77777777" w:rsidR="00083006" w:rsidRPr="00CC0F64" w:rsidRDefault="0080383E">
            <w:pPr>
              <w:spacing w:line="240" w:lineRule="auto"/>
              <w:rPr>
                <w:sz w:val="20"/>
                <w:szCs w:val="20"/>
              </w:rPr>
            </w:pPr>
            <w:r w:rsidRPr="00CC0F64">
              <w:rPr>
                <w:sz w:val="20"/>
                <w:szCs w:val="20"/>
              </w:rPr>
              <w:t xml:space="preserve">CPI </w:t>
            </w:r>
          </w:p>
        </w:tc>
        <w:tc>
          <w:tcPr>
            <w:tcW w:w="2363" w:type="dxa"/>
            <w:shd w:val="clear" w:color="auto" w:fill="auto"/>
            <w:vAlign w:val="center"/>
          </w:tcPr>
          <w:p w14:paraId="00000126" w14:textId="77777777" w:rsidR="00083006" w:rsidRPr="00CC0F64" w:rsidRDefault="0080383E">
            <w:pPr>
              <w:spacing w:line="240" w:lineRule="auto"/>
              <w:jc w:val="center"/>
              <w:rPr>
                <w:sz w:val="20"/>
                <w:szCs w:val="20"/>
              </w:rPr>
            </w:pPr>
            <w:r w:rsidRPr="00CC0F64">
              <w:rPr>
                <w:sz w:val="20"/>
                <w:szCs w:val="20"/>
              </w:rPr>
              <w:t>Trend and intercept</w:t>
            </w:r>
          </w:p>
        </w:tc>
        <w:tc>
          <w:tcPr>
            <w:tcW w:w="3189" w:type="dxa"/>
            <w:shd w:val="clear" w:color="auto" w:fill="auto"/>
            <w:vAlign w:val="center"/>
          </w:tcPr>
          <w:p w14:paraId="00000127" w14:textId="77777777" w:rsidR="00083006" w:rsidRPr="00CC0F64" w:rsidRDefault="0080383E">
            <w:pPr>
              <w:spacing w:line="240" w:lineRule="auto"/>
              <w:jc w:val="center"/>
              <w:rPr>
                <w:sz w:val="20"/>
                <w:szCs w:val="20"/>
              </w:rPr>
            </w:pPr>
            <w:r w:rsidRPr="00CC0F64">
              <w:rPr>
                <w:sz w:val="20"/>
                <w:szCs w:val="20"/>
              </w:rPr>
              <w:t>-0.1488</w:t>
            </w:r>
          </w:p>
        </w:tc>
        <w:tc>
          <w:tcPr>
            <w:tcW w:w="3189" w:type="dxa"/>
            <w:shd w:val="clear" w:color="auto" w:fill="auto"/>
            <w:vAlign w:val="center"/>
          </w:tcPr>
          <w:p w14:paraId="00000128" w14:textId="77777777" w:rsidR="00083006" w:rsidRPr="00CC0F64" w:rsidRDefault="0080383E">
            <w:pPr>
              <w:spacing w:line="240" w:lineRule="auto"/>
              <w:jc w:val="center"/>
              <w:rPr>
                <w:sz w:val="20"/>
                <w:szCs w:val="20"/>
              </w:rPr>
            </w:pPr>
            <w:r w:rsidRPr="00CC0F64">
              <w:rPr>
                <w:sz w:val="20"/>
                <w:szCs w:val="20"/>
              </w:rPr>
              <w:t>-0.4737</w:t>
            </w:r>
          </w:p>
        </w:tc>
        <w:tc>
          <w:tcPr>
            <w:tcW w:w="3189" w:type="dxa"/>
            <w:shd w:val="clear" w:color="auto" w:fill="auto"/>
            <w:vAlign w:val="center"/>
          </w:tcPr>
          <w:p w14:paraId="00000129" w14:textId="77777777" w:rsidR="00083006" w:rsidRPr="00CC0F64" w:rsidRDefault="0080383E">
            <w:pPr>
              <w:spacing w:line="240" w:lineRule="auto"/>
              <w:jc w:val="center"/>
              <w:rPr>
                <w:sz w:val="20"/>
                <w:szCs w:val="20"/>
              </w:rPr>
            </w:pPr>
            <w:r w:rsidRPr="00CC0F64">
              <w:rPr>
                <w:sz w:val="20"/>
                <w:szCs w:val="20"/>
              </w:rPr>
              <w:t>-9.1309***</w:t>
            </w:r>
          </w:p>
        </w:tc>
      </w:tr>
      <w:tr w:rsidR="007E3981" w:rsidRPr="00CC0F64" w14:paraId="5D8F1118" w14:textId="77777777">
        <w:trPr>
          <w:trHeight w:val="290"/>
          <w:jc w:val="center"/>
        </w:trPr>
        <w:tc>
          <w:tcPr>
            <w:tcW w:w="2110" w:type="dxa"/>
            <w:shd w:val="clear" w:color="auto" w:fill="auto"/>
            <w:vAlign w:val="center"/>
          </w:tcPr>
          <w:p w14:paraId="0000012A" w14:textId="77777777" w:rsidR="00083006" w:rsidRPr="00CC0F64" w:rsidRDefault="0080383E">
            <w:pPr>
              <w:spacing w:line="240" w:lineRule="auto"/>
              <w:rPr>
                <w:sz w:val="20"/>
                <w:szCs w:val="20"/>
              </w:rPr>
            </w:pPr>
            <w:r w:rsidRPr="00CC0F64">
              <w:rPr>
                <w:sz w:val="20"/>
                <w:szCs w:val="20"/>
              </w:rPr>
              <w:t>Trade Balance</w:t>
            </w:r>
          </w:p>
        </w:tc>
        <w:tc>
          <w:tcPr>
            <w:tcW w:w="2363" w:type="dxa"/>
            <w:shd w:val="clear" w:color="auto" w:fill="auto"/>
            <w:vAlign w:val="center"/>
          </w:tcPr>
          <w:p w14:paraId="0000012B" w14:textId="77777777" w:rsidR="00083006" w:rsidRPr="00CC0F64" w:rsidRDefault="0080383E">
            <w:pPr>
              <w:spacing w:line="240" w:lineRule="auto"/>
              <w:jc w:val="center"/>
              <w:rPr>
                <w:sz w:val="20"/>
                <w:szCs w:val="20"/>
              </w:rPr>
            </w:pPr>
            <w:r w:rsidRPr="00CC0F64">
              <w:rPr>
                <w:sz w:val="20"/>
                <w:szCs w:val="20"/>
              </w:rPr>
              <w:t>Trend and intercept</w:t>
            </w:r>
          </w:p>
        </w:tc>
        <w:tc>
          <w:tcPr>
            <w:tcW w:w="3189" w:type="dxa"/>
            <w:shd w:val="clear" w:color="auto" w:fill="auto"/>
            <w:vAlign w:val="center"/>
          </w:tcPr>
          <w:p w14:paraId="0000012C" w14:textId="77777777" w:rsidR="00083006" w:rsidRPr="00CC0F64" w:rsidRDefault="0080383E">
            <w:pPr>
              <w:spacing w:line="240" w:lineRule="auto"/>
              <w:jc w:val="center"/>
              <w:rPr>
                <w:sz w:val="20"/>
                <w:szCs w:val="20"/>
              </w:rPr>
            </w:pPr>
            <w:r w:rsidRPr="00CC0F64">
              <w:rPr>
                <w:sz w:val="20"/>
                <w:szCs w:val="20"/>
              </w:rPr>
              <w:t>-2.0400</w:t>
            </w:r>
          </w:p>
        </w:tc>
        <w:tc>
          <w:tcPr>
            <w:tcW w:w="3189" w:type="dxa"/>
            <w:shd w:val="clear" w:color="auto" w:fill="auto"/>
            <w:vAlign w:val="center"/>
          </w:tcPr>
          <w:p w14:paraId="0000012D" w14:textId="77777777" w:rsidR="00083006" w:rsidRPr="00CC0F64" w:rsidRDefault="0080383E">
            <w:pPr>
              <w:spacing w:line="240" w:lineRule="auto"/>
              <w:jc w:val="center"/>
              <w:rPr>
                <w:sz w:val="20"/>
                <w:szCs w:val="20"/>
              </w:rPr>
            </w:pPr>
            <w:r w:rsidRPr="00CC0F64">
              <w:rPr>
                <w:sz w:val="20"/>
                <w:szCs w:val="20"/>
              </w:rPr>
              <w:t>-5.3246***</w:t>
            </w:r>
          </w:p>
        </w:tc>
        <w:tc>
          <w:tcPr>
            <w:tcW w:w="3189" w:type="dxa"/>
            <w:shd w:val="clear" w:color="auto" w:fill="auto"/>
            <w:vAlign w:val="center"/>
          </w:tcPr>
          <w:p w14:paraId="0000012E" w14:textId="77777777" w:rsidR="00083006" w:rsidRPr="00CC0F64" w:rsidRDefault="0080383E">
            <w:pPr>
              <w:spacing w:line="240" w:lineRule="auto"/>
              <w:jc w:val="center"/>
              <w:rPr>
                <w:sz w:val="20"/>
                <w:szCs w:val="20"/>
              </w:rPr>
            </w:pPr>
            <w:r w:rsidRPr="00CC0F64">
              <w:rPr>
                <w:sz w:val="20"/>
                <w:szCs w:val="20"/>
              </w:rPr>
              <w:t>-</w:t>
            </w:r>
          </w:p>
        </w:tc>
      </w:tr>
      <w:tr w:rsidR="007E3981" w:rsidRPr="00CC0F64" w14:paraId="548F9F55" w14:textId="77777777">
        <w:trPr>
          <w:trHeight w:val="290"/>
          <w:jc w:val="center"/>
        </w:trPr>
        <w:tc>
          <w:tcPr>
            <w:tcW w:w="2110" w:type="dxa"/>
            <w:shd w:val="clear" w:color="auto" w:fill="auto"/>
            <w:vAlign w:val="center"/>
          </w:tcPr>
          <w:p w14:paraId="0000012F" w14:textId="77777777" w:rsidR="00083006" w:rsidRPr="00CC0F64" w:rsidRDefault="0080383E">
            <w:pPr>
              <w:spacing w:line="240" w:lineRule="auto"/>
              <w:rPr>
                <w:sz w:val="20"/>
                <w:szCs w:val="20"/>
              </w:rPr>
            </w:pPr>
            <w:r w:rsidRPr="00CC0F64">
              <w:rPr>
                <w:sz w:val="20"/>
                <w:szCs w:val="20"/>
              </w:rPr>
              <w:t>Unemployment</w:t>
            </w:r>
          </w:p>
        </w:tc>
        <w:tc>
          <w:tcPr>
            <w:tcW w:w="2363" w:type="dxa"/>
            <w:shd w:val="clear" w:color="auto" w:fill="auto"/>
            <w:vAlign w:val="center"/>
          </w:tcPr>
          <w:p w14:paraId="00000130" w14:textId="77777777" w:rsidR="00083006" w:rsidRPr="00CC0F64" w:rsidRDefault="0080383E">
            <w:pPr>
              <w:spacing w:line="240" w:lineRule="auto"/>
              <w:jc w:val="center"/>
              <w:rPr>
                <w:sz w:val="20"/>
                <w:szCs w:val="20"/>
              </w:rPr>
            </w:pPr>
            <w:r w:rsidRPr="00CC0F64">
              <w:rPr>
                <w:sz w:val="20"/>
                <w:szCs w:val="20"/>
              </w:rPr>
              <w:t>Trend and intercept</w:t>
            </w:r>
          </w:p>
        </w:tc>
        <w:tc>
          <w:tcPr>
            <w:tcW w:w="3189" w:type="dxa"/>
            <w:shd w:val="clear" w:color="auto" w:fill="auto"/>
            <w:vAlign w:val="center"/>
          </w:tcPr>
          <w:p w14:paraId="00000131" w14:textId="77777777" w:rsidR="00083006" w:rsidRPr="00CC0F64" w:rsidRDefault="0080383E">
            <w:pPr>
              <w:spacing w:line="240" w:lineRule="auto"/>
              <w:jc w:val="center"/>
              <w:rPr>
                <w:sz w:val="20"/>
                <w:szCs w:val="20"/>
              </w:rPr>
            </w:pPr>
            <w:r w:rsidRPr="00CC0F64">
              <w:rPr>
                <w:sz w:val="20"/>
                <w:szCs w:val="20"/>
              </w:rPr>
              <w:t>-0.6857</w:t>
            </w:r>
          </w:p>
        </w:tc>
        <w:tc>
          <w:tcPr>
            <w:tcW w:w="3189" w:type="dxa"/>
            <w:shd w:val="clear" w:color="auto" w:fill="auto"/>
            <w:vAlign w:val="center"/>
          </w:tcPr>
          <w:p w14:paraId="00000132" w14:textId="77777777" w:rsidR="00083006" w:rsidRPr="00CC0F64" w:rsidRDefault="0080383E">
            <w:pPr>
              <w:spacing w:line="240" w:lineRule="auto"/>
              <w:jc w:val="center"/>
              <w:rPr>
                <w:sz w:val="20"/>
                <w:szCs w:val="20"/>
              </w:rPr>
            </w:pPr>
            <w:r w:rsidRPr="00CC0F64">
              <w:rPr>
                <w:sz w:val="20"/>
                <w:szCs w:val="20"/>
              </w:rPr>
              <w:t>-3.5529**</w:t>
            </w:r>
          </w:p>
        </w:tc>
        <w:tc>
          <w:tcPr>
            <w:tcW w:w="3189" w:type="dxa"/>
            <w:shd w:val="clear" w:color="auto" w:fill="auto"/>
            <w:vAlign w:val="center"/>
          </w:tcPr>
          <w:p w14:paraId="00000133" w14:textId="77777777" w:rsidR="00083006" w:rsidRPr="00CC0F64" w:rsidRDefault="0080383E">
            <w:pPr>
              <w:spacing w:line="240" w:lineRule="auto"/>
              <w:jc w:val="center"/>
              <w:rPr>
                <w:sz w:val="20"/>
                <w:szCs w:val="20"/>
              </w:rPr>
            </w:pPr>
            <w:r w:rsidRPr="00CC0F64">
              <w:rPr>
                <w:sz w:val="20"/>
                <w:szCs w:val="20"/>
              </w:rPr>
              <w:t>-</w:t>
            </w:r>
          </w:p>
        </w:tc>
      </w:tr>
      <w:tr w:rsidR="007E3981" w:rsidRPr="00CC0F64" w14:paraId="24E06303" w14:textId="77777777">
        <w:trPr>
          <w:trHeight w:val="290"/>
          <w:jc w:val="center"/>
        </w:trPr>
        <w:tc>
          <w:tcPr>
            <w:tcW w:w="2110" w:type="dxa"/>
            <w:shd w:val="clear" w:color="auto" w:fill="auto"/>
            <w:vAlign w:val="center"/>
          </w:tcPr>
          <w:p w14:paraId="00000134" w14:textId="77777777" w:rsidR="00083006" w:rsidRPr="00CC0F64" w:rsidRDefault="0080383E">
            <w:pPr>
              <w:spacing w:line="240" w:lineRule="auto"/>
              <w:rPr>
                <w:sz w:val="20"/>
                <w:szCs w:val="20"/>
              </w:rPr>
            </w:pPr>
            <w:r w:rsidRPr="00CC0F64">
              <w:rPr>
                <w:sz w:val="20"/>
                <w:szCs w:val="20"/>
              </w:rPr>
              <w:t xml:space="preserve">Brent Crude Oil </w:t>
            </w:r>
          </w:p>
        </w:tc>
        <w:tc>
          <w:tcPr>
            <w:tcW w:w="2363" w:type="dxa"/>
            <w:shd w:val="clear" w:color="auto" w:fill="auto"/>
            <w:vAlign w:val="center"/>
          </w:tcPr>
          <w:p w14:paraId="00000135" w14:textId="77777777" w:rsidR="00083006" w:rsidRPr="00CC0F64" w:rsidRDefault="0080383E">
            <w:pPr>
              <w:spacing w:line="240" w:lineRule="auto"/>
              <w:jc w:val="center"/>
              <w:rPr>
                <w:sz w:val="20"/>
                <w:szCs w:val="20"/>
              </w:rPr>
            </w:pPr>
            <w:r w:rsidRPr="00CC0F64">
              <w:rPr>
                <w:sz w:val="20"/>
                <w:szCs w:val="20"/>
              </w:rPr>
              <w:t>Trend and intercept</w:t>
            </w:r>
          </w:p>
        </w:tc>
        <w:tc>
          <w:tcPr>
            <w:tcW w:w="3189" w:type="dxa"/>
            <w:shd w:val="clear" w:color="auto" w:fill="auto"/>
            <w:vAlign w:val="center"/>
          </w:tcPr>
          <w:p w14:paraId="00000136" w14:textId="77777777" w:rsidR="00083006" w:rsidRPr="00CC0F64" w:rsidRDefault="0080383E">
            <w:pPr>
              <w:spacing w:line="240" w:lineRule="auto"/>
              <w:jc w:val="center"/>
              <w:rPr>
                <w:sz w:val="20"/>
                <w:szCs w:val="20"/>
              </w:rPr>
            </w:pPr>
            <w:r w:rsidRPr="00CC0F64">
              <w:rPr>
                <w:sz w:val="20"/>
                <w:szCs w:val="20"/>
              </w:rPr>
              <w:t>-1.2092</w:t>
            </w:r>
          </w:p>
        </w:tc>
        <w:tc>
          <w:tcPr>
            <w:tcW w:w="3189" w:type="dxa"/>
            <w:shd w:val="clear" w:color="auto" w:fill="auto"/>
            <w:vAlign w:val="center"/>
          </w:tcPr>
          <w:p w14:paraId="00000137" w14:textId="77777777" w:rsidR="00083006" w:rsidRPr="00CC0F64" w:rsidRDefault="0080383E">
            <w:pPr>
              <w:spacing w:line="240" w:lineRule="auto"/>
              <w:jc w:val="center"/>
              <w:rPr>
                <w:sz w:val="20"/>
                <w:szCs w:val="20"/>
              </w:rPr>
            </w:pPr>
            <w:r w:rsidRPr="00CC0F64">
              <w:rPr>
                <w:sz w:val="20"/>
                <w:szCs w:val="20"/>
              </w:rPr>
              <w:t>-5.3777***</w:t>
            </w:r>
          </w:p>
        </w:tc>
        <w:tc>
          <w:tcPr>
            <w:tcW w:w="3189" w:type="dxa"/>
            <w:shd w:val="clear" w:color="auto" w:fill="auto"/>
            <w:vAlign w:val="center"/>
          </w:tcPr>
          <w:p w14:paraId="00000138" w14:textId="77777777" w:rsidR="00083006" w:rsidRPr="00CC0F64" w:rsidRDefault="0080383E">
            <w:pPr>
              <w:spacing w:line="240" w:lineRule="auto"/>
              <w:jc w:val="center"/>
              <w:rPr>
                <w:sz w:val="20"/>
                <w:szCs w:val="20"/>
              </w:rPr>
            </w:pPr>
            <w:r w:rsidRPr="00CC0F64">
              <w:rPr>
                <w:sz w:val="20"/>
                <w:szCs w:val="20"/>
              </w:rPr>
              <w:t>-</w:t>
            </w:r>
          </w:p>
        </w:tc>
      </w:tr>
    </w:tbl>
    <w:p w14:paraId="00000139" w14:textId="77777777" w:rsidR="00083006" w:rsidRPr="00CC0F64" w:rsidRDefault="0080383E">
      <w:pPr>
        <w:rPr>
          <w:sz w:val="20"/>
          <w:szCs w:val="20"/>
        </w:rPr>
      </w:pPr>
      <w:r w:rsidRPr="00CC0F64">
        <w:rPr>
          <w:i/>
          <w:sz w:val="20"/>
          <w:szCs w:val="20"/>
        </w:rPr>
        <w:t>Notes:</w:t>
      </w:r>
      <w:r w:rsidRPr="00CC0F64">
        <w:rPr>
          <w:sz w:val="20"/>
          <w:szCs w:val="20"/>
        </w:rPr>
        <w:t xml:space="preserve"> *, **, *** denote statistically significant at the 10%, 5% and 1% levels, respectively.</w:t>
      </w:r>
    </w:p>
    <w:p w14:paraId="0000013A" w14:textId="77777777" w:rsidR="00083006" w:rsidRPr="00CC0F64" w:rsidRDefault="00083006">
      <w:pPr>
        <w:rPr>
          <w:sz w:val="20"/>
          <w:szCs w:val="20"/>
        </w:rPr>
      </w:pPr>
    </w:p>
    <w:p w14:paraId="0000013B" w14:textId="77777777" w:rsidR="00083006" w:rsidRPr="00CC0F64" w:rsidRDefault="00083006">
      <w:pPr>
        <w:spacing w:line="240" w:lineRule="auto"/>
        <w:rPr>
          <w:b/>
        </w:rPr>
      </w:pPr>
    </w:p>
    <w:p w14:paraId="0000013C" w14:textId="77777777" w:rsidR="00083006" w:rsidRPr="00CC0F64" w:rsidRDefault="00083006">
      <w:pPr>
        <w:spacing w:line="240" w:lineRule="auto"/>
        <w:rPr>
          <w:b/>
        </w:rPr>
      </w:pPr>
    </w:p>
    <w:p w14:paraId="0000013D" w14:textId="77777777" w:rsidR="00083006" w:rsidRPr="00CC0F64" w:rsidRDefault="00083006">
      <w:pPr>
        <w:spacing w:line="240" w:lineRule="auto"/>
        <w:rPr>
          <w:b/>
        </w:rPr>
      </w:pPr>
    </w:p>
    <w:p w14:paraId="0000013E" w14:textId="77777777" w:rsidR="00083006" w:rsidRPr="00CC0F64" w:rsidRDefault="00083006">
      <w:pPr>
        <w:spacing w:line="240" w:lineRule="auto"/>
        <w:rPr>
          <w:b/>
        </w:rPr>
      </w:pPr>
    </w:p>
    <w:p w14:paraId="0000013F" w14:textId="77777777" w:rsidR="00083006" w:rsidRPr="00CC0F64" w:rsidRDefault="00083006">
      <w:pPr>
        <w:spacing w:line="240" w:lineRule="auto"/>
        <w:rPr>
          <w:b/>
        </w:rPr>
      </w:pPr>
    </w:p>
    <w:p w14:paraId="00000140" w14:textId="77777777" w:rsidR="00083006" w:rsidRPr="00CC0F64" w:rsidRDefault="00083006">
      <w:pPr>
        <w:spacing w:line="240" w:lineRule="auto"/>
        <w:rPr>
          <w:b/>
        </w:rPr>
      </w:pPr>
    </w:p>
    <w:p w14:paraId="00000142" w14:textId="77777777" w:rsidR="00083006" w:rsidRPr="00CC0F64" w:rsidRDefault="00083006">
      <w:pPr>
        <w:spacing w:line="240" w:lineRule="auto"/>
        <w:rPr>
          <w:b/>
        </w:rPr>
      </w:pPr>
    </w:p>
    <w:p w14:paraId="00000143" w14:textId="77777777" w:rsidR="00083006" w:rsidRPr="00CC0F64" w:rsidRDefault="00083006">
      <w:pPr>
        <w:spacing w:line="240" w:lineRule="auto"/>
        <w:rPr>
          <w:b/>
        </w:rPr>
      </w:pPr>
    </w:p>
    <w:p w14:paraId="00000144" w14:textId="77777777" w:rsidR="00083006" w:rsidRPr="00CC0F64" w:rsidRDefault="00083006">
      <w:pPr>
        <w:spacing w:line="240" w:lineRule="auto"/>
        <w:rPr>
          <w:b/>
        </w:rPr>
      </w:pPr>
    </w:p>
    <w:p w14:paraId="00000145" w14:textId="77777777" w:rsidR="00083006" w:rsidRPr="00CC0F64" w:rsidRDefault="00083006">
      <w:pPr>
        <w:spacing w:line="240" w:lineRule="auto"/>
        <w:rPr>
          <w:b/>
        </w:rPr>
      </w:pPr>
    </w:p>
    <w:p w14:paraId="00000146" w14:textId="77777777" w:rsidR="00083006" w:rsidRPr="00CC0F64" w:rsidRDefault="0080383E">
      <w:pPr>
        <w:spacing w:line="240" w:lineRule="auto"/>
        <w:rPr>
          <w:b/>
        </w:rPr>
        <w:sectPr w:rsidR="00083006" w:rsidRPr="00CC0F64">
          <w:pgSz w:w="16838" w:h="11906" w:orient="landscape"/>
          <w:pgMar w:top="1440" w:right="1440" w:bottom="1440" w:left="1440" w:header="720" w:footer="720" w:gutter="0"/>
          <w:cols w:space="720"/>
        </w:sectPr>
      </w:pPr>
      <w:r w:rsidRPr="00CC0F64">
        <w:br w:type="page"/>
      </w:r>
    </w:p>
    <w:p w14:paraId="00000147" w14:textId="77777777" w:rsidR="00083006" w:rsidRPr="00CC0F64" w:rsidRDefault="0080383E">
      <w:pPr>
        <w:spacing w:line="240" w:lineRule="auto"/>
        <w:rPr>
          <w:b/>
          <w:sz w:val="20"/>
          <w:szCs w:val="20"/>
        </w:rPr>
      </w:pPr>
      <w:r w:rsidRPr="00CC0F64">
        <w:rPr>
          <w:b/>
          <w:sz w:val="20"/>
          <w:szCs w:val="20"/>
        </w:rPr>
        <w:lastRenderedPageBreak/>
        <w:t>Table 4. Estimation results of VAR model</w:t>
      </w:r>
    </w:p>
    <w:tbl>
      <w:tblPr>
        <w:tblStyle w:val="a2"/>
        <w:tblW w:w="9000" w:type="dxa"/>
        <w:jc w:val="center"/>
        <w:tblBorders>
          <w:top w:val="single" w:sz="4" w:space="0" w:color="000000"/>
          <w:bottom w:val="single" w:sz="4" w:space="0" w:color="000000"/>
        </w:tblBorders>
        <w:tblLayout w:type="fixed"/>
        <w:tblLook w:val="0400" w:firstRow="0" w:lastRow="0" w:firstColumn="0" w:lastColumn="0" w:noHBand="0" w:noVBand="1"/>
      </w:tblPr>
      <w:tblGrid>
        <w:gridCol w:w="2824"/>
        <w:gridCol w:w="1109"/>
        <w:gridCol w:w="1272"/>
        <w:gridCol w:w="1090"/>
        <w:gridCol w:w="1494"/>
        <w:gridCol w:w="1211"/>
      </w:tblGrid>
      <w:tr w:rsidR="007E3981" w:rsidRPr="00CC0F64" w14:paraId="4F43297B" w14:textId="77777777">
        <w:trPr>
          <w:trHeight w:val="240"/>
          <w:jc w:val="center"/>
        </w:trPr>
        <w:tc>
          <w:tcPr>
            <w:tcW w:w="2824" w:type="dxa"/>
            <w:tcBorders>
              <w:top w:val="single" w:sz="4" w:space="0" w:color="000000"/>
              <w:bottom w:val="single" w:sz="4" w:space="0" w:color="000000"/>
            </w:tcBorders>
            <w:shd w:val="clear" w:color="auto" w:fill="auto"/>
            <w:vAlign w:val="center"/>
          </w:tcPr>
          <w:p w14:paraId="00000148" w14:textId="77777777" w:rsidR="00083006" w:rsidRPr="00CC0F64" w:rsidRDefault="0080383E">
            <w:pPr>
              <w:spacing w:line="240" w:lineRule="auto"/>
              <w:rPr>
                <w:sz w:val="20"/>
                <w:szCs w:val="20"/>
              </w:rPr>
            </w:pPr>
            <w:r w:rsidRPr="00CC0F64">
              <w:rPr>
                <w:sz w:val="20"/>
                <w:szCs w:val="20"/>
              </w:rPr>
              <w:t> </w:t>
            </w:r>
          </w:p>
        </w:tc>
        <w:tc>
          <w:tcPr>
            <w:tcW w:w="6176" w:type="dxa"/>
            <w:gridSpan w:val="5"/>
            <w:tcBorders>
              <w:top w:val="single" w:sz="4" w:space="0" w:color="000000"/>
              <w:bottom w:val="single" w:sz="4" w:space="0" w:color="000000"/>
            </w:tcBorders>
            <w:shd w:val="clear" w:color="auto" w:fill="auto"/>
            <w:vAlign w:val="center"/>
          </w:tcPr>
          <w:p w14:paraId="00000149" w14:textId="77777777" w:rsidR="00083006" w:rsidRPr="00CC0F64" w:rsidRDefault="0080383E">
            <w:pPr>
              <w:spacing w:line="240" w:lineRule="auto"/>
              <w:jc w:val="center"/>
              <w:rPr>
                <w:sz w:val="20"/>
                <w:szCs w:val="20"/>
              </w:rPr>
            </w:pPr>
            <w:r w:rsidRPr="00CC0F64">
              <w:rPr>
                <w:sz w:val="20"/>
                <w:szCs w:val="20"/>
              </w:rPr>
              <w:t xml:space="preserve">            Dependent variable:  </w:t>
            </w:r>
          </w:p>
        </w:tc>
      </w:tr>
      <w:tr w:rsidR="007E3981" w:rsidRPr="00CC0F64" w14:paraId="5E9B20C9" w14:textId="77777777">
        <w:trPr>
          <w:trHeight w:val="240"/>
          <w:jc w:val="center"/>
        </w:trPr>
        <w:tc>
          <w:tcPr>
            <w:tcW w:w="2824" w:type="dxa"/>
            <w:tcBorders>
              <w:top w:val="single" w:sz="4" w:space="0" w:color="000000"/>
              <w:bottom w:val="single" w:sz="4" w:space="0" w:color="000000"/>
            </w:tcBorders>
            <w:shd w:val="clear" w:color="auto" w:fill="auto"/>
            <w:vAlign w:val="center"/>
          </w:tcPr>
          <w:p w14:paraId="0000014E" w14:textId="77777777" w:rsidR="00083006" w:rsidRPr="00CC0F64" w:rsidRDefault="0080383E">
            <w:pPr>
              <w:spacing w:line="240" w:lineRule="auto"/>
              <w:rPr>
                <w:sz w:val="20"/>
                <w:szCs w:val="20"/>
              </w:rPr>
            </w:pPr>
            <w:r w:rsidRPr="00CC0F64">
              <w:rPr>
                <w:sz w:val="20"/>
                <w:szCs w:val="20"/>
              </w:rPr>
              <w:t> </w:t>
            </w:r>
          </w:p>
        </w:tc>
        <w:tc>
          <w:tcPr>
            <w:tcW w:w="6176" w:type="dxa"/>
            <w:gridSpan w:val="5"/>
            <w:tcBorders>
              <w:top w:val="single" w:sz="4" w:space="0" w:color="000000"/>
              <w:bottom w:val="single" w:sz="4" w:space="0" w:color="000000"/>
            </w:tcBorders>
            <w:shd w:val="clear" w:color="auto" w:fill="auto"/>
            <w:vAlign w:val="center"/>
          </w:tcPr>
          <w:p w14:paraId="0000014F" w14:textId="77777777" w:rsidR="00083006" w:rsidRPr="00CC0F64" w:rsidRDefault="0080383E">
            <w:pPr>
              <w:spacing w:line="240" w:lineRule="auto"/>
              <w:jc w:val="center"/>
              <w:rPr>
                <w:sz w:val="20"/>
                <w:szCs w:val="20"/>
              </w:rPr>
            </w:pPr>
            <w:r w:rsidRPr="00CC0F64">
              <w:rPr>
                <w:sz w:val="20"/>
                <w:szCs w:val="20"/>
              </w:rPr>
              <w:t xml:space="preserve">    y  </w:t>
            </w:r>
          </w:p>
        </w:tc>
      </w:tr>
      <w:tr w:rsidR="007E3981" w:rsidRPr="00CC0F64" w14:paraId="00459557" w14:textId="77777777">
        <w:trPr>
          <w:trHeight w:val="240"/>
          <w:jc w:val="center"/>
        </w:trPr>
        <w:tc>
          <w:tcPr>
            <w:tcW w:w="2824" w:type="dxa"/>
            <w:tcBorders>
              <w:top w:val="single" w:sz="4" w:space="0" w:color="000000"/>
              <w:bottom w:val="single" w:sz="4" w:space="0" w:color="000000"/>
            </w:tcBorders>
            <w:shd w:val="clear" w:color="auto" w:fill="auto"/>
            <w:vAlign w:val="center"/>
          </w:tcPr>
          <w:p w14:paraId="00000154" w14:textId="77777777" w:rsidR="00083006" w:rsidRPr="00CC0F64" w:rsidRDefault="00083006">
            <w:pPr>
              <w:spacing w:line="240" w:lineRule="auto"/>
              <w:rPr>
                <w:sz w:val="20"/>
                <w:szCs w:val="20"/>
              </w:rPr>
            </w:pPr>
          </w:p>
        </w:tc>
        <w:tc>
          <w:tcPr>
            <w:tcW w:w="1109" w:type="dxa"/>
            <w:tcBorders>
              <w:top w:val="single" w:sz="4" w:space="0" w:color="000000"/>
              <w:bottom w:val="single" w:sz="4" w:space="0" w:color="000000"/>
            </w:tcBorders>
            <w:shd w:val="clear" w:color="auto" w:fill="auto"/>
            <w:vAlign w:val="center"/>
          </w:tcPr>
          <w:p w14:paraId="00000155" w14:textId="77777777" w:rsidR="00083006" w:rsidRPr="00CC0F64" w:rsidRDefault="0080383E">
            <w:pPr>
              <w:spacing w:line="240" w:lineRule="auto"/>
              <w:jc w:val="center"/>
              <w:rPr>
                <w:sz w:val="20"/>
                <w:szCs w:val="20"/>
              </w:rPr>
            </w:pPr>
            <w:r w:rsidRPr="00CC0F64">
              <w:rPr>
                <w:sz w:val="20"/>
                <w:szCs w:val="20"/>
              </w:rPr>
              <w:t>GDP</w:t>
            </w:r>
          </w:p>
        </w:tc>
        <w:tc>
          <w:tcPr>
            <w:tcW w:w="1272" w:type="dxa"/>
            <w:tcBorders>
              <w:top w:val="single" w:sz="4" w:space="0" w:color="000000"/>
              <w:bottom w:val="single" w:sz="4" w:space="0" w:color="000000"/>
            </w:tcBorders>
            <w:shd w:val="clear" w:color="auto" w:fill="auto"/>
            <w:vAlign w:val="center"/>
          </w:tcPr>
          <w:p w14:paraId="00000156" w14:textId="77777777" w:rsidR="00083006" w:rsidRPr="00CC0F64" w:rsidRDefault="0080383E">
            <w:pPr>
              <w:spacing w:line="240" w:lineRule="auto"/>
              <w:jc w:val="center"/>
              <w:rPr>
                <w:sz w:val="20"/>
                <w:szCs w:val="20"/>
              </w:rPr>
            </w:pPr>
            <w:r w:rsidRPr="00CC0F64">
              <w:rPr>
                <w:sz w:val="20"/>
                <w:szCs w:val="20"/>
              </w:rPr>
              <w:t>CPI</w:t>
            </w:r>
          </w:p>
        </w:tc>
        <w:tc>
          <w:tcPr>
            <w:tcW w:w="1090" w:type="dxa"/>
            <w:tcBorders>
              <w:top w:val="single" w:sz="4" w:space="0" w:color="000000"/>
              <w:bottom w:val="single" w:sz="4" w:space="0" w:color="000000"/>
            </w:tcBorders>
            <w:shd w:val="clear" w:color="auto" w:fill="auto"/>
            <w:vAlign w:val="center"/>
          </w:tcPr>
          <w:p w14:paraId="00000157" w14:textId="77777777" w:rsidR="00083006" w:rsidRPr="00CC0F64" w:rsidRDefault="0080383E">
            <w:pPr>
              <w:spacing w:line="240" w:lineRule="auto"/>
              <w:jc w:val="center"/>
              <w:rPr>
                <w:sz w:val="20"/>
                <w:szCs w:val="20"/>
              </w:rPr>
            </w:pPr>
            <w:r w:rsidRPr="00CC0F64">
              <w:rPr>
                <w:sz w:val="20"/>
                <w:szCs w:val="20"/>
              </w:rPr>
              <w:t>Trade Balance</w:t>
            </w:r>
          </w:p>
        </w:tc>
        <w:tc>
          <w:tcPr>
            <w:tcW w:w="1494" w:type="dxa"/>
            <w:tcBorders>
              <w:top w:val="single" w:sz="4" w:space="0" w:color="000000"/>
              <w:bottom w:val="single" w:sz="4" w:space="0" w:color="000000"/>
            </w:tcBorders>
            <w:shd w:val="clear" w:color="auto" w:fill="auto"/>
            <w:vAlign w:val="center"/>
          </w:tcPr>
          <w:p w14:paraId="00000158" w14:textId="77777777" w:rsidR="00083006" w:rsidRPr="00CC0F64" w:rsidRDefault="0080383E">
            <w:pPr>
              <w:spacing w:line="240" w:lineRule="auto"/>
              <w:jc w:val="center"/>
              <w:rPr>
                <w:sz w:val="20"/>
                <w:szCs w:val="20"/>
              </w:rPr>
            </w:pPr>
            <w:r w:rsidRPr="00CC0F64">
              <w:rPr>
                <w:sz w:val="20"/>
                <w:szCs w:val="20"/>
              </w:rPr>
              <w:t>Unemployment</w:t>
            </w:r>
          </w:p>
        </w:tc>
        <w:tc>
          <w:tcPr>
            <w:tcW w:w="1211" w:type="dxa"/>
            <w:tcBorders>
              <w:top w:val="single" w:sz="4" w:space="0" w:color="000000"/>
              <w:bottom w:val="single" w:sz="4" w:space="0" w:color="000000"/>
            </w:tcBorders>
            <w:shd w:val="clear" w:color="auto" w:fill="auto"/>
            <w:vAlign w:val="center"/>
          </w:tcPr>
          <w:p w14:paraId="00000159" w14:textId="77777777" w:rsidR="00083006" w:rsidRPr="00CC0F64" w:rsidRDefault="0080383E">
            <w:pPr>
              <w:spacing w:line="240" w:lineRule="auto"/>
              <w:jc w:val="center"/>
              <w:rPr>
                <w:sz w:val="20"/>
                <w:szCs w:val="20"/>
              </w:rPr>
            </w:pPr>
            <w:r w:rsidRPr="00CC0F64">
              <w:rPr>
                <w:sz w:val="20"/>
                <w:szCs w:val="20"/>
              </w:rPr>
              <w:t>Brent Crude Oil</w:t>
            </w:r>
          </w:p>
        </w:tc>
      </w:tr>
      <w:tr w:rsidR="007E3981" w:rsidRPr="00CC0F64" w14:paraId="087EE7AD" w14:textId="77777777">
        <w:trPr>
          <w:trHeight w:val="240"/>
          <w:jc w:val="center"/>
        </w:trPr>
        <w:tc>
          <w:tcPr>
            <w:tcW w:w="2824" w:type="dxa"/>
            <w:tcBorders>
              <w:top w:val="single" w:sz="4" w:space="0" w:color="000000"/>
              <w:bottom w:val="single" w:sz="4" w:space="0" w:color="000000"/>
            </w:tcBorders>
            <w:shd w:val="clear" w:color="auto" w:fill="auto"/>
            <w:vAlign w:val="center"/>
          </w:tcPr>
          <w:p w14:paraId="0000015A" w14:textId="77777777" w:rsidR="00083006" w:rsidRPr="00CC0F64" w:rsidRDefault="0080383E">
            <w:pPr>
              <w:spacing w:line="240" w:lineRule="auto"/>
              <w:rPr>
                <w:sz w:val="20"/>
                <w:szCs w:val="20"/>
              </w:rPr>
            </w:pPr>
            <w:r w:rsidRPr="00CC0F64">
              <w:rPr>
                <w:sz w:val="20"/>
                <w:szCs w:val="20"/>
              </w:rPr>
              <w:t> </w:t>
            </w:r>
          </w:p>
        </w:tc>
        <w:tc>
          <w:tcPr>
            <w:tcW w:w="1109" w:type="dxa"/>
            <w:tcBorders>
              <w:top w:val="single" w:sz="4" w:space="0" w:color="000000"/>
              <w:bottom w:val="single" w:sz="4" w:space="0" w:color="000000"/>
            </w:tcBorders>
            <w:shd w:val="clear" w:color="auto" w:fill="auto"/>
            <w:vAlign w:val="center"/>
          </w:tcPr>
          <w:p w14:paraId="0000015B" w14:textId="77777777" w:rsidR="00083006" w:rsidRPr="00CC0F64" w:rsidRDefault="0080383E">
            <w:pPr>
              <w:spacing w:line="240" w:lineRule="auto"/>
              <w:jc w:val="center"/>
              <w:rPr>
                <w:sz w:val="20"/>
                <w:szCs w:val="20"/>
              </w:rPr>
            </w:pPr>
            <w:r w:rsidRPr="00CC0F64">
              <w:rPr>
                <w:sz w:val="20"/>
                <w:szCs w:val="20"/>
              </w:rPr>
              <w:t>(1)</w:t>
            </w:r>
          </w:p>
        </w:tc>
        <w:tc>
          <w:tcPr>
            <w:tcW w:w="1272" w:type="dxa"/>
            <w:tcBorders>
              <w:top w:val="single" w:sz="4" w:space="0" w:color="000000"/>
              <w:bottom w:val="single" w:sz="4" w:space="0" w:color="000000"/>
            </w:tcBorders>
            <w:shd w:val="clear" w:color="auto" w:fill="auto"/>
            <w:vAlign w:val="center"/>
          </w:tcPr>
          <w:p w14:paraId="0000015C" w14:textId="77777777" w:rsidR="00083006" w:rsidRPr="00CC0F64" w:rsidRDefault="0080383E">
            <w:pPr>
              <w:spacing w:line="240" w:lineRule="auto"/>
              <w:jc w:val="center"/>
              <w:rPr>
                <w:sz w:val="20"/>
                <w:szCs w:val="20"/>
              </w:rPr>
            </w:pPr>
            <w:r w:rsidRPr="00CC0F64">
              <w:rPr>
                <w:sz w:val="20"/>
                <w:szCs w:val="20"/>
              </w:rPr>
              <w:t>(2)</w:t>
            </w:r>
          </w:p>
        </w:tc>
        <w:tc>
          <w:tcPr>
            <w:tcW w:w="1090" w:type="dxa"/>
            <w:tcBorders>
              <w:top w:val="single" w:sz="4" w:space="0" w:color="000000"/>
              <w:bottom w:val="single" w:sz="4" w:space="0" w:color="000000"/>
            </w:tcBorders>
            <w:shd w:val="clear" w:color="auto" w:fill="auto"/>
            <w:vAlign w:val="center"/>
          </w:tcPr>
          <w:p w14:paraId="0000015D" w14:textId="77777777" w:rsidR="00083006" w:rsidRPr="00CC0F64" w:rsidRDefault="0080383E">
            <w:pPr>
              <w:spacing w:line="240" w:lineRule="auto"/>
              <w:jc w:val="center"/>
              <w:rPr>
                <w:sz w:val="20"/>
                <w:szCs w:val="20"/>
              </w:rPr>
            </w:pPr>
            <w:r w:rsidRPr="00CC0F64">
              <w:rPr>
                <w:sz w:val="20"/>
                <w:szCs w:val="20"/>
              </w:rPr>
              <w:t>(3)</w:t>
            </w:r>
          </w:p>
        </w:tc>
        <w:tc>
          <w:tcPr>
            <w:tcW w:w="1494" w:type="dxa"/>
            <w:tcBorders>
              <w:top w:val="single" w:sz="4" w:space="0" w:color="000000"/>
              <w:bottom w:val="single" w:sz="4" w:space="0" w:color="000000"/>
            </w:tcBorders>
            <w:shd w:val="clear" w:color="auto" w:fill="auto"/>
            <w:vAlign w:val="center"/>
          </w:tcPr>
          <w:p w14:paraId="0000015E" w14:textId="77777777" w:rsidR="00083006" w:rsidRPr="00CC0F64" w:rsidRDefault="0080383E">
            <w:pPr>
              <w:spacing w:line="240" w:lineRule="auto"/>
              <w:jc w:val="center"/>
              <w:rPr>
                <w:sz w:val="20"/>
                <w:szCs w:val="20"/>
              </w:rPr>
            </w:pPr>
            <w:r w:rsidRPr="00CC0F64">
              <w:rPr>
                <w:sz w:val="20"/>
                <w:szCs w:val="20"/>
              </w:rPr>
              <w:t>(4)</w:t>
            </w:r>
          </w:p>
        </w:tc>
        <w:tc>
          <w:tcPr>
            <w:tcW w:w="1211" w:type="dxa"/>
            <w:tcBorders>
              <w:top w:val="single" w:sz="4" w:space="0" w:color="000000"/>
              <w:bottom w:val="single" w:sz="4" w:space="0" w:color="000000"/>
            </w:tcBorders>
            <w:shd w:val="clear" w:color="auto" w:fill="auto"/>
            <w:vAlign w:val="center"/>
          </w:tcPr>
          <w:p w14:paraId="0000015F" w14:textId="77777777" w:rsidR="00083006" w:rsidRPr="00CC0F64" w:rsidRDefault="0080383E">
            <w:pPr>
              <w:spacing w:line="240" w:lineRule="auto"/>
              <w:jc w:val="center"/>
              <w:rPr>
                <w:sz w:val="20"/>
                <w:szCs w:val="20"/>
              </w:rPr>
            </w:pPr>
            <w:r w:rsidRPr="00CC0F64">
              <w:rPr>
                <w:sz w:val="20"/>
                <w:szCs w:val="20"/>
              </w:rPr>
              <w:t>(5)</w:t>
            </w:r>
          </w:p>
        </w:tc>
      </w:tr>
      <w:tr w:rsidR="007E3981" w:rsidRPr="00CC0F64" w14:paraId="078A8CC1" w14:textId="77777777">
        <w:trPr>
          <w:trHeight w:val="240"/>
          <w:jc w:val="center"/>
        </w:trPr>
        <w:tc>
          <w:tcPr>
            <w:tcW w:w="2824" w:type="dxa"/>
            <w:tcBorders>
              <w:top w:val="single" w:sz="4" w:space="0" w:color="000000"/>
            </w:tcBorders>
            <w:shd w:val="clear" w:color="auto" w:fill="auto"/>
            <w:vAlign w:val="center"/>
          </w:tcPr>
          <w:p w14:paraId="00000160" w14:textId="77777777" w:rsidR="00083006" w:rsidRPr="00CC0F64" w:rsidRDefault="0080383E">
            <w:pPr>
              <w:spacing w:line="240" w:lineRule="auto"/>
              <w:rPr>
                <w:sz w:val="20"/>
                <w:szCs w:val="20"/>
              </w:rPr>
            </w:pPr>
            <w:r w:rsidRPr="00CC0F64">
              <w:rPr>
                <w:sz w:val="20"/>
                <w:szCs w:val="20"/>
              </w:rPr>
              <w:t xml:space="preserve">GDP.l1     </w:t>
            </w:r>
          </w:p>
        </w:tc>
        <w:tc>
          <w:tcPr>
            <w:tcW w:w="1109" w:type="dxa"/>
            <w:tcBorders>
              <w:top w:val="single" w:sz="4" w:space="0" w:color="000000"/>
            </w:tcBorders>
            <w:shd w:val="clear" w:color="auto" w:fill="auto"/>
            <w:vAlign w:val="center"/>
          </w:tcPr>
          <w:p w14:paraId="00000161" w14:textId="77777777" w:rsidR="00083006" w:rsidRPr="00CC0F64" w:rsidRDefault="0080383E">
            <w:pPr>
              <w:spacing w:line="240" w:lineRule="auto"/>
              <w:jc w:val="center"/>
              <w:rPr>
                <w:sz w:val="20"/>
                <w:szCs w:val="20"/>
              </w:rPr>
            </w:pPr>
            <w:r w:rsidRPr="00CC0F64">
              <w:rPr>
                <w:sz w:val="20"/>
                <w:szCs w:val="20"/>
              </w:rPr>
              <w:t>0.052</w:t>
            </w:r>
          </w:p>
        </w:tc>
        <w:tc>
          <w:tcPr>
            <w:tcW w:w="1272" w:type="dxa"/>
            <w:tcBorders>
              <w:top w:val="single" w:sz="4" w:space="0" w:color="000000"/>
            </w:tcBorders>
            <w:shd w:val="clear" w:color="auto" w:fill="auto"/>
            <w:vAlign w:val="center"/>
          </w:tcPr>
          <w:p w14:paraId="00000162" w14:textId="77777777" w:rsidR="00083006" w:rsidRPr="00CC0F64" w:rsidRDefault="0080383E">
            <w:pPr>
              <w:spacing w:line="240" w:lineRule="auto"/>
              <w:jc w:val="center"/>
              <w:rPr>
                <w:sz w:val="20"/>
                <w:szCs w:val="20"/>
              </w:rPr>
            </w:pPr>
            <w:r w:rsidRPr="00CC0F64">
              <w:rPr>
                <w:sz w:val="20"/>
                <w:szCs w:val="20"/>
              </w:rPr>
              <w:t>-0.001</w:t>
            </w:r>
          </w:p>
        </w:tc>
        <w:tc>
          <w:tcPr>
            <w:tcW w:w="1090" w:type="dxa"/>
            <w:tcBorders>
              <w:top w:val="single" w:sz="4" w:space="0" w:color="000000"/>
            </w:tcBorders>
            <w:shd w:val="clear" w:color="auto" w:fill="auto"/>
            <w:vAlign w:val="center"/>
          </w:tcPr>
          <w:p w14:paraId="00000163" w14:textId="77777777" w:rsidR="00083006" w:rsidRPr="00CC0F64" w:rsidRDefault="0080383E">
            <w:pPr>
              <w:spacing w:line="240" w:lineRule="auto"/>
              <w:jc w:val="center"/>
              <w:rPr>
                <w:sz w:val="20"/>
                <w:szCs w:val="20"/>
              </w:rPr>
            </w:pPr>
            <w:r w:rsidRPr="00CC0F64">
              <w:rPr>
                <w:sz w:val="20"/>
                <w:szCs w:val="20"/>
              </w:rPr>
              <w:t>-0.148</w:t>
            </w:r>
          </w:p>
        </w:tc>
        <w:tc>
          <w:tcPr>
            <w:tcW w:w="1494" w:type="dxa"/>
            <w:tcBorders>
              <w:top w:val="single" w:sz="4" w:space="0" w:color="000000"/>
            </w:tcBorders>
            <w:shd w:val="clear" w:color="auto" w:fill="auto"/>
            <w:vAlign w:val="center"/>
          </w:tcPr>
          <w:p w14:paraId="00000164" w14:textId="77777777" w:rsidR="00083006" w:rsidRPr="00CC0F64" w:rsidRDefault="0080383E">
            <w:pPr>
              <w:spacing w:line="240" w:lineRule="auto"/>
              <w:jc w:val="center"/>
              <w:rPr>
                <w:sz w:val="20"/>
                <w:szCs w:val="20"/>
              </w:rPr>
            </w:pPr>
            <w:r w:rsidRPr="00CC0F64">
              <w:rPr>
                <w:sz w:val="20"/>
                <w:szCs w:val="20"/>
              </w:rPr>
              <w:t>0.044</w:t>
            </w:r>
          </w:p>
        </w:tc>
        <w:tc>
          <w:tcPr>
            <w:tcW w:w="1211" w:type="dxa"/>
            <w:tcBorders>
              <w:top w:val="single" w:sz="4" w:space="0" w:color="000000"/>
            </w:tcBorders>
            <w:shd w:val="clear" w:color="auto" w:fill="auto"/>
            <w:vAlign w:val="center"/>
          </w:tcPr>
          <w:p w14:paraId="00000165" w14:textId="77777777" w:rsidR="00083006" w:rsidRPr="00CC0F64" w:rsidRDefault="0080383E">
            <w:pPr>
              <w:spacing w:line="240" w:lineRule="auto"/>
              <w:jc w:val="center"/>
              <w:rPr>
                <w:sz w:val="20"/>
                <w:szCs w:val="20"/>
              </w:rPr>
            </w:pPr>
            <w:r w:rsidRPr="00CC0F64">
              <w:rPr>
                <w:sz w:val="20"/>
                <w:szCs w:val="20"/>
              </w:rPr>
              <w:t xml:space="preserve"> -0.162*** </w:t>
            </w:r>
          </w:p>
        </w:tc>
      </w:tr>
      <w:tr w:rsidR="007E3981" w:rsidRPr="00CC0F64" w14:paraId="69466CBE" w14:textId="77777777">
        <w:trPr>
          <w:trHeight w:val="240"/>
          <w:jc w:val="center"/>
        </w:trPr>
        <w:tc>
          <w:tcPr>
            <w:tcW w:w="2824" w:type="dxa"/>
            <w:shd w:val="clear" w:color="auto" w:fill="auto"/>
            <w:vAlign w:val="center"/>
          </w:tcPr>
          <w:p w14:paraId="00000166" w14:textId="77777777" w:rsidR="00083006" w:rsidRPr="00CC0F64" w:rsidRDefault="0080383E">
            <w:pPr>
              <w:spacing w:line="240" w:lineRule="auto"/>
              <w:rPr>
                <w:sz w:val="20"/>
                <w:szCs w:val="20"/>
              </w:rPr>
            </w:pPr>
            <w:r w:rsidRPr="00CC0F64">
              <w:rPr>
                <w:sz w:val="20"/>
                <w:szCs w:val="20"/>
              </w:rPr>
              <w:t> </w:t>
            </w:r>
          </w:p>
        </w:tc>
        <w:tc>
          <w:tcPr>
            <w:tcW w:w="1109" w:type="dxa"/>
            <w:shd w:val="clear" w:color="auto" w:fill="auto"/>
            <w:vAlign w:val="center"/>
          </w:tcPr>
          <w:p w14:paraId="00000167" w14:textId="77777777" w:rsidR="00083006" w:rsidRPr="00CC0F64" w:rsidRDefault="0080383E">
            <w:pPr>
              <w:spacing w:line="240" w:lineRule="auto"/>
              <w:jc w:val="center"/>
              <w:rPr>
                <w:sz w:val="20"/>
                <w:szCs w:val="20"/>
              </w:rPr>
            </w:pPr>
            <w:r w:rsidRPr="00CC0F64">
              <w:rPr>
                <w:sz w:val="20"/>
                <w:szCs w:val="20"/>
              </w:rPr>
              <w:t>(0.056)</w:t>
            </w:r>
          </w:p>
        </w:tc>
        <w:tc>
          <w:tcPr>
            <w:tcW w:w="1272" w:type="dxa"/>
            <w:shd w:val="clear" w:color="auto" w:fill="auto"/>
            <w:vAlign w:val="center"/>
          </w:tcPr>
          <w:p w14:paraId="00000168" w14:textId="77777777" w:rsidR="00083006" w:rsidRPr="00CC0F64" w:rsidRDefault="0080383E">
            <w:pPr>
              <w:spacing w:line="240" w:lineRule="auto"/>
              <w:jc w:val="center"/>
              <w:rPr>
                <w:sz w:val="20"/>
                <w:szCs w:val="20"/>
              </w:rPr>
            </w:pPr>
            <w:r w:rsidRPr="00CC0F64">
              <w:rPr>
                <w:sz w:val="20"/>
                <w:szCs w:val="20"/>
              </w:rPr>
              <w:t>(0.001)</w:t>
            </w:r>
          </w:p>
        </w:tc>
        <w:tc>
          <w:tcPr>
            <w:tcW w:w="1090" w:type="dxa"/>
            <w:shd w:val="clear" w:color="auto" w:fill="auto"/>
            <w:vAlign w:val="center"/>
          </w:tcPr>
          <w:p w14:paraId="00000169" w14:textId="77777777" w:rsidR="00083006" w:rsidRPr="00CC0F64" w:rsidRDefault="0080383E">
            <w:pPr>
              <w:spacing w:line="240" w:lineRule="auto"/>
              <w:jc w:val="center"/>
              <w:rPr>
                <w:sz w:val="20"/>
                <w:szCs w:val="20"/>
              </w:rPr>
            </w:pPr>
            <w:r w:rsidRPr="00CC0F64">
              <w:rPr>
                <w:sz w:val="20"/>
                <w:szCs w:val="20"/>
              </w:rPr>
              <w:t>(0.128)</w:t>
            </w:r>
          </w:p>
        </w:tc>
        <w:tc>
          <w:tcPr>
            <w:tcW w:w="1494" w:type="dxa"/>
            <w:shd w:val="clear" w:color="auto" w:fill="auto"/>
            <w:vAlign w:val="center"/>
          </w:tcPr>
          <w:p w14:paraId="0000016A" w14:textId="77777777" w:rsidR="00083006" w:rsidRPr="00CC0F64" w:rsidRDefault="0080383E">
            <w:pPr>
              <w:spacing w:line="240" w:lineRule="auto"/>
              <w:jc w:val="center"/>
              <w:rPr>
                <w:sz w:val="20"/>
                <w:szCs w:val="20"/>
              </w:rPr>
            </w:pPr>
            <w:r w:rsidRPr="00CC0F64">
              <w:rPr>
                <w:sz w:val="20"/>
                <w:szCs w:val="20"/>
              </w:rPr>
              <w:t>(0.035)</w:t>
            </w:r>
          </w:p>
        </w:tc>
        <w:tc>
          <w:tcPr>
            <w:tcW w:w="1211" w:type="dxa"/>
            <w:shd w:val="clear" w:color="auto" w:fill="auto"/>
            <w:vAlign w:val="center"/>
          </w:tcPr>
          <w:p w14:paraId="0000016B" w14:textId="77777777" w:rsidR="00083006" w:rsidRPr="00CC0F64" w:rsidRDefault="0080383E">
            <w:pPr>
              <w:spacing w:line="240" w:lineRule="auto"/>
              <w:jc w:val="center"/>
              <w:rPr>
                <w:sz w:val="20"/>
                <w:szCs w:val="20"/>
              </w:rPr>
            </w:pPr>
            <w:r w:rsidRPr="00CC0F64">
              <w:rPr>
                <w:sz w:val="20"/>
                <w:szCs w:val="20"/>
              </w:rPr>
              <w:t>(0.051)</w:t>
            </w:r>
          </w:p>
        </w:tc>
      </w:tr>
      <w:tr w:rsidR="007E3981" w:rsidRPr="00CC0F64" w14:paraId="4DC69F26" w14:textId="77777777">
        <w:trPr>
          <w:trHeight w:val="240"/>
          <w:jc w:val="center"/>
        </w:trPr>
        <w:tc>
          <w:tcPr>
            <w:tcW w:w="2824" w:type="dxa"/>
            <w:shd w:val="clear" w:color="auto" w:fill="auto"/>
            <w:vAlign w:val="center"/>
          </w:tcPr>
          <w:p w14:paraId="0000016C" w14:textId="77777777" w:rsidR="00083006" w:rsidRPr="00CC0F64" w:rsidRDefault="0080383E">
            <w:pPr>
              <w:spacing w:line="240" w:lineRule="auto"/>
              <w:rPr>
                <w:sz w:val="20"/>
                <w:szCs w:val="20"/>
              </w:rPr>
            </w:pPr>
            <w:r w:rsidRPr="00CC0F64">
              <w:rPr>
                <w:sz w:val="20"/>
                <w:szCs w:val="20"/>
              </w:rPr>
              <w:t xml:space="preserve">CPI.l1  </w:t>
            </w:r>
          </w:p>
        </w:tc>
        <w:tc>
          <w:tcPr>
            <w:tcW w:w="1109" w:type="dxa"/>
            <w:shd w:val="clear" w:color="auto" w:fill="auto"/>
            <w:vAlign w:val="center"/>
          </w:tcPr>
          <w:p w14:paraId="0000016D" w14:textId="77777777" w:rsidR="00083006" w:rsidRPr="00CC0F64" w:rsidRDefault="0080383E">
            <w:pPr>
              <w:spacing w:line="240" w:lineRule="auto"/>
              <w:jc w:val="center"/>
              <w:rPr>
                <w:sz w:val="20"/>
                <w:szCs w:val="20"/>
              </w:rPr>
            </w:pPr>
            <w:r w:rsidRPr="00CC0F64">
              <w:rPr>
                <w:sz w:val="20"/>
                <w:szCs w:val="20"/>
              </w:rPr>
              <w:t>-6.336*</w:t>
            </w:r>
          </w:p>
        </w:tc>
        <w:tc>
          <w:tcPr>
            <w:tcW w:w="1272" w:type="dxa"/>
            <w:shd w:val="clear" w:color="auto" w:fill="auto"/>
            <w:vAlign w:val="center"/>
          </w:tcPr>
          <w:p w14:paraId="0000016E" w14:textId="77777777" w:rsidR="00083006" w:rsidRPr="00CC0F64" w:rsidRDefault="0080383E">
            <w:pPr>
              <w:spacing w:line="240" w:lineRule="auto"/>
              <w:jc w:val="center"/>
              <w:rPr>
                <w:sz w:val="20"/>
                <w:szCs w:val="20"/>
              </w:rPr>
            </w:pPr>
            <w:r w:rsidRPr="00CC0F64">
              <w:rPr>
                <w:sz w:val="20"/>
                <w:szCs w:val="20"/>
              </w:rPr>
              <w:t>0.917***</w:t>
            </w:r>
          </w:p>
        </w:tc>
        <w:tc>
          <w:tcPr>
            <w:tcW w:w="1090" w:type="dxa"/>
            <w:shd w:val="clear" w:color="auto" w:fill="auto"/>
            <w:vAlign w:val="center"/>
          </w:tcPr>
          <w:p w14:paraId="0000016F" w14:textId="77777777" w:rsidR="00083006" w:rsidRPr="00CC0F64" w:rsidRDefault="0080383E">
            <w:pPr>
              <w:spacing w:line="240" w:lineRule="auto"/>
              <w:jc w:val="center"/>
              <w:rPr>
                <w:sz w:val="20"/>
                <w:szCs w:val="20"/>
              </w:rPr>
            </w:pPr>
            <w:r w:rsidRPr="00CC0F64">
              <w:rPr>
                <w:sz w:val="20"/>
                <w:szCs w:val="20"/>
              </w:rPr>
              <w:t>4.654</w:t>
            </w:r>
          </w:p>
        </w:tc>
        <w:tc>
          <w:tcPr>
            <w:tcW w:w="1494" w:type="dxa"/>
            <w:shd w:val="clear" w:color="auto" w:fill="auto"/>
            <w:vAlign w:val="center"/>
          </w:tcPr>
          <w:p w14:paraId="00000170" w14:textId="77777777" w:rsidR="00083006" w:rsidRPr="00CC0F64" w:rsidRDefault="0080383E">
            <w:pPr>
              <w:spacing w:line="240" w:lineRule="auto"/>
              <w:jc w:val="center"/>
              <w:rPr>
                <w:sz w:val="20"/>
                <w:szCs w:val="20"/>
              </w:rPr>
            </w:pPr>
            <w:r w:rsidRPr="00CC0F64">
              <w:rPr>
                <w:sz w:val="20"/>
                <w:szCs w:val="20"/>
              </w:rPr>
              <w:t>0.505</w:t>
            </w:r>
          </w:p>
        </w:tc>
        <w:tc>
          <w:tcPr>
            <w:tcW w:w="1211" w:type="dxa"/>
            <w:shd w:val="clear" w:color="auto" w:fill="auto"/>
            <w:vAlign w:val="center"/>
          </w:tcPr>
          <w:p w14:paraId="00000171" w14:textId="77777777" w:rsidR="00083006" w:rsidRPr="00CC0F64" w:rsidRDefault="0080383E">
            <w:pPr>
              <w:spacing w:line="240" w:lineRule="auto"/>
              <w:jc w:val="center"/>
              <w:rPr>
                <w:sz w:val="20"/>
                <w:szCs w:val="20"/>
              </w:rPr>
            </w:pPr>
            <w:r w:rsidRPr="00CC0F64">
              <w:rPr>
                <w:sz w:val="20"/>
                <w:szCs w:val="20"/>
              </w:rPr>
              <w:t>-3.204</w:t>
            </w:r>
          </w:p>
        </w:tc>
      </w:tr>
      <w:tr w:rsidR="007E3981" w:rsidRPr="00CC0F64" w14:paraId="57D45DDA" w14:textId="77777777">
        <w:trPr>
          <w:trHeight w:val="240"/>
          <w:jc w:val="center"/>
        </w:trPr>
        <w:tc>
          <w:tcPr>
            <w:tcW w:w="2824" w:type="dxa"/>
            <w:shd w:val="clear" w:color="auto" w:fill="auto"/>
            <w:vAlign w:val="center"/>
          </w:tcPr>
          <w:p w14:paraId="00000172" w14:textId="77777777" w:rsidR="00083006" w:rsidRPr="00CC0F64" w:rsidRDefault="0080383E">
            <w:pPr>
              <w:spacing w:line="240" w:lineRule="auto"/>
              <w:rPr>
                <w:sz w:val="20"/>
                <w:szCs w:val="20"/>
              </w:rPr>
            </w:pPr>
            <w:r w:rsidRPr="00CC0F64">
              <w:rPr>
                <w:sz w:val="20"/>
                <w:szCs w:val="20"/>
              </w:rPr>
              <w:t> </w:t>
            </w:r>
          </w:p>
        </w:tc>
        <w:tc>
          <w:tcPr>
            <w:tcW w:w="1109" w:type="dxa"/>
            <w:shd w:val="clear" w:color="auto" w:fill="auto"/>
            <w:vAlign w:val="center"/>
          </w:tcPr>
          <w:p w14:paraId="00000173" w14:textId="77777777" w:rsidR="00083006" w:rsidRPr="00CC0F64" w:rsidRDefault="0080383E">
            <w:pPr>
              <w:spacing w:line="240" w:lineRule="auto"/>
              <w:jc w:val="center"/>
              <w:rPr>
                <w:sz w:val="20"/>
                <w:szCs w:val="20"/>
              </w:rPr>
            </w:pPr>
            <w:r w:rsidRPr="00CC0F64">
              <w:rPr>
                <w:sz w:val="20"/>
                <w:szCs w:val="20"/>
              </w:rPr>
              <w:t>(3.711)</w:t>
            </w:r>
          </w:p>
        </w:tc>
        <w:tc>
          <w:tcPr>
            <w:tcW w:w="1272" w:type="dxa"/>
            <w:shd w:val="clear" w:color="auto" w:fill="auto"/>
            <w:vAlign w:val="center"/>
          </w:tcPr>
          <w:p w14:paraId="00000174" w14:textId="77777777" w:rsidR="00083006" w:rsidRPr="00CC0F64" w:rsidRDefault="0080383E">
            <w:pPr>
              <w:spacing w:line="240" w:lineRule="auto"/>
              <w:jc w:val="center"/>
              <w:rPr>
                <w:sz w:val="20"/>
                <w:szCs w:val="20"/>
              </w:rPr>
            </w:pPr>
            <w:r w:rsidRPr="00CC0F64">
              <w:rPr>
                <w:sz w:val="20"/>
                <w:szCs w:val="20"/>
              </w:rPr>
              <w:t>(0.085)</w:t>
            </w:r>
          </w:p>
        </w:tc>
        <w:tc>
          <w:tcPr>
            <w:tcW w:w="1090" w:type="dxa"/>
            <w:shd w:val="clear" w:color="auto" w:fill="auto"/>
            <w:vAlign w:val="center"/>
          </w:tcPr>
          <w:p w14:paraId="00000175" w14:textId="77777777" w:rsidR="00083006" w:rsidRPr="00CC0F64" w:rsidRDefault="0080383E">
            <w:pPr>
              <w:spacing w:line="240" w:lineRule="auto"/>
              <w:jc w:val="center"/>
              <w:rPr>
                <w:sz w:val="20"/>
                <w:szCs w:val="20"/>
              </w:rPr>
            </w:pPr>
            <w:r w:rsidRPr="00CC0F64">
              <w:rPr>
                <w:sz w:val="20"/>
                <w:szCs w:val="20"/>
              </w:rPr>
              <w:t>(8.442)</w:t>
            </w:r>
          </w:p>
        </w:tc>
        <w:tc>
          <w:tcPr>
            <w:tcW w:w="1494" w:type="dxa"/>
            <w:shd w:val="clear" w:color="auto" w:fill="auto"/>
            <w:vAlign w:val="center"/>
          </w:tcPr>
          <w:p w14:paraId="00000176" w14:textId="77777777" w:rsidR="00083006" w:rsidRPr="00CC0F64" w:rsidRDefault="0080383E">
            <w:pPr>
              <w:spacing w:line="240" w:lineRule="auto"/>
              <w:jc w:val="center"/>
              <w:rPr>
                <w:sz w:val="20"/>
                <w:szCs w:val="20"/>
              </w:rPr>
            </w:pPr>
            <w:r w:rsidRPr="00CC0F64">
              <w:rPr>
                <w:sz w:val="20"/>
                <w:szCs w:val="20"/>
              </w:rPr>
              <w:t>(2.306)</w:t>
            </w:r>
          </w:p>
        </w:tc>
        <w:tc>
          <w:tcPr>
            <w:tcW w:w="1211" w:type="dxa"/>
            <w:shd w:val="clear" w:color="auto" w:fill="auto"/>
            <w:vAlign w:val="center"/>
          </w:tcPr>
          <w:p w14:paraId="00000177" w14:textId="77777777" w:rsidR="00083006" w:rsidRPr="00CC0F64" w:rsidRDefault="0080383E">
            <w:pPr>
              <w:spacing w:line="240" w:lineRule="auto"/>
              <w:jc w:val="center"/>
              <w:rPr>
                <w:sz w:val="20"/>
                <w:szCs w:val="20"/>
              </w:rPr>
            </w:pPr>
            <w:r w:rsidRPr="00CC0F64">
              <w:rPr>
                <w:sz w:val="20"/>
                <w:szCs w:val="20"/>
              </w:rPr>
              <w:t>(3.330)</w:t>
            </w:r>
          </w:p>
        </w:tc>
      </w:tr>
      <w:tr w:rsidR="007E3981" w:rsidRPr="00CC0F64" w14:paraId="0921675D" w14:textId="77777777">
        <w:trPr>
          <w:trHeight w:val="240"/>
          <w:jc w:val="center"/>
        </w:trPr>
        <w:tc>
          <w:tcPr>
            <w:tcW w:w="2824" w:type="dxa"/>
            <w:shd w:val="clear" w:color="auto" w:fill="auto"/>
            <w:vAlign w:val="center"/>
          </w:tcPr>
          <w:p w14:paraId="00000178" w14:textId="77777777" w:rsidR="00083006" w:rsidRPr="00CC0F64" w:rsidRDefault="0080383E">
            <w:pPr>
              <w:spacing w:line="240" w:lineRule="auto"/>
              <w:rPr>
                <w:sz w:val="20"/>
                <w:szCs w:val="20"/>
              </w:rPr>
            </w:pPr>
            <w:r w:rsidRPr="00CC0F64">
              <w:rPr>
                <w:sz w:val="20"/>
                <w:szCs w:val="20"/>
              </w:rPr>
              <w:t xml:space="preserve">Trade Balance.l1 </w:t>
            </w:r>
          </w:p>
        </w:tc>
        <w:tc>
          <w:tcPr>
            <w:tcW w:w="1109" w:type="dxa"/>
            <w:shd w:val="clear" w:color="auto" w:fill="auto"/>
            <w:vAlign w:val="center"/>
          </w:tcPr>
          <w:p w14:paraId="00000179" w14:textId="77777777" w:rsidR="00083006" w:rsidRPr="00CC0F64" w:rsidRDefault="0080383E">
            <w:pPr>
              <w:spacing w:line="240" w:lineRule="auto"/>
              <w:jc w:val="center"/>
              <w:rPr>
                <w:sz w:val="20"/>
                <w:szCs w:val="20"/>
              </w:rPr>
            </w:pPr>
            <w:r w:rsidRPr="00CC0F64">
              <w:rPr>
                <w:sz w:val="20"/>
                <w:szCs w:val="20"/>
              </w:rPr>
              <w:t>0.056</w:t>
            </w:r>
          </w:p>
        </w:tc>
        <w:tc>
          <w:tcPr>
            <w:tcW w:w="1272" w:type="dxa"/>
            <w:shd w:val="clear" w:color="auto" w:fill="auto"/>
            <w:vAlign w:val="center"/>
          </w:tcPr>
          <w:p w14:paraId="0000017A" w14:textId="77777777" w:rsidR="00083006" w:rsidRPr="00CC0F64" w:rsidRDefault="0080383E">
            <w:pPr>
              <w:spacing w:line="240" w:lineRule="auto"/>
              <w:jc w:val="center"/>
              <w:rPr>
                <w:sz w:val="20"/>
                <w:szCs w:val="20"/>
              </w:rPr>
            </w:pPr>
            <w:r w:rsidRPr="00CC0F64">
              <w:rPr>
                <w:sz w:val="20"/>
                <w:szCs w:val="20"/>
              </w:rPr>
              <w:t>-0.003***</w:t>
            </w:r>
          </w:p>
        </w:tc>
        <w:tc>
          <w:tcPr>
            <w:tcW w:w="1090" w:type="dxa"/>
            <w:shd w:val="clear" w:color="auto" w:fill="auto"/>
            <w:vAlign w:val="center"/>
          </w:tcPr>
          <w:p w14:paraId="0000017B" w14:textId="77777777" w:rsidR="00083006" w:rsidRPr="00CC0F64" w:rsidRDefault="0080383E">
            <w:pPr>
              <w:spacing w:line="240" w:lineRule="auto"/>
              <w:jc w:val="center"/>
              <w:rPr>
                <w:sz w:val="20"/>
                <w:szCs w:val="20"/>
              </w:rPr>
            </w:pPr>
            <w:r w:rsidRPr="00CC0F64">
              <w:rPr>
                <w:sz w:val="20"/>
                <w:szCs w:val="20"/>
              </w:rPr>
              <w:t xml:space="preserve">0.325*** </w:t>
            </w:r>
          </w:p>
        </w:tc>
        <w:tc>
          <w:tcPr>
            <w:tcW w:w="1494" w:type="dxa"/>
            <w:shd w:val="clear" w:color="auto" w:fill="auto"/>
            <w:vAlign w:val="center"/>
          </w:tcPr>
          <w:p w14:paraId="0000017C" w14:textId="77777777" w:rsidR="00083006" w:rsidRPr="00CC0F64" w:rsidRDefault="0080383E">
            <w:pPr>
              <w:spacing w:line="240" w:lineRule="auto"/>
              <w:jc w:val="center"/>
              <w:rPr>
                <w:sz w:val="20"/>
                <w:szCs w:val="20"/>
              </w:rPr>
            </w:pPr>
            <w:r w:rsidRPr="00CC0F64">
              <w:rPr>
                <w:sz w:val="20"/>
                <w:szCs w:val="20"/>
              </w:rPr>
              <w:t>0.009</w:t>
            </w:r>
          </w:p>
        </w:tc>
        <w:tc>
          <w:tcPr>
            <w:tcW w:w="1211" w:type="dxa"/>
            <w:shd w:val="clear" w:color="auto" w:fill="auto"/>
            <w:vAlign w:val="center"/>
          </w:tcPr>
          <w:p w14:paraId="0000017D" w14:textId="77777777" w:rsidR="00083006" w:rsidRPr="00CC0F64" w:rsidRDefault="0080383E">
            <w:pPr>
              <w:spacing w:line="240" w:lineRule="auto"/>
              <w:jc w:val="center"/>
              <w:rPr>
                <w:sz w:val="20"/>
                <w:szCs w:val="20"/>
              </w:rPr>
            </w:pPr>
            <w:r w:rsidRPr="00CC0F64">
              <w:rPr>
                <w:sz w:val="20"/>
                <w:szCs w:val="20"/>
              </w:rPr>
              <w:t>-0.019</w:t>
            </w:r>
          </w:p>
        </w:tc>
      </w:tr>
      <w:tr w:rsidR="007E3981" w:rsidRPr="00CC0F64" w14:paraId="6187153A" w14:textId="77777777">
        <w:trPr>
          <w:trHeight w:val="240"/>
          <w:jc w:val="center"/>
        </w:trPr>
        <w:tc>
          <w:tcPr>
            <w:tcW w:w="2824" w:type="dxa"/>
            <w:shd w:val="clear" w:color="auto" w:fill="auto"/>
            <w:vAlign w:val="center"/>
          </w:tcPr>
          <w:p w14:paraId="0000017E" w14:textId="77777777" w:rsidR="00083006" w:rsidRPr="00CC0F64" w:rsidRDefault="0080383E">
            <w:pPr>
              <w:spacing w:line="240" w:lineRule="auto"/>
              <w:rPr>
                <w:sz w:val="20"/>
                <w:szCs w:val="20"/>
              </w:rPr>
            </w:pPr>
            <w:r w:rsidRPr="00CC0F64">
              <w:rPr>
                <w:sz w:val="20"/>
                <w:szCs w:val="20"/>
              </w:rPr>
              <w:t> </w:t>
            </w:r>
          </w:p>
        </w:tc>
        <w:tc>
          <w:tcPr>
            <w:tcW w:w="1109" w:type="dxa"/>
            <w:shd w:val="clear" w:color="auto" w:fill="auto"/>
            <w:vAlign w:val="center"/>
          </w:tcPr>
          <w:p w14:paraId="0000017F" w14:textId="77777777" w:rsidR="00083006" w:rsidRPr="00CC0F64" w:rsidRDefault="0080383E">
            <w:pPr>
              <w:spacing w:line="240" w:lineRule="auto"/>
              <w:jc w:val="center"/>
              <w:rPr>
                <w:sz w:val="20"/>
                <w:szCs w:val="20"/>
              </w:rPr>
            </w:pPr>
            <w:r w:rsidRPr="00CC0F64">
              <w:rPr>
                <w:sz w:val="20"/>
                <w:szCs w:val="20"/>
              </w:rPr>
              <w:t>(0.036)</w:t>
            </w:r>
          </w:p>
        </w:tc>
        <w:tc>
          <w:tcPr>
            <w:tcW w:w="1272" w:type="dxa"/>
            <w:shd w:val="clear" w:color="auto" w:fill="auto"/>
            <w:vAlign w:val="center"/>
          </w:tcPr>
          <w:p w14:paraId="00000180" w14:textId="77777777" w:rsidR="00083006" w:rsidRPr="00CC0F64" w:rsidRDefault="0080383E">
            <w:pPr>
              <w:spacing w:line="240" w:lineRule="auto"/>
              <w:jc w:val="center"/>
              <w:rPr>
                <w:sz w:val="20"/>
                <w:szCs w:val="20"/>
              </w:rPr>
            </w:pPr>
            <w:r w:rsidRPr="00CC0F64">
              <w:rPr>
                <w:sz w:val="20"/>
                <w:szCs w:val="20"/>
              </w:rPr>
              <w:t>(0.001)</w:t>
            </w:r>
          </w:p>
        </w:tc>
        <w:tc>
          <w:tcPr>
            <w:tcW w:w="1090" w:type="dxa"/>
            <w:shd w:val="clear" w:color="auto" w:fill="auto"/>
            <w:vAlign w:val="center"/>
          </w:tcPr>
          <w:p w14:paraId="00000181" w14:textId="77777777" w:rsidR="00083006" w:rsidRPr="00CC0F64" w:rsidRDefault="0080383E">
            <w:pPr>
              <w:spacing w:line="240" w:lineRule="auto"/>
              <w:jc w:val="center"/>
              <w:rPr>
                <w:sz w:val="20"/>
                <w:szCs w:val="20"/>
              </w:rPr>
            </w:pPr>
            <w:r w:rsidRPr="00CC0F64">
              <w:rPr>
                <w:sz w:val="20"/>
                <w:szCs w:val="20"/>
              </w:rPr>
              <w:t>(0.082)</w:t>
            </w:r>
          </w:p>
        </w:tc>
        <w:tc>
          <w:tcPr>
            <w:tcW w:w="1494" w:type="dxa"/>
            <w:shd w:val="clear" w:color="auto" w:fill="auto"/>
            <w:vAlign w:val="center"/>
          </w:tcPr>
          <w:p w14:paraId="00000182" w14:textId="77777777" w:rsidR="00083006" w:rsidRPr="00CC0F64" w:rsidRDefault="0080383E">
            <w:pPr>
              <w:spacing w:line="240" w:lineRule="auto"/>
              <w:jc w:val="center"/>
              <w:rPr>
                <w:sz w:val="20"/>
                <w:szCs w:val="20"/>
              </w:rPr>
            </w:pPr>
            <w:r w:rsidRPr="00CC0F64">
              <w:rPr>
                <w:sz w:val="20"/>
                <w:szCs w:val="20"/>
              </w:rPr>
              <w:t>(0.023)</w:t>
            </w:r>
          </w:p>
        </w:tc>
        <w:tc>
          <w:tcPr>
            <w:tcW w:w="1211" w:type="dxa"/>
            <w:shd w:val="clear" w:color="auto" w:fill="auto"/>
            <w:vAlign w:val="center"/>
          </w:tcPr>
          <w:p w14:paraId="00000183" w14:textId="77777777" w:rsidR="00083006" w:rsidRPr="00CC0F64" w:rsidRDefault="0080383E">
            <w:pPr>
              <w:spacing w:line="240" w:lineRule="auto"/>
              <w:jc w:val="center"/>
              <w:rPr>
                <w:sz w:val="20"/>
                <w:szCs w:val="20"/>
              </w:rPr>
            </w:pPr>
            <w:r w:rsidRPr="00CC0F64">
              <w:rPr>
                <w:sz w:val="20"/>
                <w:szCs w:val="20"/>
              </w:rPr>
              <w:t>(0.033)</w:t>
            </w:r>
          </w:p>
        </w:tc>
      </w:tr>
      <w:tr w:rsidR="007E3981" w:rsidRPr="00CC0F64" w14:paraId="164645FD" w14:textId="77777777">
        <w:trPr>
          <w:trHeight w:val="240"/>
          <w:jc w:val="center"/>
        </w:trPr>
        <w:tc>
          <w:tcPr>
            <w:tcW w:w="2824" w:type="dxa"/>
            <w:shd w:val="clear" w:color="auto" w:fill="auto"/>
            <w:vAlign w:val="center"/>
          </w:tcPr>
          <w:p w14:paraId="00000184" w14:textId="77777777" w:rsidR="00083006" w:rsidRPr="00CC0F64" w:rsidRDefault="0080383E">
            <w:pPr>
              <w:spacing w:line="240" w:lineRule="auto"/>
              <w:rPr>
                <w:sz w:val="20"/>
                <w:szCs w:val="20"/>
              </w:rPr>
            </w:pPr>
            <w:r w:rsidRPr="00CC0F64">
              <w:rPr>
                <w:sz w:val="20"/>
                <w:szCs w:val="20"/>
              </w:rPr>
              <w:t xml:space="preserve">Unemployment.l1 </w:t>
            </w:r>
          </w:p>
        </w:tc>
        <w:tc>
          <w:tcPr>
            <w:tcW w:w="1109" w:type="dxa"/>
            <w:shd w:val="clear" w:color="auto" w:fill="auto"/>
            <w:vAlign w:val="center"/>
          </w:tcPr>
          <w:p w14:paraId="00000185" w14:textId="77777777" w:rsidR="00083006" w:rsidRPr="00CC0F64" w:rsidRDefault="0080383E">
            <w:pPr>
              <w:spacing w:line="240" w:lineRule="auto"/>
              <w:jc w:val="center"/>
              <w:rPr>
                <w:sz w:val="20"/>
                <w:szCs w:val="20"/>
              </w:rPr>
            </w:pPr>
            <w:r w:rsidRPr="00CC0F64">
              <w:rPr>
                <w:sz w:val="20"/>
                <w:szCs w:val="20"/>
              </w:rPr>
              <w:t>-0.039</w:t>
            </w:r>
          </w:p>
        </w:tc>
        <w:tc>
          <w:tcPr>
            <w:tcW w:w="1272" w:type="dxa"/>
            <w:shd w:val="clear" w:color="auto" w:fill="auto"/>
            <w:vAlign w:val="center"/>
          </w:tcPr>
          <w:p w14:paraId="00000186" w14:textId="77777777" w:rsidR="00083006" w:rsidRPr="00CC0F64" w:rsidRDefault="0080383E">
            <w:pPr>
              <w:spacing w:line="240" w:lineRule="auto"/>
              <w:jc w:val="center"/>
              <w:rPr>
                <w:sz w:val="20"/>
                <w:szCs w:val="20"/>
              </w:rPr>
            </w:pPr>
            <w:r w:rsidRPr="00CC0F64">
              <w:rPr>
                <w:sz w:val="20"/>
                <w:szCs w:val="20"/>
              </w:rPr>
              <w:t>0.004</w:t>
            </w:r>
          </w:p>
        </w:tc>
        <w:tc>
          <w:tcPr>
            <w:tcW w:w="1090" w:type="dxa"/>
            <w:shd w:val="clear" w:color="auto" w:fill="auto"/>
            <w:vAlign w:val="center"/>
          </w:tcPr>
          <w:p w14:paraId="00000187" w14:textId="77777777" w:rsidR="00083006" w:rsidRPr="00CC0F64" w:rsidRDefault="0080383E">
            <w:pPr>
              <w:spacing w:line="240" w:lineRule="auto"/>
              <w:jc w:val="center"/>
              <w:rPr>
                <w:sz w:val="20"/>
                <w:szCs w:val="20"/>
              </w:rPr>
            </w:pPr>
            <w:r w:rsidRPr="00CC0F64">
              <w:rPr>
                <w:sz w:val="20"/>
                <w:szCs w:val="20"/>
              </w:rPr>
              <w:t>-0.089</w:t>
            </w:r>
          </w:p>
        </w:tc>
        <w:tc>
          <w:tcPr>
            <w:tcW w:w="1494" w:type="dxa"/>
            <w:shd w:val="clear" w:color="auto" w:fill="auto"/>
            <w:vAlign w:val="center"/>
          </w:tcPr>
          <w:p w14:paraId="00000188" w14:textId="77777777" w:rsidR="00083006" w:rsidRPr="00CC0F64" w:rsidRDefault="0080383E">
            <w:pPr>
              <w:spacing w:line="240" w:lineRule="auto"/>
              <w:jc w:val="center"/>
              <w:rPr>
                <w:sz w:val="20"/>
                <w:szCs w:val="20"/>
              </w:rPr>
            </w:pPr>
            <w:r w:rsidRPr="00CC0F64">
              <w:rPr>
                <w:sz w:val="20"/>
                <w:szCs w:val="20"/>
              </w:rPr>
              <w:t>1.297***</w:t>
            </w:r>
          </w:p>
        </w:tc>
        <w:tc>
          <w:tcPr>
            <w:tcW w:w="1211" w:type="dxa"/>
            <w:shd w:val="clear" w:color="auto" w:fill="auto"/>
            <w:vAlign w:val="center"/>
          </w:tcPr>
          <w:p w14:paraId="00000189" w14:textId="77777777" w:rsidR="00083006" w:rsidRPr="00CC0F64" w:rsidRDefault="0080383E">
            <w:pPr>
              <w:spacing w:line="240" w:lineRule="auto"/>
              <w:jc w:val="center"/>
              <w:rPr>
                <w:sz w:val="20"/>
                <w:szCs w:val="20"/>
              </w:rPr>
            </w:pPr>
            <w:r w:rsidRPr="00CC0F64">
              <w:rPr>
                <w:sz w:val="20"/>
                <w:szCs w:val="20"/>
              </w:rPr>
              <w:t>0.021</w:t>
            </w:r>
          </w:p>
        </w:tc>
      </w:tr>
      <w:tr w:rsidR="007E3981" w:rsidRPr="00CC0F64" w14:paraId="20F7AE50" w14:textId="77777777">
        <w:trPr>
          <w:trHeight w:val="240"/>
          <w:jc w:val="center"/>
        </w:trPr>
        <w:tc>
          <w:tcPr>
            <w:tcW w:w="2824" w:type="dxa"/>
            <w:shd w:val="clear" w:color="auto" w:fill="auto"/>
            <w:vAlign w:val="center"/>
          </w:tcPr>
          <w:p w14:paraId="0000018A" w14:textId="77777777" w:rsidR="00083006" w:rsidRPr="00CC0F64" w:rsidRDefault="0080383E">
            <w:pPr>
              <w:spacing w:line="240" w:lineRule="auto"/>
              <w:rPr>
                <w:sz w:val="20"/>
                <w:szCs w:val="20"/>
              </w:rPr>
            </w:pPr>
            <w:r w:rsidRPr="00CC0F64">
              <w:rPr>
                <w:sz w:val="20"/>
                <w:szCs w:val="20"/>
              </w:rPr>
              <w:t> </w:t>
            </w:r>
          </w:p>
        </w:tc>
        <w:tc>
          <w:tcPr>
            <w:tcW w:w="1109" w:type="dxa"/>
            <w:shd w:val="clear" w:color="auto" w:fill="auto"/>
            <w:vAlign w:val="center"/>
          </w:tcPr>
          <w:p w14:paraId="0000018B" w14:textId="77777777" w:rsidR="00083006" w:rsidRPr="00CC0F64" w:rsidRDefault="0080383E">
            <w:pPr>
              <w:spacing w:line="240" w:lineRule="auto"/>
              <w:jc w:val="center"/>
              <w:rPr>
                <w:sz w:val="20"/>
                <w:szCs w:val="20"/>
              </w:rPr>
            </w:pPr>
            <w:r w:rsidRPr="00CC0F64">
              <w:rPr>
                <w:sz w:val="20"/>
                <w:szCs w:val="20"/>
              </w:rPr>
              <w:t>(0.130)</w:t>
            </w:r>
          </w:p>
        </w:tc>
        <w:tc>
          <w:tcPr>
            <w:tcW w:w="1272" w:type="dxa"/>
            <w:shd w:val="clear" w:color="auto" w:fill="auto"/>
            <w:vAlign w:val="center"/>
          </w:tcPr>
          <w:p w14:paraId="0000018C" w14:textId="77777777" w:rsidR="00083006" w:rsidRPr="00CC0F64" w:rsidRDefault="0080383E">
            <w:pPr>
              <w:spacing w:line="240" w:lineRule="auto"/>
              <w:jc w:val="center"/>
              <w:rPr>
                <w:sz w:val="20"/>
                <w:szCs w:val="20"/>
              </w:rPr>
            </w:pPr>
            <w:r w:rsidRPr="00CC0F64">
              <w:rPr>
                <w:sz w:val="20"/>
                <w:szCs w:val="20"/>
              </w:rPr>
              <w:t xml:space="preserve">(0.003) </w:t>
            </w:r>
          </w:p>
        </w:tc>
        <w:tc>
          <w:tcPr>
            <w:tcW w:w="1090" w:type="dxa"/>
            <w:shd w:val="clear" w:color="auto" w:fill="auto"/>
            <w:vAlign w:val="center"/>
          </w:tcPr>
          <w:p w14:paraId="0000018D" w14:textId="77777777" w:rsidR="00083006" w:rsidRPr="00CC0F64" w:rsidRDefault="0080383E">
            <w:pPr>
              <w:spacing w:line="240" w:lineRule="auto"/>
              <w:jc w:val="center"/>
              <w:rPr>
                <w:sz w:val="20"/>
                <w:szCs w:val="20"/>
              </w:rPr>
            </w:pPr>
            <w:r w:rsidRPr="00CC0F64">
              <w:rPr>
                <w:sz w:val="20"/>
                <w:szCs w:val="20"/>
              </w:rPr>
              <w:t>(0.297)</w:t>
            </w:r>
          </w:p>
        </w:tc>
        <w:tc>
          <w:tcPr>
            <w:tcW w:w="1494" w:type="dxa"/>
            <w:shd w:val="clear" w:color="auto" w:fill="auto"/>
            <w:vAlign w:val="center"/>
          </w:tcPr>
          <w:p w14:paraId="0000018E" w14:textId="77777777" w:rsidR="00083006" w:rsidRPr="00CC0F64" w:rsidRDefault="0080383E">
            <w:pPr>
              <w:spacing w:line="240" w:lineRule="auto"/>
              <w:jc w:val="center"/>
              <w:rPr>
                <w:sz w:val="20"/>
                <w:szCs w:val="20"/>
              </w:rPr>
            </w:pPr>
            <w:r w:rsidRPr="00CC0F64">
              <w:rPr>
                <w:sz w:val="20"/>
                <w:szCs w:val="20"/>
              </w:rPr>
              <w:t>(0.081)</w:t>
            </w:r>
          </w:p>
        </w:tc>
        <w:tc>
          <w:tcPr>
            <w:tcW w:w="1211" w:type="dxa"/>
            <w:shd w:val="clear" w:color="auto" w:fill="auto"/>
            <w:vAlign w:val="center"/>
          </w:tcPr>
          <w:p w14:paraId="0000018F" w14:textId="77777777" w:rsidR="00083006" w:rsidRPr="00CC0F64" w:rsidRDefault="0080383E">
            <w:pPr>
              <w:spacing w:line="240" w:lineRule="auto"/>
              <w:jc w:val="center"/>
              <w:rPr>
                <w:sz w:val="20"/>
                <w:szCs w:val="20"/>
              </w:rPr>
            </w:pPr>
            <w:r w:rsidRPr="00CC0F64">
              <w:rPr>
                <w:sz w:val="20"/>
                <w:szCs w:val="20"/>
              </w:rPr>
              <w:t>(0.117)</w:t>
            </w:r>
          </w:p>
        </w:tc>
      </w:tr>
      <w:tr w:rsidR="007E3981" w:rsidRPr="00CC0F64" w14:paraId="58E6FDC4" w14:textId="77777777">
        <w:trPr>
          <w:trHeight w:val="240"/>
          <w:jc w:val="center"/>
        </w:trPr>
        <w:tc>
          <w:tcPr>
            <w:tcW w:w="2824" w:type="dxa"/>
            <w:shd w:val="clear" w:color="auto" w:fill="auto"/>
            <w:vAlign w:val="center"/>
          </w:tcPr>
          <w:p w14:paraId="00000190" w14:textId="77777777" w:rsidR="00083006" w:rsidRPr="00CC0F64" w:rsidRDefault="0080383E">
            <w:pPr>
              <w:spacing w:line="240" w:lineRule="auto"/>
              <w:rPr>
                <w:sz w:val="20"/>
                <w:szCs w:val="20"/>
              </w:rPr>
            </w:pPr>
            <w:r w:rsidRPr="00CC0F64">
              <w:rPr>
                <w:sz w:val="20"/>
                <w:szCs w:val="20"/>
              </w:rPr>
              <w:t>Brent Crude Oil.l1</w:t>
            </w:r>
          </w:p>
        </w:tc>
        <w:tc>
          <w:tcPr>
            <w:tcW w:w="1109" w:type="dxa"/>
            <w:shd w:val="clear" w:color="auto" w:fill="auto"/>
            <w:vAlign w:val="center"/>
          </w:tcPr>
          <w:p w14:paraId="00000191" w14:textId="77777777" w:rsidR="00083006" w:rsidRPr="00CC0F64" w:rsidRDefault="0080383E">
            <w:pPr>
              <w:spacing w:line="240" w:lineRule="auto"/>
              <w:jc w:val="center"/>
              <w:rPr>
                <w:sz w:val="20"/>
                <w:szCs w:val="20"/>
              </w:rPr>
            </w:pPr>
            <w:r w:rsidRPr="00CC0F64">
              <w:rPr>
                <w:sz w:val="20"/>
                <w:szCs w:val="20"/>
              </w:rPr>
              <w:t>1.411***</w:t>
            </w:r>
          </w:p>
        </w:tc>
        <w:tc>
          <w:tcPr>
            <w:tcW w:w="1272" w:type="dxa"/>
            <w:shd w:val="clear" w:color="auto" w:fill="auto"/>
            <w:vAlign w:val="center"/>
          </w:tcPr>
          <w:p w14:paraId="00000192" w14:textId="77777777" w:rsidR="00083006" w:rsidRPr="00CC0F64" w:rsidRDefault="0080383E">
            <w:pPr>
              <w:spacing w:line="240" w:lineRule="auto"/>
              <w:jc w:val="center"/>
              <w:rPr>
                <w:sz w:val="20"/>
                <w:szCs w:val="20"/>
              </w:rPr>
            </w:pPr>
            <w:r w:rsidRPr="00CC0F64">
              <w:rPr>
                <w:sz w:val="20"/>
                <w:szCs w:val="20"/>
              </w:rPr>
              <w:t xml:space="preserve"> 0.006***</w:t>
            </w:r>
          </w:p>
        </w:tc>
        <w:tc>
          <w:tcPr>
            <w:tcW w:w="1090" w:type="dxa"/>
            <w:shd w:val="clear" w:color="auto" w:fill="auto"/>
            <w:vAlign w:val="center"/>
          </w:tcPr>
          <w:p w14:paraId="00000193" w14:textId="77777777" w:rsidR="00083006" w:rsidRPr="00CC0F64" w:rsidRDefault="0080383E">
            <w:pPr>
              <w:spacing w:line="240" w:lineRule="auto"/>
              <w:jc w:val="center"/>
              <w:rPr>
                <w:sz w:val="20"/>
                <w:szCs w:val="20"/>
              </w:rPr>
            </w:pPr>
            <w:r w:rsidRPr="00CC0F64">
              <w:rPr>
                <w:sz w:val="20"/>
                <w:szCs w:val="20"/>
              </w:rPr>
              <w:t>-0.355</w:t>
            </w:r>
          </w:p>
        </w:tc>
        <w:tc>
          <w:tcPr>
            <w:tcW w:w="1494" w:type="dxa"/>
            <w:shd w:val="clear" w:color="auto" w:fill="auto"/>
            <w:vAlign w:val="center"/>
          </w:tcPr>
          <w:p w14:paraId="00000194" w14:textId="77777777" w:rsidR="00083006" w:rsidRPr="00CC0F64" w:rsidRDefault="0080383E">
            <w:pPr>
              <w:spacing w:line="240" w:lineRule="auto"/>
              <w:jc w:val="center"/>
              <w:rPr>
                <w:sz w:val="20"/>
                <w:szCs w:val="20"/>
              </w:rPr>
            </w:pPr>
            <w:r w:rsidRPr="00CC0F64">
              <w:rPr>
                <w:sz w:val="20"/>
                <w:szCs w:val="20"/>
              </w:rPr>
              <w:t>0.024</w:t>
            </w:r>
          </w:p>
        </w:tc>
        <w:tc>
          <w:tcPr>
            <w:tcW w:w="1211" w:type="dxa"/>
            <w:shd w:val="clear" w:color="auto" w:fill="auto"/>
            <w:vAlign w:val="center"/>
          </w:tcPr>
          <w:p w14:paraId="00000195" w14:textId="77777777" w:rsidR="00083006" w:rsidRPr="00CC0F64" w:rsidRDefault="0080383E">
            <w:pPr>
              <w:spacing w:line="240" w:lineRule="auto"/>
              <w:jc w:val="center"/>
              <w:rPr>
                <w:sz w:val="20"/>
                <w:szCs w:val="20"/>
              </w:rPr>
            </w:pPr>
            <w:r w:rsidRPr="00CC0F64">
              <w:rPr>
                <w:sz w:val="20"/>
                <w:szCs w:val="20"/>
              </w:rPr>
              <w:t xml:space="preserve">1.018*** </w:t>
            </w:r>
          </w:p>
        </w:tc>
      </w:tr>
      <w:tr w:rsidR="007E3981" w:rsidRPr="00CC0F64" w14:paraId="30A225B7" w14:textId="77777777">
        <w:trPr>
          <w:trHeight w:val="240"/>
          <w:jc w:val="center"/>
        </w:trPr>
        <w:tc>
          <w:tcPr>
            <w:tcW w:w="2824" w:type="dxa"/>
            <w:shd w:val="clear" w:color="auto" w:fill="auto"/>
            <w:vAlign w:val="center"/>
          </w:tcPr>
          <w:p w14:paraId="00000196" w14:textId="77777777" w:rsidR="00083006" w:rsidRPr="00CC0F64" w:rsidRDefault="0080383E">
            <w:pPr>
              <w:spacing w:line="240" w:lineRule="auto"/>
              <w:rPr>
                <w:sz w:val="20"/>
                <w:szCs w:val="20"/>
              </w:rPr>
            </w:pPr>
            <w:r w:rsidRPr="00CC0F64">
              <w:rPr>
                <w:sz w:val="20"/>
                <w:szCs w:val="20"/>
              </w:rPr>
              <w:t> </w:t>
            </w:r>
          </w:p>
        </w:tc>
        <w:tc>
          <w:tcPr>
            <w:tcW w:w="1109" w:type="dxa"/>
            <w:shd w:val="clear" w:color="auto" w:fill="auto"/>
            <w:vAlign w:val="center"/>
          </w:tcPr>
          <w:p w14:paraId="00000197" w14:textId="77777777" w:rsidR="00083006" w:rsidRPr="00CC0F64" w:rsidRDefault="0080383E">
            <w:pPr>
              <w:spacing w:line="240" w:lineRule="auto"/>
              <w:jc w:val="center"/>
              <w:rPr>
                <w:sz w:val="20"/>
                <w:szCs w:val="20"/>
              </w:rPr>
            </w:pPr>
            <w:r w:rsidRPr="00CC0F64">
              <w:rPr>
                <w:sz w:val="20"/>
                <w:szCs w:val="20"/>
              </w:rPr>
              <w:t>(0.095)</w:t>
            </w:r>
          </w:p>
        </w:tc>
        <w:tc>
          <w:tcPr>
            <w:tcW w:w="1272" w:type="dxa"/>
            <w:shd w:val="clear" w:color="auto" w:fill="auto"/>
            <w:vAlign w:val="center"/>
          </w:tcPr>
          <w:p w14:paraId="00000198" w14:textId="77777777" w:rsidR="00083006" w:rsidRPr="00CC0F64" w:rsidRDefault="0080383E">
            <w:pPr>
              <w:spacing w:line="240" w:lineRule="auto"/>
              <w:jc w:val="center"/>
              <w:rPr>
                <w:sz w:val="20"/>
                <w:szCs w:val="20"/>
              </w:rPr>
            </w:pPr>
            <w:r w:rsidRPr="00CC0F64">
              <w:rPr>
                <w:sz w:val="20"/>
                <w:szCs w:val="20"/>
              </w:rPr>
              <w:t>(0.002)</w:t>
            </w:r>
          </w:p>
        </w:tc>
        <w:tc>
          <w:tcPr>
            <w:tcW w:w="1090" w:type="dxa"/>
            <w:shd w:val="clear" w:color="auto" w:fill="auto"/>
            <w:vAlign w:val="center"/>
          </w:tcPr>
          <w:p w14:paraId="00000199" w14:textId="77777777" w:rsidR="00083006" w:rsidRPr="00CC0F64" w:rsidRDefault="0080383E">
            <w:pPr>
              <w:spacing w:line="240" w:lineRule="auto"/>
              <w:jc w:val="center"/>
              <w:rPr>
                <w:sz w:val="20"/>
                <w:szCs w:val="20"/>
              </w:rPr>
            </w:pPr>
            <w:r w:rsidRPr="00CC0F64">
              <w:rPr>
                <w:sz w:val="20"/>
                <w:szCs w:val="20"/>
              </w:rPr>
              <w:t>(0.216)</w:t>
            </w:r>
          </w:p>
        </w:tc>
        <w:tc>
          <w:tcPr>
            <w:tcW w:w="1494" w:type="dxa"/>
            <w:shd w:val="clear" w:color="auto" w:fill="auto"/>
            <w:vAlign w:val="center"/>
          </w:tcPr>
          <w:p w14:paraId="0000019A" w14:textId="77777777" w:rsidR="00083006" w:rsidRPr="00CC0F64" w:rsidRDefault="0080383E">
            <w:pPr>
              <w:spacing w:line="240" w:lineRule="auto"/>
              <w:jc w:val="center"/>
              <w:rPr>
                <w:sz w:val="20"/>
                <w:szCs w:val="20"/>
              </w:rPr>
            </w:pPr>
            <w:r w:rsidRPr="00CC0F64">
              <w:rPr>
                <w:sz w:val="20"/>
                <w:szCs w:val="20"/>
              </w:rPr>
              <w:t>(0.059)</w:t>
            </w:r>
          </w:p>
        </w:tc>
        <w:tc>
          <w:tcPr>
            <w:tcW w:w="1211" w:type="dxa"/>
            <w:shd w:val="clear" w:color="auto" w:fill="auto"/>
            <w:vAlign w:val="center"/>
          </w:tcPr>
          <w:p w14:paraId="0000019B" w14:textId="77777777" w:rsidR="00083006" w:rsidRPr="00CC0F64" w:rsidRDefault="0080383E">
            <w:pPr>
              <w:spacing w:line="240" w:lineRule="auto"/>
              <w:jc w:val="center"/>
              <w:rPr>
                <w:sz w:val="20"/>
                <w:szCs w:val="20"/>
              </w:rPr>
            </w:pPr>
            <w:r w:rsidRPr="00CC0F64">
              <w:rPr>
                <w:sz w:val="20"/>
                <w:szCs w:val="20"/>
              </w:rPr>
              <w:t>(0.085)</w:t>
            </w:r>
          </w:p>
        </w:tc>
      </w:tr>
      <w:tr w:rsidR="007E3981" w:rsidRPr="00CC0F64" w14:paraId="578DAB54" w14:textId="77777777">
        <w:trPr>
          <w:trHeight w:val="240"/>
          <w:jc w:val="center"/>
        </w:trPr>
        <w:tc>
          <w:tcPr>
            <w:tcW w:w="2824" w:type="dxa"/>
            <w:shd w:val="clear" w:color="auto" w:fill="auto"/>
            <w:vAlign w:val="center"/>
          </w:tcPr>
          <w:p w14:paraId="0000019C" w14:textId="77777777" w:rsidR="00083006" w:rsidRPr="00CC0F64" w:rsidRDefault="0080383E">
            <w:pPr>
              <w:spacing w:line="240" w:lineRule="auto"/>
              <w:rPr>
                <w:sz w:val="20"/>
                <w:szCs w:val="20"/>
              </w:rPr>
            </w:pPr>
            <w:r w:rsidRPr="00CC0F64">
              <w:rPr>
                <w:sz w:val="20"/>
                <w:szCs w:val="20"/>
              </w:rPr>
              <w:t xml:space="preserve">GDP.l2   </w:t>
            </w:r>
          </w:p>
        </w:tc>
        <w:tc>
          <w:tcPr>
            <w:tcW w:w="1109" w:type="dxa"/>
            <w:shd w:val="clear" w:color="auto" w:fill="auto"/>
            <w:vAlign w:val="center"/>
          </w:tcPr>
          <w:p w14:paraId="0000019D" w14:textId="77777777" w:rsidR="00083006" w:rsidRPr="00CC0F64" w:rsidRDefault="0080383E">
            <w:pPr>
              <w:spacing w:line="240" w:lineRule="auto"/>
              <w:jc w:val="center"/>
              <w:rPr>
                <w:sz w:val="20"/>
                <w:szCs w:val="20"/>
              </w:rPr>
            </w:pPr>
            <w:r w:rsidRPr="00CC0F64">
              <w:rPr>
                <w:sz w:val="20"/>
                <w:szCs w:val="20"/>
              </w:rPr>
              <w:t>0.152**</w:t>
            </w:r>
          </w:p>
        </w:tc>
        <w:tc>
          <w:tcPr>
            <w:tcW w:w="1272" w:type="dxa"/>
            <w:shd w:val="clear" w:color="auto" w:fill="auto"/>
            <w:vAlign w:val="center"/>
          </w:tcPr>
          <w:p w14:paraId="0000019E" w14:textId="77777777" w:rsidR="00083006" w:rsidRPr="00CC0F64" w:rsidRDefault="0080383E">
            <w:pPr>
              <w:spacing w:line="240" w:lineRule="auto"/>
              <w:jc w:val="center"/>
              <w:rPr>
                <w:sz w:val="20"/>
                <w:szCs w:val="20"/>
              </w:rPr>
            </w:pPr>
            <w:r w:rsidRPr="00CC0F64">
              <w:rPr>
                <w:sz w:val="20"/>
                <w:szCs w:val="20"/>
              </w:rPr>
              <w:t>-0.0002</w:t>
            </w:r>
          </w:p>
        </w:tc>
        <w:tc>
          <w:tcPr>
            <w:tcW w:w="1090" w:type="dxa"/>
            <w:shd w:val="clear" w:color="auto" w:fill="auto"/>
            <w:vAlign w:val="center"/>
          </w:tcPr>
          <w:p w14:paraId="0000019F" w14:textId="77777777" w:rsidR="00083006" w:rsidRPr="00CC0F64" w:rsidRDefault="0080383E">
            <w:pPr>
              <w:spacing w:line="240" w:lineRule="auto"/>
              <w:jc w:val="center"/>
              <w:rPr>
                <w:sz w:val="20"/>
                <w:szCs w:val="20"/>
              </w:rPr>
            </w:pPr>
            <w:r w:rsidRPr="00CC0F64">
              <w:rPr>
                <w:sz w:val="20"/>
                <w:szCs w:val="20"/>
              </w:rPr>
              <w:t>-0.095</w:t>
            </w:r>
          </w:p>
        </w:tc>
        <w:tc>
          <w:tcPr>
            <w:tcW w:w="1494" w:type="dxa"/>
            <w:shd w:val="clear" w:color="auto" w:fill="auto"/>
            <w:vAlign w:val="center"/>
          </w:tcPr>
          <w:p w14:paraId="000001A0" w14:textId="77777777" w:rsidR="00083006" w:rsidRPr="00CC0F64" w:rsidRDefault="0080383E">
            <w:pPr>
              <w:spacing w:line="240" w:lineRule="auto"/>
              <w:jc w:val="center"/>
              <w:rPr>
                <w:sz w:val="20"/>
                <w:szCs w:val="20"/>
              </w:rPr>
            </w:pPr>
            <w:r w:rsidRPr="00CC0F64">
              <w:rPr>
                <w:sz w:val="20"/>
                <w:szCs w:val="20"/>
              </w:rPr>
              <w:t>-0.045</w:t>
            </w:r>
          </w:p>
        </w:tc>
        <w:tc>
          <w:tcPr>
            <w:tcW w:w="1211" w:type="dxa"/>
            <w:shd w:val="clear" w:color="auto" w:fill="auto"/>
            <w:vAlign w:val="center"/>
          </w:tcPr>
          <w:p w14:paraId="000001A1" w14:textId="77777777" w:rsidR="00083006" w:rsidRPr="00CC0F64" w:rsidRDefault="0080383E">
            <w:pPr>
              <w:spacing w:line="240" w:lineRule="auto"/>
              <w:jc w:val="center"/>
              <w:rPr>
                <w:sz w:val="20"/>
                <w:szCs w:val="20"/>
              </w:rPr>
            </w:pPr>
            <w:r w:rsidRPr="00CC0F64">
              <w:rPr>
                <w:sz w:val="20"/>
                <w:szCs w:val="20"/>
              </w:rPr>
              <w:t>-0.037</w:t>
            </w:r>
          </w:p>
        </w:tc>
      </w:tr>
      <w:tr w:rsidR="007E3981" w:rsidRPr="00CC0F64" w14:paraId="70F2AB26" w14:textId="77777777">
        <w:trPr>
          <w:trHeight w:val="240"/>
          <w:jc w:val="center"/>
        </w:trPr>
        <w:tc>
          <w:tcPr>
            <w:tcW w:w="2824" w:type="dxa"/>
            <w:shd w:val="clear" w:color="auto" w:fill="auto"/>
            <w:vAlign w:val="center"/>
          </w:tcPr>
          <w:p w14:paraId="000001A2" w14:textId="77777777" w:rsidR="00083006" w:rsidRPr="00CC0F64" w:rsidRDefault="0080383E">
            <w:pPr>
              <w:spacing w:line="240" w:lineRule="auto"/>
              <w:rPr>
                <w:sz w:val="20"/>
                <w:szCs w:val="20"/>
              </w:rPr>
            </w:pPr>
            <w:r w:rsidRPr="00CC0F64">
              <w:rPr>
                <w:sz w:val="20"/>
                <w:szCs w:val="20"/>
              </w:rPr>
              <w:t> </w:t>
            </w:r>
          </w:p>
        </w:tc>
        <w:tc>
          <w:tcPr>
            <w:tcW w:w="1109" w:type="dxa"/>
            <w:shd w:val="clear" w:color="auto" w:fill="auto"/>
            <w:vAlign w:val="center"/>
          </w:tcPr>
          <w:p w14:paraId="000001A3" w14:textId="77777777" w:rsidR="00083006" w:rsidRPr="00CC0F64" w:rsidRDefault="0080383E">
            <w:pPr>
              <w:spacing w:line="240" w:lineRule="auto"/>
              <w:jc w:val="center"/>
              <w:rPr>
                <w:sz w:val="20"/>
                <w:szCs w:val="20"/>
              </w:rPr>
            </w:pPr>
            <w:r w:rsidRPr="00CC0F64">
              <w:rPr>
                <w:sz w:val="20"/>
                <w:szCs w:val="20"/>
              </w:rPr>
              <w:t>(0.058)</w:t>
            </w:r>
          </w:p>
        </w:tc>
        <w:tc>
          <w:tcPr>
            <w:tcW w:w="1272" w:type="dxa"/>
            <w:shd w:val="clear" w:color="auto" w:fill="auto"/>
            <w:vAlign w:val="center"/>
          </w:tcPr>
          <w:p w14:paraId="000001A4" w14:textId="77777777" w:rsidR="00083006" w:rsidRPr="00CC0F64" w:rsidRDefault="0080383E">
            <w:pPr>
              <w:spacing w:line="240" w:lineRule="auto"/>
              <w:jc w:val="center"/>
              <w:rPr>
                <w:sz w:val="20"/>
                <w:szCs w:val="20"/>
              </w:rPr>
            </w:pPr>
            <w:r w:rsidRPr="00CC0F64">
              <w:rPr>
                <w:sz w:val="20"/>
                <w:szCs w:val="20"/>
              </w:rPr>
              <w:t>(0.001)</w:t>
            </w:r>
          </w:p>
        </w:tc>
        <w:tc>
          <w:tcPr>
            <w:tcW w:w="1090" w:type="dxa"/>
            <w:shd w:val="clear" w:color="auto" w:fill="auto"/>
            <w:vAlign w:val="center"/>
          </w:tcPr>
          <w:p w14:paraId="000001A5" w14:textId="77777777" w:rsidR="00083006" w:rsidRPr="00CC0F64" w:rsidRDefault="0080383E">
            <w:pPr>
              <w:spacing w:line="240" w:lineRule="auto"/>
              <w:jc w:val="center"/>
              <w:rPr>
                <w:sz w:val="20"/>
                <w:szCs w:val="20"/>
              </w:rPr>
            </w:pPr>
            <w:r w:rsidRPr="00CC0F64">
              <w:rPr>
                <w:sz w:val="20"/>
                <w:szCs w:val="20"/>
              </w:rPr>
              <w:t>(0.133)</w:t>
            </w:r>
          </w:p>
        </w:tc>
        <w:tc>
          <w:tcPr>
            <w:tcW w:w="1494" w:type="dxa"/>
            <w:shd w:val="clear" w:color="auto" w:fill="auto"/>
            <w:vAlign w:val="center"/>
          </w:tcPr>
          <w:p w14:paraId="000001A6" w14:textId="77777777" w:rsidR="00083006" w:rsidRPr="00CC0F64" w:rsidRDefault="0080383E">
            <w:pPr>
              <w:spacing w:line="240" w:lineRule="auto"/>
              <w:jc w:val="center"/>
              <w:rPr>
                <w:sz w:val="20"/>
                <w:szCs w:val="20"/>
              </w:rPr>
            </w:pPr>
            <w:r w:rsidRPr="00CC0F64">
              <w:rPr>
                <w:sz w:val="20"/>
                <w:szCs w:val="20"/>
              </w:rPr>
              <w:t>(0.036)</w:t>
            </w:r>
          </w:p>
        </w:tc>
        <w:tc>
          <w:tcPr>
            <w:tcW w:w="1211" w:type="dxa"/>
            <w:shd w:val="clear" w:color="auto" w:fill="auto"/>
            <w:vAlign w:val="center"/>
          </w:tcPr>
          <w:p w14:paraId="000001A7" w14:textId="77777777" w:rsidR="00083006" w:rsidRPr="00CC0F64" w:rsidRDefault="0080383E">
            <w:pPr>
              <w:spacing w:line="240" w:lineRule="auto"/>
              <w:jc w:val="center"/>
              <w:rPr>
                <w:sz w:val="20"/>
                <w:szCs w:val="20"/>
              </w:rPr>
            </w:pPr>
            <w:r w:rsidRPr="00CC0F64">
              <w:rPr>
                <w:sz w:val="20"/>
                <w:szCs w:val="20"/>
              </w:rPr>
              <w:t>(0.052)</w:t>
            </w:r>
          </w:p>
        </w:tc>
      </w:tr>
      <w:tr w:rsidR="007E3981" w:rsidRPr="00CC0F64" w14:paraId="289CD7C1" w14:textId="77777777">
        <w:trPr>
          <w:trHeight w:val="240"/>
          <w:jc w:val="center"/>
        </w:trPr>
        <w:tc>
          <w:tcPr>
            <w:tcW w:w="2824" w:type="dxa"/>
            <w:shd w:val="clear" w:color="auto" w:fill="auto"/>
            <w:vAlign w:val="center"/>
          </w:tcPr>
          <w:p w14:paraId="000001A8" w14:textId="77777777" w:rsidR="00083006" w:rsidRPr="00CC0F64" w:rsidRDefault="0080383E">
            <w:pPr>
              <w:spacing w:line="240" w:lineRule="auto"/>
              <w:rPr>
                <w:sz w:val="20"/>
                <w:szCs w:val="20"/>
              </w:rPr>
            </w:pPr>
            <w:r w:rsidRPr="00CC0F64">
              <w:rPr>
                <w:sz w:val="20"/>
                <w:szCs w:val="20"/>
              </w:rPr>
              <w:t xml:space="preserve">CPI.l2    </w:t>
            </w:r>
          </w:p>
        </w:tc>
        <w:tc>
          <w:tcPr>
            <w:tcW w:w="1109" w:type="dxa"/>
            <w:shd w:val="clear" w:color="auto" w:fill="auto"/>
            <w:vAlign w:val="center"/>
          </w:tcPr>
          <w:p w14:paraId="000001A9" w14:textId="77777777" w:rsidR="00083006" w:rsidRPr="00CC0F64" w:rsidRDefault="0080383E">
            <w:pPr>
              <w:spacing w:line="240" w:lineRule="auto"/>
              <w:jc w:val="center"/>
              <w:rPr>
                <w:sz w:val="20"/>
                <w:szCs w:val="20"/>
              </w:rPr>
            </w:pPr>
            <w:r w:rsidRPr="00CC0F64">
              <w:rPr>
                <w:sz w:val="20"/>
                <w:szCs w:val="20"/>
              </w:rPr>
              <w:t>6.020</w:t>
            </w:r>
          </w:p>
        </w:tc>
        <w:tc>
          <w:tcPr>
            <w:tcW w:w="1272" w:type="dxa"/>
            <w:shd w:val="clear" w:color="auto" w:fill="auto"/>
            <w:vAlign w:val="center"/>
          </w:tcPr>
          <w:p w14:paraId="000001AA" w14:textId="77777777" w:rsidR="00083006" w:rsidRPr="00CC0F64" w:rsidRDefault="0080383E">
            <w:pPr>
              <w:spacing w:line="240" w:lineRule="auto"/>
              <w:jc w:val="center"/>
              <w:rPr>
                <w:sz w:val="20"/>
                <w:szCs w:val="20"/>
              </w:rPr>
            </w:pPr>
            <w:r w:rsidRPr="00CC0F64">
              <w:rPr>
                <w:sz w:val="20"/>
                <w:szCs w:val="20"/>
              </w:rPr>
              <w:t>0.071</w:t>
            </w:r>
          </w:p>
        </w:tc>
        <w:tc>
          <w:tcPr>
            <w:tcW w:w="1090" w:type="dxa"/>
            <w:shd w:val="clear" w:color="auto" w:fill="auto"/>
            <w:vAlign w:val="center"/>
          </w:tcPr>
          <w:p w14:paraId="000001AB" w14:textId="77777777" w:rsidR="00083006" w:rsidRPr="00CC0F64" w:rsidRDefault="0080383E">
            <w:pPr>
              <w:spacing w:line="240" w:lineRule="auto"/>
              <w:jc w:val="center"/>
              <w:rPr>
                <w:sz w:val="20"/>
                <w:szCs w:val="20"/>
              </w:rPr>
            </w:pPr>
            <w:r w:rsidRPr="00CC0F64">
              <w:rPr>
                <w:sz w:val="20"/>
                <w:szCs w:val="20"/>
              </w:rPr>
              <w:t>-7.226</w:t>
            </w:r>
          </w:p>
        </w:tc>
        <w:tc>
          <w:tcPr>
            <w:tcW w:w="1494" w:type="dxa"/>
            <w:shd w:val="clear" w:color="auto" w:fill="auto"/>
            <w:vAlign w:val="center"/>
          </w:tcPr>
          <w:p w14:paraId="000001AC" w14:textId="77777777" w:rsidR="00083006" w:rsidRPr="00CC0F64" w:rsidRDefault="0080383E">
            <w:pPr>
              <w:spacing w:line="240" w:lineRule="auto"/>
              <w:jc w:val="center"/>
              <w:rPr>
                <w:sz w:val="20"/>
                <w:szCs w:val="20"/>
              </w:rPr>
            </w:pPr>
            <w:r w:rsidRPr="00CC0F64">
              <w:rPr>
                <w:sz w:val="20"/>
                <w:szCs w:val="20"/>
              </w:rPr>
              <w:t>-0.749</w:t>
            </w:r>
          </w:p>
        </w:tc>
        <w:tc>
          <w:tcPr>
            <w:tcW w:w="1211" w:type="dxa"/>
            <w:shd w:val="clear" w:color="auto" w:fill="auto"/>
            <w:vAlign w:val="center"/>
          </w:tcPr>
          <w:p w14:paraId="000001AD" w14:textId="77777777" w:rsidR="00083006" w:rsidRPr="00CC0F64" w:rsidRDefault="0080383E">
            <w:pPr>
              <w:spacing w:line="240" w:lineRule="auto"/>
              <w:jc w:val="center"/>
              <w:rPr>
                <w:sz w:val="20"/>
                <w:szCs w:val="20"/>
              </w:rPr>
            </w:pPr>
            <w:r w:rsidRPr="00CC0F64">
              <w:rPr>
                <w:sz w:val="20"/>
                <w:szCs w:val="20"/>
              </w:rPr>
              <w:t>3.487</w:t>
            </w:r>
          </w:p>
        </w:tc>
      </w:tr>
      <w:tr w:rsidR="007E3981" w:rsidRPr="00CC0F64" w14:paraId="240DBFD6" w14:textId="77777777">
        <w:trPr>
          <w:trHeight w:val="240"/>
          <w:jc w:val="center"/>
        </w:trPr>
        <w:tc>
          <w:tcPr>
            <w:tcW w:w="2824" w:type="dxa"/>
            <w:shd w:val="clear" w:color="auto" w:fill="auto"/>
            <w:vAlign w:val="center"/>
          </w:tcPr>
          <w:p w14:paraId="000001AE" w14:textId="77777777" w:rsidR="00083006" w:rsidRPr="00CC0F64" w:rsidRDefault="0080383E">
            <w:pPr>
              <w:spacing w:line="240" w:lineRule="auto"/>
              <w:rPr>
                <w:sz w:val="20"/>
                <w:szCs w:val="20"/>
              </w:rPr>
            </w:pPr>
            <w:r w:rsidRPr="00CC0F64">
              <w:rPr>
                <w:sz w:val="20"/>
                <w:szCs w:val="20"/>
              </w:rPr>
              <w:t> </w:t>
            </w:r>
          </w:p>
        </w:tc>
        <w:tc>
          <w:tcPr>
            <w:tcW w:w="1109" w:type="dxa"/>
            <w:shd w:val="clear" w:color="auto" w:fill="auto"/>
            <w:vAlign w:val="center"/>
          </w:tcPr>
          <w:p w14:paraId="000001AF" w14:textId="77777777" w:rsidR="00083006" w:rsidRPr="00CC0F64" w:rsidRDefault="0080383E">
            <w:pPr>
              <w:spacing w:line="240" w:lineRule="auto"/>
              <w:jc w:val="center"/>
              <w:rPr>
                <w:sz w:val="20"/>
                <w:szCs w:val="20"/>
              </w:rPr>
            </w:pPr>
            <w:r w:rsidRPr="00CC0F64">
              <w:rPr>
                <w:sz w:val="20"/>
                <w:szCs w:val="20"/>
              </w:rPr>
              <w:t>(3.704)</w:t>
            </w:r>
          </w:p>
        </w:tc>
        <w:tc>
          <w:tcPr>
            <w:tcW w:w="1272" w:type="dxa"/>
            <w:shd w:val="clear" w:color="auto" w:fill="auto"/>
            <w:vAlign w:val="center"/>
          </w:tcPr>
          <w:p w14:paraId="000001B0" w14:textId="77777777" w:rsidR="00083006" w:rsidRPr="00CC0F64" w:rsidRDefault="0080383E">
            <w:pPr>
              <w:spacing w:line="240" w:lineRule="auto"/>
              <w:jc w:val="center"/>
              <w:rPr>
                <w:sz w:val="20"/>
                <w:szCs w:val="20"/>
              </w:rPr>
            </w:pPr>
            <w:r w:rsidRPr="00CC0F64">
              <w:rPr>
                <w:sz w:val="20"/>
                <w:szCs w:val="20"/>
              </w:rPr>
              <w:t>(0.085)</w:t>
            </w:r>
          </w:p>
        </w:tc>
        <w:tc>
          <w:tcPr>
            <w:tcW w:w="1090" w:type="dxa"/>
            <w:shd w:val="clear" w:color="auto" w:fill="auto"/>
            <w:vAlign w:val="center"/>
          </w:tcPr>
          <w:p w14:paraId="000001B1" w14:textId="77777777" w:rsidR="00083006" w:rsidRPr="00CC0F64" w:rsidRDefault="0080383E">
            <w:pPr>
              <w:spacing w:line="240" w:lineRule="auto"/>
              <w:jc w:val="center"/>
              <w:rPr>
                <w:sz w:val="20"/>
                <w:szCs w:val="20"/>
              </w:rPr>
            </w:pPr>
            <w:r w:rsidRPr="00CC0F64">
              <w:rPr>
                <w:sz w:val="20"/>
                <w:szCs w:val="20"/>
              </w:rPr>
              <w:t>(8.427)</w:t>
            </w:r>
          </w:p>
        </w:tc>
        <w:tc>
          <w:tcPr>
            <w:tcW w:w="1494" w:type="dxa"/>
            <w:shd w:val="clear" w:color="auto" w:fill="auto"/>
            <w:vAlign w:val="center"/>
          </w:tcPr>
          <w:p w14:paraId="000001B2" w14:textId="77777777" w:rsidR="00083006" w:rsidRPr="00CC0F64" w:rsidRDefault="0080383E">
            <w:pPr>
              <w:spacing w:line="240" w:lineRule="auto"/>
              <w:jc w:val="center"/>
              <w:rPr>
                <w:sz w:val="20"/>
                <w:szCs w:val="20"/>
              </w:rPr>
            </w:pPr>
            <w:r w:rsidRPr="00CC0F64">
              <w:rPr>
                <w:sz w:val="20"/>
                <w:szCs w:val="20"/>
              </w:rPr>
              <w:t>(2.302)</w:t>
            </w:r>
          </w:p>
        </w:tc>
        <w:tc>
          <w:tcPr>
            <w:tcW w:w="1211" w:type="dxa"/>
            <w:shd w:val="clear" w:color="auto" w:fill="auto"/>
            <w:vAlign w:val="center"/>
          </w:tcPr>
          <w:p w14:paraId="000001B3" w14:textId="77777777" w:rsidR="00083006" w:rsidRPr="00CC0F64" w:rsidRDefault="0080383E">
            <w:pPr>
              <w:spacing w:line="240" w:lineRule="auto"/>
              <w:jc w:val="center"/>
              <w:rPr>
                <w:sz w:val="20"/>
                <w:szCs w:val="20"/>
              </w:rPr>
            </w:pPr>
            <w:r w:rsidRPr="00CC0F64">
              <w:rPr>
                <w:sz w:val="20"/>
                <w:szCs w:val="20"/>
              </w:rPr>
              <w:t>(3.325)</w:t>
            </w:r>
          </w:p>
        </w:tc>
      </w:tr>
      <w:tr w:rsidR="007E3981" w:rsidRPr="00CC0F64" w14:paraId="3E853B7A" w14:textId="77777777">
        <w:trPr>
          <w:trHeight w:val="240"/>
          <w:jc w:val="center"/>
        </w:trPr>
        <w:tc>
          <w:tcPr>
            <w:tcW w:w="2824" w:type="dxa"/>
            <w:shd w:val="clear" w:color="auto" w:fill="auto"/>
            <w:vAlign w:val="center"/>
          </w:tcPr>
          <w:p w14:paraId="000001B4" w14:textId="77777777" w:rsidR="00083006" w:rsidRPr="00CC0F64" w:rsidRDefault="0080383E">
            <w:pPr>
              <w:spacing w:line="240" w:lineRule="auto"/>
              <w:rPr>
                <w:sz w:val="20"/>
                <w:szCs w:val="20"/>
              </w:rPr>
            </w:pPr>
            <w:r w:rsidRPr="00CC0F64">
              <w:rPr>
                <w:sz w:val="20"/>
                <w:szCs w:val="20"/>
              </w:rPr>
              <w:t xml:space="preserve">Trade Balance.l2 </w:t>
            </w:r>
          </w:p>
        </w:tc>
        <w:tc>
          <w:tcPr>
            <w:tcW w:w="1109" w:type="dxa"/>
            <w:shd w:val="clear" w:color="auto" w:fill="auto"/>
            <w:vAlign w:val="center"/>
          </w:tcPr>
          <w:p w14:paraId="000001B5" w14:textId="77777777" w:rsidR="00083006" w:rsidRPr="00CC0F64" w:rsidRDefault="0080383E">
            <w:pPr>
              <w:spacing w:line="240" w:lineRule="auto"/>
              <w:jc w:val="center"/>
              <w:rPr>
                <w:sz w:val="20"/>
                <w:szCs w:val="20"/>
              </w:rPr>
            </w:pPr>
            <w:r w:rsidRPr="00CC0F64">
              <w:rPr>
                <w:sz w:val="20"/>
                <w:szCs w:val="20"/>
              </w:rPr>
              <w:t>-0.004</w:t>
            </w:r>
          </w:p>
        </w:tc>
        <w:tc>
          <w:tcPr>
            <w:tcW w:w="1272" w:type="dxa"/>
            <w:shd w:val="clear" w:color="auto" w:fill="auto"/>
            <w:vAlign w:val="center"/>
          </w:tcPr>
          <w:p w14:paraId="000001B6" w14:textId="77777777" w:rsidR="00083006" w:rsidRPr="00CC0F64" w:rsidRDefault="0080383E">
            <w:pPr>
              <w:spacing w:line="240" w:lineRule="auto"/>
              <w:jc w:val="center"/>
              <w:rPr>
                <w:sz w:val="20"/>
                <w:szCs w:val="20"/>
              </w:rPr>
            </w:pPr>
            <w:r w:rsidRPr="00CC0F64">
              <w:rPr>
                <w:sz w:val="20"/>
                <w:szCs w:val="20"/>
              </w:rPr>
              <w:t>-0.001</w:t>
            </w:r>
          </w:p>
        </w:tc>
        <w:tc>
          <w:tcPr>
            <w:tcW w:w="1090" w:type="dxa"/>
            <w:shd w:val="clear" w:color="auto" w:fill="auto"/>
            <w:vAlign w:val="center"/>
          </w:tcPr>
          <w:p w14:paraId="000001B7" w14:textId="77777777" w:rsidR="00083006" w:rsidRPr="00CC0F64" w:rsidRDefault="0080383E">
            <w:pPr>
              <w:spacing w:line="240" w:lineRule="auto"/>
              <w:jc w:val="center"/>
              <w:rPr>
                <w:sz w:val="20"/>
                <w:szCs w:val="20"/>
              </w:rPr>
            </w:pPr>
            <w:r w:rsidRPr="00CC0F64">
              <w:rPr>
                <w:sz w:val="20"/>
                <w:szCs w:val="20"/>
              </w:rPr>
              <w:t>0.417***</w:t>
            </w:r>
          </w:p>
        </w:tc>
        <w:tc>
          <w:tcPr>
            <w:tcW w:w="1494" w:type="dxa"/>
            <w:shd w:val="clear" w:color="auto" w:fill="auto"/>
            <w:vAlign w:val="center"/>
          </w:tcPr>
          <w:p w14:paraId="000001B8" w14:textId="77777777" w:rsidR="00083006" w:rsidRPr="00CC0F64" w:rsidRDefault="0080383E">
            <w:pPr>
              <w:spacing w:line="240" w:lineRule="auto"/>
              <w:jc w:val="center"/>
              <w:rPr>
                <w:sz w:val="20"/>
                <w:szCs w:val="20"/>
              </w:rPr>
            </w:pPr>
            <w:r w:rsidRPr="00CC0F64">
              <w:rPr>
                <w:sz w:val="20"/>
                <w:szCs w:val="20"/>
              </w:rPr>
              <w:t>-0.012</w:t>
            </w:r>
          </w:p>
        </w:tc>
        <w:tc>
          <w:tcPr>
            <w:tcW w:w="1211" w:type="dxa"/>
            <w:shd w:val="clear" w:color="auto" w:fill="auto"/>
            <w:vAlign w:val="center"/>
          </w:tcPr>
          <w:p w14:paraId="000001B9" w14:textId="77777777" w:rsidR="00083006" w:rsidRPr="00CC0F64" w:rsidRDefault="0080383E">
            <w:pPr>
              <w:spacing w:line="240" w:lineRule="auto"/>
              <w:jc w:val="center"/>
              <w:rPr>
                <w:sz w:val="20"/>
                <w:szCs w:val="20"/>
              </w:rPr>
            </w:pPr>
            <w:r w:rsidRPr="00CC0F64">
              <w:rPr>
                <w:sz w:val="20"/>
                <w:szCs w:val="20"/>
              </w:rPr>
              <w:t>-0.067*</w:t>
            </w:r>
          </w:p>
        </w:tc>
      </w:tr>
      <w:tr w:rsidR="007E3981" w:rsidRPr="00CC0F64" w14:paraId="18477CC8" w14:textId="77777777">
        <w:trPr>
          <w:trHeight w:val="240"/>
          <w:jc w:val="center"/>
        </w:trPr>
        <w:tc>
          <w:tcPr>
            <w:tcW w:w="2824" w:type="dxa"/>
            <w:shd w:val="clear" w:color="auto" w:fill="auto"/>
            <w:vAlign w:val="center"/>
          </w:tcPr>
          <w:p w14:paraId="000001BA" w14:textId="77777777" w:rsidR="00083006" w:rsidRPr="00CC0F64" w:rsidRDefault="0080383E">
            <w:pPr>
              <w:spacing w:line="240" w:lineRule="auto"/>
              <w:rPr>
                <w:sz w:val="20"/>
                <w:szCs w:val="20"/>
              </w:rPr>
            </w:pPr>
            <w:r w:rsidRPr="00CC0F64">
              <w:rPr>
                <w:sz w:val="20"/>
                <w:szCs w:val="20"/>
              </w:rPr>
              <w:t> </w:t>
            </w:r>
          </w:p>
        </w:tc>
        <w:tc>
          <w:tcPr>
            <w:tcW w:w="1109" w:type="dxa"/>
            <w:shd w:val="clear" w:color="auto" w:fill="auto"/>
            <w:vAlign w:val="center"/>
          </w:tcPr>
          <w:p w14:paraId="000001BB" w14:textId="77777777" w:rsidR="00083006" w:rsidRPr="00CC0F64" w:rsidRDefault="0080383E">
            <w:pPr>
              <w:spacing w:line="240" w:lineRule="auto"/>
              <w:jc w:val="center"/>
              <w:rPr>
                <w:sz w:val="20"/>
                <w:szCs w:val="20"/>
              </w:rPr>
            </w:pPr>
            <w:r w:rsidRPr="00CC0F64">
              <w:rPr>
                <w:sz w:val="20"/>
                <w:szCs w:val="20"/>
              </w:rPr>
              <w:t>(0.039)</w:t>
            </w:r>
          </w:p>
        </w:tc>
        <w:tc>
          <w:tcPr>
            <w:tcW w:w="1272" w:type="dxa"/>
            <w:shd w:val="clear" w:color="auto" w:fill="auto"/>
            <w:vAlign w:val="center"/>
          </w:tcPr>
          <w:p w14:paraId="000001BC" w14:textId="77777777" w:rsidR="00083006" w:rsidRPr="00CC0F64" w:rsidRDefault="0080383E">
            <w:pPr>
              <w:spacing w:line="240" w:lineRule="auto"/>
              <w:jc w:val="center"/>
              <w:rPr>
                <w:sz w:val="20"/>
                <w:szCs w:val="20"/>
              </w:rPr>
            </w:pPr>
            <w:r w:rsidRPr="00CC0F64">
              <w:rPr>
                <w:sz w:val="20"/>
                <w:szCs w:val="20"/>
              </w:rPr>
              <w:t>(0.001)</w:t>
            </w:r>
          </w:p>
        </w:tc>
        <w:tc>
          <w:tcPr>
            <w:tcW w:w="1090" w:type="dxa"/>
            <w:shd w:val="clear" w:color="auto" w:fill="auto"/>
            <w:vAlign w:val="center"/>
          </w:tcPr>
          <w:p w14:paraId="000001BD" w14:textId="77777777" w:rsidR="00083006" w:rsidRPr="00CC0F64" w:rsidRDefault="0080383E">
            <w:pPr>
              <w:spacing w:line="240" w:lineRule="auto"/>
              <w:jc w:val="center"/>
              <w:rPr>
                <w:sz w:val="20"/>
                <w:szCs w:val="20"/>
              </w:rPr>
            </w:pPr>
            <w:r w:rsidRPr="00CC0F64">
              <w:rPr>
                <w:sz w:val="20"/>
                <w:szCs w:val="20"/>
              </w:rPr>
              <w:t>(0.089)</w:t>
            </w:r>
          </w:p>
        </w:tc>
        <w:tc>
          <w:tcPr>
            <w:tcW w:w="1494" w:type="dxa"/>
            <w:shd w:val="clear" w:color="auto" w:fill="auto"/>
            <w:vAlign w:val="center"/>
          </w:tcPr>
          <w:p w14:paraId="000001BE" w14:textId="77777777" w:rsidR="00083006" w:rsidRPr="00CC0F64" w:rsidRDefault="0080383E">
            <w:pPr>
              <w:spacing w:line="240" w:lineRule="auto"/>
              <w:jc w:val="center"/>
              <w:rPr>
                <w:sz w:val="20"/>
                <w:szCs w:val="20"/>
              </w:rPr>
            </w:pPr>
            <w:r w:rsidRPr="00CC0F64">
              <w:rPr>
                <w:sz w:val="20"/>
                <w:szCs w:val="20"/>
              </w:rPr>
              <w:t>(0.024)</w:t>
            </w:r>
          </w:p>
        </w:tc>
        <w:tc>
          <w:tcPr>
            <w:tcW w:w="1211" w:type="dxa"/>
            <w:shd w:val="clear" w:color="auto" w:fill="auto"/>
            <w:vAlign w:val="center"/>
          </w:tcPr>
          <w:p w14:paraId="000001BF" w14:textId="77777777" w:rsidR="00083006" w:rsidRPr="00CC0F64" w:rsidRDefault="0080383E">
            <w:pPr>
              <w:spacing w:line="240" w:lineRule="auto"/>
              <w:jc w:val="center"/>
              <w:rPr>
                <w:sz w:val="20"/>
                <w:szCs w:val="20"/>
              </w:rPr>
            </w:pPr>
            <w:r w:rsidRPr="00CC0F64">
              <w:rPr>
                <w:sz w:val="20"/>
                <w:szCs w:val="20"/>
              </w:rPr>
              <w:t>(0.035)</w:t>
            </w:r>
          </w:p>
        </w:tc>
      </w:tr>
      <w:tr w:rsidR="007E3981" w:rsidRPr="00CC0F64" w14:paraId="098AC6BF" w14:textId="77777777">
        <w:trPr>
          <w:trHeight w:val="240"/>
          <w:jc w:val="center"/>
        </w:trPr>
        <w:tc>
          <w:tcPr>
            <w:tcW w:w="2824" w:type="dxa"/>
            <w:shd w:val="clear" w:color="auto" w:fill="auto"/>
            <w:vAlign w:val="center"/>
          </w:tcPr>
          <w:p w14:paraId="000001C0" w14:textId="77777777" w:rsidR="00083006" w:rsidRPr="00CC0F64" w:rsidRDefault="0080383E">
            <w:pPr>
              <w:spacing w:line="240" w:lineRule="auto"/>
              <w:rPr>
                <w:sz w:val="20"/>
                <w:szCs w:val="20"/>
              </w:rPr>
            </w:pPr>
            <w:r w:rsidRPr="00CC0F64">
              <w:rPr>
                <w:sz w:val="20"/>
                <w:szCs w:val="20"/>
              </w:rPr>
              <w:t xml:space="preserve">Unemployment.l2  </w:t>
            </w:r>
          </w:p>
        </w:tc>
        <w:tc>
          <w:tcPr>
            <w:tcW w:w="1109" w:type="dxa"/>
            <w:shd w:val="clear" w:color="auto" w:fill="auto"/>
            <w:vAlign w:val="center"/>
          </w:tcPr>
          <w:p w14:paraId="000001C1" w14:textId="77777777" w:rsidR="00083006" w:rsidRPr="00CC0F64" w:rsidRDefault="0080383E">
            <w:pPr>
              <w:spacing w:line="240" w:lineRule="auto"/>
              <w:jc w:val="center"/>
              <w:rPr>
                <w:sz w:val="20"/>
                <w:szCs w:val="20"/>
              </w:rPr>
            </w:pPr>
            <w:r w:rsidRPr="00CC0F64">
              <w:rPr>
                <w:sz w:val="20"/>
                <w:szCs w:val="20"/>
              </w:rPr>
              <w:t>0.012</w:t>
            </w:r>
          </w:p>
        </w:tc>
        <w:tc>
          <w:tcPr>
            <w:tcW w:w="1272" w:type="dxa"/>
            <w:shd w:val="clear" w:color="auto" w:fill="auto"/>
            <w:vAlign w:val="center"/>
          </w:tcPr>
          <w:p w14:paraId="000001C2" w14:textId="77777777" w:rsidR="00083006" w:rsidRPr="00CC0F64" w:rsidRDefault="0080383E">
            <w:pPr>
              <w:spacing w:line="240" w:lineRule="auto"/>
              <w:jc w:val="center"/>
              <w:rPr>
                <w:sz w:val="20"/>
                <w:szCs w:val="20"/>
              </w:rPr>
            </w:pPr>
            <w:r w:rsidRPr="00CC0F64">
              <w:rPr>
                <w:sz w:val="20"/>
                <w:szCs w:val="20"/>
              </w:rPr>
              <w:t>-0.005</w:t>
            </w:r>
          </w:p>
        </w:tc>
        <w:tc>
          <w:tcPr>
            <w:tcW w:w="1090" w:type="dxa"/>
            <w:shd w:val="clear" w:color="auto" w:fill="auto"/>
            <w:vAlign w:val="center"/>
          </w:tcPr>
          <w:p w14:paraId="000001C3" w14:textId="77777777" w:rsidR="00083006" w:rsidRPr="00CC0F64" w:rsidRDefault="0080383E">
            <w:pPr>
              <w:spacing w:line="240" w:lineRule="auto"/>
              <w:jc w:val="center"/>
              <w:rPr>
                <w:sz w:val="20"/>
                <w:szCs w:val="20"/>
              </w:rPr>
            </w:pPr>
            <w:r w:rsidRPr="00CC0F64">
              <w:rPr>
                <w:sz w:val="20"/>
                <w:szCs w:val="20"/>
              </w:rPr>
              <w:t>0.044</w:t>
            </w:r>
          </w:p>
        </w:tc>
        <w:tc>
          <w:tcPr>
            <w:tcW w:w="1494" w:type="dxa"/>
            <w:shd w:val="clear" w:color="auto" w:fill="auto"/>
            <w:vAlign w:val="center"/>
          </w:tcPr>
          <w:p w14:paraId="000001C4" w14:textId="77777777" w:rsidR="00083006" w:rsidRPr="00CC0F64" w:rsidRDefault="0080383E">
            <w:pPr>
              <w:spacing w:line="240" w:lineRule="auto"/>
              <w:jc w:val="center"/>
              <w:rPr>
                <w:sz w:val="20"/>
                <w:szCs w:val="20"/>
              </w:rPr>
            </w:pPr>
            <w:r w:rsidRPr="00CC0F64">
              <w:rPr>
                <w:sz w:val="20"/>
                <w:szCs w:val="20"/>
              </w:rPr>
              <w:t xml:space="preserve"> -0.302***</w:t>
            </w:r>
          </w:p>
        </w:tc>
        <w:tc>
          <w:tcPr>
            <w:tcW w:w="1211" w:type="dxa"/>
            <w:shd w:val="clear" w:color="auto" w:fill="auto"/>
            <w:vAlign w:val="center"/>
          </w:tcPr>
          <w:p w14:paraId="000001C5" w14:textId="77777777" w:rsidR="00083006" w:rsidRPr="00CC0F64" w:rsidRDefault="0080383E">
            <w:pPr>
              <w:spacing w:line="240" w:lineRule="auto"/>
              <w:jc w:val="center"/>
              <w:rPr>
                <w:sz w:val="20"/>
                <w:szCs w:val="20"/>
              </w:rPr>
            </w:pPr>
            <w:r w:rsidRPr="00CC0F64">
              <w:rPr>
                <w:sz w:val="20"/>
                <w:szCs w:val="20"/>
              </w:rPr>
              <w:t>0.018</w:t>
            </w:r>
          </w:p>
        </w:tc>
      </w:tr>
      <w:tr w:rsidR="007E3981" w:rsidRPr="00CC0F64" w14:paraId="2BF748CE" w14:textId="77777777">
        <w:trPr>
          <w:trHeight w:val="240"/>
          <w:jc w:val="center"/>
        </w:trPr>
        <w:tc>
          <w:tcPr>
            <w:tcW w:w="2824" w:type="dxa"/>
            <w:shd w:val="clear" w:color="auto" w:fill="auto"/>
            <w:vAlign w:val="center"/>
          </w:tcPr>
          <w:p w14:paraId="000001C6" w14:textId="77777777" w:rsidR="00083006" w:rsidRPr="00CC0F64" w:rsidRDefault="0080383E">
            <w:pPr>
              <w:spacing w:line="240" w:lineRule="auto"/>
              <w:rPr>
                <w:sz w:val="20"/>
                <w:szCs w:val="20"/>
              </w:rPr>
            </w:pPr>
            <w:r w:rsidRPr="00CC0F64">
              <w:rPr>
                <w:sz w:val="20"/>
                <w:szCs w:val="20"/>
              </w:rPr>
              <w:t> </w:t>
            </w:r>
          </w:p>
        </w:tc>
        <w:tc>
          <w:tcPr>
            <w:tcW w:w="1109" w:type="dxa"/>
            <w:shd w:val="clear" w:color="auto" w:fill="auto"/>
            <w:vAlign w:val="center"/>
          </w:tcPr>
          <w:p w14:paraId="000001C7" w14:textId="77777777" w:rsidR="00083006" w:rsidRPr="00CC0F64" w:rsidRDefault="0080383E">
            <w:pPr>
              <w:spacing w:line="240" w:lineRule="auto"/>
              <w:jc w:val="center"/>
              <w:rPr>
                <w:sz w:val="20"/>
                <w:szCs w:val="20"/>
              </w:rPr>
            </w:pPr>
            <w:r w:rsidRPr="00CC0F64">
              <w:rPr>
                <w:sz w:val="20"/>
                <w:szCs w:val="20"/>
              </w:rPr>
              <w:t>(0.133)</w:t>
            </w:r>
          </w:p>
        </w:tc>
        <w:tc>
          <w:tcPr>
            <w:tcW w:w="1272" w:type="dxa"/>
            <w:shd w:val="clear" w:color="auto" w:fill="auto"/>
            <w:vAlign w:val="center"/>
          </w:tcPr>
          <w:p w14:paraId="000001C8" w14:textId="77777777" w:rsidR="00083006" w:rsidRPr="00CC0F64" w:rsidRDefault="0080383E">
            <w:pPr>
              <w:spacing w:line="240" w:lineRule="auto"/>
              <w:jc w:val="center"/>
              <w:rPr>
                <w:sz w:val="20"/>
                <w:szCs w:val="20"/>
              </w:rPr>
            </w:pPr>
            <w:r w:rsidRPr="00CC0F64">
              <w:rPr>
                <w:sz w:val="20"/>
                <w:szCs w:val="20"/>
              </w:rPr>
              <w:t>(0.003)</w:t>
            </w:r>
          </w:p>
        </w:tc>
        <w:tc>
          <w:tcPr>
            <w:tcW w:w="1090" w:type="dxa"/>
            <w:shd w:val="clear" w:color="auto" w:fill="auto"/>
            <w:vAlign w:val="center"/>
          </w:tcPr>
          <w:p w14:paraId="000001C9" w14:textId="77777777" w:rsidR="00083006" w:rsidRPr="00CC0F64" w:rsidRDefault="0080383E">
            <w:pPr>
              <w:spacing w:line="240" w:lineRule="auto"/>
              <w:jc w:val="center"/>
              <w:rPr>
                <w:sz w:val="20"/>
                <w:szCs w:val="20"/>
              </w:rPr>
            </w:pPr>
            <w:r w:rsidRPr="00CC0F64">
              <w:rPr>
                <w:sz w:val="20"/>
                <w:szCs w:val="20"/>
              </w:rPr>
              <w:t>(0.303)</w:t>
            </w:r>
          </w:p>
        </w:tc>
        <w:tc>
          <w:tcPr>
            <w:tcW w:w="1494" w:type="dxa"/>
            <w:shd w:val="clear" w:color="auto" w:fill="auto"/>
            <w:vAlign w:val="center"/>
          </w:tcPr>
          <w:p w14:paraId="000001CA" w14:textId="77777777" w:rsidR="00083006" w:rsidRPr="00CC0F64" w:rsidRDefault="0080383E">
            <w:pPr>
              <w:spacing w:line="240" w:lineRule="auto"/>
              <w:jc w:val="center"/>
              <w:rPr>
                <w:sz w:val="20"/>
                <w:szCs w:val="20"/>
              </w:rPr>
            </w:pPr>
            <w:r w:rsidRPr="00CC0F64">
              <w:rPr>
                <w:sz w:val="20"/>
                <w:szCs w:val="20"/>
              </w:rPr>
              <w:t>(0.083)</w:t>
            </w:r>
          </w:p>
        </w:tc>
        <w:tc>
          <w:tcPr>
            <w:tcW w:w="1211" w:type="dxa"/>
            <w:shd w:val="clear" w:color="auto" w:fill="auto"/>
            <w:vAlign w:val="center"/>
          </w:tcPr>
          <w:p w14:paraId="000001CB" w14:textId="77777777" w:rsidR="00083006" w:rsidRPr="00CC0F64" w:rsidRDefault="0080383E">
            <w:pPr>
              <w:spacing w:line="240" w:lineRule="auto"/>
              <w:jc w:val="center"/>
              <w:rPr>
                <w:sz w:val="20"/>
                <w:szCs w:val="20"/>
              </w:rPr>
            </w:pPr>
            <w:r w:rsidRPr="00CC0F64">
              <w:rPr>
                <w:sz w:val="20"/>
                <w:szCs w:val="20"/>
              </w:rPr>
              <w:t>(0.119)</w:t>
            </w:r>
          </w:p>
        </w:tc>
      </w:tr>
      <w:tr w:rsidR="007E3981" w:rsidRPr="00CC0F64" w14:paraId="48B0E240" w14:textId="77777777">
        <w:trPr>
          <w:trHeight w:val="240"/>
          <w:jc w:val="center"/>
        </w:trPr>
        <w:tc>
          <w:tcPr>
            <w:tcW w:w="2824" w:type="dxa"/>
            <w:shd w:val="clear" w:color="auto" w:fill="auto"/>
            <w:vAlign w:val="center"/>
          </w:tcPr>
          <w:p w14:paraId="000001CC" w14:textId="77777777" w:rsidR="00083006" w:rsidRPr="00CC0F64" w:rsidRDefault="0080383E">
            <w:pPr>
              <w:spacing w:line="240" w:lineRule="auto"/>
              <w:rPr>
                <w:sz w:val="20"/>
                <w:szCs w:val="20"/>
              </w:rPr>
            </w:pPr>
            <w:r w:rsidRPr="00CC0F64">
              <w:rPr>
                <w:sz w:val="20"/>
                <w:szCs w:val="20"/>
              </w:rPr>
              <w:t>Brent Crude Oil.l2</w:t>
            </w:r>
          </w:p>
        </w:tc>
        <w:tc>
          <w:tcPr>
            <w:tcW w:w="1109" w:type="dxa"/>
            <w:shd w:val="clear" w:color="auto" w:fill="auto"/>
            <w:vAlign w:val="center"/>
          </w:tcPr>
          <w:p w14:paraId="000001CD" w14:textId="77777777" w:rsidR="00083006" w:rsidRPr="00CC0F64" w:rsidRDefault="0080383E">
            <w:pPr>
              <w:spacing w:line="240" w:lineRule="auto"/>
              <w:jc w:val="center"/>
              <w:rPr>
                <w:sz w:val="20"/>
                <w:szCs w:val="20"/>
              </w:rPr>
            </w:pPr>
            <w:r w:rsidRPr="00CC0F64">
              <w:rPr>
                <w:sz w:val="20"/>
                <w:szCs w:val="20"/>
              </w:rPr>
              <w:t xml:space="preserve"> -1.289***</w:t>
            </w:r>
          </w:p>
        </w:tc>
        <w:tc>
          <w:tcPr>
            <w:tcW w:w="1272" w:type="dxa"/>
            <w:shd w:val="clear" w:color="auto" w:fill="auto"/>
            <w:vAlign w:val="center"/>
          </w:tcPr>
          <w:p w14:paraId="000001CE" w14:textId="77777777" w:rsidR="00083006" w:rsidRPr="00CC0F64" w:rsidRDefault="0080383E">
            <w:pPr>
              <w:spacing w:line="240" w:lineRule="auto"/>
              <w:jc w:val="center"/>
              <w:rPr>
                <w:sz w:val="20"/>
                <w:szCs w:val="20"/>
              </w:rPr>
            </w:pPr>
            <w:r w:rsidRPr="00CC0F64">
              <w:rPr>
                <w:sz w:val="20"/>
                <w:szCs w:val="20"/>
              </w:rPr>
              <w:t>-0.003</w:t>
            </w:r>
          </w:p>
        </w:tc>
        <w:tc>
          <w:tcPr>
            <w:tcW w:w="1090" w:type="dxa"/>
            <w:shd w:val="clear" w:color="auto" w:fill="auto"/>
            <w:vAlign w:val="center"/>
          </w:tcPr>
          <w:p w14:paraId="000001CF" w14:textId="77777777" w:rsidR="00083006" w:rsidRPr="00CC0F64" w:rsidRDefault="0080383E">
            <w:pPr>
              <w:spacing w:line="240" w:lineRule="auto"/>
              <w:jc w:val="center"/>
              <w:rPr>
                <w:sz w:val="20"/>
                <w:szCs w:val="20"/>
              </w:rPr>
            </w:pPr>
            <w:r w:rsidRPr="00CC0F64">
              <w:rPr>
                <w:sz w:val="20"/>
                <w:szCs w:val="20"/>
              </w:rPr>
              <w:t>0.324</w:t>
            </w:r>
          </w:p>
        </w:tc>
        <w:tc>
          <w:tcPr>
            <w:tcW w:w="1494" w:type="dxa"/>
            <w:shd w:val="clear" w:color="auto" w:fill="auto"/>
            <w:vAlign w:val="center"/>
          </w:tcPr>
          <w:p w14:paraId="000001D0" w14:textId="77777777" w:rsidR="00083006" w:rsidRPr="00CC0F64" w:rsidRDefault="0080383E">
            <w:pPr>
              <w:spacing w:line="240" w:lineRule="auto"/>
              <w:jc w:val="center"/>
              <w:rPr>
                <w:sz w:val="20"/>
                <w:szCs w:val="20"/>
              </w:rPr>
            </w:pPr>
            <w:r w:rsidRPr="00CC0F64">
              <w:rPr>
                <w:sz w:val="20"/>
                <w:szCs w:val="20"/>
              </w:rPr>
              <w:t>-0.062</w:t>
            </w:r>
          </w:p>
        </w:tc>
        <w:tc>
          <w:tcPr>
            <w:tcW w:w="1211" w:type="dxa"/>
            <w:shd w:val="clear" w:color="auto" w:fill="auto"/>
            <w:vAlign w:val="center"/>
          </w:tcPr>
          <w:p w14:paraId="000001D1" w14:textId="77777777" w:rsidR="00083006" w:rsidRPr="00CC0F64" w:rsidRDefault="0080383E">
            <w:pPr>
              <w:spacing w:line="240" w:lineRule="auto"/>
              <w:jc w:val="center"/>
              <w:rPr>
                <w:sz w:val="20"/>
                <w:szCs w:val="20"/>
              </w:rPr>
            </w:pPr>
            <w:r w:rsidRPr="00CC0F64">
              <w:rPr>
                <w:sz w:val="20"/>
                <w:szCs w:val="20"/>
              </w:rPr>
              <w:t>-0.142</w:t>
            </w:r>
          </w:p>
        </w:tc>
      </w:tr>
      <w:tr w:rsidR="007E3981" w:rsidRPr="00CC0F64" w14:paraId="44E47BCE" w14:textId="77777777">
        <w:trPr>
          <w:trHeight w:val="240"/>
          <w:jc w:val="center"/>
        </w:trPr>
        <w:tc>
          <w:tcPr>
            <w:tcW w:w="2824" w:type="dxa"/>
            <w:shd w:val="clear" w:color="auto" w:fill="auto"/>
            <w:vAlign w:val="center"/>
          </w:tcPr>
          <w:p w14:paraId="000001D2" w14:textId="77777777" w:rsidR="00083006" w:rsidRPr="00CC0F64" w:rsidRDefault="0080383E">
            <w:pPr>
              <w:spacing w:line="240" w:lineRule="auto"/>
              <w:rPr>
                <w:sz w:val="20"/>
                <w:szCs w:val="20"/>
              </w:rPr>
            </w:pPr>
            <w:r w:rsidRPr="00CC0F64">
              <w:rPr>
                <w:sz w:val="20"/>
                <w:szCs w:val="20"/>
              </w:rPr>
              <w:t> </w:t>
            </w:r>
          </w:p>
        </w:tc>
        <w:tc>
          <w:tcPr>
            <w:tcW w:w="1109" w:type="dxa"/>
            <w:shd w:val="clear" w:color="auto" w:fill="auto"/>
            <w:vAlign w:val="center"/>
          </w:tcPr>
          <w:p w14:paraId="000001D3" w14:textId="77777777" w:rsidR="00083006" w:rsidRPr="00CC0F64" w:rsidRDefault="0080383E">
            <w:pPr>
              <w:spacing w:line="240" w:lineRule="auto"/>
              <w:jc w:val="center"/>
              <w:rPr>
                <w:sz w:val="20"/>
                <w:szCs w:val="20"/>
              </w:rPr>
            </w:pPr>
            <w:r w:rsidRPr="00CC0F64">
              <w:rPr>
                <w:sz w:val="20"/>
                <w:szCs w:val="20"/>
              </w:rPr>
              <w:t>(0.097)</w:t>
            </w:r>
          </w:p>
        </w:tc>
        <w:tc>
          <w:tcPr>
            <w:tcW w:w="1272" w:type="dxa"/>
            <w:shd w:val="clear" w:color="auto" w:fill="auto"/>
            <w:vAlign w:val="center"/>
          </w:tcPr>
          <w:p w14:paraId="000001D4" w14:textId="77777777" w:rsidR="00083006" w:rsidRPr="00CC0F64" w:rsidRDefault="0080383E">
            <w:pPr>
              <w:spacing w:line="240" w:lineRule="auto"/>
              <w:jc w:val="center"/>
              <w:rPr>
                <w:sz w:val="20"/>
                <w:szCs w:val="20"/>
              </w:rPr>
            </w:pPr>
            <w:r w:rsidRPr="00CC0F64">
              <w:rPr>
                <w:sz w:val="20"/>
                <w:szCs w:val="20"/>
              </w:rPr>
              <w:t>(0.002)</w:t>
            </w:r>
          </w:p>
        </w:tc>
        <w:tc>
          <w:tcPr>
            <w:tcW w:w="1090" w:type="dxa"/>
            <w:shd w:val="clear" w:color="auto" w:fill="auto"/>
            <w:vAlign w:val="center"/>
          </w:tcPr>
          <w:p w14:paraId="000001D5" w14:textId="77777777" w:rsidR="00083006" w:rsidRPr="00CC0F64" w:rsidRDefault="0080383E">
            <w:pPr>
              <w:spacing w:line="240" w:lineRule="auto"/>
              <w:jc w:val="center"/>
              <w:rPr>
                <w:sz w:val="20"/>
                <w:szCs w:val="20"/>
              </w:rPr>
            </w:pPr>
            <w:r w:rsidRPr="00CC0F64">
              <w:rPr>
                <w:sz w:val="20"/>
                <w:szCs w:val="20"/>
              </w:rPr>
              <w:t>(0.220)</w:t>
            </w:r>
          </w:p>
        </w:tc>
        <w:tc>
          <w:tcPr>
            <w:tcW w:w="1494" w:type="dxa"/>
            <w:shd w:val="clear" w:color="auto" w:fill="auto"/>
            <w:vAlign w:val="center"/>
          </w:tcPr>
          <w:p w14:paraId="000001D6" w14:textId="77777777" w:rsidR="00083006" w:rsidRPr="00CC0F64" w:rsidRDefault="0080383E">
            <w:pPr>
              <w:spacing w:line="240" w:lineRule="auto"/>
              <w:jc w:val="center"/>
              <w:rPr>
                <w:sz w:val="20"/>
                <w:szCs w:val="20"/>
              </w:rPr>
            </w:pPr>
            <w:r w:rsidRPr="00CC0F64">
              <w:rPr>
                <w:sz w:val="20"/>
                <w:szCs w:val="20"/>
              </w:rPr>
              <w:t>(0.060)</w:t>
            </w:r>
          </w:p>
        </w:tc>
        <w:tc>
          <w:tcPr>
            <w:tcW w:w="1211" w:type="dxa"/>
            <w:shd w:val="clear" w:color="auto" w:fill="auto"/>
            <w:vAlign w:val="center"/>
          </w:tcPr>
          <w:p w14:paraId="000001D7" w14:textId="77777777" w:rsidR="00083006" w:rsidRPr="00CC0F64" w:rsidRDefault="0080383E">
            <w:pPr>
              <w:spacing w:line="240" w:lineRule="auto"/>
              <w:jc w:val="center"/>
              <w:rPr>
                <w:sz w:val="20"/>
                <w:szCs w:val="20"/>
              </w:rPr>
            </w:pPr>
            <w:r w:rsidRPr="00CC0F64">
              <w:rPr>
                <w:sz w:val="20"/>
                <w:szCs w:val="20"/>
              </w:rPr>
              <w:t>(0.087)</w:t>
            </w:r>
          </w:p>
        </w:tc>
      </w:tr>
      <w:tr w:rsidR="007E3981" w:rsidRPr="00CC0F64" w14:paraId="0C6E5D6A" w14:textId="77777777">
        <w:trPr>
          <w:trHeight w:val="240"/>
          <w:jc w:val="center"/>
        </w:trPr>
        <w:tc>
          <w:tcPr>
            <w:tcW w:w="2824" w:type="dxa"/>
            <w:shd w:val="clear" w:color="auto" w:fill="auto"/>
            <w:vAlign w:val="center"/>
          </w:tcPr>
          <w:p w14:paraId="000001D8" w14:textId="77777777" w:rsidR="00083006" w:rsidRPr="00CC0F64" w:rsidRDefault="0080383E">
            <w:pPr>
              <w:spacing w:line="240" w:lineRule="auto"/>
              <w:rPr>
                <w:sz w:val="20"/>
                <w:szCs w:val="20"/>
              </w:rPr>
            </w:pPr>
            <w:r w:rsidRPr="00CC0F64">
              <w:rPr>
                <w:sz w:val="20"/>
                <w:szCs w:val="20"/>
              </w:rPr>
              <w:t xml:space="preserve">Const    </w:t>
            </w:r>
          </w:p>
        </w:tc>
        <w:tc>
          <w:tcPr>
            <w:tcW w:w="1109" w:type="dxa"/>
            <w:shd w:val="clear" w:color="auto" w:fill="auto"/>
            <w:vAlign w:val="center"/>
          </w:tcPr>
          <w:p w14:paraId="000001D9" w14:textId="77777777" w:rsidR="00083006" w:rsidRPr="00CC0F64" w:rsidRDefault="0080383E">
            <w:pPr>
              <w:spacing w:line="240" w:lineRule="auto"/>
              <w:jc w:val="center"/>
              <w:rPr>
                <w:sz w:val="20"/>
                <w:szCs w:val="20"/>
              </w:rPr>
            </w:pPr>
            <w:r w:rsidRPr="00CC0F64">
              <w:rPr>
                <w:sz w:val="20"/>
                <w:szCs w:val="20"/>
              </w:rPr>
              <w:t>2.996</w:t>
            </w:r>
          </w:p>
        </w:tc>
        <w:tc>
          <w:tcPr>
            <w:tcW w:w="1272" w:type="dxa"/>
            <w:shd w:val="clear" w:color="auto" w:fill="auto"/>
            <w:vAlign w:val="center"/>
          </w:tcPr>
          <w:p w14:paraId="000001DA" w14:textId="77777777" w:rsidR="00083006" w:rsidRPr="00CC0F64" w:rsidRDefault="0080383E">
            <w:pPr>
              <w:spacing w:line="240" w:lineRule="auto"/>
              <w:jc w:val="center"/>
              <w:rPr>
                <w:sz w:val="20"/>
                <w:szCs w:val="20"/>
              </w:rPr>
            </w:pPr>
            <w:r w:rsidRPr="00CC0F64">
              <w:rPr>
                <w:sz w:val="20"/>
                <w:szCs w:val="20"/>
              </w:rPr>
              <w:t>0.086</w:t>
            </w:r>
          </w:p>
        </w:tc>
        <w:tc>
          <w:tcPr>
            <w:tcW w:w="1090" w:type="dxa"/>
            <w:shd w:val="clear" w:color="auto" w:fill="auto"/>
            <w:vAlign w:val="center"/>
          </w:tcPr>
          <w:p w14:paraId="000001DB" w14:textId="77777777" w:rsidR="00083006" w:rsidRPr="00CC0F64" w:rsidRDefault="0080383E">
            <w:pPr>
              <w:spacing w:line="240" w:lineRule="auto"/>
              <w:jc w:val="center"/>
              <w:rPr>
                <w:sz w:val="20"/>
                <w:szCs w:val="20"/>
              </w:rPr>
            </w:pPr>
            <w:r w:rsidRPr="00CC0F64">
              <w:rPr>
                <w:sz w:val="20"/>
                <w:szCs w:val="20"/>
              </w:rPr>
              <w:t>15.393***</w:t>
            </w:r>
          </w:p>
        </w:tc>
        <w:tc>
          <w:tcPr>
            <w:tcW w:w="1494" w:type="dxa"/>
            <w:shd w:val="clear" w:color="auto" w:fill="auto"/>
            <w:vAlign w:val="center"/>
          </w:tcPr>
          <w:p w14:paraId="000001DC" w14:textId="77777777" w:rsidR="00083006" w:rsidRPr="00CC0F64" w:rsidRDefault="0080383E">
            <w:pPr>
              <w:spacing w:line="240" w:lineRule="auto"/>
              <w:jc w:val="center"/>
              <w:rPr>
                <w:sz w:val="20"/>
                <w:szCs w:val="20"/>
              </w:rPr>
            </w:pPr>
            <w:r w:rsidRPr="00CC0F64">
              <w:rPr>
                <w:sz w:val="20"/>
                <w:szCs w:val="20"/>
              </w:rPr>
              <w:t>1.326</w:t>
            </w:r>
          </w:p>
        </w:tc>
        <w:tc>
          <w:tcPr>
            <w:tcW w:w="1211" w:type="dxa"/>
            <w:shd w:val="clear" w:color="auto" w:fill="auto"/>
            <w:vAlign w:val="center"/>
          </w:tcPr>
          <w:p w14:paraId="000001DD" w14:textId="77777777" w:rsidR="00083006" w:rsidRPr="00CC0F64" w:rsidRDefault="0080383E">
            <w:pPr>
              <w:spacing w:line="240" w:lineRule="auto"/>
              <w:jc w:val="center"/>
              <w:rPr>
                <w:sz w:val="20"/>
                <w:szCs w:val="20"/>
              </w:rPr>
            </w:pPr>
            <w:r w:rsidRPr="00CC0F64">
              <w:rPr>
                <w:sz w:val="20"/>
                <w:szCs w:val="20"/>
              </w:rPr>
              <w:t>0.409</w:t>
            </w:r>
          </w:p>
        </w:tc>
      </w:tr>
      <w:tr w:rsidR="007E3981" w:rsidRPr="00CC0F64" w14:paraId="01025B3E" w14:textId="77777777">
        <w:trPr>
          <w:trHeight w:val="240"/>
          <w:jc w:val="center"/>
        </w:trPr>
        <w:tc>
          <w:tcPr>
            <w:tcW w:w="2824" w:type="dxa"/>
            <w:tcBorders>
              <w:bottom w:val="nil"/>
            </w:tcBorders>
            <w:shd w:val="clear" w:color="auto" w:fill="auto"/>
            <w:vAlign w:val="center"/>
          </w:tcPr>
          <w:p w14:paraId="000001DE" w14:textId="77777777" w:rsidR="00083006" w:rsidRPr="00CC0F64" w:rsidRDefault="0080383E">
            <w:pPr>
              <w:spacing w:line="240" w:lineRule="auto"/>
              <w:rPr>
                <w:sz w:val="20"/>
                <w:szCs w:val="20"/>
              </w:rPr>
            </w:pPr>
            <w:r w:rsidRPr="00CC0F64">
              <w:rPr>
                <w:sz w:val="20"/>
                <w:szCs w:val="20"/>
              </w:rPr>
              <w:t> </w:t>
            </w:r>
          </w:p>
        </w:tc>
        <w:tc>
          <w:tcPr>
            <w:tcW w:w="1109" w:type="dxa"/>
            <w:tcBorders>
              <w:bottom w:val="nil"/>
            </w:tcBorders>
            <w:shd w:val="clear" w:color="auto" w:fill="auto"/>
            <w:vAlign w:val="center"/>
          </w:tcPr>
          <w:p w14:paraId="000001DF" w14:textId="77777777" w:rsidR="00083006" w:rsidRPr="00CC0F64" w:rsidRDefault="0080383E">
            <w:pPr>
              <w:spacing w:line="240" w:lineRule="auto"/>
              <w:jc w:val="center"/>
              <w:rPr>
                <w:sz w:val="20"/>
                <w:szCs w:val="20"/>
              </w:rPr>
            </w:pPr>
            <w:r w:rsidRPr="00CC0F64">
              <w:rPr>
                <w:sz w:val="20"/>
                <w:szCs w:val="20"/>
              </w:rPr>
              <w:t>(2.323)</w:t>
            </w:r>
          </w:p>
        </w:tc>
        <w:tc>
          <w:tcPr>
            <w:tcW w:w="1272" w:type="dxa"/>
            <w:tcBorders>
              <w:bottom w:val="nil"/>
            </w:tcBorders>
            <w:shd w:val="clear" w:color="auto" w:fill="auto"/>
            <w:vAlign w:val="center"/>
          </w:tcPr>
          <w:p w14:paraId="000001E0" w14:textId="77777777" w:rsidR="00083006" w:rsidRPr="00CC0F64" w:rsidRDefault="0080383E">
            <w:pPr>
              <w:spacing w:line="240" w:lineRule="auto"/>
              <w:jc w:val="center"/>
              <w:rPr>
                <w:sz w:val="20"/>
                <w:szCs w:val="20"/>
              </w:rPr>
            </w:pPr>
            <w:r w:rsidRPr="00CC0F64">
              <w:rPr>
                <w:sz w:val="20"/>
                <w:szCs w:val="20"/>
              </w:rPr>
              <w:t>(0.053)</w:t>
            </w:r>
          </w:p>
        </w:tc>
        <w:tc>
          <w:tcPr>
            <w:tcW w:w="1090" w:type="dxa"/>
            <w:tcBorders>
              <w:bottom w:val="nil"/>
            </w:tcBorders>
            <w:shd w:val="clear" w:color="auto" w:fill="auto"/>
            <w:vAlign w:val="center"/>
          </w:tcPr>
          <w:p w14:paraId="000001E1" w14:textId="77777777" w:rsidR="00083006" w:rsidRPr="00CC0F64" w:rsidRDefault="0080383E">
            <w:pPr>
              <w:spacing w:line="240" w:lineRule="auto"/>
              <w:jc w:val="center"/>
              <w:rPr>
                <w:sz w:val="20"/>
                <w:szCs w:val="20"/>
              </w:rPr>
            </w:pPr>
            <w:r w:rsidRPr="00CC0F64">
              <w:rPr>
                <w:sz w:val="20"/>
                <w:szCs w:val="20"/>
              </w:rPr>
              <w:t>(5.284)</w:t>
            </w:r>
          </w:p>
        </w:tc>
        <w:tc>
          <w:tcPr>
            <w:tcW w:w="1494" w:type="dxa"/>
            <w:tcBorders>
              <w:bottom w:val="nil"/>
            </w:tcBorders>
            <w:shd w:val="clear" w:color="auto" w:fill="auto"/>
            <w:vAlign w:val="center"/>
          </w:tcPr>
          <w:p w14:paraId="000001E2" w14:textId="77777777" w:rsidR="00083006" w:rsidRPr="00CC0F64" w:rsidRDefault="0080383E">
            <w:pPr>
              <w:spacing w:line="240" w:lineRule="auto"/>
              <w:jc w:val="center"/>
              <w:rPr>
                <w:sz w:val="20"/>
                <w:szCs w:val="20"/>
              </w:rPr>
            </w:pPr>
            <w:r w:rsidRPr="00CC0F64">
              <w:rPr>
                <w:sz w:val="20"/>
                <w:szCs w:val="20"/>
              </w:rPr>
              <w:t>(1.444)</w:t>
            </w:r>
          </w:p>
        </w:tc>
        <w:tc>
          <w:tcPr>
            <w:tcW w:w="1211" w:type="dxa"/>
            <w:tcBorders>
              <w:bottom w:val="nil"/>
            </w:tcBorders>
            <w:shd w:val="clear" w:color="auto" w:fill="auto"/>
            <w:vAlign w:val="center"/>
          </w:tcPr>
          <w:p w14:paraId="000001E3" w14:textId="77777777" w:rsidR="00083006" w:rsidRPr="00CC0F64" w:rsidRDefault="0080383E">
            <w:pPr>
              <w:spacing w:line="240" w:lineRule="auto"/>
              <w:jc w:val="center"/>
              <w:rPr>
                <w:sz w:val="20"/>
                <w:szCs w:val="20"/>
              </w:rPr>
            </w:pPr>
            <w:r w:rsidRPr="00CC0F64">
              <w:rPr>
                <w:sz w:val="20"/>
                <w:szCs w:val="20"/>
              </w:rPr>
              <w:t>(2.085)</w:t>
            </w:r>
          </w:p>
        </w:tc>
      </w:tr>
      <w:tr w:rsidR="007E3981" w:rsidRPr="00CC0F64" w14:paraId="527301AF" w14:textId="77777777">
        <w:trPr>
          <w:trHeight w:val="240"/>
          <w:jc w:val="center"/>
        </w:trPr>
        <w:tc>
          <w:tcPr>
            <w:tcW w:w="2824" w:type="dxa"/>
            <w:tcBorders>
              <w:top w:val="nil"/>
              <w:bottom w:val="nil"/>
            </w:tcBorders>
            <w:shd w:val="clear" w:color="auto" w:fill="auto"/>
            <w:vAlign w:val="center"/>
          </w:tcPr>
          <w:p w14:paraId="000001E4" w14:textId="77777777" w:rsidR="00083006" w:rsidRPr="00CC0F64" w:rsidRDefault="0080383E">
            <w:pPr>
              <w:spacing w:line="240" w:lineRule="auto"/>
              <w:rPr>
                <w:sz w:val="20"/>
                <w:szCs w:val="20"/>
              </w:rPr>
            </w:pPr>
            <w:r w:rsidRPr="00CC0F64">
              <w:rPr>
                <w:sz w:val="20"/>
                <w:szCs w:val="20"/>
              </w:rPr>
              <w:t xml:space="preserve">Observations </w:t>
            </w:r>
          </w:p>
        </w:tc>
        <w:tc>
          <w:tcPr>
            <w:tcW w:w="1109" w:type="dxa"/>
            <w:tcBorders>
              <w:top w:val="nil"/>
              <w:bottom w:val="nil"/>
            </w:tcBorders>
            <w:shd w:val="clear" w:color="auto" w:fill="auto"/>
            <w:vAlign w:val="center"/>
          </w:tcPr>
          <w:p w14:paraId="000001E5" w14:textId="77777777" w:rsidR="00083006" w:rsidRPr="00CC0F64" w:rsidRDefault="0080383E">
            <w:pPr>
              <w:spacing w:line="240" w:lineRule="auto"/>
              <w:jc w:val="center"/>
              <w:rPr>
                <w:sz w:val="20"/>
                <w:szCs w:val="20"/>
              </w:rPr>
            </w:pPr>
            <w:r w:rsidRPr="00CC0F64">
              <w:rPr>
                <w:sz w:val="20"/>
                <w:szCs w:val="20"/>
              </w:rPr>
              <w:t>148</w:t>
            </w:r>
          </w:p>
        </w:tc>
        <w:tc>
          <w:tcPr>
            <w:tcW w:w="1272" w:type="dxa"/>
            <w:tcBorders>
              <w:top w:val="nil"/>
              <w:bottom w:val="nil"/>
            </w:tcBorders>
            <w:shd w:val="clear" w:color="auto" w:fill="auto"/>
            <w:vAlign w:val="center"/>
          </w:tcPr>
          <w:p w14:paraId="000001E6" w14:textId="77777777" w:rsidR="00083006" w:rsidRPr="00CC0F64" w:rsidRDefault="0080383E">
            <w:pPr>
              <w:spacing w:line="240" w:lineRule="auto"/>
              <w:jc w:val="center"/>
              <w:rPr>
                <w:sz w:val="20"/>
                <w:szCs w:val="20"/>
              </w:rPr>
            </w:pPr>
            <w:r w:rsidRPr="00CC0F64">
              <w:rPr>
                <w:sz w:val="20"/>
                <w:szCs w:val="20"/>
              </w:rPr>
              <w:t>148</w:t>
            </w:r>
          </w:p>
        </w:tc>
        <w:tc>
          <w:tcPr>
            <w:tcW w:w="1090" w:type="dxa"/>
            <w:tcBorders>
              <w:top w:val="nil"/>
              <w:bottom w:val="nil"/>
            </w:tcBorders>
            <w:shd w:val="clear" w:color="auto" w:fill="auto"/>
            <w:vAlign w:val="center"/>
          </w:tcPr>
          <w:p w14:paraId="000001E7" w14:textId="77777777" w:rsidR="00083006" w:rsidRPr="00CC0F64" w:rsidRDefault="0080383E">
            <w:pPr>
              <w:spacing w:line="240" w:lineRule="auto"/>
              <w:jc w:val="center"/>
              <w:rPr>
                <w:sz w:val="20"/>
                <w:szCs w:val="20"/>
              </w:rPr>
            </w:pPr>
            <w:r w:rsidRPr="00CC0F64">
              <w:rPr>
                <w:sz w:val="20"/>
                <w:szCs w:val="20"/>
              </w:rPr>
              <w:t>148</w:t>
            </w:r>
          </w:p>
        </w:tc>
        <w:tc>
          <w:tcPr>
            <w:tcW w:w="1494" w:type="dxa"/>
            <w:tcBorders>
              <w:top w:val="nil"/>
              <w:bottom w:val="nil"/>
            </w:tcBorders>
            <w:shd w:val="clear" w:color="auto" w:fill="auto"/>
            <w:vAlign w:val="center"/>
          </w:tcPr>
          <w:p w14:paraId="000001E8" w14:textId="77777777" w:rsidR="00083006" w:rsidRPr="00CC0F64" w:rsidRDefault="0080383E">
            <w:pPr>
              <w:spacing w:line="240" w:lineRule="auto"/>
              <w:jc w:val="center"/>
              <w:rPr>
                <w:sz w:val="20"/>
                <w:szCs w:val="20"/>
              </w:rPr>
            </w:pPr>
            <w:r w:rsidRPr="00CC0F64">
              <w:rPr>
                <w:sz w:val="20"/>
                <w:szCs w:val="20"/>
              </w:rPr>
              <w:t>148</w:t>
            </w:r>
          </w:p>
        </w:tc>
        <w:tc>
          <w:tcPr>
            <w:tcW w:w="1211" w:type="dxa"/>
            <w:tcBorders>
              <w:top w:val="nil"/>
              <w:bottom w:val="nil"/>
            </w:tcBorders>
            <w:shd w:val="clear" w:color="auto" w:fill="auto"/>
            <w:vAlign w:val="center"/>
          </w:tcPr>
          <w:p w14:paraId="000001E9" w14:textId="77777777" w:rsidR="00083006" w:rsidRPr="00CC0F64" w:rsidRDefault="0080383E">
            <w:pPr>
              <w:spacing w:line="240" w:lineRule="auto"/>
              <w:jc w:val="center"/>
              <w:rPr>
                <w:sz w:val="20"/>
                <w:szCs w:val="20"/>
              </w:rPr>
            </w:pPr>
            <w:r w:rsidRPr="00CC0F64">
              <w:rPr>
                <w:sz w:val="20"/>
                <w:szCs w:val="20"/>
              </w:rPr>
              <w:t>148</w:t>
            </w:r>
          </w:p>
        </w:tc>
      </w:tr>
      <w:tr w:rsidR="007E3981" w:rsidRPr="00CC0F64" w14:paraId="21147E34" w14:textId="77777777">
        <w:trPr>
          <w:trHeight w:val="240"/>
          <w:jc w:val="center"/>
        </w:trPr>
        <w:tc>
          <w:tcPr>
            <w:tcW w:w="2824" w:type="dxa"/>
            <w:tcBorders>
              <w:top w:val="nil"/>
              <w:bottom w:val="nil"/>
            </w:tcBorders>
            <w:shd w:val="clear" w:color="auto" w:fill="auto"/>
            <w:vAlign w:val="center"/>
          </w:tcPr>
          <w:p w14:paraId="000001EA" w14:textId="77777777" w:rsidR="00083006" w:rsidRPr="00CC0F64" w:rsidRDefault="0080383E">
            <w:pPr>
              <w:spacing w:line="240" w:lineRule="auto"/>
              <w:rPr>
                <w:sz w:val="20"/>
                <w:szCs w:val="20"/>
              </w:rPr>
            </w:pPr>
            <w:r w:rsidRPr="00CC0F64">
              <w:rPr>
                <w:sz w:val="20"/>
                <w:szCs w:val="20"/>
              </w:rPr>
              <w:t xml:space="preserve">R2   </w:t>
            </w:r>
          </w:p>
        </w:tc>
        <w:tc>
          <w:tcPr>
            <w:tcW w:w="1109" w:type="dxa"/>
            <w:tcBorders>
              <w:top w:val="nil"/>
              <w:bottom w:val="nil"/>
            </w:tcBorders>
            <w:shd w:val="clear" w:color="auto" w:fill="auto"/>
            <w:vAlign w:val="center"/>
          </w:tcPr>
          <w:p w14:paraId="000001EB" w14:textId="77777777" w:rsidR="00083006" w:rsidRPr="00CC0F64" w:rsidRDefault="0080383E">
            <w:pPr>
              <w:spacing w:line="240" w:lineRule="auto"/>
              <w:jc w:val="center"/>
              <w:rPr>
                <w:sz w:val="20"/>
                <w:szCs w:val="20"/>
              </w:rPr>
            </w:pPr>
            <w:r w:rsidRPr="00CC0F64">
              <w:rPr>
                <w:sz w:val="20"/>
                <w:szCs w:val="20"/>
              </w:rPr>
              <w:t>0.637</w:t>
            </w:r>
          </w:p>
        </w:tc>
        <w:tc>
          <w:tcPr>
            <w:tcW w:w="1272" w:type="dxa"/>
            <w:tcBorders>
              <w:top w:val="nil"/>
              <w:bottom w:val="nil"/>
            </w:tcBorders>
            <w:shd w:val="clear" w:color="auto" w:fill="auto"/>
            <w:vAlign w:val="center"/>
          </w:tcPr>
          <w:p w14:paraId="000001EC" w14:textId="77777777" w:rsidR="00083006" w:rsidRPr="00CC0F64" w:rsidRDefault="0080383E">
            <w:pPr>
              <w:spacing w:line="240" w:lineRule="auto"/>
              <w:jc w:val="center"/>
              <w:rPr>
                <w:sz w:val="20"/>
                <w:szCs w:val="20"/>
              </w:rPr>
            </w:pPr>
            <w:r w:rsidRPr="00CC0F64">
              <w:rPr>
                <w:sz w:val="20"/>
                <w:szCs w:val="20"/>
              </w:rPr>
              <w:t>0.997</w:t>
            </w:r>
          </w:p>
        </w:tc>
        <w:tc>
          <w:tcPr>
            <w:tcW w:w="1090" w:type="dxa"/>
            <w:tcBorders>
              <w:top w:val="nil"/>
              <w:bottom w:val="nil"/>
            </w:tcBorders>
            <w:shd w:val="clear" w:color="auto" w:fill="auto"/>
            <w:vAlign w:val="center"/>
          </w:tcPr>
          <w:p w14:paraId="000001ED" w14:textId="77777777" w:rsidR="00083006" w:rsidRPr="00CC0F64" w:rsidRDefault="0080383E">
            <w:pPr>
              <w:spacing w:line="240" w:lineRule="auto"/>
              <w:jc w:val="center"/>
              <w:rPr>
                <w:sz w:val="20"/>
                <w:szCs w:val="20"/>
              </w:rPr>
            </w:pPr>
            <w:r w:rsidRPr="00CC0F64">
              <w:rPr>
                <w:sz w:val="20"/>
                <w:szCs w:val="20"/>
              </w:rPr>
              <w:t>0.596</w:t>
            </w:r>
          </w:p>
        </w:tc>
        <w:tc>
          <w:tcPr>
            <w:tcW w:w="1494" w:type="dxa"/>
            <w:tcBorders>
              <w:top w:val="nil"/>
              <w:bottom w:val="nil"/>
            </w:tcBorders>
            <w:shd w:val="clear" w:color="auto" w:fill="auto"/>
            <w:vAlign w:val="center"/>
          </w:tcPr>
          <w:p w14:paraId="000001EE" w14:textId="77777777" w:rsidR="00083006" w:rsidRPr="00CC0F64" w:rsidRDefault="0080383E">
            <w:pPr>
              <w:spacing w:line="240" w:lineRule="auto"/>
              <w:jc w:val="center"/>
              <w:rPr>
                <w:sz w:val="20"/>
                <w:szCs w:val="20"/>
              </w:rPr>
            </w:pPr>
            <w:r w:rsidRPr="00CC0F64">
              <w:rPr>
                <w:sz w:val="20"/>
                <w:szCs w:val="20"/>
              </w:rPr>
              <w:t>0.997</w:t>
            </w:r>
          </w:p>
        </w:tc>
        <w:tc>
          <w:tcPr>
            <w:tcW w:w="1211" w:type="dxa"/>
            <w:tcBorders>
              <w:top w:val="nil"/>
              <w:bottom w:val="nil"/>
            </w:tcBorders>
            <w:shd w:val="clear" w:color="auto" w:fill="auto"/>
            <w:vAlign w:val="center"/>
          </w:tcPr>
          <w:p w14:paraId="000001EF" w14:textId="77777777" w:rsidR="00083006" w:rsidRPr="00CC0F64" w:rsidRDefault="0080383E">
            <w:pPr>
              <w:spacing w:line="240" w:lineRule="auto"/>
              <w:jc w:val="center"/>
              <w:rPr>
                <w:sz w:val="20"/>
                <w:szCs w:val="20"/>
              </w:rPr>
            </w:pPr>
            <w:r w:rsidRPr="00CC0F64">
              <w:rPr>
                <w:sz w:val="20"/>
                <w:szCs w:val="20"/>
              </w:rPr>
              <w:t>0.888</w:t>
            </w:r>
          </w:p>
        </w:tc>
      </w:tr>
      <w:tr w:rsidR="007E3981" w:rsidRPr="00CC0F64" w14:paraId="2A3A57D9" w14:textId="77777777">
        <w:trPr>
          <w:trHeight w:val="240"/>
          <w:jc w:val="center"/>
        </w:trPr>
        <w:tc>
          <w:tcPr>
            <w:tcW w:w="2824" w:type="dxa"/>
            <w:tcBorders>
              <w:top w:val="nil"/>
              <w:bottom w:val="nil"/>
            </w:tcBorders>
            <w:shd w:val="clear" w:color="auto" w:fill="auto"/>
            <w:vAlign w:val="center"/>
          </w:tcPr>
          <w:p w14:paraId="000001F0" w14:textId="77777777" w:rsidR="00083006" w:rsidRPr="00CC0F64" w:rsidRDefault="0080383E">
            <w:pPr>
              <w:spacing w:line="240" w:lineRule="auto"/>
              <w:rPr>
                <w:sz w:val="20"/>
                <w:szCs w:val="20"/>
              </w:rPr>
            </w:pPr>
            <w:r w:rsidRPr="00CC0F64">
              <w:rPr>
                <w:sz w:val="20"/>
                <w:szCs w:val="20"/>
              </w:rPr>
              <w:t>Adjusted R2</w:t>
            </w:r>
          </w:p>
        </w:tc>
        <w:tc>
          <w:tcPr>
            <w:tcW w:w="1109" w:type="dxa"/>
            <w:tcBorders>
              <w:top w:val="nil"/>
              <w:bottom w:val="nil"/>
            </w:tcBorders>
            <w:shd w:val="clear" w:color="auto" w:fill="auto"/>
            <w:vAlign w:val="center"/>
          </w:tcPr>
          <w:p w14:paraId="000001F1" w14:textId="77777777" w:rsidR="00083006" w:rsidRPr="00CC0F64" w:rsidRDefault="0080383E">
            <w:pPr>
              <w:spacing w:line="240" w:lineRule="auto"/>
              <w:jc w:val="center"/>
              <w:rPr>
                <w:sz w:val="20"/>
                <w:szCs w:val="20"/>
              </w:rPr>
            </w:pPr>
            <w:r w:rsidRPr="00CC0F64">
              <w:rPr>
                <w:sz w:val="20"/>
                <w:szCs w:val="20"/>
              </w:rPr>
              <w:t>0.611</w:t>
            </w:r>
          </w:p>
        </w:tc>
        <w:tc>
          <w:tcPr>
            <w:tcW w:w="1272" w:type="dxa"/>
            <w:tcBorders>
              <w:top w:val="nil"/>
              <w:bottom w:val="nil"/>
            </w:tcBorders>
            <w:shd w:val="clear" w:color="auto" w:fill="auto"/>
            <w:vAlign w:val="center"/>
          </w:tcPr>
          <w:p w14:paraId="000001F2" w14:textId="77777777" w:rsidR="00083006" w:rsidRPr="00CC0F64" w:rsidRDefault="0080383E">
            <w:pPr>
              <w:spacing w:line="240" w:lineRule="auto"/>
              <w:jc w:val="center"/>
              <w:rPr>
                <w:sz w:val="20"/>
                <w:szCs w:val="20"/>
              </w:rPr>
            </w:pPr>
            <w:r w:rsidRPr="00CC0F64">
              <w:rPr>
                <w:sz w:val="20"/>
                <w:szCs w:val="20"/>
              </w:rPr>
              <w:t>0.997</w:t>
            </w:r>
          </w:p>
        </w:tc>
        <w:tc>
          <w:tcPr>
            <w:tcW w:w="1090" w:type="dxa"/>
            <w:tcBorders>
              <w:top w:val="nil"/>
              <w:bottom w:val="nil"/>
            </w:tcBorders>
            <w:shd w:val="clear" w:color="auto" w:fill="auto"/>
            <w:vAlign w:val="center"/>
          </w:tcPr>
          <w:p w14:paraId="000001F3" w14:textId="77777777" w:rsidR="00083006" w:rsidRPr="00CC0F64" w:rsidRDefault="0080383E">
            <w:pPr>
              <w:spacing w:line="240" w:lineRule="auto"/>
              <w:jc w:val="center"/>
              <w:rPr>
                <w:sz w:val="20"/>
                <w:szCs w:val="20"/>
              </w:rPr>
            </w:pPr>
            <w:r w:rsidRPr="00CC0F64">
              <w:rPr>
                <w:sz w:val="20"/>
                <w:szCs w:val="20"/>
              </w:rPr>
              <w:t>0.567</w:t>
            </w:r>
          </w:p>
        </w:tc>
        <w:tc>
          <w:tcPr>
            <w:tcW w:w="1494" w:type="dxa"/>
            <w:tcBorders>
              <w:top w:val="nil"/>
              <w:bottom w:val="nil"/>
            </w:tcBorders>
            <w:shd w:val="clear" w:color="auto" w:fill="auto"/>
            <w:vAlign w:val="center"/>
          </w:tcPr>
          <w:p w14:paraId="000001F4" w14:textId="77777777" w:rsidR="00083006" w:rsidRPr="00CC0F64" w:rsidRDefault="0080383E">
            <w:pPr>
              <w:spacing w:line="240" w:lineRule="auto"/>
              <w:jc w:val="center"/>
              <w:rPr>
                <w:sz w:val="20"/>
                <w:szCs w:val="20"/>
              </w:rPr>
            </w:pPr>
            <w:r w:rsidRPr="00CC0F64">
              <w:rPr>
                <w:sz w:val="20"/>
                <w:szCs w:val="20"/>
              </w:rPr>
              <w:t>0.997</w:t>
            </w:r>
          </w:p>
        </w:tc>
        <w:tc>
          <w:tcPr>
            <w:tcW w:w="1211" w:type="dxa"/>
            <w:tcBorders>
              <w:top w:val="nil"/>
              <w:bottom w:val="nil"/>
            </w:tcBorders>
            <w:shd w:val="clear" w:color="auto" w:fill="auto"/>
            <w:vAlign w:val="center"/>
          </w:tcPr>
          <w:p w14:paraId="000001F5" w14:textId="77777777" w:rsidR="00083006" w:rsidRPr="00CC0F64" w:rsidRDefault="0080383E">
            <w:pPr>
              <w:spacing w:line="240" w:lineRule="auto"/>
              <w:jc w:val="center"/>
              <w:rPr>
                <w:sz w:val="20"/>
                <w:szCs w:val="20"/>
              </w:rPr>
            </w:pPr>
            <w:r w:rsidRPr="00CC0F64">
              <w:rPr>
                <w:sz w:val="20"/>
                <w:szCs w:val="20"/>
              </w:rPr>
              <w:t>0.880</w:t>
            </w:r>
          </w:p>
        </w:tc>
      </w:tr>
      <w:tr w:rsidR="007E3981" w:rsidRPr="00CC0F64" w14:paraId="1B48FA33" w14:textId="77777777">
        <w:trPr>
          <w:trHeight w:val="240"/>
          <w:jc w:val="center"/>
        </w:trPr>
        <w:tc>
          <w:tcPr>
            <w:tcW w:w="2824" w:type="dxa"/>
            <w:tcBorders>
              <w:top w:val="nil"/>
              <w:bottom w:val="nil"/>
            </w:tcBorders>
            <w:shd w:val="clear" w:color="auto" w:fill="auto"/>
            <w:vAlign w:val="center"/>
          </w:tcPr>
          <w:p w14:paraId="000001F6" w14:textId="77777777" w:rsidR="00083006" w:rsidRPr="00CC0F64" w:rsidRDefault="0080383E">
            <w:pPr>
              <w:spacing w:line="240" w:lineRule="auto"/>
              <w:rPr>
                <w:sz w:val="20"/>
                <w:szCs w:val="20"/>
              </w:rPr>
            </w:pPr>
            <w:r w:rsidRPr="00CC0F64">
              <w:rPr>
                <w:sz w:val="20"/>
                <w:szCs w:val="20"/>
              </w:rPr>
              <w:t>Residual Std. Error (</w:t>
            </w:r>
            <w:proofErr w:type="spellStart"/>
            <w:r w:rsidRPr="00CC0F64">
              <w:rPr>
                <w:sz w:val="20"/>
                <w:szCs w:val="20"/>
              </w:rPr>
              <w:t>df</w:t>
            </w:r>
            <w:proofErr w:type="spellEnd"/>
            <w:r w:rsidRPr="00CC0F64">
              <w:rPr>
                <w:sz w:val="20"/>
                <w:szCs w:val="20"/>
              </w:rPr>
              <w:t xml:space="preserve"> = 137)</w:t>
            </w:r>
          </w:p>
        </w:tc>
        <w:tc>
          <w:tcPr>
            <w:tcW w:w="1109" w:type="dxa"/>
            <w:tcBorders>
              <w:top w:val="nil"/>
              <w:bottom w:val="nil"/>
            </w:tcBorders>
            <w:shd w:val="clear" w:color="auto" w:fill="auto"/>
            <w:vAlign w:val="center"/>
          </w:tcPr>
          <w:p w14:paraId="000001F7" w14:textId="77777777" w:rsidR="00083006" w:rsidRPr="00CC0F64" w:rsidRDefault="0080383E">
            <w:pPr>
              <w:spacing w:line="240" w:lineRule="auto"/>
              <w:jc w:val="center"/>
              <w:rPr>
                <w:sz w:val="20"/>
                <w:szCs w:val="20"/>
              </w:rPr>
            </w:pPr>
            <w:r w:rsidRPr="00CC0F64">
              <w:rPr>
                <w:sz w:val="20"/>
                <w:szCs w:val="20"/>
              </w:rPr>
              <w:t>0.155</w:t>
            </w:r>
          </w:p>
        </w:tc>
        <w:tc>
          <w:tcPr>
            <w:tcW w:w="1272" w:type="dxa"/>
            <w:tcBorders>
              <w:top w:val="nil"/>
              <w:bottom w:val="nil"/>
            </w:tcBorders>
            <w:shd w:val="clear" w:color="auto" w:fill="auto"/>
            <w:vAlign w:val="center"/>
          </w:tcPr>
          <w:p w14:paraId="000001F8" w14:textId="77777777" w:rsidR="00083006" w:rsidRPr="00CC0F64" w:rsidRDefault="0080383E">
            <w:pPr>
              <w:spacing w:line="240" w:lineRule="auto"/>
              <w:jc w:val="center"/>
              <w:rPr>
                <w:sz w:val="20"/>
                <w:szCs w:val="20"/>
              </w:rPr>
            </w:pPr>
            <w:r w:rsidRPr="00CC0F64">
              <w:rPr>
                <w:sz w:val="20"/>
                <w:szCs w:val="20"/>
              </w:rPr>
              <w:t>0.004</w:t>
            </w:r>
          </w:p>
        </w:tc>
        <w:tc>
          <w:tcPr>
            <w:tcW w:w="1090" w:type="dxa"/>
            <w:tcBorders>
              <w:top w:val="nil"/>
              <w:bottom w:val="nil"/>
            </w:tcBorders>
            <w:shd w:val="clear" w:color="auto" w:fill="auto"/>
            <w:vAlign w:val="center"/>
          </w:tcPr>
          <w:p w14:paraId="000001F9" w14:textId="77777777" w:rsidR="00083006" w:rsidRPr="00CC0F64" w:rsidRDefault="0080383E">
            <w:pPr>
              <w:spacing w:line="240" w:lineRule="auto"/>
              <w:jc w:val="center"/>
              <w:rPr>
                <w:sz w:val="20"/>
                <w:szCs w:val="20"/>
              </w:rPr>
            </w:pPr>
            <w:r w:rsidRPr="00CC0F64">
              <w:rPr>
                <w:sz w:val="20"/>
                <w:szCs w:val="20"/>
              </w:rPr>
              <w:t>0.352</w:t>
            </w:r>
          </w:p>
        </w:tc>
        <w:tc>
          <w:tcPr>
            <w:tcW w:w="1494" w:type="dxa"/>
            <w:tcBorders>
              <w:top w:val="nil"/>
              <w:bottom w:val="nil"/>
            </w:tcBorders>
            <w:shd w:val="clear" w:color="auto" w:fill="auto"/>
            <w:vAlign w:val="center"/>
          </w:tcPr>
          <w:p w14:paraId="000001FA" w14:textId="77777777" w:rsidR="00083006" w:rsidRPr="00CC0F64" w:rsidRDefault="0080383E">
            <w:pPr>
              <w:spacing w:line="240" w:lineRule="auto"/>
              <w:jc w:val="center"/>
              <w:rPr>
                <w:sz w:val="20"/>
                <w:szCs w:val="20"/>
              </w:rPr>
            </w:pPr>
            <w:r w:rsidRPr="00CC0F64">
              <w:rPr>
                <w:sz w:val="20"/>
                <w:szCs w:val="20"/>
              </w:rPr>
              <w:t>0.096</w:t>
            </w:r>
          </w:p>
        </w:tc>
        <w:tc>
          <w:tcPr>
            <w:tcW w:w="1211" w:type="dxa"/>
            <w:tcBorders>
              <w:top w:val="nil"/>
              <w:bottom w:val="nil"/>
            </w:tcBorders>
            <w:shd w:val="clear" w:color="auto" w:fill="auto"/>
            <w:vAlign w:val="center"/>
          </w:tcPr>
          <w:p w14:paraId="000001FB" w14:textId="77777777" w:rsidR="00083006" w:rsidRPr="00CC0F64" w:rsidRDefault="0080383E">
            <w:pPr>
              <w:spacing w:line="240" w:lineRule="auto"/>
              <w:jc w:val="center"/>
              <w:rPr>
                <w:sz w:val="20"/>
                <w:szCs w:val="20"/>
              </w:rPr>
            </w:pPr>
            <w:r w:rsidRPr="00CC0F64">
              <w:rPr>
                <w:sz w:val="20"/>
                <w:szCs w:val="20"/>
              </w:rPr>
              <w:t>0.139</w:t>
            </w:r>
          </w:p>
        </w:tc>
      </w:tr>
      <w:tr w:rsidR="007E3981" w:rsidRPr="00CC0F64" w14:paraId="59B32C40" w14:textId="77777777">
        <w:trPr>
          <w:trHeight w:val="240"/>
          <w:jc w:val="center"/>
        </w:trPr>
        <w:tc>
          <w:tcPr>
            <w:tcW w:w="2824" w:type="dxa"/>
            <w:tcBorders>
              <w:top w:val="nil"/>
              <w:bottom w:val="single" w:sz="4" w:space="0" w:color="000000"/>
            </w:tcBorders>
            <w:shd w:val="clear" w:color="auto" w:fill="auto"/>
            <w:vAlign w:val="center"/>
          </w:tcPr>
          <w:p w14:paraId="000001FC" w14:textId="77777777" w:rsidR="00083006" w:rsidRPr="00CC0F64" w:rsidRDefault="0080383E">
            <w:pPr>
              <w:spacing w:line="240" w:lineRule="auto"/>
              <w:rPr>
                <w:sz w:val="20"/>
                <w:szCs w:val="20"/>
              </w:rPr>
            </w:pPr>
            <w:r w:rsidRPr="00CC0F64">
              <w:rPr>
                <w:sz w:val="20"/>
                <w:szCs w:val="20"/>
              </w:rPr>
              <w:t>F Statistic (</w:t>
            </w:r>
            <w:proofErr w:type="spellStart"/>
            <w:r w:rsidRPr="00CC0F64">
              <w:rPr>
                <w:sz w:val="20"/>
                <w:szCs w:val="20"/>
              </w:rPr>
              <w:t>df</w:t>
            </w:r>
            <w:proofErr w:type="spellEnd"/>
            <w:r w:rsidRPr="00CC0F64">
              <w:rPr>
                <w:sz w:val="20"/>
                <w:szCs w:val="20"/>
              </w:rPr>
              <w:t xml:space="preserve"> = 10; 137) </w:t>
            </w:r>
          </w:p>
        </w:tc>
        <w:tc>
          <w:tcPr>
            <w:tcW w:w="1109" w:type="dxa"/>
            <w:tcBorders>
              <w:top w:val="nil"/>
              <w:bottom w:val="single" w:sz="4" w:space="0" w:color="000000"/>
            </w:tcBorders>
            <w:shd w:val="clear" w:color="auto" w:fill="auto"/>
            <w:vAlign w:val="center"/>
          </w:tcPr>
          <w:p w14:paraId="000001FD" w14:textId="77777777" w:rsidR="00083006" w:rsidRPr="00CC0F64" w:rsidRDefault="0080383E">
            <w:pPr>
              <w:spacing w:line="240" w:lineRule="auto"/>
              <w:jc w:val="center"/>
              <w:rPr>
                <w:sz w:val="20"/>
                <w:szCs w:val="20"/>
              </w:rPr>
            </w:pPr>
            <w:r w:rsidRPr="00CC0F64">
              <w:rPr>
                <w:sz w:val="20"/>
                <w:szCs w:val="20"/>
              </w:rPr>
              <w:t>24.093***</w:t>
            </w:r>
          </w:p>
        </w:tc>
        <w:tc>
          <w:tcPr>
            <w:tcW w:w="1272" w:type="dxa"/>
            <w:tcBorders>
              <w:top w:val="nil"/>
              <w:bottom w:val="single" w:sz="4" w:space="0" w:color="000000"/>
            </w:tcBorders>
            <w:shd w:val="clear" w:color="auto" w:fill="auto"/>
            <w:vAlign w:val="center"/>
          </w:tcPr>
          <w:p w14:paraId="000001FE" w14:textId="77777777" w:rsidR="00083006" w:rsidRPr="00CC0F64" w:rsidRDefault="0080383E">
            <w:pPr>
              <w:spacing w:line="240" w:lineRule="auto"/>
              <w:jc w:val="center"/>
              <w:rPr>
                <w:sz w:val="20"/>
                <w:szCs w:val="20"/>
              </w:rPr>
            </w:pPr>
            <w:r w:rsidRPr="00CC0F64">
              <w:rPr>
                <w:sz w:val="20"/>
                <w:szCs w:val="20"/>
              </w:rPr>
              <w:t>5,343.367**</w:t>
            </w:r>
          </w:p>
        </w:tc>
        <w:tc>
          <w:tcPr>
            <w:tcW w:w="1090" w:type="dxa"/>
            <w:tcBorders>
              <w:top w:val="nil"/>
              <w:bottom w:val="single" w:sz="4" w:space="0" w:color="000000"/>
            </w:tcBorders>
            <w:shd w:val="clear" w:color="auto" w:fill="auto"/>
            <w:vAlign w:val="center"/>
          </w:tcPr>
          <w:p w14:paraId="000001FF" w14:textId="77777777" w:rsidR="00083006" w:rsidRPr="00CC0F64" w:rsidRDefault="0080383E">
            <w:pPr>
              <w:spacing w:line="240" w:lineRule="auto"/>
              <w:jc w:val="center"/>
              <w:rPr>
                <w:sz w:val="20"/>
                <w:szCs w:val="20"/>
              </w:rPr>
            </w:pPr>
            <w:r w:rsidRPr="00CC0F64">
              <w:rPr>
                <w:sz w:val="20"/>
                <w:szCs w:val="20"/>
              </w:rPr>
              <w:t>20.219***</w:t>
            </w:r>
          </w:p>
        </w:tc>
        <w:tc>
          <w:tcPr>
            <w:tcW w:w="1494" w:type="dxa"/>
            <w:tcBorders>
              <w:top w:val="nil"/>
              <w:bottom w:val="single" w:sz="4" w:space="0" w:color="000000"/>
            </w:tcBorders>
            <w:shd w:val="clear" w:color="auto" w:fill="auto"/>
            <w:vAlign w:val="center"/>
          </w:tcPr>
          <w:p w14:paraId="00000200" w14:textId="77777777" w:rsidR="00083006" w:rsidRPr="00CC0F64" w:rsidRDefault="0080383E">
            <w:pPr>
              <w:spacing w:line="240" w:lineRule="auto"/>
              <w:jc w:val="center"/>
              <w:rPr>
                <w:sz w:val="20"/>
                <w:szCs w:val="20"/>
              </w:rPr>
            </w:pPr>
            <w:r w:rsidRPr="00CC0F64">
              <w:rPr>
                <w:sz w:val="20"/>
                <w:szCs w:val="20"/>
              </w:rPr>
              <w:t xml:space="preserve"> 4,238.062***</w:t>
            </w:r>
          </w:p>
        </w:tc>
        <w:tc>
          <w:tcPr>
            <w:tcW w:w="1211" w:type="dxa"/>
            <w:tcBorders>
              <w:top w:val="nil"/>
              <w:bottom w:val="single" w:sz="4" w:space="0" w:color="000000"/>
            </w:tcBorders>
            <w:shd w:val="clear" w:color="auto" w:fill="auto"/>
            <w:vAlign w:val="center"/>
          </w:tcPr>
          <w:p w14:paraId="00000201" w14:textId="77777777" w:rsidR="00083006" w:rsidRPr="00CC0F64" w:rsidRDefault="0080383E">
            <w:pPr>
              <w:spacing w:line="240" w:lineRule="auto"/>
              <w:jc w:val="center"/>
              <w:rPr>
                <w:sz w:val="20"/>
                <w:szCs w:val="20"/>
              </w:rPr>
            </w:pPr>
            <w:r w:rsidRPr="00CC0F64">
              <w:rPr>
                <w:sz w:val="20"/>
                <w:szCs w:val="20"/>
              </w:rPr>
              <w:t>108.536***</w:t>
            </w:r>
          </w:p>
        </w:tc>
      </w:tr>
    </w:tbl>
    <w:p w14:paraId="00000202" w14:textId="77777777" w:rsidR="00083006" w:rsidRPr="00CC0F64" w:rsidRDefault="0080383E">
      <w:pPr>
        <w:rPr>
          <w:sz w:val="20"/>
          <w:szCs w:val="20"/>
        </w:rPr>
      </w:pPr>
      <w:r w:rsidRPr="00CC0F64">
        <w:rPr>
          <w:i/>
          <w:sz w:val="20"/>
          <w:szCs w:val="20"/>
        </w:rPr>
        <w:t>Notes:</w:t>
      </w:r>
      <w:r w:rsidRPr="00CC0F64">
        <w:rPr>
          <w:sz w:val="20"/>
          <w:szCs w:val="20"/>
        </w:rPr>
        <w:t xml:space="preserve"> *, **, *** denote statistically significant at the 10%, 5% and 1% levels, respectively.</w:t>
      </w:r>
    </w:p>
    <w:p w14:paraId="00000203" w14:textId="77777777" w:rsidR="00083006" w:rsidRPr="00CC0F64" w:rsidRDefault="00083006">
      <w:pPr>
        <w:spacing w:line="240" w:lineRule="auto"/>
        <w:rPr>
          <w:b/>
          <w:sz w:val="20"/>
          <w:szCs w:val="20"/>
        </w:rPr>
      </w:pPr>
    </w:p>
    <w:p w14:paraId="00000204" w14:textId="77777777" w:rsidR="00083006" w:rsidRPr="00CC0F64" w:rsidRDefault="00083006">
      <w:pPr>
        <w:spacing w:line="240" w:lineRule="auto"/>
        <w:rPr>
          <w:b/>
          <w:sz w:val="20"/>
          <w:szCs w:val="20"/>
        </w:rPr>
      </w:pPr>
    </w:p>
    <w:p w14:paraId="00000205" w14:textId="77777777" w:rsidR="00083006" w:rsidRPr="00CC0F64" w:rsidRDefault="00083006">
      <w:pPr>
        <w:spacing w:line="240" w:lineRule="auto"/>
        <w:rPr>
          <w:b/>
          <w:sz w:val="20"/>
          <w:szCs w:val="20"/>
        </w:rPr>
      </w:pPr>
    </w:p>
    <w:p w14:paraId="00000206" w14:textId="77777777" w:rsidR="00083006" w:rsidRPr="00CC0F64" w:rsidRDefault="00083006">
      <w:pPr>
        <w:spacing w:line="240" w:lineRule="auto"/>
        <w:rPr>
          <w:b/>
          <w:sz w:val="20"/>
          <w:szCs w:val="20"/>
        </w:rPr>
      </w:pPr>
    </w:p>
    <w:p w14:paraId="00000207" w14:textId="77777777" w:rsidR="00083006" w:rsidRPr="00CC0F64" w:rsidRDefault="00083006">
      <w:pPr>
        <w:spacing w:line="240" w:lineRule="auto"/>
        <w:rPr>
          <w:b/>
          <w:sz w:val="20"/>
          <w:szCs w:val="20"/>
        </w:rPr>
      </w:pPr>
    </w:p>
    <w:p w14:paraId="00000208" w14:textId="77777777" w:rsidR="00083006" w:rsidRPr="00CC0F64" w:rsidRDefault="00083006">
      <w:pPr>
        <w:spacing w:line="240" w:lineRule="auto"/>
        <w:rPr>
          <w:b/>
          <w:sz w:val="20"/>
          <w:szCs w:val="20"/>
        </w:rPr>
      </w:pPr>
    </w:p>
    <w:p w14:paraId="00000209" w14:textId="77777777" w:rsidR="00083006" w:rsidRPr="00CC0F64" w:rsidRDefault="00083006">
      <w:pPr>
        <w:spacing w:line="240" w:lineRule="auto"/>
        <w:rPr>
          <w:b/>
          <w:sz w:val="20"/>
          <w:szCs w:val="20"/>
        </w:rPr>
      </w:pPr>
    </w:p>
    <w:p w14:paraId="0000020A" w14:textId="77777777" w:rsidR="00083006" w:rsidRPr="00CC0F64" w:rsidRDefault="00083006">
      <w:pPr>
        <w:spacing w:line="240" w:lineRule="auto"/>
        <w:rPr>
          <w:b/>
          <w:sz w:val="20"/>
          <w:szCs w:val="20"/>
        </w:rPr>
      </w:pPr>
    </w:p>
    <w:p w14:paraId="0000020B" w14:textId="77777777" w:rsidR="00083006" w:rsidRPr="00CC0F64" w:rsidRDefault="00083006">
      <w:pPr>
        <w:spacing w:line="240" w:lineRule="auto"/>
        <w:rPr>
          <w:b/>
          <w:sz w:val="20"/>
          <w:szCs w:val="20"/>
        </w:rPr>
      </w:pPr>
    </w:p>
    <w:p w14:paraId="0000020C" w14:textId="77777777" w:rsidR="00083006" w:rsidRPr="00CC0F64" w:rsidRDefault="00083006">
      <w:pPr>
        <w:spacing w:line="240" w:lineRule="auto"/>
        <w:rPr>
          <w:b/>
          <w:sz w:val="20"/>
          <w:szCs w:val="20"/>
        </w:rPr>
      </w:pPr>
    </w:p>
    <w:p w14:paraId="0000020D" w14:textId="77777777" w:rsidR="00083006" w:rsidRPr="00CC0F64" w:rsidRDefault="00083006">
      <w:pPr>
        <w:spacing w:line="240" w:lineRule="auto"/>
        <w:rPr>
          <w:b/>
          <w:sz w:val="20"/>
          <w:szCs w:val="20"/>
        </w:rPr>
      </w:pPr>
    </w:p>
    <w:p w14:paraId="0000020E" w14:textId="77777777" w:rsidR="00083006" w:rsidRPr="00CC0F64" w:rsidRDefault="00083006">
      <w:pPr>
        <w:spacing w:line="240" w:lineRule="auto"/>
        <w:rPr>
          <w:b/>
          <w:sz w:val="20"/>
          <w:szCs w:val="20"/>
        </w:rPr>
      </w:pPr>
    </w:p>
    <w:p w14:paraId="0000020F" w14:textId="77777777" w:rsidR="00083006" w:rsidRPr="00CC0F64" w:rsidRDefault="00083006">
      <w:pPr>
        <w:spacing w:line="240" w:lineRule="auto"/>
        <w:rPr>
          <w:b/>
          <w:sz w:val="20"/>
          <w:szCs w:val="20"/>
        </w:rPr>
      </w:pPr>
    </w:p>
    <w:p w14:paraId="00000210" w14:textId="77777777" w:rsidR="00083006" w:rsidRPr="00CC0F64" w:rsidRDefault="00083006">
      <w:pPr>
        <w:spacing w:line="240" w:lineRule="auto"/>
        <w:rPr>
          <w:b/>
          <w:sz w:val="20"/>
          <w:szCs w:val="20"/>
        </w:rPr>
      </w:pPr>
    </w:p>
    <w:p w14:paraId="00000211" w14:textId="77777777" w:rsidR="00083006" w:rsidRPr="00CC0F64" w:rsidRDefault="00083006">
      <w:pPr>
        <w:spacing w:line="240" w:lineRule="auto"/>
        <w:rPr>
          <w:b/>
          <w:sz w:val="20"/>
          <w:szCs w:val="20"/>
        </w:rPr>
      </w:pPr>
    </w:p>
    <w:p w14:paraId="00000212" w14:textId="77777777" w:rsidR="00083006" w:rsidRPr="00CC0F64" w:rsidRDefault="00083006">
      <w:pPr>
        <w:spacing w:line="240" w:lineRule="auto"/>
        <w:rPr>
          <w:b/>
          <w:sz w:val="20"/>
          <w:szCs w:val="20"/>
        </w:rPr>
      </w:pPr>
    </w:p>
    <w:p w14:paraId="00000213" w14:textId="77777777" w:rsidR="00083006" w:rsidRPr="00CC0F64" w:rsidRDefault="00083006">
      <w:pPr>
        <w:spacing w:line="240" w:lineRule="auto"/>
        <w:rPr>
          <w:b/>
          <w:sz w:val="20"/>
          <w:szCs w:val="20"/>
        </w:rPr>
      </w:pPr>
    </w:p>
    <w:p w14:paraId="00000214" w14:textId="77777777" w:rsidR="00083006" w:rsidRPr="00CC0F64" w:rsidRDefault="00083006">
      <w:pPr>
        <w:spacing w:line="240" w:lineRule="auto"/>
        <w:rPr>
          <w:b/>
          <w:sz w:val="20"/>
          <w:szCs w:val="20"/>
        </w:rPr>
      </w:pPr>
    </w:p>
    <w:p w14:paraId="00000215" w14:textId="77777777" w:rsidR="00083006" w:rsidRPr="00CC0F64" w:rsidRDefault="00083006">
      <w:pPr>
        <w:spacing w:line="240" w:lineRule="auto"/>
        <w:rPr>
          <w:b/>
          <w:sz w:val="20"/>
          <w:szCs w:val="20"/>
        </w:rPr>
      </w:pPr>
    </w:p>
    <w:p w14:paraId="00000216" w14:textId="77777777" w:rsidR="00083006" w:rsidRPr="00CC0F64" w:rsidRDefault="00083006">
      <w:pPr>
        <w:spacing w:line="240" w:lineRule="auto"/>
        <w:rPr>
          <w:b/>
          <w:sz w:val="20"/>
          <w:szCs w:val="20"/>
        </w:rPr>
      </w:pPr>
    </w:p>
    <w:p w14:paraId="00000217" w14:textId="77777777" w:rsidR="00083006" w:rsidRPr="00CC0F64" w:rsidRDefault="00083006">
      <w:pPr>
        <w:spacing w:line="240" w:lineRule="auto"/>
        <w:rPr>
          <w:b/>
          <w:sz w:val="20"/>
          <w:szCs w:val="20"/>
        </w:rPr>
      </w:pPr>
    </w:p>
    <w:p w14:paraId="00000218" w14:textId="77777777" w:rsidR="00083006" w:rsidRPr="00CC0F64" w:rsidRDefault="00083006">
      <w:pPr>
        <w:spacing w:line="240" w:lineRule="auto"/>
        <w:rPr>
          <w:b/>
          <w:sz w:val="20"/>
          <w:szCs w:val="20"/>
        </w:rPr>
      </w:pPr>
    </w:p>
    <w:p w14:paraId="00000219" w14:textId="77777777" w:rsidR="00083006" w:rsidRPr="00CC0F64" w:rsidRDefault="00083006">
      <w:pPr>
        <w:spacing w:line="240" w:lineRule="auto"/>
        <w:rPr>
          <w:b/>
          <w:sz w:val="20"/>
          <w:szCs w:val="20"/>
        </w:rPr>
      </w:pPr>
    </w:p>
    <w:p w14:paraId="0000021A" w14:textId="77777777" w:rsidR="00083006" w:rsidRPr="00CC0F64" w:rsidRDefault="0080383E">
      <w:pPr>
        <w:spacing w:line="240" w:lineRule="auto"/>
        <w:rPr>
          <w:b/>
          <w:sz w:val="20"/>
          <w:szCs w:val="20"/>
        </w:rPr>
        <w:sectPr w:rsidR="00083006" w:rsidRPr="00CC0F64">
          <w:pgSz w:w="11906" w:h="16838"/>
          <w:pgMar w:top="1440" w:right="1440" w:bottom="1440" w:left="1440" w:header="720" w:footer="720" w:gutter="0"/>
          <w:cols w:space="720"/>
        </w:sectPr>
      </w:pPr>
      <w:r w:rsidRPr="00CC0F64">
        <w:br w:type="page"/>
      </w:r>
    </w:p>
    <w:p w14:paraId="0000021B" w14:textId="77777777" w:rsidR="00083006" w:rsidRPr="00CC0F64" w:rsidRDefault="0080383E">
      <w:pPr>
        <w:spacing w:line="240" w:lineRule="auto"/>
        <w:rPr>
          <w:b/>
          <w:sz w:val="20"/>
          <w:szCs w:val="20"/>
        </w:rPr>
      </w:pPr>
      <w:r w:rsidRPr="00CC0F64">
        <w:rPr>
          <w:rFonts w:ascii="CMBX12" w:eastAsia="CMBX12" w:hAnsi="CMBX12" w:cs="CMBX12"/>
          <w:noProof/>
        </w:rPr>
        <w:lastRenderedPageBreak/>
        <w:drawing>
          <wp:inline distT="0" distB="0" distL="0" distR="0" wp14:anchorId="4FB49B2B" wp14:editId="5EB19B95">
            <wp:extent cx="4244340" cy="2413000"/>
            <wp:effectExtent l="0" t="0" r="0" b="0"/>
            <wp:docPr id="228" name="image10.png" descr="Chart&#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0" name="image10.png" descr="Chart&#10;&#10;Description automatically generated with medium confidence"/>
                    <pic:cNvPicPr preferRelativeResize="0"/>
                  </pic:nvPicPr>
                  <pic:blipFill>
                    <a:blip r:embed="rId47"/>
                    <a:srcRect/>
                    <a:stretch>
                      <a:fillRect/>
                    </a:stretch>
                  </pic:blipFill>
                  <pic:spPr>
                    <a:xfrm>
                      <a:off x="0" y="0"/>
                      <a:ext cx="4244340" cy="2413000"/>
                    </a:xfrm>
                    <a:prstGeom prst="rect">
                      <a:avLst/>
                    </a:prstGeom>
                    <a:ln/>
                  </pic:spPr>
                </pic:pic>
              </a:graphicData>
            </a:graphic>
          </wp:inline>
        </w:drawing>
      </w:r>
      <w:r w:rsidRPr="00CC0F64">
        <w:rPr>
          <w:b/>
          <w:sz w:val="20"/>
          <w:szCs w:val="20"/>
        </w:rPr>
        <w:t xml:space="preserve">   </w:t>
      </w:r>
      <w:r w:rsidRPr="00CC0F64">
        <w:rPr>
          <w:rFonts w:ascii="CMBX12" w:eastAsia="CMBX12" w:hAnsi="CMBX12" w:cs="CMBX12"/>
          <w:noProof/>
        </w:rPr>
        <w:drawing>
          <wp:inline distT="0" distB="0" distL="0" distR="0" wp14:anchorId="5EAA9099" wp14:editId="507A25E2">
            <wp:extent cx="4089400" cy="2425700"/>
            <wp:effectExtent l="0" t="0" r="0" b="0"/>
            <wp:docPr id="227" name="image5.png" descr="Graphical user interface,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5.png" descr="Graphical user interface, chart&#10;&#10;Description automatically generated"/>
                    <pic:cNvPicPr preferRelativeResize="0"/>
                  </pic:nvPicPr>
                  <pic:blipFill>
                    <a:blip r:embed="rId48"/>
                    <a:srcRect/>
                    <a:stretch>
                      <a:fillRect/>
                    </a:stretch>
                  </pic:blipFill>
                  <pic:spPr>
                    <a:xfrm>
                      <a:off x="0" y="0"/>
                      <a:ext cx="4089400" cy="2425700"/>
                    </a:xfrm>
                    <a:prstGeom prst="rect">
                      <a:avLst/>
                    </a:prstGeom>
                    <a:ln/>
                  </pic:spPr>
                </pic:pic>
              </a:graphicData>
            </a:graphic>
          </wp:inline>
        </w:drawing>
      </w:r>
    </w:p>
    <w:p w14:paraId="0000021C" w14:textId="77777777" w:rsidR="00083006" w:rsidRPr="00CC0F64" w:rsidRDefault="00083006">
      <w:pPr>
        <w:rPr>
          <w:b/>
          <w:sz w:val="20"/>
          <w:szCs w:val="20"/>
        </w:rPr>
      </w:pPr>
    </w:p>
    <w:p w14:paraId="0000021D" w14:textId="77777777" w:rsidR="00083006" w:rsidRPr="00CC0F64" w:rsidRDefault="0080383E">
      <w:pPr>
        <w:spacing w:line="240" w:lineRule="auto"/>
        <w:rPr>
          <w:b/>
          <w:sz w:val="20"/>
          <w:szCs w:val="20"/>
        </w:rPr>
      </w:pPr>
      <w:r w:rsidRPr="00CC0F64">
        <w:rPr>
          <w:b/>
          <w:sz w:val="20"/>
          <w:szCs w:val="20"/>
        </w:rPr>
        <w:t xml:space="preserve">   </w:t>
      </w:r>
      <w:r w:rsidRPr="00CC0F64">
        <w:rPr>
          <w:rFonts w:ascii="CMBX12" w:eastAsia="CMBX12" w:hAnsi="CMBX12" w:cs="CMBX12"/>
          <w:noProof/>
        </w:rPr>
        <w:drawing>
          <wp:inline distT="0" distB="0" distL="0" distR="0" wp14:anchorId="790C22F1" wp14:editId="61A58191">
            <wp:extent cx="4044950" cy="2641600"/>
            <wp:effectExtent l="0" t="0" r="0" b="0"/>
            <wp:docPr id="230" name="image16.png" descr="A picture containing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6.png" descr="A picture containing chart&#10;&#10;Description automatically generated"/>
                    <pic:cNvPicPr preferRelativeResize="0"/>
                  </pic:nvPicPr>
                  <pic:blipFill>
                    <a:blip r:embed="rId49"/>
                    <a:srcRect/>
                    <a:stretch>
                      <a:fillRect/>
                    </a:stretch>
                  </pic:blipFill>
                  <pic:spPr>
                    <a:xfrm>
                      <a:off x="0" y="0"/>
                      <a:ext cx="4044950" cy="2641600"/>
                    </a:xfrm>
                    <a:prstGeom prst="rect">
                      <a:avLst/>
                    </a:prstGeom>
                    <a:ln/>
                  </pic:spPr>
                </pic:pic>
              </a:graphicData>
            </a:graphic>
          </wp:inline>
        </w:drawing>
      </w:r>
      <w:r w:rsidRPr="00CC0F64">
        <w:rPr>
          <w:b/>
          <w:sz w:val="20"/>
          <w:szCs w:val="20"/>
        </w:rPr>
        <w:t xml:space="preserve">       </w:t>
      </w:r>
      <w:r w:rsidRPr="00CC0F64">
        <w:rPr>
          <w:rFonts w:ascii="CMBX12" w:eastAsia="CMBX12" w:hAnsi="CMBX12" w:cs="CMBX12"/>
          <w:noProof/>
        </w:rPr>
        <w:drawing>
          <wp:inline distT="0" distB="0" distL="0" distR="0" wp14:anchorId="256887FF" wp14:editId="3635FFD4">
            <wp:extent cx="3987800" cy="2660650"/>
            <wp:effectExtent l="0" t="0" r="0" b="0"/>
            <wp:docPr id="229" name="image21.png" descr="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1.png" descr="Chart&#10;&#10;Description automatically generated"/>
                    <pic:cNvPicPr preferRelativeResize="0"/>
                  </pic:nvPicPr>
                  <pic:blipFill>
                    <a:blip r:embed="rId50"/>
                    <a:srcRect/>
                    <a:stretch>
                      <a:fillRect/>
                    </a:stretch>
                  </pic:blipFill>
                  <pic:spPr>
                    <a:xfrm>
                      <a:off x="0" y="0"/>
                      <a:ext cx="3987800" cy="2660650"/>
                    </a:xfrm>
                    <a:prstGeom prst="rect">
                      <a:avLst/>
                    </a:prstGeom>
                    <a:ln/>
                  </pic:spPr>
                </pic:pic>
              </a:graphicData>
            </a:graphic>
          </wp:inline>
        </w:drawing>
      </w:r>
    </w:p>
    <w:p w14:paraId="0000021E" w14:textId="73FC58F6" w:rsidR="00083006" w:rsidRPr="005D0820" w:rsidRDefault="001D49DD" w:rsidP="001D49DD">
      <w:pPr>
        <w:pStyle w:val="Caption"/>
        <w:jc w:val="center"/>
        <w:rPr>
          <w:color w:val="00B050"/>
          <w:sz w:val="20"/>
          <w:szCs w:val="20"/>
        </w:rPr>
      </w:pPr>
      <w:commentRangeStart w:id="16"/>
      <w:r w:rsidRPr="005D0820">
        <w:rPr>
          <w:color w:val="00B050"/>
        </w:rPr>
        <w:t xml:space="preserve">Figure </w:t>
      </w:r>
      <w:r w:rsidRPr="005D0820">
        <w:rPr>
          <w:color w:val="00B050"/>
        </w:rPr>
        <w:fldChar w:fldCharType="begin"/>
      </w:r>
      <w:r w:rsidRPr="005D0820">
        <w:rPr>
          <w:color w:val="00B050"/>
        </w:rPr>
        <w:instrText xml:space="preserve"> SEQ Figure \* ARABIC </w:instrText>
      </w:r>
      <w:r w:rsidRPr="005D0820">
        <w:rPr>
          <w:color w:val="00B050"/>
        </w:rPr>
        <w:fldChar w:fldCharType="separate"/>
      </w:r>
      <w:r w:rsidR="004E2D14">
        <w:rPr>
          <w:noProof/>
          <w:color w:val="00B050"/>
        </w:rPr>
        <w:t>3</w:t>
      </w:r>
      <w:r w:rsidRPr="005D0820">
        <w:rPr>
          <w:color w:val="00B050"/>
        </w:rPr>
        <w:fldChar w:fldCharType="end"/>
      </w:r>
      <w:r w:rsidRPr="005D0820">
        <w:rPr>
          <w:color w:val="00B050"/>
        </w:rPr>
        <w:t xml:space="preserve"> </w:t>
      </w:r>
      <w:r w:rsidRPr="005D0820">
        <w:rPr>
          <w:color w:val="00B050"/>
          <w:sz w:val="20"/>
          <w:szCs w:val="20"/>
        </w:rPr>
        <w:t>VAR model fit illustration.</w:t>
      </w:r>
      <w:commentRangeEnd w:id="16"/>
      <w:r w:rsidR="00102753">
        <w:rPr>
          <w:rStyle w:val="CommentReference"/>
          <w:rFonts w:cs="Angsana New"/>
          <w:i w:val="0"/>
          <w:iCs w:val="0"/>
          <w:color w:val="auto"/>
          <w:lang w:val="vi"/>
        </w:rPr>
        <w:commentReference w:id="16"/>
      </w:r>
    </w:p>
    <w:p w14:paraId="0000021F" w14:textId="77777777" w:rsidR="00083006" w:rsidRPr="00CC0F64" w:rsidRDefault="00083006">
      <w:pPr>
        <w:spacing w:line="240" w:lineRule="auto"/>
        <w:rPr>
          <w:b/>
          <w:sz w:val="20"/>
          <w:szCs w:val="20"/>
        </w:rPr>
      </w:pPr>
    </w:p>
    <w:p w14:paraId="00000220" w14:textId="77777777" w:rsidR="00083006" w:rsidRPr="00CC0F64" w:rsidRDefault="0080383E">
      <w:pPr>
        <w:spacing w:line="240" w:lineRule="auto"/>
        <w:jc w:val="center"/>
        <w:rPr>
          <w:b/>
          <w:sz w:val="20"/>
          <w:szCs w:val="20"/>
        </w:rPr>
      </w:pPr>
      <w:r w:rsidRPr="00CC0F64">
        <w:rPr>
          <w:noProof/>
        </w:rPr>
        <w:drawing>
          <wp:inline distT="0" distB="0" distL="0" distR="0" wp14:anchorId="50A438B6" wp14:editId="47209002">
            <wp:extent cx="5359400" cy="2324100"/>
            <wp:effectExtent l="0" t="0" r="0" b="0"/>
            <wp:docPr id="232" name="image11.png" descr="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1.png" descr="Chart&#10;&#10;Description automatically generated"/>
                    <pic:cNvPicPr preferRelativeResize="0"/>
                  </pic:nvPicPr>
                  <pic:blipFill>
                    <a:blip r:embed="rId55"/>
                    <a:srcRect/>
                    <a:stretch>
                      <a:fillRect/>
                    </a:stretch>
                  </pic:blipFill>
                  <pic:spPr>
                    <a:xfrm>
                      <a:off x="0" y="0"/>
                      <a:ext cx="5359400" cy="2324100"/>
                    </a:xfrm>
                    <a:prstGeom prst="rect">
                      <a:avLst/>
                    </a:prstGeom>
                    <a:ln/>
                  </pic:spPr>
                </pic:pic>
              </a:graphicData>
            </a:graphic>
          </wp:inline>
        </w:drawing>
      </w:r>
    </w:p>
    <w:p w14:paraId="00000221" w14:textId="12369FFF" w:rsidR="00083006" w:rsidRPr="00451057" w:rsidRDefault="0080383E">
      <w:pPr>
        <w:pBdr>
          <w:top w:val="nil"/>
          <w:left w:val="nil"/>
          <w:bottom w:val="nil"/>
          <w:right w:val="nil"/>
          <w:between w:val="nil"/>
        </w:pBdr>
        <w:spacing w:line="240" w:lineRule="auto"/>
        <w:jc w:val="center"/>
        <w:rPr>
          <w:color w:val="00B050"/>
          <w:sz w:val="20"/>
          <w:szCs w:val="20"/>
          <w:lang w:val="fr-FR"/>
        </w:rPr>
      </w:pPr>
      <w:r w:rsidRPr="00451057">
        <w:rPr>
          <w:b/>
          <w:color w:val="00B050"/>
          <w:sz w:val="20"/>
          <w:szCs w:val="20"/>
          <w:lang w:val="fr-FR"/>
        </w:rPr>
        <w:t>Fig</w:t>
      </w:r>
      <w:r w:rsidR="001D49DD" w:rsidRPr="00451057">
        <w:rPr>
          <w:b/>
          <w:color w:val="00B050"/>
          <w:sz w:val="20"/>
          <w:szCs w:val="20"/>
          <w:lang w:val="fr-FR"/>
        </w:rPr>
        <w:t>ure 3</w:t>
      </w:r>
      <w:r w:rsidRPr="00451057">
        <w:rPr>
          <w:b/>
          <w:color w:val="00B050"/>
          <w:sz w:val="20"/>
          <w:szCs w:val="20"/>
          <w:lang w:val="fr-FR"/>
        </w:rPr>
        <w:t xml:space="preserve"> (</w:t>
      </w:r>
      <w:proofErr w:type="spellStart"/>
      <w:r w:rsidRPr="00451057">
        <w:rPr>
          <w:b/>
          <w:color w:val="00B050"/>
          <w:sz w:val="20"/>
          <w:szCs w:val="20"/>
          <w:lang w:val="fr-FR"/>
        </w:rPr>
        <w:t>Cont</w:t>
      </w:r>
      <w:proofErr w:type="spellEnd"/>
      <w:r w:rsidRPr="00451057">
        <w:rPr>
          <w:b/>
          <w:color w:val="00B050"/>
          <w:sz w:val="20"/>
          <w:szCs w:val="20"/>
          <w:lang w:val="fr-FR"/>
        </w:rPr>
        <w:t xml:space="preserve">.). </w:t>
      </w:r>
      <w:r w:rsidRPr="00451057">
        <w:rPr>
          <w:color w:val="00B050"/>
          <w:sz w:val="20"/>
          <w:szCs w:val="20"/>
          <w:lang w:val="fr-FR"/>
        </w:rPr>
        <w:t>VAR model fit illustration.</w:t>
      </w:r>
    </w:p>
    <w:p w14:paraId="00000222" w14:textId="77777777" w:rsidR="00083006" w:rsidRPr="00451057" w:rsidRDefault="00083006">
      <w:pPr>
        <w:pBdr>
          <w:top w:val="nil"/>
          <w:left w:val="nil"/>
          <w:bottom w:val="nil"/>
          <w:right w:val="nil"/>
          <w:between w:val="nil"/>
        </w:pBdr>
        <w:spacing w:line="240" w:lineRule="auto"/>
        <w:jc w:val="center"/>
        <w:rPr>
          <w:sz w:val="20"/>
          <w:szCs w:val="20"/>
          <w:lang w:val="fr-FR"/>
        </w:rPr>
      </w:pPr>
    </w:p>
    <w:p w14:paraId="00000223" w14:textId="77777777" w:rsidR="00083006" w:rsidRPr="00451057" w:rsidRDefault="00083006">
      <w:pPr>
        <w:pBdr>
          <w:top w:val="nil"/>
          <w:left w:val="nil"/>
          <w:bottom w:val="nil"/>
          <w:right w:val="nil"/>
          <w:between w:val="nil"/>
        </w:pBdr>
        <w:spacing w:line="240" w:lineRule="auto"/>
        <w:jc w:val="center"/>
        <w:rPr>
          <w:sz w:val="20"/>
          <w:szCs w:val="20"/>
          <w:lang w:val="fr-FR"/>
        </w:rPr>
      </w:pPr>
    </w:p>
    <w:p w14:paraId="00000224" w14:textId="77777777" w:rsidR="00083006" w:rsidRPr="00451057" w:rsidRDefault="00083006">
      <w:pPr>
        <w:spacing w:line="240" w:lineRule="auto"/>
        <w:rPr>
          <w:b/>
          <w:sz w:val="20"/>
          <w:szCs w:val="20"/>
          <w:lang w:val="fr-FR"/>
        </w:rPr>
      </w:pPr>
    </w:p>
    <w:p w14:paraId="00000225" w14:textId="77777777" w:rsidR="00083006" w:rsidRPr="00CC0F64" w:rsidRDefault="0080383E">
      <w:pPr>
        <w:spacing w:line="240" w:lineRule="auto"/>
        <w:rPr>
          <w:b/>
          <w:sz w:val="20"/>
          <w:szCs w:val="20"/>
        </w:rPr>
      </w:pPr>
      <w:r w:rsidRPr="00CC0F64">
        <w:rPr>
          <w:b/>
          <w:sz w:val="20"/>
          <w:szCs w:val="20"/>
        </w:rPr>
        <w:t>Table 5. Bandwidths of Var model</w:t>
      </w:r>
    </w:p>
    <w:tbl>
      <w:tblPr>
        <w:tblStyle w:val="a3"/>
        <w:tblW w:w="13800" w:type="dxa"/>
        <w:tblBorders>
          <w:top w:val="single" w:sz="4" w:space="0" w:color="000000"/>
          <w:bottom w:val="single" w:sz="4" w:space="0" w:color="000000"/>
          <w:insideH w:val="single" w:sz="4" w:space="0" w:color="000000"/>
        </w:tblBorders>
        <w:tblLayout w:type="fixed"/>
        <w:tblLook w:val="0400" w:firstRow="0" w:lastRow="0" w:firstColumn="0" w:lastColumn="0" w:noHBand="0" w:noVBand="1"/>
      </w:tblPr>
      <w:tblGrid>
        <w:gridCol w:w="2760"/>
        <w:gridCol w:w="2760"/>
        <w:gridCol w:w="2760"/>
        <w:gridCol w:w="2760"/>
        <w:gridCol w:w="2760"/>
      </w:tblGrid>
      <w:tr w:rsidR="007E3981" w:rsidRPr="00CC0F64" w14:paraId="49B57628" w14:textId="77777777">
        <w:trPr>
          <w:trHeight w:val="290"/>
        </w:trPr>
        <w:tc>
          <w:tcPr>
            <w:tcW w:w="2760" w:type="dxa"/>
            <w:shd w:val="clear" w:color="auto" w:fill="auto"/>
            <w:vAlign w:val="center"/>
          </w:tcPr>
          <w:p w14:paraId="00000226" w14:textId="77777777" w:rsidR="00083006" w:rsidRPr="00CC0F64" w:rsidRDefault="0080383E">
            <w:pPr>
              <w:spacing w:line="240" w:lineRule="auto"/>
              <w:jc w:val="center"/>
              <w:rPr>
                <w:sz w:val="20"/>
                <w:szCs w:val="20"/>
              </w:rPr>
            </w:pPr>
            <w:proofErr w:type="spellStart"/>
            <w:r w:rsidRPr="00CC0F64">
              <w:rPr>
                <w:sz w:val="20"/>
                <w:szCs w:val="20"/>
              </w:rPr>
              <w:t>bw</w:t>
            </w:r>
            <w:proofErr w:type="spellEnd"/>
            <w:r w:rsidRPr="00CC0F64">
              <w:rPr>
                <w:sz w:val="20"/>
                <w:szCs w:val="20"/>
              </w:rPr>
              <w:t xml:space="preserve">. GDP </w:t>
            </w:r>
          </w:p>
        </w:tc>
        <w:tc>
          <w:tcPr>
            <w:tcW w:w="2760" w:type="dxa"/>
            <w:shd w:val="clear" w:color="auto" w:fill="auto"/>
            <w:vAlign w:val="center"/>
          </w:tcPr>
          <w:p w14:paraId="00000227" w14:textId="77777777" w:rsidR="00083006" w:rsidRPr="00CC0F64" w:rsidRDefault="0080383E">
            <w:pPr>
              <w:spacing w:line="240" w:lineRule="auto"/>
              <w:jc w:val="center"/>
              <w:rPr>
                <w:sz w:val="20"/>
                <w:szCs w:val="20"/>
              </w:rPr>
            </w:pPr>
            <w:r w:rsidRPr="00CC0F64">
              <w:rPr>
                <w:sz w:val="20"/>
                <w:szCs w:val="20"/>
              </w:rPr>
              <w:t xml:space="preserve"> </w:t>
            </w:r>
            <w:proofErr w:type="spellStart"/>
            <w:r w:rsidRPr="00CC0F64">
              <w:rPr>
                <w:sz w:val="20"/>
                <w:szCs w:val="20"/>
              </w:rPr>
              <w:t>bw</w:t>
            </w:r>
            <w:proofErr w:type="spellEnd"/>
            <w:r w:rsidRPr="00CC0F64">
              <w:rPr>
                <w:sz w:val="20"/>
                <w:szCs w:val="20"/>
              </w:rPr>
              <w:t>. CPI</w:t>
            </w:r>
          </w:p>
        </w:tc>
        <w:tc>
          <w:tcPr>
            <w:tcW w:w="2760" w:type="dxa"/>
            <w:shd w:val="clear" w:color="auto" w:fill="auto"/>
            <w:vAlign w:val="center"/>
          </w:tcPr>
          <w:p w14:paraId="00000228" w14:textId="77777777" w:rsidR="00083006" w:rsidRPr="00CC0F64" w:rsidRDefault="0080383E">
            <w:pPr>
              <w:spacing w:line="240" w:lineRule="auto"/>
              <w:jc w:val="center"/>
              <w:rPr>
                <w:sz w:val="20"/>
                <w:szCs w:val="20"/>
              </w:rPr>
            </w:pPr>
            <w:proofErr w:type="spellStart"/>
            <w:r w:rsidRPr="00CC0F64">
              <w:rPr>
                <w:sz w:val="20"/>
                <w:szCs w:val="20"/>
              </w:rPr>
              <w:t>bw</w:t>
            </w:r>
            <w:proofErr w:type="spellEnd"/>
            <w:r w:rsidRPr="00CC0F64">
              <w:rPr>
                <w:sz w:val="20"/>
                <w:szCs w:val="20"/>
              </w:rPr>
              <w:t>. Trade Balance</w:t>
            </w:r>
          </w:p>
        </w:tc>
        <w:tc>
          <w:tcPr>
            <w:tcW w:w="2760" w:type="dxa"/>
            <w:shd w:val="clear" w:color="auto" w:fill="auto"/>
            <w:vAlign w:val="center"/>
          </w:tcPr>
          <w:p w14:paraId="00000229" w14:textId="77777777" w:rsidR="00083006" w:rsidRPr="00CC0F64" w:rsidRDefault="0080383E">
            <w:pPr>
              <w:spacing w:line="240" w:lineRule="auto"/>
              <w:jc w:val="center"/>
              <w:rPr>
                <w:sz w:val="20"/>
                <w:szCs w:val="20"/>
              </w:rPr>
            </w:pPr>
            <w:proofErr w:type="spellStart"/>
            <w:r w:rsidRPr="00CC0F64">
              <w:rPr>
                <w:sz w:val="20"/>
                <w:szCs w:val="20"/>
              </w:rPr>
              <w:t>bw</w:t>
            </w:r>
            <w:proofErr w:type="spellEnd"/>
            <w:r w:rsidRPr="00CC0F64">
              <w:rPr>
                <w:sz w:val="20"/>
                <w:szCs w:val="20"/>
              </w:rPr>
              <w:t>. Unemployment</w:t>
            </w:r>
          </w:p>
        </w:tc>
        <w:tc>
          <w:tcPr>
            <w:tcW w:w="2760" w:type="dxa"/>
            <w:shd w:val="clear" w:color="auto" w:fill="auto"/>
            <w:vAlign w:val="center"/>
          </w:tcPr>
          <w:p w14:paraId="0000022A" w14:textId="77777777" w:rsidR="00083006" w:rsidRPr="00CC0F64" w:rsidRDefault="0080383E">
            <w:pPr>
              <w:spacing w:line="240" w:lineRule="auto"/>
              <w:jc w:val="center"/>
              <w:rPr>
                <w:sz w:val="20"/>
                <w:szCs w:val="20"/>
              </w:rPr>
            </w:pPr>
            <w:proofErr w:type="spellStart"/>
            <w:r w:rsidRPr="00CC0F64">
              <w:rPr>
                <w:sz w:val="20"/>
                <w:szCs w:val="20"/>
              </w:rPr>
              <w:t>bw</w:t>
            </w:r>
            <w:proofErr w:type="spellEnd"/>
            <w:r w:rsidRPr="00CC0F64">
              <w:rPr>
                <w:sz w:val="20"/>
                <w:szCs w:val="20"/>
              </w:rPr>
              <w:t xml:space="preserve">. Brent Crude Oil </w:t>
            </w:r>
          </w:p>
        </w:tc>
      </w:tr>
      <w:tr w:rsidR="00083006" w:rsidRPr="00CC0F64" w14:paraId="5182AD61" w14:textId="77777777">
        <w:trPr>
          <w:trHeight w:val="290"/>
        </w:trPr>
        <w:tc>
          <w:tcPr>
            <w:tcW w:w="2760" w:type="dxa"/>
            <w:shd w:val="clear" w:color="auto" w:fill="auto"/>
            <w:vAlign w:val="center"/>
          </w:tcPr>
          <w:p w14:paraId="0000022B" w14:textId="77777777" w:rsidR="00083006" w:rsidRPr="00CC0F64" w:rsidRDefault="0080383E">
            <w:pPr>
              <w:spacing w:line="240" w:lineRule="auto"/>
              <w:jc w:val="center"/>
              <w:rPr>
                <w:sz w:val="20"/>
                <w:szCs w:val="20"/>
              </w:rPr>
            </w:pPr>
            <w:r w:rsidRPr="00CC0F64">
              <w:rPr>
                <w:sz w:val="20"/>
                <w:szCs w:val="20"/>
              </w:rPr>
              <w:t>20.0000</w:t>
            </w:r>
          </w:p>
        </w:tc>
        <w:tc>
          <w:tcPr>
            <w:tcW w:w="2760" w:type="dxa"/>
            <w:shd w:val="clear" w:color="auto" w:fill="auto"/>
            <w:vAlign w:val="center"/>
          </w:tcPr>
          <w:p w14:paraId="0000022C" w14:textId="77777777" w:rsidR="00083006" w:rsidRPr="00CC0F64" w:rsidRDefault="0080383E">
            <w:pPr>
              <w:spacing w:line="240" w:lineRule="auto"/>
              <w:jc w:val="center"/>
              <w:rPr>
                <w:sz w:val="20"/>
                <w:szCs w:val="20"/>
              </w:rPr>
            </w:pPr>
            <w:r w:rsidRPr="00CC0F64">
              <w:rPr>
                <w:sz w:val="20"/>
                <w:szCs w:val="20"/>
              </w:rPr>
              <w:t>1.4277</w:t>
            </w:r>
          </w:p>
        </w:tc>
        <w:tc>
          <w:tcPr>
            <w:tcW w:w="2760" w:type="dxa"/>
            <w:shd w:val="clear" w:color="auto" w:fill="auto"/>
            <w:vAlign w:val="center"/>
          </w:tcPr>
          <w:p w14:paraId="0000022D" w14:textId="77777777" w:rsidR="00083006" w:rsidRPr="00CC0F64" w:rsidRDefault="0080383E">
            <w:pPr>
              <w:spacing w:line="240" w:lineRule="auto"/>
              <w:jc w:val="center"/>
              <w:rPr>
                <w:sz w:val="20"/>
                <w:szCs w:val="20"/>
              </w:rPr>
            </w:pPr>
            <w:r w:rsidRPr="00CC0F64">
              <w:rPr>
                <w:sz w:val="20"/>
                <w:szCs w:val="20"/>
              </w:rPr>
              <w:t>20.0000</w:t>
            </w:r>
          </w:p>
        </w:tc>
        <w:tc>
          <w:tcPr>
            <w:tcW w:w="2760" w:type="dxa"/>
            <w:shd w:val="clear" w:color="auto" w:fill="auto"/>
            <w:vAlign w:val="center"/>
          </w:tcPr>
          <w:p w14:paraId="0000022E" w14:textId="77777777" w:rsidR="00083006" w:rsidRPr="00CC0F64" w:rsidRDefault="0080383E">
            <w:pPr>
              <w:spacing w:line="240" w:lineRule="auto"/>
              <w:jc w:val="center"/>
              <w:rPr>
                <w:sz w:val="20"/>
                <w:szCs w:val="20"/>
              </w:rPr>
            </w:pPr>
            <w:r w:rsidRPr="00CC0F64">
              <w:rPr>
                <w:sz w:val="20"/>
                <w:szCs w:val="20"/>
              </w:rPr>
              <w:t>20.0000</w:t>
            </w:r>
          </w:p>
        </w:tc>
        <w:tc>
          <w:tcPr>
            <w:tcW w:w="2760" w:type="dxa"/>
            <w:shd w:val="clear" w:color="auto" w:fill="auto"/>
            <w:vAlign w:val="center"/>
          </w:tcPr>
          <w:p w14:paraId="0000022F" w14:textId="77777777" w:rsidR="00083006" w:rsidRPr="00CC0F64" w:rsidRDefault="0080383E">
            <w:pPr>
              <w:spacing w:line="240" w:lineRule="auto"/>
              <w:jc w:val="center"/>
              <w:rPr>
                <w:sz w:val="20"/>
                <w:szCs w:val="20"/>
              </w:rPr>
            </w:pPr>
            <w:r w:rsidRPr="00CC0F64">
              <w:rPr>
                <w:sz w:val="20"/>
                <w:szCs w:val="20"/>
              </w:rPr>
              <w:t>20.0000</w:t>
            </w:r>
          </w:p>
        </w:tc>
      </w:tr>
    </w:tbl>
    <w:p w14:paraId="00000230" w14:textId="77777777" w:rsidR="00083006" w:rsidRPr="00CC0F64" w:rsidRDefault="00083006">
      <w:pPr>
        <w:spacing w:line="240" w:lineRule="auto"/>
        <w:rPr>
          <w:b/>
          <w:sz w:val="20"/>
          <w:szCs w:val="20"/>
        </w:rPr>
      </w:pPr>
    </w:p>
    <w:p w14:paraId="00000231" w14:textId="77777777" w:rsidR="00083006" w:rsidRPr="00CC0F64" w:rsidRDefault="00083006">
      <w:pPr>
        <w:spacing w:line="240" w:lineRule="auto"/>
        <w:rPr>
          <w:b/>
          <w:sz w:val="20"/>
          <w:szCs w:val="20"/>
        </w:rPr>
      </w:pPr>
    </w:p>
    <w:p w14:paraId="00000232" w14:textId="77777777" w:rsidR="00083006" w:rsidRPr="00CC0F64" w:rsidRDefault="00083006">
      <w:pPr>
        <w:spacing w:line="240" w:lineRule="auto"/>
        <w:rPr>
          <w:b/>
          <w:sz w:val="20"/>
          <w:szCs w:val="20"/>
        </w:rPr>
      </w:pPr>
    </w:p>
    <w:p w14:paraId="00000233" w14:textId="77777777" w:rsidR="00083006" w:rsidRPr="00CC0F64" w:rsidRDefault="00083006">
      <w:pPr>
        <w:spacing w:line="240" w:lineRule="auto"/>
        <w:rPr>
          <w:b/>
          <w:sz w:val="20"/>
          <w:szCs w:val="20"/>
        </w:rPr>
      </w:pPr>
    </w:p>
    <w:p w14:paraId="00000234" w14:textId="77777777" w:rsidR="00083006" w:rsidRPr="00CC0F64" w:rsidRDefault="00083006">
      <w:pPr>
        <w:spacing w:line="240" w:lineRule="auto"/>
        <w:rPr>
          <w:b/>
          <w:sz w:val="20"/>
          <w:szCs w:val="20"/>
        </w:rPr>
      </w:pPr>
    </w:p>
    <w:p w14:paraId="00000235" w14:textId="77777777" w:rsidR="00083006" w:rsidRPr="00CC0F64" w:rsidRDefault="00083006">
      <w:pPr>
        <w:spacing w:line="240" w:lineRule="auto"/>
        <w:rPr>
          <w:b/>
          <w:sz w:val="20"/>
          <w:szCs w:val="20"/>
        </w:rPr>
      </w:pPr>
    </w:p>
    <w:p w14:paraId="00000236" w14:textId="77777777" w:rsidR="00083006" w:rsidRPr="00CC0F64" w:rsidRDefault="00083006">
      <w:pPr>
        <w:spacing w:line="240" w:lineRule="auto"/>
        <w:rPr>
          <w:b/>
          <w:sz w:val="20"/>
          <w:szCs w:val="20"/>
        </w:rPr>
      </w:pPr>
    </w:p>
    <w:p w14:paraId="00000237" w14:textId="77777777" w:rsidR="00083006" w:rsidRPr="00CC0F64" w:rsidRDefault="00083006">
      <w:pPr>
        <w:spacing w:line="240" w:lineRule="auto"/>
        <w:rPr>
          <w:b/>
          <w:sz w:val="20"/>
          <w:szCs w:val="20"/>
        </w:rPr>
      </w:pPr>
    </w:p>
    <w:p w14:paraId="00000238" w14:textId="77777777" w:rsidR="00083006" w:rsidRPr="00CC0F64" w:rsidRDefault="00083006">
      <w:pPr>
        <w:spacing w:line="240" w:lineRule="auto"/>
        <w:rPr>
          <w:b/>
          <w:sz w:val="20"/>
          <w:szCs w:val="20"/>
        </w:rPr>
      </w:pPr>
    </w:p>
    <w:p w14:paraId="00000239" w14:textId="77777777" w:rsidR="00083006" w:rsidRPr="00CC0F64" w:rsidRDefault="0080383E">
      <w:pPr>
        <w:spacing w:line="240" w:lineRule="auto"/>
      </w:pPr>
      <w:r w:rsidRPr="00CC0F64">
        <w:rPr>
          <w:rFonts w:ascii="CMBX12" w:eastAsia="CMBX12" w:hAnsi="CMBX12" w:cs="CMBX12"/>
          <w:noProof/>
        </w:rPr>
        <w:lastRenderedPageBreak/>
        <w:drawing>
          <wp:inline distT="0" distB="0" distL="0" distR="0" wp14:anchorId="47417A29" wp14:editId="35F86424">
            <wp:extent cx="4437983" cy="1794630"/>
            <wp:effectExtent l="0" t="0" r="0" b="0"/>
            <wp:docPr id="231" name="image19.png" descr="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9.png" descr="Chart&#10;&#10;Description automatically generated"/>
                    <pic:cNvPicPr preferRelativeResize="0"/>
                  </pic:nvPicPr>
                  <pic:blipFill>
                    <a:blip r:embed="rId56"/>
                    <a:srcRect/>
                    <a:stretch>
                      <a:fillRect/>
                    </a:stretch>
                  </pic:blipFill>
                  <pic:spPr>
                    <a:xfrm>
                      <a:off x="0" y="0"/>
                      <a:ext cx="4437983" cy="1794630"/>
                    </a:xfrm>
                    <a:prstGeom prst="rect">
                      <a:avLst/>
                    </a:prstGeom>
                    <a:ln/>
                  </pic:spPr>
                </pic:pic>
              </a:graphicData>
            </a:graphic>
          </wp:inline>
        </w:drawing>
      </w:r>
      <w:r w:rsidRPr="00CC0F64">
        <w:t xml:space="preserve">                   </w:t>
      </w:r>
      <w:r w:rsidRPr="00CC0F64">
        <w:rPr>
          <w:noProof/>
        </w:rPr>
        <w:drawing>
          <wp:inline distT="0" distB="0" distL="0" distR="0" wp14:anchorId="15268C7A" wp14:editId="02E7DE2B">
            <wp:extent cx="3880406" cy="1784295"/>
            <wp:effectExtent l="0" t="0" r="0" b="0"/>
            <wp:docPr id="234" name="image14.png" descr="Chart, histogram&#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4.png" descr="Chart, histogram&#10;&#10;Description automatically generated"/>
                    <pic:cNvPicPr preferRelativeResize="0"/>
                  </pic:nvPicPr>
                  <pic:blipFill>
                    <a:blip r:embed="rId57"/>
                    <a:srcRect/>
                    <a:stretch>
                      <a:fillRect/>
                    </a:stretch>
                  </pic:blipFill>
                  <pic:spPr>
                    <a:xfrm>
                      <a:off x="0" y="0"/>
                      <a:ext cx="3880406" cy="1784295"/>
                    </a:xfrm>
                    <a:prstGeom prst="rect">
                      <a:avLst/>
                    </a:prstGeom>
                    <a:ln/>
                  </pic:spPr>
                </pic:pic>
              </a:graphicData>
            </a:graphic>
          </wp:inline>
        </w:drawing>
      </w:r>
    </w:p>
    <w:p w14:paraId="0000023A" w14:textId="77777777" w:rsidR="00083006" w:rsidRPr="00CC0F64" w:rsidRDefault="0080383E">
      <w:pPr>
        <w:spacing w:line="240" w:lineRule="auto"/>
        <w:rPr>
          <w:b/>
          <w:sz w:val="20"/>
          <w:szCs w:val="20"/>
        </w:rPr>
      </w:pPr>
      <w:r w:rsidRPr="00CC0F64">
        <w:rPr>
          <w:noProof/>
        </w:rPr>
        <w:drawing>
          <wp:inline distT="0" distB="0" distL="0" distR="0" wp14:anchorId="1442D3CB" wp14:editId="62C3C0C1">
            <wp:extent cx="4407020" cy="1910558"/>
            <wp:effectExtent l="0" t="0" r="0" b="0"/>
            <wp:docPr id="233" name="image8.png" descr="Chart, box and whisker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8.png" descr="Chart, box and whisker chart&#10;&#10;Description automatically generated"/>
                    <pic:cNvPicPr preferRelativeResize="0"/>
                  </pic:nvPicPr>
                  <pic:blipFill>
                    <a:blip r:embed="rId58"/>
                    <a:srcRect/>
                    <a:stretch>
                      <a:fillRect/>
                    </a:stretch>
                  </pic:blipFill>
                  <pic:spPr>
                    <a:xfrm>
                      <a:off x="0" y="0"/>
                      <a:ext cx="4407020" cy="1910558"/>
                    </a:xfrm>
                    <a:prstGeom prst="rect">
                      <a:avLst/>
                    </a:prstGeom>
                    <a:ln/>
                  </pic:spPr>
                </pic:pic>
              </a:graphicData>
            </a:graphic>
          </wp:inline>
        </w:drawing>
      </w:r>
      <w:r w:rsidRPr="00CC0F64">
        <w:rPr>
          <w:b/>
          <w:sz w:val="20"/>
          <w:szCs w:val="20"/>
        </w:rPr>
        <w:t xml:space="preserve">                </w:t>
      </w:r>
      <w:r w:rsidRPr="00CC0F64">
        <w:rPr>
          <w:noProof/>
        </w:rPr>
        <w:drawing>
          <wp:inline distT="0" distB="0" distL="0" distR="0" wp14:anchorId="0AC68AD4" wp14:editId="7DC88AE7">
            <wp:extent cx="3929049" cy="1837371"/>
            <wp:effectExtent l="0" t="0" r="0" b="0"/>
            <wp:docPr id="237" name="image27.png" descr="Chart, line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7.png" descr="Chart, line chart&#10;&#10;Description automatically generated"/>
                    <pic:cNvPicPr preferRelativeResize="0"/>
                  </pic:nvPicPr>
                  <pic:blipFill>
                    <a:blip r:embed="rId59"/>
                    <a:srcRect/>
                    <a:stretch>
                      <a:fillRect/>
                    </a:stretch>
                  </pic:blipFill>
                  <pic:spPr>
                    <a:xfrm>
                      <a:off x="0" y="0"/>
                      <a:ext cx="3929049" cy="1837371"/>
                    </a:xfrm>
                    <a:prstGeom prst="rect">
                      <a:avLst/>
                    </a:prstGeom>
                    <a:ln/>
                  </pic:spPr>
                </pic:pic>
              </a:graphicData>
            </a:graphic>
          </wp:inline>
        </w:drawing>
      </w:r>
    </w:p>
    <w:p w14:paraId="49800130" w14:textId="46080F78" w:rsidR="001D49DD" w:rsidRPr="001D49DD" w:rsidRDefault="0080383E" w:rsidP="001D49DD">
      <w:pPr>
        <w:spacing w:line="240" w:lineRule="auto"/>
        <w:jc w:val="center"/>
        <w:rPr>
          <w:b/>
          <w:sz w:val="20"/>
          <w:szCs w:val="20"/>
        </w:rPr>
      </w:pPr>
      <w:r w:rsidRPr="00CC0F64">
        <w:rPr>
          <w:noProof/>
        </w:rPr>
        <w:drawing>
          <wp:inline distT="0" distB="0" distL="0" distR="0" wp14:anchorId="1185C059" wp14:editId="5330D6B2">
            <wp:extent cx="4356044" cy="1714924"/>
            <wp:effectExtent l="0" t="0" r="0" b="0"/>
            <wp:docPr id="235" name="image3.png" descr="Chart, scatter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png" descr="Chart, scatter chart&#10;&#10;Description automatically generated"/>
                    <pic:cNvPicPr preferRelativeResize="0"/>
                  </pic:nvPicPr>
                  <pic:blipFill>
                    <a:blip r:embed="rId60"/>
                    <a:srcRect/>
                    <a:stretch>
                      <a:fillRect/>
                    </a:stretch>
                  </pic:blipFill>
                  <pic:spPr>
                    <a:xfrm>
                      <a:off x="0" y="0"/>
                      <a:ext cx="4356044" cy="1714924"/>
                    </a:xfrm>
                    <a:prstGeom prst="rect">
                      <a:avLst/>
                    </a:prstGeom>
                    <a:ln/>
                  </pic:spPr>
                </pic:pic>
              </a:graphicData>
            </a:graphic>
          </wp:inline>
        </w:drawing>
      </w:r>
      <w:r w:rsidRPr="00CC0F64">
        <w:rPr>
          <w:rFonts w:ascii="CMBX12" w:eastAsia="CMBX12" w:hAnsi="CMBX12" w:cs="CMBX12"/>
          <w:lang w:val="fr-FR"/>
        </w:rPr>
        <w:t xml:space="preserve"> </w:t>
      </w:r>
    </w:p>
    <w:p w14:paraId="0000023C" w14:textId="1E8FB06A" w:rsidR="00083006" w:rsidRPr="005D0820" w:rsidRDefault="001D49DD" w:rsidP="001D49DD">
      <w:pPr>
        <w:pStyle w:val="Caption"/>
        <w:jc w:val="center"/>
        <w:rPr>
          <w:color w:val="00B050"/>
          <w:sz w:val="20"/>
          <w:szCs w:val="20"/>
          <w:lang w:val="fr-FR"/>
        </w:rPr>
      </w:pPr>
      <w:commentRangeStart w:id="17"/>
      <w:r w:rsidRPr="005D0820">
        <w:rPr>
          <w:color w:val="00B050"/>
        </w:rPr>
        <w:t xml:space="preserve">Figure </w:t>
      </w:r>
      <w:r w:rsidRPr="005D0820">
        <w:rPr>
          <w:color w:val="00B050"/>
        </w:rPr>
        <w:fldChar w:fldCharType="begin"/>
      </w:r>
      <w:r w:rsidRPr="005D0820">
        <w:rPr>
          <w:color w:val="00B050"/>
        </w:rPr>
        <w:instrText xml:space="preserve"> SEQ Figure \* ARABIC </w:instrText>
      </w:r>
      <w:r w:rsidRPr="005D0820">
        <w:rPr>
          <w:color w:val="00B050"/>
        </w:rPr>
        <w:fldChar w:fldCharType="separate"/>
      </w:r>
      <w:r w:rsidR="004E2D14">
        <w:rPr>
          <w:noProof/>
          <w:color w:val="00B050"/>
        </w:rPr>
        <w:t>4</w:t>
      </w:r>
      <w:r w:rsidRPr="005D0820">
        <w:rPr>
          <w:color w:val="00B050"/>
        </w:rPr>
        <w:fldChar w:fldCharType="end"/>
      </w:r>
      <w:r w:rsidRPr="005D0820">
        <w:rPr>
          <w:color w:val="00B050"/>
        </w:rPr>
        <w:t xml:space="preserve"> </w:t>
      </w:r>
      <w:proofErr w:type="spellStart"/>
      <w:r w:rsidRPr="005D0820">
        <w:rPr>
          <w:color w:val="00B050"/>
          <w:sz w:val="20"/>
          <w:szCs w:val="20"/>
          <w:lang w:val="fr-FR"/>
        </w:rPr>
        <w:t>tvVAR</w:t>
      </w:r>
      <w:proofErr w:type="spellEnd"/>
      <w:r w:rsidRPr="005D0820">
        <w:rPr>
          <w:color w:val="00B050"/>
          <w:sz w:val="20"/>
          <w:szCs w:val="20"/>
          <w:lang w:val="fr-FR"/>
        </w:rPr>
        <w:t xml:space="preserve"> fit illustration</w:t>
      </w:r>
      <w:commentRangeEnd w:id="17"/>
      <w:r w:rsidR="00102753">
        <w:rPr>
          <w:rStyle w:val="CommentReference"/>
          <w:rFonts w:cs="Angsana New"/>
          <w:i w:val="0"/>
          <w:iCs w:val="0"/>
          <w:color w:val="auto"/>
          <w:lang w:val="vi"/>
        </w:rPr>
        <w:commentReference w:id="17"/>
      </w:r>
    </w:p>
    <w:p w14:paraId="0000023D" w14:textId="77777777" w:rsidR="00083006" w:rsidRPr="00CC0F64" w:rsidRDefault="0080383E">
      <w:pPr>
        <w:spacing w:line="240" w:lineRule="auto"/>
        <w:rPr>
          <w:b/>
          <w:sz w:val="20"/>
          <w:szCs w:val="20"/>
          <w:lang w:val="fr-FR"/>
        </w:rPr>
      </w:pPr>
      <w:r w:rsidRPr="00CC0F64">
        <w:rPr>
          <w:rFonts w:ascii="CMBX12" w:eastAsia="CMBX12" w:hAnsi="CMBX12" w:cs="CMBX12"/>
          <w:noProof/>
        </w:rPr>
        <w:lastRenderedPageBreak/>
        <w:drawing>
          <wp:inline distT="0" distB="0" distL="0" distR="0" wp14:anchorId="13A945A1" wp14:editId="5FE0F898">
            <wp:extent cx="2345374" cy="3587383"/>
            <wp:effectExtent l="0" t="0" r="0" b="0"/>
            <wp:docPr id="236" name="image1.png" descr="Chart, histogram&#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Chart, histogram&#10;&#10;Description automatically generated"/>
                    <pic:cNvPicPr preferRelativeResize="0"/>
                  </pic:nvPicPr>
                  <pic:blipFill>
                    <a:blip r:embed="rId61"/>
                    <a:srcRect/>
                    <a:stretch>
                      <a:fillRect/>
                    </a:stretch>
                  </pic:blipFill>
                  <pic:spPr>
                    <a:xfrm>
                      <a:off x="0" y="0"/>
                      <a:ext cx="2345374" cy="3587383"/>
                    </a:xfrm>
                    <a:prstGeom prst="rect">
                      <a:avLst/>
                    </a:prstGeom>
                    <a:ln/>
                  </pic:spPr>
                </pic:pic>
              </a:graphicData>
            </a:graphic>
          </wp:inline>
        </w:drawing>
      </w:r>
      <w:r w:rsidRPr="00CC0F64">
        <w:rPr>
          <w:lang w:val="fr-FR"/>
        </w:rPr>
        <w:t xml:space="preserve">  </w:t>
      </w:r>
      <w:r w:rsidRPr="00CC0F64">
        <w:rPr>
          <w:noProof/>
        </w:rPr>
        <w:drawing>
          <wp:inline distT="0" distB="0" distL="0" distR="0" wp14:anchorId="54ADC785" wp14:editId="29CC0D2A">
            <wp:extent cx="2096125" cy="3597672"/>
            <wp:effectExtent l="0" t="0" r="0" b="0"/>
            <wp:docPr id="238" name="image24.png" descr="Chart, histogram&#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4.png" descr="Chart, histogram&#10;&#10;Description automatically generated"/>
                    <pic:cNvPicPr preferRelativeResize="0"/>
                  </pic:nvPicPr>
                  <pic:blipFill>
                    <a:blip r:embed="rId62"/>
                    <a:srcRect/>
                    <a:stretch>
                      <a:fillRect/>
                    </a:stretch>
                  </pic:blipFill>
                  <pic:spPr>
                    <a:xfrm>
                      <a:off x="0" y="0"/>
                      <a:ext cx="2096125" cy="3597672"/>
                    </a:xfrm>
                    <a:prstGeom prst="rect">
                      <a:avLst/>
                    </a:prstGeom>
                    <a:ln/>
                  </pic:spPr>
                </pic:pic>
              </a:graphicData>
            </a:graphic>
          </wp:inline>
        </w:drawing>
      </w:r>
      <w:r w:rsidRPr="00CC0F64">
        <w:rPr>
          <w:lang w:val="fr-FR"/>
        </w:rPr>
        <w:t xml:space="preserve">  </w:t>
      </w:r>
      <w:r w:rsidRPr="00CC0F64">
        <w:rPr>
          <w:noProof/>
        </w:rPr>
        <w:drawing>
          <wp:inline distT="0" distB="0" distL="0" distR="0" wp14:anchorId="1421C18D" wp14:editId="6E0B0806">
            <wp:extent cx="2276361" cy="3594012"/>
            <wp:effectExtent l="0" t="0" r="0" b="0"/>
            <wp:docPr id="239" name="image26.png" descr="Chart, line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6.png" descr="Chart, line chart&#10;&#10;Description automatically generated"/>
                    <pic:cNvPicPr preferRelativeResize="0"/>
                  </pic:nvPicPr>
                  <pic:blipFill>
                    <a:blip r:embed="rId63"/>
                    <a:srcRect/>
                    <a:stretch>
                      <a:fillRect/>
                    </a:stretch>
                  </pic:blipFill>
                  <pic:spPr>
                    <a:xfrm>
                      <a:off x="0" y="0"/>
                      <a:ext cx="2276361" cy="3594012"/>
                    </a:xfrm>
                    <a:prstGeom prst="rect">
                      <a:avLst/>
                    </a:prstGeom>
                    <a:ln/>
                  </pic:spPr>
                </pic:pic>
              </a:graphicData>
            </a:graphic>
          </wp:inline>
        </w:drawing>
      </w:r>
      <w:r w:rsidRPr="00CC0F64">
        <w:rPr>
          <w:lang w:val="fr-FR"/>
        </w:rPr>
        <w:t xml:space="preserve">  </w:t>
      </w:r>
      <w:r w:rsidRPr="00CC0F64">
        <w:rPr>
          <w:noProof/>
        </w:rPr>
        <w:drawing>
          <wp:inline distT="0" distB="0" distL="0" distR="0" wp14:anchorId="383FCB29" wp14:editId="0261BCD7">
            <wp:extent cx="2024273" cy="3524481"/>
            <wp:effectExtent l="0" t="0" r="0" b="0"/>
            <wp:docPr id="240" name="image22.png" descr="Chart, histogram&#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2.png" descr="Chart, histogram&#10;&#10;Description automatically generated"/>
                    <pic:cNvPicPr preferRelativeResize="0"/>
                  </pic:nvPicPr>
                  <pic:blipFill>
                    <a:blip r:embed="rId64"/>
                    <a:srcRect/>
                    <a:stretch>
                      <a:fillRect/>
                    </a:stretch>
                  </pic:blipFill>
                  <pic:spPr>
                    <a:xfrm>
                      <a:off x="0" y="0"/>
                      <a:ext cx="2024273" cy="3524481"/>
                    </a:xfrm>
                    <a:prstGeom prst="rect">
                      <a:avLst/>
                    </a:prstGeom>
                    <a:ln/>
                  </pic:spPr>
                </pic:pic>
              </a:graphicData>
            </a:graphic>
          </wp:inline>
        </w:drawing>
      </w:r>
    </w:p>
    <w:p w14:paraId="0000023E" w14:textId="5BEC0011" w:rsidR="00083006" w:rsidRPr="005D0820" w:rsidRDefault="001D49DD" w:rsidP="001D49DD">
      <w:pPr>
        <w:pStyle w:val="Caption"/>
        <w:jc w:val="center"/>
        <w:rPr>
          <w:color w:val="00B050"/>
          <w:sz w:val="20"/>
          <w:szCs w:val="20"/>
        </w:rPr>
      </w:pPr>
      <w:r w:rsidRPr="005D0820">
        <w:rPr>
          <w:color w:val="00B050"/>
        </w:rPr>
        <w:t xml:space="preserve">Figure </w:t>
      </w:r>
      <w:r w:rsidRPr="005D0820">
        <w:rPr>
          <w:color w:val="00B050"/>
        </w:rPr>
        <w:fldChar w:fldCharType="begin"/>
      </w:r>
      <w:r w:rsidRPr="005D0820">
        <w:rPr>
          <w:color w:val="00B050"/>
        </w:rPr>
        <w:instrText xml:space="preserve"> SEQ Figure \* ARABIC </w:instrText>
      </w:r>
      <w:r w:rsidRPr="005D0820">
        <w:rPr>
          <w:color w:val="00B050"/>
        </w:rPr>
        <w:fldChar w:fldCharType="separate"/>
      </w:r>
      <w:r w:rsidR="004E2D14">
        <w:rPr>
          <w:noProof/>
          <w:color w:val="00B050"/>
        </w:rPr>
        <w:t>5</w:t>
      </w:r>
      <w:r w:rsidRPr="005D0820">
        <w:rPr>
          <w:color w:val="00B050"/>
        </w:rPr>
        <w:fldChar w:fldCharType="end"/>
      </w:r>
      <w:r w:rsidRPr="005D0820">
        <w:rPr>
          <w:color w:val="00B050"/>
        </w:rPr>
        <w:t xml:space="preserve"> </w:t>
      </w:r>
      <w:r w:rsidRPr="005D0820">
        <w:rPr>
          <w:color w:val="00B050"/>
          <w:sz w:val="20"/>
          <w:szCs w:val="20"/>
        </w:rPr>
        <w:t>VAR Impulse–response function (IRF)</w:t>
      </w:r>
    </w:p>
    <w:p w14:paraId="0000023F" w14:textId="77777777" w:rsidR="00083006" w:rsidRPr="00CC0F64" w:rsidRDefault="00083006">
      <w:pPr>
        <w:pBdr>
          <w:top w:val="nil"/>
          <w:left w:val="nil"/>
          <w:bottom w:val="nil"/>
          <w:right w:val="nil"/>
          <w:between w:val="nil"/>
        </w:pBdr>
        <w:spacing w:line="240" w:lineRule="auto"/>
        <w:jc w:val="center"/>
        <w:rPr>
          <w:b/>
          <w:sz w:val="20"/>
          <w:szCs w:val="20"/>
        </w:rPr>
      </w:pPr>
    </w:p>
    <w:p w14:paraId="00000240" w14:textId="77777777" w:rsidR="00083006" w:rsidRPr="00CC0F64" w:rsidRDefault="00083006">
      <w:pPr>
        <w:spacing w:line="240" w:lineRule="auto"/>
        <w:rPr>
          <w:b/>
          <w:sz w:val="20"/>
          <w:szCs w:val="20"/>
        </w:rPr>
      </w:pPr>
    </w:p>
    <w:p w14:paraId="00000241" w14:textId="77777777" w:rsidR="00083006" w:rsidRPr="00CC0F64" w:rsidRDefault="00083006">
      <w:pPr>
        <w:spacing w:line="240" w:lineRule="auto"/>
        <w:rPr>
          <w:b/>
          <w:sz w:val="20"/>
          <w:szCs w:val="20"/>
        </w:rPr>
      </w:pPr>
    </w:p>
    <w:p w14:paraId="00000242" w14:textId="77777777" w:rsidR="00083006" w:rsidRPr="00CC0F64" w:rsidRDefault="00083006">
      <w:pPr>
        <w:spacing w:line="240" w:lineRule="auto"/>
        <w:rPr>
          <w:b/>
          <w:sz w:val="20"/>
          <w:szCs w:val="20"/>
        </w:rPr>
      </w:pPr>
    </w:p>
    <w:p w14:paraId="00000243" w14:textId="77777777" w:rsidR="00083006" w:rsidRPr="00CC0F64" w:rsidRDefault="00083006">
      <w:pPr>
        <w:spacing w:line="240" w:lineRule="auto"/>
        <w:rPr>
          <w:b/>
          <w:sz w:val="20"/>
          <w:szCs w:val="20"/>
        </w:rPr>
      </w:pPr>
    </w:p>
    <w:p w14:paraId="00000244" w14:textId="77777777" w:rsidR="00083006" w:rsidRPr="00CC0F64" w:rsidRDefault="00083006">
      <w:pPr>
        <w:spacing w:line="240" w:lineRule="auto"/>
        <w:rPr>
          <w:b/>
          <w:sz w:val="20"/>
          <w:szCs w:val="20"/>
        </w:rPr>
      </w:pPr>
    </w:p>
    <w:p w14:paraId="00000245" w14:textId="77777777" w:rsidR="00083006" w:rsidRPr="00CC0F64" w:rsidRDefault="00083006">
      <w:pPr>
        <w:spacing w:line="240" w:lineRule="auto"/>
        <w:rPr>
          <w:b/>
          <w:sz w:val="20"/>
          <w:szCs w:val="20"/>
        </w:rPr>
      </w:pPr>
    </w:p>
    <w:p w14:paraId="00000246" w14:textId="77777777" w:rsidR="00083006" w:rsidRPr="00CC0F64" w:rsidRDefault="00083006">
      <w:pPr>
        <w:spacing w:line="240" w:lineRule="auto"/>
        <w:rPr>
          <w:b/>
          <w:sz w:val="20"/>
          <w:szCs w:val="20"/>
        </w:rPr>
      </w:pPr>
    </w:p>
    <w:p w14:paraId="00000247" w14:textId="77777777" w:rsidR="00083006" w:rsidRPr="00CC0F64" w:rsidRDefault="00083006">
      <w:pPr>
        <w:spacing w:line="240" w:lineRule="auto"/>
        <w:rPr>
          <w:b/>
          <w:sz w:val="20"/>
          <w:szCs w:val="20"/>
        </w:rPr>
      </w:pPr>
    </w:p>
    <w:p w14:paraId="00000248" w14:textId="77777777" w:rsidR="00083006" w:rsidRPr="00CC0F64" w:rsidRDefault="00083006">
      <w:pPr>
        <w:spacing w:line="240" w:lineRule="auto"/>
        <w:rPr>
          <w:b/>
          <w:sz w:val="20"/>
          <w:szCs w:val="20"/>
        </w:rPr>
      </w:pPr>
    </w:p>
    <w:p w14:paraId="00000249" w14:textId="77777777" w:rsidR="00083006" w:rsidRPr="00CC0F64" w:rsidRDefault="0080383E">
      <w:pPr>
        <w:spacing w:line="240" w:lineRule="auto"/>
        <w:rPr>
          <w:b/>
          <w:sz w:val="20"/>
          <w:szCs w:val="20"/>
        </w:rPr>
      </w:pPr>
      <w:r w:rsidRPr="00CC0F64">
        <w:rPr>
          <w:noProof/>
        </w:rPr>
        <w:lastRenderedPageBreak/>
        <w:drawing>
          <wp:inline distT="0" distB="0" distL="0" distR="0" wp14:anchorId="7A962884" wp14:editId="6D9D5ACC">
            <wp:extent cx="2184856" cy="3525249"/>
            <wp:effectExtent l="0" t="0" r="0" b="0"/>
            <wp:docPr id="241" name="image28.png" descr="Chart, line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8.png" descr="Chart, line chart&#10;&#10;Description automatically generated"/>
                    <pic:cNvPicPr preferRelativeResize="0"/>
                  </pic:nvPicPr>
                  <pic:blipFill>
                    <a:blip r:embed="rId65"/>
                    <a:srcRect/>
                    <a:stretch>
                      <a:fillRect/>
                    </a:stretch>
                  </pic:blipFill>
                  <pic:spPr>
                    <a:xfrm>
                      <a:off x="0" y="0"/>
                      <a:ext cx="2184856" cy="3525249"/>
                    </a:xfrm>
                    <a:prstGeom prst="rect">
                      <a:avLst/>
                    </a:prstGeom>
                    <a:ln/>
                  </pic:spPr>
                </pic:pic>
              </a:graphicData>
            </a:graphic>
          </wp:inline>
        </w:drawing>
      </w:r>
      <w:r w:rsidRPr="00CC0F64">
        <w:rPr>
          <w:b/>
          <w:sz w:val="20"/>
          <w:szCs w:val="20"/>
        </w:rPr>
        <w:t xml:space="preserve">    </w:t>
      </w:r>
      <w:r w:rsidRPr="00CC0F64">
        <w:rPr>
          <w:noProof/>
        </w:rPr>
        <w:drawing>
          <wp:inline distT="0" distB="0" distL="0" distR="0" wp14:anchorId="48B124D7" wp14:editId="4EDF3920">
            <wp:extent cx="2179961" cy="3527407"/>
            <wp:effectExtent l="0" t="0" r="0" b="0"/>
            <wp:docPr id="242" name="image18.png" descr="Chart, line 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8.png" descr="Chart, line chart&#10;&#10;Description automatically generated"/>
                    <pic:cNvPicPr preferRelativeResize="0"/>
                  </pic:nvPicPr>
                  <pic:blipFill>
                    <a:blip r:embed="rId66"/>
                    <a:srcRect/>
                    <a:stretch>
                      <a:fillRect/>
                    </a:stretch>
                  </pic:blipFill>
                  <pic:spPr>
                    <a:xfrm>
                      <a:off x="0" y="0"/>
                      <a:ext cx="2179961" cy="3527407"/>
                    </a:xfrm>
                    <a:prstGeom prst="rect">
                      <a:avLst/>
                    </a:prstGeom>
                    <a:ln/>
                  </pic:spPr>
                </pic:pic>
              </a:graphicData>
            </a:graphic>
          </wp:inline>
        </w:drawing>
      </w:r>
      <w:r w:rsidRPr="00CC0F64">
        <w:rPr>
          <w:b/>
          <w:sz w:val="20"/>
          <w:szCs w:val="20"/>
        </w:rPr>
        <w:t xml:space="preserve">  </w:t>
      </w:r>
      <w:r w:rsidRPr="00CC0F64">
        <w:rPr>
          <w:noProof/>
        </w:rPr>
        <w:drawing>
          <wp:inline distT="0" distB="0" distL="0" distR="0" wp14:anchorId="649F657A" wp14:editId="5204E5E4">
            <wp:extent cx="2246958" cy="3571138"/>
            <wp:effectExtent l="0" t="0" r="0" b="0"/>
            <wp:docPr id="243" name="image20.png" descr="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0.png" descr="Chart&#10;&#10;Description automatically generated"/>
                    <pic:cNvPicPr preferRelativeResize="0"/>
                  </pic:nvPicPr>
                  <pic:blipFill>
                    <a:blip r:embed="rId67"/>
                    <a:srcRect/>
                    <a:stretch>
                      <a:fillRect/>
                    </a:stretch>
                  </pic:blipFill>
                  <pic:spPr>
                    <a:xfrm>
                      <a:off x="0" y="0"/>
                      <a:ext cx="2246958" cy="3571138"/>
                    </a:xfrm>
                    <a:prstGeom prst="rect">
                      <a:avLst/>
                    </a:prstGeom>
                    <a:ln/>
                  </pic:spPr>
                </pic:pic>
              </a:graphicData>
            </a:graphic>
          </wp:inline>
        </w:drawing>
      </w:r>
      <w:r w:rsidRPr="00CC0F64">
        <w:rPr>
          <w:b/>
          <w:sz w:val="20"/>
          <w:szCs w:val="20"/>
        </w:rPr>
        <w:t xml:space="preserve">  </w:t>
      </w:r>
      <w:r w:rsidRPr="00CC0F64">
        <w:rPr>
          <w:noProof/>
        </w:rPr>
        <w:drawing>
          <wp:inline distT="0" distB="0" distL="0" distR="0" wp14:anchorId="20F43D3D" wp14:editId="54DE05BB">
            <wp:extent cx="2109759" cy="3490238"/>
            <wp:effectExtent l="0" t="0" r="0" b="0"/>
            <wp:docPr id="244" name="image23.png" descr="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3.png" descr="Chart&#10;&#10;Description automatically generated"/>
                    <pic:cNvPicPr preferRelativeResize="0"/>
                  </pic:nvPicPr>
                  <pic:blipFill>
                    <a:blip r:embed="rId68"/>
                    <a:srcRect/>
                    <a:stretch>
                      <a:fillRect/>
                    </a:stretch>
                  </pic:blipFill>
                  <pic:spPr>
                    <a:xfrm>
                      <a:off x="0" y="0"/>
                      <a:ext cx="2109759" cy="3490238"/>
                    </a:xfrm>
                    <a:prstGeom prst="rect">
                      <a:avLst/>
                    </a:prstGeom>
                    <a:ln/>
                  </pic:spPr>
                </pic:pic>
              </a:graphicData>
            </a:graphic>
          </wp:inline>
        </w:drawing>
      </w:r>
      <w:r w:rsidRPr="00CC0F64">
        <w:rPr>
          <w:b/>
          <w:sz w:val="20"/>
          <w:szCs w:val="20"/>
        </w:rPr>
        <w:t xml:space="preserve"> </w:t>
      </w:r>
    </w:p>
    <w:p w14:paraId="0000024A" w14:textId="43E7A365" w:rsidR="00083006" w:rsidRPr="005D0820" w:rsidRDefault="001D49DD" w:rsidP="001D49DD">
      <w:pPr>
        <w:pStyle w:val="Caption"/>
        <w:jc w:val="center"/>
        <w:rPr>
          <w:color w:val="00B050"/>
          <w:sz w:val="20"/>
          <w:szCs w:val="20"/>
        </w:rPr>
      </w:pPr>
      <w:r w:rsidRPr="005D0820">
        <w:rPr>
          <w:color w:val="00B050"/>
        </w:rPr>
        <w:t xml:space="preserve">Figure </w:t>
      </w:r>
      <w:r w:rsidRPr="005D0820">
        <w:rPr>
          <w:color w:val="00B050"/>
        </w:rPr>
        <w:fldChar w:fldCharType="begin"/>
      </w:r>
      <w:r w:rsidRPr="005D0820">
        <w:rPr>
          <w:color w:val="00B050"/>
        </w:rPr>
        <w:instrText xml:space="preserve"> SEQ Figure \* ARABIC </w:instrText>
      </w:r>
      <w:r w:rsidRPr="005D0820">
        <w:rPr>
          <w:color w:val="00B050"/>
        </w:rPr>
        <w:fldChar w:fldCharType="separate"/>
      </w:r>
      <w:r w:rsidR="004E2D14">
        <w:rPr>
          <w:noProof/>
          <w:color w:val="00B050"/>
        </w:rPr>
        <w:t>6</w:t>
      </w:r>
      <w:r w:rsidRPr="005D0820">
        <w:rPr>
          <w:color w:val="00B050"/>
        </w:rPr>
        <w:fldChar w:fldCharType="end"/>
      </w:r>
      <w:r w:rsidRPr="005D0820">
        <w:rPr>
          <w:color w:val="00B050"/>
        </w:rPr>
        <w:t xml:space="preserve"> </w:t>
      </w:r>
      <w:r w:rsidRPr="005D0820">
        <w:rPr>
          <w:color w:val="00B050"/>
          <w:sz w:val="20"/>
          <w:szCs w:val="20"/>
        </w:rPr>
        <w:t>Time variance VAR impulse–response function (IRF)</w:t>
      </w:r>
    </w:p>
    <w:p w14:paraId="0000024B" w14:textId="77777777" w:rsidR="00083006" w:rsidRPr="00CC0F64" w:rsidRDefault="00083006">
      <w:pPr>
        <w:pBdr>
          <w:top w:val="nil"/>
          <w:left w:val="nil"/>
          <w:bottom w:val="nil"/>
          <w:right w:val="nil"/>
          <w:between w:val="nil"/>
        </w:pBdr>
        <w:spacing w:line="240" w:lineRule="auto"/>
        <w:jc w:val="center"/>
        <w:rPr>
          <w:sz w:val="20"/>
          <w:szCs w:val="20"/>
        </w:rPr>
      </w:pPr>
    </w:p>
    <w:p w14:paraId="0000024C" w14:textId="77777777" w:rsidR="00083006" w:rsidRPr="00CC0F64" w:rsidRDefault="00083006">
      <w:pPr>
        <w:pBdr>
          <w:top w:val="nil"/>
          <w:left w:val="nil"/>
          <w:bottom w:val="nil"/>
          <w:right w:val="nil"/>
          <w:between w:val="nil"/>
        </w:pBdr>
        <w:spacing w:line="240" w:lineRule="auto"/>
        <w:jc w:val="center"/>
        <w:rPr>
          <w:sz w:val="20"/>
          <w:szCs w:val="20"/>
        </w:rPr>
      </w:pPr>
    </w:p>
    <w:p w14:paraId="0000024D" w14:textId="77777777" w:rsidR="00083006" w:rsidRPr="00CC0F64" w:rsidRDefault="00083006">
      <w:pPr>
        <w:pBdr>
          <w:top w:val="nil"/>
          <w:left w:val="nil"/>
          <w:bottom w:val="nil"/>
          <w:right w:val="nil"/>
          <w:between w:val="nil"/>
        </w:pBdr>
        <w:spacing w:line="240" w:lineRule="auto"/>
        <w:jc w:val="center"/>
        <w:rPr>
          <w:sz w:val="20"/>
          <w:szCs w:val="20"/>
        </w:rPr>
      </w:pPr>
    </w:p>
    <w:p w14:paraId="0000024E" w14:textId="77777777" w:rsidR="00083006" w:rsidRPr="00CC0F64" w:rsidRDefault="00083006">
      <w:pPr>
        <w:pBdr>
          <w:top w:val="nil"/>
          <w:left w:val="nil"/>
          <w:bottom w:val="nil"/>
          <w:right w:val="nil"/>
          <w:between w:val="nil"/>
        </w:pBdr>
        <w:spacing w:line="240" w:lineRule="auto"/>
        <w:jc w:val="center"/>
        <w:rPr>
          <w:sz w:val="20"/>
          <w:szCs w:val="20"/>
        </w:rPr>
      </w:pPr>
    </w:p>
    <w:p w14:paraId="0000024F" w14:textId="77777777" w:rsidR="00083006" w:rsidRPr="00CC0F64" w:rsidRDefault="0080383E">
      <w:pPr>
        <w:pBdr>
          <w:top w:val="nil"/>
          <w:left w:val="nil"/>
          <w:bottom w:val="nil"/>
          <w:right w:val="nil"/>
          <w:between w:val="nil"/>
        </w:pBdr>
        <w:spacing w:line="240" w:lineRule="auto"/>
        <w:rPr>
          <w:sz w:val="20"/>
          <w:szCs w:val="20"/>
        </w:rPr>
      </w:pPr>
      <w:r w:rsidRPr="00CC0F64">
        <w:rPr>
          <w:noProof/>
        </w:rPr>
        <w:lastRenderedPageBreak/>
        <w:drawing>
          <wp:inline distT="0" distB="0" distL="0" distR="0" wp14:anchorId="648EB617" wp14:editId="51EC846B">
            <wp:extent cx="2198641" cy="3672865"/>
            <wp:effectExtent l="0" t="0" r="0" b="0"/>
            <wp:docPr id="245" name="image25.png" descr="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5.png" descr="Chart&#10;&#10;Description automatically generated"/>
                    <pic:cNvPicPr preferRelativeResize="0"/>
                  </pic:nvPicPr>
                  <pic:blipFill>
                    <a:blip r:embed="rId69"/>
                    <a:srcRect/>
                    <a:stretch>
                      <a:fillRect/>
                    </a:stretch>
                  </pic:blipFill>
                  <pic:spPr>
                    <a:xfrm>
                      <a:off x="0" y="0"/>
                      <a:ext cx="2198641" cy="3672865"/>
                    </a:xfrm>
                    <a:prstGeom prst="rect">
                      <a:avLst/>
                    </a:prstGeom>
                    <a:ln/>
                  </pic:spPr>
                </pic:pic>
              </a:graphicData>
            </a:graphic>
          </wp:inline>
        </w:drawing>
      </w:r>
      <w:r w:rsidRPr="00CC0F64">
        <w:rPr>
          <w:sz w:val="20"/>
          <w:szCs w:val="20"/>
        </w:rPr>
        <w:t xml:space="preserve">  </w:t>
      </w:r>
      <w:r w:rsidRPr="00CC0F64">
        <w:rPr>
          <w:noProof/>
        </w:rPr>
        <w:drawing>
          <wp:inline distT="0" distB="0" distL="0" distR="0" wp14:anchorId="79A0E492" wp14:editId="2C6D9DDE">
            <wp:extent cx="2135178" cy="3675435"/>
            <wp:effectExtent l="0" t="0" r="0" b="0"/>
            <wp:docPr id="219" name="image2.png" descr="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png" descr="Chart&#10;&#10;Description automatically generated"/>
                    <pic:cNvPicPr preferRelativeResize="0"/>
                  </pic:nvPicPr>
                  <pic:blipFill>
                    <a:blip r:embed="rId70"/>
                    <a:srcRect/>
                    <a:stretch>
                      <a:fillRect/>
                    </a:stretch>
                  </pic:blipFill>
                  <pic:spPr>
                    <a:xfrm>
                      <a:off x="0" y="0"/>
                      <a:ext cx="2135178" cy="3675435"/>
                    </a:xfrm>
                    <a:prstGeom prst="rect">
                      <a:avLst/>
                    </a:prstGeom>
                    <a:ln/>
                  </pic:spPr>
                </pic:pic>
              </a:graphicData>
            </a:graphic>
          </wp:inline>
        </w:drawing>
      </w:r>
      <w:r w:rsidRPr="00CC0F64">
        <w:rPr>
          <w:sz w:val="20"/>
          <w:szCs w:val="20"/>
        </w:rPr>
        <w:t xml:space="preserve">  </w:t>
      </w:r>
      <w:r w:rsidRPr="00CC0F64">
        <w:rPr>
          <w:noProof/>
        </w:rPr>
        <w:drawing>
          <wp:inline distT="0" distB="0" distL="0" distR="0" wp14:anchorId="044E05A0" wp14:editId="403A728A">
            <wp:extent cx="2219456" cy="3615781"/>
            <wp:effectExtent l="0" t="0" r="0" b="0"/>
            <wp:docPr id="220" name="image17.png" descr="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7.png" descr="Chart&#10;&#10;Description automatically generated"/>
                    <pic:cNvPicPr preferRelativeResize="0"/>
                  </pic:nvPicPr>
                  <pic:blipFill>
                    <a:blip r:embed="rId71"/>
                    <a:srcRect/>
                    <a:stretch>
                      <a:fillRect/>
                    </a:stretch>
                  </pic:blipFill>
                  <pic:spPr>
                    <a:xfrm>
                      <a:off x="0" y="0"/>
                      <a:ext cx="2219456" cy="3615781"/>
                    </a:xfrm>
                    <a:prstGeom prst="rect">
                      <a:avLst/>
                    </a:prstGeom>
                    <a:ln/>
                  </pic:spPr>
                </pic:pic>
              </a:graphicData>
            </a:graphic>
          </wp:inline>
        </w:drawing>
      </w:r>
      <w:r w:rsidRPr="00CC0F64">
        <w:rPr>
          <w:sz w:val="20"/>
          <w:szCs w:val="20"/>
        </w:rPr>
        <w:t xml:space="preserve">  </w:t>
      </w:r>
      <w:r w:rsidRPr="00CC0F64">
        <w:rPr>
          <w:noProof/>
        </w:rPr>
        <w:drawing>
          <wp:inline distT="0" distB="0" distL="0" distR="0" wp14:anchorId="1D48E071" wp14:editId="0FD70D65">
            <wp:extent cx="2167658" cy="3725310"/>
            <wp:effectExtent l="0" t="0" r="0" b="0"/>
            <wp:docPr id="221" name="image6.png" descr="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6.png" descr="Chart&#10;&#10;Description automatically generated"/>
                    <pic:cNvPicPr preferRelativeResize="0"/>
                  </pic:nvPicPr>
                  <pic:blipFill>
                    <a:blip r:embed="rId72"/>
                    <a:srcRect/>
                    <a:stretch>
                      <a:fillRect/>
                    </a:stretch>
                  </pic:blipFill>
                  <pic:spPr>
                    <a:xfrm>
                      <a:off x="0" y="0"/>
                      <a:ext cx="2167658" cy="3725310"/>
                    </a:xfrm>
                    <a:prstGeom prst="rect">
                      <a:avLst/>
                    </a:prstGeom>
                    <a:ln/>
                  </pic:spPr>
                </pic:pic>
              </a:graphicData>
            </a:graphic>
          </wp:inline>
        </w:drawing>
      </w:r>
    </w:p>
    <w:p w14:paraId="00000250" w14:textId="54812752" w:rsidR="00083006" w:rsidRPr="005D0820" w:rsidRDefault="001D49DD" w:rsidP="001D49DD">
      <w:pPr>
        <w:pStyle w:val="Caption"/>
        <w:jc w:val="center"/>
        <w:rPr>
          <w:color w:val="00B050"/>
          <w:sz w:val="20"/>
          <w:szCs w:val="20"/>
        </w:rPr>
      </w:pPr>
      <w:r w:rsidRPr="005D0820">
        <w:rPr>
          <w:color w:val="00B050"/>
        </w:rPr>
        <w:t xml:space="preserve">Figure </w:t>
      </w:r>
      <w:r w:rsidRPr="005D0820">
        <w:rPr>
          <w:color w:val="00B050"/>
        </w:rPr>
        <w:fldChar w:fldCharType="begin"/>
      </w:r>
      <w:r w:rsidRPr="005D0820">
        <w:rPr>
          <w:color w:val="00B050"/>
        </w:rPr>
        <w:instrText xml:space="preserve"> SEQ Figure \* ARABIC </w:instrText>
      </w:r>
      <w:r w:rsidRPr="005D0820">
        <w:rPr>
          <w:color w:val="00B050"/>
        </w:rPr>
        <w:fldChar w:fldCharType="separate"/>
      </w:r>
      <w:r w:rsidR="004E2D14">
        <w:rPr>
          <w:noProof/>
          <w:color w:val="00B050"/>
        </w:rPr>
        <w:t>7</w:t>
      </w:r>
      <w:r w:rsidRPr="005D0820">
        <w:rPr>
          <w:color w:val="00B050"/>
        </w:rPr>
        <w:fldChar w:fldCharType="end"/>
      </w:r>
      <w:r w:rsidRPr="005D0820">
        <w:rPr>
          <w:color w:val="00B050"/>
        </w:rPr>
        <w:t xml:space="preserve"> </w:t>
      </w:r>
      <w:r w:rsidRPr="005D0820">
        <w:rPr>
          <w:color w:val="00B050"/>
          <w:sz w:val="20"/>
          <w:szCs w:val="20"/>
        </w:rPr>
        <w:t>Variance co-variance analysis</w:t>
      </w:r>
    </w:p>
    <w:p w14:paraId="00000251" w14:textId="77777777" w:rsidR="00083006" w:rsidRPr="00CC0F64" w:rsidRDefault="00083006">
      <w:pPr>
        <w:pBdr>
          <w:top w:val="nil"/>
          <w:left w:val="nil"/>
          <w:bottom w:val="nil"/>
          <w:right w:val="nil"/>
          <w:between w:val="nil"/>
        </w:pBdr>
        <w:spacing w:line="240" w:lineRule="auto"/>
        <w:jc w:val="center"/>
        <w:rPr>
          <w:sz w:val="20"/>
          <w:szCs w:val="20"/>
        </w:rPr>
      </w:pPr>
    </w:p>
    <w:p w14:paraId="00000252" w14:textId="77777777" w:rsidR="00083006" w:rsidRPr="00CC0F64" w:rsidRDefault="00083006">
      <w:pPr>
        <w:pBdr>
          <w:top w:val="nil"/>
          <w:left w:val="nil"/>
          <w:bottom w:val="nil"/>
          <w:right w:val="nil"/>
          <w:between w:val="nil"/>
        </w:pBdr>
        <w:spacing w:line="240" w:lineRule="auto"/>
        <w:jc w:val="center"/>
        <w:rPr>
          <w:sz w:val="20"/>
          <w:szCs w:val="20"/>
        </w:rPr>
      </w:pPr>
    </w:p>
    <w:p w14:paraId="00000253" w14:textId="77777777" w:rsidR="00083006" w:rsidRPr="00CC0F64" w:rsidRDefault="00083006">
      <w:pPr>
        <w:pBdr>
          <w:top w:val="nil"/>
          <w:left w:val="nil"/>
          <w:bottom w:val="nil"/>
          <w:right w:val="nil"/>
          <w:between w:val="nil"/>
        </w:pBdr>
        <w:spacing w:line="240" w:lineRule="auto"/>
        <w:jc w:val="center"/>
        <w:rPr>
          <w:sz w:val="20"/>
          <w:szCs w:val="20"/>
        </w:rPr>
      </w:pPr>
    </w:p>
    <w:p w14:paraId="00000254" w14:textId="77777777" w:rsidR="00083006" w:rsidRPr="00CC0F64" w:rsidRDefault="00083006">
      <w:pPr>
        <w:pBdr>
          <w:top w:val="nil"/>
          <w:left w:val="nil"/>
          <w:bottom w:val="nil"/>
          <w:right w:val="nil"/>
          <w:between w:val="nil"/>
        </w:pBdr>
        <w:spacing w:line="240" w:lineRule="auto"/>
        <w:jc w:val="center"/>
        <w:rPr>
          <w:sz w:val="20"/>
          <w:szCs w:val="20"/>
        </w:rPr>
      </w:pPr>
    </w:p>
    <w:p w14:paraId="00000255" w14:textId="77777777" w:rsidR="00083006" w:rsidRPr="00CC0F64" w:rsidRDefault="00083006">
      <w:pPr>
        <w:pBdr>
          <w:top w:val="nil"/>
          <w:left w:val="nil"/>
          <w:bottom w:val="nil"/>
          <w:right w:val="nil"/>
          <w:between w:val="nil"/>
        </w:pBdr>
        <w:spacing w:line="240" w:lineRule="auto"/>
        <w:jc w:val="center"/>
        <w:rPr>
          <w:sz w:val="20"/>
          <w:szCs w:val="20"/>
        </w:rPr>
      </w:pPr>
    </w:p>
    <w:p w14:paraId="71820E9D" w14:textId="77777777" w:rsidR="00934AB3" w:rsidRDefault="00934AB3">
      <w:pPr>
        <w:rPr>
          <w:b/>
          <w:sz w:val="20"/>
          <w:szCs w:val="20"/>
        </w:rPr>
      </w:pPr>
      <w:bookmarkStart w:id="18" w:name="_heading=h.35nkun2" w:colFirst="0" w:colLast="0"/>
      <w:bookmarkEnd w:id="18"/>
      <w:r>
        <w:rPr>
          <w:b/>
          <w:sz w:val="20"/>
          <w:szCs w:val="20"/>
        </w:rPr>
        <w:br w:type="page"/>
      </w:r>
    </w:p>
    <w:p w14:paraId="00000256" w14:textId="62A510CA" w:rsidR="00083006" w:rsidRPr="00CC0F64" w:rsidRDefault="0080383E">
      <w:pPr>
        <w:spacing w:line="240" w:lineRule="auto"/>
        <w:rPr>
          <w:b/>
          <w:sz w:val="20"/>
          <w:szCs w:val="20"/>
        </w:rPr>
      </w:pPr>
      <w:r w:rsidRPr="00CC0F64">
        <w:rPr>
          <w:b/>
          <w:sz w:val="20"/>
          <w:szCs w:val="20"/>
        </w:rPr>
        <w:lastRenderedPageBreak/>
        <w:t>Table 6. Time-varying Panel Analysis (PLM)</w:t>
      </w:r>
    </w:p>
    <w:tbl>
      <w:tblPr>
        <w:tblStyle w:val="a4"/>
        <w:tblW w:w="13680" w:type="dxa"/>
        <w:jc w:val="center"/>
        <w:tblBorders>
          <w:top w:val="single" w:sz="4" w:space="0" w:color="000000"/>
          <w:bottom w:val="single" w:sz="4" w:space="0" w:color="000000"/>
        </w:tblBorders>
        <w:tblLayout w:type="fixed"/>
        <w:tblLook w:val="0400" w:firstRow="0" w:lastRow="0" w:firstColumn="0" w:lastColumn="0" w:noHBand="0" w:noVBand="1"/>
      </w:tblPr>
      <w:tblGrid>
        <w:gridCol w:w="4617"/>
        <w:gridCol w:w="2070"/>
        <w:gridCol w:w="1958"/>
        <w:gridCol w:w="1818"/>
        <w:gridCol w:w="1874"/>
        <w:gridCol w:w="1343"/>
      </w:tblGrid>
      <w:tr w:rsidR="007E3981" w:rsidRPr="00CC0F64" w14:paraId="1D423BB5" w14:textId="77777777">
        <w:trPr>
          <w:trHeight w:val="560"/>
          <w:jc w:val="center"/>
        </w:trPr>
        <w:tc>
          <w:tcPr>
            <w:tcW w:w="4617" w:type="dxa"/>
            <w:tcBorders>
              <w:top w:val="single" w:sz="4" w:space="0" w:color="000000"/>
              <w:bottom w:val="single" w:sz="4" w:space="0" w:color="000000"/>
            </w:tcBorders>
            <w:shd w:val="clear" w:color="auto" w:fill="auto"/>
            <w:vAlign w:val="center"/>
          </w:tcPr>
          <w:p w14:paraId="00000257" w14:textId="77777777" w:rsidR="00083006" w:rsidRPr="00CC0F64" w:rsidRDefault="0080383E">
            <w:pPr>
              <w:spacing w:line="240" w:lineRule="auto"/>
              <w:jc w:val="center"/>
              <w:rPr>
                <w:b/>
                <w:sz w:val="20"/>
                <w:szCs w:val="20"/>
              </w:rPr>
            </w:pPr>
            <w:r w:rsidRPr="00CC0F64">
              <w:rPr>
                <w:b/>
                <w:sz w:val="20"/>
                <w:szCs w:val="20"/>
              </w:rPr>
              <w:t>CPI</w:t>
            </w:r>
          </w:p>
        </w:tc>
        <w:tc>
          <w:tcPr>
            <w:tcW w:w="2070" w:type="dxa"/>
            <w:tcBorders>
              <w:top w:val="single" w:sz="4" w:space="0" w:color="000000"/>
              <w:bottom w:val="single" w:sz="4" w:space="0" w:color="000000"/>
            </w:tcBorders>
            <w:shd w:val="clear" w:color="auto" w:fill="auto"/>
            <w:vAlign w:val="center"/>
          </w:tcPr>
          <w:p w14:paraId="00000258" w14:textId="77777777" w:rsidR="00083006" w:rsidRPr="00CC0F64" w:rsidRDefault="0080383E">
            <w:pPr>
              <w:spacing w:line="240" w:lineRule="auto"/>
              <w:jc w:val="center"/>
              <w:rPr>
                <w:b/>
                <w:sz w:val="20"/>
                <w:szCs w:val="20"/>
              </w:rPr>
            </w:pPr>
            <w:r w:rsidRPr="00CC0F64">
              <w:rPr>
                <w:b/>
                <w:sz w:val="20"/>
                <w:szCs w:val="20"/>
              </w:rPr>
              <w:t>Estimated Coefficients</w:t>
            </w:r>
          </w:p>
        </w:tc>
        <w:tc>
          <w:tcPr>
            <w:tcW w:w="1958" w:type="dxa"/>
            <w:tcBorders>
              <w:top w:val="single" w:sz="4" w:space="0" w:color="000000"/>
              <w:bottom w:val="single" w:sz="4" w:space="0" w:color="000000"/>
            </w:tcBorders>
            <w:shd w:val="clear" w:color="auto" w:fill="auto"/>
            <w:vAlign w:val="center"/>
          </w:tcPr>
          <w:p w14:paraId="00000259" w14:textId="77777777" w:rsidR="00083006" w:rsidRPr="00CC0F64" w:rsidRDefault="0080383E">
            <w:pPr>
              <w:spacing w:line="240" w:lineRule="auto"/>
              <w:jc w:val="center"/>
              <w:rPr>
                <w:b/>
                <w:sz w:val="20"/>
                <w:szCs w:val="20"/>
              </w:rPr>
            </w:pPr>
            <w:r w:rsidRPr="00CC0F64">
              <w:rPr>
                <w:b/>
                <w:sz w:val="20"/>
                <w:szCs w:val="20"/>
              </w:rPr>
              <w:t xml:space="preserve">Std. Error  </w:t>
            </w:r>
          </w:p>
        </w:tc>
        <w:tc>
          <w:tcPr>
            <w:tcW w:w="1818" w:type="dxa"/>
            <w:tcBorders>
              <w:top w:val="single" w:sz="4" w:space="0" w:color="000000"/>
              <w:bottom w:val="single" w:sz="4" w:space="0" w:color="000000"/>
            </w:tcBorders>
            <w:shd w:val="clear" w:color="auto" w:fill="auto"/>
            <w:vAlign w:val="center"/>
          </w:tcPr>
          <w:p w14:paraId="0000025A" w14:textId="77777777" w:rsidR="00083006" w:rsidRPr="00CC0F64" w:rsidRDefault="0080383E">
            <w:pPr>
              <w:spacing w:line="240" w:lineRule="auto"/>
              <w:jc w:val="center"/>
              <w:rPr>
                <w:b/>
                <w:sz w:val="20"/>
                <w:szCs w:val="20"/>
              </w:rPr>
            </w:pPr>
            <w:r w:rsidRPr="00CC0F64">
              <w:rPr>
                <w:b/>
                <w:sz w:val="20"/>
                <w:szCs w:val="20"/>
              </w:rPr>
              <w:t xml:space="preserve">t-value  </w:t>
            </w:r>
          </w:p>
        </w:tc>
        <w:tc>
          <w:tcPr>
            <w:tcW w:w="1874" w:type="dxa"/>
            <w:tcBorders>
              <w:top w:val="single" w:sz="4" w:space="0" w:color="000000"/>
              <w:bottom w:val="single" w:sz="4" w:space="0" w:color="000000"/>
            </w:tcBorders>
            <w:shd w:val="clear" w:color="auto" w:fill="auto"/>
            <w:vAlign w:val="center"/>
          </w:tcPr>
          <w:p w14:paraId="0000025B" w14:textId="77777777" w:rsidR="00083006" w:rsidRPr="00CC0F64" w:rsidRDefault="0080383E">
            <w:pPr>
              <w:spacing w:line="240" w:lineRule="auto"/>
              <w:jc w:val="center"/>
              <w:rPr>
                <w:b/>
                <w:sz w:val="20"/>
                <w:szCs w:val="20"/>
              </w:rPr>
            </w:pPr>
            <w:proofErr w:type="spellStart"/>
            <w:r w:rsidRPr="00CC0F64">
              <w:rPr>
                <w:b/>
                <w:sz w:val="20"/>
                <w:szCs w:val="20"/>
              </w:rPr>
              <w:t>Pr</w:t>
            </w:r>
            <w:proofErr w:type="spellEnd"/>
            <w:r w:rsidRPr="00CC0F64">
              <w:rPr>
                <w:b/>
                <w:sz w:val="20"/>
                <w:szCs w:val="20"/>
              </w:rPr>
              <w:t xml:space="preserve">(&gt;|t|) </w:t>
            </w:r>
          </w:p>
        </w:tc>
        <w:tc>
          <w:tcPr>
            <w:tcW w:w="1343" w:type="dxa"/>
            <w:tcBorders>
              <w:top w:val="single" w:sz="4" w:space="0" w:color="000000"/>
              <w:bottom w:val="single" w:sz="4" w:space="0" w:color="000000"/>
            </w:tcBorders>
            <w:shd w:val="clear" w:color="auto" w:fill="auto"/>
            <w:vAlign w:val="center"/>
          </w:tcPr>
          <w:p w14:paraId="0000025C" w14:textId="77777777" w:rsidR="00083006" w:rsidRPr="00CC0F64" w:rsidRDefault="0080383E">
            <w:pPr>
              <w:spacing w:line="240" w:lineRule="auto"/>
              <w:jc w:val="center"/>
              <w:rPr>
                <w:b/>
                <w:sz w:val="20"/>
                <w:szCs w:val="20"/>
              </w:rPr>
            </w:pPr>
            <w:proofErr w:type="spellStart"/>
            <w:r w:rsidRPr="00CC0F64">
              <w:rPr>
                <w:b/>
                <w:sz w:val="20"/>
                <w:szCs w:val="20"/>
              </w:rPr>
              <w:t>Signif</w:t>
            </w:r>
            <w:proofErr w:type="spellEnd"/>
            <w:r w:rsidRPr="00CC0F64">
              <w:rPr>
                <w:b/>
                <w:sz w:val="20"/>
                <w:szCs w:val="20"/>
              </w:rPr>
              <w:t>. Codes</w:t>
            </w:r>
          </w:p>
        </w:tc>
      </w:tr>
      <w:tr w:rsidR="007E3981" w:rsidRPr="00CC0F64" w14:paraId="10F93D96" w14:textId="77777777">
        <w:trPr>
          <w:trHeight w:val="290"/>
          <w:jc w:val="center"/>
        </w:trPr>
        <w:tc>
          <w:tcPr>
            <w:tcW w:w="4617" w:type="dxa"/>
            <w:tcBorders>
              <w:top w:val="single" w:sz="4" w:space="0" w:color="000000"/>
              <w:bottom w:val="nil"/>
            </w:tcBorders>
            <w:shd w:val="clear" w:color="auto" w:fill="auto"/>
            <w:vAlign w:val="center"/>
          </w:tcPr>
          <w:p w14:paraId="0000025D" w14:textId="77777777" w:rsidR="00083006" w:rsidRPr="00CC0F64" w:rsidRDefault="0080383E">
            <w:pPr>
              <w:spacing w:line="240" w:lineRule="auto"/>
              <w:rPr>
                <w:sz w:val="20"/>
                <w:szCs w:val="20"/>
              </w:rPr>
            </w:pPr>
            <w:r w:rsidRPr="00CC0F64">
              <w:rPr>
                <w:sz w:val="20"/>
                <w:szCs w:val="20"/>
              </w:rPr>
              <w:t>GDP</w:t>
            </w:r>
          </w:p>
        </w:tc>
        <w:tc>
          <w:tcPr>
            <w:tcW w:w="2070" w:type="dxa"/>
            <w:tcBorders>
              <w:top w:val="single" w:sz="4" w:space="0" w:color="000000"/>
              <w:bottom w:val="nil"/>
            </w:tcBorders>
            <w:shd w:val="clear" w:color="auto" w:fill="auto"/>
            <w:vAlign w:val="center"/>
          </w:tcPr>
          <w:p w14:paraId="0000025E" w14:textId="77777777" w:rsidR="00083006" w:rsidRPr="00CC0F64" w:rsidRDefault="0080383E">
            <w:pPr>
              <w:spacing w:line="240" w:lineRule="auto"/>
              <w:jc w:val="center"/>
              <w:rPr>
                <w:sz w:val="20"/>
                <w:szCs w:val="20"/>
              </w:rPr>
            </w:pPr>
            <w:r w:rsidRPr="00CC0F64">
              <w:rPr>
                <w:sz w:val="20"/>
                <w:szCs w:val="20"/>
              </w:rPr>
              <w:t>-0.0228</w:t>
            </w:r>
          </w:p>
        </w:tc>
        <w:tc>
          <w:tcPr>
            <w:tcW w:w="1958" w:type="dxa"/>
            <w:tcBorders>
              <w:top w:val="single" w:sz="4" w:space="0" w:color="000000"/>
              <w:bottom w:val="nil"/>
            </w:tcBorders>
            <w:shd w:val="clear" w:color="auto" w:fill="auto"/>
            <w:vAlign w:val="center"/>
          </w:tcPr>
          <w:p w14:paraId="0000025F" w14:textId="77777777" w:rsidR="00083006" w:rsidRPr="00CC0F64" w:rsidRDefault="0080383E">
            <w:pPr>
              <w:spacing w:line="240" w:lineRule="auto"/>
              <w:jc w:val="center"/>
              <w:rPr>
                <w:sz w:val="20"/>
                <w:szCs w:val="20"/>
              </w:rPr>
            </w:pPr>
            <w:r w:rsidRPr="00CC0F64">
              <w:rPr>
                <w:sz w:val="20"/>
                <w:szCs w:val="20"/>
              </w:rPr>
              <w:t>0.0105</w:t>
            </w:r>
          </w:p>
        </w:tc>
        <w:tc>
          <w:tcPr>
            <w:tcW w:w="1818" w:type="dxa"/>
            <w:tcBorders>
              <w:top w:val="single" w:sz="4" w:space="0" w:color="000000"/>
              <w:bottom w:val="nil"/>
            </w:tcBorders>
            <w:shd w:val="clear" w:color="auto" w:fill="auto"/>
            <w:vAlign w:val="center"/>
          </w:tcPr>
          <w:p w14:paraId="00000260" w14:textId="77777777" w:rsidR="00083006" w:rsidRPr="00CC0F64" w:rsidRDefault="0080383E">
            <w:pPr>
              <w:spacing w:line="240" w:lineRule="auto"/>
              <w:jc w:val="center"/>
              <w:rPr>
                <w:sz w:val="20"/>
                <w:szCs w:val="20"/>
              </w:rPr>
            </w:pPr>
            <w:r w:rsidRPr="00CC0F64">
              <w:rPr>
                <w:sz w:val="20"/>
                <w:szCs w:val="20"/>
              </w:rPr>
              <w:t>-2.1761</w:t>
            </w:r>
          </w:p>
        </w:tc>
        <w:tc>
          <w:tcPr>
            <w:tcW w:w="1874" w:type="dxa"/>
            <w:tcBorders>
              <w:top w:val="single" w:sz="4" w:space="0" w:color="000000"/>
              <w:bottom w:val="nil"/>
            </w:tcBorders>
            <w:shd w:val="clear" w:color="auto" w:fill="auto"/>
            <w:vAlign w:val="center"/>
          </w:tcPr>
          <w:p w14:paraId="00000261" w14:textId="77777777" w:rsidR="00083006" w:rsidRPr="00CC0F64" w:rsidRDefault="0080383E">
            <w:pPr>
              <w:spacing w:line="240" w:lineRule="auto"/>
              <w:jc w:val="center"/>
              <w:rPr>
                <w:sz w:val="20"/>
                <w:szCs w:val="20"/>
              </w:rPr>
            </w:pPr>
            <w:r w:rsidRPr="00CC0F64">
              <w:rPr>
                <w:sz w:val="20"/>
                <w:szCs w:val="20"/>
              </w:rPr>
              <w:t>0.0312</w:t>
            </w:r>
          </w:p>
        </w:tc>
        <w:tc>
          <w:tcPr>
            <w:tcW w:w="1343" w:type="dxa"/>
            <w:tcBorders>
              <w:top w:val="single" w:sz="4" w:space="0" w:color="000000"/>
              <w:bottom w:val="nil"/>
            </w:tcBorders>
            <w:shd w:val="clear" w:color="auto" w:fill="auto"/>
            <w:vAlign w:val="center"/>
          </w:tcPr>
          <w:p w14:paraId="00000262" w14:textId="77777777" w:rsidR="00083006" w:rsidRPr="00CC0F64" w:rsidRDefault="0080383E">
            <w:pPr>
              <w:spacing w:line="240" w:lineRule="auto"/>
              <w:jc w:val="center"/>
              <w:rPr>
                <w:sz w:val="20"/>
                <w:szCs w:val="20"/>
              </w:rPr>
            </w:pPr>
            <w:r w:rsidRPr="00CC0F64">
              <w:rPr>
                <w:sz w:val="20"/>
                <w:szCs w:val="20"/>
              </w:rPr>
              <w:t>*</w:t>
            </w:r>
          </w:p>
        </w:tc>
      </w:tr>
      <w:tr w:rsidR="007E3981" w:rsidRPr="00CC0F64" w14:paraId="44BC6B20" w14:textId="77777777">
        <w:trPr>
          <w:trHeight w:val="290"/>
          <w:jc w:val="center"/>
        </w:trPr>
        <w:tc>
          <w:tcPr>
            <w:tcW w:w="4617" w:type="dxa"/>
            <w:tcBorders>
              <w:top w:val="nil"/>
              <w:bottom w:val="nil"/>
            </w:tcBorders>
            <w:shd w:val="clear" w:color="auto" w:fill="auto"/>
            <w:vAlign w:val="center"/>
          </w:tcPr>
          <w:p w14:paraId="00000263" w14:textId="77777777" w:rsidR="00083006" w:rsidRPr="00CC0F64" w:rsidRDefault="0080383E">
            <w:pPr>
              <w:spacing w:line="240" w:lineRule="auto"/>
              <w:rPr>
                <w:sz w:val="20"/>
                <w:szCs w:val="20"/>
              </w:rPr>
            </w:pPr>
            <w:r w:rsidRPr="00CC0F64">
              <w:rPr>
                <w:sz w:val="20"/>
                <w:szCs w:val="20"/>
              </w:rPr>
              <w:t>Trade Balance</w:t>
            </w:r>
          </w:p>
        </w:tc>
        <w:tc>
          <w:tcPr>
            <w:tcW w:w="2070" w:type="dxa"/>
            <w:tcBorders>
              <w:top w:val="nil"/>
              <w:bottom w:val="nil"/>
            </w:tcBorders>
            <w:shd w:val="clear" w:color="auto" w:fill="auto"/>
            <w:vAlign w:val="center"/>
          </w:tcPr>
          <w:p w14:paraId="00000264" w14:textId="77777777" w:rsidR="00083006" w:rsidRPr="00CC0F64" w:rsidRDefault="0080383E">
            <w:pPr>
              <w:spacing w:line="240" w:lineRule="auto"/>
              <w:jc w:val="center"/>
              <w:rPr>
                <w:sz w:val="20"/>
                <w:szCs w:val="20"/>
              </w:rPr>
            </w:pPr>
            <w:r w:rsidRPr="00CC0F64">
              <w:rPr>
                <w:sz w:val="20"/>
                <w:szCs w:val="20"/>
              </w:rPr>
              <w:t>-0.0229</w:t>
            </w:r>
          </w:p>
        </w:tc>
        <w:tc>
          <w:tcPr>
            <w:tcW w:w="1958" w:type="dxa"/>
            <w:tcBorders>
              <w:top w:val="nil"/>
              <w:bottom w:val="nil"/>
            </w:tcBorders>
            <w:shd w:val="clear" w:color="auto" w:fill="auto"/>
            <w:vAlign w:val="center"/>
          </w:tcPr>
          <w:p w14:paraId="00000265" w14:textId="77777777" w:rsidR="00083006" w:rsidRPr="00CC0F64" w:rsidRDefault="0080383E">
            <w:pPr>
              <w:spacing w:line="240" w:lineRule="auto"/>
              <w:jc w:val="center"/>
              <w:rPr>
                <w:sz w:val="20"/>
                <w:szCs w:val="20"/>
              </w:rPr>
            </w:pPr>
            <w:r w:rsidRPr="00CC0F64">
              <w:rPr>
                <w:sz w:val="20"/>
                <w:szCs w:val="20"/>
              </w:rPr>
              <w:t>0.0054</w:t>
            </w:r>
          </w:p>
        </w:tc>
        <w:tc>
          <w:tcPr>
            <w:tcW w:w="1818" w:type="dxa"/>
            <w:tcBorders>
              <w:top w:val="nil"/>
              <w:bottom w:val="nil"/>
            </w:tcBorders>
            <w:shd w:val="clear" w:color="auto" w:fill="auto"/>
            <w:vAlign w:val="center"/>
          </w:tcPr>
          <w:p w14:paraId="00000266" w14:textId="77777777" w:rsidR="00083006" w:rsidRPr="00CC0F64" w:rsidRDefault="0080383E">
            <w:pPr>
              <w:spacing w:line="240" w:lineRule="auto"/>
              <w:jc w:val="center"/>
              <w:rPr>
                <w:sz w:val="20"/>
                <w:szCs w:val="20"/>
              </w:rPr>
            </w:pPr>
            <w:r w:rsidRPr="00CC0F64">
              <w:rPr>
                <w:sz w:val="20"/>
                <w:szCs w:val="20"/>
              </w:rPr>
              <w:t>-4.2093</w:t>
            </w:r>
          </w:p>
        </w:tc>
        <w:tc>
          <w:tcPr>
            <w:tcW w:w="1874" w:type="dxa"/>
            <w:tcBorders>
              <w:top w:val="nil"/>
              <w:bottom w:val="nil"/>
            </w:tcBorders>
            <w:shd w:val="clear" w:color="auto" w:fill="auto"/>
            <w:vAlign w:val="center"/>
          </w:tcPr>
          <w:p w14:paraId="00000267" w14:textId="77777777" w:rsidR="00083006" w:rsidRPr="00CC0F64" w:rsidRDefault="0080383E">
            <w:pPr>
              <w:spacing w:line="240" w:lineRule="auto"/>
              <w:jc w:val="center"/>
              <w:rPr>
                <w:sz w:val="20"/>
                <w:szCs w:val="20"/>
              </w:rPr>
            </w:pPr>
            <w:r w:rsidRPr="00CC0F64">
              <w:rPr>
                <w:sz w:val="20"/>
                <w:szCs w:val="20"/>
              </w:rPr>
              <w:t>0.0000</w:t>
            </w:r>
          </w:p>
        </w:tc>
        <w:tc>
          <w:tcPr>
            <w:tcW w:w="1343" w:type="dxa"/>
            <w:tcBorders>
              <w:top w:val="nil"/>
              <w:bottom w:val="nil"/>
            </w:tcBorders>
            <w:shd w:val="clear" w:color="auto" w:fill="auto"/>
            <w:vAlign w:val="center"/>
          </w:tcPr>
          <w:p w14:paraId="00000268" w14:textId="77777777" w:rsidR="00083006" w:rsidRPr="00CC0F64" w:rsidRDefault="0080383E">
            <w:pPr>
              <w:spacing w:line="240" w:lineRule="auto"/>
              <w:jc w:val="center"/>
              <w:rPr>
                <w:sz w:val="20"/>
                <w:szCs w:val="20"/>
              </w:rPr>
            </w:pPr>
            <w:r w:rsidRPr="00CC0F64">
              <w:rPr>
                <w:sz w:val="20"/>
                <w:szCs w:val="20"/>
              </w:rPr>
              <w:t>***</w:t>
            </w:r>
          </w:p>
        </w:tc>
      </w:tr>
      <w:tr w:rsidR="007E3981" w:rsidRPr="00CC0F64" w14:paraId="0B6676FB" w14:textId="77777777">
        <w:trPr>
          <w:trHeight w:val="290"/>
          <w:jc w:val="center"/>
        </w:trPr>
        <w:tc>
          <w:tcPr>
            <w:tcW w:w="4617" w:type="dxa"/>
            <w:tcBorders>
              <w:top w:val="nil"/>
              <w:bottom w:val="nil"/>
            </w:tcBorders>
            <w:shd w:val="clear" w:color="auto" w:fill="auto"/>
            <w:vAlign w:val="center"/>
          </w:tcPr>
          <w:p w14:paraId="00000269" w14:textId="77777777" w:rsidR="00083006" w:rsidRPr="00CC0F64" w:rsidRDefault="0080383E">
            <w:pPr>
              <w:spacing w:line="240" w:lineRule="auto"/>
              <w:rPr>
                <w:sz w:val="20"/>
                <w:szCs w:val="20"/>
              </w:rPr>
            </w:pPr>
            <w:r w:rsidRPr="00CC0F64">
              <w:rPr>
                <w:sz w:val="20"/>
                <w:szCs w:val="20"/>
              </w:rPr>
              <w:t>Unemployment</w:t>
            </w:r>
          </w:p>
        </w:tc>
        <w:tc>
          <w:tcPr>
            <w:tcW w:w="2070" w:type="dxa"/>
            <w:tcBorders>
              <w:top w:val="nil"/>
              <w:bottom w:val="nil"/>
            </w:tcBorders>
            <w:shd w:val="clear" w:color="auto" w:fill="auto"/>
            <w:vAlign w:val="center"/>
          </w:tcPr>
          <w:p w14:paraId="0000026A" w14:textId="77777777" w:rsidR="00083006" w:rsidRPr="00CC0F64" w:rsidRDefault="0080383E">
            <w:pPr>
              <w:spacing w:line="240" w:lineRule="auto"/>
              <w:jc w:val="center"/>
              <w:rPr>
                <w:sz w:val="20"/>
                <w:szCs w:val="20"/>
              </w:rPr>
            </w:pPr>
            <w:r w:rsidRPr="00CC0F64">
              <w:rPr>
                <w:sz w:val="20"/>
                <w:szCs w:val="20"/>
              </w:rPr>
              <w:t>-0.0393</w:t>
            </w:r>
          </w:p>
        </w:tc>
        <w:tc>
          <w:tcPr>
            <w:tcW w:w="1958" w:type="dxa"/>
            <w:tcBorders>
              <w:top w:val="nil"/>
              <w:bottom w:val="nil"/>
            </w:tcBorders>
            <w:shd w:val="clear" w:color="auto" w:fill="auto"/>
            <w:vAlign w:val="center"/>
          </w:tcPr>
          <w:p w14:paraId="0000026B" w14:textId="77777777" w:rsidR="00083006" w:rsidRPr="00CC0F64" w:rsidRDefault="0080383E">
            <w:pPr>
              <w:spacing w:line="240" w:lineRule="auto"/>
              <w:jc w:val="center"/>
              <w:rPr>
                <w:sz w:val="20"/>
                <w:szCs w:val="20"/>
              </w:rPr>
            </w:pPr>
            <w:r w:rsidRPr="00CC0F64">
              <w:rPr>
                <w:sz w:val="20"/>
                <w:szCs w:val="20"/>
              </w:rPr>
              <w:t>0.0022</w:t>
            </w:r>
          </w:p>
        </w:tc>
        <w:tc>
          <w:tcPr>
            <w:tcW w:w="1818" w:type="dxa"/>
            <w:tcBorders>
              <w:top w:val="nil"/>
              <w:bottom w:val="nil"/>
            </w:tcBorders>
            <w:shd w:val="clear" w:color="auto" w:fill="auto"/>
            <w:vAlign w:val="center"/>
          </w:tcPr>
          <w:p w14:paraId="0000026C" w14:textId="77777777" w:rsidR="00083006" w:rsidRPr="00CC0F64" w:rsidRDefault="0080383E">
            <w:pPr>
              <w:spacing w:line="240" w:lineRule="auto"/>
              <w:jc w:val="center"/>
              <w:rPr>
                <w:sz w:val="20"/>
                <w:szCs w:val="20"/>
              </w:rPr>
            </w:pPr>
            <w:r w:rsidRPr="00CC0F64">
              <w:rPr>
                <w:sz w:val="20"/>
                <w:szCs w:val="20"/>
              </w:rPr>
              <w:t>-17.9953</w:t>
            </w:r>
          </w:p>
        </w:tc>
        <w:tc>
          <w:tcPr>
            <w:tcW w:w="1874" w:type="dxa"/>
            <w:tcBorders>
              <w:top w:val="nil"/>
              <w:bottom w:val="nil"/>
            </w:tcBorders>
            <w:shd w:val="clear" w:color="auto" w:fill="auto"/>
            <w:vAlign w:val="center"/>
          </w:tcPr>
          <w:p w14:paraId="0000026D" w14:textId="77777777" w:rsidR="00083006" w:rsidRPr="00CC0F64" w:rsidRDefault="0080383E">
            <w:pPr>
              <w:spacing w:line="240" w:lineRule="auto"/>
              <w:jc w:val="center"/>
              <w:rPr>
                <w:sz w:val="20"/>
                <w:szCs w:val="20"/>
              </w:rPr>
            </w:pPr>
            <w:r w:rsidRPr="00CC0F64">
              <w:rPr>
                <w:sz w:val="20"/>
                <w:szCs w:val="20"/>
              </w:rPr>
              <w:t>0.0000</w:t>
            </w:r>
          </w:p>
        </w:tc>
        <w:tc>
          <w:tcPr>
            <w:tcW w:w="1343" w:type="dxa"/>
            <w:tcBorders>
              <w:top w:val="nil"/>
              <w:bottom w:val="nil"/>
            </w:tcBorders>
            <w:shd w:val="clear" w:color="auto" w:fill="auto"/>
            <w:vAlign w:val="center"/>
          </w:tcPr>
          <w:p w14:paraId="0000026E" w14:textId="77777777" w:rsidR="00083006" w:rsidRPr="00CC0F64" w:rsidRDefault="0080383E">
            <w:pPr>
              <w:spacing w:line="240" w:lineRule="auto"/>
              <w:jc w:val="center"/>
              <w:rPr>
                <w:sz w:val="20"/>
                <w:szCs w:val="20"/>
              </w:rPr>
            </w:pPr>
            <w:r w:rsidRPr="00CC0F64">
              <w:rPr>
                <w:sz w:val="20"/>
                <w:szCs w:val="20"/>
              </w:rPr>
              <w:t>***</w:t>
            </w:r>
          </w:p>
        </w:tc>
      </w:tr>
      <w:tr w:rsidR="007E3981" w:rsidRPr="00CC0F64" w14:paraId="74EF322E" w14:textId="77777777">
        <w:trPr>
          <w:trHeight w:val="290"/>
          <w:jc w:val="center"/>
        </w:trPr>
        <w:tc>
          <w:tcPr>
            <w:tcW w:w="4617" w:type="dxa"/>
            <w:tcBorders>
              <w:top w:val="nil"/>
              <w:bottom w:val="single" w:sz="4" w:space="0" w:color="000000"/>
            </w:tcBorders>
            <w:shd w:val="clear" w:color="auto" w:fill="auto"/>
            <w:vAlign w:val="center"/>
          </w:tcPr>
          <w:p w14:paraId="0000026F" w14:textId="77777777" w:rsidR="00083006" w:rsidRPr="00CC0F64" w:rsidRDefault="0080383E">
            <w:pPr>
              <w:spacing w:line="240" w:lineRule="auto"/>
              <w:rPr>
                <w:sz w:val="20"/>
                <w:szCs w:val="20"/>
              </w:rPr>
            </w:pPr>
            <w:r w:rsidRPr="00CC0F64">
              <w:rPr>
                <w:sz w:val="20"/>
                <w:szCs w:val="20"/>
              </w:rPr>
              <w:t>Brent Crude Oil</w:t>
            </w:r>
          </w:p>
        </w:tc>
        <w:tc>
          <w:tcPr>
            <w:tcW w:w="2070" w:type="dxa"/>
            <w:tcBorders>
              <w:top w:val="nil"/>
              <w:bottom w:val="single" w:sz="4" w:space="0" w:color="000000"/>
            </w:tcBorders>
            <w:shd w:val="clear" w:color="auto" w:fill="auto"/>
            <w:vAlign w:val="center"/>
          </w:tcPr>
          <w:p w14:paraId="00000270" w14:textId="77777777" w:rsidR="00083006" w:rsidRPr="00CC0F64" w:rsidRDefault="0080383E">
            <w:pPr>
              <w:spacing w:line="240" w:lineRule="auto"/>
              <w:jc w:val="center"/>
              <w:rPr>
                <w:sz w:val="20"/>
                <w:szCs w:val="20"/>
              </w:rPr>
            </w:pPr>
            <w:r w:rsidRPr="00CC0F64">
              <w:rPr>
                <w:sz w:val="20"/>
                <w:szCs w:val="20"/>
              </w:rPr>
              <w:t>0.0443</w:t>
            </w:r>
          </w:p>
        </w:tc>
        <w:tc>
          <w:tcPr>
            <w:tcW w:w="1958" w:type="dxa"/>
            <w:tcBorders>
              <w:top w:val="nil"/>
              <w:bottom w:val="single" w:sz="4" w:space="0" w:color="000000"/>
            </w:tcBorders>
            <w:shd w:val="clear" w:color="auto" w:fill="auto"/>
            <w:vAlign w:val="center"/>
          </w:tcPr>
          <w:p w14:paraId="00000271" w14:textId="77777777" w:rsidR="00083006" w:rsidRPr="00CC0F64" w:rsidRDefault="0080383E">
            <w:pPr>
              <w:spacing w:line="240" w:lineRule="auto"/>
              <w:jc w:val="center"/>
              <w:rPr>
                <w:sz w:val="20"/>
                <w:szCs w:val="20"/>
              </w:rPr>
            </w:pPr>
            <w:r w:rsidRPr="00CC0F64">
              <w:rPr>
                <w:sz w:val="20"/>
                <w:szCs w:val="20"/>
              </w:rPr>
              <w:t>0.0088</w:t>
            </w:r>
          </w:p>
        </w:tc>
        <w:tc>
          <w:tcPr>
            <w:tcW w:w="1818" w:type="dxa"/>
            <w:tcBorders>
              <w:top w:val="nil"/>
              <w:bottom w:val="single" w:sz="4" w:space="0" w:color="000000"/>
            </w:tcBorders>
            <w:shd w:val="clear" w:color="auto" w:fill="auto"/>
            <w:vAlign w:val="center"/>
          </w:tcPr>
          <w:p w14:paraId="00000272" w14:textId="77777777" w:rsidR="00083006" w:rsidRPr="00CC0F64" w:rsidRDefault="0080383E">
            <w:pPr>
              <w:spacing w:line="240" w:lineRule="auto"/>
              <w:jc w:val="center"/>
              <w:rPr>
                <w:sz w:val="20"/>
                <w:szCs w:val="20"/>
              </w:rPr>
            </w:pPr>
            <w:r w:rsidRPr="00CC0F64">
              <w:rPr>
                <w:sz w:val="20"/>
                <w:szCs w:val="20"/>
              </w:rPr>
              <w:t>5.0591</w:t>
            </w:r>
          </w:p>
        </w:tc>
        <w:tc>
          <w:tcPr>
            <w:tcW w:w="1874" w:type="dxa"/>
            <w:tcBorders>
              <w:top w:val="nil"/>
              <w:bottom w:val="single" w:sz="4" w:space="0" w:color="000000"/>
            </w:tcBorders>
            <w:shd w:val="clear" w:color="auto" w:fill="auto"/>
            <w:vAlign w:val="center"/>
          </w:tcPr>
          <w:p w14:paraId="00000273" w14:textId="77777777" w:rsidR="00083006" w:rsidRPr="00CC0F64" w:rsidRDefault="0080383E">
            <w:pPr>
              <w:spacing w:line="240" w:lineRule="auto"/>
              <w:jc w:val="center"/>
              <w:rPr>
                <w:sz w:val="20"/>
                <w:szCs w:val="20"/>
              </w:rPr>
            </w:pPr>
            <w:r w:rsidRPr="00CC0F64">
              <w:rPr>
                <w:sz w:val="20"/>
                <w:szCs w:val="20"/>
              </w:rPr>
              <w:t>0.0000</w:t>
            </w:r>
          </w:p>
        </w:tc>
        <w:tc>
          <w:tcPr>
            <w:tcW w:w="1343" w:type="dxa"/>
            <w:tcBorders>
              <w:top w:val="nil"/>
              <w:bottom w:val="single" w:sz="4" w:space="0" w:color="000000"/>
            </w:tcBorders>
            <w:shd w:val="clear" w:color="auto" w:fill="auto"/>
            <w:vAlign w:val="center"/>
          </w:tcPr>
          <w:p w14:paraId="00000274" w14:textId="77777777" w:rsidR="00083006" w:rsidRPr="00CC0F64" w:rsidRDefault="0080383E">
            <w:pPr>
              <w:spacing w:line="240" w:lineRule="auto"/>
              <w:jc w:val="center"/>
              <w:rPr>
                <w:sz w:val="20"/>
                <w:szCs w:val="20"/>
              </w:rPr>
            </w:pPr>
            <w:r w:rsidRPr="00CC0F64">
              <w:rPr>
                <w:sz w:val="20"/>
                <w:szCs w:val="20"/>
              </w:rPr>
              <w:t>***</w:t>
            </w:r>
          </w:p>
        </w:tc>
      </w:tr>
      <w:tr w:rsidR="007E3981" w:rsidRPr="00CC0F64" w14:paraId="1764F4FE" w14:textId="77777777">
        <w:trPr>
          <w:trHeight w:val="290"/>
          <w:jc w:val="center"/>
        </w:trPr>
        <w:tc>
          <w:tcPr>
            <w:tcW w:w="4617" w:type="dxa"/>
            <w:tcBorders>
              <w:top w:val="single" w:sz="4" w:space="0" w:color="000000"/>
              <w:bottom w:val="nil"/>
            </w:tcBorders>
            <w:shd w:val="clear" w:color="auto" w:fill="auto"/>
            <w:vAlign w:val="center"/>
          </w:tcPr>
          <w:p w14:paraId="00000275" w14:textId="77777777" w:rsidR="00083006" w:rsidRPr="00CC0F64" w:rsidRDefault="0080383E">
            <w:pPr>
              <w:spacing w:line="240" w:lineRule="auto"/>
              <w:rPr>
                <w:sz w:val="20"/>
                <w:szCs w:val="20"/>
              </w:rPr>
            </w:pPr>
            <w:r w:rsidRPr="00CC0F64">
              <w:rPr>
                <w:sz w:val="20"/>
                <w:szCs w:val="20"/>
              </w:rPr>
              <w:t>N</w:t>
            </w:r>
          </w:p>
        </w:tc>
        <w:tc>
          <w:tcPr>
            <w:tcW w:w="2070" w:type="dxa"/>
            <w:tcBorders>
              <w:top w:val="single" w:sz="4" w:space="0" w:color="000000"/>
              <w:bottom w:val="nil"/>
            </w:tcBorders>
            <w:shd w:val="clear" w:color="auto" w:fill="auto"/>
            <w:vAlign w:val="center"/>
          </w:tcPr>
          <w:p w14:paraId="00000276" w14:textId="77777777" w:rsidR="00083006" w:rsidRPr="00CC0F64" w:rsidRDefault="0080383E">
            <w:pPr>
              <w:spacing w:line="240" w:lineRule="auto"/>
              <w:jc w:val="center"/>
              <w:rPr>
                <w:sz w:val="20"/>
                <w:szCs w:val="20"/>
              </w:rPr>
            </w:pPr>
            <w:r w:rsidRPr="00CC0F64">
              <w:rPr>
                <w:sz w:val="20"/>
                <w:szCs w:val="20"/>
              </w:rPr>
              <w:t>150</w:t>
            </w:r>
          </w:p>
        </w:tc>
        <w:tc>
          <w:tcPr>
            <w:tcW w:w="1958" w:type="dxa"/>
            <w:tcBorders>
              <w:top w:val="single" w:sz="4" w:space="0" w:color="000000"/>
              <w:bottom w:val="nil"/>
            </w:tcBorders>
            <w:shd w:val="clear" w:color="auto" w:fill="auto"/>
            <w:vAlign w:val="center"/>
          </w:tcPr>
          <w:p w14:paraId="00000277" w14:textId="77777777" w:rsidR="00083006" w:rsidRPr="00CC0F64" w:rsidRDefault="00083006">
            <w:pPr>
              <w:spacing w:line="240" w:lineRule="auto"/>
              <w:jc w:val="center"/>
              <w:rPr>
                <w:sz w:val="20"/>
                <w:szCs w:val="20"/>
              </w:rPr>
            </w:pPr>
          </w:p>
        </w:tc>
        <w:tc>
          <w:tcPr>
            <w:tcW w:w="1818" w:type="dxa"/>
            <w:tcBorders>
              <w:top w:val="single" w:sz="4" w:space="0" w:color="000000"/>
              <w:bottom w:val="nil"/>
            </w:tcBorders>
            <w:shd w:val="clear" w:color="auto" w:fill="auto"/>
            <w:vAlign w:val="center"/>
          </w:tcPr>
          <w:p w14:paraId="00000278" w14:textId="77777777" w:rsidR="00083006" w:rsidRPr="00CC0F64" w:rsidRDefault="00083006">
            <w:pPr>
              <w:spacing w:line="240" w:lineRule="auto"/>
              <w:jc w:val="center"/>
              <w:rPr>
                <w:sz w:val="20"/>
                <w:szCs w:val="20"/>
              </w:rPr>
            </w:pPr>
          </w:p>
        </w:tc>
        <w:tc>
          <w:tcPr>
            <w:tcW w:w="1874" w:type="dxa"/>
            <w:tcBorders>
              <w:top w:val="single" w:sz="4" w:space="0" w:color="000000"/>
              <w:bottom w:val="nil"/>
            </w:tcBorders>
            <w:shd w:val="clear" w:color="auto" w:fill="auto"/>
            <w:vAlign w:val="center"/>
          </w:tcPr>
          <w:p w14:paraId="00000279" w14:textId="77777777" w:rsidR="00083006" w:rsidRPr="00CC0F64" w:rsidRDefault="00083006">
            <w:pPr>
              <w:spacing w:line="240" w:lineRule="auto"/>
              <w:jc w:val="center"/>
              <w:rPr>
                <w:sz w:val="20"/>
                <w:szCs w:val="20"/>
              </w:rPr>
            </w:pPr>
          </w:p>
        </w:tc>
        <w:tc>
          <w:tcPr>
            <w:tcW w:w="1343" w:type="dxa"/>
            <w:tcBorders>
              <w:top w:val="single" w:sz="4" w:space="0" w:color="000000"/>
              <w:bottom w:val="nil"/>
            </w:tcBorders>
            <w:shd w:val="clear" w:color="auto" w:fill="auto"/>
            <w:vAlign w:val="center"/>
          </w:tcPr>
          <w:p w14:paraId="0000027A" w14:textId="77777777" w:rsidR="00083006" w:rsidRPr="00CC0F64" w:rsidRDefault="00083006">
            <w:pPr>
              <w:spacing w:line="240" w:lineRule="auto"/>
              <w:jc w:val="center"/>
              <w:rPr>
                <w:sz w:val="20"/>
                <w:szCs w:val="20"/>
              </w:rPr>
            </w:pPr>
          </w:p>
        </w:tc>
      </w:tr>
      <w:tr w:rsidR="007E3981" w:rsidRPr="00CC0F64" w14:paraId="17176581" w14:textId="77777777">
        <w:trPr>
          <w:trHeight w:val="290"/>
          <w:jc w:val="center"/>
        </w:trPr>
        <w:tc>
          <w:tcPr>
            <w:tcW w:w="4617" w:type="dxa"/>
            <w:tcBorders>
              <w:top w:val="nil"/>
              <w:bottom w:val="nil"/>
            </w:tcBorders>
            <w:shd w:val="clear" w:color="auto" w:fill="auto"/>
            <w:vAlign w:val="center"/>
          </w:tcPr>
          <w:p w14:paraId="0000027B" w14:textId="77777777" w:rsidR="00083006" w:rsidRPr="00CC0F64" w:rsidRDefault="0080383E">
            <w:pPr>
              <w:spacing w:line="240" w:lineRule="auto"/>
              <w:rPr>
                <w:sz w:val="20"/>
                <w:szCs w:val="20"/>
              </w:rPr>
            </w:pPr>
            <w:r w:rsidRPr="00CC0F64">
              <w:rPr>
                <w:sz w:val="20"/>
                <w:szCs w:val="20"/>
              </w:rPr>
              <w:t xml:space="preserve">Total Sum of Squares:    </w:t>
            </w:r>
          </w:p>
        </w:tc>
        <w:tc>
          <w:tcPr>
            <w:tcW w:w="2070" w:type="dxa"/>
            <w:tcBorders>
              <w:top w:val="nil"/>
              <w:bottom w:val="nil"/>
            </w:tcBorders>
            <w:shd w:val="clear" w:color="auto" w:fill="auto"/>
            <w:vAlign w:val="center"/>
          </w:tcPr>
          <w:p w14:paraId="0000027C" w14:textId="77777777" w:rsidR="00083006" w:rsidRPr="00CC0F64" w:rsidRDefault="0080383E">
            <w:pPr>
              <w:spacing w:line="240" w:lineRule="auto"/>
              <w:jc w:val="center"/>
              <w:rPr>
                <w:sz w:val="20"/>
                <w:szCs w:val="20"/>
              </w:rPr>
            </w:pPr>
            <w:r w:rsidRPr="00CC0F64">
              <w:rPr>
                <w:sz w:val="20"/>
                <w:szCs w:val="20"/>
              </w:rPr>
              <w:t>0.7175</w:t>
            </w:r>
          </w:p>
        </w:tc>
        <w:tc>
          <w:tcPr>
            <w:tcW w:w="1958" w:type="dxa"/>
            <w:tcBorders>
              <w:top w:val="nil"/>
              <w:bottom w:val="nil"/>
            </w:tcBorders>
            <w:shd w:val="clear" w:color="auto" w:fill="auto"/>
            <w:vAlign w:val="center"/>
          </w:tcPr>
          <w:p w14:paraId="0000027D" w14:textId="77777777" w:rsidR="00083006" w:rsidRPr="00CC0F64" w:rsidRDefault="0080383E">
            <w:pPr>
              <w:spacing w:line="240" w:lineRule="auto"/>
              <w:jc w:val="center"/>
              <w:rPr>
                <w:sz w:val="20"/>
                <w:szCs w:val="20"/>
              </w:rPr>
            </w:pPr>
            <w:r w:rsidRPr="00CC0F64">
              <w:rPr>
                <w:sz w:val="20"/>
                <w:szCs w:val="20"/>
              </w:rPr>
              <w:t> </w:t>
            </w:r>
          </w:p>
        </w:tc>
        <w:tc>
          <w:tcPr>
            <w:tcW w:w="1818" w:type="dxa"/>
            <w:tcBorders>
              <w:top w:val="nil"/>
              <w:bottom w:val="nil"/>
            </w:tcBorders>
            <w:shd w:val="clear" w:color="auto" w:fill="auto"/>
            <w:vAlign w:val="center"/>
          </w:tcPr>
          <w:p w14:paraId="0000027E" w14:textId="77777777" w:rsidR="00083006" w:rsidRPr="00CC0F64" w:rsidRDefault="0080383E">
            <w:pPr>
              <w:spacing w:line="240" w:lineRule="auto"/>
              <w:jc w:val="center"/>
              <w:rPr>
                <w:sz w:val="20"/>
                <w:szCs w:val="20"/>
              </w:rPr>
            </w:pPr>
            <w:r w:rsidRPr="00CC0F64">
              <w:rPr>
                <w:sz w:val="20"/>
                <w:szCs w:val="20"/>
              </w:rPr>
              <w:t> </w:t>
            </w:r>
          </w:p>
        </w:tc>
        <w:tc>
          <w:tcPr>
            <w:tcW w:w="1874" w:type="dxa"/>
            <w:tcBorders>
              <w:top w:val="nil"/>
              <w:bottom w:val="nil"/>
            </w:tcBorders>
            <w:shd w:val="clear" w:color="auto" w:fill="auto"/>
            <w:vAlign w:val="center"/>
          </w:tcPr>
          <w:p w14:paraId="0000027F" w14:textId="77777777" w:rsidR="00083006" w:rsidRPr="00CC0F64" w:rsidRDefault="0080383E">
            <w:pPr>
              <w:spacing w:line="240" w:lineRule="auto"/>
              <w:jc w:val="center"/>
              <w:rPr>
                <w:sz w:val="20"/>
                <w:szCs w:val="20"/>
              </w:rPr>
            </w:pPr>
            <w:r w:rsidRPr="00CC0F64">
              <w:rPr>
                <w:sz w:val="20"/>
                <w:szCs w:val="20"/>
              </w:rPr>
              <w:t> </w:t>
            </w:r>
          </w:p>
        </w:tc>
        <w:tc>
          <w:tcPr>
            <w:tcW w:w="1343" w:type="dxa"/>
            <w:tcBorders>
              <w:top w:val="nil"/>
              <w:bottom w:val="nil"/>
            </w:tcBorders>
            <w:shd w:val="clear" w:color="auto" w:fill="auto"/>
            <w:vAlign w:val="center"/>
          </w:tcPr>
          <w:p w14:paraId="00000280" w14:textId="77777777" w:rsidR="00083006" w:rsidRPr="00CC0F64" w:rsidRDefault="0080383E">
            <w:pPr>
              <w:spacing w:line="240" w:lineRule="auto"/>
              <w:jc w:val="center"/>
              <w:rPr>
                <w:sz w:val="20"/>
                <w:szCs w:val="20"/>
              </w:rPr>
            </w:pPr>
            <w:r w:rsidRPr="00CC0F64">
              <w:rPr>
                <w:sz w:val="20"/>
                <w:szCs w:val="20"/>
              </w:rPr>
              <w:t> </w:t>
            </w:r>
          </w:p>
        </w:tc>
      </w:tr>
      <w:tr w:rsidR="007E3981" w:rsidRPr="00CC0F64" w14:paraId="779DC64C" w14:textId="77777777">
        <w:trPr>
          <w:trHeight w:val="290"/>
          <w:jc w:val="center"/>
        </w:trPr>
        <w:tc>
          <w:tcPr>
            <w:tcW w:w="4617" w:type="dxa"/>
            <w:tcBorders>
              <w:top w:val="nil"/>
              <w:bottom w:val="nil"/>
            </w:tcBorders>
            <w:shd w:val="clear" w:color="auto" w:fill="auto"/>
            <w:vAlign w:val="center"/>
          </w:tcPr>
          <w:p w14:paraId="00000281" w14:textId="77777777" w:rsidR="00083006" w:rsidRPr="00CC0F64" w:rsidRDefault="0080383E">
            <w:pPr>
              <w:spacing w:line="240" w:lineRule="auto"/>
              <w:rPr>
                <w:sz w:val="20"/>
                <w:szCs w:val="20"/>
              </w:rPr>
            </w:pPr>
            <w:r w:rsidRPr="00CC0F64">
              <w:rPr>
                <w:sz w:val="20"/>
                <w:szCs w:val="20"/>
              </w:rPr>
              <w:t xml:space="preserve">Residual Sum of Squares: </w:t>
            </w:r>
          </w:p>
        </w:tc>
        <w:tc>
          <w:tcPr>
            <w:tcW w:w="2070" w:type="dxa"/>
            <w:tcBorders>
              <w:top w:val="nil"/>
              <w:bottom w:val="nil"/>
            </w:tcBorders>
            <w:shd w:val="clear" w:color="auto" w:fill="auto"/>
            <w:vAlign w:val="center"/>
          </w:tcPr>
          <w:p w14:paraId="00000282" w14:textId="77777777" w:rsidR="00083006" w:rsidRPr="00CC0F64" w:rsidRDefault="0080383E">
            <w:pPr>
              <w:spacing w:line="240" w:lineRule="auto"/>
              <w:jc w:val="center"/>
              <w:rPr>
                <w:sz w:val="20"/>
                <w:szCs w:val="20"/>
              </w:rPr>
            </w:pPr>
            <w:r w:rsidRPr="00CC0F64">
              <w:rPr>
                <w:sz w:val="20"/>
                <w:szCs w:val="20"/>
              </w:rPr>
              <w:t>0.1284</w:t>
            </w:r>
          </w:p>
        </w:tc>
        <w:tc>
          <w:tcPr>
            <w:tcW w:w="1958" w:type="dxa"/>
            <w:tcBorders>
              <w:top w:val="nil"/>
              <w:bottom w:val="nil"/>
            </w:tcBorders>
            <w:shd w:val="clear" w:color="auto" w:fill="auto"/>
            <w:vAlign w:val="center"/>
          </w:tcPr>
          <w:p w14:paraId="00000283" w14:textId="77777777" w:rsidR="00083006" w:rsidRPr="00CC0F64" w:rsidRDefault="0080383E">
            <w:pPr>
              <w:spacing w:line="240" w:lineRule="auto"/>
              <w:jc w:val="center"/>
              <w:rPr>
                <w:sz w:val="20"/>
                <w:szCs w:val="20"/>
              </w:rPr>
            </w:pPr>
            <w:r w:rsidRPr="00CC0F64">
              <w:rPr>
                <w:sz w:val="20"/>
                <w:szCs w:val="20"/>
              </w:rPr>
              <w:t> </w:t>
            </w:r>
          </w:p>
        </w:tc>
        <w:tc>
          <w:tcPr>
            <w:tcW w:w="1818" w:type="dxa"/>
            <w:tcBorders>
              <w:top w:val="nil"/>
              <w:bottom w:val="nil"/>
            </w:tcBorders>
            <w:shd w:val="clear" w:color="auto" w:fill="auto"/>
            <w:vAlign w:val="center"/>
          </w:tcPr>
          <w:p w14:paraId="00000284" w14:textId="77777777" w:rsidR="00083006" w:rsidRPr="00CC0F64" w:rsidRDefault="0080383E">
            <w:pPr>
              <w:spacing w:line="240" w:lineRule="auto"/>
              <w:jc w:val="center"/>
              <w:rPr>
                <w:sz w:val="20"/>
                <w:szCs w:val="20"/>
              </w:rPr>
            </w:pPr>
            <w:r w:rsidRPr="00CC0F64">
              <w:rPr>
                <w:sz w:val="20"/>
                <w:szCs w:val="20"/>
              </w:rPr>
              <w:t> </w:t>
            </w:r>
          </w:p>
        </w:tc>
        <w:tc>
          <w:tcPr>
            <w:tcW w:w="1874" w:type="dxa"/>
            <w:tcBorders>
              <w:top w:val="nil"/>
              <w:bottom w:val="nil"/>
            </w:tcBorders>
            <w:shd w:val="clear" w:color="auto" w:fill="auto"/>
            <w:vAlign w:val="center"/>
          </w:tcPr>
          <w:p w14:paraId="00000285" w14:textId="77777777" w:rsidR="00083006" w:rsidRPr="00CC0F64" w:rsidRDefault="0080383E">
            <w:pPr>
              <w:spacing w:line="240" w:lineRule="auto"/>
              <w:jc w:val="center"/>
              <w:rPr>
                <w:sz w:val="20"/>
                <w:szCs w:val="20"/>
              </w:rPr>
            </w:pPr>
            <w:r w:rsidRPr="00CC0F64">
              <w:rPr>
                <w:sz w:val="20"/>
                <w:szCs w:val="20"/>
              </w:rPr>
              <w:t> </w:t>
            </w:r>
          </w:p>
        </w:tc>
        <w:tc>
          <w:tcPr>
            <w:tcW w:w="1343" w:type="dxa"/>
            <w:tcBorders>
              <w:top w:val="nil"/>
              <w:bottom w:val="nil"/>
            </w:tcBorders>
            <w:shd w:val="clear" w:color="auto" w:fill="auto"/>
            <w:vAlign w:val="center"/>
          </w:tcPr>
          <w:p w14:paraId="00000286" w14:textId="77777777" w:rsidR="00083006" w:rsidRPr="00CC0F64" w:rsidRDefault="0080383E">
            <w:pPr>
              <w:spacing w:line="240" w:lineRule="auto"/>
              <w:jc w:val="center"/>
              <w:rPr>
                <w:sz w:val="20"/>
                <w:szCs w:val="20"/>
              </w:rPr>
            </w:pPr>
            <w:r w:rsidRPr="00CC0F64">
              <w:rPr>
                <w:sz w:val="20"/>
                <w:szCs w:val="20"/>
              </w:rPr>
              <w:t> </w:t>
            </w:r>
          </w:p>
        </w:tc>
      </w:tr>
      <w:tr w:rsidR="007E3981" w:rsidRPr="00CC0F64" w14:paraId="7ACD59E7" w14:textId="77777777">
        <w:trPr>
          <w:trHeight w:val="290"/>
          <w:jc w:val="center"/>
        </w:trPr>
        <w:tc>
          <w:tcPr>
            <w:tcW w:w="4617" w:type="dxa"/>
            <w:tcBorders>
              <w:top w:val="nil"/>
              <w:bottom w:val="nil"/>
            </w:tcBorders>
            <w:shd w:val="clear" w:color="auto" w:fill="auto"/>
            <w:vAlign w:val="center"/>
          </w:tcPr>
          <w:p w14:paraId="00000287" w14:textId="77777777" w:rsidR="00083006" w:rsidRPr="00CC0F64" w:rsidRDefault="0080383E">
            <w:pPr>
              <w:spacing w:line="240" w:lineRule="auto"/>
              <w:rPr>
                <w:sz w:val="20"/>
                <w:szCs w:val="20"/>
              </w:rPr>
            </w:pPr>
            <w:r w:rsidRPr="00CC0F64">
              <w:rPr>
                <w:sz w:val="20"/>
                <w:szCs w:val="20"/>
              </w:rPr>
              <w:t xml:space="preserve">R-Squared:      </w:t>
            </w:r>
          </w:p>
        </w:tc>
        <w:tc>
          <w:tcPr>
            <w:tcW w:w="2070" w:type="dxa"/>
            <w:tcBorders>
              <w:top w:val="nil"/>
              <w:bottom w:val="nil"/>
            </w:tcBorders>
            <w:shd w:val="clear" w:color="auto" w:fill="auto"/>
            <w:vAlign w:val="center"/>
          </w:tcPr>
          <w:p w14:paraId="00000288" w14:textId="77777777" w:rsidR="00083006" w:rsidRPr="00CC0F64" w:rsidRDefault="0080383E">
            <w:pPr>
              <w:spacing w:line="240" w:lineRule="auto"/>
              <w:jc w:val="center"/>
              <w:rPr>
                <w:sz w:val="20"/>
                <w:szCs w:val="20"/>
              </w:rPr>
            </w:pPr>
            <w:r w:rsidRPr="00CC0F64">
              <w:rPr>
                <w:sz w:val="20"/>
                <w:szCs w:val="20"/>
              </w:rPr>
              <w:t>0.8211</w:t>
            </w:r>
          </w:p>
        </w:tc>
        <w:tc>
          <w:tcPr>
            <w:tcW w:w="1958" w:type="dxa"/>
            <w:tcBorders>
              <w:top w:val="nil"/>
              <w:bottom w:val="nil"/>
            </w:tcBorders>
            <w:shd w:val="clear" w:color="auto" w:fill="auto"/>
            <w:vAlign w:val="center"/>
          </w:tcPr>
          <w:p w14:paraId="00000289" w14:textId="77777777" w:rsidR="00083006" w:rsidRPr="00CC0F64" w:rsidRDefault="0080383E">
            <w:pPr>
              <w:spacing w:line="240" w:lineRule="auto"/>
              <w:jc w:val="center"/>
              <w:rPr>
                <w:sz w:val="20"/>
                <w:szCs w:val="20"/>
              </w:rPr>
            </w:pPr>
            <w:r w:rsidRPr="00CC0F64">
              <w:rPr>
                <w:sz w:val="20"/>
                <w:szCs w:val="20"/>
              </w:rPr>
              <w:t> </w:t>
            </w:r>
          </w:p>
        </w:tc>
        <w:tc>
          <w:tcPr>
            <w:tcW w:w="1818" w:type="dxa"/>
            <w:tcBorders>
              <w:top w:val="nil"/>
              <w:bottom w:val="nil"/>
            </w:tcBorders>
            <w:shd w:val="clear" w:color="auto" w:fill="auto"/>
            <w:vAlign w:val="center"/>
          </w:tcPr>
          <w:p w14:paraId="0000028A" w14:textId="77777777" w:rsidR="00083006" w:rsidRPr="00CC0F64" w:rsidRDefault="0080383E">
            <w:pPr>
              <w:spacing w:line="240" w:lineRule="auto"/>
              <w:jc w:val="center"/>
              <w:rPr>
                <w:sz w:val="20"/>
                <w:szCs w:val="20"/>
              </w:rPr>
            </w:pPr>
            <w:r w:rsidRPr="00CC0F64">
              <w:rPr>
                <w:sz w:val="20"/>
                <w:szCs w:val="20"/>
              </w:rPr>
              <w:t> </w:t>
            </w:r>
          </w:p>
        </w:tc>
        <w:tc>
          <w:tcPr>
            <w:tcW w:w="1874" w:type="dxa"/>
            <w:tcBorders>
              <w:top w:val="nil"/>
              <w:bottom w:val="nil"/>
            </w:tcBorders>
            <w:shd w:val="clear" w:color="auto" w:fill="auto"/>
            <w:vAlign w:val="center"/>
          </w:tcPr>
          <w:p w14:paraId="0000028B" w14:textId="77777777" w:rsidR="00083006" w:rsidRPr="00CC0F64" w:rsidRDefault="0080383E">
            <w:pPr>
              <w:spacing w:line="240" w:lineRule="auto"/>
              <w:jc w:val="center"/>
              <w:rPr>
                <w:sz w:val="20"/>
                <w:szCs w:val="20"/>
              </w:rPr>
            </w:pPr>
            <w:r w:rsidRPr="00CC0F64">
              <w:rPr>
                <w:sz w:val="20"/>
                <w:szCs w:val="20"/>
              </w:rPr>
              <w:t> </w:t>
            </w:r>
          </w:p>
        </w:tc>
        <w:tc>
          <w:tcPr>
            <w:tcW w:w="1343" w:type="dxa"/>
            <w:tcBorders>
              <w:top w:val="nil"/>
              <w:bottom w:val="nil"/>
            </w:tcBorders>
            <w:shd w:val="clear" w:color="auto" w:fill="auto"/>
            <w:vAlign w:val="center"/>
          </w:tcPr>
          <w:p w14:paraId="0000028C" w14:textId="77777777" w:rsidR="00083006" w:rsidRPr="00CC0F64" w:rsidRDefault="0080383E">
            <w:pPr>
              <w:spacing w:line="240" w:lineRule="auto"/>
              <w:jc w:val="center"/>
              <w:rPr>
                <w:sz w:val="20"/>
                <w:szCs w:val="20"/>
              </w:rPr>
            </w:pPr>
            <w:r w:rsidRPr="00CC0F64">
              <w:rPr>
                <w:sz w:val="20"/>
                <w:szCs w:val="20"/>
              </w:rPr>
              <w:t> </w:t>
            </w:r>
          </w:p>
        </w:tc>
      </w:tr>
      <w:tr w:rsidR="007E3981" w:rsidRPr="00CC0F64" w14:paraId="32FEDC58" w14:textId="77777777">
        <w:trPr>
          <w:trHeight w:val="290"/>
          <w:jc w:val="center"/>
        </w:trPr>
        <w:tc>
          <w:tcPr>
            <w:tcW w:w="4617" w:type="dxa"/>
            <w:tcBorders>
              <w:top w:val="nil"/>
              <w:bottom w:val="nil"/>
            </w:tcBorders>
            <w:shd w:val="clear" w:color="auto" w:fill="auto"/>
            <w:vAlign w:val="center"/>
          </w:tcPr>
          <w:p w14:paraId="0000028D" w14:textId="77777777" w:rsidR="00083006" w:rsidRPr="00CC0F64" w:rsidRDefault="0080383E">
            <w:pPr>
              <w:spacing w:line="240" w:lineRule="auto"/>
              <w:rPr>
                <w:sz w:val="20"/>
                <w:szCs w:val="20"/>
              </w:rPr>
            </w:pPr>
            <w:r w:rsidRPr="00CC0F64">
              <w:rPr>
                <w:sz w:val="20"/>
                <w:szCs w:val="20"/>
              </w:rPr>
              <w:t xml:space="preserve">Adj. R-Squared: </w:t>
            </w:r>
          </w:p>
        </w:tc>
        <w:tc>
          <w:tcPr>
            <w:tcW w:w="2070" w:type="dxa"/>
            <w:tcBorders>
              <w:top w:val="nil"/>
              <w:bottom w:val="nil"/>
            </w:tcBorders>
            <w:shd w:val="clear" w:color="auto" w:fill="auto"/>
            <w:vAlign w:val="center"/>
          </w:tcPr>
          <w:p w14:paraId="0000028E" w14:textId="77777777" w:rsidR="00083006" w:rsidRPr="00CC0F64" w:rsidRDefault="0080383E">
            <w:pPr>
              <w:spacing w:line="240" w:lineRule="auto"/>
              <w:jc w:val="center"/>
              <w:rPr>
                <w:sz w:val="20"/>
                <w:szCs w:val="20"/>
              </w:rPr>
            </w:pPr>
            <w:r w:rsidRPr="00CC0F64">
              <w:rPr>
                <w:sz w:val="20"/>
                <w:szCs w:val="20"/>
              </w:rPr>
              <w:t>0.8161</w:t>
            </w:r>
          </w:p>
        </w:tc>
        <w:tc>
          <w:tcPr>
            <w:tcW w:w="1958" w:type="dxa"/>
            <w:tcBorders>
              <w:top w:val="nil"/>
              <w:bottom w:val="nil"/>
            </w:tcBorders>
            <w:shd w:val="clear" w:color="auto" w:fill="auto"/>
            <w:vAlign w:val="center"/>
          </w:tcPr>
          <w:p w14:paraId="0000028F" w14:textId="77777777" w:rsidR="00083006" w:rsidRPr="00CC0F64" w:rsidRDefault="0080383E">
            <w:pPr>
              <w:spacing w:line="240" w:lineRule="auto"/>
              <w:jc w:val="center"/>
              <w:rPr>
                <w:sz w:val="20"/>
                <w:szCs w:val="20"/>
              </w:rPr>
            </w:pPr>
            <w:r w:rsidRPr="00CC0F64">
              <w:rPr>
                <w:sz w:val="20"/>
                <w:szCs w:val="20"/>
              </w:rPr>
              <w:t> </w:t>
            </w:r>
          </w:p>
        </w:tc>
        <w:tc>
          <w:tcPr>
            <w:tcW w:w="1818" w:type="dxa"/>
            <w:tcBorders>
              <w:top w:val="nil"/>
              <w:bottom w:val="nil"/>
            </w:tcBorders>
            <w:shd w:val="clear" w:color="auto" w:fill="auto"/>
            <w:vAlign w:val="center"/>
          </w:tcPr>
          <w:p w14:paraId="00000290" w14:textId="77777777" w:rsidR="00083006" w:rsidRPr="00CC0F64" w:rsidRDefault="0080383E">
            <w:pPr>
              <w:spacing w:line="240" w:lineRule="auto"/>
              <w:jc w:val="center"/>
              <w:rPr>
                <w:sz w:val="20"/>
                <w:szCs w:val="20"/>
              </w:rPr>
            </w:pPr>
            <w:r w:rsidRPr="00CC0F64">
              <w:rPr>
                <w:sz w:val="20"/>
                <w:szCs w:val="20"/>
              </w:rPr>
              <w:t> </w:t>
            </w:r>
          </w:p>
        </w:tc>
        <w:tc>
          <w:tcPr>
            <w:tcW w:w="1874" w:type="dxa"/>
            <w:tcBorders>
              <w:top w:val="nil"/>
              <w:bottom w:val="nil"/>
            </w:tcBorders>
            <w:shd w:val="clear" w:color="auto" w:fill="auto"/>
            <w:vAlign w:val="center"/>
          </w:tcPr>
          <w:p w14:paraId="00000291" w14:textId="77777777" w:rsidR="00083006" w:rsidRPr="00CC0F64" w:rsidRDefault="0080383E">
            <w:pPr>
              <w:spacing w:line="240" w:lineRule="auto"/>
              <w:jc w:val="center"/>
              <w:rPr>
                <w:sz w:val="20"/>
                <w:szCs w:val="20"/>
              </w:rPr>
            </w:pPr>
            <w:r w:rsidRPr="00CC0F64">
              <w:rPr>
                <w:sz w:val="20"/>
                <w:szCs w:val="20"/>
              </w:rPr>
              <w:t> </w:t>
            </w:r>
          </w:p>
        </w:tc>
        <w:tc>
          <w:tcPr>
            <w:tcW w:w="1343" w:type="dxa"/>
            <w:tcBorders>
              <w:top w:val="nil"/>
              <w:bottom w:val="nil"/>
            </w:tcBorders>
            <w:shd w:val="clear" w:color="auto" w:fill="auto"/>
            <w:vAlign w:val="center"/>
          </w:tcPr>
          <w:p w14:paraId="00000292" w14:textId="77777777" w:rsidR="00083006" w:rsidRPr="00CC0F64" w:rsidRDefault="0080383E">
            <w:pPr>
              <w:spacing w:line="240" w:lineRule="auto"/>
              <w:jc w:val="center"/>
              <w:rPr>
                <w:sz w:val="20"/>
                <w:szCs w:val="20"/>
              </w:rPr>
            </w:pPr>
            <w:r w:rsidRPr="00CC0F64">
              <w:rPr>
                <w:sz w:val="20"/>
                <w:szCs w:val="20"/>
              </w:rPr>
              <w:t> </w:t>
            </w:r>
          </w:p>
        </w:tc>
      </w:tr>
      <w:tr w:rsidR="007E3981" w:rsidRPr="00CC0F64" w14:paraId="7657E552" w14:textId="77777777">
        <w:trPr>
          <w:trHeight w:val="290"/>
          <w:jc w:val="center"/>
        </w:trPr>
        <w:tc>
          <w:tcPr>
            <w:tcW w:w="4617" w:type="dxa"/>
            <w:tcBorders>
              <w:top w:val="nil"/>
              <w:bottom w:val="single" w:sz="4" w:space="0" w:color="000000"/>
            </w:tcBorders>
            <w:shd w:val="clear" w:color="auto" w:fill="auto"/>
            <w:vAlign w:val="center"/>
          </w:tcPr>
          <w:p w14:paraId="00000293" w14:textId="77777777" w:rsidR="00083006" w:rsidRPr="00CC0F64" w:rsidRDefault="0080383E">
            <w:pPr>
              <w:spacing w:line="240" w:lineRule="auto"/>
              <w:rPr>
                <w:sz w:val="20"/>
                <w:szCs w:val="20"/>
              </w:rPr>
            </w:pPr>
            <w:r w:rsidRPr="00CC0F64">
              <w:rPr>
                <w:sz w:val="20"/>
                <w:szCs w:val="20"/>
              </w:rPr>
              <w:t>F-statistic:</w:t>
            </w:r>
          </w:p>
        </w:tc>
        <w:tc>
          <w:tcPr>
            <w:tcW w:w="2070" w:type="dxa"/>
            <w:tcBorders>
              <w:top w:val="nil"/>
              <w:bottom w:val="single" w:sz="4" w:space="0" w:color="000000"/>
            </w:tcBorders>
            <w:shd w:val="clear" w:color="auto" w:fill="auto"/>
            <w:vAlign w:val="center"/>
          </w:tcPr>
          <w:p w14:paraId="00000294" w14:textId="77777777" w:rsidR="00083006" w:rsidRPr="00CC0F64" w:rsidRDefault="0080383E">
            <w:pPr>
              <w:spacing w:line="240" w:lineRule="auto"/>
              <w:jc w:val="center"/>
              <w:rPr>
                <w:sz w:val="20"/>
                <w:szCs w:val="20"/>
              </w:rPr>
            </w:pPr>
            <w:r w:rsidRPr="00CC0F64">
              <w:rPr>
                <w:sz w:val="20"/>
                <w:szCs w:val="20"/>
              </w:rPr>
              <w:t>166.3160***</w:t>
            </w:r>
          </w:p>
        </w:tc>
        <w:tc>
          <w:tcPr>
            <w:tcW w:w="1958" w:type="dxa"/>
            <w:tcBorders>
              <w:top w:val="nil"/>
              <w:bottom w:val="single" w:sz="4" w:space="0" w:color="000000"/>
            </w:tcBorders>
            <w:shd w:val="clear" w:color="auto" w:fill="auto"/>
            <w:vAlign w:val="center"/>
          </w:tcPr>
          <w:p w14:paraId="00000295" w14:textId="77777777" w:rsidR="00083006" w:rsidRPr="00CC0F64" w:rsidRDefault="0080383E">
            <w:pPr>
              <w:spacing w:line="240" w:lineRule="auto"/>
              <w:jc w:val="center"/>
              <w:rPr>
                <w:sz w:val="20"/>
                <w:szCs w:val="20"/>
              </w:rPr>
            </w:pPr>
            <w:r w:rsidRPr="00CC0F64">
              <w:rPr>
                <w:sz w:val="20"/>
                <w:szCs w:val="20"/>
              </w:rPr>
              <w:t> </w:t>
            </w:r>
          </w:p>
        </w:tc>
        <w:tc>
          <w:tcPr>
            <w:tcW w:w="1818" w:type="dxa"/>
            <w:tcBorders>
              <w:top w:val="nil"/>
              <w:bottom w:val="single" w:sz="4" w:space="0" w:color="000000"/>
            </w:tcBorders>
            <w:shd w:val="clear" w:color="auto" w:fill="auto"/>
            <w:vAlign w:val="center"/>
          </w:tcPr>
          <w:p w14:paraId="00000296" w14:textId="77777777" w:rsidR="00083006" w:rsidRPr="00CC0F64" w:rsidRDefault="0080383E">
            <w:pPr>
              <w:spacing w:line="240" w:lineRule="auto"/>
              <w:jc w:val="center"/>
              <w:rPr>
                <w:sz w:val="20"/>
                <w:szCs w:val="20"/>
              </w:rPr>
            </w:pPr>
            <w:r w:rsidRPr="00CC0F64">
              <w:rPr>
                <w:sz w:val="20"/>
                <w:szCs w:val="20"/>
              </w:rPr>
              <w:t> </w:t>
            </w:r>
          </w:p>
        </w:tc>
        <w:tc>
          <w:tcPr>
            <w:tcW w:w="1874" w:type="dxa"/>
            <w:tcBorders>
              <w:top w:val="nil"/>
              <w:bottom w:val="single" w:sz="4" w:space="0" w:color="000000"/>
            </w:tcBorders>
            <w:shd w:val="clear" w:color="auto" w:fill="auto"/>
            <w:vAlign w:val="center"/>
          </w:tcPr>
          <w:p w14:paraId="00000297" w14:textId="77777777" w:rsidR="00083006" w:rsidRPr="00CC0F64" w:rsidRDefault="0080383E">
            <w:pPr>
              <w:spacing w:line="240" w:lineRule="auto"/>
              <w:jc w:val="center"/>
              <w:rPr>
                <w:sz w:val="20"/>
                <w:szCs w:val="20"/>
              </w:rPr>
            </w:pPr>
            <w:r w:rsidRPr="00CC0F64">
              <w:rPr>
                <w:sz w:val="20"/>
                <w:szCs w:val="20"/>
              </w:rPr>
              <w:t> </w:t>
            </w:r>
          </w:p>
        </w:tc>
        <w:tc>
          <w:tcPr>
            <w:tcW w:w="1343" w:type="dxa"/>
            <w:tcBorders>
              <w:top w:val="nil"/>
              <w:bottom w:val="single" w:sz="4" w:space="0" w:color="000000"/>
            </w:tcBorders>
            <w:shd w:val="clear" w:color="auto" w:fill="auto"/>
            <w:vAlign w:val="center"/>
          </w:tcPr>
          <w:p w14:paraId="00000298" w14:textId="77777777" w:rsidR="00083006" w:rsidRPr="00CC0F64" w:rsidRDefault="0080383E">
            <w:pPr>
              <w:spacing w:line="240" w:lineRule="auto"/>
              <w:jc w:val="center"/>
              <w:rPr>
                <w:sz w:val="20"/>
                <w:szCs w:val="20"/>
              </w:rPr>
            </w:pPr>
            <w:r w:rsidRPr="00CC0F64">
              <w:rPr>
                <w:sz w:val="20"/>
                <w:szCs w:val="20"/>
              </w:rPr>
              <w:t> </w:t>
            </w:r>
          </w:p>
        </w:tc>
      </w:tr>
    </w:tbl>
    <w:p w14:paraId="00000299" w14:textId="77777777" w:rsidR="00083006" w:rsidRPr="00CC0F64" w:rsidRDefault="0080383E">
      <w:pPr>
        <w:rPr>
          <w:sz w:val="20"/>
          <w:szCs w:val="20"/>
        </w:rPr>
      </w:pPr>
      <w:r w:rsidRPr="00CC0F64">
        <w:rPr>
          <w:i/>
          <w:sz w:val="20"/>
          <w:szCs w:val="20"/>
        </w:rPr>
        <w:t xml:space="preserve">   Notes:</w:t>
      </w:r>
      <w:r w:rsidRPr="00CC0F64">
        <w:rPr>
          <w:sz w:val="20"/>
          <w:szCs w:val="20"/>
        </w:rPr>
        <w:t xml:space="preserve"> *, **, *** denote statistically significant at the 10%, 5% and 1% levels, respectively.</w:t>
      </w:r>
    </w:p>
    <w:p w14:paraId="0000029A" w14:textId="77777777" w:rsidR="00083006" w:rsidRPr="00CC0F64" w:rsidRDefault="00083006">
      <w:pPr>
        <w:pBdr>
          <w:top w:val="nil"/>
          <w:left w:val="nil"/>
          <w:bottom w:val="nil"/>
          <w:right w:val="nil"/>
          <w:between w:val="nil"/>
        </w:pBdr>
        <w:spacing w:line="240" w:lineRule="auto"/>
        <w:jc w:val="center"/>
        <w:rPr>
          <w:sz w:val="20"/>
          <w:szCs w:val="20"/>
        </w:rPr>
      </w:pPr>
    </w:p>
    <w:p w14:paraId="0000029B" w14:textId="77777777" w:rsidR="00083006" w:rsidRPr="00CC0F64" w:rsidRDefault="00083006">
      <w:pPr>
        <w:pBdr>
          <w:top w:val="nil"/>
          <w:left w:val="nil"/>
          <w:bottom w:val="nil"/>
          <w:right w:val="nil"/>
          <w:between w:val="nil"/>
        </w:pBdr>
        <w:spacing w:line="240" w:lineRule="auto"/>
        <w:jc w:val="center"/>
        <w:rPr>
          <w:sz w:val="20"/>
          <w:szCs w:val="20"/>
        </w:rPr>
      </w:pPr>
    </w:p>
    <w:p w14:paraId="0000029C" w14:textId="77777777" w:rsidR="00083006" w:rsidRPr="00CC0F64" w:rsidRDefault="00083006">
      <w:pPr>
        <w:pBdr>
          <w:top w:val="nil"/>
          <w:left w:val="nil"/>
          <w:bottom w:val="nil"/>
          <w:right w:val="nil"/>
          <w:between w:val="nil"/>
        </w:pBdr>
        <w:spacing w:line="240" w:lineRule="auto"/>
        <w:jc w:val="center"/>
        <w:rPr>
          <w:sz w:val="20"/>
          <w:szCs w:val="20"/>
        </w:rPr>
      </w:pPr>
    </w:p>
    <w:p w14:paraId="0000029D" w14:textId="77777777" w:rsidR="00083006" w:rsidRPr="00CC0F64" w:rsidRDefault="00083006">
      <w:pPr>
        <w:pBdr>
          <w:top w:val="nil"/>
          <w:left w:val="nil"/>
          <w:bottom w:val="nil"/>
          <w:right w:val="nil"/>
          <w:between w:val="nil"/>
        </w:pBdr>
        <w:spacing w:line="240" w:lineRule="auto"/>
        <w:jc w:val="center"/>
        <w:rPr>
          <w:sz w:val="20"/>
          <w:szCs w:val="20"/>
        </w:rPr>
      </w:pPr>
    </w:p>
    <w:p w14:paraId="0000029E" w14:textId="77777777" w:rsidR="00083006" w:rsidRPr="00CC0F64" w:rsidRDefault="00083006">
      <w:pPr>
        <w:pBdr>
          <w:top w:val="nil"/>
          <w:left w:val="nil"/>
          <w:bottom w:val="nil"/>
          <w:right w:val="nil"/>
          <w:between w:val="nil"/>
        </w:pBdr>
        <w:spacing w:line="240" w:lineRule="auto"/>
        <w:jc w:val="center"/>
        <w:rPr>
          <w:sz w:val="20"/>
          <w:szCs w:val="20"/>
        </w:rPr>
      </w:pPr>
    </w:p>
    <w:p w14:paraId="0000029F" w14:textId="77777777" w:rsidR="00083006" w:rsidRPr="00CC0F64" w:rsidRDefault="00083006">
      <w:pPr>
        <w:pBdr>
          <w:top w:val="nil"/>
          <w:left w:val="nil"/>
          <w:bottom w:val="nil"/>
          <w:right w:val="nil"/>
          <w:between w:val="nil"/>
        </w:pBdr>
        <w:spacing w:line="240" w:lineRule="auto"/>
        <w:jc w:val="center"/>
        <w:rPr>
          <w:sz w:val="20"/>
          <w:szCs w:val="20"/>
        </w:rPr>
      </w:pPr>
    </w:p>
    <w:p w14:paraId="000002A0" w14:textId="77777777" w:rsidR="00083006" w:rsidRPr="00CC0F64" w:rsidRDefault="00083006">
      <w:pPr>
        <w:pBdr>
          <w:top w:val="nil"/>
          <w:left w:val="nil"/>
          <w:bottom w:val="nil"/>
          <w:right w:val="nil"/>
          <w:between w:val="nil"/>
        </w:pBdr>
        <w:spacing w:line="240" w:lineRule="auto"/>
        <w:jc w:val="center"/>
        <w:rPr>
          <w:sz w:val="20"/>
          <w:szCs w:val="20"/>
        </w:rPr>
      </w:pPr>
    </w:p>
    <w:p w14:paraId="000002A1" w14:textId="77777777" w:rsidR="00083006" w:rsidRPr="00CC0F64" w:rsidRDefault="00083006">
      <w:pPr>
        <w:pBdr>
          <w:top w:val="nil"/>
          <w:left w:val="nil"/>
          <w:bottom w:val="nil"/>
          <w:right w:val="nil"/>
          <w:between w:val="nil"/>
        </w:pBdr>
        <w:spacing w:line="240" w:lineRule="auto"/>
        <w:jc w:val="center"/>
        <w:rPr>
          <w:sz w:val="20"/>
          <w:szCs w:val="20"/>
        </w:rPr>
      </w:pPr>
    </w:p>
    <w:p w14:paraId="000002A2" w14:textId="77777777" w:rsidR="00083006" w:rsidRPr="00CC0F64" w:rsidRDefault="00083006">
      <w:pPr>
        <w:pBdr>
          <w:top w:val="nil"/>
          <w:left w:val="nil"/>
          <w:bottom w:val="nil"/>
          <w:right w:val="nil"/>
          <w:between w:val="nil"/>
        </w:pBdr>
        <w:spacing w:line="240" w:lineRule="auto"/>
        <w:jc w:val="center"/>
        <w:rPr>
          <w:sz w:val="20"/>
          <w:szCs w:val="20"/>
        </w:rPr>
      </w:pPr>
    </w:p>
    <w:p w14:paraId="000002A3" w14:textId="77777777" w:rsidR="00083006" w:rsidRPr="00CC0F64" w:rsidRDefault="00083006">
      <w:pPr>
        <w:pBdr>
          <w:top w:val="nil"/>
          <w:left w:val="nil"/>
          <w:bottom w:val="nil"/>
          <w:right w:val="nil"/>
          <w:between w:val="nil"/>
        </w:pBdr>
        <w:spacing w:line="240" w:lineRule="auto"/>
        <w:jc w:val="center"/>
        <w:rPr>
          <w:sz w:val="20"/>
          <w:szCs w:val="20"/>
        </w:rPr>
      </w:pPr>
    </w:p>
    <w:p w14:paraId="000002A4" w14:textId="77777777" w:rsidR="00083006" w:rsidRPr="00CC0F64" w:rsidRDefault="0080383E">
      <w:pPr>
        <w:pBdr>
          <w:top w:val="nil"/>
          <w:left w:val="nil"/>
          <w:bottom w:val="nil"/>
          <w:right w:val="nil"/>
          <w:between w:val="nil"/>
        </w:pBdr>
        <w:spacing w:line="240" w:lineRule="auto"/>
        <w:rPr>
          <w:sz w:val="20"/>
          <w:szCs w:val="20"/>
        </w:rPr>
      </w:pPr>
      <w:r w:rsidRPr="00CC0F64">
        <w:rPr>
          <w:rFonts w:ascii="Courier New" w:eastAsia="Courier New" w:hAnsi="Courier New" w:cs="Courier New"/>
          <w:noProof/>
        </w:rPr>
        <w:lastRenderedPageBreak/>
        <w:drawing>
          <wp:inline distT="0" distB="0" distL="0" distR="0" wp14:anchorId="482993F6" wp14:editId="7E1E2E03">
            <wp:extent cx="2146300" cy="4044950"/>
            <wp:effectExtent l="0" t="0" r="0" b="0"/>
            <wp:docPr id="222" name="image4.png" descr="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4.png" descr="Chart&#10;&#10;Description automatically generated"/>
                    <pic:cNvPicPr preferRelativeResize="0"/>
                  </pic:nvPicPr>
                  <pic:blipFill>
                    <a:blip r:embed="rId73"/>
                    <a:srcRect/>
                    <a:stretch>
                      <a:fillRect/>
                    </a:stretch>
                  </pic:blipFill>
                  <pic:spPr>
                    <a:xfrm>
                      <a:off x="0" y="0"/>
                      <a:ext cx="2146300" cy="4044950"/>
                    </a:xfrm>
                    <a:prstGeom prst="rect">
                      <a:avLst/>
                    </a:prstGeom>
                    <a:ln/>
                  </pic:spPr>
                </pic:pic>
              </a:graphicData>
            </a:graphic>
          </wp:inline>
        </w:drawing>
      </w:r>
      <w:r w:rsidRPr="00CC0F64">
        <w:rPr>
          <w:sz w:val="20"/>
          <w:szCs w:val="20"/>
        </w:rPr>
        <w:t xml:space="preserve">  </w:t>
      </w:r>
      <w:r w:rsidRPr="00CC0F64">
        <w:rPr>
          <w:rFonts w:ascii="Courier New" w:eastAsia="Courier New" w:hAnsi="Courier New" w:cs="Courier New"/>
          <w:noProof/>
        </w:rPr>
        <w:drawing>
          <wp:inline distT="0" distB="0" distL="0" distR="0" wp14:anchorId="66D82DA3" wp14:editId="0E5BAC7F">
            <wp:extent cx="1987550" cy="4099560"/>
            <wp:effectExtent l="0" t="0" r="0" b="0"/>
            <wp:docPr id="223" name="image15.png" descr="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5.png" descr="Chart&#10;&#10;Description automatically generated"/>
                    <pic:cNvPicPr preferRelativeResize="0"/>
                  </pic:nvPicPr>
                  <pic:blipFill>
                    <a:blip r:embed="rId74"/>
                    <a:srcRect/>
                    <a:stretch>
                      <a:fillRect/>
                    </a:stretch>
                  </pic:blipFill>
                  <pic:spPr>
                    <a:xfrm>
                      <a:off x="0" y="0"/>
                      <a:ext cx="1987550" cy="4099560"/>
                    </a:xfrm>
                    <a:prstGeom prst="rect">
                      <a:avLst/>
                    </a:prstGeom>
                    <a:ln/>
                  </pic:spPr>
                </pic:pic>
              </a:graphicData>
            </a:graphic>
          </wp:inline>
        </w:drawing>
      </w:r>
      <w:r w:rsidRPr="00CC0F64">
        <w:rPr>
          <w:sz w:val="20"/>
          <w:szCs w:val="20"/>
        </w:rPr>
        <w:t xml:space="preserve">  </w:t>
      </w:r>
      <w:r w:rsidRPr="00CC0F64">
        <w:rPr>
          <w:rFonts w:ascii="Courier New" w:eastAsia="Courier New" w:hAnsi="Courier New" w:cs="Courier New"/>
          <w:noProof/>
        </w:rPr>
        <w:drawing>
          <wp:inline distT="0" distB="0" distL="0" distR="0" wp14:anchorId="6DF5354A" wp14:editId="730A37B7">
            <wp:extent cx="2139950" cy="4067810"/>
            <wp:effectExtent l="0" t="0" r="0" b="0"/>
            <wp:docPr id="224" name="image7.png" descr="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7.png" descr="Chart&#10;&#10;Description automatically generated"/>
                    <pic:cNvPicPr preferRelativeResize="0"/>
                  </pic:nvPicPr>
                  <pic:blipFill>
                    <a:blip r:embed="rId75"/>
                    <a:srcRect/>
                    <a:stretch>
                      <a:fillRect/>
                    </a:stretch>
                  </pic:blipFill>
                  <pic:spPr>
                    <a:xfrm>
                      <a:off x="0" y="0"/>
                      <a:ext cx="2139950" cy="4067810"/>
                    </a:xfrm>
                    <a:prstGeom prst="rect">
                      <a:avLst/>
                    </a:prstGeom>
                    <a:ln/>
                  </pic:spPr>
                </pic:pic>
              </a:graphicData>
            </a:graphic>
          </wp:inline>
        </w:drawing>
      </w:r>
      <w:r w:rsidRPr="00CC0F64">
        <w:rPr>
          <w:sz w:val="20"/>
          <w:szCs w:val="20"/>
        </w:rPr>
        <w:t xml:space="preserve">  </w:t>
      </w:r>
      <w:r w:rsidRPr="00CC0F64">
        <w:rPr>
          <w:rFonts w:ascii="Courier New" w:eastAsia="Courier New" w:hAnsi="Courier New" w:cs="Courier New"/>
          <w:noProof/>
        </w:rPr>
        <w:drawing>
          <wp:inline distT="0" distB="0" distL="0" distR="0" wp14:anchorId="6A084D9B" wp14:editId="5B962353">
            <wp:extent cx="2362200" cy="4112260"/>
            <wp:effectExtent l="0" t="0" r="0" b="0"/>
            <wp:docPr id="225" name="image12.png" descr="Char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2.png" descr="Chart&#10;&#10;Description automatically generated"/>
                    <pic:cNvPicPr preferRelativeResize="0"/>
                  </pic:nvPicPr>
                  <pic:blipFill>
                    <a:blip r:embed="rId76"/>
                    <a:srcRect/>
                    <a:stretch>
                      <a:fillRect/>
                    </a:stretch>
                  </pic:blipFill>
                  <pic:spPr>
                    <a:xfrm>
                      <a:off x="0" y="0"/>
                      <a:ext cx="2362200" cy="4112260"/>
                    </a:xfrm>
                    <a:prstGeom prst="rect">
                      <a:avLst/>
                    </a:prstGeom>
                    <a:ln/>
                  </pic:spPr>
                </pic:pic>
              </a:graphicData>
            </a:graphic>
          </wp:inline>
        </w:drawing>
      </w:r>
    </w:p>
    <w:p w14:paraId="000002A5" w14:textId="77777777" w:rsidR="00083006" w:rsidRPr="00CC0F64" w:rsidRDefault="00083006">
      <w:pPr>
        <w:pBdr>
          <w:top w:val="nil"/>
          <w:left w:val="nil"/>
          <w:bottom w:val="nil"/>
          <w:right w:val="nil"/>
          <w:between w:val="nil"/>
        </w:pBdr>
        <w:spacing w:line="240" w:lineRule="auto"/>
        <w:jc w:val="center"/>
        <w:rPr>
          <w:b/>
          <w:sz w:val="20"/>
          <w:szCs w:val="20"/>
        </w:rPr>
      </w:pPr>
    </w:p>
    <w:p w14:paraId="000002A6" w14:textId="1515B218" w:rsidR="00083006" w:rsidRDefault="001D49DD" w:rsidP="001D49DD">
      <w:pPr>
        <w:pStyle w:val="Caption"/>
        <w:jc w:val="center"/>
        <w:rPr>
          <w:color w:val="00B050"/>
          <w:sz w:val="20"/>
          <w:szCs w:val="20"/>
        </w:rPr>
      </w:pPr>
      <w:r w:rsidRPr="001D49DD">
        <w:rPr>
          <w:color w:val="00B050"/>
        </w:rPr>
        <w:t xml:space="preserve">Figure </w:t>
      </w:r>
      <w:r w:rsidRPr="001D49DD">
        <w:rPr>
          <w:color w:val="00B050"/>
        </w:rPr>
        <w:fldChar w:fldCharType="begin"/>
      </w:r>
      <w:r w:rsidRPr="001D49DD">
        <w:rPr>
          <w:color w:val="00B050"/>
        </w:rPr>
        <w:instrText xml:space="preserve"> SEQ Figure \* ARABIC </w:instrText>
      </w:r>
      <w:r w:rsidRPr="001D49DD">
        <w:rPr>
          <w:color w:val="00B050"/>
        </w:rPr>
        <w:fldChar w:fldCharType="separate"/>
      </w:r>
      <w:r w:rsidR="004E2D14">
        <w:rPr>
          <w:noProof/>
          <w:color w:val="00B050"/>
        </w:rPr>
        <w:t>8</w:t>
      </w:r>
      <w:r w:rsidRPr="001D49DD">
        <w:rPr>
          <w:color w:val="00B050"/>
        </w:rPr>
        <w:fldChar w:fldCharType="end"/>
      </w:r>
      <w:r w:rsidRPr="001D49DD">
        <w:rPr>
          <w:color w:val="00B050"/>
        </w:rPr>
        <w:t xml:space="preserve"> </w:t>
      </w:r>
      <w:r w:rsidRPr="001D49DD">
        <w:rPr>
          <w:color w:val="00B050"/>
          <w:sz w:val="20"/>
          <w:szCs w:val="20"/>
        </w:rPr>
        <w:t xml:space="preserve">Coefficients results from time-varying random fixed effects </w:t>
      </w:r>
      <w:proofErr w:type="gramStart"/>
      <w:r w:rsidRPr="001D49DD">
        <w:rPr>
          <w:color w:val="00B050"/>
          <w:sz w:val="20"/>
          <w:szCs w:val="20"/>
        </w:rPr>
        <w:t>method</w:t>
      </w:r>
      <w:proofErr w:type="gramEnd"/>
    </w:p>
    <w:p w14:paraId="000002A7" w14:textId="77777777" w:rsidR="00083006" w:rsidRPr="007E3981" w:rsidRDefault="00083006">
      <w:pPr>
        <w:pBdr>
          <w:top w:val="nil"/>
          <w:left w:val="nil"/>
          <w:bottom w:val="nil"/>
          <w:right w:val="nil"/>
          <w:between w:val="nil"/>
        </w:pBdr>
        <w:spacing w:line="360" w:lineRule="auto"/>
        <w:jc w:val="both"/>
      </w:pPr>
    </w:p>
    <w:p w14:paraId="000002A8" w14:textId="77777777" w:rsidR="00083006" w:rsidRPr="007E3981" w:rsidRDefault="00083006">
      <w:pPr>
        <w:pBdr>
          <w:top w:val="nil"/>
          <w:left w:val="nil"/>
          <w:bottom w:val="nil"/>
          <w:right w:val="nil"/>
          <w:between w:val="nil"/>
        </w:pBdr>
        <w:spacing w:line="360" w:lineRule="auto"/>
        <w:jc w:val="both"/>
      </w:pPr>
    </w:p>
    <w:sectPr w:rsidR="00083006" w:rsidRPr="007E3981" w:rsidSect="00934AB3">
      <w:pgSz w:w="16838" w:h="11906" w:orient="landscape"/>
      <w:pgMar w:top="1440" w:right="1080" w:bottom="1440" w:left="1080" w:header="720" w:footer="720" w:gutter="0"/>
      <w:cols w:space="720"/>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6" w:author="Chen, Xihui" w:date="2023-04-04T13:47:00Z" w:initials="CX">
    <w:p w14:paraId="232264FC" w14:textId="6EFD0B55" w:rsidR="00102753" w:rsidRDefault="00102753">
      <w:pPr>
        <w:pStyle w:val="CommentText"/>
      </w:pPr>
      <w:r>
        <w:rPr>
          <w:rStyle w:val="CommentReference"/>
        </w:rPr>
        <w:annotationRef/>
      </w:r>
      <w:r>
        <w:rPr>
          <w:lang w:val="vi-VN"/>
        </w:rPr>
        <w:t>Can you mention about this figure in-text?</w:t>
      </w:r>
    </w:p>
    <w:p w14:paraId="04C5A31C" w14:textId="77777777" w:rsidR="00102753" w:rsidRDefault="00102753" w:rsidP="0079078A">
      <w:pPr>
        <w:pStyle w:val="CommentText"/>
      </w:pPr>
      <w:r>
        <w:t>It is currently missing.</w:t>
      </w:r>
    </w:p>
  </w:comment>
  <w:comment w:id="17" w:author="Chen, Xihui" w:date="2023-04-04T13:47:00Z" w:initials="CX">
    <w:p w14:paraId="725F756E" w14:textId="13E9686D" w:rsidR="00102753" w:rsidRDefault="00102753">
      <w:pPr>
        <w:pStyle w:val="CommentText"/>
      </w:pPr>
      <w:r>
        <w:rPr>
          <w:rStyle w:val="CommentReference"/>
        </w:rPr>
        <w:annotationRef/>
      </w:r>
      <w:r>
        <w:t>Can you mention about this figure in-text?</w:t>
      </w:r>
    </w:p>
    <w:p w14:paraId="01C9C896" w14:textId="77777777" w:rsidR="00102753" w:rsidRDefault="00102753" w:rsidP="00951C00">
      <w:pPr>
        <w:pStyle w:val="CommentText"/>
      </w:pPr>
      <w:r>
        <w:t>It is currently missing.</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4C5A31C" w15:done="0"/>
  <w15:commentEx w15:paraId="01C9C89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D6A8F9" w16cex:dateUtc="2023-04-04T12:47:00Z"/>
  <w16cex:commentExtensible w16cex:durableId="27D6A909" w16cex:dateUtc="2023-04-04T12:4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4C5A31C" w16cid:durableId="27D6A8F9"/>
  <w16cid:commentId w16cid:paraId="01C9C896" w16cid:durableId="27D6A90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BA52AC" w14:textId="77777777" w:rsidR="00E54D36" w:rsidRDefault="00E54D36">
      <w:pPr>
        <w:spacing w:line="240" w:lineRule="auto"/>
      </w:pPr>
      <w:r>
        <w:separator/>
      </w:r>
    </w:p>
  </w:endnote>
  <w:endnote w:type="continuationSeparator" w:id="0">
    <w:p w14:paraId="1845266A" w14:textId="77777777" w:rsidR="00E54D36" w:rsidRDefault="00E54D3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DengXian Light">
    <w:altName w:val="等线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Angsana New">
    <w:panose1 w:val="02020603050405020304"/>
    <w:charset w:val="DE"/>
    <w:family w:val="roman"/>
    <w:pitch w:val="variable"/>
    <w:sig w:usb0="81000003" w:usb1="00000000" w:usb2="00000000" w:usb3="00000000" w:csb0="0001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MBX12">
    <w:altName w:val="Cambria"/>
    <w:charset w:val="00"/>
    <w:family w:val="auto"/>
    <w:pitch w:val="default"/>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A9" w14:textId="55FC93C6" w:rsidR="00083006" w:rsidRDefault="0080383E">
    <w:pPr>
      <w:pBdr>
        <w:top w:val="nil"/>
        <w:left w:val="nil"/>
        <w:bottom w:val="nil"/>
        <w:right w:val="nil"/>
        <w:between w:val="nil"/>
      </w:pBdr>
      <w:tabs>
        <w:tab w:val="center" w:pos="4680"/>
        <w:tab w:val="right" w:pos="9360"/>
      </w:tabs>
      <w:spacing w:line="240" w:lineRule="auto"/>
      <w:jc w:val="center"/>
      <w:rPr>
        <w:color w:val="000000"/>
        <w:sz w:val="20"/>
        <w:szCs w:val="20"/>
      </w:rPr>
    </w:pPr>
    <w:r>
      <w:rPr>
        <w:color w:val="000000"/>
        <w:sz w:val="20"/>
        <w:szCs w:val="20"/>
      </w:rPr>
      <w:fldChar w:fldCharType="begin"/>
    </w:r>
    <w:r>
      <w:rPr>
        <w:color w:val="000000"/>
        <w:sz w:val="20"/>
        <w:szCs w:val="20"/>
      </w:rPr>
      <w:instrText>PAGE</w:instrText>
    </w:r>
    <w:r>
      <w:rPr>
        <w:color w:val="000000"/>
        <w:sz w:val="20"/>
        <w:szCs w:val="20"/>
      </w:rPr>
      <w:fldChar w:fldCharType="separate"/>
    </w:r>
    <w:r w:rsidR="00055D4B">
      <w:rPr>
        <w:noProof/>
        <w:color w:val="000000"/>
        <w:sz w:val="20"/>
        <w:szCs w:val="20"/>
      </w:rPr>
      <w:t>1</w:t>
    </w:r>
    <w:r>
      <w:rPr>
        <w:color w:val="000000"/>
        <w:sz w:val="20"/>
        <w:szCs w:val="20"/>
      </w:rPr>
      <w:fldChar w:fldCharType="end"/>
    </w:r>
  </w:p>
  <w:p w14:paraId="000002AA" w14:textId="77777777" w:rsidR="00083006" w:rsidRDefault="00083006">
    <w:pPr>
      <w:pBdr>
        <w:top w:val="nil"/>
        <w:left w:val="nil"/>
        <w:bottom w:val="nil"/>
        <w:right w:val="nil"/>
        <w:between w:val="nil"/>
      </w:pBdr>
      <w:tabs>
        <w:tab w:val="center" w:pos="4680"/>
        <w:tab w:val="right" w:pos="9360"/>
      </w:tabs>
      <w:spacing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04B8A7" w14:textId="77777777" w:rsidR="00E54D36" w:rsidRDefault="00E54D36">
      <w:pPr>
        <w:spacing w:line="240" w:lineRule="auto"/>
      </w:pPr>
      <w:r>
        <w:separator/>
      </w:r>
    </w:p>
  </w:footnote>
  <w:footnote w:type="continuationSeparator" w:id="0">
    <w:p w14:paraId="639B3150" w14:textId="77777777" w:rsidR="00E54D36" w:rsidRDefault="00E54D36">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6534C"/>
    <w:multiLevelType w:val="hybridMultilevel"/>
    <w:tmpl w:val="81B8E2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4BE1EBF"/>
    <w:multiLevelType w:val="multilevel"/>
    <w:tmpl w:val="5CF21BC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571697557">
    <w:abstractNumId w:val="1"/>
  </w:num>
  <w:num w:numId="2" w16cid:durableId="162931627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hen, Xihui">
    <w15:presenceInfo w15:providerId="AD" w15:userId="S::xc2021@hw.ac.uk::e10a00e9-d957-4195-b0aa-266ced42b3c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3006"/>
    <w:rsid w:val="00016059"/>
    <w:rsid w:val="00023A4B"/>
    <w:rsid w:val="00043BE0"/>
    <w:rsid w:val="00055D4B"/>
    <w:rsid w:val="00060A9A"/>
    <w:rsid w:val="00067AD6"/>
    <w:rsid w:val="00082ABA"/>
    <w:rsid w:val="00083006"/>
    <w:rsid w:val="00091BE3"/>
    <w:rsid w:val="00092F04"/>
    <w:rsid w:val="000939EB"/>
    <w:rsid w:val="00096107"/>
    <w:rsid w:val="000A3F5B"/>
    <w:rsid w:val="000A44D0"/>
    <w:rsid w:val="000B2550"/>
    <w:rsid w:val="000D733B"/>
    <w:rsid w:val="000F2BB8"/>
    <w:rsid w:val="000F45FE"/>
    <w:rsid w:val="000F51D5"/>
    <w:rsid w:val="000F5A9B"/>
    <w:rsid w:val="000F74C7"/>
    <w:rsid w:val="00102753"/>
    <w:rsid w:val="001578B9"/>
    <w:rsid w:val="001650F7"/>
    <w:rsid w:val="00182244"/>
    <w:rsid w:val="00185442"/>
    <w:rsid w:val="00186FCB"/>
    <w:rsid w:val="00197A71"/>
    <w:rsid w:val="001A0CC6"/>
    <w:rsid w:val="001A2C03"/>
    <w:rsid w:val="001B332E"/>
    <w:rsid w:val="001D0793"/>
    <w:rsid w:val="001D49DD"/>
    <w:rsid w:val="00203264"/>
    <w:rsid w:val="00232A5F"/>
    <w:rsid w:val="002375E9"/>
    <w:rsid w:val="00246197"/>
    <w:rsid w:val="002931B3"/>
    <w:rsid w:val="002B6B4A"/>
    <w:rsid w:val="002C6544"/>
    <w:rsid w:val="002D3694"/>
    <w:rsid w:val="002E2AA6"/>
    <w:rsid w:val="002F166C"/>
    <w:rsid w:val="002F3164"/>
    <w:rsid w:val="00301B09"/>
    <w:rsid w:val="00322BC0"/>
    <w:rsid w:val="00330E95"/>
    <w:rsid w:val="003310A5"/>
    <w:rsid w:val="00337A71"/>
    <w:rsid w:val="00347839"/>
    <w:rsid w:val="003544C6"/>
    <w:rsid w:val="0035707C"/>
    <w:rsid w:val="00357873"/>
    <w:rsid w:val="00366184"/>
    <w:rsid w:val="003669A2"/>
    <w:rsid w:val="003D5B1F"/>
    <w:rsid w:val="003E03B7"/>
    <w:rsid w:val="003E1A20"/>
    <w:rsid w:val="0041413D"/>
    <w:rsid w:val="0042199F"/>
    <w:rsid w:val="0042219C"/>
    <w:rsid w:val="00424DC4"/>
    <w:rsid w:val="00430012"/>
    <w:rsid w:val="00440188"/>
    <w:rsid w:val="00451057"/>
    <w:rsid w:val="00451F82"/>
    <w:rsid w:val="00452524"/>
    <w:rsid w:val="00492D79"/>
    <w:rsid w:val="004B6485"/>
    <w:rsid w:val="004D1FEE"/>
    <w:rsid w:val="004E2D14"/>
    <w:rsid w:val="004F25E4"/>
    <w:rsid w:val="00501802"/>
    <w:rsid w:val="005164F0"/>
    <w:rsid w:val="005215AB"/>
    <w:rsid w:val="00522205"/>
    <w:rsid w:val="00523B19"/>
    <w:rsid w:val="00524A6A"/>
    <w:rsid w:val="0052739F"/>
    <w:rsid w:val="00536C07"/>
    <w:rsid w:val="005423BC"/>
    <w:rsid w:val="00543638"/>
    <w:rsid w:val="00553B6E"/>
    <w:rsid w:val="00553E1E"/>
    <w:rsid w:val="00554690"/>
    <w:rsid w:val="00577D54"/>
    <w:rsid w:val="00580EA6"/>
    <w:rsid w:val="00582ABF"/>
    <w:rsid w:val="005A20DB"/>
    <w:rsid w:val="005B72CC"/>
    <w:rsid w:val="005D0820"/>
    <w:rsid w:val="005D32EC"/>
    <w:rsid w:val="005F51AC"/>
    <w:rsid w:val="006062FB"/>
    <w:rsid w:val="006163CC"/>
    <w:rsid w:val="00627572"/>
    <w:rsid w:val="006312FF"/>
    <w:rsid w:val="00635D93"/>
    <w:rsid w:val="00681A5A"/>
    <w:rsid w:val="006867D1"/>
    <w:rsid w:val="00690CF7"/>
    <w:rsid w:val="006A3D40"/>
    <w:rsid w:val="006B4506"/>
    <w:rsid w:val="006C25B0"/>
    <w:rsid w:val="006D025B"/>
    <w:rsid w:val="006D7A1F"/>
    <w:rsid w:val="00701984"/>
    <w:rsid w:val="00702C7B"/>
    <w:rsid w:val="0070663D"/>
    <w:rsid w:val="00721D53"/>
    <w:rsid w:val="00727025"/>
    <w:rsid w:val="00733C4F"/>
    <w:rsid w:val="00750AC0"/>
    <w:rsid w:val="00750F39"/>
    <w:rsid w:val="007512C3"/>
    <w:rsid w:val="00773679"/>
    <w:rsid w:val="00775ED0"/>
    <w:rsid w:val="007966F9"/>
    <w:rsid w:val="007A6FC9"/>
    <w:rsid w:val="007B75D4"/>
    <w:rsid w:val="007C30FD"/>
    <w:rsid w:val="007E3981"/>
    <w:rsid w:val="007E6580"/>
    <w:rsid w:val="007F29B3"/>
    <w:rsid w:val="007F541C"/>
    <w:rsid w:val="008033EA"/>
    <w:rsid w:val="0080383E"/>
    <w:rsid w:val="00806192"/>
    <w:rsid w:val="00821424"/>
    <w:rsid w:val="00822BBB"/>
    <w:rsid w:val="008257B8"/>
    <w:rsid w:val="00841656"/>
    <w:rsid w:val="00842030"/>
    <w:rsid w:val="008609B5"/>
    <w:rsid w:val="008875E3"/>
    <w:rsid w:val="00895F19"/>
    <w:rsid w:val="008A2F28"/>
    <w:rsid w:val="008A3139"/>
    <w:rsid w:val="008A3D96"/>
    <w:rsid w:val="008B2B82"/>
    <w:rsid w:val="008B715A"/>
    <w:rsid w:val="008C704F"/>
    <w:rsid w:val="008C7382"/>
    <w:rsid w:val="008D2F1C"/>
    <w:rsid w:val="008E0DE2"/>
    <w:rsid w:val="008E5448"/>
    <w:rsid w:val="008F1421"/>
    <w:rsid w:val="00906178"/>
    <w:rsid w:val="00911049"/>
    <w:rsid w:val="009147EE"/>
    <w:rsid w:val="00923E8C"/>
    <w:rsid w:val="00925C46"/>
    <w:rsid w:val="0092774B"/>
    <w:rsid w:val="00934AB3"/>
    <w:rsid w:val="0094039D"/>
    <w:rsid w:val="00941A26"/>
    <w:rsid w:val="009431D2"/>
    <w:rsid w:val="009433C4"/>
    <w:rsid w:val="00951AAE"/>
    <w:rsid w:val="00952AC3"/>
    <w:rsid w:val="00953A11"/>
    <w:rsid w:val="009572A1"/>
    <w:rsid w:val="009578B0"/>
    <w:rsid w:val="00960DD6"/>
    <w:rsid w:val="009A1AFA"/>
    <w:rsid w:val="009A51CA"/>
    <w:rsid w:val="009A578C"/>
    <w:rsid w:val="009C4EC9"/>
    <w:rsid w:val="009D0C73"/>
    <w:rsid w:val="009D0F7B"/>
    <w:rsid w:val="009D55AE"/>
    <w:rsid w:val="009D55C3"/>
    <w:rsid w:val="009E053B"/>
    <w:rsid w:val="009F1FC2"/>
    <w:rsid w:val="009F4DB7"/>
    <w:rsid w:val="009F67E9"/>
    <w:rsid w:val="00A34D0E"/>
    <w:rsid w:val="00A50985"/>
    <w:rsid w:val="00A66AF7"/>
    <w:rsid w:val="00A70D4B"/>
    <w:rsid w:val="00A71FBA"/>
    <w:rsid w:val="00A90F7A"/>
    <w:rsid w:val="00A958E8"/>
    <w:rsid w:val="00AB3E66"/>
    <w:rsid w:val="00AB5EBA"/>
    <w:rsid w:val="00AC2F77"/>
    <w:rsid w:val="00AE0656"/>
    <w:rsid w:val="00AE1C13"/>
    <w:rsid w:val="00AE5234"/>
    <w:rsid w:val="00AF0EB9"/>
    <w:rsid w:val="00AF3F0E"/>
    <w:rsid w:val="00B00A81"/>
    <w:rsid w:val="00B03F36"/>
    <w:rsid w:val="00B130BE"/>
    <w:rsid w:val="00B2409A"/>
    <w:rsid w:val="00B26C6D"/>
    <w:rsid w:val="00B27927"/>
    <w:rsid w:val="00B27E3A"/>
    <w:rsid w:val="00B337AF"/>
    <w:rsid w:val="00B350BA"/>
    <w:rsid w:val="00B42739"/>
    <w:rsid w:val="00B52935"/>
    <w:rsid w:val="00B60CF7"/>
    <w:rsid w:val="00B60DBC"/>
    <w:rsid w:val="00B64877"/>
    <w:rsid w:val="00B765CB"/>
    <w:rsid w:val="00B8044E"/>
    <w:rsid w:val="00B92189"/>
    <w:rsid w:val="00B956AD"/>
    <w:rsid w:val="00BA3612"/>
    <w:rsid w:val="00BB7AAB"/>
    <w:rsid w:val="00BD4D42"/>
    <w:rsid w:val="00BD66A6"/>
    <w:rsid w:val="00BE4C0D"/>
    <w:rsid w:val="00C150A1"/>
    <w:rsid w:val="00C25829"/>
    <w:rsid w:val="00C265EB"/>
    <w:rsid w:val="00C41C13"/>
    <w:rsid w:val="00C622B7"/>
    <w:rsid w:val="00C624BF"/>
    <w:rsid w:val="00CA2721"/>
    <w:rsid w:val="00CA52D2"/>
    <w:rsid w:val="00CC0F64"/>
    <w:rsid w:val="00CC130B"/>
    <w:rsid w:val="00CD1A07"/>
    <w:rsid w:val="00CD7EF4"/>
    <w:rsid w:val="00CE25B5"/>
    <w:rsid w:val="00CF497B"/>
    <w:rsid w:val="00D03CC9"/>
    <w:rsid w:val="00D068BE"/>
    <w:rsid w:val="00D0794E"/>
    <w:rsid w:val="00D15E35"/>
    <w:rsid w:val="00D174E0"/>
    <w:rsid w:val="00D21E1E"/>
    <w:rsid w:val="00D25D5E"/>
    <w:rsid w:val="00D31CF9"/>
    <w:rsid w:val="00D44820"/>
    <w:rsid w:val="00D624D0"/>
    <w:rsid w:val="00D667B0"/>
    <w:rsid w:val="00DB6F07"/>
    <w:rsid w:val="00DC5E1E"/>
    <w:rsid w:val="00DE6F2F"/>
    <w:rsid w:val="00DF4199"/>
    <w:rsid w:val="00E11398"/>
    <w:rsid w:val="00E12531"/>
    <w:rsid w:val="00E26897"/>
    <w:rsid w:val="00E3453F"/>
    <w:rsid w:val="00E51998"/>
    <w:rsid w:val="00E54D36"/>
    <w:rsid w:val="00E55DD6"/>
    <w:rsid w:val="00E8759D"/>
    <w:rsid w:val="00ED10CD"/>
    <w:rsid w:val="00EE55BB"/>
    <w:rsid w:val="00EF1F68"/>
    <w:rsid w:val="00F0524F"/>
    <w:rsid w:val="00F064B4"/>
    <w:rsid w:val="00F07785"/>
    <w:rsid w:val="00F15BD9"/>
    <w:rsid w:val="00F25397"/>
    <w:rsid w:val="00F568B7"/>
    <w:rsid w:val="00F604B0"/>
    <w:rsid w:val="00F60CF5"/>
    <w:rsid w:val="00F6676C"/>
    <w:rsid w:val="00F7689A"/>
    <w:rsid w:val="00F856FB"/>
    <w:rsid w:val="00F93EE2"/>
    <w:rsid w:val="00F957DE"/>
    <w:rsid w:val="00F96A83"/>
    <w:rsid w:val="00FB03F1"/>
    <w:rsid w:val="00FB194C"/>
    <w:rsid w:val="00FB1CAF"/>
    <w:rsid w:val="00FC20E3"/>
    <w:rsid w:val="00FC27E6"/>
    <w:rsid w:val="00FC758D"/>
    <w:rsid w:val="14B09C62"/>
    <w:rsid w:val="4ED464B4"/>
    <w:rsid w:val="5D358FC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083C6F"/>
  <w15:docId w15:val="{A5212EA6-ACEC-4214-9210-2AC7B8E194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GB" w:bidi="ar-SA"/>
      </w:rPr>
    </w:rPrDefault>
    <w:pPrDefault>
      <w:pPr>
        <w:spacing w:line="48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379E"/>
  </w:style>
  <w:style w:type="paragraph" w:styleId="Heading1">
    <w:name w:val="heading 1"/>
    <w:basedOn w:val="Normal"/>
    <w:next w:val="Normal"/>
    <w:link w:val="Heading1Char"/>
    <w:uiPriority w:val="9"/>
    <w:qFormat/>
    <w:rsid w:val="00657BE8"/>
    <w:pPr>
      <w:keepNext/>
      <w:keepLines/>
      <w:outlineLvl w:val="0"/>
    </w:pPr>
    <w:rPr>
      <w:rFonts w:eastAsiaTheme="majorEastAsia" w:cstheme="majorBidi"/>
      <w:szCs w:val="40"/>
    </w:rPr>
  </w:style>
  <w:style w:type="paragraph" w:styleId="Heading2">
    <w:name w:val="heading 2"/>
    <w:basedOn w:val="Normal"/>
    <w:next w:val="Normal"/>
    <w:link w:val="Heading2Char"/>
    <w:uiPriority w:val="9"/>
    <w:unhideWhenUsed/>
    <w:qFormat/>
    <w:rsid w:val="0029379E"/>
    <w:pPr>
      <w:keepNext/>
      <w:keepLines/>
      <w:outlineLvl w:val="1"/>
    </w:pPr>
    <w:rPr>
      <w:rFonts w:eastAsiaTheme="majorEastAsia" w:cstheme="majorBidi"/>
      <w:b/>
      <w:szCs w:val="33"/>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520893"/>
    <w:pPr>
      <w:tabs>
        <w:tab w:val="center" w:pos="4680"/>
        <w:tab w:val="right" w:pos="9360"/>
      </w:tabs>
      <w:spacing w:line="240" w:lineRule="auto"/>
    </w:pPr>
  </w:style>
  <w:style w:type="character" w:customStyle="1" w:styleId="HeaderChar">
    <w:name w:val="Header Char"/>
    <w:basedOn w:val="DefaultParagraphFont"/>
    <w:link w:val="Header"/>
    <w:uiPriority w:val="99"/>
    <w:rsid w:val="00520893"/>
  </w:style>
  <w:style w:type="paragraph" w:styleId="Footer">
    <w:name w:val="footer"/>
    <w:basedOn w:val="Normal"/>
    <w:link w:val="FooterChar"/>
    <w:uiPriority w:val="99"/>
    <w:unhideWhenUsed/>
    <w:rsid w:val="00520893"/>
    <w:pPr>
      <w:tabs>
        <w:tab w:val="center" w:pos="4680"/>
        <w:tab w:val="right" w:pos="9360"/>
      </w:tabs>
      <w:spacing w:line="240" w:lineRule="auto"/>
    </w:pPr>
  </w:style>
  <w:style w:type="character" w:customStyle="1" w:styleId="FooterChar">
    <w:name w:val="Footer Char"/>
    <w:basedOn w:val="DefaultParagraphFont"/>
    <w:link w:val="Footer"/>
    <w:uiPriority w:val="99"/>
    <w:rsid w:val="00520893"/>
  </w:style>
  <w:style w:type="paragraph" w:styleId="PlainText">
    <w:name w:val="Plain Text"/>
    <w:basedOn w:val="Normal"/>
    <w:link w:val="PlainTextChar"/>
    <w:uiPriority w:val="99"/>
    <w:unhideWhenUsed/>
    <w:rsid w:val="002C5685"/>
    <w:pPr>
      <w:spacing w:line="240" w:lineRule="auto"/>
    </w:pPr>
    <w:rPr>
      <w:rFonts w:ascii="Consolas" w:hAnsi="Consolas" w:cs="Consolas"/>
      <w:sz w:val="21"/>
      <w:szCs w:val="21"/>
      <w:lang w:val="en-GB"/>
    </w:rPr>
  </w:style>
  <w:style w:type="character" w:customStyle="1" w:styleId="PlainTextChar">
    <w:name w:val="Plain Text Char"/>
    <w:basedOn w:val="DefaultParagraphFont"/>
    <w:link w:val="PlainText"/>
    <w:uiPriority w:val="99"/>
    <w:rsid w:val="002C5685"/>
    <w:rPr>
      <w:rFonts w:ascii="Consolas" w:hAnsi="Consolas" w:cs="Consolas"/>
      <w:sz w:val="21"/>
      <w:szCs w:val="21"/>
      <w:lang w:val="en-GB" w:bidi="ar-SA"/>
    </w:rPr>
  </w:style>
  <w:style w:type="paragraph" w:styleId="NormalWeb">
    <w:name w:val="Normal (Web)"/>
    <w:basedOn w:val="Normal"/>
    <w:uiPriority w:val="99"/>
    <w:unhideWhenUsed/>
    <w:rsid w:val="003B5BAF"/>
    <w:pPr>
      <w:spacing w:before="100" w:beforeAutospacing="1" w:after="100" w:afterAutospacing="1" w:line="240" w:lineRule="auto"/>
    </w:pPr>
    <w:rPr>
      <w:lang w:val="en-GB"/>
    </w:rPr>
  </w:style>
  <w:style w:type="character" w:styleId="Emphasis">
    <w:name w:val="Emphasis"/>
    <w:basedOn w:val="DefaultParagraphFont"/>
    <w:uiPriority w:val="20"/>
    <w:qFormat/>
    <w:rsid w:val="000254F9"/>
    <w:rPr>
      <w:i/>
      <w:iCs/>
    </w:rPr>
  </w:style>
  <w:style w:type="character" w:styleId="PlaceholderText">
    <w:name w:val="Placeholder Text"/>
    <w:basedOn w:val="DefaultParagraphFont"/>
    <w:uiPriority w:val="99"/>
    <w:semiHidden/>
    <w:rsid w:val="00757ACB"/>
    <w:rPr>
      <w:color w:val="808080"/>
    </w:rPr>
  </w:style>
  <w:style w:type="character" w:styleId="Hyperlink">
    <w:name w:val="Hyperlink"/>
    <w:basedOn w:val="DefaultParagraphFont"/>
    <w:uiPriority w:val="99"/>
    <w:unhideWhenUsed/>
    <w:rsid w:val="00427DD1"/>
    <w:rPr>
      <w:color w:val="0000FF"/>
      <w:u w:val="single"/>
    </w:rPr>
  </w:style>
  <w:style w:type="paragraph" w:customStyle="1" w:styleId="EndNoteBibliographyTitle">
    <w:name w:val="EndNote Bibliography Title"/>
    <w:basedOn w:val="Normal"/>
    <w:link w:val="EndNoteBibliographyTitleChar"/>
    <w:rsid w:val="000013C9"/>
    <w:pPr>
      <w:jc w:val="center"/>
    </w:pPr>
    <w:rPr>
      <w:noProof/>
    </w:rPr>
  </w:style>
  <w:style w:type="character" w:customStyle="1" w:styleId="EndNoteBibliographyTitleChar">
    <w:name w:val="EndNote Bibliography Title Char"/>
    <w:basedOn w:val="DefaultParagraphFont"/>
    <w:link w:val="EndNoteBibliographyTitle"/>
    <w:rsid w:val="000013C9"/>
    <w:rPr>
      <w:rFonts w:ascii="Times New Roman" w:hAnsi="Times New Roman" w:cs="Times New Roman"/>
      <w:noProof/>
      <w:sz w:val="24"/>
    </w:rPr>
  </w:style>
  <w:style w:type="paragraph" w:customStyle="1" w:styleId="EndNoteBibliography">
    <w:name w:val="EndNote Bibliography"/>
    <w:basedOn w:val="Normal"/>
    <w:link w:val="EndNoteBibliographyChar"/>
    <w:rsid w:val="000013C9"/>
    <w:pPr>
      <w:spacing w:line="240" w:lineRule="auto"/>
      <w:jc w:val="thaiDistribute"/>
    </w:pPr>
    <w:rPr>
      <w:noProof/>
    </w:rPr>
  </w:style>
  <w:style w:type="character" w:customStyle="1" w:styleId="EndNoteBibliographyChar">
    <w:name w:val="EndNote Bibliography Char"/>
    <w:basedOn w:val="DefaultParagraphFont"/>
    <w:link w:val="EndNoteBibliography"/>
    <w:rsid w:val="000013C9"/>
    <w:rPr>
      <w:rFonts w:ascii="Times New Roman" w:hAnsi="Times New Roman" w:cs="Times New Roman"/>
      <w:noProof/>
      <w:sz w:val="24"/>
    </w:rPr>
  </w:style>
  <w:style w:type="character" w:styleId="CommentReference">
    <w:name w:val="annotation reference"/>
    <w:basedOn w:val="DefaultParagraphFont"/>
    <w:uiPriority w:val="99"/>
    <w:semiHidden/>
    <w:unhideWhenUsed/>
    <w:rsid w:val="0013363A"/>
    <w:rPr>
      <w:sz w:val="16"/>
      <w:szCs w:val="16"/>
    </w:rPr>
  </w:style>
  <w:style w:type="paragraph" w:styleId="CommentText">
    <w:name w:val="annotation text"/>
    <w:basedOn w:val="Normal"/>
    <w:link w:val="CommentTextChar"/>
    <w:uiPriority w:val="99"/>
    <w:unhideWhenUsed/>
    <w:rsid w:val="0013363A"/>
    <w:pPr>
      <w:spacing w:line="240" w:lineRule="auto"/>
    </w:pPr>
    <w:rPr>
      <w:rFonts w:cs="Angsana New"/>
      <w:sz w:val="20"/>
      <w:szCs w:val="25"/>
      <w:lang w:val="vi"/>
    </w:rPr>
  </w:style>
  <w:style w:type="character" w:customStyle="1" w:styleId="CommentTextChar">
    <w:name w:val="Comment Text Char"/>
    <w:basedOn w:val="DefaultParagraphFont"/>
    <w:link w:val="CommentText"/>
    <w:uiPriority w:val="99"/>
    <w:rsid w:val="0013363A"/>
    <w:rPr>
      <w:rFonts w:cs="Angsana New"/>
      <w:sz w:val="20"/>
      <w:szCs w:val="25"/>
      <w:lang w:val="vi"/>
    </w:rPr>
  </w:style>
  <w:style w:type="character" w:customStyle="1" w:styleId="Heading1Char">
    <w:name w:val="Heading 1 Char"/>
    <w:basedOn w:val="DefaultParagraphFont"/>
    <w:link w:val="Heading1"/>
    <w:uiPriority w:val="9"/>
    <w:rsid w:val="00657BE8"/>
    <w:rPr>
      <w:rFonts w:ascii="Times New Roman" w:eastAsiaTheme="majorEastAsia" w:hAnsi="Times New Roman" w:cstheme="majorBidi"/>
      <w:sz w:val="24"/>
      <w:szCs w:val="40"/>
    </w:rPr>
  </w:style>
  <w:style w:type="character" w:customStyle="1" w:styleId="Heading2Char">
    <w:name w:val="Heading 2 Char"/>
    <w:basedOn w:val="DefaultParagraphFont"/>
    <w:link w:val="Heading2"/>
    <w:uiPriority w:val="9"/>
    <w:rsid w:val="0029379E"/>
    <w:rPr>
      <w:rFonts w:ascii="Times New Roman" w:eastAsiaTheme="majorEastAsia" w:hAnsi="Times New Roman" w:cstheme="majorBidi"/>
      <w:b/>
      <w:sz w:val="24"/>
      <w:szCs w:val="33"/>
    </w:rPr>
  </w:style>
  <w:style w:type="character" w:styleId="UnresolvedMention">
    <w:name w:val="Unresolved Mention"/>
    <w:basedOn w:val="DefaultParagraphFont"/>
    <w:uiPriority w:val="99"/>
    <w:semiHidden/>
    <w:unhideWhenUsed/>
    <w:rsid w:val="001552BA"/>
    <w:rPr>
      <w:color w:val="605E5C"/>
      <w:shd w:val="clear" w:color="auto" w:fill="E1DFDD"/>
    </w:rPr>
  </w:style>
  <w:style w:type="paragraph" w:styleId="ListParagraph">
    <w:name w:val="List Paragraph"/>
    <w:basedOn w:val="Normal"/>
    <w:uiPriority w:val="34"/>
    <w:qFormat/>
    <w:rsid w:val="00354D6D"/>
    <w:pPr>
      <w:ind w:left="720"/>
      <w:contextualSpacing/>
    </w:pPr>
  </w:style>
  <w:style w:type="paragraph" w:styleId="CommentSubject">
    <w:name w:val="annotation subject"/>
    <w:basedOn w:val="CommentText"/>
    <w:next w:val="CommentText"/>
    <w:link w:val="CommentSubjectChar"/>
    <w:uiPriority w:val="99"/>
    <w:semiHidden/>
    <w:unhideWhenUsed/>
    <w:rsid w:val="00354D6D"/>
    <w:rPr>
      <w:rFonts w:cstheme="minorBidi"/>
      <w:b/>
      <w:bCs/>
      <w:lang w:val="en-US"/>
    </w:rPr>
  </w:style>
  <w:style w:type="character" w:customStyle="1" w:styleId="CommentSubjectChar">
    <w:name w:val="Comment Subject Char"/>
    <w:basedOn w:val="CommentTextChar"/>
    <w:link w:val="CommentSubject"/>
    <w:uiPriority w:val="99"/>
    <w:semiHidden/>
    <w:rsid w:val="00354D6D"/>
    <w:rPr>
      <w:rFonts w:cs="Angsana New"/>
      <w:b/>
      <w:bCs/>
      <w:sz w:val="20"/>
      <w:szCs w:val="25"/>
      <w:lang w:val="vi"/>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paragraph" w:styleId="Caption">
    <w:name w:val="caption"/>
    <w:basedOn w:val="Normal"/>
    <w:next w:val="Normal"/>
    <w:uiPriority w:val="35"/>
    <w:unhideWhenUsed/>
    <w:qFormat/>
    <w:rsid w:val="00773679"/>
    <w:pPr>
      <w:spacing w:after="200" w:line="240" w:lineRule="auto"/>
    </w:pPr>
    <w:rPr>
      <w:i/>
      <w:iCs/>
      <w:color w:val="44546A" w:themeColor="text2"/>
      <w:sz w:val="18"/>
      <w:szCs w:val="18"/>
    </w:rPr>
  </w:style>
  <w:style w:type="character" w:customStyle="1" w:styleId="normaltextrun">
    <w:name w:val="normaltextrun"/>
    <w:basedOn w:val="DefaultParagraphFont"/>
    <w:rsid w:val="003669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6394482">
      <w:bodyDiv w:val="1"/>
      <w:marLeft w:val="0"/>
      <w:marRight w:val="0"/>
      <w:marTop w:val="0"/>
      <w:marBottom w:val="0"/>
      <w:divBdr>
        <w:top w:val="none" w:sz="0" w:space="0" w:color="auto"/>
        <w:left w:val="none" w:sz="0" w:space="0" w:color="auto"/>
        <w:bottom w:val="none" w:sz="0" w:space="0" w:color="auto"/>
        <w:right w:val="none" w:sz="0" w:space="0" w:color="auto"/>
      </w:divBdr>
      <w:divsChild>
        <w:div w:id="1420638183">
          <w:marLeft w:val="0"/>
          <w:marRight w:val="0"/>
          <w:marTop w:val="0"/>
          <w:marBottom w:val="0"/>
          <w:divBdr>
            <w:top w:val="single" w:sz="2" w:space="0" w:color="D9D9E3"/>
            <w:left w:val="single" w:sz="2" w:space="0" w:color="D9D9E3"/>
            <w:bottom w:val="single" w:sz="2" w:space="0" w:color="D9D9E3"/>
            <w:right w:val="single" w:sz="2" w:space="0" w:color="D9D9E3"/>
          </w:divBdr>
          <w:divsChild>
            <w:div w:id="2139451449">
              <w:marLeft w:val="0"/>
              <w:marRight w:val="0"/>
              <w:marTop w:val="0"/>
              <w:marBottom w:val="0"/>
              <w:divBdr>
                <w:top w:val="single" w:sz="2" w:space="0" w:color="D9D9E3"/>
                <w:left w:val="single" w:sz="2" w:space="0" w:color="D9D9E3"/>
                <w:bottom w:val="single" w:sz="2" w:space="0" w:color="D9D9E3"/>
                <w:right w:val="single" w:sz="2" w:space="0" w:color="D9D9E3"/>
              </w:divBdr>
              <w:divsChild>
                <w:div w:id="1681734146">
                  <w:marLeft w:val="0"/>
                  <w:marRight w:val="0"/>
                  <w:marTop w:val="0"/>
                  <w:marBottom w:val="0"/>
                  <w:divBdr>
                    <w:top w:val="single" w:sz="2" w:space="0" w:color="D9D9E3"/>
                    <w:left w:val="single" w:sz="2" w:space="0" w:color="D9D9E3"/>
                    <w:bottom w:val="single" w:sz="2" w:space="0" w:color="D9D9E3"/>
                    <w:right w:val="single" w:sz="2" w:space="0" w:color="D9D9E3"/>
                  </w:divBdr>
                  <w:divsChild>
                    <w:div w:id="1065835395">
                      <w:marLeft w:val="0"/>
                      <w:marRight w:val="0"/>
                      <w:marTop w:val="0"/>
                      <w:marBottom w:val="0"/>
                      <w:divBdr>
                        <w:top w:val="single" w:sz="2" w:space="0" w:color="D9D9E3"/>
                        <w:left w:val="single" w:sz="2" w:space="0" w:color="D9D9E3"/>
                        <w:bottom w:val="single" w:sz="2" w:space="0" w:color="D9D9E3"/>
                        <w:right w:val="single" w:sz="2" w:space="0" w:color="D9D9E3"/>
                      </w:divBdr>
                      <w:divsChild>
                        <w:div w:id="1055660048">
                          <w:marLeft w:val="0"/>
                          <w:marRight w:val="0"/>
                          <w:marTop w:val="0"/>
                          <w:marBottom w:val="0"/>
                          <w:divBdr>
                            <w:top w:val="single" w:sz="2" w:space="0" w:color="auto"/>
                            <w:left w:val="single" w:sz="2" w:space="0" w:color="auto"/>
                            <w:bottom w:val="single" w:sz="6" w:space="0" w:color="auto"/>
                            <w:right w:val="single" w:sz="2" w:space="0" w:color="auto"/>
                          </w:divBdr>
                          <w:divsChild>
                            <w:div w:id="519973072">
                              <w:marLeft w:val="0"/>
                              <w:marRight w:val="0"/>
                              <w:marTop w:val="100"/>
                              <w:marBottom w:val="100"/>
                              <w:divBdr>
                                <w:top w:val="single" w:sz="2" w:space="0" w:color="D9D9E3"/>
                                <w:left w:val="single" w:sz="2" w:space="0" w:color="D9D9E3"/>
                                <w:bottom w:val="single" w:sz="2" w:space="0" w:color="D9D9E3"/>
                                <w:right w:val="single" w:sz="2" w:space="0" w:color="D9D9E3"/>
                              </w:divBdr>
                              <w:divsChild>
                                <w:div w:id="619074073">
                                  <w:marLeft w:val="0"/>
                                  <w:marRight w:val="0"/>
                                  <w:marTop w:val="0"/>
                                  <w:marBottom w:val="0"/>
                                  <w:divBdr>
                                    <w:top w:val="single" w:sz="2" w:space="0" w:color="D9D9E3"/>
                                    <w:left w:val="single" w:sz="2" w:space="0" w:color="D9D9E3"/>
                                    <w:bottom w:val="single" w:sz="2" w:space="0" w:color="D9D9E3"/>
                                    <w:right w:val="single" w:sz="2" w:space="0" w:color="D9D9E3"/>
                                  </w:divBdr>
                                  <w:divsChild>
                                    <w:div w:id="1099718537">
                                      <w:marLeft w:val="0"/>
                                      <w:marRight w:val="0"/>
                                      <w:marTop w:val="0"/>
                                      <w:marBottom w:val="0"/>
                                      <w:divBdr>
                                        <w:top w:val="single" w:sz="2" w:space="0" w:color="D9D9E3"/>
                                        <w:left w:val="single" w:sz="2" w:space="0" w:color="D9D9E3"/>
                                        <w:bottom w:val="single" w:sz="2" w:space="0" w:color="D9D9E3"/>
                                        <w:right w:val="single" w:sz="2" w:space="0" w:color="D9D9E3"/>
                                      </w:divBdr>
                                      <w:divsChild>
                                        <w:div w:id="256520100">
                                          <w:marLeft w:val="0"/>
                                          <w:marRight w:val="0"/>
                                          <w:marTop w:val="0"/>
                                          <w:marBottom w:val="0"/>
                                          <w:divBdr>
                                            <w:top w:val="single" w:sz="2" w:space="0" w:color="D9D9E3"/>
                                            <w:left w:val="single" w:sz="2" w:space="0" w:color="D9D9E3"/>
                                            <w:bottom w:val="single" w:sz="2" w:space="0" w:color="D9D9E3"/>
                                            <w:right w:val="single" w:sz="2" w:space="0" w:color="D9D9E3"/>
                                          </w:divBdr>
                                          <w:divsChild>
                                            <w:div w:id="101144846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1864125049">
          <w:marLeft w:val="0"/>
          <w:marRight w:val="0"/>
          <w:marTop w:val="0"/>
          <w:marBottom w:val="0"/>
          <w:divBdr>
            <w:top w:val="none" w:sz="0" w:space="0" w:color="auto"/>
            <w:left w:val="none" w:sz="0" w:space="0" w:color="auto"/>
            <w:bottom w:val="none" w:sz="0" w:space="0" w:color="auto"/>
            <w:right w:val="none" w:sz="0" w:space="0" w:color="auto"/>
          </w:divBdr>
          <w:divsChild>
            <w:div w:id="331101784">
              <w:marLeft w:val="0"/>
              <w:marRight w:val="0"/>
              <w:marTop w:val="0"/>
              <w:marBottom w:val="0"/>
              <w:divBdr>
                <w:top w:val="single" w:sz="2" w:space="0" w:color="D9D9E3"/>
                <w:left w:val="single" w:sz="2" w:space="0" w:color="D9D9E3"/>
                <w:bottom w:val="single" w:sz="2" w:space="0" w:color="D9D9E3"/>
                <w:right w:val="single" w:sz="2" w:space="0" w:color="D9D9E3"/>
              </w:divBdr>
              <w:divsChild>
                <w:div w:id="1854951977">
                  <w:marLeft w:val="0"/>
                  <w:marRight w:val="0"/>
                  <w:marTop w:val="0"/>
                  <w:marBottom w:val="0"/>
                  <w:divBdr>
                    <w:top w:val="single" w:sz="2" w:space="0" w:color="D9D9E3"/>
                    <w:left w:val="single" w:sz="2" w:space="0" w:color="D9D9E3"/>
                    <w:bottom w:val="single" w:sz="2" w:space="0" w:color="D9D9E3"/>
                    <w:right w:val="single" w:sz="2" w:space="0" w:color="D9D9E3"/>
                  </w:divBdr>
                  <w:divsChild>
                    <w:div w:id="890725816">
                      <w:marLeft w:val="0"/>
                      <w:marRight w:val="0"/>
                      <w:marTop w:val="0"/>
                      <w:marBottom w:val="0"/>
                      <w:divBdr>
                        <w:top w:val="single" w:sz="2" w:space="0" w:color="D9D9E3"/>
                        <w:left w:val="single" w:sz="2" w:space="0" w:color="D9D9E3"/>
                        <w:bottom w:val="single" w:sz="2" w:space="0" w:color="D9D9E3"/>
                        <w:right w:val="single" w:sz="2" w:space="0" w:color="D9D9E3"/>
                      </w:divBdr>
                      <w:divsChild>
                        <w:div w:id="861629826">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898706843">
      <w:bodyDiv w:val="1"/>
      <w:marLeft w:val="0"/>
      <w:marRight w:val="0"/>
      <w:marTop w:val="0"/>
      <w:marBottom w:val="0"/>
      <w:divBdr>
        <w:top w:val="none" w:sz="0" w:space="0" w:color="auto"/>
        <w:left w:val="none" w:sz="0" w:space="0" w:color="auto"/>
        <w:bottom w:val="none" w:sz="0" w:space="0" w:color="auto"/>
        <w:right w:val="none" w:sz="0" w:space="0" w:color="auto"/>
      </w:divBdr>
      <w:divsChild>
        <w:div w:id="454451652">
          <w:marLeft w:val="0"/>
          <w:marRight w:val="0"/>
          <w:marTop w:val="0"/>
          <w:marBottom w:val="0"/>
          <w:divBdr>
            <w:top w:val="single" w:sz="2" w:space="0" w:color="D9D9E3"/>
            <w:left w:val="single" w:sz="2" w:space="0" w:color="D9D9E3"/>
            <w:bottom w:val="single" w:sz="2" w:space="0" w:color="D9D9E3"/>
            <w:right w:val="single" w:sz="2" w:space="0" w:color="D9D9E3"/>
          </w:divBdr>
          <w:divsChild>
            <w:div w:id="1002856732">
              <w:marLeft w:val="0"/>
              <w:marRight w:val="0"/>
              <w:marTop w:val="0"/>
              <w:marBottom w:val="0"/>
              <w:divBdr>
                <w:top w:val="single" w:sz="2" w:space="0" w:color="D9D9E3"/>
                <w:left w:val="single" w:sz="2" w:space="0" w:color="D9D9E3"/>
                <w:bottom w:val="single" w:sz="2" w:space="0" w:color="D9D9E3"/>
                <w:right w:val="single" w:sz="2" w:space="0" w:color="D9D9E3"/>
              </w:divBdr>
              <w:divsChild>
                <w:div w:id="540242994">
                  <w:marLeft w:val="0"/>
                  <w:marRight w:val="0"/>
                  <w:marTop w:val="0"/>
                  <w:marBottom w:val="0"/>
                  <w:divBdr>
                    <w:top w:val="single" w:sz="2" w:space="0" w:color="D9D9E3"/>
                    <w:left w:val="single" w:sz="2" w:space="0" w:color="D9D9E3"/>
                    <w:bottom w:val="single" w:sz="2" w:space="0" w:color="D9D9E3"/>
                    <w:right w:val="single" w:sz="2" w:space="0" w:color="D9D9E3"/>
                  </w:divBdr>
                  <w:divsChild>
                    <w:div w:id="996617760">
                      <w:marLeft w:val="0"/>
                      <w:marRight w:val="0"/>
                      <w:marTop w:val="0"/>
                      <w:marBottom w:val="0"/>
                      <w:divBdr>
                        <w:top w:val="single" w:sz="2" w:space="0" w:color="D9D9E3"/>
                        <w:left w:val="single" w:sz="2" w:space="0" w:color="D9D9E3"/>
                        <w:bottom w:val="single" w:sz="2" w:space="0" w:color="D9D9E3"/>
                        <w:right w:val="single" w:sz="2" w:space="0" w:color="D9D9E3"/>
                      </w:divBdr>
                      <w:divsChild>
                        <w:div w:id="368457510">
                          <w:marLeft w:val="0"/>
                          <w:marRight w:val="0"/>
                          <w:marTop w:val="0"/>
                          <w:marBottom w:val="0"/>
                          <w:divBdr>
                            <w:top w:val="single" w:sz="2" w:space="0" w:color="auto"/>
                            <w:left w:val="single" w:sz="2" w:space="0" w:color="auto"/>
                            <w:bottom w:val="single" w:sz="6" w:space="0" w:color="auto"/>
                            <w:right w:val="single" w:sz="2" w:space="0" w:color="auto"/>
                          </w:divBdr>
                          <w:divsChild>
                            <w:div w:id="206837268">
                              <w:marLeft w:val="0"/>
                              <w:marRight w:val="0"/>
                              <w:marTop w:val="100"/>
                              <w:marBottom w:val="100"/>
                              <w:divBdr>
                                <w:top w:val="single" w:sz="2" w:space="0" w:color="D9D9E3"/>
                                <w:left w:val="single" w:sz="2" w:space="0" w:color="D9D9E3"/>
                                <w:bottom w:val="single" w:sz="2" w:space="0" w:color="D9D9E3"/>
                                <w:right w:val="single" w:sz="2" w:space="0" w:color="D9D9E3"/>
                              </w:divBdr>
                              <w:divsChild>
                                <w:div w:id="155923573">
                                  <w:marLeft w:val="0"/>
                                  <w:marRight w:val="0"/>
                                  <w:marTop w:val="0"/>
                                  <w:marBottom w:val="0"/>
                                  <w:divBdr>
                                    <w:top w:val="single" w:sz="2" w:space="0" w:color="D9D9E3"/>
                                    <w:left w:val="single" w:sz="2" w:space="0" w:color="D9D9E3"/>
                                    <w:bottom w:val="single" w:sz="2" w:space="0" w:color="D9D9E3"/>
                                    <w:right w:val="single" w:sz="2" w:space="0" w:color="D9D9E3"/>
                                  </w:divBdr>
                                  <w:divsChild>
                                    <w:div w:id="1314990673">
                                      <w:marLeft w:val="0"/>
                                      <w:marRight w:val="0"/>
                                      <w:marTop w:val="0"/>
                                      <w:marBottom w:val="0"/>
                                      <w:divBdr>
                                        <w:top w:val="single" w:sz="2" w:space="0" w:color="D9D9E3"/>
                                        <w:left w:val="single" w:sz="2" w:space="0" w:color="D9D9E3"/>
                                        <w:bottom w:val="single" w:sz="2" w:space="0" w:color="D9D9E3"/>
                                        <w:right w:val="single" w:sz="2" w:space="0" w:color="D9D9E3"/>
                                      </w:divBdr>
                                      <w:divsChild>
                                        <w:div w:id="1085570072">
                                          <w:marLeft w:val="0"/>
                                          <w:marRight w:val="0"/>
                                          <w:marTop w:val="0"/>
                                          <w:marBottom w:val="0"/>
                                          <w:divBdr>
                                            <w:top w:val="single" w:sz="2" w:space="0" w:color="D9D9E3"/>
                                            <w:left w:val="single" w:sz="2" w:space="0" w:color="D9D9E3"/>
                                            <w:bottom w:val="single" w:sz="2" w:space="0" w:color="D9D9E3"/>
                                            <w:right w:val="single" w:sz="2" w:space="0" w:color="D9D9E3"/>
                                          </w:divBdr>
                                          <w:divsChild>
                                            <w:div w:id="180218729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1058094829">
          <w:marLeft w:val="0"/>
          <w:marRight w:val="0"/>
          <w:marTop w:val="0"/>
          <w:marBottom w:val="0"/>
          <w:divBdr>
            <w:top w:val="none" w:sz="0" w:space="0" w:color="auto"/>
            <w:left w:val="none" w:sz="0" w:space="0" w:color="auto"/>
            <w:bottom w:val="none" w:sz="0" w:space="0" w:color="auto"/>
            <w:right w:val="none" w:sz="0" w:space="0" w:color="auto"/>
          </w:divBdr>
        </w:div>
      </w:divsChild>
    </w:div>
    <w:div w:id="1350183268">
      <w:bodyDiv w:val="1"/>
      <w:marLeft w:val="0"/>
      <w:marRight w:val="0"/>
      <w:marTop w:val="0"/>
      <w:marBottom w:val="0"/>
      <w:divBdr>
        <w:top w:val="none" w:sz="0" w:space="0" w:color="auto"/>
        <w:left w:val="none" w:sz="0" w:space="0" w:color="auto"/>
        <w:bottom w:val="none" w:sz="0" w:space="0" w:color="auto"/>
        <w:right w:val="none" w:sz="0" w:space="0" w:color="auto"/>
      </w:divBdr>
    </w:div>
    <w:div w:id="1489634840">
      <w:bodyDiv w:val="1"/>
      <w:marLeft w:val="0"/>
      <w:marRight w:val="0"/>
      <w:marTop w:val="0"/>
      <w:marBottom w:val="0"/>
      <w:divBdr>
        <w:top w:val="none" w:sz="0" w:space="0" w:color="auto"/>
        <w:left w:val="none" w:sz="0" w:space="0" w:color="auto"/>
        <w:bottom w:val="none" w:sz="0" w:space="0" w:color="auto"/>
        <w:right w:val="none" w:sz="0" w:space="0" w:color="auto"/>
      </w:divBdr>
    </w:div>
    <w:div w:id="2089184182">
      <w:bodyDiv w:val="1"/>
      <w:marLeft w:val="0"/>
      <w:marRight w:val="0"/>
      <w:marTop w:val="0"/>
      <w:marBottom w:val="0"/>
      <w:divBdr>
        <w:top w:val="none" w:sz="0" w:space="0" w:color="auto"/>
        <w:left w:val="none" w:sz="0" w:space="0" w:color="auto"/>
        <w:bottom w:val="none" w:sz="0" w:space="0" w:color="auto"/>
        <w:right w:val="none" w:sz="0" w:space="0" w:color="auto"/>
      </w:divBdr>
      <w:divsChild>
        <w:div w:id="271862119">
          <w:marLeft w:val="0"/>
          <w:marRight w:val="0"/>
          <w:marTop w:val="0"/>
          <w:marBottom w:val="0"/>
          <w:divBdr>
            <w:top w:val="single" w:sz="2" w:space="0" w:color="D9D9E3"/>
            <w:left w:val="single" w:sz="2" w:space="0" w:color="D9D9E3"/>
            <w:bottom w:val="single" w:sz="2" w:space="0" w:color="D9D9E3"/>
            <w:right w:val="single" w:sz="2" w:space="0" w:color="D9D9E3"/>
          </w:divBdr>
          <w:divsChild>
            <w:div w:id="861475551">
              <w:marLeft w:val="0"/>
              <w:marRight w:val="0"/>
              <w:marTop w:val="0"/>
              <w:marBottom w:val="0"/>
              <w:divBdr>
                <w:top w:val="single" w:sz="2" w:space="0" w:color="D9D9E3"/>
                <w:left w:val="single" w:sz="2" w:space="0" w:color="D9D9E3"/>
                <w:bottom w:val="single" w:sz="2" w:space="0" w:color="D9D9E3"/>
                <w:right w:val="single" w:sz="2" w:space="0" w:color="D9D9E3"/>
              </w:divBdr>
              <w:divsChild>
                <w:div w:id="509956246">
                  <w:marLeft w:val="0"/>
                  <w:marRight w:val="0"/>
                  <w:marTop w:val="0"/>
                  <w:marBottom w:val="0"/>
                  <w:divBdr>
                    <w:top w:val="single" w:sz="2" w:space="0" w:color="D9D9E3"/>
                    <w:left w:val="single" w:sz="2" w:space="0" w:color="D9D9E3"/>
                    <w:bottom w:val="single" w:sz="2" w:space="0" w:color="D9D9E3"/>
                    <w:right w:val="single" w:sz="2" w:space="0" w:color="D9D9E3"/>
                  </w:divBdr>
                  <w:divsChild>
                    <w:div w:id="1899777073">
                      <w:marLeft w:val="0"/>
                      <w:marRight w:val="0"/>
                      <w:marTop w:val="0"/>
                      <w:marBottom w:val="0"/>
                      <w:divBdr>
                        <w:top w:val="single" w:sz="2" w:space="0" w:color="D9D9E3"/>
                        <w:left w:val="single" w:sz="2" w:space="0" w:color="D9D9E3"/>
                        <w:bottom w:val="single" w:sz="2" w:space="0" w:color="D9D9E3"/>
                        <w:right w:val="single" w:sz="2" w:space="0" w:color="D9D9E3"/>
                      </w:divBdr>
                      <w:divsChild>
                        <w:div w:id="157156215">
                          <w:marLeft w:val="0"/>
                          <w:marRight w:val="0"/>
                          <w:marTop w:val="0"/>
                          <w:marBottom w:val="0"/>
                          <w:divBdr>
                            <w:top w:val="single" w:sz="2" w:space="0" w:color="auto"/>
                            <w:left w:val="single" w:sz="2" w:space="0" w:color="auto"/>
                            <w:bottom w:val="single" w:sz="6" w:space="0" w:color="auto"/>
                            <w:right w:val="single" w:sz="2" w:space="0" w:color="auto"/>
                          </w:divBdr>
                          <w:divsChild>
                            <w:div w:id="1935936800">
                              <w:marLeft w:val="0"/>
                              <w:marRight w:val="0"/>
                              <w:marTop w:val="100"/>
                              <w:marBottom w:val="100"/>
                              <w:divBdr>
                                <w:top w:val="single" w:sz="2" w:space="0" w:color="D9D9E3"/>
                                <w:left w:val="single" w:sz="2" w:space="0" w:color="D9D9E3"/>
                                <w:bottom w:val="single" w:sz="2" w:space="0" w:color="D9D9E3"/>
                                <w:right w:val="single" w:sz="2" w:space="0" w:color="D9D9E3"/>
                              </w:divBdr>
                              <w:divsChild>
                                <w:div w:id="1009255117">
                                  <w:marLeft w:val="0"/>
                                  <w:marRight w:val="0"/>
                                  <w:marTop w:val="0"/>
                                  <w:marBottom w:val="0"/>
                                  <w:divBdr>
                                    <w:top w:val="single" w:sz="2" w:space="0" w:color="D9D9E3"/>
                                    <w:left w:val="single" w:sz="2" w:space="0" w:color="D9D9E3"/>
                                    <w:bottom w:val="single" w:sz="2" w:space="0" w:color="D9D9E3"/>
                                    <w:right w:val="single" w:sz="2" w:space="0" w:color="D9D9E3"/>
                                  </w:divBdr>
                                  <w:divsChild>
                                    <w:div w:id="1452938743">
                                      <w:marLeft w:val="0"/>
                                      <w:marRight w:val="0"/>
                                      <w:marTop w:val="0"/>
                                      <w:marBottom w:val="0"/>
                                      <w:divBdr>
                                        <w:top w:val="single" w:sz="2" w:space="0" w:color="D9D9E3"/>
                                        <w:left w:val="single" w:sz="2" w:space="0" w:color="D9D9E3"/>
                                        <w:bottom w:val="single" w:sz="2" w:space="0" w:color="D9D9E3"/>
                                        <w:right w:val="single" w:sz="2" w:space="0" w:color="D9D9E3"/>
                                      </w:divBdr>
                                      <w:divsChild>
                                        <w:div w:id="1806969007">
                                          <w:marLeft w:val="0"/>
                                          <w:marRight w:val="0"/>
                                          <w:marTop w:val="0"/>
                                          <w:marBottom w:val="0"/>
                                          <w:divBdr>
                                            <w:top w:val="single" w:sz="2" w:space="0" w:color="D9D9E3"/>
                                            <w:left w:val="single" w:sz="2" w:space="0" w:color="D9D9E3"/>
                                            <w:bottom w:val="single" w:sz="2" w:space="0" w:color="D9D9E3"/>
                                            <w:right w:val="single" w:sz="2" w:space="0" w:color="D9D9E3"/>
                                          </w:divBdr>
                                          <w:divsChild>
                                            <w:div w:id="209403852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2036542465">
                                      <w:marLeft w:val="0"/>
                                      <w:marRight w:val="0"/>
                                      <w:marTop w:val="0"/>
                                      <w:marBottom w:val="0"/>
                                      <w:divBdr>
                                        <w:top w:val="single" w:sz="2" w:space="0" w:color="D9D9E3"/>
                                        <w:left w:val="single" w:sz="2" w:space="0" w:color="D9D9E3"/>
                                        <w:bottom w:val="single" w:sz="2" w:space="0" w:color="D9D9E3"/>
                                        <w:right w:val="single" w:sz="2" w:space="0" w:color="D9D9E3"/>
                                      </w:divBdr>
                                      <w:divsChild>
                                        <w:div w:id="69430146">
                                          <w:marLeft w:val="0"/>
                                          <w:marRight w:val="0"/>
                                          <w:marTop w:val="0"/>
                                          <w:marBottom w:val="0"/>
                                          <w:divBdr>
                                            <w:top w:val="single" w:sz="2" w:space="0" w:color="D9D9E3"/>
                                            <w:left w:val="single" w:sz="2" w:space="0" w:color="D9D9E3"/>
                                            <w:bottom w:val="single" w:sz="2" w:space="0" w:color="D9D9E3"/>
                                            <w:right w:val="single" w:sz="2" w:space="0" w:color="D9D9E3"/>
                                          </w:divBdr>
                                          <w:divsChild>
                                            <w:div w:id="59030939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 w:id="1829713403">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about:blank" TargetMode="External"/><Relationship Id="rId21" Type="http://schemas.openxmlformats.org/officeDocument/2006/relationships/hyperlink" Target="about:blank" TargetMode="External"/><Relationship Id="rId42" Type="http://schemas.openxmlformats.org/officeDocument/2006/relationships/hyperlink" Target="about:blank" TargetMode="External"/><Relationship Id="rId47" Type="http://schemas.openxmlformats.org/officeDocument/2006/relationships/image" Target="media/image4.png"/><Relationship Id="rId63" Type="http://schemas.openxmlformats.org/officeDocument/2006/relationships/image" Target="media/image16.png"/><Relationship Id="rId68" Type="http://schemas.openxmlformats.org/officeDocument/2006/relationships/image" Target="media/image21.png"/><Relationship Id="rId16" Type="http://schemas.openxmlformats.org/officeDocument/2006/relationships/hyperlink" Target="about:blank" TargetMode="External"/><Relationship Id="rId11" Type="http://schemas.openxmlformats.org/officeDocument/2006/relationships/hyperlink" Target="mailto:chamaiporn@kku.ac.th" TargetMode="External"/><Relationship Id="rId24" Type="http://schemas.openxmlformats.org/officeDocument/2006/relationships/hyperlink" Target="about:blank" TargetMode="External"/><Relationship Id="rId32" Type="http://schemas.openxmlformats.org/officeDocument/2006/relationships/hyperlink" Target="about:blank" TargetMode="External"/><Relationship Id="rId37" Type="http://schemas.openxmlformats.org/officeDocument/2006/relationships/hyperlink" Target="about:blank" TargetMode="External"/><Relationship Id="rId40" Type="http://schemas.openxmlformats.org/officeDocument/2006/relationships/hyperlink" Target="about:blank" TargetMode="External"/><Relationship Id="rId45" Type="http://schemas.openxmlformats.org/officeDocument/2006/relationships/footer" Target="footer1.xml"/><Relationship Id="rId53" Type="http://schemas.microsoft.com/office/2016/09/relationships/commentsIds" Target="commentsIds.xml"/><Relationship Id="rId58" Type="http://schemas.openxmlformats.org/officeDocument/2006/relationships/image" Target="media/image11.png"/><Relationship Id="rId66" Type="http://schemas.openxmlformats.org/officeDocument/2006/relationships/image" Target="media/image19.png"/><Relationship Id="rId74" Type="http://schemas.openxmlformats.org/officeDocument/2006/relationships/image" Target="media/image27.png"/><Relationship Id="rId79"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image" Target="media/image14.png"/><Relationship Id="rId19" Type="http://schemas.openxmlformats.org/officeDocument/2006/relationships/hyperlink" Target="https://ssrn.com/abstract=3363526" TargetMode="External"/><Relationship Id="rId14" Type="http://schemas.openxmlformats.org/officeDocument/2006/relationships/image" Target="media/image2.png"/><Relationship Id="rId22" Type="http://schemas.openxmlformats.org/officeDocument/2006/relationships/hyperlink" Target="about:blank" TargetMode="External"/><Relationship Id="rId27" Type="http://schemas.openxmlformats.org/officeDocument/2006/relationships/hyperlink" Target="about:blank" TargetMode="External"/><Relationship Id="rId30" Type="http://schemas.openxmlformats.org/officeDocument/2006/relationships/hyperlink" Target="about:blank" TargetMode="External"/><Relationship Id="rId35" Type="http://schemas.openxmlformats.org/officeDocument/2006/relationships/hyperlink" Target="about:blank" TargetMode="External"/><Relationship Id="rId43" Type="http://schemas.openxmlformats.org/officeDocument/2006/relationships/hyperlink" Target="about:blank" TargetMode="External"/><Relationship Id="rId48" Type="http://schemas.openxmlformats.org/officeDocument/2006/relationships/image" Target="media/image5.png"/><Relationship Id="rId56" Type="http://schemas.openxmlformats.org/officeDocument/2006/relationships/image" Target="media/image9.png"/><Relationship Id="rId64" Type="http://schemas.openxmlformats.org/officeDocument/2006/relationships/image" Target="media/image17.png"/><Relationship Id="rId69" Type="http://schemas.openxmlformats.org/officeDocument/2006/relationships/image" Target="media/image22.png"/><Relationship Id="rId77"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comments" Target="comments.xml"/><Relationship Id="rId72" Type="http://schemas.openxmlformats.org/officeDocument/2006/relationships/image" Target="media/image25.png"/><Relationship Id="rId3" Type="http://schemas.openxmlformats.org/officeDocument/2006/relationships/numbering" Target="numbering.xml"/><Relationship Id="rId12" Type="http://schemas.openxmlformats.org/officeDocument/2006/relationships/hyperlink" Target="mailto:dungntk@neu.edu.vn" TargetMode="External"/><Relationship Id="rId17" Type="http://schemas.openxmlformats.org/officeDocument/2006/relationships/hyperlink" Target="https://www.bankofengland.co.uk/-/media/boe/files/monetary-policy-report/2021/august/monetary-policy-report-august-2021" TargetMode="External"/><Relationship Id="rId25" Type="http://schemas.openxmlformats.org/officeDocument/2006/relationships/hyperlink" Target="about:blank" TargetMode="External"/><Relationship Id="rId33" Type="http://schemas.openxmlformats.org/officeDocument/2006/relationships/hyperlink" Target="about:blank" TargetMode="External"/><Relationship Id="rId38" Type="http://schemas.openxmlformats.org/officeDocument/2006/relationships/hyperlink" Target="about:blank" TargetMode="External"/><Relationship Id="rId46" Type="http://schemas.openxmlformats.org/officeDocument/2006/relationships/image" Target="media/image3.png"/><Relationship Id="rId59" Type="http://schemas.openxmlformats.org/officeDocument/2006/relationships/image" Target="media/image12.png"/><Relationship Id="rId67" Type="http://schemas.openxmlformats.org/officeDocument/2006/relationships/image" Target="media/image20.png"/><Relationship Id="rId20" Type="http://schemas.openxmlformats.org/officeDocument/2006/relationships/hyperlink" Target="about:blank" TargetMode="External"/><Relationship Id="rId41" Type="http://schemas.openxmlformats.org/officeDocument/2006/relationships/hyperlink" Target="about:blank" TargetMode="External"/><Relationship Id="rId54" Type="http://schemas.microsoft.com/office/2018/08/relationships/commentsExtensible" Target="commentsExtensible.xml"/><Relationship Id="rId62" Type="http://schemas.openxmlformats.org/officeDocument/2006/relationships/image" Target="media/image15.png"/><Relationship Id="rId70" Type="http://schemas.openxmlformats.org/officeDocument/2006/relationships/image" Target="media/image23.png"/><Relationship Id="rId75" Type="http://schemas.openxmlformats.org/officeDocument/2006/relationships/image" Target="media/image28.pn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about:blank" TargetMode="External"/><Relationship Id="rId23" Type="http://schemas.openxmlformats.org/officeDocument/2006/relationships/hyperlink" Target="about:blank" TargetMode="External"/><Relationship Id="rId28" Type="http://schemas.openxmlformats.org/officeDocument/2006/relationships/hyperlink" Target="about:blank" TargetMode="External"/><Relationship Id="rId36" Type="http://schemas.openxmlformats.org/officeDocument/2006/relationships/hyperlink" Target="https://www.ofgem.gov.uk/publications/ofgem-annual-report-and-accounts-2021-22" TargetMode="External"/><Relationship Id="rId49" Type="http://schemas.openxmlformats.org/officeDocument/2006/relationships/image" Target="media/image6.png"/><Relationship Id="rId57" Type="http://schemas.openxmlformats.org/officeDocument/2006/relationships/image" Target="media/image10.png"/><Relationship Id="rId10" Type="http://schemas.openxmlformats.org/officeDocument/2006/relationships/hyperlink" Target="mailto:Xihui.chen@hw.ac.uk" TargetMode="External"/><Relationship Id="rId31" Type="http://schemas.openxmlformats.org/officeDocument/2006/relationships/hyperlink" Target="about:blank" TargetMode="External"/><Relationship Id="rId44" Type="http://schemas.openxmlformats.org/officeDocument/2006/relationships/hyperlink" Target="about:blank" TargetMode="External"/><Relationship Id="rId52" Type="http://schemas.microsoft.com/office/2011/relationships/commentsExtended" Target="commentsExtended.xml"/><Relationship Id="rId60" Type="http://schemas.openxmlformats.org/officeDocument/2006/relationships/image" Target="media/image13.png"/><Relationship Id="rId65" Type="http://schemas.openxmlformats.org/officeDocument/2006/relationships/image" Target="media/image18.png"/><Relationship Id="rId73" Type="http://schemas.openxmlformats.org/officeDocument/2006/relationships/image" Target="media/image26.png"/><Relationship Id="rId78" Type="http://schemas.microsoft.com/office/2011/relationships/people" Target="people.xml"/><Relationship Id="rId4" Type="http://schemas.openxmlformats.org/officeDocument/2006/relationships/styles" Target="styles.xml"/><Relationship Id="rId9" Type="http://schemas.openxmlformats.org/officeDocument/2006/relationships/hyperlink" Target="mailto:r.ahmed@kent.ac.uk" TargetMode="External"/><Relationship Id="rId13" Type="http://schemas.openxmlformats.org/officeDocument/2006/relationships/image" Target="media/image1.png"/><Relationship Id="rId18" Type="http://schemas.openxmlformats.org/officeDocument/2006/relationships/hyperlink" Target="about:blank" TargetMode="External"/><Relationship Id="rId39" Type="http://schemas.openxmlformats.org/officeDocument/2006/relationships/hyperlink" Target="about:blank" TargetMode="External"/><Relationship Id="rId34" Type="http://schemas.openxmlformats.org/officeDocument/2006/relationships/hyperlink" Target="about:blank" TargetMode="External"/><Relationship Id="rId50" Type="http://schemas.openxmlformats.org/officeDocument/2006/relationships/image" Target="media/image7.png"/><Relationship Id="rId55" Type="http://schemas.openxmlformats.org/officeDocument/2006/relationships/image" Target="media/image8.png"/><Relationship Id="rId76" Type="http://schemas.openxmlformats.org/officeDocument/2006/relationships/image" Target="media/image29.png"/><Relationship Id="rId7" Type="http://schemas.openxmlformats.org/officeDocument/2006/relationships/footnotes" Target="footnotes.xml"/><Relationship Id="rId71" Type="http://schemas.openxmlformats.org/officeDocument/2006/relationships/image" Target="media/image24.png"/><Relationship Id="rId2" Type="http://schemas.openxmlformats.org/officeDocument/2006/relationships/customXml" Target="../customXml/item2.xml"/><Relationship Id="rId29" Type="http://schemas.openxmlformats.org/officeDocument/2006/relationships/hyperlink" Target="about:blank" TargetMode="External"/></Relationships>
</file>

<file path=word/theme/theme1.xml><?xml version="1.0" encoding="utf-8"?>
<a:theme xmlns:a="http://schemas.openxmlformats.org/drawingml/2006/main" name="ธีมของ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WGZWBb1qtGCevXeQVDkT9JTU8gA==">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BAE7A406-6D3E-4AB6-96F4-F88CE1A6C0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54</Pages>
  <Words>12031</Words>
  <Characters>68577</Characters>
  <Application>Microsoft Office Word</Application>
  <DocSecurity>0</DocSecurity>
  <Lines>571</Lines>
  <Paragraphs>160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Chamaipon Kumpamool</dc:creator>
  <cp:lastModifiedBy>Kim Dung Nguyen</cp:lastModifiedBy>
  <cp:revision>131</cp:revision>
  <dcterms:created xsi:type="dcterms:W3CDTF">2023-04-15T17:20:00Z</dcterms:created>
  <dcterms:modified xsi:type="dcterms:W3CDTF">2023-05-07T17:01:00Z</dcterms:modified>
</cp:coreProperties>
</file>